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RPr="00552E2E" w14:paraId="7D1F2893" w14:textId="77777777" w:rsidTr="00AB2D04">
        <w:trPr>
          <w:cantSplit/>
        </w:trPr>
        <w:tc>
          <w:tcPr>
            <w:tcW w:w="6629" w:type="dxa"/>
          </w:tcPr>
          <w:p w14:paraId="72EB9724" w14:textId="30B8F032" w:rsidR="001A16ED" w:rsidRPr="00552E2E" w:rsidRDefault="00762A79" w:rsidP="004F792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  <w:lang w:val="es-ES_tradnl"/>
              </w:rPr>
            </w:pPr>
            <w:bookmarkStart w:id="0" w:name="dbreak"/>
            <w:bookmarkStart w:id="1" w:name="dpp"/>
            <w:bookmarkEnd w:id="0"/>
            <w:bookmarkEnd w:id="1"/>
            <w:r w:rsidRPr="00552E2E">
              <w:rPr>
                <w:rStyle w:val="PageNumber"/>
                <w:rFonts w:cs="Times"/>
                <w:b/>
                <w:sz w:val="30"/>
                <w:szCs w:val="30"/>
                <w:lang w:val="es-ES_tradnl"/>
              </w:rPr>
              <w:t>Conferencia de Plenipotenciarios (PP-22)</w:t>
            </w:r>
            <w:r w:rsidRPr="00552E2E">
              <w:rPr>
                <w:rStyle w:val="PageNumber"/>
                <w:rFonts w:cs="Times"/>
                <w:sz w:val="26"/>
                <w:szCs w:val="26"/>
                <w:lang w:val="es-ES_tradnl"/>
              </w:rPr>
              <w:br/>
            </w:r>
            <w:r w:rsidRPr="00552E2E">
              <w:rPr>
                <w:b/>
                <w:bCs/>
                <w:szCs w:val="24"/>
                <w:lang w:val="es-ES_tradnl"/>
              </w:rPr>
              <w:t>Bucarest</w:t>
            </w:r>
            <w:r w:rsidRPr="00552E2E">
              <w:rPr>
                <w:rStyle w:val="PageNumber"/>
                <w:b/>
                <w:bCs/>
                <w:szCs w:val="24"/>
                <w:lang w:val="es-ES_tradnl"/>
              </w:rPr>
              <w:t xml:space="preserve">, </w:t>
            </w:r>
            <w:r w:rsidRPr="00552E2E">
              <w:rPr>
                <w:rStyle w:val="PageNumber"/>
                <w:b/>
                <w:szCs w:val="24"/>
                <w:lang w:val="es-ES_tradnl"/>
              </w:rPr>
              <w:t>26 de septiembre – 14 de octubre de 2022</w:t>
            </w:r>
          </w:p>
        </w:tc>
        <w:tc>
          <w:tcPr>
            <w:tcW w:w="3402" w:type="dxa"/>
          </w:tcPr>
          <w:p w14:paraId="531238F0" w14:textId="77777777" w:rsidR="001A16ED" w:rsidRPr="00552E2E" w:rsidRDefault="000235EC" w:rsidP="006A046E">
            <w:pPr>
              <w:spacing w:line="240" w:lineRule="atLeast"/>
              <w:rPr>
                <w:rFonts w:cstheme="minorHAnsi"/>
                <w:lang w:val="es-ES_tradnl"/>
              </w:rPr>
            </w:pPr>
            <w:bookmarkStart w:id="2" w:name="ditulogo"/>
            <w:bookmarkEnd w:id="2"/>
            <w:r w:rsidRPr="00552E2E">
              <w:rPr>
                <w:noProof/>
                <w:lang w:val="en-US"/>
              </w:rPr>
              <w:drawing>
                <wp:inline distT="0" distB="0" distL="0" distR="0" wp14:anchorId="68529F39" wp14:editId="44B338B4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552E2E" w14:paraId="30D19F86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2F6483FE" w14:textId="77777777" w:rsidR="001A16ED" w:rsidRPr="00552E2E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  <w:lang w:val="es-ES_tradnl"/>
              </w:rPr>
            </w:pPr>
            <w:bookmarkStart w:id="3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E287307" w14:textId="77777777" w:rsidR="001A16ED" w:rsidRPr="00552E2E" w:rsidRDefault="001A16ED" w:rsidP="003740BC">
            <w:pPr>
              <w:spacing w:before="0"/>
              <w:rPr>
                <w:rFonts w:cstheme="minorHAnsi"/>
                <w:szCs w:val="24"/>
                <w:lang w:val="es-ES_tradnl"/>
              </w:rPr>
            </w:pPr>
          </w:p>
        </w:tc>
      </w:tr>
      <w:tr w:rsidR="001A16ED" w:rsidRPr="00552E2E" w14:paraId="375A3901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74E19232" w14:textId="77777777" w:rsidR="001A16ED" w:rsidRPr="00552E2E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CB2830D" w14:textId="77777777" w:rsidR="001A16ED" w:rsidRPr="00552E2E" w:rsidRDefault="001A16ED" w:rsidP="003740BC">
            <w:pPr>
              <w:spacing w:before="0"/>
              <w:rPr>
                <w:rFonts w:cstheme="minorHAnsi"/>
                <w:sz w:val="20"/>
                <w:lang w:val="es-ES_tradnl"/>
              </w:rPr>
            </w:pPr>
          </w:p>
        </w:tc>
      </w:tr>
      <w:tr w:rsidR="00762A79" w:rsidRPr="00552E2E" w14:paraId="0717BA3F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B49A672" w14:textId="1D7FAE54" w:rsidR="00762A79" w:rsidRPr="00552E2E" w:rsidRDefault="00762A79" w:rsidP="00762A79">
            <w:pPr>
              <w:pStyle w:val="Committee"/>
              <w:spacing w:after="0"/>
              <w:rPr>
                <w:lang w:val="es-ES_tradnl"/>
              </w:rPr>
            </w:pPr>
            <w:bookmarkStart w:id="4" w:name="dnum" w:colFirst="1" w:colLast="1"/>
            <w:bookmarkStart w:id="5" w:name="dmeeting" w:colFirst="0" w:colLast="0"/>
            <w:bookmarkEnd w:id="3"/>
            <w:r w:rsidRPr="00552E2E">
              <w:rPr>
                <w:lang w:val="es-ES_tradnl"/>
              </w:rPr>
              <w:t>SESIÓN PLENARIA</w:t>
            </w:r>
          </w:p>
        </w:tc>
        <w:tc>
          <w:tcPr>
            <w:tcW w:w="3402" w:type="dxa"/>
          </w:tcPr>
          <w:p w14:paraId="73831709" w14:textId="2804959F" w:rsidR="00762A79" w:rsidRPr="00552E2E" w:rsidRDefault="00762A79" w:rsidP="005E627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  <w:lang w:val="es-ES_tradnl"/>
              </w:rPr>
            </w:pPr>
            <w:proofErr w:type="spellStart"/>
            <w:r w:rsidRPr="00552E2E">
              <w:rPr>
                <w:rFonts w:cstheme="minorHAnsi"/>
                <w:b/>
                <w:szCs w:val="24"/>
                <w:lang w:val="es-ES_tradnl"/>
              </w:rPr>
              <w:t>Addéndum</w:t>
            </w:r>
            <w:proofErr w:type="spellEnd"/>
            <w:r w:rsidRPr="00552E2E">
              <w:rPr>
                <w:rFonts w:cstheme="minorHAnsi"/>
                <w:b/>
                <w:szCs w:val="24"/>
                <w:lang w:val="es-ES_tradnl"/>
              </w:rPr>
              <w:t xml:space="preserve"> 1</w:t>
            </w:r>
            <w:r w:rsidR="005E6274">
              <w:rPr>
                <w:rFonts w:cstheme="minorHAnsi"/>
                <w:b/>
                <w:szCs w:val="24"/>
                <w:lang w:val="es-ES_tradnl"/>
              </w:rPr>
              <w:t>6</w:t>
            </w:r>
            <w:r w:rsidRPr="00552E2E">
              <w:rPr>
                <w:rFonts w:cstheme="minorHAnsi"/>
                <w:b/>
                <w:szCs w:val="24"/>
                <w:lang w:val="es-ES_tradnl"/>
              </w:rPr>
              <w:t xml:space="preserve"> al</w:t>
            </w:r>
            <w:r w:rsidRPr="00552E2E">
              <w:rPr>
                <w:rFonts w:cstheme="minorHAnsi"/>
                <w:b/>
                <w:szCs w:val="24"/>
                <w:lang w:val="es-ES_tradnl"/>
              </w:rPr>
              <w:br/>
              <w:t>Documento 68-S</w:t>
            </w:r>
          </w:p>
        </w:tc>
      </w:tr>
      <w:tr w:rsidR="00762A79" w:rsidRPr="00552E2E" w14:paraId="68516993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3450ADAC" w14:textId="77777777" w:rsidR="00762A79" w:rsidRPr="00552E2E" w:rsidRDefault="00762A79" w:rsidP="00762A79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  <w:lang w:val="es-ES_tradnl"/>
              </w:rPr>
            </w:pPr>
            <w:bookmarkStart w:id="6" w:name="ddate" w:colFirst="1" w:colLast="1"/>
            <w:bookmarkStart w:id="7" w:name="dblank" w:colFirst="0" w:colLast="0"/>
            <w:bookmarkEnd w:id="4"/>
            <w:bookmarkEnd w:id="5"/>
          </w:p>
        </w:tc>
        <w:tc>
          <w:tcPr>
            <w:tcW w:w="3402" w:type="dxa"/>
          </w:tcPr>
          <w:p w14:paraId="16236E76" w14:textId="02A50E61" w:rsidR="00762A79" w:rsidRPr="00552E2E" w:rsidRDefault="00762A79" w:rsidP="00762A79">
            <w:pPr>
              <w:spacing w:before="0"/>
              <w:rPr>
                <w:rFonts w:cstheme="minorHAnsi"/>
                <w:szCs w:val="24"/>
                <w:lang w:val="es-ES_tradnl"/>
              </w:rPr>
            </w:pPr>
            <w:r w:rsidRPr="00552E2E">
              <w:rPr>
                <w:rFonts w:cstheme="minorHAnsi"/>
                <w:b/>
                <w:szCs w:val="24"/>
                <w:lang w:val="es-ES_tradnl"/>
              </w:rPr>
              <w:t>18 de agosto de 2022</w:t>
            </w:r>
          </w:p>
        </w:tc>
      </w:tr>
      <w:bookmarkEnd w:id="6"/>
      <w:bookmarkEnd w:id="7"/>
      <w:tr w:rsidR="00762A79" w:rsidRPr="00552E2E" w14:paraId="53E0C3F4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64C1BE6" w14:textId="77777777" w:rsidR="00762A79" w:rsidRPr="00552E2E" w:rsidRDefault="00762A79" w:rsidP="00762A79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es-ES_tradnl"/>
              </w:rPr>
            </w:pPr>
          </w:p>
        </w:tc>
        <w:tc>
          <w:tcPr>
            <w:tcW w:w="3402" w:type="dxa"/>
          </w:tcPr>
          <w:p w14:paraId="00D704D3" w14:textId="602DC4CA" w:rsidR="00762A79" w:rsidRPr="00552E2E" w:rsidRDefault="00762A79" w:rsidP="00762A79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s-ES_tradnl"/>
              </w:rPr>
            </w:pPr>
            <w:r w:rsidRPr="00552E2E">
              <w:rPr>
                <w:rFonts w:cstheme="minorHAnsi"/>
                <w:b/>
                <w:szCs w:val="24"/>
                <w:lang w:val="es-ES_tradnl"/>
              </w:rPr>
              <w:t>Original: ruso</w:t>
            </w:r>
          </w:p>
        </w:tc>
      </w:tr>
      <w:tr w:rsidR="001A16ED" w:rsidRPr="00552E2E" w14:paraId="1D3B866C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0CA5569" w14:textId="77777777" w:rsidR="001A16ED" w:rsidRPr="00552E2E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  <w:lang w:val="es-ES_tradnl"/>
              </w:rPr>
            </w:pPr>
            <w:bookmarkStart w:id="8" w:name="dbluepink" w:colFirst="0" w:colLast="0"/>
            <w:bookmarkStart w:id="9" w:name="dorlang" w:colFirst="1" w:colLast="1"/>
          </w:p>
        </w:tc>
      </w:tr>
      <w:tr w:rsidR="001A16ED" w:rsidRPr="00CC31DC" w14:paraId="1F0D1A15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FA098A8" w14:textId="72887EF4" w:rsidR="001A16ED" w:rsidRPr="00552E2E" w:rsidRDefault="00762A79" w:rsidP="006A046E">
            <w:pPr>
              <w:pStyle w:val="Source"/>
              <w:rPr>
                <w:lang w:val="es-ES_tradnl"/>
              </w:rPr>
            </w:pPr>
            <w:r w:rsidRPr="00552E2E">
              <w:rPr>
                <w:lang w:val="es-ES_tradnl"/>
              </w:rPr>
              <w:t>Estados Mie</w:t>
            </w:r>
            <w:r w:rsidR="005E6274">
              <w:rPr>
                <w:lang w:val="es-ES_tradnl"/>
              </w:rPr>
              <w:t>mbros de la UIT, Miembros de la</w:t>
            </w:r>
            <w:r w:rsidR="005E6274" w:rsidRPr="005E6274">
              <w:rPr>
                <w:lang w:val="es-MX"/>
              </w:rPr>
              <w:t xml:space="preserve"> </w:t>
            </w:r>
            <w:r w:rsidR="005E6274" w:rsidRPr="005E6274">
              <w:rPr>
                <w:lang w:val="es-ES_tradnl"/>
              </w:rPr>
              <w:t>Comunidad Regional</w:t>
            </w:r>
            <w:r w:rsidR="001E6005">
              <w:rPr>
                <w:lang w:val="es-ES_tradnl"/>
              </w:rPr>
              <w:br/>
            </w:r>
            <w:r w:rsidR="005E6274" w:rsidRPr="005E6274">
              <w:rPr>
                <w:lang w:val="es-ES_tradnl"/>
              </w:rPr>
              <w:t>de Comunicaciones (CRC)</w:t>
            </w:r>
          </w:p>
        </w:tc>
      </w:tr>
      <w:tr w:rsidR="001A16ED" w:rsidRPr="00CC31DC" w14:paraId="40F974A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4AE622E" w14:textId="694018F2" w:rsidR="001A16ED" w:rsidRPr="00552E2E" w:rsidRDefault="00762A79" w:rsidP="006A046E">
            <w:pPr>
              <w:pStyle w:val="Title1"/>
              <w:rPr>
                <w:lang w:val="es-ES_tradnl"/>
              </w:rPr>
            </w:pPr>
            <w:r w:rsidRPr="00552E2E">
              <w:rPr>
                <w:lang w:val="es-ES_tradnl"/>
              </w:rPr>
              <w:t>proyecto de nueva resolución de la pp-22 sobre</w:t>
            </w:r>
          </w:p>
        </w:tc>
      </w:tr>
      <w:tr w:rsidR="001A16ED" w:rsidRPr="00CC31DC" w14:paraId="4B534994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CFCDA66" w14:textId="77194450" w:rsidR="001A16ED" w:rsidRPr="00552E2E" w:rsidRDefault="00D0741B" w:rsidP="006A046E">
            <w:pPr>
              <w:pStyle w:val="Title2"/>
              <w:rPr>
                <w:lang w:val="es-ES_tradnl"/>
              </w:rPr>
            </w:pPr>
            <w:r w:rsidRPr="00552E2E">
              <w:rPr>
                <w:lang w:val="es-ES_tradnl"/>
              </w:rPr>
              <w:t>mandato de los funcionarios de elección de la unión</w:t>
            </w:r>
          </w:p>
        </w:tc>
      </w:tr>
      <w:tr w:rsidR="001A16ED" w:rsidRPr="00CC31DC" w14:paraId="4441D02F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53A9A64" w14:textId="77777777" w:rsidR="001A16ED" w:rsidRPr="00552E2E" w:rsidRDefault="001A16ED" w:rsidP="006A046E">
            <w:pPr>
              <w:pStyle w:val="Agendaitem"/>
            </w:pPr>
          </w:p>
        </w:tc>
      </w:tr>
      <w:bookmarkEnd w:id="8"/>
      <w:bookmarkEnd w:id="9"/>
    </w:tbl>
    <w:p w14:paraId="7018BD5C" w14:textId="5BF8C6C8" w:rsidR="00213435" w:rsidRDefault="00213435" w:rsidP="00213435">
      <w:pPr>
        <w:rPr>
          <w:lang w:val="es-ES_tradnl"/>
        </w:rPr>
      </w:pPr>
    </w:p>
    <w:p w14:paraId="71EEC43D" w14:textId="77777777" w:rsidR="00C602C9" w:rsidRPr="00552E2E" w:rsidRDefault="00C602C9" w:rsidP="00213435">
      <w:pPr>
        <w:rPr>
          <w:lang w:val="es-ES_tradnl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13435" w:rsidRPr="00552E2E" w14:paraId="003F0F17" w14:textId="77777777" w:rsidTr="00BB26AE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55B8D" w14:textId="49EFBD19" w:rsidR="00213435" w:rsidRPr="00552E2E" w:rsidRDefault="00D0741B" w:rsidP="00BB26AE">
            <w:pPr>
              <w:pStyle w:val="Headingb"/>
              <w:rPr>
                <w:lang w:val="es-ES_tradnl"/>
              </w:rPr>
            </w:pPr>
            <w:r w:rsidRPr="00552E2E">
              <w:rPr>
                <w:lang w:val="es-ES_tradnl"/>
              </w:rPr>
              <w:t>Resumen</w:t>
            </w:r>
          </w:p>
          <w:p w14:paraId="3435DDB5" w14:textId="69755C30" w:rsidR="00213435" w:rsidRPr="00552E2E" w:rsidRDefault="00D0741B" w:rsidP="00BB26AE">
            <w:pPr>
              <w:rPr>
                <w:lang w:val="es-ES_tradnl"/>
              </w:rPr>
            </w:pPr>
            <w:r w:rsidRPr="00552E2E">
              <w:rPr>
                <w:lang w:val="es-ES_tradnl"/>
              </w:rPr>
              <w:t>El propósito de este proyecto de nueva Resolución es mejorar la eficacia de la gestión de la Unión</w:t>
            </w:r>
            <w:r w:rsidR="00BC3FB6" w:rsidRPr="00552E2E">
              <w:rPr>
                <w:lang w:val="es-ES_tradnl"/>
              </w:rPr>
              <w:t>.</w:t>
            </w:r>
          </w:p>
          <w:p w14:paraId="1187260D" w14:textId="1C69A397" w:rsidR="00213435" w:rsidRPr="00552E2E" w:rsidRDefault="00D0741B" w:rsidP="00BB26AE">
            <w:pPr>
              <w:pStyle w:val="Headingb"/>
              <w:rPr>
                <w:lang w:val="es-ES_tradnl"/>
              </w:rPr>
            </w:pPr>
            <w:r w:rsidRPr="00552E2E">
              <w:rPr>
                <w:lang w:val="es-ES_tradnl"/>
              </w:rPr>
              <w:t>Acción solicitada</w:t>
            </w:r>
          </w:p>
          <w:p w14:paraId="08CB728E" w14:textId="5050B114" w:rsidR="00213435" w:rsidRPr="00552E2E" w:rsidRDefault="00D0741B" w:rsidP="00BB26AE">
            <w:pPr>
              <w:rPr>
                <w:b/>
                <w:bCs/>
                <w:lang w:val="es-ES_tradnl"/>
              </w:rPr>
            </w:pPr>
            <w:r w:rsidRPr="00552E2E">
              <w:rPr>
                <w:lang w:val="es-ES_tradnl"/>
              </w:rPr>
              <w:t xml:space="preserve">Se invita a la Conferencia de Plenipotenciarios a </w:t>
            </w:r>
            <w:r w:rsidRPr="00552E2E">
              <w:rPr>
                <w:b/>
                <w:lang w:val="es-ES_tradnl"/>
              </w:rPr>
              <w:t>examinar</w:t>
            </w:r>
            <w:r w:rsidRPr="00552E2E">
              <w:rPr>
                <w:lang w:val="es-ES_tradnl"/>
              </w:rPr>
              <w:t xml:space="preserve"> la presente propuesta y a </w:t>
            </w:r>
            <w:r w:rsidRPr="00552E2E">
              <w:rPr>
                <w:b/>
                <w:lang w:val="es-ES_tradnl"/>
              </w:rPr>
              <w:t xml:space="preserve">adoptar una decisión con </w:t>
            </w:r>
            <w:r w:rsidR="005E6274">
              <w:rPr>
                <w:b/>
                <w:lang w:val="es-ES_tradnl"/>
              </w:rPr>
              <w:t>miras a</w:t>
            </w:r>
            <w:r w:rsidRPr="00552E2E">
              <w:rPr>
                <w:b/>
                <w:lang w:val="es-ES_tradnl"/>
              </w:rPr>
              <w:t xml:space="preserve"> fomentar una mayor participación de los países en desarrollo</w:t>
            </w:r>
            <w:r w:rsidRPr="00552E2E">
              <w:rPr>
                <w:lang w:val="es-ES_tradnl"/>
              </w:rPr>
              <w:t>.</w:t>
            </w:r>
          </w:p>
          <w:p w14:paraId="7FF65D0A" w14:textId="77777777" w:rsidR="00213435" w:rsidRPr="00552E2E" w:rsidRDefault="00213435" w:rsidP="00BB26AE">
            <w:pPr>
              <w:jc w:val="center"/>
              <w:rPr>
                <w:lang w:val="es-ES_tradnl"/>
              </w:rPr>
            </w:pPr>
            <w:r w:rsidRPr="00552E2E">
              <w:rPr>
                <w:lang w:val="es-ES_tradnl"/>
              </w:rPr>
              <w:t>____________</w:t>
            </w:r>
          </w:p>
          <w:p w14:paraId="295C5653" w14:textId="03F5E95E" w:rsidR="00213435" w:rsidRPr="00552E2E" w:rsidRDefault="004C5F6B" w:rsidP="00BB26AE">
            <w:pPr>
              <w:pStyle w:val="Headingb"/>
              <w:rPr>
                <w:lang w:val="es-ES_tradnl"/>
              </w:rPr>
            </w:pPr>
            <w:r w:rsidRPr="00552E2E">
              <w:rPr>
                <w:lang w:val="es-ES_tradnl"/>
              </w:rPr>
              <w:t>Referenc</w:t>
            </w:r>
            <w:r w:rsidR="00D0741B" w:rsidRPr="00552E2E">
              <w:rPr>
                <w:lang w:val="es-ES_tradnl"/>
              </w:rPr>
              <w:t>ia</w:t>
            </w:r>
            <w:r w:rsidRPr="00552E2E">
              <w:rPr>
                <w:lang w:val="es-ES_tradnl"/>
              </w:rPr>
              <w:t>s</w:t>
            </w:r>
          </w:p>
          <w:p w14:paraId="56687436" w14:textId="68E71FDC" w:rsidR="00213435" w:rsidRPr="00C602C9" w:rsidRDefault="00C602C9" w:rsidP="00BB26AE">
            <w:pPr>
              <w:rPr>
                <w:bCs/>
                <w:lang w:val="es-ES_tradnl"/>
              </w:rPr>
            </w:pPr>
            <w:r w:rsidRPr="00C602C9">
              <w:rPr>
                <w:bCs/>
                <w:lang w:val="es-ES_tradnl"/>
              </w:rPr>
              <w:t>–</w:t>
            </w:r>
          </w:p>
        </w:tc>
      </w:tr>
    </w:tbl>
    <w:p w14:paraId="0E32A62C" w14:textId="77777777" w:rsidR="00213435" w:rsidRPr="00552E2E" w:rsidRDefault="00213435" w:rsidP="00213435">
      <w:pPr>
        <w:rPr>
          <w:lang w:val="es-ES_tradnl"/>
        </w:rPr>
      </w:pPr>
    </w:p>
    <w:p w14:paraId="2BDC7D75" w14:textId="77777777" w:rsidR="001A16ED" w:rsidRPr="00552E2E" w:rsidRDefault="001A16ED" w:rsidP="00AB2D04">
      <w:pPr>
        <w:rPr>
          <w:lang w:val="es-ES_tradnl"/>
        </w:rPr>
      </w:pPr>
    </w:p>
    <w:p w14:paraId="44C5B7F0" w14:textId="77777777" w:rsidR="001A16ED" w:rsidRPr="00552E2E" w:rsidRDefault="001A16ED" w:rsidP="00AB2D04">
      <w:pPr>
        <w:rPr>
          <w:lang w:val="es-ES_tradnl"/>
        </w:rPr>
      </w:pPr>
      <w:r w:rsidRPr="00552E2E">
        <w:rPr>
          <w:lang w:val="es-ES_tradnl"/>
        </w:rPr>
        <w:br w:type="page"/>
      </w:r>
    </w:p>
    <w:p w14:paraId="39AC0B49" w14:textId="77777777" w:rsidR="00287E7A" w:rsidRPr="00552E2E" w:rsidRDefault="00213435">
      <w:pPr>
        <w:pStyle w:val="Proposal"/>
        <w:rPr>
          <w:lang w:val="es-ES_tradnl"/>
        </w:rPr>
      </w:pPr>
      <w:r w:rsidRPr="00552E2E">
        <w:rPr>
          <w:lang w:val="es-ES_tradnl"/>
        </w:rPr>
        <w:lastRenderedPageBreak/>
        <w:t>ADD</w:t>
      </w:r>
      <w:r w:rsidRPr="00552E2E">
        <w:rPr>
          <w:lang w:val="es-ES_tradnl"/>
        </w:rPr>
        <w:tab/>
        <w:t>RCC/68A16/1</w:t>
      </w:r>
    </w:p>
    <w:p w14:paraId="1839CFF4" w14:textId="1FBA5DAD" w:rsidR="00287E7A" w:rsidRPr="00552E2E" w:rsidRDefault="008611D5" w:rsidP="00CF0A89">
      <w:pPr>
        <w:pStyle w:val="ResNo"/>
        <w:rPr>
          <w:lang w:val="es-ES_tradnl"/>
        </w:rPr>
      </w:pPr>
      <w:r w:rsidRPr="00552E2E">
        <w:rPr>
          <w:lang w:val="es-ES_tradnl"/>
        </w:rPr>
        <w:t>PROYECTO DE NUEVA RESOLUCIÓN</w:t>
      </w:r>
      <w:r w:rsidR="00213435" w:rsidRPr="00552E2E">
        <w:rPr>
          <w:lang w:val="es-ES_tradnl"/>
        </w:rPr>
        <w:t xml:space="preserve"> [RCC-</w:t>
      </w:r>
      <w:r w:rsidR="00414A88" w:rsidRPr="00552E2E">
        <w:rPr>
          <w:lang w:val="es-ES_tradnl"/>
        </w:rPr>
        <w:t>2</w:t>
      </w:r>
      <w:r w:rsidR="00213435" w:rsidRPr="00552E2E">
        <w:rPr>
          <w:lang w:val="es-ES_tradnl"/>
        </w:rPr>
        <w:t>]</w:t>
      </w:r>
    </w:p>
    <w:p w14:paraId="02D1523D" w14:textId="533F579D" w:rsidR="004E4505" w:rsidRPr="00552E2E" w:rsidRDefault="005E6274" w:rsidP="00CF0A89">
      <w:pPr>
        <w:pStyle w:val="Restitle"/>
        <w:rPr>
          <w:lang w:val="es-ES_tradnl"/>
        </w:rPr>
      </w:pPr>
      <w:r>
        <w:rPr>
          <w:lang w:val="es-ES_tradnl"/>
        </w:rPr>
        <w:t>M</w:t>
      </w:r>
      <w:r w:rsidR="008611D5" w:rsidRPr="00552E2E">
        <w:rPr>
          <w:lang w:val="es-ES_tradnl"/>
        </w:rPr>
        <w:t xml:space="preserve">andato de los </w:t>
      </w:r>
      <w:r>
        <w:rPr>
          <w:lang w:val="es-ES_tradnl"/>
        </w:rPr>
        <w:t>funcionarios de elección de la U</w:t>
      </w:r>
      <w:r w:rsidR="008611D5" w:rsidRPr="00552E2E">
        <w:rPr>
          <w:lang w:val="es-ES_tradnl"/>
        </w:rPr>
        <w:t>nión</w:t>
      </w:r>
    </w:p>
    <w:p w14:paraId="54AC6CC3" w14:textId="6A9392F7" w:rsidR="00DD7E6B" w:rsidRPr="00552E2E" w:rsidRDefault="008611D5" w:rsidP="009C0BB5">
      <w:pPr>
        <w:pStyle w:val="Normalaftertitle"/>
        <w:rPr>
          <w:lang w:val="es-ES_tradnl"/>
        </w:rPr>
      </w:pPr>
      <w:r w:rsidRPr="00552E2E">
        <w:rPr>
          <w:lang w:val="es-ES_tradnl"/>
        </w:rPr>
        <w:t>La Conferencia de Plenipotenciarios de la Unión Internacional de Telecomunicaciones (Bucarest,</w:t>
      </w:r>
      <w:r w:rsidR="00C602C9">
        <w:rPr>
          <w:lang w:val="es-ES_tradnl"/>
        </w:rPr>
        <w:t> </w:t>
      </w:r>
      <w:r w:rsidRPr="00552E2E">
        <w:rPr>
          <w:lang w:val="es-ES_tradnl"/>
        </w:rPr>
        <w:t>2022)</w:t>
      </w:r>
      <w:r w:rsidR="00DD7E6B" w:rsidRPr="00552E2E">
        <w:rPr>
          <w:lang w:val="es-ES_tradnl"/>
        </w:rPr>
        <w:t>,</w:t>
      </w:r>
    </w:p>
    <w:p w14:paraId="74B4F87C" w14:textId="1BBEB4EC" w:rsidR="00287E7A" w:rsidRPr="00552E2E" w:rsidRDefault="00AF37EF" w:rsidP="00DD7E6B">
      <w:pPr>
        <w:pStyle w:val="Call"/>
        <w:rPr>
          <w:lang w:val="es-ES_tradnl"/>
        </w:rPr>
      </w:pPr>
      <w:r w:rsidRPr="00552E2E">
        <w:rPr>
          <w:lang w:val="es-ES_tradnl"/>
        </w:rPr>
        <w:t>rec</w:t>
      </w:r>
      <w:r w:rsidR="008611D5" w:rsidRPr="00552E2E">
        <w:rPr>
          <w:lang w:val="es-ES_tradnl"/>
        </w:rPr>
        <w:t>ordando</w:t>
      </w:r>
    </w:p>
    <w:p w14:paraId="78CC7BE5" w14:textId="00C027BF" w:rsidR="00DD7E6B" w:rsidRPr="00552E2E" w:rsidRDefault="00DD7E6B" w:rsidP="009C0BB5">
      <w:pPr>
        <w:rPr>
          <w:lang w:val="es-ES_tradnl"/>
        </w:rPr>
      </w:pPr>
      <w:r w:rsidRPr="00552E2E">
        <w:rPr>
          <w:i/>
          <w:iCs/>
          <w:lang w:val="es-ES_tradnl"/>
        </w:rPr>
        <w:t>a)</w:t>
      </w:r>
      <w:r w:rsidRPr="00552E2E">
        <w:rPr>
          <w:i/>
          <w:iCs/>
          <w:lang w:val="es-ES_tradnl"/>
        </w:rPr>
        <w:tab/>
      </w:r>
      <w:r w:rsidR="008611D5" w:rsidRPr="00552E2E">
        <w:rPr>
          <w:lang w:val="es-ES_tradnl"/>
        </w:rPr>
        <w:t>que los Esta</w:t>
      </w:r>
      <w:r w:rsidR="00A21F39" w:rsidRPr="00552E2E">
        <w:rPr>
          <w:lang w:val="es-ES_tradnl"/>
        </w:rPr>
        <w:t>dos Miembros pueden presentar candidatos para la elección de funcionarios de la Unión</w:t>
      </w:r>
      <w:r w:rsidR="0032246D" w:rsidRPr="00552E2E">
        <w:rPr>
          <w:lang w:val="es-ES_tradnl"/>
        </w:rPr>
        <w:t xml:space="preserve"> </w:t>
      </w:r>
      <w:r w:rsidRPr="00552E2E">
        <w:rPr>
          <w:lang w:val="es-ES_tradnl"/>
        </w:rPr>
        <w:t>(CS</w:t>
      </w:r>
      <w:r w:rsidR="00E101D5" w:rsidRPr="00552E2E">
        <w:rPr>
          <w:lang w:val="es-ES_tradnl"/>
        </w:rPr>
        <w:t> </w:t>
      </w:r>
      <w:r w:rsidRPr="00552E2E">
        <w:rPr>
          <w:lang w:val="es-ES_tradnl"/>
        </w:rPr>
        <w:t>26);</w:t>
      </w:r>
    </w:p>
    <w:p w14:paraId="5DAD9C50" w14:textId="1DF917AB" w:rsidR="00287E7A" w:rsidRPr="00552E2E" w:rsidRDefault="00DD7E6B" w:rsidP="009C0BB5">
      <w:pPr>
        <w:rPr>
          <w:lang w:val="es-ES_tradnl"/>
        </w:rPr>
      </w:pPr>
      <w:r w:rsidRPr="00552E2E">
        <w:rPr>
          <w:i/>
          <w:iCs/>
          <w:lang w:val="es-ES_tradnl"/>
        </w:rPr>
        <w:t>b)</w:t>
      </w:r>
      <w:r w:rsidRPr="00552E2E">
        <w:rPr>
          <w:lang w:val="es-ES_tradnl"/>
        </w:rPr>
        <w:tab/>
      </w:r>
      <w:r w:rsidR="00A21F39" w:rsidRPr="00552E2E">
        <w:rPr>
          <w:lang w:val="es-ES_tradnl"/>
        </w:rPr>
        <w:t>que la Conferencia de Plenipotenciarios elige al Secretarios General, al Vicesecretario General y a los Directores de las Oficinas como funcionarios de elección de la Unión</w:t>
      </w:r>
      <w:r w:rsidRPr="00552E2E">
        <w:rPr>
          <w:lang w:val="es-ES_tradnl"/>
        </w:rPr>
        <w:t xml:space="preserve"> (CS</w:t>
      </w:r>
      <w:r w:rsidR="00E101D5" w:rsidRPr="00552E2E">
        <w:rPr>
          <w:lang w:val="es-ES_tradnl"/>
        </w:rPr>
        <w:t> </w:t>
      </w:r>
      <w:r w:rsidRPr="00552E2E">
        <w:rPr>
          <w:lang w:val="es-ES_tradnl"/>
        </w:rPr>
        <w:t>55);</w:t>
      </w:r>
    </w:p>
    <w:p w14:paraId="7B6C8459" w14:textId="543F2655" w:rsidR="00DD7E6B" w:rsidRPr="00552E2E" w:rsidRDefault="00DD7E6B" w:rsidP="009C0BB5">
      <w:pPr>
        <w:rPr>
          <w:lang w:val="es-ES_tradnl"/>
        </w:rPr>
      </w:pPr>
      <w:r w:rsidRPr="00552E2E">
        <w:rPr>
          <w:i/>
          <w:iCs/>
          <w:lang w:val="es-ES_tradnl"/>
        </w:rPr>
        <w:t>c)</w:t>
      </w:r>
      <w:r w:rsidRPr="00552E2E">
        <w:rPr>
          <w:i/>
          <w:iCs/>
          <w:lang w:val="es-ES_tradnl"/>
        </w:rPr>
        <w:tab/>
      </w:r>
      <w:r w:rsidR="00A21F39" w:rsidRPr="00552E2E">
        <w:rPr>
          <w:lang w:val="es-ES_tradnl"/>
        </w:rPr>
        <w:t>que la Conferencia de Plenipotenciarios da las instrucciones generales relacionadas con la plantilla de personal de la Unión y, si es necesario, fija los sueldos base y la escala de sueldos, así como el sistema de asignaciones y pensiones para todos los funcionarios de la Unión</w:t>
      </w:r>
      <w:r w:rsidRPr="00552E2E">
        <w:rPr>
          <w:lang w:val="es-ES_tradnl"/>
        </w:rPr>
        <w:t xml:space="preserve"> (CS</w:t>
      </w:r>
      <w:r w:rsidR="00E101D5" w:rsidRPr="00552E2E">
        <w:rPr>
          <w:lang w:val="es-ES_tradnl"/>
        </w:rPr>
        <w:t> </w:t>
      </w:r>
      <w:r w:rsidRPr="00552E2E">
        <w:rPr>
          <w:lang w:val="es-ES_tradnl"/>
        </w:rPr>
        <w:t>52);</w:t>
      </w:r>
    </w:p>
    <w:p w14:paraId="75FB9878" w14:textId="657418FC" w:rsidR="00DD7E6B" w:rsidRPr="00552E2E" w:rsidRDefault="00DD7E6B" w:rsidP="009C0BB5">
      <w:pPr>
        <w:rPr>
          <w:lang w:val="es-ES_tradnl"/>
        </w:rPr>
      </w:pPr>
      <w:r w:rsidRPr="00552E2E">
        <w:rPr>
          <w:i/>
          <w:iCs/>
          <w:lang w:val="es-ES_tradnl"/>
        </w:rPr>
        <w:t>d)</w:t>
      </w:r>
      <w:r w:rsidRPr="00552E2E">
        <w:rPr>
          <w:i/>
          <w:iCs/>
          <w:lang w:val="es-ES_tradnl"/>
        </w:rPr>
        <w:tab/>
      </w:r>
      <w:r w:rsidR="00A21F39" w:rsidRPr="00552E2E">
        <w:rPr>
          <w:lang w:val="es-ES_tradnl"/>
        </w:rPr>
        <w:t>que la consideración predominante para la contratación del personal y la determinación de las condiciones de empleo es la necesidad de garantizar a la Unión los servicios de personas de la mayor eficiencia, competencia e integridad, y que se da la debida importancia a la contratación del personal sobre una base geográfica lo más amplia posible</w:t>
      </w:r>
      <w:r w:rsidRPr="00552E2E">
        <w:rPr>
          <w:lang w:val="es-ES_tradnl"/>
        </w:rPr>
        <w:t>;</w:t>
      </w:r>
    </w:p>
    <w:p w14:paraId="0274B6DD" w14:textId="549B3EB8" w:rsidR="00DD7E6B" w:rsidRPr="00552E2E" w:rsidRDefault="00DD7E6B" w:rsidP="009C0BB5">
      <w:pPr>
        <w:rPr>
          <w:lang w:val="es-ES_tradnl"/>
        </w:rPr>
      </w:pPr>
      <w:r w:rsidRPr="00552E2E">
        <w:rPr>
          <w:i/>
          <w:iCs/>
          <w:lang w:val="es-ES_tradnl"/>
        </w:rPr>
        <w:t>e)</w:t>
      </w:r>
      <w:r w:rsidRPr="00552E2E">
        <w:rPr>
          <w:i/>
          <w:iCs/>
          <w:lang w:val="es-ES_tradnl"/>
        </w:rPr>
        <w:tab/>
      </w:r>
      <w:r w:rsidR="00A21F39" w:rsidRPr="00552E2E">
        <w:rPr>
          <w:iCs/>
          <w:lang w:val="es-ES_tradnl"/>
        </w:rPr>
        <w:t xml:space="preserve">el </w:t>
      </w:r>
      <w:r w:rsidR="00855553" w:rsidRPr="00552E2E">
        <w:rPr>
          <w:iCs/>
          <w:lang w:val="es-ES_tradnl"/>
        </w:rPr>
        <w:t>A</w:t>
      </w:r>
      <w:r w:rsidR="00A21F39" w:rsidRPr="00552E2E">
        <w:rPr>
          <w:iCs/>
          <w:lang w:val="es-ES_tradnl"/>
        </w:rPr>
        <w:t>rtículo</w:t>
      </w:r>
      <w:r w:rsidR="009C0BB5" w:rsidRPr="00552E2E">
        <w:rPr>
          <w:lang w:val="es-ES_tradnl"/>
        </w:rPr>
        <w:t> </w:t>
      </w:r>
      <w:r w:rsidRPr="00552E2E">
        <w:rPr>
          <w:lang w:val="es-ES_tradnl"/>
        </w:rPr>
        <w:t>9</w:t>
      </w:r>
      <w:r w:rsidR="007165DD" w:rsidRPr="00552E2E">
        <w:rPr>
          <w:lang w:val="es-ES_tradnl"/>
        </w:rPr>
        <w:t xml:space="preserve"> </w:t>
      </w:r>
      <w:r w:rsidR="00A21F39" w:rsidRPr="00552E2E">
        <w:rPr>
          <w:lang w:val="es-ES_tradnl"/>
        </w:rPr>
        <w:t>de la Constitución de la UIT</w:t>
      </w:r>
      <w:r w:rsidR="00307790" w:rsidRPr="00552E2E">
        <w:rPr>
          <w:lang w:val="es-ES_tradnl"/>
        </w:rPr>
        <w:t xml:space="preserve">, </w:t>
      </w:r>
      <w:r w:rsidR="00A21F39" w:rsidRPr="00552E2E">
        <w:rPr>
          <w:lang w:val="es-ES_tradnl"/>
        </w:rPr>
        <w:t>sobre los principios aplicables a las elecciones y sus asuntos conexos</w:t>
      </w:r>
      <w:r w:rsidRPr="00552E2E">
        <w:rPr>
          <w:lang w:val="es-ES_tradnl"/>
        </w:rPr>
        <w:t>;</w:t>
      </w:r>
    </w:p>
    <w:p w14:paraId="202A1C38" w14:textId="06308E01" w:rsidR="00DD7E6B" w:rsidRPr="00552E2E" w:rsidRDefault="00DD7E6B" w:rsidP="009C0BB5">
      <w:pPr>
        <w:rPr>
          <w:lang w:val="es-ES_tradnl"/>
        </w:rPr>
      </w:pPr>
      <w:r w:rsidRPr="00552E2E">
        <w:rPr>
          <w:i/>
          <w:iCs/>
          <w:lang w:val="es-ES_tradnl"/>
        </w:rPr>
        <w:t>f)</w:t>
      </w:r>
      <w:r w:rsidRPr="00552E2E">
        <w:rPr>
          <w:i/>
          <w:iCs/>
          <w:lang w:val="es-ES_tradnl"/>
        </w:rPr>
        <w:tab/>
      </w:r>
      <w:r w:rsidR="00855553" w:rsidRPr="00552E2E">
        <w:rPr>
          <w:lang w:val="es-ES_tradnl"/>
        </w:rPr>
        <w:t>la sección sobre los funcionarios de elección del Artículo 2 del Convenio de la UIT</w:t>
      </w:r>
      <w:r w:rsidRPr="00552E2E">
        <w:rPr>
          <w:lang w:val="es-ES_tradnl"/>
        </w:rPr>
        <w:t xml:space="preserve"> (CV</w:t>
      </w:r>
      <w:r w:rsidR="00E101D5" w:rsidRPr="00552E2E">
        <w:rPr>
          <w:lang w:val="es-ES_tradnl"/>
        </w:rPr>
        <w:t> </w:t>
      </w:r>
      <w:r w:rsidRPr="00552E2E">
        <w:rPr>
          <w:lang w:val="es-ES_tradnl"/>
        </w:rPr>
        <w:t>13</w:t>
      </w:r>
      <w:r w:rsidR="00855553" w:rsidRPr="00552E2E">
        <w:rPr>
          <w:lang w:val="es-ES_tradnl"/>
        </w:rPr>
        <w:t xml:space="preserve"> a</w:t>
      </w:r>
      <w:r w:rsidR="00C602C9">
        <w:rPr>
          <w:lang w:val="es-ES_tradnl"/>
        </w:rPr>
        <w:t> </w:t>
      </w:r>
      <w:r w:rsidRPr="00552E2E">
        <w:rPr>
          <w:lang w:val="es-ES_tradnl"/>
        </w:rPr>
        <w:t>19),</w:t>
      </w:r>
    </w:p>
    <w:p w14:paraId="41D3E41A" w14:textId="49FEA26A" w:rsidR="00DD7E6B" w:rsidRPr="00552E2E" w:rsidRDefault="00855553" w:rsidP="00DD7E6B">
      <w:pPr>
        <w:pStyle w:val="Call"/>
        <w:rPr>
          <w:lang w:val="es-ES_tradnl"/>
        </w:rPr>
      </w:pPr>
      <w:r w:rsidRPr="00552E2E">
        <w:rPr>
          <w:lang w:val="es-ES_tradnl"/>
        </w:rPr>
        <w:t>teniendo en cuenta</w:t>
      </w:r>
    </w:p>
    <w:p w14:paraId="08D78F51" w14:textId="0611777B" w:rsidR="00DD7E6B" w:rsidRPr="00552E2E" w:rsidRDefault="00DD7E6B" w:rsidP="00DD7E6B">
      <w:pPr>
        <w:rPr>
          <w:lang w:val="es-ES_tradnl"/>
        </w:rPr>
      </w:pPr>
      <w:r w:rsidRPr="00552E2E">
        <w:rPr>
          <w:i/>
          <w:iCs/>
          <w:lang w:val="es-ES_tradnl"/>
        </w:rPr>
        <w:t>a)</w:t>
      </w:r>
      <w:r w:rsidRPr="00552E2E">
        <w:rPr>
          <w:i/>
          <w:iCs/>
          <w:lang w:val="es-ES_tradnl"/>
        </w:rPr>
        <w:tab/>
      </w:r>
      <w:r w:rsidR="00855553" w:rsidRPr="00552E2E">
        <w:rPr>
          <w:lang w:val="es-ES_tradnl"/>
        </w:rPr>
        <w:t>que el Secretario General, el Vicesecretario General y los Directores de las Oficinas toman posesión de sus cargos en las fechas que determine en el momento de su elección la Conferencia de Plenipotenciarios</w:t>
      </w:r>
      <w:r w:rsidRPr="00552E2E">
        <w:rPr>
          <w:lang w:val="es-ES_tradnl"/>
        </w:rPr>
        <w:t>;</w:t>
      </w:r>
    </w:p>
    <w:p w14:paraId="2BB91E80" w14:textId="11681EAD" w:rsidR="00DD7E6B" w:rsidRPr="00552E2E" w:rsidRDefault="00DD7E6B" w:rsidP="00DD7E6B">
      <w:pPr>
        <w:rPr>
          <w:lang w:val="es-ES_tradnl"/>
        </w:rPr>
      </w:pPr>
      <w:r w:rsidRPr="00552E2E">
        <w:rPr>
          <w:i/>
          <w:iCs/>
          <w:lang w:val="es-ES_tradnl"/>
        </w:rPr>
        <w:t>b)</w:t>
      </w:r>
      <w:r w:rsidRPr="00552E2E">
        <w:rPr>
          <w:i/>
          <w:iCs/>
          <w:lang w:val="es-ES_tradnl"/>
        </w:rPr>
        <w:tab/>
      </w:r>
      <w:r w:rsidR="00855553" w:rsidRPr="00552E2E">
        <w:rPr>
          <w:lang w:val="es-ES_tradnl"/>
        </w:rPr>
        <w:t>que el Secretario General, el Vicesecretario General y los Directores de las Oficinas normalmente permanecen en funciones hasta la fecha que determine la siguiente Conferencia de Plenipotenciarios y que solo son reelegibles una vez para el mismo cargo</w:t>
      </w:r>
      <w:r w:rsidR="006A26DF" w:rsidRPr="00552E2E">
        <w:rPr>
          <w:lang w:val="es-ES_tradnl"/>
        </w:rPr>
        <w:t>;</w:t>
      </w:r>
    </w:p>
    <w:p w14:paraId="14C67059" w14:textId="3A79EBB1" w:rsidR="00DD7E6B" w:rsidRDefault="00DD7E6B" w:rsidP="00DD7E6B">
      <w:pPr>
        <w:rPr>
          <w:lang w:val="es-ES_tradnl"/>
        </w:rPr>
      </w:pPr>
      <w:r w:rsidRPr="00552E2E">
        <w:rPr>
          <w:i/>
          <w:iCs/>
          <w:lang w:val="es-ES_tradnl"/>
        </w:rPr>
        <w:t>c)</w:t>
      </w:r>
      <w:r w:rsidRPr="00552E2E">
        <w:rPr>
          <w:i/>
          <w:iCs/>
          <w:lang w:val="es-ES_tradnl"/>
        </w:rPr>
        <w:tab/>
      </w:r>
      <w:r w:rsidR="00855553" w:rsidRPr="00552E2E">
        <w:rPr>
          <w:lang w:val="es-ES_tradnl"/>
        </w:rPr>
        <w:t>que se entiende que los funcionarios de elección de la UIT reelegibles solo pueden ejercer un segundo mandato, ya sea consecutivo o no</w:t>
      </w:r>
      <w:r w:rsidRPr="00552E2E">
        <w:rPr>
          <w:lang w:val="es-ES_tradnl"/>
        </w:rPr>
        <w:t>;</w:t>
      </w:r>
    </w:p>
    <w:p w14:paraId="3C5D324D" w14:textId="55CAA62C" w:rsidR="00DD7E6B" w:rsidRPr="00552E2E" w:rsidRDefault="00DD7E6B" w:rsidP="00DD7E6B">
      <w:pPr>
        <w:rPr>
          <w:lang w:val="es-ES_tradnl"/>
        </w:rPr>
      </w:pPr>
      <w:r w:rsidRPr="00552E2E">
        <w:rPr>
          <w:i/>
          <w:iCs/>
          <w:lang w:val="es-ES_tradnl"/>
        </w:rPr>
        <w:t>d)</w:t>
      </w:r>
      <w:r w:rsidRPr="00552E2E">
        <w:rPr>
          <w:i/>
          <w:iCs/>
          <w:lang w:val="es-ES_tradnl"/>
        </w:rPr>
        <w:tab/>
      </w:r>
      <w:r w:rsidR="004A7B92" w:rsidRPr="00552E2E">
        <w:rPr>
          <w:lang w:val="es-ES_tradnl"/>
        </w:rPr>
        <w:t xml:space="preserve">que la </w:t>
      </w:r>
      <w:r w:rsidR="005E6274">
        <w:rPr>
          <w:lang w:val="es-ES_tradnl"/>
        </w:rPr>
        <w:t>presentación</w:t>
      </w:r>
      <w:r w:rsidR="004A7B92" w:rsidRPr="00552E2E">
        <w:rPr>
          <w:lang w:val="es-ES_tradnl"/>
        </w:rPr>
        <w:t xml:space="preserve"> de candidatos de países en desarrollo</w:t>
      </w:r>
      <w:r w:rsidR="004A7B92" w:rsidRPr="00552E2E">
        <w:rPr>
          <w:rStyle w:val="FootnoteReference"/>
          <w:lang w:val="es-ES_tradnl"/>
        </w:rPr>
        <w:footnoteReference w:customMarkFollows="1" w:id="1"/>
        <w:t>1</w:t>
      </w:r>
      <w:r w:rsidR="004A7B92" w:rsidRPr="00552E2E">
        <w:rPr>
          <w:lang w:val="es-ES_tradnl"/>
        </w:rPr>
        <w:t xml:space="preserve"> para el puesto de Director de la Oficina de Desarrollo de las Telecomunicaciones facilit</w:t>
      </w:r>
      <w:r w:rsidR="005E6274">
        <w:rPr>
          <w:lang w:val="es-ES_tradnl"/>
        </w:rPr>
        <w:t>ará</w:t>
      </w:r>
      <w:r w:rsidR="004A7B92" w:rsidRPr="00552E2E">
        <w:rPr>
          <w:lang w:val="es-ES_tradnl"/>
        </w:rPr>
        <w:t xml:space="preserve"> tanto la participación efectiva de los países en desarrollo en las actividades de la Unión como el desarrollo de las telecomunicaciones</w:t>
      </w:r>
      <w:r w:rsidR="005E6274">
        <w:rPr>
          <w:lang w:val="es-ES_tradnl"/>
        </w:rPr>
        <w:t xml:space="preserve"> y </w:t>
      </w:r>
      <w:r w:rsidR="00367E2C" w:rsidRPr="00552E2E">
        <w:rPr>
          <w:lang w:val="es-ES_tradnl"/>
        </w:rPr>
        <w:lastRenderedPageBreak/>
        <w:t>tecnologías de la información y la comunicación (</w:t>
      </w:r>
      <w:r w:rsidR="004A7B92" w:rsidRPr="00552E2E">
        <w:rPr>
          <w:lang w:val="es-ES_tradnl"/>
        </w:rPr>
        <w:t>TIC</w:t>
      </w:r>
      <w:r w:rsidR="00367E2C" w:rsidRPr="00552E2E">
        <w:rPr>
          <w:lang w:val="es-ES_tradnl"/>
        </w:rPr>
        <w:t>)</w:t>
      </w:r>
      <w:r w:rsidR="004A7B92" w:rsidRPr="00552E2E">
        <w:rPr>
          <w:lang w:val="es-ES_tradnl"/>
        </w:rPr>
        <w:t>, teniendo en cuenta las necesidades de los países en desarrollo y la situación geográfica especial de algunos países</w:t>
      </w:r>
      <w:r w:rsidRPr="00552E2E">
        <w:rPr>
          <w:lang w:val="es-ES_tradnl"/>
        </w:rPr>
        <w:t>,</w:t>
      </w:r>
    </w:p>
    <w:p w14:paraId="366C6707" w14:textId="36C12DD3" w:rsidR="00DD7E6B" w:rsidRPr="00552E2E" w:rsidRDefault="00C11FE1" w:rsidP="00DD7E6B">
      <w:pPr>
        <w:pStyle w:val="Call"/>
        <w:rPr>
          <w:lang w:val="es-ES_tradnl"/>
        </w:rPr>
      </w:pPr>
      <w:r w:rsidRPr="00552E2E">
        <w:rPr>
          <w:lang w:val="es-ES_tradnl"/>
        </w:rPr>
        <w:t>res</w:t>
      </w:r>
      <w:r w:rsidR="00367E2C" w:rsidRPr="00552E2E">
        <w:rPr>
          <w:lang w:val="es-ES_tradnl"/>
        </w:rPr>
        <w:t>uelve</w:t>
      </w:r>
    </w:p>
    <w:p w14:paraId="40B43D2B" w14:textId="3A5794CC" w:rsidR="00DD7E6B" w:rsidRPr="00552E2E" w:rsidRDefault="00DD7E6B" w:rsidP="00DD7E6B">
      <w:pPr>
        <w:rPr>
          <w:lang w:val="es-ES_tradnl"/>
        </w:rPr>
      </w:pPr>
      <w:r w:rsidRPr="00552E2E">
        <w:rPr>
          <w:lang w:val="es-ES_tradnl"/>
        </w:rPr>
        <w:t>1</w:t>
      </w:r>
      <w:r w:rsidRPr="00552E2E">
        <w:rPr>
          <w:lang w:val="es-ES_tradnl"/>
        </w:rPr>
        <w:tab/>
      </w:r>
      <w:r w:rsidR="00367E2C" w:rsidRPr="00552E2E">
        <w:rPr>
          <w:lang w:val="es-ES_tradnl"/>
        </w:rPr>
        <w:t xml:space="preserve">que la elección y/o reelección del mismo candidato a un puesto de </w:t>
      </w:r>
      <w:r w:rsidR="00951EE0" w:rsidRPr="00552E2E">
        <w:rPr>
          <w:lang w:val="es-ES_tradnl"/>
        </w:rPr>
        <w:t>funcionario de elección de la Unión (Secretario General, Vicesecretario General y Directores de las Oficinas) no excederá de dos mandatos en total</w:t>
      </w:r>
      <w:r w:rsidRPr="00552E2E">
        <w:rPr>
          <w:lang w:val="es-ES_tradnl"/>
        </w:rPr>
        <w:t>;</w:t>
      </w:r>
    </w:p>
    <w:p w14:paraId="5CDAC0C7" w14:textId="20BCEF9B" w:rsidR="00DD7E6B" w:rsidRPr="00552E2E" w:rsidRDefault="00DD7E6B" w:rsidP="00DD7E6B">
      <w:pPr>
        <w:rPr>
          <w:lang w:val="es-ES_tradnl"/>
        </w:rPr>
      </w:pPr>
      <w:r w:rsidRPr="00552E2E">
        <w:rPr>
          <w:lang w:val="es-ES_tradnl"/>
        </w:rPr>
        <w:t>2</w:t>
      </w:r>
      <w:r w:rsidRPr="00552E2E">
        <w:rPr>
          <w:lang w:val="es-ES_tradnl"/>
        </w:rPr>
        <w:tab/>
      </w:r>
      <w:r w:rsidR="00951EE0" w:rsidRPr="00552E2E">
        <w:rPr>
          <w:lang w:val="es-ES_tradnl"/>
        </w:rPr>
        <w:t>que el mandato ejercido en un puesto de</w:t>
      </w:r>
      <w:r w:rsidR="0078200F">
        <w:rPr>
          <w:lang w:val="es-ES_tradnl"/>
        </w:rPr>
        <w:t xml:space="preserve"> funcionario de</w:t>
      </w:r>
      <w:r w:rsidR="00951EE0" w:rsidRPr="00552E2E">
        <w:rPr>
          <w:lang w:val="es-ES_tradnl"/>
        </w:rPr>
        <w:t xml:space="preserve"> elección de la Unión (por ejemplo, Director de una Oficina) </w:t>
      </w:r>
      <w:r w:rsidR="0078200F">
        <w:rPr>
          <w:lang w:val="es-ES_tradnl"/>
        </w:rPr>
        <w:t>se tendrá en cuenta</w:t>
      </w:r>
      <w:r w:rsidR="00951EE0" w:rsidRPr="00552E2E">
        <w:rPr>
          <w:lang w:val="es-ES_tradnl"/>
        </w:rPr>
        <w:t xml:space="preserve"> para el mandato </w:t>
      </w:r>
      <w:r w:rsidR="0078200F">
        <w:rPr>
          <w:lang w:val="es-ES_tradnl"/>
        </w:rPr>
        <w:t>como titular de</w:t>
      </w:r>
      <w:r w:rsidR="00951EE0" w:rsidRPr="00552E2E">
        <w:rPr>
          <w:lang w:val="es-ES_tradnl"/>
        </w:rPr>
        <w:t xml:space="preserve"> otro puesto de funcionario de elección de la Unión (por ejemplo, Vicesecretario General)</w:t>
      </w:r>
      <w:r w:rsidRPr="00552E2E">
        <w:rPr>
          <w:lang w:val="es-ES_tradnl"/>
        </w:rPr>
        <w:t>;</w:t>
      </w:r>
    </w:p>
    <w:p w14:paraId="48D18AC9" w14:textId="5C7AF4D8" w:rsidR="00DD7E6B" w:rsidRPr="00552E2E" w:rsidRDefault="00DD7E6B" w:rsidP="00DD7E6B">
      <w:pPr>
        <w:rPr>
          <w:lang w:val="es-ES_tradnl"/>
        </w:rPr>
      </w:pPr>
      <w:r w:rsidRPr="00552E2E">
        <w:rPr>
          <w:lang w:val="es-ES_tradnl"/>
        </w:rPr>
        <w:t>3</w:t>
      </w:r>
      <w:r w:rsidRPr="00552E2E">
        <w:rPr>
          <w:lang w:val="es-ES_tradnl"/>
        </w:rPr>
        <w:tab/>
      </w:r>
      <w:r w:rsidR="00951EE0" w:rsidRPr="00552E2E">
        <w:rPr>
          <w:lang w:val="es-ES_tradnl"/>
        </w:rPr>
        <w:t xml:space="preserve">que los </w:t>
      </w:r>
      <w:r w:rsidR="00951EE0" w:rsidRPr="00552E2E">
        <w:rPr>
          <w:i/>
          <w:lang w:val="es-ES_tradnl"/>
        </w:rPr>
        <w:t>resuelve</w:t>
      </w:r>
      <w:r w:rsidR="00951EE0" w:rsidRPr="00552E2E">
        <w:rPr>
          <w:lang w:val="es-ES_tradnl"/>
        </w:rPr>
        <w:t xml:space="preserve"> 1 y 2 anteriores entrarán en vigor para los nuevos candidatos elegidos en la Conferencia de Plenipotenciarios de 2026 y en las siguientes</w:t>
      </w:r>
      <w:r w:rsidRPr="00552E2E">
        <w:rPr>
          <w:lang w:val="es-ES_tradnl"/>
        </w:rPr>
        <w:t>;</w:t>
      </w:r>
    </w:p>
    <w:p w14:paraId="03A989DC" w14:textId="6828F49A" w:rsidR="00DD7E6B" w:rsidRPr="00552E2E" w:rsidRDefault="00DD7E6B" w:rsidP="00DD7E6B">
      <w:pPr>
        <w:rPr>
          <w:lang w:val="es-ES_tradnl"/>
        </w:rPr>
      </w:pPr>
      <w:r w:rsidRPr="00552E2E">
        <w:rPr>
          <w:lang w:val="es-ES_tradnl"/>
        </w:rPr>
        <w:t>4</w:t>
      </w:r>
      <w:r w:rsidRPr="00552E2E">
        <w:rPr>
          <w:lang w:val="es-ES_tradnl"/>
        </w:rPr>
        <w:tab/>
      </w:r>
      <w:r w:rsidR="00642D58" w:rsidRPr="00552E2E">
        <w:rPr>
          <w:lang w:val="es-ES_tradnl"/>
        </w:rPr>
        <w:t xml:space="preserve">que los </w:t>
      </w:r>
      <w:r w:rsidR="00642D58" w:rsidRPr="00552E2E">
        <w:rPr>
          <w:i/>
          <w:lang w:val="es-ES_tradnl"/>
        </w:rPr>
        <w:t>resue</w:t>
      </w:r>
      <w:r w:rsidR="00552E2E" w:rsidRPr="00552E2E">
        <w:rPr>
          <w:i/>
          <w:lang w:val="es-ES_tradnl"/>
        </w:rPr>
        <w:t>l</w:t>
      </w:r>
      <w:r w:rsidR="00642D58" w:rsidRPr="00552E2E">
        <w:rPr>
          <w:i/>
          <w:lang w:val="es-ES_tradnl"/>
        </w:rPr>
        <w:t xml:space="preserve">ve </w:t>
      </w:r>
      <w:r w:rsidR="00642D58" w:rsidRPr="00552E2E">
        <w:rPr>
          <w:lang w:val="es-ES_tradnl"/>
        </w:rPr>
        <w:t xml:space="preserve">1 y 2 anteriores no se aplicarán a los candidatos </w:t>
      </w:r>
      <w:r w:rsidR="0078200F">
        <w:rPr>
          <w:lang w:val="es-ES_tradnl"/>
        </w:rPr>
        <w:t>elegidos</w:t>
      </w:r>
      <w:r w:rsidR="00642D58" w:rsidRPr="00552E2E">
        <w:rPr>
          <w:lang w:val="es-ES_tradnl"/>
        </w:rPr>
        <w:t xml:space="preserve"> por primera vez para puestos de elección de la Unión antes de la Conferencia de Plenipotenciarios de 2026</w:t>
      </w:r>
      <w:r w:rsidRPr="00552E2E">
        <w:rPr>
          <w:lang w:val="es-ES_tradnl"/>
        </w:rPr>
        <w:t>,</w:t>
      </w:r>
    </w:p>
    <w:p w14:paraId="5CD02A3C" w14:textId="3384FC63" w:rsidR="00DD7E6B" w:rsidRPr="00552E2E" w:rsidRDefault="00552E2E" w:rsidP="00DD7E6B">
      <w:pPr>
        <w:pStyle w:val="Call"/>
        <w:rPr>
          <w:lang w:val="es-ES_tradnl"/>
        </w:rPr>
      </w:pPr>
      <w:r w:rsidRPr="00552E2E">
        <w:rPr>
          <w:lang w:val="es-ES_tradnl"/>
        </w:rPr>
        <w:t>i</w:t>
      </w:r>
      <w:r w:rsidR="003354FC" w:rsidRPr="00552E2E">
        <w:rPr>
          <w:lang w:val="es-ES_tradnl"/>
        </w:rPr>
        <w:t>nvit</w:t>
      </w:r>
      <w:r w:rsidR="00642D58" w:rsidRPr="00552E2E">
        <w:rPr>
          <w:lang w:val="es-ES_tradnl"/>
        </w:rPr>
        <w:t>a a los Estados Miembros</w:t>
      </w:r>
    </w:p>
    <w:p w14:paraId="51C000E7" w14:textId="7364C4DD" w:rsidR="00DD7E6B" w:rsidRPr="00552E2E" w:rsidRDefault="00DD7E6B" w:rsidP="00DD7E6B">
      <w:pPr>
        <w:rPr>
          <w:lang w:val="es-ES_tradnl"/>
        </w:rPr>
      </w:pPr>
      <w:r w:rsidRPr="00552E2E">
        <w:rPr>
          <w:lang w:val="es-ES_tradnl"/>
        </w:rPr>
        <w:t>1</w:t>
      </w:r>
      <w:r w:rsidRPr="00552E2E">
        <w:rPr>
          <w:lang w:val="es-ES_tradnl"/>
        </w:rPr>
        <w:tab/>
      </w:r>
      <w:r w:rsidR="00552E2E">
        <w:rPr>
          <w:lang w:val="es-ES_tradnl"/>
        </w:rPr>
        <w:t>a facilitar la rotación más eficaz posible de los funcionarios de elección, prestando especial</w:t>
      </w:r>
      <w:r w:rsidR="00EA7B4C">
        <w:rPr>
          <w:lang w:val="es-ES_tradnl"/>
        </w:rPr>
        <w:t xml:space="preserve"> atención</w:t>
      </w:r>
      <w:r w:rsidR="00552E2E">
        <w:rPr>
          <w:lang w:val="es-ES_tradnl"/>
        </w:rPr>
        <w:t xml:space="preserve"> a la distribución geográfica equitativa entre las regiones del mundo y a los principios establecidos en el número 154 de la Constitución</w:t>
      </w:r>
      <w:r w:rsidRPr="00552E2E">
        <w:rPr>
          <w:lang w:val="es-ES_tradnl"/>
        </w:rPr>
        <w:t>;</w:t>
      </w:r>
    </w:p>
    <w:p w14:paraId="4DEF785B" w14:textId="3D195EC3" w:rsidR="00DD7E6B" w:rsidRPr="00552E2E" w:rsidRDefault="00DD7E6B" w:rsidP="00DD7E6B">
      <w:pPr>
        <w:rPr>
          <w:lang w:val="es-ES_tradnl"/>
        </w:rPr>
      </w:pPr>
      <w:r w:rsidRPr="00552E2E">
        <w:rPr>
          <w:lang w:val="es-ES_tradnl"/>
        </w:rPr>
        <w:t>2</w:t>
      </w:r>
      <w:r w:rsidRPr="00552E2E">
        <w:rPr>
          <w:lang w:val="es-ES_tradnl"/>
        </w:rPr>
        <w:tab/>
      </w:r>
      <w:r w:rsidR="000D49B6">
        <w:rPr>
          <w:lang w:val="es-ES_tradnl"/>
        </w:rPr>
        <w:t>a ejercer de manera responsables su derecho a presentar candidatos a los puestos de funcionario de elección de la Unión</w:t>
      </w:r>
      <w:r w:rsidRPr="00552E2E">
        <w:rPr>
          <w:lang w:val="es-ES_tradnl"/>
        </w:rPr>
        <w:t>;</w:t>
      </w:r>
    </w:p>
    <w:p w14:paraId="76E91E1C" w14:textId="72BDD0AC" w:rsidR="00DD7E6B" w:rsidRPr="00552E2E" w:rsidRDefault="00DD7E6B" w:rsidP="00DD7E6B">
      <w:pPr>
        <w:rPr>
          <w:lang w:val="es-ES_tradnl"/>
        </w:rPr>
      </w:pPr>
      <w:r w:rsidRPr="00552E2E">
        <w:rPr>
          <w:lang w:val="es-ES_tradnl"/>
        </w:rPr>
        <w:t>3</w:t>
      </w:r>
      <w:r w:rsidRPr="00552E2E">
        <w:rPr>
          <w:lang w:val="es-ES_tradnl"/>
        </w:rPr>
        <w:tab/>
      </w:r>
      <w:r w:rsidR="000D49B6">
        <w:rPr>
          <w:lang w:val="es-ES_tradnl"/>
        </w:rPr>
        <w:t>a guiarse por las disposiciones de la presente Resolución para presentar sus propios candidatos a los puestos de funcionarios de elección de la Unión y para evaluar y elegir a otros candidatos</w:t>
      </w:r>
      <w:r w:rsidRPr="00552E2E">
        <w:rPr>
          <w:lang w:val="es-ES_tradnl"/>
        </w:rPr>
        <w:t>;</w:t>
      </w:r>
    </w:p>
    <w:p w14:paraId="68351D51" w14:textId="0BDFDC94" w:rsidR="00DD7E6B" w:rsidRPr="00552E2E" w:rsidRDefault="00DD7E6B" w:rsidP="00DD7E6B">
      <w:pPr>
        <w:rPr>
          <w:lang w:val="es-ES_tradnl"/>
        </w:rPr>
      </w:pPr>
      <w:r w:rsidRPr="00552E2E">
        <w:rPr>
          <w:lang w:val="es-ES_tradnl"/>
        </w:rPr>
        <w:t>4</w:t>
      </w:r>
      <w:r w:rsidRPr="00552E2E">
        <w:rPr>
          <w:lang w:val="es-ES_tradnl"/>
        </w:rPr>
        <w:tab/>
      </w:r>
      <w:r w:rsidR="0043782C">
        <w:rPr>
          <w:lang w:val="es-ES_tradnl"/>
        </w:rPr>
        <w:t>a presentar</w:t>
      </w:r>
      <w:r w:rsidR="0043782C" w:rsidRPr="0043782C">
        <w:rPr>
          <w:lang w:val="es-ES_tradnl"/>
        </w:rPr>
        <w:t xml:space="preserve"> activamente candidatos que reúnan todos los requisitos de la Unión para </w:t>
      </w:r>
      <w:r w:rsidR="0043782C">
        <w:rPr>
          <w:lang w:val="es-ES_tradnl"/>
        </w:rPr>
        <w:t>ser elegidos al puesto</w:t>
      </w:r>
      <w:r w:rsidR="0043782C" w:rsidRPr="0043782C">
        <w:rPr>
          <w:lang w:val="es-ES_tradnl"/>
        </w:rPr>
        <w:t xml:space="preserve"> de Director de la Oficina de Desarrollo de las Telecomunicaciones, a fin de contribuir en la medida de lo posible a un </w:t>
      </w:r>
      <w:r w:rsidR="0043782C">
        <w:rPr>
          <w:lang w:val="es-ES_tradnl"/>
        </w:rPr>
        <w:t>ejercicio</w:t>
      </w:r>
      <w:r w:rsidR="0043782C" w:rsidRPr="0043782C">
        <w:rPr>
          <w:lang w:val="es-ES_tradnl"/>
        </w:rPr>
        <w:t xml:space="preserve"> más eficaz de las funciones del Sector de Desarrollo de las Telecomunicaciones (UIT-D) en el cumplimiento de los fines de la Unión </w:t>
      </w:r>
      <w:r w:rsidR="0043782C">
        <w:rPr>
          <w:lang w:val="es-ES_tradnl"/>
        </w:rPr>
        <w:t xml:space="preserve">previstos </w:t>
      </w:r>
      <w:r w:rsidR="0043782C" w:rsidRPr="0043782C">
        <w:rPr>
          <w:lang w:val="es-ES_tradnl"/>
        </w:rPr>
        <w:t>en el Artículo</w:t>
      </w:r>
      <w:r w:rsidR="00CE367F">
        <w:rPr>
          <w:lang w:val="es-ES_tradnl"/>
        </w:rPr>
        <w:t> </w:t>
      </w:r>
      <w:r w:rsidR="0043782C" w:rsidRPr="0043782C">
        <w:rPr>
          <w:lang w:val="es-ES_tradnl"/>
        </w:rPr>
        <w:t>1 de la Constitución</w:t>
      </w:r>
      <w:r w:rsidR="0043782C">
        <w:rPr>
          <w:lang w:val="es-ES_tradnl"/>
        </w:rPr>
        <w:t xml:space="preserve"> y en la ejecución, dentro del ámbito </w:t>
      </w:r>
      <w:r w:rsidR="0043782C" w:rsidRPr="0043782C">
        <w:rPr>
          <w:lang w:val="es-ES_tradnl"/>
        </w:rPr>
        <w:t>de competencia específic</w:t>
      </w:r>
      <w:r w:rsidR="0043782C">
        <w:rPr>
          <w:lang w:val="es-ES_tradnl"/>
        </w:rPr>
        <w:t>o</w:t>
      </w:r>
      <w:r w:rsidR="0043782C" w:rsidRPr="0043782C">
        <w:rPr>
          <w:lang w:val="es-ES_tradnl"/>
        </w:rPr>
        <w:t xml:space="preserve"> del UIT-D, de proye</w:t>
      </w:r>
      <w:r w:rsidR="0043782C">
        <w:rPr>
          <w:lang w:val="es-ES_tradnl"/>
        </w:rPr>
        <w:t xml:space="preserve">ctos en el marco del sistema </w:t>
      </w:r>
      <w:r w:rsidR="0043782C" w:rsidRPr="0043782C">
        <w:rPr>
          <w:lang w:val="es-ES_tradnl"/>
        </w:rPr>
        <w:t>de las Naciones Unidas</w:t>
      </w:r>
      <w:r w:rsidR="0043782C">
        <w:rPr>
          <w:lang w:val="es-ES_tradnl"/>
        </w:rPr>
        <w:t xml:space="preserve"> para el desarrollo u </w:t>
      </w:r>
      <w:r w:rsidR="0043782C" w:rsidRPr="0043782C">
        <w:rPr>
          <w:lang w:val="es-ES_tradnl"/>
        </w:rPr>
        <w:t xml:space="preserve">otros acuerdos de financiación, con el fin de facilitar y potenciar el desarrollo de las telecomunicaciones </w:t>
      </w:r>
      <w:r w:rsidR="0043782C">
        <w:rPr>
          <w:lang w:val="es-ES_tradnl"/>
        </w:rPr>
        <w:t>mediante la oferta</w:t>
      </w:r>
      <w:r w:rsidR="0043782C" w:rsidRPr="0043782C">
        <w:rPr>
          <w:lang w:val="es-ES_tradnl"/>
        </w:rPr>
        <w:t xml:space="preserve">, </w:t>
      </w:r>
      <w:r w:rsidR="0043782C">
        <w:rPr>
          <w:lang w:val="es-ES_tradnl"/>
        </w:rPr>
        <w:t xml:space="preserve">organización </w:t>
      </w:r>
      <w:r w:rsidR="0043782C" w:rsidRPr="0043782C">
        <w:rPr>
          <w:lang w:val="es-ES_tradnl"/>
        </w:rPr>
        <w:t xml:space="preserve">y </w:t>
      </w:r>
      <w:r w:rsidR="0043782C">
        <w:rPr>
          <w:lang w:val="es-ES_tradnl"/>
        </w:rPr>
        <w:t>coordinación de</w:t>
      </w:r>
      <w:r w:rsidR="0043782C" w:rsidRPr="0043782C">
        <w:rPr>
          <w:lang w:val="es-ES_tradnl"/>
        </w:rPr>
        <w:t xml:space="preserve"> actividades de cooperación y asistencia técnica</w:t>
      </w:r>
      <w:r w:rsidR="0043782C">
        <w:rPr>
          <w:lang w:val="es-ES_tradnl"/>
        </w:rPr>
        <w:t>s</w:t>
      </w:r>
      <w:r w:rsidR="0043782C" w:rsidRPr="0043782C">
        <w:rPr>
          <w:lang w:val="es-ES_tradnl"/>
        </w:rPr>
        <w:t>, principalmente para los países en desarrollo y los países necesitados</w:t>
      </w:r>
      <w:r w:rsidR="002217AC" w:rsidRPr="00552E2E">
        <w:rPr>
          <w:color w:val="000000"/>
          <w:lang w:val="es-ES_tradnl"/>
        </w:rPr>
        <w:t>.</w:t>
      </w:r>
    </w:p>
    <w:p w14:paraId="58B2A416" w14:textId="77777777" w:rsidR="00DD7E6B" w:rsidRPr="00552E2E" w:rsidRDefault="00DD7E6B" w:rsidP="00411C49">
      <w:pPr>
        <w:pStyle w:val="Reasons"/>
        <w:rPr>
          <w:lang w:val="es-ES_tradnl"/>
        </w:rPr>
      </w:pPr>
    </w:p>
    <w:p w14:paraId="786E1352" w14:textId="712F6A5D" w:rsidR="00DD7E6B" w:rsidRDefault="00DD7E6B" w:rsidP="00E715FC">
      <w:pPr>
        <w:jc w:val="center"/>
        <w:rPr>
          <w:lang w:val="es-ES_tradnl"/>
        </w:rPr>
      </w:pPr>
      <w:r w:rsidRPr="00552E2E">
        <w:rPr>
          <w:lang w:val="es-ES_tradnl"/>
        </w:rPr>
        <w:t>______________</w:t>
      </w:r>
    </w:p>
    <w:sectPr w:rsidR="00DD7E6B" w:rsidSect="00361097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8CAD" w14:textId="77777777" w:rsidR="001A1C60" w:rsidRDefault="001A1C60">
      <w:r>
        <w:separator/>
      </w:r>
    </w:p>
  </w:endnote>
  <w:endnote w:type="continuationSeparator" w:id="0">
    <w:p w14:paraId="2AB0E529" w14:textId="77777777" w:rsidR="001A1C60" w:rsidRDefault="001A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B270" w14:textId="128ED075" w:rsidR="00213435" w:rsidRPr="001452C4" w:rsidRDefault="00213435">
    <w:pPr>
      <w:pStyle w:val="Footer"/>
      <w:rPr>
        <w:color w:val="FFFFFF" w:themeColor="background1"/>
        <w:lang w:val="de-DE"/>
      </w:rPr>
    </w:pPr>
    <w:r w:rsidRPr="001452C4">
      <w:rPr>
        <w:color w:val="FFFFFF" w:themeColor="background1"/>
      </w:rPr>
      <w:fldChar w:fldCharType="begin"/>
    </w:r>
    <w:r w:rsidRPr="001452C4">
      <w:rPr>
        <w:color w:val="FFFFFF" w:themeColor="background1"/>
        <w:lang w:val="de-DE"/>
      </w:rPr>
      <w:instrText xml:space="preserve"> FILENAME \p \* MERGEFORMAT </w:instrText>
    </w:r>
    <w:r w:rsidRPr="001452C4">
      <w:rPr>
        <w:color w:val="FFFFFF" w:themeColor="background1"/>
      </w:rPr>
      <w:fldChar w:fldCharType="separate"/>
    </w:r>
    <w:r w:rsidR="00F10066" w:rsidRPr="001452C4">
      <w:rPr>
        <w:color w:val="FFFFFF" w:themeColor="background1"/>
        <w:lang w:val="de-DE"/>
      </w:rPr>
      <w:t>P:\ESP\SG\CONF-SG\PP22\000\068ADD16S.docx</w:t>
    </w:r>
    <w:r w:rsidRPr="001452C4">
      <w:rPr>
        <w:color w:val="FFFFFF" w:themeColor="background1"/>
      </w:rPr>
      <w:fldChar w:fldCharType="end"/>
    </w:r>
    <w:r w:rsidRPr="001452C4">
      <w:rPr>
        <w:color w:val="FFFFFF" w:themeColor="background1"/>
        <w:lang w:val="de-DE"/>
      </w:rPr>
      <w:t xml:space="preserve"> (510830)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ACBBC" w14:textId="77777777"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0776A538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26BD" w14:textId="77777777" w:rsidR="001A1C60" w:rsidRDefault="001A1C60">
      <w:r>
        <w:t>____________________</w:t>
      </w:r>
    </w:p>
  </w:footnote>
  <w:footnote w:type="continuationSeparator" w:id="0">
    <w:p w14:paraId="6CB3B305" w14:textId="77777777" w:rsidR="001A1C60" w:rsidRDefault="001A1C60">
      <w:r>
        <w:continuationSeparator/>
      </w:r>
    </w:p>
  </w:footnote>
  <w:footnote w:id="1">
    <w:p w14:paraId="5954DACD" w14:textId="22DE7DBB" w:rsidR="004A7B92" w:rsidRPr="00367E2C" w:rsidRDefault="004A7B92" w:rsidP="004A7B92">
      <w:pPr>
        <w:pStyle w:val="FootnoteText"/>
        <w:rPr>
          <w:lang w:val="es-MX"/>
        </w:rPr>
      </w:pPr>
      <w:r w:rsidRPr="00367E2C">
        <w:rPr>
          <w:rStyle w:val="FootnoteReference"/>
          <w:lang w:val="es-MX"/>
        </w:rPr>
        <w:t>1</w:t>
      </w:r>
      <w:r w:rsidRPr="00367E2C">
        <w:rPr>
          <w:lang w:val="es-MX"/>
        </w:rPr>
        <w:t xml:space="preserve"> </w:t>
      </w:r>
      <w:r w:rsidRPr="00367E2C">
        <w:rPr>
          <w:lang w:val="es-MX"/>
        </w:rPr>
        <w:tab/>
      </w:r>
      <w:r w:rsidR="00367E2C" w:rsidRPr="00367E2C">
        <w:rPr>
          <w:lang w:val="es-MX"/>
        </w:rPr>
        <w:t>Este término comprende los países menos adelantados, los pequeños Estados insulares en desarrollo, los países en desarrollo sin litoral y los paí</w:t>
      </w:r>
      <w:r w:rsidR="00367E2C">
        <w:rPr>
          <w:lang w:val="es-MX"/>
        </w:rPr>
        <w:t>ses con economías en transición</w:t>
      </w:r>
      <w:r w:rsidRPr="00367E2C">
        <w:rPr>
          <w:lang w:val="es-MX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EFCF" w14:textId="2A029ECB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7F285A">
      <w:rPr>
        <w:noProof/>
      </w:rPr>
      <w:t>3</w:t>
    </w:r>
    <w:r>
      <w:fldChar w:fldCharType="end"/>
    </w:r>
  </w:p>
  <w:p w14:paraId="33CBC5D2" w14:textId="269D0888" w:rsidR="00CE1B90" w:rsidRDefault="00CE1B90" w:rsidP="004F7925">
    <w:pPr>
      <w:pStyle w:val="Header"/>
    </w:pPr>
    <w:r>
      <w:t>PP</w:t>
    </w:r>
    <w:r w:rsidR="000235EC">
      <w:t>22</w:t>
    </w:r>
    <w:r>
      <w:t>/68(Add.16)-</w:t>
    </w:r>
    <w:r w:rsidR="00CC31DC"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35EC"/>
    <w:rsid w:val="000369F5"/>
    <w:rsid w:val="00041924"/>
    <w:rsid w:val="000507C1"/>
    <w:rsid w:val="00053B97"/>
    <w:rsid w:val="00071011"/>
    <w:rsid w:val="00082EB9"/>
    <w:rsid w:val="000842DF"/>
    <w:rsid w:val="0008540E"/>
    <w:rsid w:val="00086764"/>
    <w:rsid w:val="00094B4F"/>
    <w:rsid w:val="000A1015"/>
    <w:rsid w:val="000B01A6"/>
    <w:rsid w:val="000B03F9"/>
    <w:rsid w:val="000B0A77"/>
    <w:rsid w:val="000B0D6C"/>
    <w:rsid w:val="000B2AF1"/>
    <w:rsid w:val="000B51CC"/>
    <w:rsid w:val="000B5BB9"/>
    <w:rsid w:val="000B6B9F"/>
    <w:rsid w:val="000B7152"/>
    <w:rsid w:val="000B7BE5"/>
    <w:rsid w:val="000C4233"/>
    <w:rsid w:val="000C4701"/>
    <w:rsid w:val="000D2929"/>
    <w:rsid w:val="000D49B6"/>
    <w:rsid w:val="000E4C7A"/>
    <w:rsid w:val="000E5E15"/>
    <w:rsid w:val="000F1B5F"/>
    <w:rsid w:val="000F5A9A"/>
    <w:rsid w:val="000F66D4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279"/>
    <w:rsid w:val="0014085E"/>
    <w:rsid w:val="00140FF0"/>
    <w:rsid w:val="00142F28"/>
    <w:rsid w:val="001452C4"/>
    <w:rsid w:val="00146057"/>
    <w:rsid w:val="001513DE"/>
    <w:rsid w:val="00156876"/>
    <w:rsid w:val="0016633C"/>
    <w:rsid w:val="00171990"/>
    <w:rsid w:val="00186590"/>
    <w:rsid w:val="00195B70"/>
    <w:rsid w:val="001A0EEB"/>
    <w:rsid w:val="001A16ED"/>
    <w:rsid w:val="001A18E2"/>
    <w:rsid w:val="001A1C60"/>
    <w:rsid w:val="001B18AB"/>
    <w:rsid w:val="001B1D91"/>
    <w:rsid w:val="001B70D1"/>
    <w:rsid w:val="001C3804"/>
    <w:rsid w:val="001D3322"/>
    <w:rsid w:val="001D593E"/>
    <w:rsid w:val="001E01A5"/>
    <w:rsid w:val="001E1252"/>
    <w:rsid w:val="001E18AB"/>
    <w:rsid w:val="001E1C8F"/>
    <w:rsid w:val="001E6005"/>
    <w:rsid w:val="002115E0"/>
    <w:rsid w:val="00213435"/>
    <w:rsid w:val="00215F12"/>
    <w:rsid w:val="002217AC"/>
    <w:rsid w:val="002228E6"/>
    <w:rsid w:val="00232B31"/>
    <w:rsid w:val="00233F37"/>
    <w:rsid w:val="00235A3B"/>
    <w:rsid w:val="00243BE4"/>
    <w:rsid w:val="00257188"/>
    <w:rsid w:val="002578B4"/>
    <w:rsid w:val="00265EB4"/>
    <w:rsid w:val="00267D12"/>
    <w:rsid w:val="00281792"/>
    <w:rsid w:val="0028799E"/>
    <w:rsid w:val="00287E7A"/>
    <w:rsid w:val="002962A8"/>
    <w:rsid w:val="002A56C0"/>
    <w:rsid w:val="002A7E23"/>
    <w:rsid w:val="002B3082"/>
    <w:rsid w:val="002B5B70"/>
    <w:rsid w:val="002B64D3"/>
    <w:rsid w:val="002B7E6E"/>
    <w:rsid w:val="002C24F7"/>
    <w:rsid w:val="002E0BEE"/>
    <w:rsid w:val="002E4B2A"/>
    <w:rsid w:val="002E51C0"/>
    <w:rsid w:val="002E77F4"/>
    <w:rsid w:val="002F0159"/>
    <w:rsid w:val="002F36B9"/>
    <w:rsid w:val="002F5FA2"/>
    <w:rsid w:val="002F6659"/>
    <w:rsid w:val="00306F80"/>
    <w:rsid w:val="00307790"/>
    <w:rsid w:val="003126B0"/>
    <w:rsid w:val="00314127"/>
    <w:rsid w:val="00314C12"/>
    <w:rsid w:val="00315832"/>
    <w:rsid w:val="00317561"/>
    <w:rsid w:val="0032246D"/>
    <w:rsid w:val="00322BD3"/>
    <w:rsid w:val="003261C3"/>
    <w:rsid w:val="003354FC"/>
    <w:rsid w:val="003443B9"/>
    <w:rsid w:val="003453DA"/>
    <w:rsid w:val="003541AD"/>
    <w:rsid w:val="00357754"/>
    <w:rsid w:val="003578E4"/>
    <w:rsid w:val="0036016E"/>
    <w:rsid w:val="00361097"/>
    <w:rsid w:val="00367E2C"/>
    <w:rsid w:val="00373A0D"/>
    <w:rsid w:val="003740BC"/>
    <w:rsid w:val="00375076"/>
    <w:rsid w:val="00375BBA"/>
    <w:rsid w:val="00377D6B"/>
    <w:rsid w:val="0038070D"/>
    <w:rsid w:val="003826EA"/>
    <w:rsid w:val="00395CE4"/>
    <w:rsid w:val="003A105C"/>
    <w:rsid w:val="003A19D9"/>
    <w:rsid w:val="003A32AD"/>
    <w:rsid w:val="003A3938"/>
    <w:rsid w:val="003A4E67"/>
    <w:rsid w:val="003A5FFB"/>
    <w:rsid w:val="003A7FB6"/>
    <w:rsid w:val="003B3751"/>
    <w:rsid w:val="003B3FA3"/>
    <w:rsid w:val="003D7B90"/>
    <w:rsid w:val="003E28E6"/>
    <w:rsid w:val="003F0763"/>
    <w:rsid w:val="003F2121"/>
    <w:rsid w:val="003F5771"/>
    <w:rsid w:val="003F77E8"/>
    <w:rsid w:val="004014B0"/>
    <w:rsid w:val="004059B0"/>
    <w:rsid w:val="00414A88"/>
    <w:rsid w:val="00426AC1"/>
    <w:rsid w:val="004321DC"/>
    <w:rsid w:val="00435AA4"/>
    <w:rsid w:val="00435EA8"/>
    <w:rsid w:val="004360BB"/>
    <w:rsid w:val="0043782C"/>
    <w:rsid w:val="0044050B"/>
    <w:rsid w:val="0045533C"/>
    <w:rsid w:val="004606DA"/>
    <w:rsid w:val="00463092"/>
    <w:rsid w:val="00464678"/>
    <w:rsid w:val="00466AF8"/>
    <w:rsid w:val="00466B55"/>
    <w:rsid w:val="004676C0"/>
    <w:rsid w:val="00474E00"/>
    <w:rsid w:val="00477637"/>
    <w:rsid w:val="004835DB"/>
    <w:rsid w:val="00484F42"/>
    <w:rsid w:val="00491D2D"/>
    <w:rsid w:val="00494797"/>
    <w:rsid w:val="004A3734"/>
    <w:rsid w:val="004A7B92"/>
    <w:rsid w:val="004B0C10"/>
    <w:rsid w:val="004B167B"/>
    <w:rsid w:val="004B2A1F"/>
    <w:rsid w:val="004B6C49"/>
    <w:rsid w:val="004C19D7"/>
    <w:rsid w:val="004C297B"/>
    <w:rsid w:val="004C345C"/>
    <w:rsid w:val="004C44FC"/>
    <w:rsid w:val="004C5F6B"/>
    <w:rsid w:val="004C73C9"/>
    <w:rsid w:val="004D79CB"/>
    <w:rsid w:val="004E01FA"/>
    <w:rsid w:val="004E4505"/>
    <w:rsid w:val="004E4D0F"/>
    <w:rsid w:val="004E555C"/>
    <w:rsid w:val="004E6764"/>
    <w:rsid w:val="004F041D"/>
    <w:rsid w:val="004F1C55"/>
    <w:rsid w:val="004F7925"/>
    <w:rsid w:val="00504FE5"/>
    <w:rsid w:val="00507348"/>
    <w:rsid w:val="0051595D"/>
    <w:rsid w:val="00522C97"/>
    <w:rsid w:val="005356FD"/>
    <w:rsid w:val="00542974"/>
    <w:rsid w:val="00544B79"/>
    <w:rsid w:val="00547D75"/>
    <w:rsid w:val="00551C8B"/>
    <w:rsid w:val="00552E2E"/>
    <w:rsid w:val="00554E24"/>
    <w:rsid w:val="00555A0F"/>
    <w:rsid w:val="00567130"/>
    <w:rsid w:val="0057034B"/>
    <w:rsid w:val="00571558"/>
    <w:rsid w:val="00581E8F"/>
    <w:rsid w:val="00586A98"/>
    <w:rsid w:val="00591C15"/>
    <w:rsid w:val="005927A4"/>
    <w:rsid w:val="00596B48"/>
    <w:rsid w:val="005A193B"/>
    <w:rsid w:val="005A32A5"/>
    <w:rsid w:val="005B0973"/>
    <w:rsid w:val="005B10E8"/>
    <w:rsid w:val="005B39A5"/>
    <w:rsid w:val="005B5026"/>
    <w:rsid w:val="005B661F"/>
    <w:rsid w:val="005C2438"/>
    <w:rsid w:val="005C3315"/>
    <w:rsid w:val="005C47AC"/>
    <w:rsid w:val="005E1CC3"/>
    <w:rsid w:val="005E3BFC"/>
    <w:rsid w:val="005E4C80"/>
    <w:rsid w:val="005E6274"/>
    <w:rsid w:val="005F05C8"/>
    <w:rsid w:val="005F5B84"/>
    <w:rsid w:val="00604079"/>
    <w:rsid w:val="0060767F"/>
    <w:rsid w:val="00617BE4"/>
    <w:rsid w:val="00620233"/>
    <w:rsid w:val="00624164"/>
    <w:rsid w:val="00627DF4"/>
    <w:rsid w:val="006404B0"/>
    <w:rsid w:val="00642D58"/>
    <w:rsid w:val="006441C6"/>
    <w:rsid w:val="00646651"/>
    <w:rsid w:val="0066499C"/>
    <w:rsid w:val="0066740F"/>
    <w:rsid w:val="00676E68"/>
    <w:rsid w:val="006849AF"/>
    <w:rsid w:val="0069180F"/>
    <w:rsid w:val="00691F33"/>
    <w:rsid w:val="006A26DF"/>
    <w:rsid w:val="006A7108"/>
    <w:rsid w:val="006A737C"/>
    <w:rsid w:val="006B2035"/>
    <w:rsid w:val="006B40DA"/>
    <w:rsid w:val="006C41A1"/>
    <w:rsid w:val="006C5D5D"/>
    <w:rsid w:val="006E1F01"/>
    <w:rsid w:val="006E215D"/>
    <w:rsid w:val="006E57C8"/>
    <w:rsid w:val="006E70E1"/>
    <w:rsid w:val="006F10B8"/>
    <w:rsid w:val="006F565E"/>
    <w:rsid w:val="006F794B"/>
    <w:rsid w:val="00701ABB"/>
    <w:rsid w:val="00701CE2"/>
    <w:rsid w:val="00711035"/>
    <w:rsid w:val="007130ED"/>
    <w:rsid w:val="007140CF"/>
    <w:rsid w:val="0071582A"/>
    <w:rsid w:val="007165DD"/>
    <w:rsid w:val="00717E66"/>
    <w:rsid w:val="00722595"/>
    <w:rsid w:val="00726683"/>
    <w:rsid w:val="0073319E"/>
    <w:rsid w:val="00733C8A"/>
    <w:rsid w:val="00737F2E"/>
    <w:rsid w:val="0074053B"/>
    <w:rsid w:val="00745A37"/>
    <w:rsid w:val="00750829"/>
    <w:rsid w:val="007538C9"/>
    <w:rsid w:val="00753F63"/>
    <w:rsid w:val="007542C4"/>
    <w:rsid w:val="00754C0B"/>
    <w:rsid w:val="00755067"/>
    <w:rsid w:val="007561B6"/>
    <w:rsid w:val="00762A79"/>
    <w:rsid w:val="007648ED"/>
    <w:rsid w:val="007649DA"/>
    <w:rsid w:val="00765553"/>
    <w:rsid w:val="007743F3"/>
    <w:rsid w:val="00777B8B"/>
    <w:rsid w:val="0078200F"/>
    <w:rsid w:val="00787EDE"/>
    <w:rsid w:val="00794795"/>
    <w:rsid w:val="007949EA"/>
    <w:rsid w:val="00796849"/>
    <w:rsid w:val="00796DAE"/>
    <w:rsid w:val="007A59C3"/>
    <w:rsid w:val="007B0E06"/>
    <w:rsid w:val="007B30FC"/>
    <w:rsid w:val="007B550E"/>
    <w:rsid w:val="007C3643"/>
    <w:rsid w:val="007D1A1B"/>
    <w:rsid w:val="007E00D2"/>
    <w:rsid w:val="007E2AD4"/>
    <w:rsid w:val="007E3469"/>
    <w:rsid w:val="007E7B63"/>
    <w:rsid w:val="007F285A"/>
    <w:rsid w:val="00810AD6"/>
    <w:rsid w:val="00814B52"/>
    <w:rsid w:val="00814DC9"/>
    <w:rsid w:val="0081629D"/>
    <w:rsid w:val="00820D96"/>
    <w:rsid w:val="0082337D"/>
    <w:rsid w:val="0082780C"/>
    <w:rsid w:val="008333C7"/>
    <w:rsid w:val="00833E0F"/>
    <w:rsid w:val="008404FD"/>
    <w:rsid w:val="00840DE6"/>
    <w:rsid w:val="00841AB4"/>
    <w:rsid w:val="00846DBA"/>
    <w:rsid w:val="00850AEF"/>
    <w:rsid w:val="00850BEE"/>
    <w:rsid w:val="00855553"/>
    <w:rsid w:val="00855DAB"/>
    <w:rsid w:val="00860C6A"/>
    <w:rsid w:val="008611D5"/>
    <w:rsid w:val="00862826"/>
    <w:rsid w:val="00862891"/>
    <w:rsid w:val="00875048"/>
    <w:rsid w:val="00875BE1"/>
    <w:rsid w:val="00877715"/>
    <w:rsid w:val="00895CE3"/>
    <w:rsid w:val="0089603F"/>
    <w:rsid w:val="00897970"/>
    <w:rsid w:val="008B5A71"/>
    <w:rsid w:val="008B5CE2"/>
    <w:rsid w:val="008C6442"/>
    <w:rsid w:val="008D3BE2"/>
    <w:rsid w:val="008D4D98"/>
    <w:rsid w:val="008E20BE"/>
    <w:rsid w:val="008E2A7B"/>
    <w:rsid w:val="008E6E9B"/>
    <w:rsid w:val="008F2C56"/>
    <w:rsid w:val="008F3A5C"/>
    <w:rsid w:val="008F3C99"/>
    <w:rsid w:val="008F7446"/>
    <w:rsid w:val="00900D5B"/>
    <w:rsid w:val="00917D05"/>
    <w:rsid w:val="009236FE"/>
    <w:rsid w:val="00932E91"/>
    <w:rsid w:val="00936C65"/>
    <w:rsid w:val="00940E00"/>
    <w:rsid w:val="00945D4B"/>
    <w:rsid w:val="0094741F"/>
    <w:rsid w:val="00950E0F"/>
    <w:rsid w:val="00951EE0"/>
    <w:rsid w:val="0096150D"/>
    <w:rsid w:val="009630FA"/>
    <w:rsid w:val="009633B4"/>
    <w:rsid w:val="00967103"/>
    <w:rsid w:val="00967670"/>
    <w:rsid w:val="00970996"/>
    <w:rsid w:val="009800CC"/>
    <w:rsid w:val="009869BF"/>
    <w:rsid w:val="00997B80"/>
    <w:rsid w:val="009A078E"/>
    <w:rsid w:val="009A2B30"/>
    <w:rsid w:val="009A4211"/>
    <w:rsid w:val="009A47A2"/>
    <w:rsid w:val="009A6A65"/>
    <w:rsid w:val="009B1079"/>
    <w:rsid w:val="009B3DF3"/>
    <w:rsid w:val="009C0BB5"/>
    <w:rsid w:val="009C11DA"/>
    <w:rsid w:val="009C59D0"/>
    <w:rsid w:val="009E425E"/>
    <w:rsid w:val="009E4322"/>
    <w:rsid w:val="009F4384"/>
    <w:rsid w:val="009F442D"/>
    <w:rsid w:val="009F4ED9"/>
    <w:rsid w:val="009F50DA"/>
    <w:rsid w:val="00A0079E"/>
    <w:rsid w:val="00A06D56"/>
    <w:rsid w:val="00A10165"/>
    <w:rsid w:val="00A21F39"/>
    <w:rsid w:val="00A24DD1"/>
    <w:rsid w:val="00A314A2"/>
    <w:rsid w:val="00A516BB"/>
    <w:rsid w:val="00A619C5"/>
    <w:rsid w:val="00A700AB"/>
    <w:rsid w:val="00A808E1"/>
    <w:rsid w:val="00A8262F"/>
    <w:rsid w:val="00A84B32"/>
    <w:rsid w:val="00A84B3A"/>
    <w:rsid w:val="00A87124"/>
    <w:rsid w:val="00A93B71"/>
    <w:rsid w:val="00AA58B3"/>
    <w:rsid w:val="00AB0885"/>
    <w:rsid w:val="00AB0B32"/>
    <w:rsid w:val="00AB2D04"/>
    <w:rsid w:val="00AB5632"/>
    <w:rsid w:val="00AB5C39"/>
    <w:rsid w:val="00AB75A9"/>
    <w:rsid w:val="00AC4F04"/>
    <w:rsid w:val="00AD1C5C"/>
    <w:rsid w:val="00AD3A9B"/>
    <w:rsid w:val="00AD566F"/>
    <w:rsid w:val="00AF1EAB"/>
    <w:rsid w:val="00AF37EF"/>
    <w:rsid w:val="00B00A0F"/>
    <w:rsid w:val="00B04092"/>
    <w:rsid w:val="00B156F9"/>
    <w:rsid w:val="00B1733E"/>
    <w:rsid w:val="00B22286"/>
    <w:rsid w:val="00B25A86"/>
    <w:rsid w:val="00B304B9"/>
    <w:rsid w:val="00B43FC7"/>
    <w:rsid w:val="00B46D01"/>
    <w:rsid w:val="00B55E1A"/>
    <w:rsid w:val="00B57988"/>
    <w:rsid w:val="00B62032"/>
    <w:rsid w:val="00B65F8C"/>
    <w:rsid w:val="00B7263B"/>
    <w:rsid w:val="00B73F47"/>
    <w:rsid w:val="00B7638A"/>
    <w:rsid w:val="00B80BE4"/>
    <w:rsid w:val="00B80DF9"/>
    <w:rsid w:val="00B834B0"/>
    <w:rsid w:val="00B840D8"/>
    <w:rsid w:val="00B95820"/>
    <w:rsid w:val="00B96467"/>
    <w:rsid w:val="00BA0077"/>
    <w:rsid w:val="00BA154E"/>
    <w:rsid w:val="00BA37CE"/>
    <w:rsid w:val="00BA385C"/>
    <w:rsid w:val="00BA4692"/>
    <w:rsid w:val="00BB1890"/>
    <w:rsid w:val="00BB2AC7"/>
    <w:rsid w:val="00BC3FB6"/>
    <w:rsid w:val="00BC6FDB"/>
    <w:rsid w:val="00BC7DE8"/>
    <w:rsid w:val="00BE0966"/>
    <w:rsid w:val="00BE1F55"/>
    <w:rsid w:val="00BE5348"/>
    <w:rsid w:val="00BE7581"/>
    <w:rsid w:val="00BF0477"/>
    <w:rsid w:val="00BF43BA"/>
    <w:rsid w:val="00BF5722"/>
    <w:rsid w:val="00BF6268"/>
    <w:rsid w:val="00BF720B"/>
    <w:rsid w:val="00C04511"/>
    <w:rsid w:val="00C055D9"/>
    <w:rsid w:val="00C10D7B"/>
    <w:rsid w:val="00C112A3"/>
    <w:rsid w:val="00C11FE1"/>
    <w:rsid w:val="00C16846"/>
    <w:rsid w:val="00C34851"/>
    <w:rsid w:val="00C42A5B"/>
    <w:rsid w:val="00C42B0E"/>
    <w:rsid w:val="00C5419D"/>
    <w:rsid w:val="00C56038"/>
    <w:rsid w:val="00C602C9"/>
    <w:rsid w:val="00C6729F"/>
    <w:rsid w:val="00C72664"/>
    <w:rsid w:val="00C75E00"/>
    <w:rsid w:val="00C842DE"/>
    <w:rsid w:val="00C856CC"/>
    <w:rsid w:val="00C86F24"/>
    <w:rsid w:val="00C94628"/>
    <w:rsid w:val="00C96BFE"/>
    <w:rsid w:val="00CA38C9"/>
    <w:rsid w:val="00CB39AF"/>
    <w:rsid w:val="00CB4984"/>
    <w:rsid w:val="00CB5DD7"/>
    <w:rsid w:val="00CB7795"/>
    <w:rsid w:val="00CB77D5"/>
    <w:rsid w:val="00CC14F0"/>
    <w:rsid w:val="00CC31DC"/>
    <w:rsid w:val="00CE1484"/>
    <w:rsid w:val="00CE1B90"/>
    <w:rsid w:val="00CE367F"/>
    <w:rsid w:val="00CE3B0F"/>
    <w:rsid w:val="00CE40BB"/>
    <w:rsid w:val="00CF0A89"/>
    <w:rsid w:val="00CF0E96"/>
    <w:rsid w:val="00CF1C71"/>
    <w:rsid w:val="00CF510F"/>
    <w:rsid w:val="00CF6A86"/>
    <w:rsid w:val="00D0741B"/>
    <w:rsid w:val="00D07696"/>
    <w:rsid w:val="00D11956"/>
    <w:rsid w:val="00D15A98"/>
    <w:rsid w:val="00D500DC"/>
    <w:rsid w:val="00D54B39"/>
    <w:rsid w:val="00D55122"/>
    <w:rsid w:val="00D5513A"/>
    <w:rsid w:val="00D64FF3"/>
    <w:rsid w:val="00D657A2"/>
    <w:rsid w:val="00D760C8"/>
    <w:rsid w:val="00D8161E"/>
    <w:rsid w:val="00D83FFD"/>
    <w:rsid w:val="00D8451F"/>
    <w:rsid w:val="00D8617D"/>
    <w:rsid w:val="00D92563"/>
    <w:rsid w:val="00DA6B1C"/>
    <w:rsid w:val="00DC268E"/>
    <w:rsid w:val="00DC7C10"/>
    <w:rsid w:val="00DD26B1"/>
    <w:rsid w:val="00DD5177"/>
    <w:rsid w:val="00DD7E6B"/>
    <w:rsid w:val="00DE16B8"/>
    <w:rsid w:val="00DE20DF"/>
    <w:rsid w:val="00DE4CC2"/>
    <w:rsid w:val="00DF23FC"/>
    <w:rsid w:val="00DF39CD"/>
    <w:rsid w:val="00DF3BBE"/>
    <w:rsid w:val="00E0094D"/>
    <w:rsid w:val="00E07D2E"/>
    <w:rsid w:val="00E101D5"/>
    <w:rsid w:val="00E1045E"/>
    <w:rsid w:val="00E10A17"/>
    <w:rsid w:val="00E12795"/>
    <w:rsid w:val="00E13427"/>
    <w:rsid w:val="00E1374D"/>
    <w:rsid w:val="00E20134"/>
    <w:rsid w:val="00E24CB2"/>
    <w:rsid w:val="00E2618E"/>
    <w:rsid w:val="00E2753F"/>
    <w:rsid w:val="00E31D1C"/>
    <w:rsid w:val="00E32981"/>
    <w:rsid w:val="00E34312"/>
    <w:rsid w:val="00E34ACF"/>
    <w:rsid w:val="00E3536D"/>
    <w:rsid w:val="00E44456"/>
    <w:rsid w:val="00E45741"/>
    <w:rsid w:val="00E4691D"/>
    <w:rsid w:val="00E531EE"/>
    <w:rsid w:val="00E53E10"/>
    <w:rsid w:val="00E553B9"/>
    <w:rsid w:val="00E56E57"/>
    <w:rsid w:val="00E6599B"/>
    <w:rsid w:val="00E715FC"/>
    <w:rsid w:val="00E726DE"/>
    <w:rsid w:val="00E76BF3"/>
    <w:rsid w:val="00E844D5"/>
    <w:rsid w:val="00E86536"/>
    <w:rsid w:val="00E871C2"/>
    <w:rsid w:val="00EA12EA"/>
    <w:rsid w:val="00EA1BAA"/>
    <w:rsid w:val="00EA7B4C"/>
    <w:rsid w:val="00ED18C0"/>
    <w:rsid w:val="00ED401C"/>
    <w:rsid w:val="00EE333B"/>
    <w:rsid w:val="00EF2642"/>
    <w:rsid w:val="00EF3681"/>
    <w:rsid w:val="00F10066"/>
    <w:rsid w:val="00F10790"/>
    <w:rsid w:val="00F10E7C"/>
    <w:rsid w:val="00F13C1E"/>
    <w:rsid w:val="00F16F17"/>
    <w:rsid w:val="00F20BC2"/>
    <w:rsid w:val="00F2780C"/>
    <w:rsid w:val="00F342E4"/>
    <w:rsid w:val="00F35330"/>
    <w:rsid w:val="00F41C91"/>
    <w:rsid w:val="00F433A4"/>
    <w:rsid w:val="00F4421A"/>
    <w:rsid w:val="00F44B1A"/>
    <w:rsid w:val="00F47316"/>
    <w:rsid w:val="00F55DA5"/>
    <w:rsid w:val="00F62884"/>
    <w:rsid w:val="00F827CC"/>
    <w:rsid w:val="00F939C9"/>
    <w:rsid w:val="00F94BC2"/>
    <w:rsid w:val="00F95ABE"/>
    <w:rsid w:val="00F9756D"/>
    <w:rsid w:val="00FA5377"/>
    <w:rsid w:val="00FB5F12"/>
    <w:rsid w:val="00FB64A8"/>
    <w:rsid w:val="00FB668E"/>
    <w:rsid w:val="00FB795A"/>
    <w:rsid w:val="00FC0B3C"/>
    <w:rsid w:val="00FC4840"/>
    <w:rsid w:val="00FC5117"/>
    <w:rsid w:val="00FD35A8"/>
    <w:rsid w:val="00FD417F"/>
    <w:rsid w:val="00FD67F9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D8D1F3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qFormat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4C5F6B"/>
    <w:rPr>
      <w:rFonts w:ascii="Calibri" w:hAnsi="Calibr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9F4ED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F4E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F4ED9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4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4ED9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f402456-7130-41a0-99ed-eb89c2dfc08a" targetNamespace="http://schemas.microsoft.com/office/2006/metadata/properties" ma:root="true" ma:fieldsID="d41af5c836d734370eb92e7ee5f83852" ns2:_="" ns3:_="">
    <xsd:import namespace="996b2e75-67fd-4955-a3b0-5ab9934cb50b"/>
    <xsd:import namespace="ff402456-7130-41a0-99ed-eb89c2dfc08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2456-7130-41a0-99ed-eb89c2dfc08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f402456-7130-41a0-99ed-eb89c2dfc08a">DPM</DPM_x0020_Author>
    <DPM_x0020_File_x0020_name xmlns="ff402456-7130-41a0-99ed-eb89c2dfc08a">S22-PP-C-0068!A16!MSW-E</DPM_x0020_File_x0020_name>
    <DPM_x0020_Version xmlns="ff402456-7130-41a0-99ed-eb89c2dfc08a">DPM_2022.05.12.01</DPM_x0020_Version>
  </documentManagement>
</p:properties>
</file>

<file path=customXml/itemProps1.xml><?xml version="1.0" encoding="utf-8"?>
<ds:datastoreItem xmlns:ds="http://schemas.openxmlformats.org/officeDocument/2006/customXml" ds:itemID="{48E4A039-061E-41B2-8D78-CA5B933FB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f402456-7130-41a0-99ed-eb89c2dfc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ff402456-7130-41a0-99ed-eb89c2dfc0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S22-PP-C-0068!A16!MSW-E</vt:lpstr>
    </vt:vector>
  </TitlesOfParts>
  <Manager/>
  <Company/>
  <LinksUpToDate>false</LinksUpToDate>
  <CharactersWithSpaces>5460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S22-PP-C-0068!A16!MSW-E</dc:title>
  <dc:subject>Plenipotentiary Conference (PP-18)</dc:subject>
  <dc:creator>Documents Proposals Manager (DPM)</dc:creator>
  <cp:keywords>DPM_v2022.8.18.1_prod</cp:keywords>
  <cp:lastModifiedBy>Arnould, Carine</cp:lastModifiedBy>
  <cp:revision>6</cp:revision>
  <dcterms:created xsi:type="dcterms:W3CDTF">2022-09-13T14:23:00Z</dcterms:created>
  <dcterms:modified xsi:type="dcterms:W3CDTF">2022-09-19T12:35:00Z</dcterms:modified>
  <cp:category>Conference document</cp:category>
</cp:coreProperties>
</file>