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96AB4" w:rsidRPr="001C6AA0" w14:paraId="4D489567" w14:textId="77777777" w:rsidTr="00443C08">
        <w:trPr>
          <w:cantSplit/>
        </w:trPr>
        <w:tc>
          <w:tcPr>
            <w:tcW w:w="6804" w:type="dxa"/>
          </w:tcPr>
          <w:p w14:paraId="39308501" w14:textId="77777777" w:rsidR="00F96AB4" w:rsidRPr="001C6AA0" w:rsidRDefault="00F96AB4" w:rsidP="00513BE3">
            <w:pPr>
              <w:spacing w:before="240" w:after="48" w:line="240" w:lineRule="atLeast"/>
              <w:rPr>
                <w:rFonts w:cstheme="minorHAnsi"/>
                <w:b/>
                <w:bCs/>
                <w:position w:val="6"/>
                <w:lang w:val="ru-RU"/>
              </w:rPr>
            </w:pPr>
            <w:bookmarkStart w:id="0" w:name="dbreak"/>
            <w:bookmarkEnd w:id="0"/>
            <w:r w:rsidRPr="001C6AA0">
              <w:rPr>
                <w:b/>
                <w:bCs/>
                <w:sz w:val="28"/>
                <w:szCs w:val="28"/>
                <w:lang w:val="ru-RU"/>
              </w:rPr>
              <w:t>Полномочная конференция (ПК-</w:t>
            </w:r>
            <w:r w:rsidR="00513BE3" w:rsidRPr="001C6AA0">
              <w:rPr>
                <w:b/>
                <w:bCs/>
                <w:sz w:val="28"/>
                <w:szCs w:val="28"/>
                <w:lang w:val="ru-RU"/>
              </w:rPr>
              <w:t>22</w:t>
            </w:r>
            <w:r w:rsidRPr="001C6AA0">
              <w:rPr>
                <w:b/>
                <w:bCs/>
                <w:sz w:val="28"/>
                <w:szCs w:val="28"/>
                <w:lang w:val="ru-RU"/>
              </w:rPr>
              <w:t>)</w:t>
            </w:r>
            <w:r w:rsidRPr="001C6AA0">
              <w:rPr>
                <w:rFonts w:ascii="Verdana" w:hAnsi="Verdana"/>
                <w:szCs w:val="22"/>
                <w:lang w:val="ru-RU"/>
              </w:rPr>
              <w:br/>
            </w:r>
            <w:r w:rsidR="00513BE3" w:rsidRPr="001C6AA0">
              <w:rPr>
                <w:b/>
                <w:bCs/>
                <w:lang w:val="ru-RU"/>
              </w:rPr>
              <w:t>Бухарест</w:t>
            </w:r>
            <w:r w:rsidRPr="001C6AA0">
              <w:rPr>
                <w:b/>
                <w:bCs/>
                <w:lang w:val="ru-RU"/>
              </w:rPr>
              <w:t>, 2</w:t>
            </w:r>
            <w:r w:rsidR="00513BE3" w:rsidRPr="001C6AA0">
              <w:rPr>
                <w:b/>
                <w:bCs/>
                <w:lang w:val="ru-RU"/>
              </w:rPr>
              <w:t>6</w:t>
            </w:r>
            <w:r w:rsidRPr="001C6AA0">
              <w:rPr>
                <w:b/>
                <w:bCs/>
                <w:lang w:val="ru-RU"/>
              </w:rPr>
              <w:t xml:space="preserve"> </w:t>
            </w:r>
            <w:r w:rsidR="00513BE3" w:rsidRPr="001C6AA0">
              <w:rPr>
                <w:b/>
                <w:bCs/>
                <w:lang w:val="ru-RU"/>
              </w:rPr>
              <w:t xml:space="preserve">сентября </w:t>
            </w:r>
            <w:r w:rsidRPr="001C6AA0">
              <w:rPr>
                <w:b/>
                <w:bCs/>
                <w:lang w:val="ru-RU"/>
              </w:rPr>
              <w:t xml:space="preserve">– </w:t>
            </w:r>
            <w:r w:rsidR="002D024B" w:rsidRPr="001C6AA0">
              <w:rPr>
                <w:b/>
                <w:bCs/>
                <w:lang w:val="ru-RU"/>
              </w:rPr>
              <w:t>1</w:t>
            </w:r>
            <w:r w:rsidR="00513BE3" w:rsidRPr="001C6AA0">
              <w:rPr>
                <w:b/>
                <w:bCs/>
                <w:lang w:val="ru-RU"/>
              </w:rPr>
              <w:t>4</w:t>
            </w:r>
            <w:r w:rsidRPr="001C6AA0">
              <w:rPr>
                <w:b/>
                <w:bCs/>
                <w:lang w:val="ru-RU"/>
              </w:rPr>
              <w:t xml:space="preserve"> </w:t>
            </w:r>
            <w:r w:rsidR="00513BE3" w:rsidRPr="001C6AA0">
              <w:rPr>
                <w:b/>
                <w:bCs/>
                <w:lang w:val="ru-RU"/>
              </w:rPr>
              <w:t xml:space="preserve">октября </w:t>
            </w:r>
            <w:r w:rsidRPr="001C6AA0">
              <w:rPr>
                <w:b/>
                <w:bCs/>
                <w:lang w:val="ru-RU"/>
              </w:rPr>
              <w:t>20</w:t>
            </w:r>
            <w:r w:rsidR="00513BE3" w:rsidRPr="001C6AA0">
              <w:rPr>
                <w:b/>
                <w:bCs/>
                <w:lang w:val="ru-RU"/>
              </w:rPr>
              <w:t>22</w:t>
            </w:r>
            <w:r w:rsidRPr="001C6AA0">
              <w:rPr>
                <w:b/>
                <w:bCs/>
                <w:lang w:val="ru-RU"/>
              </w:rPr>
              <w:t xml:space="preserve"> г.</w:t>
            </w:r>
          </w:p>
        </w:tc>
        <w:tc>
          <w:tcPr>
            <w:tcW w:w="3227" w:type="dxa"/>
          </w:tcPr>
          <w:p w14:paraId="156B37CE" w14:textId="77777777" w:rsidR="00F96AB4" w:rsidRPr="001C6AA0" w:rsidRDefault="00513BE3" w:rsidP="00E63DAB">
            <w:pPr>
              <w:rPr>
                <w:lang w:val="ru-RU"/>
              </w:rPr>
            </w:pPr>
            <w:bookmarkStart w:id="1" w:name="ditulogo"/>
            <w:bookmarkEnd w:id="1"/>
            <w:r w:rsidRPr="001C6AA0">
              <w:rPr>
                <w:lang w:val="ru-RU" w:eastAsia="zh-CN"/>
              </w:rPr>
              <w:drawing>
                <wp:inline distT="0" distB="0" distL="0" distR="0" wp14:anchorId="686FE3A9" wp14:editId="277DC6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1C6AA0" w14:paraId="24205423" w14:textId="77777777" w:rsidTr="00443C08">
        <w:trPr>
          <w:cantSplit/>
        </w:trPr>
        <w:tc>
          <w:tcPr>
            <w:tcW w:w="6804" w:type="dxa"/>
            <w:tcBorders>
              <w:bottom w:val="single" w:sz="12" w:space="0" w:color="auto"/>
            </w:tcBorders>
          </w:tcPr>
          <w:p w14:paraId="749879C4" w14:textId="77777777" w:rsidR="00F96AB4" w:rsidRPr="001C6AA0" w:rsidRDefault="00F96AB4" w:rsidP="00E63DAB">
            <w:pPr>
              <w:spacing w:after="48" w:line="240" w:lineRule="atLeast"/>
              <w:rPr>
                <w:rFonts w:cstheme="minorHAnsi"/>
                <w:b/>
                <w:smallCaps/>
                <w:szCs w:val="22"/>
                <w:lang w:val="ru-RU"/>
              </w:rPr>
            </w:pPr>
            <w:bookmarkStart w:id="2" w:name="dhead"/>
          </w:p>
        </w:tc>
        <w:tc>
          <w:tcPr>
            <w:tcW w:w="3227" w:type="dxa"/>
            <w:tcBorders>
              <w:bottom w:val="single" w:sz="12" w:space="0" w:color="auto"/>
            </w:tcBorders>
          </w:tcPr>
          <w:p w14:paraId="18843CE1" w14:textId="77777777" w:rsidR="00F96AB4" w:rsidRPr="001C6AA0" w:rsidRDefault="00F96AB4" w:rsidP="000C68CB">
            <w:pPr>
              <w:spacing w:after="48" w:line="240" w:lineRule="atLeast"/>
              <w:rPr>
                <w:rFonts w:cstheme="minorHAnsi"/>
                <w:b/>
                <w:smallCaps/>
                <w:szCs w:val="22"/>
                <w:lang w:val="ru-RU"/>
              </w:rPr>
            </w:pPr>
          </w:p>
        </w:tc>
      </w:tr>
      <w:tr w:rsidR="00F96AB4" w:rsidRPr="001C6AA0" w14:paraId="455735F1" w14:textId="77777777" w:rsidTr="00443C08">
        <w:trPr>
          <w:cantSplit/>
        </w:trPr>
        <w:tc>
          <w:tcPr>
            <w:tcW w:w="6804" w:type="dxa"/>
            <w:tcBorders>
              <w:top w:val="single" w:sz="12" w:space="0" w:color="auto"/>
            </w:tcBorders>
          </w:tcPr>
          <w:p w14:paraId="074898BC" w14:textId="77777777" w:rsidR="00F96AB4" w:rsidRPr="001C6AA0" w:rsidRDefault="00F96AB4" w:rsidP="00066DE8">
            <w:pPr>
              <w:spacing w:before="0"/>
              <w:rPr>
                <w:rFonts w:cstheme="minorHAnsi"/>
                <w:b/>
                <w:smallCaps/>
                <w:sz w:val="18"/>
                <w:szCs w:val="22"/>
                <w:lang w:val="ru-RU"/>
              </w:rPr>
            </w:pPr>
            <w:bookmarkStart w:id="3" w:name="dspace"/>
          </w:p>
        </w:tc>
        <w:tc>
          <w:tcPr>
            <w:tcW w:w="3227" w:type="dxa"/>
            <w:tcBorders>
              <w:top w:val="single" w:sz="12" w:space="0" w:color="auto"/>
            </w:tcBorders>
          </w:tcPr>
          <w:p w14:paraId="07182BDB" w14:textId="77777777" w:rsidR="00F96AB4" w:rsidRPr="001C6AA0" w:rsidRDefault="00F96AB4" w:rsidP="00066DE8">
            <w:pPr>
              <w:spacing w:before="0"/>
              <w:rPr>
                <w:rFonts w:cstheme="minorHAnsi"/>
                <w:sz w:val="18"/>
                <w:szCs w:val="22"/>
                <w:lang w:val="ru-RU"/>
              </w:rPr>
            </w:pPr>
          </w:p>
        </w:tc>
      </w:tr>
      <w:bookmarkEnd w:id="2"/>
      <w:bookmarkEnd w:id="3"/>
      <w:tr w:rsidR="00F96AB4" w:rsidRPr="001C6AA0" w14:paraId="78B1D83C" w14:textId="77777777" w:rsidTr="00443C08">
        <w:trPr>
          <w:cantSplit/>
        </w:trPr>
        <w:tc>
          <w:tcPr>
            <w:tcW w:w="6804" w:type="dxa"/>
          </w:tcPr>
          <w:p w14:paraId="3DBD4008" w14:textId="77777777" w:rsidR="00F96AB4" w:rsidRPr="001C6AA0" w:rsidRDefault="00F96AB4" w:rsidP="00066DE8">
            <w:pPr>
              <w:pStyle w:val="Committee"/>
              <w:framePr w:hSpace="0" w:wrap="auto" w:hAnchor="text" w:yAlign="inline"/>
              <w:spacing w:after="0" w:line="240" w:lineRule="auto"/>
              <w:rPr>
                <w:lang w:val="ru-RU"/>
              </w:rPr>
            </w:pPr>
            <w:r w:rsidRPr="001C6AA0">
              <w:rPr>
                <w:lang w:val="ru-RU"/>
              </w:rPr>
              <w:t>ПЛЕНАРНОЕ ЗАСЕДАНИЕ</w:t>
            </w:r>
          </w:p>
        </w:tc>
        <w:tc>
          <w:tcPr>
            <w:tcW w:w="3227" w:type="dxa"/>
          </w:tcPr>
          <w:p w14:paraId="204E58D0" w14:textId="77777777" w:rsidR="00F96AB4" w:rsidRPr="001C6AA0" w:rsidRDefault="00F96AB4" w:rsidP="00066DE8">
            <w:pPr>
              <w:tabs>
                <w:tab w:val="left" w:pos="851"/>
              </w:tabs>
              <w:spacing w:before="0"/>
              <w:rPr>
                <w:rFonts w:cstheme="minorHAnsi"/>
                <w:b/>
                <w:szCs w:val="28"/>
                <w:lang w:val="ru-RU"/>
              </w:rPr>
            </w:pPr>
            <w:r w:rsidRPr="001C6AA0">
              <w:rPr>
                <w:rFonts w:cstheme="minorHAnsi"/>
                <w:b/>
                <w:bCs/>
                <w:szCs w:val="28"/>
                <w:lang w:val="ru-RU"/>
              </w:rPr>
              <w:t>Дополнительный документ 15</w:t>
            </w:r>
            <w:r w:rsidRPr="001C6AA0">
              <w:rPr>
                <w:rFonts w:cstheme="minorHAnsi"/>
                <w:b/>
                <w:bCs/>
                <w:szCs w:val="28"/>
                <w:lang w:val="ru-RU"/>
              </w:rPr>
              <w:br/>
              <w:t>к Документу 68</w:t>
            </w:r>
            <w:r w:rsidR="007919C2" w:rsidRPr="001C6AA0">
              <w:rPr>
                <w:rFonts w:cstheme="minorHAnsi"/>
                <w:b/>
                <w:szCs w:val="24"/>
                <w:lang w:val="ru-RU"/>
              </w:rPr>
              <w:t>-R</w:t>
            </w:r>
          </w:p>
        </w:tc>
      </w:tr>
      <w:tr w:rsidR="00F96AB4" w:rsidRPr="001C6AA0" w14:paraId="0BAF01C9" w14:textId="77777777" w:rsidTr="00443C08">
        <w:trPr>
          <w:cantSplit/>
        </w:trPr>
        <w:tc>
          <w:tcPr>
            <w:tcW w:w="6804" w:type="dxa"/>
          </w:tcPr>
          <w:p w14:paraId="59C16A3C" w14:textId="77777777" w:rsidR="00F96AB4" w:rsidRPr="001C6AA0" w:rsidRDefault="00F96AB4" w:rsidP="00066DE8">
            <w:pPr>
              <w:spacing w:before="0"/>
              <w:rPr>
                <w:rFonts w:cstheme="minorHAnsi"/>
                <w:b/>
                <w:bCs/>
                <w:szCs w:val="28"/>
                <w:lang w:val="ru-RU"/>
              </w:rPr>
            </w:pPr>
          </w:p>
        </w:tc>
        <w:tc>
          <w:tcPr>
            <w:tcW w:w="3227" w:type="dxa"/>
          </w:tcPr>
          <w:p w14:paraId="6C156420" w14:textId="77777777" w:rsidR="00F96AB4" w:rsidRPr="001C6AA0" w:rsidRDefault="00F96AB4" w:rsidP="00066DE8">
            <w:pPr>
              <w:spacing w:before="0"/>
              <w:rPr>
                <w:rFonts w:cstheme="minorHAnsi"/>
                <w:szCs w:val="28"/>
                <w:lang w:val="ru-RU"/>
              </w:rPr>
            </w:pPr>
            <w:r w:rsidRPr="001C6AA0">
              <w:rPr>
                <w:rFonts w:cstheme="minorHAnsi"/>
                <w:b/>
                <w:bCs/>
                <w:szCs w:val="28"/>
                <w:lang w:val="ru-RU"/>
              </w:rPr>
              <w:t>18 августа 2022 года</w:t>
            </w:r>
          </w:p>
        </w:tc>
      </w:tr>
      <w:tr w:rsidR="00F96AB4" w:rsidRPr="001C6AA0" w14:paraId="3F35AD37" w14:textId="77777777" w:rsidTr="00443C08">
        <w:trPr>
          <w:cantSplit/>
        </w:trPr>
        <w:tc>
          <w:tcPr>
            <w:tcW w:w="6804" w:type="dxa"/>
          </w:tcPr>
          <w:p w14:paraId="53E42DB2" w14:textId="77777777" w:rsidR="00F96AB4" w:rsidRPr="001C6AA0" w:rsidRDefault="00F96AB4" w:rsidP="00066DE8">
            <w:pPr>
              <w:spacing w:before="0"/>
              <w:rPr>
                <w:rFonts w:cstheme="minorHAnsi"/>
                <w:b/>
                <w:smallCaps/>
                <w:szCs w:val="28"/>
                <w:lang w:val="ru-RU"/>
              </w:rPr>
            </w:pPr>
          </w:p>
        </w:tc>
        <w:tc>
          <w:tcPr>
            <w:tcW w:w="3227" w:type="dxa"/>
          </w:tcPr>
          <w:p w14:paraId="73B9EFE9" w14:textId="77777777" w:rsidR="00F96AB4" w:rsidRPr="001C6AA0" w:rsidRDefault="00F96AB4" w:rsidP="00066DE8">
            <w:pPr>
              <w:spacing w:before="0"/>
              <w:rPr>
                <w:rFonts w:cstheme="minorHAnsi"/>
                <w:szCs w:val="28"/>
                <w:lang w:val="ru-RU"/>
              </w:rPr>
            </w:pPr>
            <w:r w:rsidRPr="001C6AA0">
              <w:rPr>
                <w:rFonts w:cstheme="minorHAnsi"/>
                <w:b/>
                <w:bCs/>
                <w:szCs w:val="28"/>
                <w:lang w:val="ru-RU"/>
              </w:rPr>
              <w:t>Оригинал: русский</w:t>
            </w:r>
          </w:p>
        </w:tc>
      </w:tr>
      <w:tr w:rsidR="00F96AB4" w:rsidRPr="001C6AA0" w14:paraId="6509DD65" w14:textId="77777777" w:rsidTr="00E63DAB">
        <w:trPr>
          <w:cantSplit/>
        </w:trPr>
        <w:tc>
          <w:tcPr>
            <w:tcW w:w="10031" w:type="dxa"/>
            <w:gridSpan w:val="2"/>
          </w:tcPr>
          <w:p w14:paraId="0942DC4B" w14:textId="77777777" w:rsidR="00F96AB4" w:rsidRPr="001C6AA0" w:rsidRDefault="00F96AB4" w:rsidP="00066DE8">
            <w:pPr>
              <w:spacing w:before="0"/>
              <w:rPr>
                <w:rFonts w:ascii="Verdana" w:hAnsi="Verdana"/>
                <w:b/>
                <w:bCs/>
                <w:sz w:val="18"/>
                <w:szCs w:val="22"/>
                <w:lang w:val="ru-RU"/>
              </w:rPr>
            </w:pPr>
          </w:p>
        </w:tc>
      </w:tr>
      <w:tr w:rsidR="00F96AB4" w:rsidRPr="001C6AA0" w14:paraId="1E082825" w14:textId="77777777" w:rsidTr="00E63DAB">
        <w:trPr>
          <w:cantSplit/>
        </w:trPr>
        <w:tc>
          <w:tcPr>
            <w:tcW w:w="10031" w:type="dxa"/>
            <w:gridSpan w:val="2"/>
          </w:tcPr>
          <w:p w14:paraId="467F55B7" w14:textId="658E02F7" w:rsidR="00F96AB4" w:rsidRPr="001C6AA0" w:rsidRDefault="00F96AB4" w:rsidP="007F1EC7">
            <w:pPr>
              <w:pStyle w:val="Source"/>
              <w:framePr w:hSpace="0" w:wrap="auto" w:hAnchor="text" w:yAlign="inline"/>
              <w:rPr>
                <w:lang w:val="ru-RU"/>
              </w:rPr>
            </w:pPr>
            <w:bookmarkStart w:id="4" w:name="dsource" w:colFirst="0" w:colLast="0"/>
            <w:r w:rsidRPr="001C6AA0">
              <w:rPr>
                <w:lang w:val="ru-RU"/>
              </w:rPr>
              <w:t xml:space="preserve">Государства – Члены МСЭ, </w:t>
            </w:r>
            <w:r w:rsidR="00BE0C43" w:rsidRPr="001C6AA0">
              <w:rPr>
                <w:lang w:val="ru-RU"/>
              </w:rPr>
              <w:t xml:space="preserve">члены </w:t>
            </w:r>
            <w:r w:rsidRPr="001C6AA0">
              <w:rPr>
                <w:lang w:val="ru-RU"/>
              </w:rPr>
              <w:t>Регионального содружества в области связи (РСС)</w:t>
            </w:r>
          </w:p>
        </w:tc>
      </w:tr>
      <w:tr w:rsidR="00F96AB4" w:rsidRPr="001C6AA0" w14:paraId="1C77830E" w14:textId="77777777" w:rsidTr="00E63DAB">
        <w:trPr>
          <w:cantSplit/>
        </w:trPr>
        <w:tc>
          <w:tcPr>
            <w:tcW w:w="10031" w:type="dxa"/>
            <w:gridSpan w:val="2"/>
          </w:tcPr>
          <w:p w14:paraId="39F8E50A" w14:textId="77777777" w:rsidR="00F96AB4" w:rsidRPr="001C6AA0" w:rsidRDefault="00F96AB4" w:rsidP="007F1EC7">
            <w:pPr>
              <w:pStyle w:val="Title1"/>
              <w:framePr w:hSpace="0" w:wrap="auto" w:hAnchor="text" w:yAlign="inline"/>
              <w:rPr>
                <w:lang w:val="ru-RU"/>
              </w:rPr>
            </w:pPr>
            <w:bookmarkStart w:id="5" w:name="dtitle1" w:colFirst="0" w:colLast="0"/>
            <w:bookmarkEnd w:id="4"/>
            <w:r w:rsidRPr="001C6AA0">
              <w:rPr>
                <w:lang w:val="ru-RU"/>
              </w:rPr>
              <w:t>ПРОЕКТ НОВОЙ РЕЗОЛЮЦИИ ПК-22 [СТАТЬЯ 48 (УСТАВА МСЭ)]</w:t>
            </w:r>
          </w:p>
        </w:tc>
      </w:tr>
      <w:tr w:rsidR="00F96AB4" w:rsidRPr="001C6AA0" w14:paraId="78F7A7B3" w14:textId="77777777" w:rsidTr="00E63DAB">
        <w:trPr>
          <w:cantSplit/>
        </w:trPr>
        <w:tc>
          <w:tcPr>
            <w:tcW w:w="10031" w:type="dxa"/>
            <w:gridSpan w:val="2"/>
          </w:tcPr>
          <w:p w14:paraId="2FEB826F" w14:textId="77777777" w:rsidR="00F96AB4" w:rsidRPr="001C6AA0" w:rsidRDefault="00F96AB4" w:rsidP="007F1EC7">
            <w:pPr>
              <w:pStyle w:val="Title2"/>
              <w:framePr w:hSpace="0" w:wrap="auto" w:hAnchor="text" w:yAlign="inline"/>
              <w:rPr>
                <w:lang w:val="ru-RU"/>
              </w:rPr>
            </w:pPr>
            <w:bookmarkStart w:id="6" w:name="dtitle2" w:colFirst="0" w:colLast="0"/>
            <w:bookmarkEnd w:id="5"/>
            <w:r w:rsidRPr="001C6AA0">
              <w:rPr>
                <w:lang w:val="ru-RU"/>
              </w:rPr>
              <w:t>ИСПОЛЬЗОВАНИЕ ЧАСТОТНЫХ ПРИСВОЕНИЙ ДЛЯ ВОЕННОГО РАДИООБОРУДОВАНИЯ</w:t>
            </w:r>
          </w:p>
        </w:tc>
      </w:tr>
      <w:tr w:rsidR="00F96AB4" w:rsidRPr="001C6AA0" w14:paraId="4A0FC107" w14:textId="77777777" w:rsidTr="00E63DAB">
        <w:trPr>
          <w:cantSplit/>
        </w:trPr>
        <w:tc>
          <w:tcPr>
            <w:tcW w:w="10031" w:type="dxa"/>
            <w:gridSpan w:val="2"/>
          </w:tcPr>
          <w:p w14:paraId="4FE973E4" w14:textId="77777777" w:rsidR="00F96AB4" w:rsidRPr="001C6AA0" w:rsidRDefault="00F96AB4" w:rsidP="007F1EC7">
            <w:pPr>
              <w:pStyle w:val="Agendaitem"/>
              <w:spacing w:before="120"/>
              <w:rPr>
                <w:lang w:val="ru-RU"/>
              </w:rPr>
            </w:pPr>
            <w:bookmarkStart w:id="7" w:name="dtitle3" w:colFirst="0" w:colLast="0"/>
            <w:bookmarkEnd w:id="6"/>
          </w:p>
        </w:tc>
      </w:tr>
      <w:bookmarkEnd w:id="7"/>
    </w:tbl>
    <w:p w14:paraId="596D0328" w14:textId="46950656" w:rsidR="00F96AB4" w:rsidRPr="001C6AA0" w:rsidRDefault="00F96AB4">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E0C43" w:rsidRPr="001C6AA0" w14:paraId="70441142" w14:textId="77777777" w:rsidTr="001B768D">
        <w:trPr>
          <w:trHeight w:val="3372"/>
        </w:trPr>
        <w:tc>
          <w:tcPr>
            <w:tcW w:w="8080" w:type="dxa"/>
            <w:tcBorders>
              <w:top w:val="single" w:sz="12" w:space="0" w:color="auto"/>
              <w:left w:val="single" w:sz="12" w:space="0" w:color="auto"/>
              <w:bottom w:val="single" w:sz="12" w:space="0" w:color="auto"/>
              <w:right w:val="single" w:sz="12" w:space="0" w:color="auto"/>
            </w:tcBorders>
          </w:tcPr>
          <w:p w14:paraId="2D8311D9" w14:textId="77777777" w:rsidR="00BE0C43" w:rsidRPr="001C6AA0" w:rsidRDefault="00BE0C43" w:rsidP="007F1EC7">
            <w:pPr>
              <w:pStyle w:val="Headingb"/>
              <w:keepNext w:val="0"/>
              <w:keepLines w:val="0"/>
              <w:rPr>
                <w:lang w:val="ru-RU"/>
              </w:rPr>
            </w:pPr>
            <w:bookmarkStart w:id="8" w:name="_Toc305764050"/>
            <w:r w:rsidRPr="001C6AA0">
              <w:rPr>
                <w:lang w:val="ru-RU"/>
              </w:rPr>
              <w:t>Резюме</w:t>
            </w:r>
            <w:bookmarkEnd w:id="8"/>
          </w:p>
          <w:p w14:paraId="185086A7" w14:textId="49BBE4E6" w:rsidR="00BE0C43" w:rsidRPr="001C6AA0" w:rsidRDefault="00BE0C43" w:rsidP="001B768D">
            <w:pPr>
              <w:rPr>
                <w:lang w:val="ru-RU"/>
              </w:rPr>
            </w:pPr>
            <w:r w:rsidRPr="001C6AA0">
              <w:rPr>
                <w:lang w:val="ru-RU"/>
              </w:rPr>
              <w:t>В соответствии с пунктом 9.3 повестки дня ВКР-19 Конференция получила от Радиорегламентарного комитета (РРК) Документ 15, озаглавленный "Отчет Радиорегламентарного комитета по Резолюции 80 (Пересм. ВКР-07)". В этом Отчете кратко представлена деятельность РРК в связи с Резолюцией 80 (Пересм. ВКР-07) "Надлежащее исполнение в отношении применения принципов Устава". В Отчете для ВКР-19 Комитет представляет обновленную версию Отчета для ВКР</w:t>
            </w:r>
            <w:r w:rsidRPr="001C6AA0">
              <w:rPr>
                <w:lang w:val="ru-RU"/>
              </w:rPr>
              <w:noBreakHyphen/>
              <w:t>15, уделяя основное внимание своей деятельности по решению проблем, с которыми Комитет и Бюро радиосвязи сталкивались в период после ВКР-15 и которые влияют на реализацию принципов, содержащихся в Статье 44 Устава МСЭ (У) и п. 0.3 Преамбулы к Регламенту радиосвязи.</w:t>
            </w:r>
          </w:p>
          <w:p w14:paraId="644A7FD2" w14:textId="77777777" w:rsidR="00BE0C43" w:rsidRPr="001C6AA0" w:rsidRDefault="00BE0C43" w:rsidP="001B768D">
            <w:pPr>
              <w:rPr>
                <w:lang w:val="ru-RU"/>
              </w:rPr>
            </w:pPr>
            <w:r w:rsidRPr="001C6AA0">
              <w:rPr>
                <w:lang w:val="ru-RU"/>
              </w:rPr>
              <w:t xml:space="preserve">В Отчете Комитета, в частности, говорится следующее: "Комитет рассмотрел поднятые некоторыми администрациями вопросы, касающиеся уместности применения другими администрациями Статьи 48 Устава МСЭ. Предполагаемые случаи несоблюдения Статьи 48 Устава, которые были представлены Комитету, были резюмированы следующим образом: </w:t>
            </w:r>
          </w:p>
          <w:p w14:paraId="19167C40" w14:textId="77777777" w:rsidR="00BE0C43" w:rsidRPr="001C6AA0" w:rsidRDefault="00BE0C43" w:rsidP="00BE0C43">
            <w:pPr>
              <w:spacing w:before="80"/>
              <w:ind w:left="567" w:hanging="567"/>
              <w:rPr>
                <w:lang w:val="ru-RU"/>
              </w:rPr>
            </w:pPr>
            <w:r w:rsidRPr="001C6AA0">
              <w:rPr>
                <w:lang w:val="ru-RU"/>
              </w:rPr>
              <w:t>−</w:t>
            </w:r>
            <w:r w:rsidRPr="001C6AA0">
              <w:rPr>
                <w:lang w:val="ru-RU"/>
              </w:rPr>
              <w:tab/>
              <w:t xml:space="preserve">Администрации, ссылающиеся на Статью 48 Устава после того, как Бюро начало исследование в соответствии с п. 13.6 РР, с тем чтобы избежать его применения и сохранить права в Международном справочном регистре частот. </w:t>
            </w:r>
          </w:p>
          <w:p w14:paraId="0EA95861" w14:textId="77777777" w:rsidR="00BE0C43" w:rsidRPr="001C6AA0" w:rsidRDefault="00BE0C43" w:rsidP="00BE0C43">
            <w:pPr>
              <w:spacing w:before="80"/>
              <w:ind w:left="567" w:hanging="567"/>
              <w:rPr>
                <w:lang w:val="ru-RU"/>
              </w:rPr>
            </w:pPr>
            <w:r w:rsidRPr="001C6AA0">
              <w:rPr>
                <w:lang w:val="ru-RU"/>
              </w:rPr>
              <w:t>−</w:t>
            </w:r>
            <w:r w:rsidRPr="001C6AA0">
              <w:rPr>
                <w:lang w:val="ru-RU"/>
              </w:rPr>
              <w:tab/>
              <w:t>Администрации, ссылающиеся на Статью 48 Устава в отношении частотных присвоений, не используемых в военных целях".</w:t>
            </w:r>
          </w:p>
          <w:p w14:paraId="11B02C66" w14:textId="77777777" w:rsidR="00BE0C43" w:rsidRPr="001C6AA0" w:rsidRDefault="00BE0C43" w:rsidP="001B768D">
            <w:pPr>
              <w:rPr>
                <w:lang w:val="ru-RU"/>
              </w:rPr>
            </w:pPr>
            <w:r w:rsidRPr="001C6AA0">
              <w:rPr>
                <w:lang w:val="ru-RU"/>
              </w:rPr>
              <w:t>В ответ на содержание данного Отчета Комитета Конференция получила ряд вкладов от администраций, включающих различные меры, которые должны быть рассмотрены Конференцией для решения вопросов, поднятых администрациями, однако было установлено, что ни одна из этих различных мер не может быть осуществлена без конкретного поручения сделать это от Полномочной конференции в адрес ВКР.</w:t>
            </w:r>
          </w:p>
          <w:p w14:paraId="2EA41082" w14:textId="2CD10DA4" w:rsidR="00BE0C43" w:rsidRPr="001C6AA0" w:rsidRDefault="00BE0C43" w:rsidP="001B768D">
            <w:pPr>
              <w:rPr>
                <w:lang w:val="ru-RU"/>
              </w:rPr>
            </w:pPr>
            <w:r w:rsidRPr="001C6AA0">
              <w:rPr>
                <w:lang w:val="ru-RU"/>
              </w:rPr>
              <w:lastRenderedPageBreak/>
              <w:t>Принимая во внимание Отчет Комитета по Резолюции 80 (Пересм. ВКР-07), а также вклады и замечания, представленные ВКР-19 в связи с этим Отчетом, ВКР</w:t>
            </w:r>
            <w:r w:rsidRPr="001C6AA0">
              <w:rPr>
                <w:lang w:val="ru-RU"/>
              </w:rPr>
              <w:noBreakHyphen/>
              <w:t>19 в соответствии со Статьей 21 Конвенции МСЭ предлагает Полномочной конференции 2022 года рассмотреть вопрос ссылки на Статью 48 Устава в связи с</w:t>
            </w:r>
            <w:r w:rsidR="007F1EC7" w:rsidRPr="001C6AA0">
              <w:rPr>
                <w:lang w:val="ru-RU"/>
              </w:rPr>
              <w:t> </w:t>
            </w:r>
            <w:r w:rsidRPr="001C6AA0">
              <w:rPr>
                <w:lang w:val="ru-RU"/>
              </w:rPr>
              <w:t>Регламентом радиосвязи, поднятый на ВКР-19, и принять необходимые меры, в зависимости от случая.</w:t>
            </w:r>
          </w:p>
          <w:p w14:paraId="671A21B1" w14:textId="77777777" w:rsidR="00BE0C43" w:rsidRPr="001C6AA0" w:rsidRDefault="00BE0C43" w:rsidP="001B768D">
            <w:pPr>
              <w:rPr>
                <w:lang w:val="ru-RU"/>
              </w:rPr>
            </w:pPr>
            <w:r w:rsidRPr="001C6AA0">
              <w:rPr>
                <w:lang w:val="ru-RU"/>
              </w:rPr>
              <w:t>Помимо этого результата, ВКР-19 поручила Бюро продолжать свою нынешнюю практику реагирования на конкретные просьбы администраций, касающиеся статуса отдельных спутниковых сетей, включая указание на то, делалась ли в отношении спутниковой сети ссылка на Статью 48 Устава".</w:t>
            </w:r>
          </w:p>
          <w:p w14:paraId="708B74AA" w14:textId="77777777" w:rsidR="00BE0C43" w:rsidRPr="001C6AA0" w:rsidRDefault="00BE0C43" w:rsidP="001B768D">
            <w:pPr>
              <w:pStyle w:val="Headingb"/>
              <w:rPr>
                <w:lang w:val="ru-RU"/>
              </w:rPr>
            </w:pPr>
            <w:r w:rsidRPr="001C6AA0">
              <w:rPr>
                <w:lang w:val="ru-RU"/>
              </w:rPr>
              <w:t>Необходимые действия</w:t>
            </w:r>
          </w:p>
          <w:p w14:paraId="31079725" w14:textId="3DE52E72" w:rsidR="00BE0C43" w:rsidRPr="001C6AA0" w:rsidRDefault="00BE0C43" w:rsidP="001B768D">
            <w:pPr>
              <w:rPr>
                <w:lang w:val="ru-RU"/>
              </w:rPr>
            </w:pPr>
            <w:r w:rsidRPr="001C6AA0">
              <w:rPr>
                <w:lang w:val="ru-RU"/>
              </w:rPr>
              <w:t xml:space="preserve">Администрации связи – члены </w:t>
            </w:r>
            <w:proofErr w:type="spellStart"/>
            <w:r w:rsidRPr="001C6AA0">
              <w:rPr>
                <w:lang w:val="ru-RU"/>
              </w:rPr>
              <w:t>РCC</w:t>
            </w:r>
            <w:proofErr w:type="spellEnd"/>
            <w:r w:rsidRPr="001C6AA0">
              <w:rPr>
                <w:lang w:val="ru-RU"/>
              </w:rPr>
              <w:t xml:space="preserve"> считают важным рассмотрение вопроса однозначного толкования правоприменительной практики Бюро радиосвязи МСЭ при ссылке администрацией связи на Статью 48 Устава МСЭ при заявлении частотных присвоений и полагают, что Государства-Члены должны принять решение на данной Полномочной конференции относительно однозначного трактования положений Статьи 48 Устава МСЭ и правоприменительной практики Бюро радиосвязи МСЭ при реализации данных положений. Администрации связи</w:t>
            </w:r>
            <w:r w:rsidR="007F1EC7" w:rsidRPr="001C6AA0">
              <w:rPr>
                <w:lang w:val="ru-RU"/>
              </w:rPr>
              <w:t> </w:t>
            </w:r>
            <w:r w:rsidRPr="001C6AA0">
              <w:rPr>
                <w:lang w:val="ru-RU"/>
              </w:rPr>
              <w:t xml:space="preserve">– члены </w:t>
            </w:r>
            <w:proofErr w:type="spellStart"/>
            <w:r w:rsidRPr="001C6AA0">
              <w:rPr>
                <w:lang w:val="ru-RU"/>
              </w:rPr>
              <w:t>РCC</w:t>
            </w:r>
            <w:proofErr w:type="spellEnd"/>
            <w:r w:rsidRPr="001C6AA0">
              <w:rPr>
                <w:lang w:val="ru-RU"/>
              </w:rPr>
              <w:t xml:space="preserve"> полагают, что вопрос толкования положений Устава МСЭ является исключительной прерогативой Полномочной конференции и поэтому нет необходимости передавать данный вопрос на рассмотрение Всемирной конференции радиосвязи и других органов МСЭ.</w:t>
            </w:r>
          </w:p>
          <w:p w14:paraId="0B3E23D0" w14:textId="771AA437" w:rsidR="00BE0C43" w:rsidRPr="001C6AA0" w:rsidRDefault="00BE0C43" w:rsidP="001B768D">
            <w:pPr>
              <w:rPr>
                <w:lang w:val="ru-RU"/>
              </w:rPr>
            </w:pPr>
            <w:r w:rsidRPr="001C6AA0">
              <w:rPr>
                <w:lang w:val="ru-RU"/>
              </w:rPr>
              <w:t xml:space="preserve">Принимая во внимание важность данного вопроса, затрагивающего права Государств в отношении использования военного оборудования, Администрации связи – члены </w:t>
            </w:r>
            <w:proofErr w:type="spellStart"/>
            <w:r w:rsidRPr="001C6AA0">
              <w:rPr>
                <w:lang w:val="ru-RU"/>
              </w:rPr>
              <w:t>РCC</w:t>
            </w:r>
            <w:proofErr w:type="spellEnd"/>
            <w:r w:rsidRPr="001C6AA0">
              <w:rPr>
                <w:lang w:val="ru-RU"/>
              </w:rPr>
              <w:t xml:space="preserve"> предлагают рассмотреть Проект новой Резолюции [Статья 48 (Устава МСЭ)] "Использование частотных присвоений для военного радиооборудования" для принятия решения на уровне Полномочной конференции.</w:t>
            </w:r>
          </w:p>
          <w:p w14:paraId="69F08CF8" w14:textId="77777777" w:rsidR="00BE0C43" w:rsidRPr="001C6AA0" w:rsidRDefault="00BE0C43" w:rsidP="001B768D">
            <w:pPr>
              <w:jc w:val="center"/>
              <w:rPr>
                <w:lang w:val="ru-RU"/>
              </w:rPr>
            </w:pPr>
            <w:r w:rsidRPr="001C6AA0">
              <w:rPr>
                <w:lang w:val="ru-RU"/>
              </w:rPr>
              <w:t>____________</w:t>
            </w:r>
          </w:p>
          <w:p w14:paraId="4C5CFEF4" w14:textId="77777777" w:rsidR="00BE0C43" w:rsidRPr="001C6AA0" w:rsidRDefault="00BE0C43" w:rsidP="001B768D">
            <w:pPr>
              <w:pStyle w:val="Headingb"/>
              <w:rPr>
                <w:lang w:val="ru-RU"/>
              </w:rPr>
            </w:pPr>
            <w:r w:rsidRPr="001C6AA0">
              <w:rPr>
                <w:lang w:val="ru-RU"/>
              </w:rPr>
              <w:t>Справочные документы</w:t>
            </w:r>
          </w:p>
          <w:p w14:paraId="26ADAFF5" w14:textId="11AEA829" w:rsidR="00BE0C43" w:rsidRPr="001C6AA0" w:rsidRDefault="00BE0C43" w:rsidP="00BE0C43">
            <w:pPr>
              <w:spacing w:after="120"/>
              <w:rPr>
                <w:bCs/>
                <w:lang w:val="ru-RU"/>
              </w:rPr>
            </w:pPr>
            <w:r w:rsidRPr="001C6AA0">
              <w:rPr>
                <w:lang w:val="ru-RU"/>
              </w:rPr>
              <w:t>−</w:t>
            </w:r>
          </w:p>
        </w:tc>
      </w:tr>
    </w:tbl>
    <w:p w14:paraId="461EF8A9" w14:textId="77777777" w:rsidR="00F96AB4" w:rsidRPr="001C6AA0"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C6AA0">
        <w:rPr>
          <w:lang w:val="ru-RU"/>
        </w:rPr>
        <w:lastRenderedPageBreak/>
        <w:br w:type="page"/>
      </w:r>
    </w:p>
    <w:p w14:paraId="17D3EBE9" w14:textId="77777777" w:rsidR="007B016E" w:rsidRPr="001C6AA0" w:rsidRDefault="007F1EC7">
      <w:pPr>
        <w:pStyle w:val="Proposal"/>
      </w:pPr>
      <w:proofErr w:type="spellStart"/>
      <w:r w:rsidRPr="001C6AA0">
        <w:lastRenderedPageBreak/>
        <w:t>ADD</w:t>
      </w:r>
      <w:proofErr w:type="spellEnd"/>
      <w:r w:rsidRPr="001C6AA0">
        <w:tab/>
      </w:r>
      <w:proofErr w:type="spellStart"/>
      <w:r w:rsidRPr="001C6AA0">
        <w:t>RCC</w:t>
      </w:r>
      <w:proofErr w:type="spellEnd"/>
      <w:r w:rsidRPr="001C6AA0">
        <w:t>/</w:t>
      </w:r>
      <w:proofErr w:type="spellStart"/>
      <w:r w:rsidRPr="001C6AA0">
        <w:t>68A15</w:t>
      </w:r>
      <w:proofErr w:type="spellEnd"/>
      <w:r w:rsidRPr="001C6AA0">
        <w:t>/1</w:t>
      </w:r>
    </w:p>
    <w:p w14:paraId="380DF999" w14:textId="0491736E" w:rsidR="007B016E" w:rsidRPr="001C6AA0" w:rsidRDefault="007F1EC7">
      <w:pPr>
        <w:pStyle w:val="ResNo"/>
        <w:rPr>
          <w:lang w:val="ru-RU"/>
        </w:rPr>
      </w:pPr>
      <w:r w:rsidRPr="001C6AA0">
        <w:rPr>
          <w:lang w:val="ru-RU"/>
        </w:rPr>
        <w:t>Проект новой Резолюции [</w:t>
      </w:r>
      <w:proofErr w:type="spellStart"/>
      <w:r w:rsidR="00BE0C43" w:rsidRPr="001C6AA0">
        <w:rPr>
          <w:lang w:val="ru-RU"/>
        </w:rPr>
        <w:t>RCC</w:t>
      </w:r>
      <w:proofErr w:type="spellEnd"/>
      <w:r w:rsidR="00BE0C43" w:rsidRPr="001C6AA0">
        <w:rPr>
          <w:lang w:val="ru-RU"/>
        </w:rPr>
        <w:t>-1</w:t>
      </w:r>
      <w:r w:rsidRPr="001C6AA0">
        <w:rPr>
          <w:lang w:val="ru-RU"/>
        </w:rPr>
        <w:t>]</w:t>
      </w:r>
    </w:p>
    <w:p w14:paraId="0B2D4604" w14:textId="37FFCF2E" w:rsidR="007B016E" w:rsidRPr="001C6AA0" w:rsidRDefault="00BE0C43">
      <w:pPr>
        <w:pStyle w:val="Restitle"/>
        <w:rPr>
          <w:lang w:val="ru-RU"/>
        </w:rPr>
      </w:pPr>
      <w:r w:rsidRPr="001C6AA0">
        <w:rPr>
          <w:lang w:val="ru-RU"/>
        </w:rPr>
        <w:t>Использование частотных присвоений для военного радиооборудования</w:t>
      </w:r>
    </w:p>
    <w:p w14:paraId="4EF61C4D" w14:textId="77777777" w:rsidR="00BE0C43" w:rsidRPr="001C6AA0" w:rsidRDefault="00BE0C43" w:rsidP="00BE0C43">
      <w:pPr>
        <w:pStyle w:val="Normalaftertitle"/>
        <w:rPr>
          <w:lang w:val="ru-RU"/>
        </w:rPr>
      </w:pPr>
      <w:r w:rsidRPr="001C6AA0">
        <w:rPr>
          <w:lang w:val="ru-RU"/>
        </w:rPr>
        <w:t>Полномочная конференция Международного союза электросвязи (Бухарест, 2022 г.),</w:t>
      </w:r>
    </w:p>
    <w:p w14:paraId="52A88373" w14:textId="77777777" w:rsidR="00BE0C43" w:rsidRPr="001C6AA0" w:rsidRDefault="001C6AA0" w:rsidP="00BE0C43">
      <w:pPr>
        <w:pStyle w:val="Call"/>
        <w:rPr>
          <w:lang w:val="ru-RU" w:bidi="ar-EG"/>
        </w:rPr>
      </w:pPr>
      <w:hyperlink r:id="rId10" w:history="1">
        <w:r w:rsidR="00BE0C43" w:rsidRPr="001C6AA0">
          <w:rPr>
            <w:lang w:val="ru-RU" w:bidi="ar-EG"/>
          </w:rPr>
          <w:t>подтверждая</w:t>
        </w:r>
      </w:hyperlink>
      <w:r w:rsidR="00BE0C43" w:rsidRPr="001C6AA0">
        <w:rPr>
          <w:i w:val="0"/>
          <w:iCs/>
          <w:lang w:val="ru-RU" w:bidi="ar-EG"/>
        </w:rPr>
        <w:t>,</w:t>
      </w:r>
    </w:p>
    <w:p w14:paraId="25C7A593" w14:textId="77777777" w:rsidR="00BE0C43" w:rsidRPr="001C6AA0" w:rsidRDefault="00BE0C43" w:rsidP="00BE0C43">
      <w:pPr>
        <w:rPr>
          <w:rFonts w:eastAsia="Calibri"/>
          <w:szCs w:val="22"/>
          <w:lang w:val="ru-RU"/>
        </w:rPr>
      </w:pPr>
      <w:r w:rsidRPr="001C6AA0">
        <w:rPr>
          <w:rFonts w:eastAsia="Calibri"/>
          <w:i/>
          <w:iCs/>
          <w:szCs w:val="22"/>
          <w:lang w:val="ru-RU"/>
        </w:rPr>
        <w:t>a)</w:t>
      </w:r>
      <w:r w:rsidRPr="001C6AA0">
        <w:rPr>
          <w:rFonts w:eastAsia="Calibri"/>
          <w:szCs w:val="22"/>
          <w:lang w:val="ru-RU"/>
        </w:rPr>
        <w:tab/>
        <w:t>что Государства-Члены сохраняют за собой полную свободу в отношении военного радиооборудования, как определено в Статье 48 Устава МСЭ;</w:t>
      </w:r>
    </w:p>
    <w:p w14:paraId="7727C739" w14:textId="77777777" w:rsidR="00BE0C43" w:rsidRPr="001C6AA0" w:rsidRDefault="00BE0C43" w:rsidP="00BE0C43">
      <w:pPr>
        <w:rPr>
          <w:rFonts w:eastAsia="Calibri"/>
          <w:szCs w:val="22"/>
          <w:lang w:val="ru-RU"/>
        </w:rPr>
      </w:pPr>
      <w:r w:rsidRPr="001C6AA0">
        <w:rPr>
          <w:rFonts w:eastAsia="Calibri"/>
          <w:i/>
          <w:iCs/>
          <w:szCs w:val="22"/>
          <w:lang w:val="ru-RU"/>
        </w:rPr>
        <w:t>b)</w:t>
      </w:r>
      <w:r w:rsidRPr="001C6AA0">
        <w:rPr>
          <w:rFonts w:eastAsia="Calibri"/>
          <w:szCs w:val="22"/>
          <w:lang w:val="ru-RU"/>
        </w:rPr>
        <w:tab/>
        <w:t>что в соответствии со Статьей 48 Устава МСЭ Государства-Члены сохраняют за собой полную свободу в отношении военного радиооборудования, что отражает многолетнюю практику государств в отношении управления использованием международной электросвязи;</w:t>
      </w:r>
    </w:p>
    <w:p w14:paraId="4C12D935" w14:textId="77777777" w:rsidR="00BE0C43" w:rsidRPr="001C6AA0" w:rsidRDefault="00BE0C43" w:rsidP="00BE0C43">
      <w:pPr>
        <w:rPr>
          <w:rFonts w:eastAsia="Calibri"/>
          <w:szCs w:val="22"/>
          <w:lang w:val="ru-RU"/>
        </w:rPr>
      </w:pPr>
      <w:r w:rsidRPr="001C6AA0">
        <w:rPr>
          <w:rFonts w:eastAsia="Calibri"/>
          <w:i/>
          <w:iCs/>
          <w:szCs w:val="22"/>
          <w:lang w:val="ru-RU"/>
        </w:rPr>
        <w:t>c)</w:t>
      </w:r>
      <w:r w:rsidRPr="001C6AA0">
        <w:rPr>
          <w:rFonts w:eastAsia="Calibri"/>
          <w:szCs w:val="22"/>
          <w:lang w:val="ru-RU"/>
        </w:rPr>
        <w:tab/>
        <w:t>что в соответствии со Статьей 6 Устава МСЭ Государства-Члены обязуются соблюдать положения Устава, Конвенции и Административных регламентов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Устава МСЭ,</w:t>
      </w:r>
    </w:p>
    <w:p w14:paraId="0A2397B4" w14:textId="77777777" w:rsidR="00BE0C43" w:rsidRPr="001C6AA0" w:rsidRDefault="00BE0C43" w:rsidP="00BE0C43">
      <w:pPr>
        <w:pStyle w:val="Call"/>
        <w:rPr>
          <w:lang w:val="ru-RU" w:bidi="ar-EG"/>
        </w:rPr>
      </w:pPr>
      <w:r w:rsidRPr="001C6AA0">
        <w:rPr>
          <w:lang w:val="ru-RU" w:bidi="ar-EG"/>
        </w:rPr>
        <w:t>отмечая</w:t>
      </w:r>
      <w:r w:rsidRPr="001C6AA0">
        <w:rPr>
          <w:i w:val="0"/>
          <w:iCs/>
          <w:lang w:val="ru-RU" w:bidi="ar-EG"/>
        </w:rPr>
        <w:t>,</w:t>
      </w:r>
    </w:p>
    <w:p w14:paraId="127F98E1" w14:textId="77777777" w:rsidR="00BE0C43" w:rsidRPr="001C6AA0" w:rsidRDefault="00BE0C43" w:rsidP="00BE0C43">
      <w:pPr>
        <w:rPr>
          <w:rFonts w:eastAsia="Calibri"/>
          <w:szCs w:val="22"/>
          <w:lang w:val="ru-RU"/>
        </w:rPr>
      </w:pPr>
      <w:r w:rsidRPr="001C6AA0">
        <w:rPr>
          <w:rFonts w:eastAsia="Calibri"/>
          <w:i/>
          <w:iCs/>
          <w:szCs w:val="22"/>
          <w:lang w:val="ru-RU"/>
        </w:rPr>
        <w:t>a)</w:t>
      </w:r>
      <w:r w:rsidRPr="001C6AA0">
        <w:rPr>
          <w:rFonts w:eastAsia="Calibri"/>
          <w:szCs w:val="22"/>
          <w:lang w:val="ru-RU"/>
        </w:rPr>
        <w:tab/>
        <w:t>что Государства-Члены ссылаются на Статью 48 Устава МСЭ в отношении частотных присвоений как спутниковым, так и наземным службам;</w:t>
      </w:r>
    </w:p>
    <w:p w14:paraId="4418A3F7" w14:textId="77777777" w:rsidR="00BE0C43" w:rsidRPr="001C6AA0" w:rsidRDefault="00BE0C43" w:rsidP="00BE0C43">
      <w:pPr>
        <w:rPr>
          <w:rFonts w:eastAsia="Calibri"/>
          <w:szCs w:val="22"/>
          <w:lang w:val="ru-RU"/>
        </w:rPr>
      </w:pPr>
      <w:r w:rsidRPr="001C6AA0">
        <w:rPr>
          <w:rFonts w:eastAsia="Calibri"/>
          <w:i/>
          <w:iCs/>
          <w:szCs w:val="22"/>
          <w:lang w:val="ru-RU"/>
        </w:rPr>
        <w:t>b)</w:t>
      </w:r>
      <w:r w:rsidRPr="001C6AA0">
        <w:rPr>
          <w:rFonts w:eastAsia="Calibri"/>
          <w:szCs w:val="22"/>
          <w:lang w:val="ru-RU"/>
        </w:rPr>
        <w:tab/>
        <w:t>что Статья 48 Устава МСЭ относится к военному радиооборудованию, а не к станциям, которые используются для правительственных целей в общем,</w:t>
      </w:r>
    </w:p>
    <w:p w14:paraId="0057055D" w14:textId="77777777" w:rsidR="00BE0C43" w:rsidRPr="001C6AA0" w:rsidRDefault="00BE0C43" w:rsidP="00BE0C43">
      <w:pPr>
        <w:pStyle w:val="Call"/>
        <w:rPr>
          <w:lang w:val="ru-RU" w:bidi="ar-EG"/>
        </w:rPr>
      </w:pPr>
      <w:r w:rsidRPr="001C6AA0">
        <w:rPr>
          <w:lang w:val="ru-RU" w:bidi="ar-EG"/>
        </w:rPr>
        <w:t>решает</w:t>
      </w:r>
      <w:r w:rsidRPr="001C6AA0">
        <w:rPr>
          <w:i w:val="0"/>
          <w:iCs/>
          <w:lang w:val="ru-RU" w:bidi="ar-EG"/>
        </w:rPr>
        <w:t>,</w:t>
      </w:r>
    </w:p>
    <w:p w14:paraId="257570F7" w14:textId="7DB90441" w:rsidR="00BE0C43" w:rsidRPr="001C6AA0" w:rsidRDefault="00BE0C43" w:rsidP="00BE0C43">
      <w:pPr>
        <w:rPr>
          <w:lang w:val="ru-RU"/>
        </w:rPr>
      </w:pPr>
      <w:r w:rsidRPr="001C6AA0">
        <w:rPr>
          <w:lang w:val="ru-RU"/>
        </w:rPr>
        <w:t>1</w:t>
      </w:r>
      <w:r w:rsidRPr="001C6AA0">
        <w:rPr>
          <w:lang w:val="ru-RU"/>
        </w:rPr>
        <w:tab/>
        <w:t xml:space="preserve">что право администраций ссылаться на </w:t>
      </w:r>
      <w:r w:rsidR="001C6AA0" w:rsidRPr="001C6AA0">
        <w:rPr>
          <w:lang w:val="ru-RU"/>
        </w:rPr>
        <w:t xml:space="preserve">Статью </w:t>
      </w:r>
      <w:r w:rsidRPr="001C6AA0">
        <w:rPr>
          <w:lang w:val="ru-RU"/>
        </w:rPr>
        <w:t>48 Устава МСЭ не должно ограничиваться;</w:t>
      </w:r>
    </w:p>
    <w:p w14:paraId="257B85B5" w14:textId="77777777" w:rsidR="00BE0C43" w:rsidRPr="001C6AA0" w:rsidRDefault="00BE0C43" w:rsidP="00BE0C43">
      <w:pPr>
        <w:rPr>
          <w:lang w:val="ru-RU"/>
        </w:rPr>
      </w:pPr>
      <w:r w:rsidRPr="001C6AA0">
        <w:rPr>
          <w:lang w:val="ru-RU"/>
        </w:rPr>
        <w:t>2</w:t>
      </w:r>
      <w:r w:rsidRPr="001C6AA0">
        <w:rPr>
          <w:lang w:val="ru-RU"/>
        </w:rPr>
        <w:tab/>
        <w:t>что Государство-Член, ссылаясь на Статью 48 Устава МСЭ для частотного присвоения, сохраняет за собой полную свободу только в отношении военного радиооборудования, использующего данное частотное присвоение, и обязуется использовать данное частотное присвоение исключительно для военного радиооборудования;</w:t>
      </w:r>
    </w:p>
    <w:p w14:paraId="0EC527AE" w14:textId="77777777" w:rsidR="00BE0C43" w:rsidRPr="001C6AA0" w:rsidRDefault="00BE0C43" w:rsidP="00BE0C43">
      <w:pPr>
        <w:rPr>
          <w:rFonts w:eastAsia="Calibri"/>
          <w:szCs w:val="22"/>
          <w:lang w:val="ru-RU"/>
        </w:rPr>
      </w:pPr>
      <w:r w:rsidRPr="001C6AA0">
        <w:rPr>
          <w:rFonts w:eastAsia="Calibri"/>
          <w:szCs w:val="22"/>
          <w:lang w:val="ru-RU"/>
        </w:rPr>
        <w:t>3</w:t>
      </w:r>
      <w:r w:rsidRPr="001C6AA0">
        <w:rPr>
          <w:rFonts w:eastAsia="Calibri"/>
          <w:szCs w:val="22"/>
          <w:lang w:val="ru-RU"/>
        </w:rPr>
        <w:tab/>
        <w:t>что, если частотное присвоение, для которого идет ссылка на Статью 48 Устава МСЭ, используется не для военного радиооборудования, к такому присвоению применяются все соответствующие положения Регламента радиосвязи;</w:t>
      </w:r>
    </w:p>
    <w:p w14:paraId="3C8FF728" w14:textId="759695ED" w:rsidR="00BE0C43" w:rsidRPr="001C6AA0" w:rsidRDefault="00BE0C43" w:rsidP="00BE0C43">
      <w:pPr>
        <w:rPr>
          <w:rFonts w:eastAsia="Calibri"/>
          <w:szCs w:val="22"/>
          <w:lang w:val="ru-RU"/>
        </w:rPr>
      </w:pPr>
      <w:r w:rsidRPr="001C6AA0">
        <w:rPr>
          <w:rFonts w:eastAsia="Calibri"/>
          <w:szCs w:val="22"/>
          <w:lang w:val="ru-RU"/>
        </w:rPr>
        <w:t>4</w:t>
      </w:r>
      <w:r w:rsidRPr="001C6AA0">
        <w:rPr>
          <w:rFonts w:eastAsia="Calibri"/>
          <w:szCs w:val="22"/>
          <w:lang w:val="ru-RU"/>
        </w:rPr>
        <w:tab/>
        <w:t>что одна лишь ссылка на Статью 48 Устава МСЭ Государством-Членом не обеспечивает признание на международном уровне и защиту для любого частотного присвоения, не занесенного в </w:t>
      </w:r>
      <w:proofErr w:type="spellStart"/>
      <w:r w:rsidRPr="001C6AA0">
        <w:rPr>
          <w:rFonts w:eastAsia="Calibri"/>
          <w:szCs w:val="22"/>
          <w:lang w:val="ru-RU"/>
        </w:rPr>
        <w:t>МСРЧ</w:t>
      </w:r>
      <w:proofErr w:type="spellEnd"/>
      <w:r w:rsidRPr="001C6AA0">
        <w:rPr>
          <w:rFonts w:eastAsia="Calibri"/>
          <w:szCs w:val="22"/>
          <w:lang w:val="ru-RU"/>
        </w:rPr>
        <w:t>,</w:t>
      </w:r>
    </w:p>
    <w:p w14:paraId="7A09952A" w14:textId="77777777" w:rsidR="00BE0C43" w:rsidRPr="001C6AA0" w:rsidRDefault="00BE0C43" w:rsidP="00BE0C43">
      <w:pPr>
        <w:pStyle w:val="Call"/>
        <w:rPr>
          <w:lang w:val="ru-RU" w:bidi="ar-EG"/>
        </w:rPr>
      </w:pPr>
      <w:r w:rsidRPr="001C6AA0">
        <w:rPr>
          <w:lang w:val="ru-RU" w:bidi="ar-EG"/>
        </w:rPr>
        <w:t>поручает Генеральному секретарю</w:t>
      </w:r>
    </w:p>
    <w:p w14:paraId="5CAC7214" w14:textId="77777777" w:rsidR="00BE0C43" w:rsidRPr="001C6AA0" w:rsidRDefault="00BE0C43" w:rsidP="00BE0C43">
      <w:pPr>
        <w:rPr>
          <w:rFonts w:eastAsia="Calibri"/>
          <w:szCs w:val="22"/>
          <w:lang w:val="ru-RU"/>
        </w:rPr>
      </w:pPr>
      <w:r w:rsidRPr="001C6AA0">
        <w:rPr>
          <w:rFonts w:eastAsia="Calibri"/>
          <w:szCs w:val="22"/>
          <w:lang w:val="ru-RU"/>
        </w:rPr>
        <w:t>1</w:t>
      </w:r>
      <w:r w:rsidRPr="001C6AA0">
        <w:rPr>
          <w:rFonts w:eastAsia="Calibri"/>
          <w:szCs w:val="22"/>
          <w:lang w:val="ru-RU"/>
        </w:rPr>
        <w:tab/>
        <w:t>довести настоящую Резолюцию до сведения ВКР-23;</w:t>
      </w:r>
    </w:p>
    <w:p w14:paraId="5EA152FD" w14:textId="138B8C68" w:rsidR="00BE0C43" w:rsidRPr="001C6AA0" w:rsidRDefault="00BE0C43" w:rsidP="00BE0C43">
      <w:pPr>
        <w:rPr>
          <w:lang w:val="ru-RU"/>
        </w:rPr>
      </w:pPr>
      <w:r w:rsidRPr="001C6AA0">
        <w:rPr>
          <w:rFonts w:eastAsia="Calibri"/>
          <w:szCs w:val="22"/>
          <w:lang w:val="ru-RU"/>
        </w:rPr>
        <w:t>2</w:t>
      </w:r>
      <w:r w:rsidRPr="001C6AA0">
        <w:rPr>
          <w:rFonts w:eastAsia="Calibri"/>
          <w:szCs w:val="22"/>
          <w:lang w:val="ru-RU"/>
        </w:rPr>
        <w:tab/>
        <w:t>представить отчет о ходе выполнения настоящей Резолюции следующей полномочной конференции.</w:t>
      </w:r>
    </w:p>
    <w:p w14:paraId="37B6D8B8" w14:textId="77777777" w:rsidR="00BE0C43" w:rsidRPr="001C6AA0" w:rsidRDefault="00BE0C43" w:rsidP="00411C49">
      <w:pPr>
        <w:pStyle w:val="Reasons"/>
        <w:rPr>
          <w:lang w:val="ru-RU"/>
        </w:rPr>
      </w:pPr>
    </w:p>
    <w:p w14:paraId="55BDABAD" w14:textId="5DB4ECF0" w:rsidR="007B016E" w:rsidRPr="001C6AA0" w:rsidRDefault="00BE0C43" w:rsidP="007F1EC7">
      <w:pPr>
        <w:spacing w:before="360"/>
        <w:jc w:val="center"/>
        <w:rPr>
          <w:lang w:val="ru-RU"/>
        </w:rPr>
      </w:pPr>
      <w:r w:rsidRPr="001C6AA0">
        <w:rPr>
          <w:lang w:val="ru-RU"/>
        </w:rPr>
        <w:t>______________</w:t>
      </w:r>
    </w:p>
    <w:sectPr w:rsidR="007B016E" w:rsidRPr="001C6AA0" w:rsidSect="0002174D">
      <w:headerReference w:type="default" r:id="rId11"/>
      <w:footerReference w:type="default" r:id="rId12"/>
      <w:footerReference w:type="first" r:id="rId13"/>
      <w:pgSz w:w="11913" w:h="16834" w:code="9"/>
      <w:pgMar w:top="1418" w:right="1134" w:bottom="1418" w:left="1134" w:header="720" w:footer="720" w:gutter="0"/>
      <w:paperSrc w:first="4" w:other="4"/>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5D9D" w14:textId="77777777" w:rsidR="0062155D" w:rsidRDefault="0062155D" w:rsidP="0079159C">
      <w:r>
        <w:separator/>
      </w:r>
    </w:p>
    <w:p w14:paraId="77B03CE7" w14:textId="77777777" w:rsidR="0062155D" w:rsidRDefault="0062155D" w:rsidP="0079159C"/>
    <w:p w14:paraId="3F1D6733" w14:textId="77777777" w:rsidR="0062155D" w:rsidRDefault="0062155D" w:rsidP="0079159C"/>
    <w:p w14:paraId="660CDDFA" w14:textId="77777777" w:rsidR="0062155D" w:rsidRDefault="0062155D" w:rsidP="0079159C"/>
    <w:p w14:paraId="16ACA07B" w14:textId="77777777" w:rsidR="0062155D" w:rsidRDefault="0062155D" w:rsidP="0079159C"/>
    <w:p w14:paraId="77954E4B" w14:textId="77777777" w:rsidR="0062155D" w:rsidRDefault="0062155D" w:rsidP="0079159C"/>
    <w:p w14:paraId="35E99B9E" w14:textId="77777777" w:rsidR="0062155D" w:rsidRDefault="0062155D" w:rsidP="0079159C"/>
    <w:p w14:paraId="5E03C65A" w14:textId="77777777" w:rsidR="0062155D" w:rsidRDefault="0062155D" w:rsidP="0079159C"/>
    <w:p w14:paraId="51DD4F40" w14:textId="77777777" w:rsidR="0062155D" w:rsidRDefault="0062155D" w:rsidP="0079159C"/>
    <w:p w14:paraId="32361AF3" w14:textId="77777777" w:rsidR="0062155D" w:rsidRDefault="0062155D" w:rsidP="0079159C"/>
    <w:p w14:paraId="60B4A7CE" w14:textId="77777777" w:rsidR="0062155D" w:rsidRDefault="0062155D" w:rsidP="0079159C"/>
    <w:p w14:paraId="0D966746" w14:textId="77777777" w:rsidR="0062155D" w:rsidRDefault="0062155D" w:rsidP="0079159C"/>
    <w:p w14:paraId="5E04AF4F" w14:textId="77777777" w:rsidR="0062155D" w:rsidRDefault="0062155D" w:rsidP="0079159C"/>
    <w:p w14:paraId="74C66374" w14:textId="77777777" w:rsidR="0062155D" w:rsidRDefault="0062155D" w:rsidP="0079159C"/>
    <w:p w14:paraId="79E25FB5" w14:textId="77777777" w:rsidR="0062155D" w:rsidRDefault="0062155D" w:rsidP="004B3A6C"/>
    <w:p w14:paraId="7C7EABA5" w14:textId="77777777" w:rsidR="0062155D" w:rsidRDefault="0062155D" w:rsidP="004B3A6C"/>
  </w:endnote>
  <w:endnote w:type="continuationSeparator" w:id="0">
    <w:p w14:paraId="69473B7F" w14:textId="77777777" w:rsidR="0062155D" w:rsidRDefault="0062155D" w:rsidP="0079159C">
      <w:r>
        <w:continuationSeparator/>
      </w:r>
    </w:p>
    <w:p w14:paraId="6CC273AA" w14:textId="77777777" w:rsidR="0062155D" w:rsidRDefault="0062155D" w:rsidP="0079159C"/>
    <w:p w14:paraId="7ADC3C9C" w14:textId="77777777" w:rsidR="0062155D" w:rsidRDefault="0062155D" w:rsidP="0079159C"/>
    <w:p w14:paraId="6E0E369D" w14:textId="77777777" w:rsidR="0062155D" w:rsidRDefault="0062155D" w:rsidP="0079159C"/>
    <w:p w14:paraId="32520E50" w14:textId="77777777" w:rsidR="0062155D" w:rsidRDefault="0062155D" w:rsidP="0079159C"/>
    <w:p w14:paraId="10FBCE7C" w14:textId="77777777" w:rsidR="0062155D" w:rsidRDefault="0062155D" w:rsidP="0079159C"/>
    <w:p w14:paraId="272D2019" w14:textId="77777777" w:rsidR="0062155D" w:rsidRDefault="0062155D" w:rsidP="0079159C"/>
    <w:p w14:paraId="093529A4" w14:textId="77777777" w:rsidR="0062155D" w:rsidRDefault="0062155D" w:rsidP="0079159C"/>
    <w:p w14:paraId="578B21CA" w14:textId="77777777" w:rsidR="0062155D" w:rsidRDefault="0062155D" w:rsidP="0079159C"/>
    <w:p w14:paraId="0F9C187B" w14:textId="77777777" w:rsidR="0062155D" w:rsidRDefault="0062155D" w:rsidP="0079159C"/>
    <w:p w14:paraId="7263CED8" w14:textId="77777777" w:rsidR="0062155D" w:rsidRDefault="0062155D" w:rsidP="0079159C"/>
    <w:p w14:paraId="7A031C17" w14:textId="77777777" w:rsidR="0062155D" w:rsidRDefault="0062155D" w:rsidP="0079159C"/>
    <w:p w14:paraId="6459A6A6" w14:textId="77777777" w:rsidR="0062155D" w:rsidRDefault="0062155D" w:rsidP="0079159C"/>
    <w:p w14:paraId="5E5B17BA" w14:textId="77777777" w:rsidR="0062155D" w:rsidRDefault="0062155D" w:rsidP="0079159C"/>
    <w:p w14:paraId="67AA2A36" w14:textId="77777777" w:rsidR="0062155D" w:rsidRDefault="0062155D" w:rsidP="004B3A6C"/>
    <w:p w14:paraId="06224C30" w14:textId="77777777" w:rsidR="0062155D" w:rsidRDefault="0062155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2D57" w14:textId="43ADF1FE" w:rsidR="008F5F4D" w:rsidRDefault="007F1EC7" w:rsidP="008F5F4D">
    <w:pPr>
      <w:pStyle w:val="Footer"/>
    </w:pPr>
    <w:fldSimple w:instr=" FILENAME \p  \* MERGEFORMAT ">
      <w:r w:rsidR="00BE0C43">
        <w:t>P:\RUS\SG\CONF-SG\PP22\000\068ADD15R.docx</w:t>
      </w:r>
    </w:fldSimple>
    <w:r w:rsidR="008F5F4D">
      <w:t xml:space="preserve"> (</w:t>
    </w:r>
    <w:r w:rsidR="00BE0C43" w:rsidRPr="00BE0C43">
      <w:t>510828</w:t>
    </w:r>
    <w:r w:rsidR="008F5F4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5532" w14:textId="0321834D" w:rsidR="005C3DE4" w:rsidRPr="00BE0C43" w:rsidRDefault="00D37469" w:rsidP="00BE0C43">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A904" w14:textId="77777777" w:rsidR="0062155D" w:rsidRDefault="0062155D" w:rsidP="0079159C">
      <w:r>
        <w:t>____________________</w:t>
      </w:r>
    </w:p>
  </w:footnote>
  <w:footnote w:type="continuationSeparator" w:id="0">
    <w:p w14:paraId="4421EC6C" w14:textId="77777777" w:rsidR="0062155D" w:rsidRDefault="0062155D" w:rsidP="0079159C">
      <w:r>
        <w:continuationSeparator/>
      </w:r>
    </w:p>
    <w:p w14:paraId="6477CA78" w14:textId="77777777" w:rsidR="0062155D" w:rsidRDefault="0062155D" w:rsidP="0079159C"/>
    <w:p w14:paraId="629F4944" w14:textId="77777777" w:rsidR="0062155D" w:rsidRDefault="0062155D" w:rsidP="0079159C"/>
    <w:p w14:paraId="13CA9038" w14:textId="77777777" w:rsidR="0062155D" w:rsidRDefault="0062155D" w:rsidP="0079159C"/>
    <w:p w14:paraId="5D0B7801" w14:textId="77777777" w:rsidR="0062155D" w:rsidRDefault="0062155D" w:rsidP="0079159C"/>
    <w:p w14:paraId="1C079907" w14:textId="77777777" w:rsidR="0062155D" w:rsidRDefault="0062155D" w:rsidP="0079159C"/>
    <w:p w14:paraId="6A867323" w14:textId="77777777" w:rsidR="0062155D" w:rsidRDefault="0062155D" w:rsidP="0079159C"/>
    <w:p w14:paraId="42FBFE80" w14:textId="77777777" w:rsidR="0062155D" w:rsidRDefault="0062155D" w:rsidP="0079159C"/>
    <w:p w14:paraId="585F46D8" w14:textId="77777777" w:rsidR="0062155D" w:rsidRDefault="0062155D" w:rsidP="0079159C"/>
    <w:p w14:paraId="5A2DBE35" w14:textId="77777777" w:rsidR="0062155D" w:rsidRDefault="0062155D" w:rsidP="0079159C"/>
    <w:p w14:paraId="27E6ED1E" w14:textId="77777777" w:rsidR="0062155D" w:rsidRDefault="0062155D" w:rsidP="0079159C"/>
    <w:p w14:paraId="61236705" w14:textId="77777777" w:rsidR="0062155D" w:rsidRDefault="0062155D" w:rsidP="0079159C"/>
    <w:p w14:paraId="263423D4" w14:textId="77777777" w:rsidR="0062155D" w:rsidRDefault="0062155D" w:rsidP="0079159C"/>
    <w:p w14:paraId="394F3CE7" w14:textId="77777777" w:rsidR="0062155D" w:rsidRDefault="0062155D" w:rsidP="0079159C"/>
    <w:p w14:paraId="2FE04F4C" w14:textId="77777777" w:rsidR="0062155D" w:rsidRDefault="0062155D" w:rsidP="004B3A6C"/>
    <w:p w14:paraId="4B4EE73B" w14:textId="77777777" w:rsidR="0062155D" w:rsidRDefault="0062155D"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D4A8"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52DA07DF" w14:textId="77777777" w:rsidR="00F96AB4" w:rsidRPr="00F96AB4" w:rsidRDefault="00F96AB4" w:rsidP="002D024B">
    <w:pPr>
      <w:pStyle w:val="Header"/>
    </w:pPr>
    <w:r>
      <w:t>PP</w:t>
    </w:r>
    <w:r w:rsidR="00513BE3">
      <w:t>22</w:t>
    </w:r>
    <w:r>
      <w:t>/68(Add.15)-</w:t>
    </w:r>
    <w:r w:rsidRPr="00010B43">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1C6AA0"/>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3429D1"/>
    <w:rsid w:val="00375BBA"/>
    <w:rsid w:val="00384CFC"/>
    <w:rsid w:val="00395CE4"/>
    <w:rsid w:val="003E7EAA"/>
    <w:rsid w:val="004014B0"/>
    <w:rsid w:val="00426AC1"/>
    <w:rsid w:val="00443C08"/>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84918"/>
    <w:rsid w:val="005C3DE4"/>
    <w:rsid w:val="005C67E8"/>
    <w:rsid w:val="005D0C15"/>
    <w:rsid w:val="005F526C"/>
    <w:rsid w:val="00600272"/>
    <w:rsid w:val="006104EA"/>
    <w:rsid w:val="0061434A"/>
    <w:rsid w:val="00617BE4"/>
    <w:rsid w:val="0062155D"/>
    <w:rsid w:val="00627A76"/>
    <w:rsid w:val="006418E6"/>
    <w:rsid w:val="0067722F"/>
    <w:rsid w:val="006B7F84"/>
    <w:rsid w:val="006C1A71"/>
    <w:rsid w:val="006E57C8"/>
    <w:rsid w:val="00706CC2"/>
    <w:rsid w:val="00710760"/>
    <w:rsid w:val="0073319E"/>
    <w:rsid w:val="00733439"/>
    <w:rsid w:val="007340B5"/>
    <w:rsid w:val="00750829"/>
    <w:rsid w:val="00760830"/>
    <w:rsid w:val="0079159C"/>
    <w:rsid w:val="007919C2"/>
    <w:rsid w:val="007B016E"/>
    <w:rsid w:val="007C50AF"/>
    <w:rsid w:val="007E4D0F"/>
    <w:rsid w:val="007F1EC7"/>
    <w:rsid w:val="008034F1"/>
    <w:rsid w:val="008102A6"/>
    <w:rsid w:val="00822C54"/>
    <w:rsid w:val="00826A7C"/>
    <w:rsid w:val="00842BD1"/>
    <w:rsid w:val="00850AEF"/>
    <w:rsid w:val="00870059"/>
    <w:rsid w:val="008A2FB3"/>
    <w:rsid w:val="008D2EB4"/>
    <w:rsid w:val="008D3134"/>
    <w:rsid w:val="008D3BE2"/>
    <w:rsid w:val="008F5F4D"/>
    <w:rsid w:val="009125CE"/>
    <w:rsid w:val="0093377B"/>
    <w:rsid w:val="00934241"/>
    <w:rsid w:val="00950E0F"/>
    <w:rsid w:val="00962CCF"/>
    <w:rsid w:val="0097690C"/>
    <w:rsid w:val="00996435"/>
    <w:rsid w:val="009A47A2"/>
    <w:rsid w:val="009A6D9A"/>
    <w:rsid w:val="009E4F4B"/>
    <w:rsid w:val="009F0BA9"/>
    <w:rsid w:val="009F3A10"/>
    <w:rsid w:val="00A3200E"/>
    <w:rsid w:val="00A54F56"/>
    <w:rsid w:val="00A75EAA"/>
    <w:rsid w:val="00AC20C0"/>
    <w:rsid w:val="00AD6841"/>
    <w:rsid w:val="00B14377"/>
    <w:rsid w:val="00B1733E"/>
    <w:rsid w:val="00B45785"/>
    <w:rsid w:val="00B52354"/>
    <w:rsid w:val="00B62568"/>
    <w:rsid w:val="00BA154E"/>
    <w:rsid w:val="00BE0C43"/>
    <w:rsid w:val="00BF252A"/>
    <w:rsid w:val="00BF720B"/>
    <w:rsid w:val="00C04511"/>
    <w:rsid w:val="00C1004D"/>
    <w:rsid w:val="00C16846"/>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87188C"/>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7F1EC7"/>
    <w:pPr>
      <w:framePr w:hSpace="180" w:wrap="around" w:hAnchor="margin" w:y="-675"/>
      <w:spacing w:before="72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framePr w:wrap="around"/>
      <w:spacing w:before="240"/>
    </w:pPr>
    <w:rPr>
      <w:b w:val="0"/>
      <w:caps/>
    </w:rPr>
  </w:style>
  <w:style w:type="paragraph" w:customStyle="1" w:styleId="Title2">
    <w:name w:val="Title 2"/>
    <w:basedOn w:val="Source"/>
    <w:next w:val="Normal"/>
    <w:rsid w:val="004B3A6C"/>
    <w:pPr>
      <w:framePr w:wrap="around"/>
      <w:spacing w:before="240"/>
    </w:pPr>
    <w:rPr>
      <w:b w:val="0"/>
      <w:caps/>
    </w:rPr>
  </w:style>
  <w:style w:type="paragraph" w:customStyle="1" w:styleId="Title3">
    <w:name w:val="Title 3"/>
    <w:basedOn w:val="Title2"/>
    <w:next w:val="Normalaftertitle"/>
    <w:rsid w:val="004B3A6C"/>
    <w:pPr>
      <w:framePr w:wrap="around"/>
    </w:pPr>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7F1EC7"/>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ext.reverso.net/%D0%BF%D0%B5%D1%80%D0%B5%D0%B2%D0%BE%D0%B4/%D0%B0%D0%BD%D0%B3%D0%BB%D0%B8%D0%B9%D1%81%D0%BA%D0%B8%D0%B9-%D1%80%D1%83%D1%81%D1%81%D0%BA%D0%B8%D0%B9/Affirmi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796472e-9343-45d1-b779-0e0de3a9759d">DPM</DPM_x0020_Author>
    <DPM_x0020_File_x0020_name xmlns="5796472e-9343-45d1-b779-0e0de3a9759d">S22-PP-C-0068!A15!MSW-R</DPM_x0020_File_x0020_name>
    <DPM_x0020_Version xmlns="5796472e-9343-45d1-b779-0e0de3a9759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96472e-9343-45d1-b779-0e0de3a9759d" targetNamespace="http://schemas.microsoft.com/office/2006/metadata/properties" ma:root="true" ma:fieldsID="d41af5c836d734370eb92e7ee5f83852" ns2:_="" ns3:_="">
    <xsd:import namespace="996b2e75-67fd-4955-a3b0-5ab9934cb50b"/>
    <xsd:import namespace="5796472e-9343-45d1-b779-0e0de3a975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96472e-9343-45d1-b779-0e0de3a975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472e-9343-45d1-b779-0e0de3a9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96472e-9343-45d1-b779-0e0de3a9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804</Words>
  <Characters>5687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S22-PP-C-0068!A15!MSW-R</dc:title>
  <dc:subject>Plenipotentiary Conference (PP-18)</dc:subject>
  <dc:creator>Documents Proposals Manager (DPM)</dc:creator>
  <cp:keywords>DPM_v2022.8.18.1_prod</cp:keywords>
  <dc:description/>
  <cp:lastModifiedBy>Antipina, Nadezda</cp:lastModifiedBy>
  <cp:revision>5</cp:revision>
  <dcterms:created xsi:type="dcterms:W3CDTF">2022-08-23T08:47:00Z</dcterms:created>
  <dcterms:modified xsi:type="dcterms:W3CDTF">2022-08-23T12:34:00Z</dcterms:modified>
  <cp:category>Conference document</cp:category>
</cp:coreProperties>
</file>