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B7ABA" w14:paraId="4484B0C5" w14:textId="77777777" w:rsidTr="004E6DE8">
        <w:trPr>
          <w:cantSplit/>
        </w:trPr>
        <w:tc>
          <w:tcPr>
            <w:tcW w:w="6911" w:type="dxa"/>
          </w:tcPr>
          <w:p w14:paraId="706F5501" w14:textId="3E73A757" w:rsidR="00BD1614" w:rsidRPr="002B7ABA" w:rsidRDefault="00BD1614" w:rsidP="004E6DE8">
            <w:pPr>
              <w:rPr>
                <w:b/>
                <w:bCs/>
                <w:position w:val="6"/>
                <w:szCs w:val="24"/>
              </w:rPr>
            </w:pPr>
            <w:bookmarkStart w:id="0" w:name="dbreak"/>
            <w:bookmarkStart w:id="1" w:name="dpp"/>
            <w:bookmarkEnd w:id="0"/>
            <w:bookmarkEnd w:id="1"/>
            <w:r w:rsidRPr="002B7ABA">
              <w:rPr>
                <w:rFonts w:cs="Times"/>
                <w:b/>
                <w:sz w:val="30"/>
                <w:szCs w:val="30"/>
              </w:rPr>
              <w:t>Conférence de plénipotentiaires</w:t>
            </w:r>
            <w:r w:rsidRPr="002B7ABA">
              <w:rPr>
                <w:b/>
                <w:smallCaps/>
                <w:sz w:val="30"/>
                <w:szCs w:val="30"/>
              </w:rPr>
              <w:t xml:space="preserve"> (PP-</w:t>
            </w:r>
            <w:r w:rsidR="002A7A1D" w:rsidRPr="002B7ABA">
              <w:rPr>
                <w:b/>
                <w:smallCaps/>
                <w:sz w:val="30"/>
                <w:szCs w:val="30"/>
              </w:rPr>
              <w:t>22</w:t>
            </w:r>
            <w:r w:rsidRPr="002B7ABA">
              <w:rPr>
                <w:b/>
                <w:smallCaps/>
                <w:sz w:val="30"/>
                <w:szCs w:val="30"/>
              </w:rPr>
              <w:t>)</w:t>
            </w:r>
            <w:r w:rsidRPr="002B7ABA">
              <w:rPr>
                <w:b/>
                <w:smallCaps/>
                <w:sz w:val="36"/>
              </w:rPr>
              <w:br/>
            </w:r>
            <w:r w:rsidR="002A7A1D" w:rsidRPr="002B7ABA">
              <w:rPr>
                <w:rFonts w:cs="Times New Roman Bold"/>
                <w:b/>
                <w:bCs/>
                <w:szCs w:val="24"/>
              </w:rPr>
              <w:t>Bucarest</w:t>
            </w:r>
            <w:r w:rsidRPr="002B7ABA">
              <w:rPr>
                <w:rFonts w:cs="Times New Roman Bold"/>
                <w:b/>
                <w:bCs/>
                <w:szCs w:val="24"/>
              </w:rPr>
              <w:t>, 2</w:t>
            </w:r>
            <w:r w:rsidR="002A7A1D" w:rsidRPr="002B7ABA">
              <w:rPr>
                <w:rFonts w:cs="Times New Roman Bold"/>
                <w:b/>
                <w:bCs/>
                <w:szCs w:val="24"/>
              </w:rPr>
              <w:t>6</w:t>
            </w:r>
            <w:r w:rsidRPr="002B7ABA">
              <w:rPr>
                <w:rFonts w:cs="Times New Roman Bold"/>
                <w:b/>
                <w:bCs/>
                <w:szCs w:val="24"/>
              </w:rPr>
              <w:t xml:space="preserve"> </w:t>
            </w:r>
            <w:r w:rsidR="002A7A1D" w:rsidRPr="002B7ABA">
              <w:rPr>
                <w:rFonts w:cs="Times New Roman Bold"/>
                <w:b/>
                <w:bCs/>
                <w:szCs w:val="24"/>
              </w:rPr>
              <w:t>septembre</w:t>
            </w:r>
            <w:r w:rsidRPr="002B7ABA">
              <w:rPr>
                <w:rFonts w:cs="Times New Roman Bold"/>
                <w:b/>
                <w:bCs/>
                <w:szCs w:val="24"/>
              </w:rPr>
              <w:t xml:space="preserve"> </w:t>
            </w:r>
            <w:r w:rsidR="001E2226" w:rsidRPr="002B7ABA">
              <w:rPr>
                <w:rFonts w:cs="Times New Roman Bold"/>
                <w:b/>
                <w:bCs/>
                <w:szCs w:val="24"/>
              </w:rPr>
              <w:t>–</w:t>
            </w:r>
            <w:r w:rsidRPr="002B7ABA">
              <w:rPr>
                <w:rFonts w:cs="Times New Roman Bold"/>
                <w:b/>
                <w:bCs/>
                <w:szCs w:val="24"/>
              </w:rPr>
              <w:t xml:space="preserve"> </w:t>
            </w:r>
            <w:r w:rsidR="001E2226" w:rsidRPr="002B7ABA">
              <w:rPr>
                <w:rFonts w:cs="Times New Roman Bold"/>
                <w:b/>
                <w:bCs/>
                <w:szCs w:val="24"/>
              </w:rPr>
              <w:t>1</w:t>
            </w:r>
            <w:r w:rsidR="002A7A1D" w:rsidRPr="002B7ABA">
              <w:rPr>
                <w:rFonts w:cs="Times New Roman Bold"/>
                <w:b/>
                <w:bCs/>
                <w:szCs w:val="24"/>
              </w:rPr>
              <w:t>4</w:t>
            </w:r>
            <w:r w:rsidRPr="002B7ABA">
              <w:rPr>
                <w:rFonts w:cs="Times New Roman Bold"/>
                <w:b/>
                <w:bCs/>
                <w:szCs w:val="24"/>
              </w:rPr>
              <w:t xml:space="preserve"> </w:t>
            </w:r>
            <w:r w:rsidR="002A7A1D" w:rsidRPr="002B7ABA">
              <w:rPr>
                <w:rFonts w:cs="Times New Roman Bold"/>
                <w:b/>
                <w:bCs/>
                <w:szCs w:val="24"/>
              </w:rPr>
              <w:t>octobre</w:t>
            </w:r>
            <w:r w:rsidRPr="002B7ABA">
              <w:rPr>
                <w:rFonts w:cs="Times New Roman Bold"/>
                <w:b/>
                <w:bCs/>
                <w:szCs w:val="24"/>
              </w:rPr>
              <w:t xml:space="preserve"> 20</w:t>
            </w:r>
            <w:r w:rsidR="002A7A1D" w:rsidRPr="002B7ABA">
              <w:rPr>
                <w:rFonts w:cs="Times New Roman Bold"/>
                <w:b/>
                <w:bCs/>
                <w:szCs w:val="24"/>
              </w:rPr>
              <w:t>22</w:t>
            </w:r>
          </w:p>
        </w:tc>
        <w:tc>
          <w:tcPr>
            <w:tcW w:w="3120" w:type="dxa"/>
          </w:tcPr>
          <w:p w14:paraId="7A1CF8E0" w14:textId="6FB7D25A" w:rsidR="00BD1614" w:rsidRPr="002B7ABA" w:rsidRDefault="002A7A1D" w:rsidP="004E6DE8">
            <w:pPr>
              <w:spacing w:before="0"/>
              <w:rPr>
                <w:rFonts w:cstheme="minorHAnsi"/>
              </w:rPr>
            </w:pPr>
            <w:bookmarkStart w:id="2" w:name="ditulogo"/>
            <w:bookmarkEnd w:id="2"/>
            <w:r w:rsidRPr="002B7ABA">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2B7ABA" w14:paraId="3120A8D9" w14:textId="77777777" w:rsidTr="004E6DE8">
        <w:trPr>
          <w:cantSplit/>
        </w:trPr>
        <w:tc>
          <w:tcPr>
            <w:tcW w:w="6911" w:type="dxa"/>
            <w:tcBorders>
              <w:bottom w:val="single" w:sz="12" w:space="0" w:color="auto"/>
            </w:tcBorders>
          </w:tcPr>
          <w:p w14:paraId="317E5819" w14:textId="77777777" w:rsidR="00BD1614" w:rsidRPr="002B7ABA" w:rsidRDefault="00BD1614" w:rsidP="004E6DE8">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2B7ABA" w:rsidRDefault="00BD1614" w:rsidP="004E6DE8">
            <w:pPr>
              <w:spacing w:before="0" w:after="48"/>
              <w:rPr>
                <w:rFonts w:cstheme="minorHAnsi"/>
                <w:b/>
                <w:smallCaps/>
                <w:szCs w:val="24"/>
              </w:rPr>
            </w:pPr>
          </w:p>
        </w:tc>
      </w:tr>
      <w:tr w:rsidR="00BD1614" w:rsidRPr="002B7ABA" w14:paraId="20A2296F" w14:textId="77777777" w:rsidTr="004E6DE8">
        <w:trPr>
          <w:cantSplit/>
        </w:trPr>
        <w:tc>
          <w:tcPr>
            <w:tcW w:w="6911" w:type="dxa"/>
            <w:tcBorders>
              <w:top w:val="single" w:sz="12" w:space="0" w:color="auto"/>
            </w:tcBorders>
          </w:tcPr>
          <w:p w14:paraId="4CFA6027" w14:textId="77777777" w:rsidR="00BD1614" w:rsidRPr="002B7ABA" w:rsidRDefault="00BD1614" w:rsidP="004E6DE8">
            <w:pPr>
              <w:spacing w:before="0"/>
              <w:rPr>
                <w:rFonts w:cstheme="minorHAnsi"/>
                <w:b/>
                <w:smallCaps/>
                <w:szCs w:val="24"/>
              </w:rPr>
            </w:pPr>
          </w:p>
        </w:tc>
        <w:tc>
          <w:tcPr>
            <w:tcW w:w="3120" w:type="dxa"/>
            <w:tcBorders>
              <w:top w:val="single" w:sz="12" w:space="0" w:color="auto"/>
            </w:tcBorders>
          </w:tcPr>
          <w:p w14:paraId="3C479168" w14:textId="77777777" w:rsidR="00BD1614" w:rsidRPr="002B7ABA" w:rsidRDefault="00BD1614" w:rsidP="004E6DE8">
            <w:pPr>
              <w:spacing w:before="0"/>
              <w:rPr>
                <w:rFonts w:cstheme="minorHAnsi"/>
                <w:szCs w:val="24"/>
              </w:rPr>
            </w:pPr>
          </w:p>
        </w:tc>
      </w:tr>
      <w:tr w:rsidR="00BD1614" w:rsidRPr="002B7ABA" w14:paraId="5EBA9561" w14:textId="77777777" w:rsidTr="004E6DE8">
        <w:trPr>
          <w:cantSplit/>
        </w:trPr>
        <w:tc>
          <w:tcPr>
            <w:tcW w:w="6911" w:type="dxa"/>
          </w:tcPr>
          <w:p w14:paraId="081C5B53" w14:textId="5ADEACCC" w:rsidR="00BD1614" w:rsidRPr="002B7ABA" w:rsidRDefault="00420EF8" w:rsidP="004E6DE8">
            <w:pPr>
              <w:pStyle w:val="Committee"/>
              <w:framePr w:hSpace="0" w:wrap="auto" w:hAnchor="text" w:yAlign="inline"/>
              <w:spacing w:after="0" w:line="240" w:lineRule="auto"/>
              <w:rPr>
                <w:lang w:val="fr-FR"/>
              </w:rPr>
            </w:pPr>
            <w:r w:rsidRPr="002B7ABA">
              <w:rPr>
                <w:lang w:val="fr-FR"/>
              </w:rPr>
              <w:t>SÉANCE PLÉNIÈRE</w:t>
            </w:r>
          </w:p>
        </w:tc>
        <w:tc>
          <w:tcPr>
            <w:tcW w:w="3120" w:type="dxa"/>
          </w:tcPr>
          <w:p w14:paraId="42E82404" w14:textId="036F034F" w:rsidR="00BD1614" w:rsidRPr="002B7ABA" w:rsidRDefault="00420EF8" w:rsidP="004E6DE8">
            <w:pPr>
              <w:spacing w:before="0"/>
              <w:rPr>
                <w:rFonts w:cstheme="minorHAnsi"/>
                <w:szCs w:val="24"/>
              </w:rPr>
            </w:pPr>
            <w:r w:rsidRPr="002B7ABA">
              <w:rPr>
                <w:rFonts w:cstheme="minorHAnsi"/>
                <w:b/>
                <w:szCs w:val="24"/>
              </w:rPr>
              <w:t xml:space="preserve">Document </w:t>
            </w:r>
            <w:r w:rsidR="00262D0E" w:rsidRPr="002B7ABA">
              <w:rPr>
                <w:rFonts w:cstheme="minorHAnsi"/>
                <w:b/>
                <w:szCs w:val="24"/>
              </w:rPr>
              <w:t>62</w:t>
            </w:r>
            <w:r w:rsidRPr="002B7ABA">
              <w:rPr>
                <w:rFonts w:cstheme="minorHAnsi"/>
                <w:b/>
                <w:szCs w:val="24"/>
              </w:rPr>
              <w:t>-F</w:t>
            </w:r>
          </w:p>
        </w:tc>
      </w:tr>
      <w:tr w:rsidR="00BD1614" w:rsidRPr="002B7ABA" w14:paraId="5C605E2F" w14:textId="77777777" w:rsidTr="004E6DE8">
        <w:trPr>
          <w:cantSplit/>
        </w:trPr>
        <w:tc>
          <w:tcPr>
            <w:tcW w:w="6911" w:type="dxa"/>
          </w:tcPr>
          <w:p w14:paraId="3701819B" w14:textId="20A8E30E" w:rsidR="00BD1614" w:rsidRPr="002B7ABA" w:rsidRDefault="00BD1614" w:rsidP="004E6DE8">
            <w:pPr>
              <w:spacing w:before="0"/>
              <w:rPr>
                <w:rFonts w:cstheme="minorHAnsi"/>
                <w:b/>
                <w:szCs w:val="24"/>
              </w:rPr>
            </w:pPr>
          </w:p>
        </w:tc>
        <w:tc>
          <w:tcPr>
            <w:tcW w:w="3120" w:type="dxa"/>
          </w:tcPr>
          <w:p w14:paraId="4FD5E934" w14:textId="6596724A" w:rsidR="00BD1614" w:rsidRPr="002B7ABA" w:rsidRDefault="00262D0E" w:rsidP="004E6DE8">
            <w:pPr>
              <w:spacing w:before="0"/>
              <w:rPr>
                <w:rFonts w:cstheme="minorHAnsi"/>
                <w:b/>
                <w:szCs w:val="24"/>
              </w:rPr>
            </w:pPr>
            <w:r w:rsidRPr="002B7ABA">
              <w:rPr>
                <w:rFonts w:cstheme="minorHAnsi"/>
                <w:b/>
                <w:szCs w:val="24"/>
              </w:rPr>
              <w:t>12 juillet 2022</w:t>
            </w:r>
          </w:p>
        </w:tc>
      </w:tr>
      <w:tr w:rsidR="00BD1614" w:rsidRPr="002B7ABA" w14:paraId="6B2B4BC1" w14:textId="77777777" w:rsidTr="004E6DE8">
        <w:trPr>
          <w:cantSplit/>
        </w:trPr>
        <w:tc>
          <w:tcPr>
            <w:tcW w:w="6911" w:type="dxa"/>
          </w:tcPr>
          <w:p w14:paraId="780A194C" w14:textId="77777777" w:rsidR="00BD1614" w:rsidRPr="002B7ABA" w:rsidRDefault="00BD1614" w:rsidP="004E6DE8">
            <w:pPr>
              <w:spacing w:before="0"/>
              <w:rPr>
                <w:rFonts w:cstheme="minorHAnsi"/>
                <w:b/>
                <w:smallCaps/>
                <w:szCs w:val="24"/>
              </w:rPr>
            </w:pPr>
          </w:p>
        </w:tc>
        <w:tc>
          <w:tcPr>
            <w:tcW w:w="3120" w:type="dxa"/>
          </w:tcPr>
          <w:p w14:paraId="36796BDA" w14:textId="3D9C6896" w:rsidR="00BD1614" w:rsidRPr="002B7ABA" w:rsidRDefault="00420EF8" w:rsidP="004E6DE8">
            <w:pPr>
              <w:spacing w:before="0"/>
              <w:rPr>
                <w:rFonts w:cstheme="minorHAnsi"/>
                <w:b/>
                <w:szCs w:val="24"/>
              </w:rPr>
            </w:pPr>
            <w:r w:rsidRPr="002B7ABA">
              <w:rPr>
                <w:rFonts w:cstheme="minorHAnsi"/>
                <w:b/>
                <w:szCs w:val="24"/>
              </w:rPr>
              <w:t>Original: anglais</w:t>
            </w:r>
          </w:p>
        </w:tc>
      </w:tr>
      <w:tr w:rsidR="00BD1614" w:rsidRPr="002B7ABA" w14:paraId="4259B884" w14:textId="77777777" w:rsidTr="004E6DE8">
        <w:trPr>
          <w:cantSplit/>
        </w:trPr>
        <w:tc>
          <w:tcPr>
            <w:tcW w:w="10031" w:type="dxa"/>
            <w:gridSpan w:val="2"/>
          </w:tcPr>
          <w:p w14:paraId="770628D7" w14:textId="77777777" w:rsidR="00BD1614" w:rsidRPr="002B7ABA" w:rsidRDefault="00BD1614" w:rsidP="004E6DE8">
            <w:pPr>
              <w:spacing w:before="0"/>
              <w:rPr>
                <w:rFonts w:cstheme="minorHAnsi"/>
                <w:b/>
                <w:szCs w:val="24"/>
              </w:rPr>
            </w:pPr>
          </w:p>
        </w:tc>
      </w:tr>
      <w:tr w:rsidR="00BD1614" w:rsidRPr="002B7ABA" w14:paraId="6A9FB924" w14:textId="77777777" w:rsidTr="004E6DE8">
        <w:trPr>
          <w:cantSplit/>
        </w:trPr>
        <w:tc>
          <w:tcPr>
            <w:tcW w:w="10031" w:type="dxa"/>
            <w:gridSpan w:val="2"/>
          </w:tcPr>
          <w:p w14:paraId="070875E6" w14:textId="3C5FBBD5" w:rsidR="00BD1614" w:rsidRPr="002B7ABA" w:rsidRDefault="00262D0E" w:rsidP="004E6DE8">
            <w:pPr>
              <w:pStyle w:val="Source"/>
            </w:pPr>
            <w:bookmarkStart w:id="4" w:name="dsource" w:colFirst="0" w:colLast="0"/>
            <w:bookmarkEnd w:id="3"/>
            <w:r w:rsidRPr="002B7ABA">
              <w:t>Rapport du Secrétaire général</w:t>
            </w:r>
          </w:p>
        </w:tc>
      </w:tr>
      <w:tr w:rsidR="00BD1614" w:rsidRPr="002B7ABA" w14:paraId="534EEA05" w14:textId="77777777" w:rsidTr="004E6DE8">
        <w:trPr>
          <w:cantSplit/>
        </w:trPr>
        <w:tc>
          <w:tcPr>
            <w:tcW w:w="10031" w:type="dxa"/>
            <w:gridSpan w:val="2"/>
          </w:tcPr>
          <w:p w14:paraId="0C8E89F3" w14:textId="71A4A920" w:rsidR="00BD1614" w:rsidRPr="002B7ABA" w:rsidRDefault="00262D0E" w:rsidP="004E6DE8">
            <w:pPr>
              <w:pStyle w:val="Title1"/>
            </w:pPr>
            <w:bookmarkStart w:id="5" w:name="_Hlk112581931"/>
            <w:bookmarkStart w:id="6" w:name="dtitle1" w:colFirst="0" w:colLast="0"/>
            <w:bookmarkEnd w:id="4"/>
            <w:r w:rsidRPr="002B7ABA">
              <w:t>RAPPORT SUR LES PROGRÈS RÉALISÉS CONCERNANT</w:t>
            </w:r>
            <w:r w:rsidRPr="002B7ABA">
              <w:br/>
              <w:t>LE PROJET DE LOCAUX DU SIÈGE DE L</w:t>
            </w:r>
            <w:r w:rsidR="004E6DE8">
              <w:t>'</w:t>
            </w:r>
            <w:r w:rsidRPr="002B7ABA">
              <w:t>UNION</w:t>
            </w:r>
            <w:bookmarkEnd w:id="5"/>
          </w:p>
        </w:tc>
      </w:tr>
      <w:tr w:rsidR="00BD1614" w:rsidRPr="002B7ABA" w14:paraId="3488B00F" w14:textId="77777777" w:rsidTr="004E6DE8">
        <w:trPr>
          <w:cantSplit/>
        </w:trPr>
        <w:tc>
          <w:tcPr>
            <w:tcW w:w="10031" w:type="dxa"/>
            <w:gridSpan w:val="2"/>
          </w:tcPr>
          <w:p w14:paraId="48DBD50A" w14:textId="2612F372" w:rsidR="00BD1614" w:rsidRPr="002B7ABA" w:rsidRDefault="00BD1614" w:rsidP="004E6DE8">
            <w:pPr>
              <w:pStyle w:val="Agendaitem"/>
              <w:rPr>
                <w:lang w:val="fr-FR"/>
              </w:rPr>
            </w:pPr>
            <w:bookmarkStart w:id="7" w:name="dtitle3" w:colFirst="0" w:colLast="0"/>
            <w:bookmarkEnd w:id="6"/>
          </w:p>
        </w:tc>
      </w:tr>
      <w:bookmarkEnd w:id="7"/>
    </w:tbl>
    <w:p w14:paraId="22ABA56F" w14:textId="77777777" w:rsidR="00262D0E" w:rsidRPr="002B7ABA" w:rsidRDefault="00262D0E" w:rsidP="004E6DE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62D0E" w:rsidRPr="002B7ABA" w14:paraId="6A3EBDFE" w14:textId="77777777" w:rsidTr="004E6DE8">
        <w:trPr>
          <w:trHeight w:val="3372"/>
        </w:trPr>
        <w:tc>
          <w:tcPr>
            <w:tcW w:w="8080" w:type="dxa"/>
            <w:tcBorders>
              <w:top w:val="single" w:sz="12" w:space="0" w:color="auto"/>
              <w:left w:val="single" w:sz="12" w:space="0" w:color="auto"/>
              <w:bottom w:val="single" w:sz="12" w:space="0" w:color="auto"/>
              <w:right w:val="single" w:sz="12" w:space="0" w:color="auto"/>
            </w:tcBorders>
          </w:tcPr>
          <w:p w14:paraId="2DF64DD8" w14:textId="77777777" w:rsidR="00262D0E" w:rsidRPr="00411BD5" w:rsidRDefault="00262D0E" w:rsidP="004E6DE8">
            <w:pPr>
              <w:pStyle w:val="Headingb"/>
            </w:pPr>
            <w:r w:rsidRPr="00411BD5">
              <w:t>Résumé</w:t>
            </w:r>
          </w:p>
          <w:p w14:paraId="5D152BFD" w14:textId="2A85A800" w:rsidR="00262D0E" w:rsidRPr="00411BD5" w:rsidRDefault="00172FB9" w:rsidP="004E6DE8">
            <w:r w:rsidRPr="00172FB9">
              <w:rPr>
                <w:rFonts w:asciiTheme="minorHAnsi" w:hAnsiTheme="minorHAnsi" w:cstheme="minorHAnsi"/>
                <w:color w:val="000000" w:themeColor="text1"/>
              </w:rPr>
              <w:t xml:space="preserve">Le présent document vise à rendre compte à la Conférence de plénipotentiaires de 2022 </w:t>
            </w:r>
            <w:r>
              <w:rPr>
                <w:rFonts w:asciiTheme="minorHAnsi" w:hAnsiTheme="minorHAnsi" w:cstheme="minorHAnsi"/>
                <w:color w:val="000000" w:themeColor="text1"/>
              </w:rPr>
              <w:t>de la mise en œuvre de la Résolution 212 (Dubaï, 2018) de la Conférence de plénipotentiaires et de la Décision 588 du Conseil, en fournissant un rapport</w:t>
            </w:r>
            <w:r w:rsidRPr="00172FB9">
              <w:rPr>
                <w:rFonts w:asciiTheme="minorHAnsi" w:hAnsiTheme="minorHAnsi" w:cstheme="minorHAnsi"/>
                <w:color w:val="000000" w:themeColor="text1"/>
              </w:rPr>
              <w:t xml:space="preserve">, au titre du suivi, </w:t>
            </w:r>
            <w:r>
              <w:rPr>
                <w:rFonts w:asciiTheme="minorHAnsi" w:hAnsiTheme="minorHAnsi" w:cstheme="minorHAnsi"/>
                <w:color w:val="000000" w:themeColor="text1"/>
              </w:rPr>
              <w:t>sur les</w:t>
            </w:r>
            <w:r w:rsidRPr="00172FB9">
              <w:rPr>
                <w:rFonts w:asciiTheme="minorHAnsi" w:hAnsiTheme="minorHAnsi" w:cstheme="minorHAnsi"/>
                <w:color w:val="000000" w:themeColor="text1"/>
              </w:rPr>
              <w:t xml:space="preserve"> progrès accomplis </w:t>
            </w:r>
            <w:r>
              <w:rPr>
                <w:rFonts w:asciiTheme="minorHAnsi" w:hAnsiTheme="minorHAnsi" w:cstheme="minorHAnsi"/>
                <w:color w:val="000000" w:themeColor="text1"/>
              </w:rPr>
              <w:t>concernant la conception et la construction du bâtiment du siège de l</w:t>
            </w:r>
            <w:r w:rsidR="004E6DE8">
              <w:rPr>
                <w:rFonts w:asciiTheme="minorHAnsi" w:hAnsiTheme="minorHAnsi" w:cstheme="minorHAnsi"/>
                <w:color w:val="000000" w:themeColor="text1"/>
              </w:rPr>
              <w:t>'</w:t>
            </w:r>
            <w:r>
              <w:rPr>
                <w:rFonts w:asciiTheme="minorHAnsi" w:hAnsiTheme="minorHAnsi" w:cstheme="minorHAnsi"/>
                <w:color w:val="000000" w:themeColor="text1"/>
              </w:rPr>
              <w:t>Union depuis la PP-18.</w:t>
            </w:r>
            <w:r w:rsidRPr="00172FB9">
              <w:rPr>
                <w:rFonts w:asciiTheme="minorHAnsi" w:hAnsiTheme="minorHAnsi" w:cstheme="minorHAnsi"/>
                <w:color w:val="000000" w:themeColor="text1"/>
              </w:rPr>
              <w:t xml:space="preserve"> </w:t>
            </w:r>
          </w:p>
          <w:p w14:paraId="10455E8E" w14:textId="77777777" w:rsidR="00262D0E" w:rsidRPr="002B7ABA" w:rsidRDefault="00262D0E" w:rsidP="004E6DE8">
            <w:pPr>
              <w:pStyle w:val="Headingb"/>
            </w:pPr>
            <w:r w:rsidRPr="002B7ABA">
              <w:t>Suite à donner</w:t>
            </w:r>
          </w:p>
          <w:p w14:paraId="504938AA" w14:textId="195961D1" w:rsidR="00262D0E" w:rsidRPr="002B7ABA" w:rsidRDefault="00262D0E" w:rsidP="004E6DE8">
            <w:r w:rsidRPr="002B7ABA">
              <w:rPr>
                <w:rFonts w:asciiTheme="minorHAnsi" w:hAnsiTheme="minorHAnsi" w:cstheme="minorHAnsi"/>
                <w:color w:val="000000" w:themeColor="text1"/>
              </w:rPr>
              <w:t xml:space="preserve">La </w:t>
            </w:r>
            <w:r w:rsidR="00172FB9">
              <w:rPr>
                <w:rFonts w:asciiTheme="minorHAnsi" w:hAnsiTheme="minorHAnsi" w:cstheme="minorHAnsi"/>
                <w:color w:val="000000" w:themeColor="text1"/>
              </w:rPr>
              <w:t xml:space="preserve">Conférence de </w:t>
            </w:r>
            <w:r w:rsidRPr="002B7ABA">
              <w:rPr>
                <w:rFonts w:asciiTheme="minorHAnsi" w:hAnsiTheme="minorHAnsi" w:cstheme="minorHAnsi"/>
                <w:color w:val="000000" w:themeColor="text1"/>
              </w:rPr>
              <w:t>plénipotentiaire</w:t>
            </w:r>
            <w:r w:rsidR="00172FB9">
              <w:rPr>
                <w:rFonts w:asciiTheme="minorHAnsi" w:hAnsiTheme="minorHAnsi" w:cstheme="minorHAnsi"/>
                <w:color w:val="000000" w:themeColor="text1"/>
              </w:rPr>
              <w:t>s</w:t>
            </w:r>
            <w:r w:rsidRPr="002B7ABA">
              <w:rPr>
                <w:rFonts w:asciiTheme="minorHAnsi" w:hAnsiTheme="minorHAnsi" w:cstheme="minorHAnsi"/>
                <w:color w:val="000000" w:themeColor="text1"/>
              </w:rPr>
              <w:t xml:space="preserve"> est invité</w:t>
            </w:r>
            <w:r w:rsidR="00172FB9">
              <w:rPr>
                <w:rFonts w:asciiTheme="minorHAnsi" w:hAnsiTheme="minorHAnsi" w:cstheme="minorHAnsi"/>
                <w:color w:val="000000" w:themeColor="text1"/>
              </w:rPr>
              <w:t>e</w:t>
            </w:r>
            <w:r w:rsidRPr="002B7ABA">
              <w:rPr>
                <w:rFonts w:asciiTheme="minorHAnsi" w:hAnsiTheme="minorHAnsi" w:cstheme="minorHAnsi"/>
                <w:color w:val="000000" w:themeColor="text1"/>
              </w:rPr>
              <w:t xml:space="preserve"> à </w:t>
            </w:r>
            <w:r w:rsidRPr="002B7ABA">
              <w:rPr>
                <w:rFonts w:asciiTheme="minorHAnsi" w:hAnsiTheme="minorHAnsi" w:cstheme="minorHAnsi"/>
                <w:b/>
              </w:rPr>
              <w:t>prendre note</w:t>
            </w:r>
            <w:r w:rsidRPr="002B7ABA">
              <w:rPr>
                <w:rFonts w:asciiTheme="minorHAnsi" w:hAnsiTheme="minorHAnsi" w:cstheme="minorHAnsi"/>
              </w:rPr>
              <w:t xml:space="preserve"> du présent rapport.</w:t>
            </w:r>
          </w:p>
          <w:p w14:paraId="240FABC0" w14:textId="77777777" w:rsidR="00262D0E" w:rsidRPr="002B7ABA" w:rsidRDefault="00262D0E" w:rsidP="004E6DE8">
            <w:pPr>
              <w:pStyle w:val="Table"/>
              <w:keepNext w:val="0"/>
              <w:spacing w:before="0" w:after="0"/>
              <w:rPr>
                <w:rFonts w:ascii="Calibri" w:hAnsi="Calibri"/>
                <w:caps w:val="0"/>
                <w:sz w:val="22"/>
                <w:lang w:val="fr-FR"/>
              </w:rPr>
            </w:pPr>
            <w:r w:rsidRPr="002B7ABA">
              <w:rPr>
                <w:rFonts w:ascii="Calibri" w:hAnsi="Calibri"/>
                <w:caps w:val="0"/>
                <w:sz w:val="22"/>
                <w:lang w:val="fr-FR"/>
              </w:rPr>
              <w:t>____________</w:t>
            </w:r>
          </w:p>
          <w:p w14:paraId="083C9E00" w14:textId="77777777" w:rsidR="00262D0E" w:rsidRPr="002B7ABA" w:rsidRDefault="00262D0E" w:rsidP="004E6DE8">
            <w:pPr>
              <w:pStyle w:val="Headingb"/>
            </w:pPr>
            <w:r w:rsidRPr="002B7ABA">
              <w:t>Références</w:t>
            </w:r>
          </w:p>
          <w:p w14:paraId="188610C9" w14:textId="37E53804" w:rsidR="00262D0E" w:rsidRPr="002B7ABA" w:rsidRDefault="00262D0E" w:rsidP="004E6DE8">
            <w:pPr>
              <w:spacing w:after="120"/>
            </w:pPr>
            <w:r w:rsidRPr="002B7ABA">
              <w:t xml:space="preserve">Document </w:t>
            </w:r>
            <w:hyperlink r:id="rId10" w:history="1">
              <w:r w:rsidRPr="002B7ABA">
                <w:rPr>
                  <w:rStyle w:val="Hyperlink"/>
                </w:rPr>
                <w:t>C16/7</w:t>
              </w:r>
            </w:hyperlink>
            <w:r w:rsidRPr="002B7ABA">
              <w:t xml:space="preserve">; </w:t>
            </w:r>
            <w:hyperlink r:id="rId11" w:history="1">
              <w:r w:rsidRPr="002B7ABA">
                <w:rPr>
                  <w:rStyle w:val="Hyperlink"/>
                </w:rPr>
                <w:t>Décision 588 du Conseil</w:t>
              </w:r>
            </w:hyperlink>
            <w:r w:rsidRPr="002B7ABA">
              <w:t xml:space="preserve">; </w:t>
            </w:r>
            <w:hyperlink r:id="rId12" w:history="1">
              <w:r w:rsidRPr="002B7ABA">
                <w:rPr>
                  <w:rStyle w:val="Hyperlink"/>
                </w:rPr>
                <w:t>Résolution 212 (Dubaï, 2018) de la Conférence de plénipotentiaires</w:t>
              </w:r>
            </w:hyperlink>
            <w:r w:rsidRPr="002B7ABA">
              <w:t xml:space="preserve">; </w:t>
            </w:r>
            <w:hyperlink r:id="rId13" w:history="1">
              <w:r w:rsidRPr="002B7ABA">
                <w:rPr>
                  <w:rStyle w:val="Hyperlink"/>
                </w:rPr>
                <w:t>Documents C18/123+Add.1</w:t>
              </w:r>
            </w:hyperlink>
            <w:r w:rsidRPr="002B7ABA">
              <w:t xml:space="preserve">; </w:t>
            </w:r>
            <w:hyperlink r:id="rId14" w:history="1">
              <w:r w:rsidRPr="002B7ABA">
                <w:rPr>
                  <w:rStyle w:val="Hyperlink"/>
                </w:rPr>
                <w:t>C19/</w:t>
              </w:r>
            </w:hyperlink>
            <w:hyperlink r:id="rId15" w:history="1">
              <w:r w:rsidRPr="002B7ABA">
                <w:rPr>
                  <w:rStyle w:val="Hyperlink"/>
                </w:rPr>
                <w:t>DL/12</w:t>
              </w:r>
            </w:hyperlink>
            <w:r w:rsidRPr="002B7ABA">
              <w:t xml:space="preserve">; </w:t>
            </w:r>
            <w:hyperlink r:id="rId16" w:history="1">
              <w:r w:rsidRPr="002B7ABA">
                <w:rPr>
                  <w:rStyle w:val="Hyperlink"/>
                  <w:bCs/>
                </w:rPr>
                <w:t>C19/120</w:t>
              </w:r>
            </w:hyperlink>
            <w:r w:rsidRPr="002B7ABA">
              <w:rPr>
                <w:bCs/>
              </w:rPr>
              <w:t xml:space="preserve"> (</w:t>
            </w:r>
            <w:r w:rsidRPr="002B7ABA">
              <w:t>section 2.2.18)</w:t>
            </w:r>
            <w:r w:rsidR="00466D4B">
              <w:t xml:space="preserve"> et</w:t>
            </w:r>
            <w:r w:rsidRPr="002B7ABA">
              <w:t xml:space="preserve"> </w:t>
            </w:r>
            <w:hyperlink r:id="rId17" w:history="1">
              <w:r w:rsidRPr="002B7ABA">
                <w:rPr>
                  <w:rStyle w:val="Hyperlink"/>
                </w:rPr>
                <w:t>C19-ADD/2(Rév.1)</w:t>
              </w:r>
            </w:hyperlink>
            <w:r w:rsidR="00466D4B">
              <w:rPr>
                <w:rStyle w:val="Hyperlink"/>
              </w:rPr>
              <w:t xml:space="preserve"> du Conseil</w:t>
            </w:r>
            <w:r w:rsidRPr="002B7ABA">
              <w:t xml:space="preserve">; </w:t>
            </w:r>
            <w:hyperlink r:id="rId18" w:history="1">
              <w:r w:rsidRPr="002B7ABA">
                <w:rPr>
                  <w:rStyle w:val="Hyperlink"/>
                </w:rPr>
                <w:t>Décision 619 du Conseil</w:t>
              </w:r>
            </w:hyperlink>
            <w:r w:rsidRPr="002B7ABA">
              <w:t xml:space="preserve">; </w:t>
            </w:r>
            <w:hyperlink r:id="rId19" w:history="1">
              <w:r w:rsidRPr="002B7ABA">
                <w:rPr>
                  <w:rStyle w:val="Hyperlink"/>
                  <w:rFonts w:asciiTheme="minorHAnsi" w:hAnsiTheme="minorHAnsi" w:cstheme="minorHAnsi"/>
                  <w:szCs w:val="22"/>
                  <w:lang w:eastAsia="zh-CN"/>
                </w:rPr>
                <w:t>Documents C20/15</w:t>
              </w:r>
            </w:hyperlink>
            <w:r w:rsidRPr="002B7ABA">
              <w:t xml:space="preserve">; </w:t>
            </w:r>
            <w:hyperlink r:id="rId20" w:history="1">
              <w:r w:rsidRPr="002B7ABA">
                <w:rPr>
                  <w:rStyle w:val="Hyperlink"/>
                  <w:rFonts w:asciiTheme="minorHAnsi" w:hAnsiTheme="minorHAnsi" w:cstheme="minorHAnsi"/>
                </w:rPr>
                <w:t>C20/29</w:t>
              </w:r>
            </w:hyperlink>
            <w:r w:rsidRPr="002B7ABA">
              <w:t xml:space="preserve">; </w:t>
            </w:r>
            <w:hyperlink r:id="rId21" w:history="1">
              <w:r w:rsidRPr="002B7ABA">
                <w:rPr>
                  <w:rStyle w:val="Hyperlink"/>
                </w:rPr>
                <w:t>C20/37</w:t>
              </w:r>
            </w:hyperlink>
            <w:r w:rsidRPr="002B7ABA">
              <w:t xml:space="preserve">; </w:t>
            </w:r>
            <w:hyperlink r:id="rId22" w:history="1">
              <w:r w:rsidRPr="002B7ABA">
                <w:rPr>
                  <w:rStyle w:val="Hyperlink"/>
                </w:rPr>
                <w:t>C20/53</w:t>
              </w:r>
            </w:hyperlink>
            <w:r w:rsidRPr="002B7ABA">
              <w:t xml:space="preserve">; </w:t>
            </w:r>
            <w:hyperlink r:id="rId23" w:history="1">
              <w:r w:rsidRPr="002B7ABA">
                <w:rPr>
                  <w:rStyle w:val="Hyperlink"/>
                </w:rPr>
                <w:t>C20/7(Rév.1)</w:t>
              </w:r>
            </w:hyperlink>
            <w:r w:rsidRPr="002B7ABA">
              <w:t xml:space="preserve">; </w:t>
            </w:r>
            <w:hyperlink r:id="rId24" w:history="1">
              <w:r w:rsidRPr="002B7ABA">
                <w:rPr>
                  <w:rStyle w:val="Hyperlink"/>
                </w:rPr>
                <w:t>CWG</w:t>
              </w:r>
              <w:r w:rsidRPr="002B7ABA">
                <w:rPr>
                  <w:rStyle w:val="Hyperlink"/>
                </w:rPr>
                <w:noBreakHyphen/>
                <w:t>FHR 12/5</w:t>
              </w:r>
            </w:hyperlink>
            <w:r w:rsidR="00466D4B">
              <w:t xml:space="preserve"> et</w:t>
            </w:r>
            <w:r w:rsidRPr="002B7ABA">
              <w:t xml:space="preserve"> </w:t>
            </w:r>
            <w:hyperlink r:id="rId25" w:history="1">
              <w:r w:rsidRPr="002B7ABA">
                <w:rPr>
                  <w:rStyle w:val="Hyperlink"/>
                </w:rPr>
                <w:t>C21/7</w:t>
              </w:r>
            </w:hyperlink>
            <w:r w:rsidR="002E03D7">
              <w:rPr>
                <w:rStyle w:val="Hyperlink"/>
              </w:rPr>
              <w:t xml:space="preserve"> du Conseil</w:t>
            </w:r>
            <w:r w:rsidRPr="002B7ABA">
              <w:t xml:space="preserve">; </w:t>
            </w:r>
            <w:hyperlink r:id="rId26" w:history="1">
              <w:r w:rsidRPr="002B7ABA">
                <w:rPr>
                  <w:rStyle w:val="Hyperlink"/>
                </w:rPr>
                <w:t>Décision 619 (modifiée en 2021) du Conseil</w:t>
              </w:r>
            </w:hyperlink>
            <w:r w:rsidR="004E6DE8">
              <w:rPr>
                <w:rStyle w:val="Hyperlink"/>
              </w:rPr>
              <w:t>; Document C22/7 (Rév.</w:t>
            </w:r>
            <w:r w:rsidR="002E03D7">
              <w:rPr>
                <w:rStyle w:val="Hyperlink"/>
              </w:rPr>
              <w:t>1) du Conseil</w:t>
            </w:r>
          </w:p>
        </w:tc>
      </w:tr>
    </w:tbl>
    <w:p w14:paraId="040BA45A" w14:textId="653ADD02" w:rsidR="00262D0E" w:rsidRPr="00411BD5" w:rsidRDefault="00262D0E" w:rsidP="004E6DE8">
      <w:pPr>
        <w:pStyle w:val="Heading1"/>
        <w:rPr>
          <w:lang w:eastAsia="ja-JP"/>
        </w:rPr>
      </w:pPr>
      <w:r w:rsidRPr="00411BD5">
        <w:rPr>
          <w:lang w:eastAsia="ja-JP"/>
        </w:rPr>
        <w:t>1</w:t>
      </w:r>
      <w:r w:rsidRPr="00411BD5">
        <w:rPr>
          <w:lang w:eastAsia="ja-JP"/>
        </w:rPr>
        <w:tab/>
      </w:r>
      <w:r w:rsidR="00EE2AE5">
        <w:rPr>
          <w:lang w:eastAsia="ja-JP"/>
        </w:rPr>
        <w:t>Rappel</w:t>
      </w:r>
    </w:p>
    <w:p w14:paraId="1DF9FE41" w14:textId="1315F726" w:rsidR="00262D0E" w:rsidRPr="00411BD5" w:rsidRDefault="002E03D7" w:rsidP="004E6DE8">
      <w:r w:rsidRPr="002E03D7">
        <w:t>La Conférence de plénipotentiaires d</w:t>
      </w:r>
      <w:r>
        <w:t>e 2018 a chargé le Secrétair</w:t>
      </w:r>
      <w:r w:rsidR="004E6DE8">
        <w:t>e général de faire rapport à la </w:t>
      </w:r>
      <w:r>
        <w:t>prochaine Conférence de plénipotentiaires sur la mise en œuv</w:t>
      </w:r>
      <w:r w:rsidR="004E6DE8">
        <w:t>re de la Résolution 212 (Dubaï, </w:t>
      </w:r>
      <w:r>
        <w:t>2018).</w:t>
      </w:r>
    </w:p>
    <w:p w14:paraId="097E801C" w14:textId="77777777" w:rsidR="004E6DE8" w:rsidRDefault="004E6DE8" w:rsidP="004E6DE8">
      <w:r>
        <w:br w:type="page"/>
      </w:r>
    </w:p>
    <w:p w14:paraId="305D1BDB" w14:textId="62E8B17B" w:rsidR="00262D0E" w:rsidRPr="00262D0E" w:rsidRDefault="00262D0E" w:rsidP="004E6DE8">
      <w:r w:rsidRPr="00262D0E">
        <w:lastRenderedPageBreak/>
        <w:t xml:space="preserve">La Décision 619 </w:t>
      </w:r>
      <w:r w:rsidR="00466D4B">
        <w:t xml:space="preserve">(2019) </w:t>
      </w:r>
      <w:r w:rsidRPr="00262D0E">
        <w:t>a été adoptée lors de la session additionnelle du Conseil</w:t>
      </w:r>
      <w:r w:rsidR="00EE2AE5">
        <w:t xml:space="preserve"> de l</w:t>
      </w:r>
      <w:r w:rsidR="004E6DE8">
        <w:t>'</w:t>
      </w:r>
      <w:r w:rsidR="00EE2AE5">
        <w:t>UIT</w:t>
      </w:r>
      <w:r w:rsidR="004E6DE8">
        <w:t xml:space="preserve"> tenue à </w:t>
      </w:r>
      <w:r w:rsidRPr="00262D0E">
        <w:t>Genève le 27 septembre 2019, afin d</w:t>
      </w:r>
      <w:r w:rsidR="004E6DE8">
        <w:t>'</w:t>
      </w:r>
      <w:r w:rsidRPr="00262D0E">
        <w:t>approuver le coût direct final du projet de nouveau bâtiment du siège de l</w:t>
      </w:r>
      <w:r w:rsidR="004E6DE8">
        <w:t>'</w:t>
      </w:r>
      <w:r w:rsidRPr="00262D0E">
        <w:t>Union d</w:t>
      </w:r>
      <w:r w:rsidR="004E6DE8">
        <w:t>'</w:t>
      </w:r>
      <w:r w:rsidRPr="00262D0E">
        <w:t xml:space="preserve">un montant de 170 139 000 CHF, comme indiqué dans le Document C19-ADD/2, qui sera intégralement financé au moyen des fonds disponibles, à savoir par le prêt consenti par le pays hôte à hauteur de 150 000 000 CHF, par des parrainages et des dons à hauteur de 15 140 000 CHF et par le Fonds pour le projet de nouveau bâtiment à hauteur de 5 000 000 CHF. </w:t>
      </w:r>
    </w:p>
    <w:p w14:paraId="7AD6F79A" w14:textId="660D6379" w:rsidR="000D15FB" w:rsidRPr="002E03D7" w:rsidRDefault="002E03D7" w:rsidP="004E6DE8">
      <w:r w:rsidRPr="002E03D7">
        <w:t>Dans sa Décision 619 (2019), le C</w:t>
      </w:r>
      <w:r>
        <w:t>onseil de l</w:t>
      </w:r>
      <w:r w:rsidR="004E6DE8">
        <w:t>'</w:t>
      </w:r>
      <w:r>
        <w:t>UIT a également chargé le Secrétaire général</w:t>
      </w:r>
      <w:r w:rsidR="00262D0E" w:rsidRPr="002E03D7">
        <w:t>:</w:t>
      </w:r>
    </w:p>
    <w:p w14:paraId="487DFF33" w14:textId="71590A79" w:rsidR="00262D0E" w:rsidRPr="002B7ABA" w:rsidRDefault="00262D0E" w:rsidP="004E6DE8">
      <w:pPr>
        <w:pStyle w:val="enumlev1"/>
      </w:pPr>
      <w:r w:rsidRPr="002B7ABA">
        <w:t>•</w:t>
      </w:r>
      <w:r w:rsidRPr="002B7ABA">
        <w:tab/>
        <w:t>de soumettre aux autorités suisses compétentes la demande concernant la seconde tranche du prêt d</w:t>
      </w:r>
      <w:r w:rsidR="004E6DE8">
        <w:t>'</w:t>
      </w:r>
      <w:r w:rsidRPr="002B7ABA">
        <w:t>un montant de 150 000 000 CHF;</w:t>
      </w:r>
    </w:p>
    <w:p w14:paraId="24B425DD" w14:textId="7FAFFD07" w:rsidR="00262D0E" w:rsidRPr="002B7ABA" w:rsidRDefault="00262D0E" w:rsidP="004E6DE8">
      <w:pPr>
        <w:pStyle w:val="enumlev1"/>
      </w:pPr>
      <w:r w:rsidRPr="002B7ABA">
        <w:t>•</w:t>
      </w:r>
      <w:r w:rsidRPr="002B7ABA">
        <w:tab/>
        <w:t>de créer le Fonds pour le Registre des risques;</w:t>
      </w:r>
    </w:p>
    <w:p w14:paraId="2E1D5D10" w14:textId="767E3814" w:rsidR="00262D0E" w:rsidRPr="002B7ABA" w:rsidRDefault="00262D0E" w:rsidP="004E6DE8">
      <w:pPr>
        <w:pStyle w:val="enumlev1"/>
      </w:pPr>
      <w:r w:rsidRPr="002B7ABA">
        <w:t>•</w:t>
      </w:r>
      <w:r w:rsidRPr="002B7ABA">
        <w:tab/>
        <w:t>de répondre aux besoins en ce qui concerne les salles de conférence et réunion provisoires pendant la démolition et la phase de construction initiale du projet;</w:t>
      </w:r>
    </w:p>
    <w:p w14:paraId="3787F71F" w14:textId="43C7E117" w:rsidR="00262D0E" w:rsidRPr="002B7ABA" w:rsidRDefault="00262D0E" w:rsidP="004E6DE8">
      <w:pPr>
        <w:pStyle w:val="enumlev1"/>
      </w:pPr>
      <w:r w:rsidRPr="002B7ABA">
        <w:t>•</w:t>
      </w:r>
      <w:r w:rsidRPr="002B7ABA">
        <w:tab/>
        <w:t>de poursuivre la mise en œuvre des décisions du Conseil concernant la conservation d</w:t>
      </w:r>
      <w:r w:rsidR="004E6DE8">
        <w:t>'</w:t>
      </w:r>
      <w:r w:rsidRPr="002B7ABA">
        <w:t>une salle Popov;</w:t>
      </w:r>
    </w:p>
    <w:p w14:paraId="76201E99" w14:textId="02F898FA" w:rsidR="00262D0E" w:rsidRPr="002B7ABA" w:rsidRDefault="00262D0E" w:rsidP="004E6DE8">
      <w:pPr>
        <w:pStyle w:val="enumlev1"/>
      </w:pPr>
      <w:r w:rsidRPr="002B7ABA">
        <w:t>•</w:t>
      </w:r>
      <w:r w:rsidRPr="002B7ABA">
        <w:tab/>
        <w:t>de collaborer avec le pays hôte pour prendre en compte la mise en œuvre des exigences du Département de la sûreté et de la sécurité (DSS) de l</w:t>
      </w:r>
      <w:r w:rsidR="004E6DE8">
        <w:t>'</w:t>
      </w:r>
      <w:r w:rsidRPr="002B7ABA">
        <w:t>ONU, de façon à assurer la conformité aux normes UN-MOSS;</w:t>
      </w:r>
    </w:p>
    <w:p w14:paraId="4942D894" w14:textId="3234F2D2" w:rsidR="00262D0E" w:rsidRPr="002B7ABA" w:rsidRDefault="00262D0E" w:rsidP="004E6DE8">
      <w:pPr>
        <w:pStyle w:val="enumlev1"/>
      </w:pPr>
      <w:r w:rsidRPr="002B7ABA">
        <w:t>•</w:t>
      </w:r>
      <w:r w:rsidRPr="002B7ABA">
        <w:tab/>
        <w:t>de continuer de collaborer avec le Conseil du personnel, afin de favoriser une plus grande transparence et d</w:t>
      </w:r>
      <w:r w:rsidR="004E6DE8">
        <w:t>'</w:t>
      </w:r>
      <w:r w:rsidRPr="002B7ABA">
        <w:t>améliorer le dialogue dans le cadre de l</w:t>
      </w:r>
      <w:r w:rsidR="004E6DE8">
        <w:t>'</w:t>
      </w:r>
      <w:r w:rsidRPr="002B7ABA">
        <w:t>ensemble du processus de relogement et de conception, en veillant à préserver le moral, le bien-être et l</w:t>
      </w:r>
      <w:r w:rsidR="004E6DE8">
        <w:t>'</w:t>
      </w:r>
      <w:r w:rsidRPr="002B7ABA">
        <w:t>efficacité du personnel dans l</w:t>
      </w:r>
      <w:r w:rsidR="004E6DE8">
        <w:t>'</w:t>
      </w:r>
      <w:r w:rsidRPr="002B7ABA">
        <w:t>exercice de ses fonctions au service de l</w:t>
      </w:r>
      <w:r w:rsidR="004E6DE8">
        <w:t>'</w:t>
      </w:r>
      <w:r w:rsidRPr="002B7ABA">
        <w:t>Union;</w:t>
      </w:r>
    </w:p>
    <w:p w14:paraId="247B8F7E" w14:textId="503A922E" w:rsidR="00262D0E" w:rsidRPr="002B7ABA" w:rsidRDefault="00262D0E" w:rsidP="004E6DE8">
      <w:pPr>
        <w:pStyle w:val="enumlev1"/>
      </w:pPr>
      <w:r w:rsidRPr="002B7ABA">
        <w:t>•</w:t>
      </w:r>
      <w:r w:rsidRPr="002B7ABA">
        <w:tab/>
        <w:t>d</w:t>
      </w:r>
      <w:r w:rsidR="004E6DE8">
        <w:t>'</w:t>
      </w:r>
      <w:r w:rsidRPr="002B7ABA">
        <w:t>élaborer une Stratégie et un Plan de mise en œuvre pour les conditions de travail du personnel, pour examen par le Conseil à sa session de 2020, notamment en mettant en place des mesures destinées à faciliter l</w:t>
      </w:r>
      <w:r w:rsidR="004E6DE8">
        <w:t>'</w:t>
      </w:r>
      <w:r w:rsidRPr="002B7ABA">
        <w:t>aménagement du temps de travail, y compris des plans visant à autoriser les fonctionnaires à travailler depuis leur domicile;</w:t>
      </w:r>
    </w:p>
    <w:p w14:paraId="333C9391" w14:textId="04BFB4E2" w:rsidR="00262D0E" w:rsidRPr="002B7ABA" w:rsidRDefault="00262D0E" w:rsidP="004E6DE8">
      <w:pPr>
        <w:pStyle w:val="enumlev1"/>
      </w:pPr>
      <w:r w:rsidRPr="002B7ABA">
        <w:t>•</w:t>
      </w:r>
      <w:r w:rsidRPr="002B7ABA">
        <w:tab/>
        <w:t>de fournir chaque trimestre des informations au groupe MSAG, notamment des informations relatives aux mises à jour du Registre des risques;</w:t>
      </w:r>
    </w:p>
    <w:p w14:paraId="35F5DD65" w14:textId="7291A538" w:rsidR="00262D0E" w:rsidRPr="002B7ABA" w:rsidRDefault="00262D0E" w:rsidP="004E6DE8">
      <w:pPr>
        <w:pStyle w:val="enumlev1"/>
      </w:pPr>
      <w:r w:rsidRPr="002B7ABA">
        <w:t>•</w:t>
      </w:r>
      <w:r w:rsidRPr="002B7ABA">
        <w:tab/>
        <w:t>de procéder à intervalles réguliers à des audits du projet;</w:t>
      </w:r>
    </w:p>
    <w:p w14:paraId="6B085849" w14:textId="5BDC15F5" w:rsidR="00262D0E" w:rsidRPr="002B7ABA" w:rsidRDefault="00262D0E" w:rsidP="004E6DE8">
      <w:pPr>
        <w:pStyle w:val="enumlev1"/>
      </w:pPr>
      <w:r w:rsidRPr="002B7ABA">
        <w:t>•</w:t>
      </w:r>
      <w:r w:rsidRPr="002B7ABA">
        <w:tab/>
        <w:t>de continuer de respecter les normes les plus strictes en matière d</w:t>
      </w:r>
      <w:r w:rsidR="004E6DE8">
        <w:t>'</w:t>
      </w:r>
      <w:r w:rsidRPr="002B7ABA">
        <w:t>éthique et de passation de marchés dans le cadre de toutes les procédures d</w:t>
      </w:r>
      <w:r w:rsidR="004E6DE8">
        <w:t>'</w:t>
      </w:r>
      <w:r w:rsidRPr="002B7ABA">
        <w:t>appel d</w:t>
      </w:r>
      <w:r w:rsidR="004E6DE8">
        <w:t>'</w:t>
      </w:r>
      <w:r w:rsidRPr="002B7ABA">
        <w:t>offres qui seront organisées pendant toute la durée du projet.</w:t>
      </w:r>
    </w:p>
    <w:p w14:paraId="475DD943" w14:textId="207C9EE1" w:rsidR="002B7ABA" w:rsidRPr="00DD0DAD" w:rsidRDefault="002B7ABA" w:rsidP="004E6DE8">
      <w:pPr>
        <w:ind w:right="-142"/>
        <w:rPr>
          <w:lang w:eastAsia="ja-JP"/>
        </w:rPr>
      </w:pPr>
      <w:r w:rsidRPr="00DD0DAD">
        <w:rPr>
          <w:lang w:eastAsia="ja-JP"/>
        </w:rPr>
        <w:t xml:space="preserve">À sa session de 2021, le Conseil </w:t>
      </w:r>
      <w:r w:rsidR="002E03D7">
        <w:rPr>
          <w:lang w:eastAsia="ja-JP"/>
        </w:rPr>
        <w:t>de l</w:t>
      </w:r>
      <w:r w:rsidR="004E6DE8">
        <w:rPr>
          <w:lang w:eastAsia="ja-JP"/>
        </w:rPr>
        <w:t>'</w:t>
      </w:r>
      <w:r w:rsidR="002E03D7">
        <w:rPr>
          <w:lang w:eastAsia="ja-JP"/>
        </w:rPr>
        <w:t xml:space="preserve">UIT </w:t>
      </w:r>
      <w:r w:rsidRPr="00DD0DAD">
        <w:rPr>
          <w:lang w:eastAsia="ja-JP"/>
        </w:rPr>
        <w:t xml:space="preserve">a révisé le point 4 du </w:t>
      </w:r>
      <w:r w:rsidRPr="00DD0DAD">
        <w:rPr>
          <w:i/>
          <w:iCs/>
          <w:lang w:eastAsia="ja-JP"/>
        </w:rPr>
        <w:t>décide</w:t>
      </w:r>
      <w:r w:rsidRPr="00DD0DAD">
        <w:rPr>
          <w:lang w:eastAsia="ja-JP"/>
        </w:rPr>
        <w:t xml:space="preserve"> de sa Décision 619, afin de rendre possibles les futurs parrainages ou dons selon des conditions prédéfinies.</w:t>
      </w:r>
    </w:p>
    <w:p w14:paraId="7664B488" w14:textId="48374444" w:rsidR="002B7ABA" w:rsidRDefault="002B7ABA" w:rsidP="004E6DE8">
      <w:pPr>
        <w:ind w:right="-142"/>
        <w:rPr>
          <w:lang w:eastAsia="ja-JP"/>
        </w:rPr>
      </w:pPr>
      <w:r w:rsidRPr="00DD0DAD">
        <w:rPr>
          <w:lang w:eastAsia="ja-JP"/>
        </w:rPr>
        <w:t>Depuis lors, l</w:t>
      </w:r>
      <w:r w:rsidR="004E6DE8">
        <w:rPr>
          <w:lang w:eastAsia="ja-JP"/>
        </w:rPr>
        <w:t>'</w:t>
      </w:r>
      <w:r w:rsidRPr="00DD0DAD">
        <w:rPr>
          <w:lang w:eastAsia="ja-JP"/>
        </w:rPr>
        <w:t>UIT a signé des accords de parrainage supplémentaires</w:t>
      </w:r>
      <w:r w:rsidR="002E03D7">
        <w:rPr>
          <w:lang w:eastAsia="ja-JP"/>
        </w:rPr>
        <w:t xml:space="preserve"> et a reçu des dons représentant un montant de 3 150 000 CHF</w:t>
      </w:r>
      <w:r w:rsidRPr="00DD0DAD">
        <w:rPr>
          <w:lang w:eastAsia="ja-JP"/>
        </w:rPr>
        <w:t>.</w:t>
      </w:r>
    </w:p>
    <w:p w14:paraId="35AF12C1" w14:textId="08E90BFD" w:rsidR="00E945F4" w:rsidRPr="002E03D7" w:rsidRDefault="002E03D7" w:rsidP="004E6DE8">
      <w:pPr>
        <w:ind w:right="-142"/>
        <w:rPr>
          <w:lang w:eastAsia="ja-JP"/>
        </w:rPr>
      </w:pPr>
      <w:r w:rsidRPr="002E03D7">
        <w:rPr>
          <w:lang w:eastAsia="ja-JP"/>
        </w:rPr>
        <w:t xml:space="preserve">On trouvera dans la Section 10 la liste des sponsors et </w:t>
      </w:r>
      <w:r>
        <w:rPr>
          <w:lang w:eastAsia="ja-JP"/>
        </w:rPr>
        <w:t>des donateurs</w:t>
      </w:r>
      <w:r w:rsidR="00E945F4" w:rsidRPr="002E03D7">
        <w:rPr>
          <w:lang w:eastAsia="ja-JP"/>
        </w:rPr>
        <w:t>.</w:t>
      </w:r>
    </w:p>
    <w:p w14:paraId="106EB367" w14:textId="77777777" w:rsidR="002B7ABA" w:rsidRPr="00DD0DAD" w:rsidRDefault="002B7ABA" w:rsidP="004E6DE8">
      <w:pPr>
        <w:ind w:right="-142"/>
        <w:rPr>
          <w:lang w:eastAsia="ja-JP"/>
        </w:rPr>
      </w:pPr>
      <w:r w:rsidRPr="00DD0DAD">
        <w:rPr>
          <w:lang w:eastAsia="ja-JP"/>
        </w:rPr>
        <w:t>Le projet se poursuit conformément au calendrier et au budget prévus.</w:t>
      </w:r>
    </w:p>
    <w:p w14:paraId="01E542C6" w14:textId="18F326BB" w:rsidR="002B7ABA" w:rsidRPr="00DD0DAD" w:rsidRDefault="002B7ABA" w:rsidP="004E6DE8">
      <w:pPr>
        <w:pStyle w:val="Heading1"/>
        <w:rPr>
          <w:lang w:eastAsia="ja-JP"/>
        </w:rPr>
      </w:pPr>
      <w:r w:rsidRPr="00DD0DAD">
        <w:rPr>
          <w:lang w:eastAsia="ja-JP"/>
        </w:rPr>
        <w:lastRenderedPageBreak/>
        <w:t>2</w:t>
      </w:r>
      <w:r w:rsidRPr="00DD0DAD">
        <w:rPr>
          <w:lang w:eastAsia="ja-JP"/>
        </w:rPr>
        <w:tab/>
      </w:r>
      <w:r w:rsidR="00E945F4">
        <w:rPr>
          <w:lang w:eastAsia="ja-JP"/>
        </w:rPr>
        <w:t>Gouvernance</w:t>
      </w:r>
    </w:p>
    <w:p w14:paraId="5D423415" w14:textId="1B74E215" w:rsidR="00E945F4" w:rsidRDefault="00E945F4" w:rsidP="004E6DE8">
      <w:r>
        <w:t>D</w:t>
      </w:r>
      <w:r w:rsidRPr="00E945F4">
        <w:t>ans le cadre de la structure de gouvernance du projet, le Secrétaire général a créé un Comité de liaison entre le secrétariat de l</w:t>
      </w:r>
      <w:r w:rsidR="004E6DE8">
        <w:t>'</w:t>
      </w:r>
      <w:r w:rsidRPr="00E945F4">
        <w:t xml:space="preserve">UIT et les représentants des organes administratifs suisses, notamment des représentants </w:t>
      </w:r>
      <w:r w:rsidR="007B55B5" w:rsidRPr="007B55B5">
        <w:t>de la Confédération suisse</w:t>
      </w:r>
      <w:r w:rsidR="007B55B5">
        <w:t xml:space="preserve">, </w:t>
      </w:r>
      <w:r w:rsidRPr="00E945F4">
        <w:t>du Canton de Genève et de la Fondation des immeubles pour les organisations internationales (FIPOI)</w:t>
      </w:r>
      <w:r>
        <w:t>.</w:t>
      </w:r>
    </w:p>
    <w:p w14:paraId="101F8874" w14:textId="1E3D756A" w:rsidR="00E945F4" w:rsidRPr="007B55B5" w:rsidRDefault="007B55B5" w:rsidP="004E6DE8">
      <w:r w:rsidRPr="007B55B5">
        <w:t>Une structure de gouvernance globale a été créée et ap</w:t>
      </w:r>
      <w:r>
        <w:t xml:space="preserve">prouvée par la </w:t>
      </w:r>
      <w:r w:rsidR="00EE2AE5">
        <w:t>d</w:t>
      </w:r>
      <w:r>
        <w:t>irection.</w:t>
      </w:r>
    </w:p>
    <w:p w14:paraId="352D0402" w14:textId="4528FC21" w:rsidR="00E945F4" w:rsidRPr="00CC48CB" w:rsidRDefault="007B55B5" w:rsidP="004E6DE8">
      <w:r w:rsidRPr="007B55B5">
        <w:t>Des réunions et des séan</w:t>
      </w:r>
      <w:r>
        <w:t>ces d</w:t>
      </w:r>
      <w:r w:rsidR="004E6DE8">
        <w:t>'</w:t>
      </w:r>
      <w:r>
        <w:t>information sont organisées avec toutes les parties prenantes concernées par le nouveau bâtiment conformément à la structure de gouvernance du projet</w:t>
      </w:r>
      <w:r w:rsidR="00E945F4" w:rsidRPr="00CC48CB">
        <w:t>.</w:t>
      </w:r>
    </w:p>
    <w:p w14:paraId="598C0D59" w14:textId="7E87FE8D" w:rsidR="00E945F4" w:rsidRPr="00CC48CB" w:rsidRDefault="00E945F4" w:rsidP="004E6DE8">
      <w:pPr>
        <w:pStyle w:val="Heading1"/>
      </w:pPr>
      <w:r w:rsidRPr="00CC48CB">
        <w:t>3</w:t>
      </w:r>
      <w:r w:rsidRPr="00CC48CB">
        <w:tab/>
      </w:r>
      <w:r w:rsidR="00CC48CB" w:rsidRPr="00CC48CB">
        <w:t xml:space="preserve">Processus de consultation, de </w:t>
      </w:r>
      <w:r w:rsidR="00CC48CB">
        <w:t>mobilisation et d</w:t>
      </w:r>
      <w:r w:rsidR="004E6DE8">
        <w:t>'</w:t>
      </w:r>
      <w:r w:rsidR="00963A54">
        <w:t>information dans le cadre du </w:t>
      </w:r>
      <w:r w:rsidR="00CC48CB">
        <w:t>projet</w:t>
      </w:r>
    </w:p>
    <w:p w14:paraId="67F7ADBA" w14:textId="4D160437" w:rsidR="00E945F4" w:rsidRPr="00CC48CB" w:rsidRDefault="00CC48CB" w:rsidP="004E6DE8">
      <w:r w:rsidRPr="00CC48CB">
        <w:t xml:space="preserve">Des </w:t>
      </w:r>
      <w:r w:rsidR="00DE5ADB">
        <w:t>séances</w:t>
      </w:r>
      <w:r w:rsidRPr="00CC48CB">
        <w:t xml:space="preserve"> d</w:t>
      </w:r>
      <w:r w:rsidR="004E6DE8">
        <w:t>'</w:t>
      </w:r>
      <w:r w:rsidRPr="00CC48CB">
        <w:t>information et d</w:t>
      </w:r>
      <w:r>
        <w:t>es consultations ont été organisées à intervalles réguliers. La plupart ont eu lieu de façon virtuelle, compte tenu de la pandémie de COVID-19</w:t>
      </w:r>
      <w:r w:rsidR="00E945F4" w:rsidRPr="00CC48CB">
        <w:t xml:space="preserve">. </w:t>
      </w:r>
    </w:p>
    <w:p w14:paraId="23D0A43F" w14:textId="5E72FB31" w:rsidR="00E945F4" w:rsidRDefault="00CC48CB" w:rsidP="004E6DE8">
      <w:r>
        <w:t>Le Groupe consultatif d</w:t>
      </w:r>
      <w:r w:rsidR="004E6DE8">
        <w:t>'</w:t>
      </w:r>
      <w:r>
        <w:t>États Membres (MSAG) tient en général une réunion trimestrielle pour examiner l</w:t>
      </w:r>
      <w:r w:rsidR="004E6DE8">
        <w:t>'</w:t>
      </w:r>
      <w:r>
        <w:t>état d</w:t>
      </w:r>
      <w:r w:rsidR="004E6DE8">
        <w:t>'</w:t>
      </w:r>
      <w:r>
        <w:t>avancement du projet et fournir des orientations, en particulier sur les questions qui ont des conséquences directes pour la portée, le coût et le calendrier, par exemple en réalisant une analyse approfondie du registre des risques</w:t>
      </w:r>
      <w:r w:rsidR="00C4352F">
        <w:t xml:space="preserve"> concernant le projet.</w:t>
      </w:r>
    </w:p>
    <w:p w14:paraId="1639B90A" w14:textId="3208A7F8" w:rsidR="00E945F4" w:rsidRPr="00411BD5" w:rsidRDefault="00C4352F" w:rsidP="004E6DE8">
      <w:r w:rsidRPr="00C4352F">
        <w:t xml:space="preserve">Des réunions </w:t>
      </w:r>
      <w:r>
        <w:t xml:space="preserve">régulières avec les représentants des missions permanentes à Genève visant à leur présenter des informations ont été organisées, essentiellement dans le cadre des réunions du Groupe </w:t>
      </w:r>
      <w:r w:rsidR="00DE5ADB">
        <w:t>à</w:t>
      </w:r>
      <w:r w:rsidR="00DF16B5">
        <w:t xml:space="preserve"> Genève.</w:t>
      </w:r>
    </w:p>
    <w:p w14:paraId="3F7C784B" w14:textId="701F2BF7" w:rsidR="00E945F4" w:rsidRPr="00DF16B5" w:rsidRDefault="00DF16B5" w:rsidP="004E6DE8">
      <w:r w:rsidRPr="00DF16B5">
        <w:t>Des rapports annuels ont é</w:t>
      </w:r>
      <w:r>
        <w:t>té présentés au Conseil sur les progrès accomplis en vue de la mise en œuvre de la Résolution 212</w:t>
      </w:r>
      <w:r w:rsidR="001C69FC">
        <w:t xml:space="preserve"> (Dubaï, 2018)</w:t>
      </w:r>
      <w:r>
        <w:t xml:space="preserve"> de la PP</w:t>
      </w:r>
      <w:r w:rsidR="00E945F4" w:rsidRPr="00DF16B5">
        <w:t>.</w:t>
      </w:r>
    </w:p>
    <w:p w14:paraId="251FAFE9" w14:textId="45F12344" w:rsidR="00E945F4" w:rsidRPr="003D2AED" w:rsidRDefault="00DF16B5" w:rsidP="004E6DE8">
      <w:r w:rsidRPr="00DF16B5">
        <w:t>En 2021, la stratégie de c</w:t>
      </w:r>
      <w:r>
        <w:t>ommunication visant à informer et à consulter les fonctionnaires</w:t>
      </w:r>
      <w:r w:rsidR="003C4825">
        <w:t xml:space="preserve"> et le Conseil du personnel </w:t>
      </w:r>
      <w:r w:rsidR="003C4825" w:rsidRPr="003C4825">
        <w:t xml:space="preserve">de façon appropriée </w:t>
      </w:r>
      <w:r w:rsidR="003C4825">
        <w:t xml:space="preserve">a été approuvée par la </w:t>
      </w:r>
      <w:r w:rsidR="001C69FC">
        <w:t>d</w:t>
      </w:r>
      <w:r w:rsidR="003C4825">
        <w:t>irection de l</w:t>
      </w:r>
      <w:r w:rsidR="004E6DE8">
        <w:t>'</w:t>
      </w:r>
      <w:r w:rsidR="003C4825">
        <w:t>UIT</w:t>
      </w:r>
      <w:r w:rsidR="00DE5ADB">
        <w:t>. Cette stratégie</w:t>
      </w:r>
      <w:r w:rsidR="003C4825">
        <w:t xml:space="preserve"> est actuellement mise en œuvre. De plus, des réunions sont </w:t>
      </w:r>
      <w:r w:rsidR="00DE5ADB" w:rsidRPr="00DE5ADB">
        <w:t xml:space="preserve">régulièrement </w:t>
      </w:r>
      <w:r w:rsidR="003C4825">
        <w:t>organisées avec les coordonnateurs des Bureaux et des Départements du Secrétariat général</w:t>
      </w:r>
      <w:r w:rsidR="003D2AED">
        <w:t>, afin de faire en sorte que les informations soient communiquées et que les préoccupations soulevées par les fonctionnaires de l</w:t>
      </w:r>
      <w:r w:rsidR="004E6DE8">
        <w:t>'</w:t>
      </w:r>
      <w:r w:rsidR="003D2AED">
        <w:t>UIT soient mises en avant et traitées</w:t>
      </w:r>
      <w:r w:rsidR="00E945F4" w:rsidRPr="003D2AED">
        <w:t>.</w:t>
      </w:r>
    </w:p>
    <w:p w14:paraId="40DB30E9" w14:textId="1F9521D3" w:rsidR="00E945F4" w:rsidRPr="000461C2" w:rsidRDefault="003D2AED" w:rsidP="004E6DE8">
      <w:r>
        <w:t xml:space="preserve">Une consultation complète du personnel a été menée à bien en juin 2021. Les deux tiers des fonctionnaires </w:t>
      </w:r>
      <w:r w:rsidR="001C69FC">
        <w:t xml:space="preserve">en poste </w:t>
      </w:r>
      <w:r>
        <w:t>à Genève ont participé à la consultation, dont les résultats serviront de base pour la proposition concernant les espaces de travail. Les coordonnateurs du Conseil du personnel de l</w:t>
      </w:r>
      <w:r w:rsidR="004E6DE8">
        <w:t>'</w:t>
      </w:r>
      <w:r>
        <w:t>UIT ainsi que</w:t>
      </w:r>
      <w:r w:rsidR="001C69FC">
        <w:t xml:space="preserve"> ceux</w:t>
      </w:r>
      <w:r>
        <w:t xml:space="preserve"> des Bureaux et </w:t>
      </w:r>
      <w:r w:rsidR="001C69FC">
        <w:t xml:space="preserve">des </w:t>
      </w:r>
      <w:r>
        <w:t>Départements du Secrétariat général demeurent étroitement associés au processus</w:t>
      </w:r>
      <w:r w:rsidR="00BA53CA">
        <w:t>, par l</w:t>
      </w:r>
      <w:r w:rsidR="004E6DE8">
        <w:t>'</w:t>
      </w:r>
      <w:r w:rsidR="00BA53CA">
        <w:t>intermédiaire du Groupe chargé des spécifications du nouveau bâtiment</w:t>
      </w:r>
      <w:r w:rsidR="00E945F4" w:rsidRPr="00BA53CA">
        <w:t xml:space="preserve">. </w:t>
      </w:r>
      <w:r w:rsidR="00473D14" w:rsidRPr="00473D14">
        <w:t>Trois séances d</w:t>
      </w:r>
      <w:r w:rsidR="004E6DE8">
        <w:t>'</w:t>
      </w:r>
      <w:r w:rsidR="00473D14" w:rsidRPr="00473D14">
        <w:t>information à l</w:t>
      </w:r>
      <w:r w:rsidR="004E6DE8">
        <w:t>'</w:t>
      </w:r>
      <w:r w:rsidR="00473D14" w:rsidRPr="00473D14">
        <w:t>intention de tout le personnel o</w:t>
      </w:r>
      <w:r w:rsidR="00473D14">
        <w:t>nt été organisé</w:t>
      </w:r>
      <w:r w:rsidR="001C69FC">
        <w:t>e</w:t>
      </w:r>
      <w:r w:rsidR="00473D14">
        <w:t xml:space="preserve">s </w:t>
      </w:r>
      <w:r w:rsidR="001C69FC">
        <w:t xml:space="preserve">au cours de </w:t>
      </w:r>
      <w:r w:rsidR="00473D14">
        <w:t>l</w:t>
      </w:r>
      <w:r w:rsidR="004E6DE8">
        <w:t>'</w:t>
      </w:r>
      <w:r w:rsidR="00473D14">
        <w:t xml:space="preserve">année </w:t>
      </w:r>
      <w:r w:rsidR="001C69FC">
        <w:t>écoulée</w:t>
      </w:r>
      <w:r w:rsidR="00473D14">
        <w:t>, et les fonctionnaires sont invités à poser des questions à tout moment en utilisant une boite de courrier électronique spéciale, les réponses étant mises à la disposition de tous sur la page intranet consacrée au nouveau bâtiment</w:t>
      </w:r>
      <w:r w:rsidR="00E945F4" w:rsidRPr="000461C2">
        <w:t>.</w:t>
      </w:r>
    </w:p>
    <w:p w14:paraId="40DCD661" w14:textId="14F07DF6" w:rsidR="002B7ABA" w:rsidRPr="00411BD5" w:rsidRDefault="00722AFC" w:rsidP="004E6DE8">
      <w:pPr>
        <w:pStyle w:val="Heading1"/>
        <w:rPr>
          <w:lang w:eastAsia="ja-JP"/>
        </w:rPr>
      </w:pPr>
      <w:r w:rsidRPr="00411BD5">
        <w:rPr>
          <w:lang w:eastAsia="ja-JP"/>
        </w:rPr>
        <w:lastRenderedPageBreak/>
        <w:t>4</w:t>
      </w:r>
      <w:r w:rsidR="002B7ABA" w:rsidRPr="00411BD5">
        <w:rPr>
          <w:lang w:eastAsia="ja-JP"/>
        </w:rPr>
        <w:tab/>
      </w:r>
      <w:r w:rsidRPr="00411BD5">
        <w:rPr>
          <w:lang w:eastAsia="ja-JP"/>
        </w:rPr>
        <w:t>É</w:t>
      </w:r>
      <w:r w:rsidR="002B7ABA" w:rsidRPr="00411BD5">
        <w:rPr>
          <w:lang w:eastAsia="ja-JP"/>
        </w:rPr>
        <w:t>tat d</w:t>
      </w:r>
      <w:r w:rsidR="004E6DE8">
        <w:rPr>
          <w:lang w:eastAsia="ja-JP"/>
        </w:rPr>
        <w:t>'</w:t>
      </w:r>
      <w:r w:rsidR="002B7ABA" w:rsidRPr="00411BD5">
        <w:rPr>
          <w:lang w:eastAsia="ja-JP"/>
        </w:rPr>
        <w:t>avancement du projet</w:t>
      </w:r>
    </w:p>
    <w:p w14:paraId="2ED168AC" w14:textId="2ECE5DB0" w:rsidR="00722AFC" w:rsidRPr="000461C2" w:rsidRDefault="000461C2" w:rsidP="004E6DE8">
      <w:pPr>
        <w:rPr>
          <w:lang w:eastAsia="ja-JP"/>
        </w:rPr>
      </w:pPr>
      <w:r w:rsidRPr="000461C2">
        <w:rPr>
          <w:lang w:eastAsia="ja-JP"/>
        </w:rPr>
        <w:t xml:space="preserve">Les phases </w:t>
      </w:r>
      <w:r w:rsidR="00722AFC" w:rsidRPr="000461C2">
        <w:rPr>
          <w:lang w:eastAsia="ja-JP"/>
        </w:rPr>
        <w:t>4.32 (</w:t>
      </w:r>
      <w:r>
        <w:rPr>
          <w:lang w:eastAsia="ja-JP"/>
        </w:rPr>
        <w:t>Avant-projet</w:t>
      </w:r>
      <w:r w:rsidR="00722AFC" w:rsidRPr="000461C2">
        <w:rPr>
          <w:lang w:eastAsia="ja-JP"/>
        </w:rPr>
        <w:t>), 4.33 (</w:t>
      </w:r>
      <w:r>
        <w:rPr>
          <w:lang w:eastAsia="ja-JP"/>
        </w:rPr>
        <w:t>Demande de permis de construire</w:t>
      </w:r>
      <w:r w:rsidR="00722AFC" w:rsidRPr="000461C2">
        <w:rPr>
          <w:lang w:eastAsia="ja-JP"/>
        </w:rPr>
        <w:t xml:space="preserve">) </w:t>
      </w:r>
      <w:r>
        <w:rPr>
          <w:lang w:eastAsia="ja-JP"/>
        </w:rPr>
        <w:t xml:space="preserve">et </w:t>
      </w:r>
      <w:r w:rsidR="00722AFC" w:rsidRPr="000461C2">
        <w:rPr>
          <w:lang w:eastAsia="ja-JP"/>
        </w:rPr>
        <w:t>4.41 (</w:t>
      </w:r>
      <w:r>
        <w:rPr>
          <w:lang w:eastAsia="ja-JP"/>
        </w:rPr>
        <w:t>Élaboration de documents d</w:t>
      </w:r>
      <w:r w:rsidR="004E6DE8">
        <w:rPr>
          <w:lang w:eastAsia="ja-JP"/>
        </w:rPr>
        <w:t>'</w:t>
      </w:r>
      <w:r>
        <w:rPr>
          <w:lang w:eastAsia="ja-JP"/>
        </w:rPr>
        <w:t>appel d</w:t>
      </w:r>
      <w:r w:rsidR="004E6DE8">
        <w:rPr>
          <w:lang w:eastAsia="ja-JP"/>
        </w:rPr>
        <w:t>'</w:t>
      </w:r>
      <w:r>
        <w:rPr>
          <w:lang w:eastAsia="ja-JP"/>
        </w:rPr>
        <w:t>offres</w:t>
      </w:r>
      <w:r w:rsidR="00722AFC" w:rsidRPr="000461C2">
        <w:rPr>
          <w:lang w:eastAsia="ja-JP"/>
        </w:rPr>
        <w:t xml:space="preserve">) </w:t>
      </w:r>
      <w:r w:rsidRPr="000461C2">
        <w:rPr>
          <w:lang w:eastAsia="ja-JP"/>
        </w:rPr>
        <w:t>de la SIA</w:t>
      </w:r>
      <w:r>
        <w:rPr>
          <w:rStyle w:val="FootnoteReference"/>
          <w:lang w:val="en-US" w:eastAsia="ja-JP"/>
        </w:rPr>
        <w:footnoteReference w:id="1"/>
      </w:r>
      <w:r w:rsidRPr="000461C2">
        <w:rPr>
          <w:lang w:eastAsia="ja-JP"/>
        </w:rPr>
        <w:t xml:space="preserve"> sont désormai</w:t>
      </w:r>
      <w:r>
        <w:rPr>
          <w:lang w:eastAsia="ja-JP"/>
        </w:rPr>
        <w:t>s achevées</w:t>
      </w:r>
      <w:r w:rsidR="00722AFC" w:rsidRPr="000461C2">
        <w:rPr>
          <w:lang w:eastAsia="ja-JP"/>
        </w:rPr>
        <w:t xml:space="preserve">. </w:t>
      </w:r>
    </w:p>
    <w:p w14:paraId="32A96148" w14:textId="0216ACB9" w:rsidR="00722AFC" w:rsidRPr="000461C2" w:rsidRDefault="000461C2" w:rsidP="004E6DE8">
      <w:pPr>
        <w:rPr>
          <w:lang w:eastAsia="ja-JP"/>
        </w:rPr>
      </w:pPr>
      <w:r w:rsidRPr="000461C2">
        <w:rPr>
          <w:lang w:eastAsia="ja-JP"/>
        </w:rPr>
        <w:t>Le prêt du pays hôte a été obtenu, l</w:t>
      </w:r>
      <w:r>
        <w:rPr>
          <w:lang w:eastAsia="ja-JP"/>
        </w:rPr>
        <w:t>es permis de construire ont été reçus, la documentation d</w:t>
      </w:r>
      <w:r w:rsidR="004E6DE8">
        <w:rPr>
          <w:lang w:eastAsia="ja-JP"/>
        </w:rPr>
        <w:t>'</w:t>
      </w:r>
      <w:r>
        <w:rPr>
          <w:lang w:eastAsia="ja-JP"/>
        </w:rPr>
        <w:t>appel d</w:t>
      </w:r>
      <w:r w:rsidR="004E6DE8">
        <w:rPr>
          <w:lang w:eastAsia="ja-JP"/>
        </w:rPr>
        <w:t>'</w:t>
      </w:r>
      <w:r>
        <w:rPr>
          <w:lang w:eastAsia="ja-JP"/>
        </w:rPr>
        <w:t>offres a été parachevée et l</w:t>
      </w:r>
      <w:r w:rsidR="004E6DE8">
        <w:rPr>
          <w:lang w:eastAsia="ja-JP"/>
        </w:rPr>
        <w:t>'</w:t>
      </w:r>
      <w:r>
        <w:rPr>
          <w:lang w:eastAsia="ja-JP"/>
        </w:rPr>
        <w:t>appel d</w:t>
      </w:r>
      <w:r w:rsidR="004E6DE8">
        <w:rPr>
          <w:lang w:eastAsia="ja-JP"/>
        </w:rPr>
        <w:t>'</w:t>
      </w:r>
      <w:r>
        <w:rPr>
          <w:lang w:eastAsia="ja-JP"/>
        </w:rPr>
        <w:t>offres pour l</w:t>
      </w:r>
      <w:r w:rsidR="004E6DE8">
        <w:rPr>
          <w:lang w:eastAsia="ja-JP"/>
        </w:rPr>
        <w:t>'</w:t>
      </w:r>
      <w:r>
        <w:rPr>
          <w:lang w:eastAsia="ja-JP"/>
        </w:rPr>
        <w:t>entreprise générale chargée des travaux de construction du nouveau bâtiment a été lancé le 23 mai 2022</w:t>
      </w:r>
      <w:r w:rsidR="00722AFC" w:rsidRPr="000461C2">
        <w:rPr>
          <w:lang w:eastAsia="ja-JP"/>
        </w:rPr>
        <w:t xml:space="preserve">. </w:t>
      </w:r>
    </w:p>
    <w:p w14:paraId="7020F2C5" w14:textId="633DB442" w:rsidR="00722AFC" w:rsidRPr="00172FB9" w:rsidRDefault="00EA06B6" w:rsidP="004E6DE8">
      <w:pPr>
        <w:rPr>
          <w:lang w:eastAsia="ja-JP"/>
        </w:rPr>
      </w:pPr>
      <w:r>
        <w:rPr>
          <w:lang w:eastAsia="ja-JP"/>
        </w:rPr>
        <w:t>La</w:t>
      </w:r>
      <w:r w:rsidR="00722AFC" w:rsidRPr="00172FB9">
        <w:rPr>
          <w:lang w:eastAsia="ja-JP"/>
        </w:rPr>
        <w:t xml:space="preserve"> mise en œuvre des exigences du DSS de l</w:t>
      </w:r>
      <w:r w:rsidR="004E6DE8">
        <w:rPr>
          <w:lang w:eastAsia="ja-JP"/>
        </w:rPr>
        <w:t>'</w:t>
      </w:r>
      <w:r w:rsidR="00722AFC" w:rsidRPr="00172FB9">
        <w:rPr>
          <w:lang w:eastAsia="ja-JP"/>
        </w:rPr>
        <w:t>ONU relève d</w:t>
      </w:r>
      <w:r w:rsidR="004E6DE8">
        <w:rPr>
          <w:lang w:eastAsia="ja-JP"/>
        </w:rPr>
        <w:t>'</w:t>
      </w:r>
      <w:r w:rsidR="00722AFC" w:rsidRPr="00172FB9">
        <w:rPr>
          <w:lang w:eastAsia="ja-JP"/>
        </w:rPr>
        <w:t>un processus distinct déployé aux côtés du pays hôte afin d</w:t>
      </w:r>
      <w:r w:rsidR="004E6DE8">
        <w:rPr>
          <w:lang w:eastAsia="ja-JP"/>
        </w:rPr>
        <w:t>'</w:t>
      </w:r>
      <w:r w:rsidR="00722AFC" w:rsidRPr="00172FB9">
        <w:rPr>
          <w:lang w:eastAsia="ja-JP"/>
        </w:rPr>
        <w:t>assurer la conformité aux normes UN-MOSS dans le domaine public.</w:t>
      </w:r>
    </w:p>
    <w:p w14:paraId="25EEDB52" w14:textId="06DD8EBE" w:rsidR="00722AFC" w:rsidRPr="003320D3" w:rsidRDefault="001D51E3" w:rsidP="004E6DE8">
      <w:pPr>
        <w:rPr>
          <w:lang w:eastAsia="ja-JP"/>
        </w:rPr>
      </w:pPr>
      <w:r w:rsidRPr="001D51E3">
        <w:rPr>
          <w:lang w:eastAsia="ja-JP"/>
        </w:rPr>
        <w:t>Ce projet, géré par l</w:t>
      </w:r>
      <w:r>
        <w:rPr>
          <w:lang w:eastAsia="ja-JP"/>
        </w:rPr>
        <w:t>e pays hôte, est actuellement mis au point sur la base de l</w:t>
      </w:r>
      <w:r w:rsidR="004E6DE8">
        <w:rPr>
          <w:lang w:eastAsia="ja-JP"/>
        </w:rPr>
        <w:t>'</w:t>
      </w:r>
      <w:r>
        <w:rPr>
          <w:lang w:eastAsia="ja-JP"/>
        </w:rPr>
        <w:t>étude de faisabilité approuvée par le Comité de direction de l</w:t>
      </w:r>
      <w:r w:rsidR="004E6DE8">
        <w:rPr>
          <w:lang w:eastAsia="ja-JP"/>
        </w:rPr>
        <w:t>'</w:t>
      </w:r>
      <w:r>
        <w:rPr>
          <w:lang w:eastAsia="ja-JP"/>
        </w:rPr>
        <w:t xml:space="preserve">UIT. </w:t>
      </w:r>
      <w:r w:rsidRPr="001D51E3">
        <w:rPr>
          <w:lang w:eastAsia="ja-JP"/>
        </w:rPr>
        <w:t>En avril 2022, l</w:t>
      </w:r>
      <w:r w:rsidR="004E6DE8">
        <w:rPr>
          <w:lang w:eastAsia="ja-JP"/>
        </w:rPr>
        <w:t>'</w:t>
      </w:r>
      <w:r w:rsidRPr="001D51E3">
        <w:rPr>
          <w:lang w:eastAsia="ja-JP"/>
        </w:rPr>
        <w:t>UIT a reçu la confirmation du pays hôte p</w:t>
      </w:r>
      <w:r>
        <w:rPr>
          <w:lang w:eastAsia="ja-JP"/>
        </w:rPr>
        <w:t>our couvrir les coûts relatifs à la réalisation complète de ce projet, sous réserve de l</w:t>
      </w:r>
      <w:r w:rsidR="004E6DE8">
        <w:rPr>
          <w:lang w:eastAsia="ja-JP"/>
        </w:rPr>
        <w:t>'</w:t>
      </w:r>
      <w:r>
        <w:rPr>
          <w:lang w:eastAsia="ja-JP"/>
        </w:rPr>
        <w:t>approbation des autorités législatives compétentes et à la condition que la mise en œuvre s</w:t>
      </w:r>
      <w:r w:rsidR="004E6DE8">
        <w:rPr>
          <w:lang w:eastAsia="ja-JP"/>
        </w:rPr>
        <w:t>'</w:t>
      </w:r>
      <w:r>
        <w:rPr>
          <w:lang w:eastAsia="ja-JP"/>
        </w:rPr>
        <w:t>effectue conformément au programme et aux coûts définis dans l</w:t>
      </w:r>
      <w:r w:rsidR="004E6DE8">
        <w:rPr>
          <w:lang w:eastAsia="ja-JP"/>
        </w:rPr>
        <w:t>'</w:t>
      </w:r>
      <w:r>
        <w:rPr>
          <w:lang w:eastAsia="ja-JP"/>
        </w:rPr>
        <w:t>étude de faisabilité</w:t>
      </w:r>
      <w:r w:rsidR="00722AFC" w:rsidRPr="003320D3">
        <w:rPr>
          <w:lang w:eastAsia="ja-JP"/>
        </w:rPr>
        <w:t>.</w:t>
      </w:r>
    </w:p>
    <w:p w14:paraId="5760AA29" w14:textId="0038F9B7" w:rsidR="00722AFC" w:rsidRPr="00AF5848" w:rsidRDefault="003320D3" w:rsidP="004E6DE8">
      <w:pPr>
        <w:rPr>
          <w:lang w:eastAsia="ja-JP"/>
        </w:rPr>
      </w:pPr>
      <w:r w:rsidRPr="003320D3">
        <w:rPr>
          <w:lang w:eastAsia="ja-JP"/>
        </w:rPr>
        <w:t>Afin de sécuris</w:t>
      </w:r>
      <w:r w:rsidR="00BE3702">
        <w:rPr>
          <w:lang w:eastAsia="ja-JP"/>
        </w:rPr>
        <w:t>er</w:t>
      </w:r>
      <w:r w:rsidRPr="003320D3">
        <w:rPr>
          <w:lang w:eastAsia="ja-JP"/>
        </w:rPr>
        <w:t xml:space="preserve"> le bâtiment Montbrillant, s</w:t>
      </w:r>
      <w:r>
        <w:rPr>
          <w:lang w:eastAsia="ja-JP"/>
        </w:rPr>
        <w:t xml:space="preserve">uivant les recommandations du DSS, le pays hôte est convenu de mettre en œuvre les mesures de sécurité </w:t>
      </w:r>
      <w:r w:rsidR="00EA06B6">
        <w:rPr>
          <w:lang w:eastAsia="ja-JP"/>
        </w:rPr>
        <w:t xml:space="preserve">dans le </w:t>
      </w:r>
      <w:r>
        <w:rPr>
          <w:lang w:eastAsia="ja-JP"/>
        </w:rPr>
        <w:t>parking souterrain de Montbrillant, qui deviendra accessible uniquement au personnel de l</w:t>
      </w:r>
      <w:r w:rsidR="004E6DE8">
        <w:rPr>
          <w:lang w:eastAsia="ja-JP"/>
        </w:rPr>
        <w:t>'</w:t>
      </w:r>
      <w:r>
        <w:rPr>
          <w:lang w:eastAsia="ja-JP"/>
        </w:rPr>
        <w:t>UIT</w:t>
      </w:r>
      <w:r w:rsidR="00722AFC" w:rsidRPr="00AF5848">
        <w:rPr>
          <w:lang w:eastAsia="ja-JP"/>
        </w:rPr>
        <w:t xml:space="preserve">. </w:t>
      </w:r>
    </w:p>
    <w:p w14:paraId="72279F06" w14:textId="74E2D677" w:rsidR="004D1CEC" w:rsidRPr="00AF5848" w:rsidRDefault="004D1CEC" w:rsidP="004E6DE8">
      <w:pPr>
        <w:pStyle w:val="Heading1"/>
        <w:rPr>
          <w:lang w:eastAsia="ja-JP"/>
        </w:rPr>
      </w:pPr>
      <w:r w:rsidRPr="00AF5848">
        <w:rPr>
          <w:lang w:eastAsia="ja-JP"/>
        </w:rPr>
        <w:t>5</w:t>
      </w:r>
      <w:r w:rsidRPr="00AF5848">
        <w:rPr>
          <w:lang w:eastAsia="ja-JP"/>
        </w:rPr>
        <w:tab/>
      </w:r>
      <w:r w:rsidR="00AF5848" w:rsidRPr="00AF5848">
        <w:rPr>
          <w:lang w:eastAsia="ja-JP"/>
        </w:rPr>
        <w:t>Appel d</w:t>
      </w:r>
      <w:r w:rsidR="004E6DE8">
        <w:rPr>
          <w:lang w:eastAsia="ja-JP"/>
        </w:rPr>
        <w:t>'</w:t>
      </w:r>
      <w:r w:rsidR="00AF5848" w:rsidRPr="00AF5848">
        <w:rPr>
          <w:lang w:eastAsia="ja-JP"/>
        </w:rPr>
        <w:t>offres pour l</w:t>
      </w:r>
      <w:r w:rsidR="004E6DE8">
        <w:rPr>
          <w:lang w:eastAsia="ja-JP"/>
        </w:rPr>
        <w:t>'</w:t>
      </w:r>
      <w:r w:rsidR="00AF5848" w:rsidRPr="00AF5848">
        <w:rPr>
          <w:lang w:eastAsia="ja-JP"/>
        </w:rPr>
        <w:t>entreprise géné</w:t>
      </w:r>
      <w:r w:rsidR="00AF5848">
        <w:rPr>
          <w:lang w:eastAsia="ja-JP"/>
        </w:rPr>
        <w:t>rale et attribution du marché</w:t>
      </w:r>
    </w:p>
    <w:p w14:paraId="750CA303" w14:textId="72F54E97" w:rsidR="004D1CEC" w:rsidRPr="00BE3702" w:rsidRDefault="00BE3702" w:rsidP="004E6DE8">
      <w:pPr>
        <w:rPr>
          <w:lang w:eastAsia="ja-JP"/>
        </w:rPr>
      </w:pPr>
      <w:r w:rsidRPr="00BE3702">
        <w:rPr>
          <w:lang w:eastAsia="ja-JP"/>
        </w:rPr>
        <w:t>Le processus de passation de marché pour la sélection d</w:t>
      </w:r>
      <w:r w:rsidR="004E6DE8">
        <w:rPr>
          <w:lang w:eastAsia="ja-JP"/>
        </w:rPr>
        <w:t>'</w:t>
      </w:r>
      <w:r w:rsidRPr="00BE3702">
        <w:rPr>
          <w:lang w:eastAsia="ja-JP"/>
        </w:rPr>
        <w:t>une entreprise généra</w:t>
      </w:r>
      <w:r w:rsidR="00963A54">
        <w:rPr>
          <w:lang w:eastAsia="ja-JP"/>
        </w:rPr>
        <w:t>le et le processus </w:t>
      </w:r>
      <w:r w:rsidRPr="00BE3702">
        <w:rPr>
          <w:lang w:eastAsia="ja-JP"/>
        </w:rPr>
        <w:t>de préqualification prendront la forme d</w:t>
      </w:r>
      <w:r w:rsidR="004E6DE8">
        <w:rPr>
          <w:lang w:eastAsia="ja-JP"/>
        </w:rPr>
        <w:t>'</w:t>
      </w:r>
      <w:r w:rsidRPr="00BE3702">
        <w:rPr>
          <w:lang w:eastAsia="ja-JP"/>
        </w:rPr>
        <w:t>un appel d</w:t>
      </w:r>
      <w:r w:rsidR="004E6DE8">
        <w:rPr>
          <w:lang w:eastAsia="ja-JP"/>
        </w:rPr>
        <w:t>'</w:t>
      </w:r>
      <w:r w:rsidRPr="00BE3702">
        <w:rPr>
          <w:lang w:eastAsia="ja-JP"/>
        </w:rPr>
        <w:t>offres c</w:t>
      </w:r>
      <w:r w:rsidR="00963A54">
        <w:rPr>
          <w:lang w:eastAsia="ja-JP"/>
        </w:rPr>
        <w:t>oncurrentiel officiel. Cinq (5) </w:t>
      </w:r>
      <w:r w:rsidRPr="00BE3702">
        <w:rPr>
          <w:lang w:eastAsia="ja-JP"/>
        </w:rPr>
        <w:t>entreprises ont été présélectionnées et ont reçu la d</w:t>
      </w:r>
      <w:r>
        <w:rPr>
          <w:lang w:eastAsia="ja-JP"/>
        </w:rPr>
        <w:t>ocumentation complète de l</w:t>
      </w:r>
      <w:r w:rsidR="004E6DE8">
        <w:rPr>
          <w:lang w:eastAsia="ja-JP"/>
        </w:rPr>
        <w:t>'</w:t>
      </w:r>
      <w:r>
        <w:rPr>
          <w:lang w:eastAsia="ja-JP"/>
        </w:rPr>
        <w:t>appel d</w:t>
      </w:r>
      <w:r w:rsidR="004E6DE8">
        <w:rPr>
          <w:lang w:eastAsia="ja-JP"/>
        </w:rPr>
        <w:t>'</w:t>
      </w:r>
      <w:r>
        <w:rPr>
          <w:lang w:eastAsia="ja-JP"/>
        </w:rPr>
        <w:t xml:space="preserve">offres, notamment un projet de contrat à prix maximum garanti comportant une disposition </w:t>
      </w:r>
      <w:r w:rsidR="00963A54">
        <w:rPr>
          <w:lang w:eastAsia="ja-JP"/>
        </w:rPr>
        <w:t>"à </w:t>
      </w:r>
      <w:r>
        <w:rPr>
          <w:lang w:eastAsia="ja-JP"/>
        </w:rPr>
        <w:t>livre ouvert</w:t>
      </w:r>
      <w:r w:rsidR="00963A54">
        <w:rPr>
          <w:lang w:eastAsia="ja-JP"/>
        </w:rPr>
        <w:t>"</w:t>
      </w:r>
      <w:r>
        <w:rPr>
          <w:lang w:eastAsia="ja-JP"/>
        </w:rPr>
        <w:t xml:space="preserve">. </w:t>
      </w:r>
      <w:r w:rsidRPr="00BE3702">
        <w:rPr>
          <w:lang w:eastAsia="ja-JP"/>
        </w:rPr>
        <w:t>Ce projet de contrat n</w:t>
      </w:r>
      <w:r w:rsidR="004E6DE8">
        <w:rPr>
          <w:lang w:eastAsia="ja-JP"/>
        </w:rPr>
        <w:t>'</w:t>
      </w:r>
      <w:r w:rsidRPr="00BE3702">
        <w:rPr>
          <w:lang w:eastAsia="ja-JP"/>
        </w:rPr>
        <w:t xml:space="preserve">est pas contraignant, </w:t>
      </w:r>
      <w:r w:rsidR="00A83E0C">
        <w:rPr>
          <w:lang w:eastAsia="ja-JP"/>
        </w:rPr>
        <w:t>mais il</w:t>
      </w:r>
      <w:r w:rsidR="00A83E0C" w:rsidRPr="00BE3702">
        <w:rPr>
          <w:lang w:eastAsia="ja-JP"/>
        </w:rPr>
        <w:t xml:space="preserve"> </w:t>
      </w:r>
      <w:r w:rsidRPr="00BE3702">
        <w:rPr>
          <w:lang w:eastAsia="ja-JP"/>
        </w:rPr>
        <w:t>leur p</w:t>
      </w:r>
      <w:r>
        <w:rPr>
          <w:lang w:eastAsia="ja-JP"/>
        </w:rPr>
        <w:t>ermettra de se familiariser avec les termes et conditions contractuels et de formuler des questions ou des observation</w:t>
      </w:r>
      <w:r w:rsidR="000E4B24">
        <w:rPr>
          <w:lang w:eastAsia="ja-JP"/>
        </w:rPr>
        <w:t>s</w:t>
      </w:r>
      <w:r>
        <w:rPr>
          <w:lang w:eastAsia="ja-JP"/>
        </w:rPr>
        <w:t xml:space="preserve"> durant les séances de questions-réponses liées au processus d</w:t>
      </w:r>
      <w:r w:rsidR="004E6DE8">
        <w:rPr>
          <w:lang w:eastAsia="ja-JP"/>
        </w:rPr>
        <w:t>'</w:t>
      </w:r>
      <w:r>
        <w:rPr>
          <w:lang w:eastAsia="ja-JP"/>
        </w:rPr>
        <w:t>appel d</w:t>
      </w:r>
      <w:r w:rsidR="004E6DE8">
        <w:rPr>
          <w:lang w:eastAsia="ja-JP"/>
        </w:rPr>
        <w:t>'</w:t>
      </w:r>
      <w:r>
        <w:rPr>
          <w:lang w:eastAsia="ja-JP"/>
        </w:rPr>
        <w:t>offres</w:t>
      </w:r>
      <w:r w:rsidR="004D1CEC" w:rsidRPr="00BE3702">
        <w:rPr>
          <w:lang w:eastAsia="ja-JP"/>
        </w:rPr>
        <w:t>.</w:t>
      </w:r>
    </w:p>
    <w:p w14:paraId="1D024656" w14:textId="3B0588B8" w:rsidR="00722AFC" w:rsidRPr="00BE3702" w:rsidRDefault="00BE3702" w:rsidP="004E6DE8">
      <w:pPr>
        <w:spacing w:after="120"/>
        <w:rPr>
          <w:lang w:eastAsia="ja-JP"/>
        </w:rPr>
      </w:pPr>
      <w:r w:rsidRPr="00BE3702">
        <w:rPr>
          <w:lang w:eastAsia="ja-JP"/>
        </w:rPr>
        <w:t>On trouvera ci-dessous u</w:t>
      </w:r>
      <w:r>
        <w:rPr>
          <w:lang w:eastAsia="ja-JP"/>
        </w:rPr>
        <w:t>n résumé des activités d</w:t>
      </w:r>
      <w:r w:rsidR="004E6DE8">
        <w:rPr>
          <w:lang w:eastAsia="ja-JP"/>
        </w:rPr>
        <w:t>'</w:t>
      </w:r>
      <w:r>
        <w:rPr>
          <w:lang w:eastAsia="ja-JP"/>
        </w:rPr>
        <w:t>appel d</w:t>
      </w:r>
      <w:r w:rsidR="004E6DE8">
        <w:rPr>
          <w:lang w:eastAsia="ja-JP"/>
        </w:rPr>
        <w:t>'</w:t>
      </w:r>
      <w:r>
        <w:rPr>
          <w:lang w:eastAsia="ja-JP"/>
        </w:rPr>
        <w:t xml:space="preserve">offres </w:t>
      </w:r>
      <w:r w:rsidR="00A83E0C">
        <w:rPr>
          <w:lang w:eastAsia="ja-JP"/>
        </w:rPr>
        <w:t>qu</w:t>
      </w:r>
      <w:r w:rsidR="004E6DE8">
        <w:rPr>
          <w:lang w:eastAsia="ja-JP"/>
        </w:rPr>
        <w:t>'</w:t>
      </w:r>
      <w:r w:rsidR="00A83E0C">
        <w:rPr>
          <w:lang w:eastAsia="ja-JP"/>
        </w:rPr>
        <w:t>il reste à mener</w:t>
      </w:r>
      <w:r>
        <w:rPr>
          <w:lang w:eastAsia="ja-JP"/>
        </w:rPr>
        <w:t xml:space="preserve"> pour la sélection d</w:t>
      </w:r>
      <w:r w:rsidR="004E6DE8">
        <w:rPr>
          <w:lang w:eastAsia="ja-JP"/>
        </w:rPr>
        <w:t>'</w:t>
      </w:r>
      <w:r>
        <w:rPr>
          <w:lang w:eastAsia="ja-JP"/>
        </w:rPr>
        <w:t>une entreprise générale</w:t>
      </w:r>
      <w:r w:rsidR="004D1CEC" w:rsidRPr="00BE3702">
        <w:rPr>
          <w:lang w:eastAsia="ja-JP"/>
        </w:rPr>
        <w:t>:</w:t>
      </w:r>
    </w:p>
    <w:tbl>
      <w:tblPr>
        <w:tblStyle w:val="TableGrid"/>
        <w:tblW w:w="0" w:type="auto"/>
        <w:tblLook w:val="04A0" w:firstRow="1" w:lastRow="0" w:firstColumn="1" w:lastColumn="0" w:noHBand="0" w:noVBand="1"/>
      </w:tblPr>
      <w:tblGrid>
        <w:gridCol w:w="5524"/>
        <w:gridCol w:w="2126"/>
        <w:gridCol w:w="1979"/>
      </w:tblGrid>
      <w:tr w:rsidR="00B87169" w14:paraId="563BCFE6" w14:textId="77777777" w:rsidTr="004E6DE8">
        <w:tc>
          <w:tcPr>
            <w:tcW w:w="5524" w:type="dxa"/>
          </w:tcPr>
          <w:p w14:paraId="343C0317" w14:textId="2A423685" w:rsidR="00B87169" w:rsidRDefault="00B87169" w:rsidP="004E6DE8">
            <w:pPr>
              <w:pStyle w:val="Tablehead"/>
              <w:rPr>
                <w:lang w:eastAsia="ja-JP"/>
              </w:rPr>
            </w:pPr>
            <w:r w:rsidRPr="00DD0DAD">
              <w:t>Activité</w:t>
            </w:r>
          </w:p>
        </w:tc>
        <w:tc>
          <w:tcPr>
            <w:tcW w:w="2126" w:type="dxa"/>
          </w:tcPr>
          <w:p w14:paraId="7D4F4B5D" w14:textId="2927B083" w:rsidR="00B87169" w:rsidRDefault="00B87169" w:rsidP="004E6DE8">
            <w:pPr>
              <w:pStyle w:val="Tablehead"/>
              <w:rPr>
                <w:lang w:eastAsia="ja-JP"/>
              </w:rPr>
            </w:pPr>
            <w:r w:rsidRPr="00DD0DAD">
              <w:t>Date</w:t>
            </w:r>
          </w:p>
        </w:tc>
        <w:tc>
          <w:tcPr>
            <w:tcW w:w="1979" w:type="dxa"/>
          </w:tcPr>
          <w:p w14:paraId="660B2FF6" w14:textId="5E30A8A6" w:rsidR="00B87169" w:rsidRDefault="00B87169" w:rsidP="004E6DE8">
            <w:pPr>
              <w:pStyle w:val="Tablehead"/>
              <w:rPr>
                <w:lang w:eastAsia="ja-JP"/>
              </w:rPr>
            </w:pPr>
            <w:r w:rsidRPr="00DD0DAD">
              <w:t>État d</w:t>
            </w:r>
            <w:r w:rsidR="004E6DE8">
              <w:t>'</w:t>
            </w:r>
            <w:r w:rsidRPr="00DD0DAD">
              <w:t>avancement</w:t>
            </w:r>
          </w:p>
        </w:tc>
      </w:tr>
      <w:tr w:rsidR="004D1CEC" w14:paraId="665FA702" w14:textId="77777777" w:rsidTr="004D1CEC">
        <w:tc>
          <w:tcPr>
            <w:tcW w:w="5524" w:type="dxa"/>
            <w:vAlign w:val="center"/>
          </w:tcPr>
          <w:p w14:paraId="4FA39B19" w14:textId="0E9FEAE6" w:rsidR="004D1CEC" w:rsidRPr="00411BD5" w:rsidRDefault="00BE3702" w:rsidP="004E6DE8">
            <w:pPr>
              <w:pStyle w:val="Tabletext"/>
              <w:rPr>
                <w:lang w:eastAsia="ja-JP"/>
              </w:rPr>
            </w:pPr>
            <w:r w:rsidRPr="00411BD5">
              <w:t>Date limite pour la soumission des propositions</w:t>
            </w:r>
          </w:p>
        </w:tc>
        <w:tc>
          <w:tcPr>
            <w:tcW w:w="2126" w:type="dxa"/>
            <w:vAlign w:val="center"/>
          </w:tcPr>
          <w:p w14:paraId="5281E12D" w14:textId="202B7801" w:rsidR="004D1CEC" w:rsidRDefault="00963A54" w:rsidP="00963A54">
            <w:pPr>
              <w:pStyle w:val="Tabletext"/>
              <w:jc w:val="center"/>
              <w:rPr>
                <w:lang w:eastAsia="ja-JP"/>
              </w:rPr>
            </w:pPr>
            <w:r>
              <w:rPr>
                <w:lang w:val="en-US"/>
              </w:rPr>
              <w:t>S</w:t>
            </w:r>
            <w:r w:rsidR="004D1CEC">
              <w:rPr>
                <w:lang w:val="en-US"/>
              </w:rPr>
              <w:t>eptembre</w:t>
            </w:r>
            <w:r w:rsidR="004D1CEC" w:rsidRPr="00AE5843">
              <w:rPr>
                <w:lang w:val="en-US"/>
              </w:rPr>
              <w:t xml:space="preserve"> 2022</w:t>
            </w:r>
          </w:p>
        </w:tc>
        <w:tc>
          <w:tcPr>
            <w:tcW w:w="1979" w:type="dxa"/>
            <w:vAlign w:val="center"/>
          </w:tcPr>
          <w:p w14:paraId="5BA8660B" w14:textId="2B34F4B1" w:rsidR="004D1CEC" w:rsidRDefault="00411BD5" w:rsidP="00963A54">
            <w:pPr>
              <w:pStyle w:val="Tabletext"/>
              <w:jc w:val="center"/>
              <w:rPr>
                <w:lang w:eastAsia="ja-JP"/>
              </w:rPr>
            </w:pPr>
            <w:r>
              <w:rPr>
                <w:lang w:val="en-US"/>
              </w:rPr>
              <w:t>Achevée</w:t>
            </w:r>
          </w:p>
        </w:tc>
      </w:tr>
      <w:tr w:rsidR="00B87169" w14:paraId="0F45C057" w14:textId="77777777" w:rsidTr="004E6DE8">
        <w:tc>
          <w:tcPr>
            <w:tcW w:w="5524" w:type="dxa"/>
          </w:tcPr>
          <w:p w14:paraId="7E96F0F5" w14:textId="72DE0234" w:rsidR="00B87169" w:rsidRDefault="00B87169" w:rsidP="004E6DE8">
            <w:pPr>
              <w:pStyle w:val="Tabletext"/>
              <w:rPr>
                <w:lang w:eastAsia="ja-JP"/>
              </w:rPr>
            </w:pPr>
            <w:r w:rsidRPr="00DD0DAD">
              <w:t>Évaluation technique et financière</w:t>
            </w:r>
          </w:p>
        </w:tc>
        <w:tc>
          <w:tcPr>
            <w:tcW w:w="2126" w:type="dxa"/>
            <w:vAlign w:val="center"/>
          </w:tcPr>
          <w:p w14:paraId="7FA6E328" w14:textId="194F853B" w:rsidR="00B87169" w:rsidRDefault="00963A54" w:rsidP="00963A54">
            <w:pPr>
              <w:pStyle w:val="Tabletext"/>
              <w:jc w:val="center"/>
              <w:rPr>
                <w:lang w:eastAsia="ja-JP"/>
              </w:rPr>
            </w:pPr>
            <w:r>
              <w:rPr>
                <w:lang w:val="en-US"/>
              </w:rPr>
              <w:t>J</w:t>
            </w:r>
            <w:r w:rsidR="00B87169">
              <w:rPr>
                <w:lang w:val="en-US"/>
              </w:rPr>
              <w:t>anvier</w:t>
            </w:r>
            <w:r w:rsidR="00B87169" w:rsidRPr="00AE5843">
              <w:rPr>
                <w:lang w:val="en-US"/>
              </w:rPr>
              <w:t xml:space="preserve"> 2023</w:t>
            </w:r>
          </w:p>
        </w:tc>
        <w:tc>
          <w:tcPr>
            <w:tcW w:w="1979" w:type="dxa"/>
            <w:vAlign w:val="center"/>
          </w:tcPr>
          <w:p w14:paraId="406574FC" w14:textId="77777777" w:rsidR="00B87169" w:rsidRDefault="00B87169" w:rsidP="00963A54">
            <w:pPr>
              <w:pStyle w:val="Tabletext"/>
              <w:jc w:val="center"/>
              <w:rPr>
                <w:lang w:eastAsia="ja-JP"/>
              </w:rPr>
            </w:pPr>
          </w:p>
        </w:tc>
      </w:tr>
      <w:tr w:rsidR="00B87169" w14:paraId="722A5559" w14:textId="77777777" w:rsidTr="004E6DE8">
        <w:tc>
          <w:tcPr>
            <w:tcW w:w="5524" w:type="dxa"/>
          </w:tcPr>
          <w:p w14:paraId="01F08674" w14:textId="4C8D155C" w:rsidR="00B87169" w:rsidRDefault="00B87169" w:rsidP="004E6DE8">
            <w:pPr>
              <w:pStyle w:val="Tabletext"/>
              <w:rPr>
                <w:lang w:eastAsia="ja-JP"/>
              </w:rPr>
            </w:pPr>
            <w:r w:rsidRPr="00DD0DAD">
              <w:t>Négociation du contrat d</w:t>
            </w:r>
            <w:r w:rsidR="004E6DE8">
              <w:t>'</w:t>
            </w:r>
            <w:r w:rsidRPr="00DD0DAD">
              <w:t>entreprise générale et attribution du marché</w:t>
            </w:r>
          </w:p>
        </w:tc>
        <w:tc>
          <w:tcPr>
            <w:tcW w:w="2126" w:type="dxa"/>
            <w:vAlign w:val="center"/>
          </w:tcPr>
          <w:p w14:paraId="0362B024" w14:textId="2309B19A" w:rsidR="00B87169" w:rsidRDefault="00963A54" w:rsidP="00963A54">
            <w:pPr>
              <w:pStyle w:val="Tabletext"/>
              <w:jc w:val="center"/>
              <w:rPr>
                <w:lang w:eastAsia="ja-JP"/>
              </w:rPr>
            </w:pPr>
            <w:r>
              <w:rPr>
                <w:lang w:val="en-US"/>
              </w:rPr>
              <w:t>A</w:t>
            </w:r>
            <w:r w:rsidR="00B87169">
              <w:rPr>
                <w:lang w:val="en-US"/>
              </w:rPr>
              <w:t>vril</w:t>
            </w:r>
            <w:r w:rsidR="00B87169" w:rsidRPr="00AE5843">
              <w:rPr>
                <w:lang w:val="en-US"/>
              </w:rPr>
              <w:t xml:space="preserve"> 2023</w:t>
            </w:r>
          </w:p>
        </w:tc>
        <w:tc>
          <w:tcPr>
            <w:tcW w:w="1979" w:type="dxa"/>
            <w:vAlign w:val="center"/>
          </w:tcPr>
          <w:p w14:paraId="7C0BF7B2" w14:textId="77777777" w:rsidR="00B87169" w:rsidRDefault="00B87169" w:rsidP="00963A54">
            <w:pPr>
              <w:pStyle w:val="Tabletext"/>
              <w:jc w:val="center"/>
              <w:rPr>
                <w:lang w:eastAsia="ja-JP"/>
              </w:rPr>
            </w:pPr>
          </w:p>
        </w:tc>
      </w:tr>
    </w:tbl>
    <w:p w14:paraId="6B76B90D" w14:textId="77777777" w:rsidR="004E656F" w:rsidRDefault="004E656F" w:rsidP="004E6DE8">
      <w:pPr>
        <w:pStyle w:val="Heading1"/>
      </w:pPr>
      <w:r>
        <w:br w:type="page"/>
      </w:r>
    </w:p>
    <w:p w14:paraId="2E4D89F7" w14:textId="433F38E6" w:rsidR="002B7ABA" w:rsidRPr="00DD0DAD" w:rsidRDefault="004D1CEC" w:rsidP="004E6DE8">
      <w:pPr>
        <w:pStyle w:val="Heading1"/>
      </w:pPr>
      <w:r>
        <w:lastRenderedPageBreak/>
        <w:t>6</w:t>
      </w:r>
      <w:r w:rsidR="002B7ABA" w:rsidRPr="00DD0DAD">
        <w:tab/>
        <w:t>Audit interne</w:t>
      </w:r>
    </w:p>
    <w:p w14:paraId="6FB288A4" w14:textId="714ED285" w:rsidR="002B7ABA" w:rsidRPr="00DD0DAD" w:rsidRDefault="002B7ABA" w:rsidP="004E6DE8">
      <w:r w:rsidRPr="00DD0DAD">
        <w:t>Afin de donner suite à la Recommandation 7 (2017) du Comité consultatif indépendant pour les questions de gestion (CCIG), à savoir "procéder à un audit indépendant des comptes établis pour la construction du bâtiment" et à la Décision 619, par laquelle il a été décidé "de procéder à intervalles réguliers à des audits du projet", l</w:t>
      </w:r>
      <w:r w:rsidR="004E6DE8">
        <w:t>'</w:t>
      </w:r>
      <w:r w:rsidRPr="00DD0DAD">
        <w:t>Unité de l</w:t>
      </w:r>
      <w:r w:rsidR="004E6DE8">
        <w:t>'</w:t>
      </w:r>
      <w:r w:rsidRPr="00DD0DAD">
        <w:t xml:space="preserve">audit interne a </w:t>
      </w:r>
      <w:r w:rsidR="00411BD5">
        <w:t>mené à bien</w:t>
      </w:r>
      <w:r w:rsidRPr="00DD0DAD">
        <w:t xml:space="preserve"> un audit pour le projet de nouveau bâtiment du siège de l</w:t>
      </w:r>
      <w:r w:rsidR="004E6DE8">
        <w:t>'</w:t>
      </w:r>
      <w:r w:rsidRPr="00DD0DAD">
        <w:t>UIT</w:t>
      </w:r>
      <w:r w:rsidR="00411BD5">
        <w:t>, achevé en juin 2022</w:t>
      </w:r>
      <w:r w:rsidRPr="00DD0DAD">
        <w:t xml:space="preserve">. </w:t>
      </w:r>
    </w:p>
    <w:p w14:paraId="11642915" w14:textId="369F0F11" w:rsidR="004D1CEC" w:rsidRDefault="002B7ABA" w:rsidP="004E6DE8">
      <w:r w:rsidRPr="00DD0DAD">
        <w:t>Cet audit</w:t>
      </w:r>
      <w:r w:rsidR="00411BD5">
        <w:t xml:space="preserve"> vise à évaluer</w:t>
      </w:r>
      <w:r w:rsidRPr="00DD0DAD">
        <w:t xml:space="preserve"> les activités</w:t>
      </w:r>
      <w:r w:rsidR="00A83E0C">
        <w:t xml:space="preserve"> menées</w:t>
      </w:r>
      <w:r w:rsidRPr="00DD0DAD">
        <w:t xml:space="preserve"> durant la période comprise entre septembre 2019 et décembre 2021. </w:t>
      </w:r>
    </w:p>
    <w:p w14:paraId="7D9E04B3" w14:textId="2B7864C2" w:rsidR="004D1CEC" w:rsidRPr="00E530C8" w:rsidRDefault="00411BD5" w:rsidP="004E6DE8">
      <w:r w:rsidRPr="00E530C8">
        <w:t>On trouvera ci-dessous un résumé des résultats de l</w:t>
      </w:r>
      <w:r w:rsidR="004E6DE8">
        <w:t>'</w:t>
      </w:r>
      <w:r w:rsidRPr="00E530C8">
        <w:t>audit</w:t>
      </w:r>
      <w:r w:rsidR="004D1CEC" w:rsidRPr="00E530C8">
        <w:t>:</w:t>
      </w:r>
    </w:p>
    <w:p w14:paraId="5FD7EA23" w14:textId="1B9DA7C1" w:rsidR="004D1CEC" w:rsidRPr="00E530C8" w:rsidRDefault="004D1CEC" w:rsidP="004E6DE8">
      <w:pPr>
        <w:pStyle w:val="Heading2"/>
      </w:pPr>
      <w:r w:rsidRPr="00E530C8">
        <w:t>6.1</w:t>
      </w:r>
      <w:r w:rsidRPr="00E530C8">
        <w:tab/>
      </w:r>
      <w:r w:rsidR="00E530C8" w:rsidRPr="00E530C8">
        <w:t>Observations positives</w:t>
      </w:r>
    </w:p>
    <w:p w14:paraId="793E287D" w14:textId="60538C56" w:rsidR="004D1CEC" w:rsidRPr="007815B5" w:rsidRDefault="00E530C8" w:rsidP="004E6DE8">
      <w:r w:rsidRPr="00E530C8">
        <w:t>Dans le c</w:t>
      </w:r>
      <w:r>
        <w:t>adre de l</w:t>
      </w:r>
      <w:r w:rsidR="004E6DE8">
        <w:t>'</w:t>
      </w:r>
      <w:r>
        <w:t>audit, l</w:t>
      </w:r>
      <w:r w:rsidR="004E6DE8">
        <w:t>'</w:t>
      </w:r>
      <w:r>
        <w:t>Unité de l</w:t>
      </w:r>
      <w:r w:rsidR="004E6DE8">
        <w:t>'</w:t>
      </w:r>
      <w:r>
        <w:t>audit interne a formulé de nombreuses observations positives en ce qui concerne l</w:t>
      </w:r>
      <w:r w:rsidR="004E6DE8">
        <w:t>'</w:t>
      </w:r>
      <w:r>
        <w:t>environnement de gouvernance et de contrôle, l</w:t>
      </w:r>
      <w:r w:rsidR="004E6DE8">
        <w:t>'</w:t>
      </w:r>
      <w:r>
        <w:t>évaluation des risques, l</w:t>
      </w:r>
      <w:r w:rsidR="004E6DE8">
        <w:t>'</w:t>
      </w:r>
      <w:r>
        <w:t>information et la communication, les mesures de contrôle effectives, les activités de suivi, l</w:t>
      </w:r>
      <w:r w:rsidR="004E6DE8">
        <w:t>'</w:t>
      </w:r>
      <w:r>
        <w:t xml:space="preserve">évaluation des risques de fraude/corruption, la prise en compte des ODD, de </w:t>
      </w:r>
      <w:r w:rsidRPr="00E530C8">
        <w:t>l</w:t>
      </w:r>
      <w:r w:rsidR="004E6DE8">
        <w:t>'</w:t>
      </w:r>
      <w:r w:rsidRPr="00E530C8">
        <w:t>égalité hommes</w:t>
      </w:r>
      <w:r w:rsidR="004E656F">
        <w:noBreakHyphen/>
      </w:r>
      <w:r w:rsidRPr="00E530C8">
        <w:t xml:space="preserve">femmes et </w:t>
      </w:r>
      <w:r>
        <w:t xml:space="preserve">de </w:t>
      </w:r>
      <w:r w:rsidRPr="00E530C8">
        <w:t>l</w:t>
      </w:r>
      <w:r w:rsidR="004E6DE8">
        <w:t>'</w:t>
      </w:r>
      <w:r w:rsidRPr="00E530C8">
        <w:t>intégration du principe de l</w:t>
      </w:r>
      <w:r w:rsidR="004E6DE8">
        <w:t>'</w:t>
      </w:r>
      <w:r w:rsidRPr="00E530C8">
        <w:t xml:space="preserve">égalité </w:t>
      </w:r>
      <w:r w:rsidR="004E656F">
        <w:t>hommes</w:t>
      </w:r>
      <w:r w:rsidR="004E656F">
        <w:noBreakHyphen/>
        <w:t>femmes</w:t>
      </w:r>
      <w:r>
        <w:t xml:space="preserve"> et l</w:t>
      </w:r>
      <w:r w:rsidR="004E6DE8">
        <w:t>'</w:t>
      </w:r>
      <w:r>
        <w:t>accessibilité.</w:t>
      </w:r>
      <w:r w:rsidR="004D1CEC" w:rsidRPr="007815B5">
        <w:t xml:space="preserve"> </w:t>
      </w:r>
    </w:p>
    <w:p w14:paraId="60A43334" w14:textId="3163FABF" w:rsidR="004D1CEC" w:rsidRPr="007815B5" w:rsidRDefault="004D1CEC" w:rsidP="004E6DE8">
      <w:pPr>
        <w:pStyle w:val="Heading2"/>
      </w:pPr>
      <w:r w:rsidRPr="007815B5">
        <w:t>6.2</w:t>
      </w:r>
      <w:r w:rsidRPr="007815B5">
        <w:tab/>
      </w:r>
      <w:r w:rsidR="007815B5" w:rsidRPr="007815B5">
        <w:t>Questions hautement prioritaires</w:t>
      </w:r>
      <w:r w:rsidRPr="007815B5">
        <w:t xml:space="preserve"> </w:t>
      </w:r>
    </w:p>
    <w:p w14:paraId="164D2C08" w14:textId="2563880A" w:rsidR="004D1CEC" w:rsidRPr="007C29A8" w:rsidRDefault="007815B5" w:rsidP="004E6DE8">
      <w:r w:rsidRPr="007815B5">
        <w:t>Pour l</w:t>
      </w:r>
      <w:r>
        <w:t>es risques importants (c</w:t>
      </w:r>
      <w:r w:rsidR="004E6DE8">
        <w:t>'</w:t>
      </w:r>
      <w:r>
        <w:t xml:space="preserve">est-à-dire ceux appartenant aux dix premiers risques) relevant de la catégorie </w:t>
      </w:r>
      <w:r w:rsidR="00963A54">
        <w:t>"</w:t>
      </w:r>
      <w:r>
        <w:t>Changement de l</w:t>
      </w:r>
      <w:r w:rsidR="004E6DE8">
        <w:t>'</w:t>
      </w:r>
      <w:r>
        <w:t>équipe de direction</w:t>
      </w:r>
      <w:r w:rsidR="00963A54">
        <w:t>"</w:t>
      </w:r>
      <w:r>
        <w:t xml:space="preserve"> identifié</w:t>
      </w:r>
      <w:r w:rsidR="006C6F15">
        <w:t>s</w:t>
      </w:r>
      <w:r>
        <w:t xml:space="preserve"> par l</w:t>
      </w:r>
      <w:r w:rsidR="004E6DE8">
        <w:t>'</w:t>
      </w:r>
      <w:r>
        <w:t>équipe de projet</w:t>
      </w:r>
      <w:r w:rsidR="006C6F15">
        <w:t xml:space="preserve"> de l</w:t>
      </w:r>
      <w:r w:rsidR="004E6DE8">
        <w:t>'</w:t>
      </w:r>
      <w:r w:rsidR="006C6F15">
        <w:t>UIT</w:t>
      </w:r>
      <w:r>
        <w:t>, les plans ou mesures d</w:t>
      </w:r>
      <w:r w:rsidR="004E6DE8">
        <w:t>'</w:t>
      </w:r>
      <w:r>
        <w:t xml:space="preserve">atténuation actuels intitulés </w:t>
      </w:r>
      <w:r w:rsidR="00963A54">
        <w:t>"</w:t>
      </w:r>
      <w:r>
        <w:t>Anticiper les étapes importantes et communiquer à l</w:t>
      </w:r>
      <w:r w:rsidR="004E6DE8">
        <w:t>'</w:t>
      </w:r>
      <w:r>
        <w:t>avance à ce sujet</w:t>
      </w:r>
      <w:r w:rsidR="00963A54">
        <w:t>"</w:t>
      </w:r>
      <w:r>
        <w:t xml:space="preserve"> pourraient être insuffisants (ces risques sont renforcés compte tenu des élections qui se tiendront prochainement à la PP-22)</w:t>
      </w:r>
      <w:r w:rsidR="004D1CEC" w:rsidRPr="007815B5">
        <w:t xml:space="preserve">. </w:t>
      </w:r>
      <w:r w:rsidRPr="007C29A8">
        <w:t>Il est donc recommand</w:t>
      </w:r>
      <w:r w:rsidR="007C29A8" w:rsidRPr="007C29A8">
        <w:t>é, afin que le projet puisse s</w:t>
      </w:r>
      <w:r w:rsidR="007C29A8">
        <w:t>e poursuivre sans heurts, qu</w:t>
      </w:r>
      <w:r w:rsidR="004E6DE8">
        <w:t>'</w:t>
      </w:r>
      <w:r w:rsidR="007C29A8">
        <w:t xml:space="preserve">un plan de succession concret et réalisable pour les fonctions essentielles du projet soit élaboré et approuvé par la haute direction. </w:t>
      </w:r>
      <w:r w:rsidR="007C29A8" w:rsidRPr="007C29A8">
        <w:t xml:space="preserve">Cette recommandation a été </w:t>
      </w:r>
      <w:r w:rsidR="006C6F15">
        <w:t>acceptée</w:t>
      </w:r>
      <w:r w:rsidR="006C6F15" w:rsidRPr="007C29A8">
        <w:t xml:space="preserve"> </w:t>
      </w:r>
      <w:r w:rsidR="007C29A8" w:rsidRPr="007C29A8">
        <w:t>au niveau de l</w:t>
      </w:r>
      <w:r w:rsidR="004E6DE8">
        <w:t>'</w:t>
      </w:r>
      <w:r w:rsidR="007C29A8" w:rsidRPr="007C29A8">
        <w:t>équipe d</w:t>
      </w:r>
      <w:r w:rsidR="007C29A8">
        <w:t>e gestion du projet</w:t>
      </w:r>
      <w:r w:rsidR="004D1CEC" w:rsidRPr="007C29A8">
        <w:t xml:space="preserve">. </w:t>
      </w:r>
    </w:p>
    <w:p w14:paraId="299EF617" w14:textId="2E11C3D9" w:rsidR="004D1CEC" w:rsidRPr="00CC1AAA" w:rsidRDefault="007C29A8" w:rsidP="004E6DE8">
      <w:r>
        <w:t xml:space="preserve">Les risques relatifs à la fraude/corruption semblent être formulés de manière générale et à </w:t>
      </w:r>
      <w:r w:rsidR="000E4B24">
        <w:t>un</w:t>
      </w:r>
      <w:r>
        <w:t xml:space="preserve"> niveau</w:t>
      </w:r>
      <w:r w:rsidR="000E4B24">
        <w:t xml:space="preserve"> élevé</w:t>
      </w:r>
      <w:r w:rsidRPr="007C29A8">
        <w:t xml:space="preserve">, </w:t>
      </w:r>
      <w:r w:rsidR="006C6F15">
        <w:t>d</w:t>
      </w:r>
      <w:r w:rsidR="004E6DE8">
        <w:t>'</w:t>
      </w:r>
      <w:r w:rsidR="006C6F15">
        <w:t>où d</w:t>
      </w:r>
      <w:r w:rsidRPr="007C29A8">
        <w:t>es plans et mesures d</w:t>
      </w:r>
      <w:r w:rsidR="004E6DE8">
        <w:t>'</w:t>
      </w:r>
      <w:r w:rsidRPr="007C29A8">
        <w:t xml:space="preserve">atténuation associés </w:t>
      </w:r>
      <w:r w:rsidR="006C6F15">
        <w:t xml:space="preserve">ayant eux aussi </w:t>
      </w:r>
      <w:r>
        <w:t xml:space="preserve">une portée trop générale et </w:t>
      </w:r>
      <w:r w:rsidR="006C6F15">
        <w:t xml:space="preserve">étant </w:t>
      </w:r>
      <w:r>
        <w:t>de trop haut niveau pour pouvoir traiter efficacement l</w:t>
      </w:r>
      <w:r w:rsidR="004E6DE8">
        <w:t>'</w:t>
      </w:r>
      <w:r>
        <w:t>exposition de l</w:t>
      </w:r>
      <w:r w:rsidR="004E6DE8">
        <w:t>'</w:t>
      </w:r>
      <w:r>
        <w:t xml:space="preserve">UIT à la fraude et à la corruption durant la construction du nouveau bâtiment du siège. </w:t>
      </w:r>
      <w:r w:rsidRPr="007C29A8">
        <w:t>Il est recommandé que, lors de la prochaine mise à</w:t>
      </w:r>
      <w:r>
        <w:t xml:space="preserve"> jour du registre des risques, des informations supplémentaires sur les risques liés à la fraude soient ajoutées.</w:t>
      </w:r>
      <w:r w:rsidR="00CC1AAA">
        <w:t xml:space="preserve"> </w:t>
      </w:r>
      <w:r w:rsidR="00CC1AAA" w:rsidRPr="00CC1AAA">
        <w:t xml:space="preserve">Cette recommandation a été </w:t>
      </w:r>
      <w:r w:rsidR="006C6F15">
        <w:t>acceptée</w:t>
      </w:r>
      <w:r w:rsidR="006C6F15" w:rsidRPr="00CC1AAA">
        <w:t xml:space="preserve"> </w:t>
      </w:r>
      <w:r w:rsidR="00CC1AAA" w:rsidRPr="00CC1AAA">
        <w:t>au niveau de l</w:t>
      </w:r>
      <w:r w:rsidR="004E6DE8">
        <w:t>'</w:t>
      </w:r>
      <w:r w:rsidR="00CC1AAA" w:rsidRPr="00CC1AAA">
        <w:t>équipe de gestion du projet</w:t>
      </w:r>
      <w:r w:rsidR="004D1CEC" w:rsidRPr="00CC1AAA">
        <w:t xml:space="preserve">. </w:t>
      </w:r>
    </w:p>
    <w:p w14:paraId="52539943" w14:textId="356BE96E" w:rsidR="004D1CEC" w:rsidRPr="00CC1AAA" w:rsidRDefault="004D1CEC" w:rsidP="004E6DE8">
      <w:pPr>
        <w:pStyle w:val="Heading2"/>
      </w:pPr>
      <w:r w:rsidRPr="00CC1AAA">
        <w:t>6.3</w:t>
      </w:r>
      <w:r w:rsidRPr="00CC1AAA">
        <w:tab/>
      </w:r>
      <w:r w:rsidR="00CC1AAA" w:rsidRPr="00CC1AAA">
        <w:t>Questions ayant une priorité m</w:t>
      </w:r>
      <w:r w:rsidR="00CC1AAA">
        <w:t>oyenne ou faible</w:t>
      </w:r>
    </w:p>
    <w:p w14:paraId="6C2B6F10" w14:textId="4B06EBAF" w:rsidR="004D1CEC" w:rsidRPr="00CC1AAA" w:rsidRDefault="00CC1AAA" w:rsidP="004E6DE8">
      <w:r w:rsidRPr="00CC1AAA">
        <w:t>Le rapport contient huit r</w:t>
      </w:r>
      <w:r>
        <w:t>ecommandations ayant une priorité moye</w:t>
      </w:r>
      <w:r w:rsidR="00826FED">
        <w:t>nne, dont la majorité concerne </w:t>
      </w:r>
      <w:r>
        <w:t xml:space="preserve">la gestion du projet, quelques-unes relèvent du Département FRMD et une concerne la Division SPM. </w:t>
      </w:r>
      <w:r w:rsidRPr="00CC1AAA">
        <w:t>Durant l</w:t>
      </w:r>
      <w:r w:rsidR="004E6DE8">
        <w:t>'</w:t>
      </w:r>
      <w:r w:rsidRPr="00CC1AAA">
        <w:t>audit, le responsable de projet de l</w:t>
      </w:r>
      <w:r w:rsidR="004E6DE8">
        <w:t>'</w:t>
      </w:r>
      <w:r w:rsidRPr="00CC1AAA">
        <w:t>UIT a éga</w:t>
      </w:r>
      <w:r>
        <w:t>lement été informé de l</w:t>
      </w:r>
      <w:r w:rsidR="004E6DE8">
        <w:t>'</w:t>
      </w:r>
      <w:r>
        <w:t xml:space="preserve">existence </w:t>
      </w:r>
      <w:r w:rsidR="00E72D59">
        <w:t>d</w:t>
      </w:r>
      <w:r w:rsidR="004E6DE8">
        <w:t>'</w:t>
      </w:r>
      <w:r w:rsidR="00E72D59">
        <w:t xml:space="preserve">un petit nombre </w:t>
      </w:r>
      <w:r>
        <w:t>de questions ayant une priorité faible pour lesquelles l</w:t>
      </w:r>
      <w:r w:rsidR="004E6DE8">
        <w:t>'</w:t>
      </w:r>
      <w:r>
        <w:t>Unité de l</w:t>
      </w:r>
      <w:r w:rsidR="004E6DE8">
        <w:t>'</w:t>
      </w:r>
      <w:r>
        <w:t>audit interne n</w:t>
      </w:r>
      <w:r w:rsidR="004E6DE8">
        <w:t>'</w:t>
      </w:r>
      <w:r>
        <w:t>a formulé aucune recommandation particulière.</w:t>
      </w:r>
    </w:p>
    <w:p w14:paraId="59509CD7" w14:textId="2C7957A8" w:rsidR="004D1CEC" w:rsidRPr="00CC1AAA" w:rsidRDefault="00CC1AAA" w:rsidP="004E6DE8">
      <w:r w:rsidRPr="00CC1AAA">
        <w:t>Le rapport d</w:t>
      </w:r>
      <w:r w:rsidR="004E6DE8">
        <w:t>'</w:t>
      </w:r>
      <w:r w:rsidRPr="00CC1AAA">
        <w:t xml:space="preserve">audit complet est disponible </w:t>
      </w:r>
      <w:hyperlink r:id="rId27" w:history="1">
        <w:r w:rsidRPr="005C29A2">
          <w:rPr>
            <w:rStyle w:val="Hyperlink"/>
          </w:rPr>
          <w:t>ici</w:t>
        </w:r>
      </w:hyperlink>
      <w:r w:rsidR="004D1CEC" w:rsidRPr="00CC1AAA">
        <w:t>.</w:t>
      </w:r>
    </w:p>
    <w:p w14:paraId="04DEDD57" w14:textId="30DB9F8E" w:rsidR="002B7ABA" w:rsidRPr="00DD0DAD" w:rsidRDefault="004D1CEC" w:rsidP="004E6DE8">
      <w:pPr>
        <w:pStyle w:val="Heading1"/>
      </w:pPr>
      <w:r>
        <w:lastRenderedPageBreak/>
        <w:t>7</w:t>
      </w:r>
      <w:r w:rsidR="002B7ABA" w:rsidRPr="00DD0DAD">
        <w:tab/>
        <w:t>Registre des risques</w:t>
      </w:r>
    </w:p>
    <w:p w14:paraId="74DE124B" w14:textId="15E89713" w:rsidR="002B7ABA" w:rsidRPr="00DD0DAD" w:rsidRDefault="002B7ABA" w:rsidP="004E6DE8">
      <w:r w:rsidRPr="00DD0DAD">
        <w:t>Un registre des risques complet a été élaboré en vue de la session additionnelle du Conseil qui a eu lieu en septembre 2019, afin d</w:t>
      </w:r>
      <w:r w:rsidR="004E6DE8">
        <w:t>'</w:t>
      </w:r>
      <w:r w:rsidRPr="00DD0DAD">
        <w:t>évaluer le cahier des charges de façon régulière et d</w:t>
      </w:r>
      <w:r w:rsidR="004E6DE8">
        <w:t>'</w:t>
      </w:r>
      <w:r w:rsidRPr="00DD0DAD">
        <w:t>identifier les incidences que pourrait avoir l</w:t>
      </w:r>
      <w:r w:rsidR="004E6DE8">
        <w:t>'</w:t>
      </w:r>
      <w:r w:rsidRPr="00DD0DAD">
        <w:t>exécution du projet dans le futur.</w:t>
      </w:r>
    </w:p>
    <w:p w14:paraId="0670B039" w14:textId="08349719" w:rsidR="002B7ABA" w:rsidRPr="00DD0DAD" w:rsidRDefault="002B7ABA" w:rsidP="004E6DE8">
      <w:r w:rsidRPr="00DD0DAD">
        <w:t>Le Groupe MSAG procède régulièrement à une analyse détaillée du registre des risques. L</w:t>
      </w:r>
      <w:r w:rsidR="004E6DE8">
        <w:t>'</w:t>
      </w:r>
      <w:r w:rsidRPr="00DD0DAD">
        <w:t>objectif est de formuler des conseils à l</w:t>
      </w:r>
      <w:r w:rsidR="004E6DE8">
        <w:t>'</w:t>
      </w:r>
      <w:r w:rsidRPr="00DD0DAD">
        <w:t>intention du secrétariat concernant les éventuels risques perçus par les membres non pris en compte dans le registre et de demander des clarifications concernant les risques inscrits dans le registre.</w:t>
      </w:r>
    </w:p>
    <w:p w14:paraId="49D943E1" w14:textId="4EEFB712" w:rsidR="002B7ABA" w:rsidRDefault="002B7ABA" w:rsidP="004E6DE8">
      <w:r w:rsidRPr="00DD0DAD">
        <w:t>On trouvera dans l</w:t>
      </w:r>
      <w:r w:rsidR="004E6DE8">
        <w:t>'</w:t>
      </w:r>
      <w:hyperlink w:anchor="AnnexeA" w:history="1">
        <w:r w:rsidRPr="00DD0DAD">
          <w:rPr>
            <w:rStyle w:val="Hyperlink"/>
          </w:rPr>
          <w:t>Annexe A</w:t>
        </w:r>
      </w:hyperlink>
      <w:r w:rsidRPr="00DD0DAD">
        <w:t xml:space="preserve"> du présent rapport un extrait comprenant les risques les plus importants et leurs coûts estimés.</w:t>
      </w:r>
    </w:p>
    <w:p w14:paraId="2ECCFBC8" w14:textId="3A2039D4" w:rsidR="004D1CEC" w:rsidRPr="00CC1AAA" w:rsidRDefault="00CC1AAA" w:rsidP="004E6DE8">
      <w:r w:rsidRPr="00CC1AAA">
        <w:t xml:space="preserve">La version complète </w:t>
      </w:r>
      <w:r>
        <w:t>du Registre des risques,</w:t>
      </w:r>
      <w:r w:rsidR="008B7CD2">
        <w:t xml:space="preserve"> actualisée</w:t>
      </w:r>
      <w:r>
        <w:t xml:space="preserve"> au 6 juin 2022, est disponible </w:t>
      </w:r>
      <w:hyperlink r:id="rId28" w:history="1">
        <w:r w:rsidRPr="005C29A2">
          <w:rPr>
            <w:rStyle w:val="Hyperlink"/>
          </w:rPr>
          <w:t>ici</w:t>
        </w:r>
      </w:hyperlink>
      <w:r>
        <w:t>. La somme des coûts pondérés des risques les plus importants s</w:t>
      </w:r>
      <w:r w:rsidR="004E6DE8">
        <w:t>'</w:t>
      </w:r>
      <w:r>
        <w:t>élève à 6 638 482 CHF.</w:t>
      </w:r>
    </w:p>
    <w:p w14:paraId="2F0DEC66" w14:textId="77777777" w:rsidR="002B7ABA" w:rsidRPr="00DD0DAD" w:rsidRDefault="002B7ABA" w:rsidP="00826FED">
      <w:pPr>
        <w:pStyle w:val="FigureNo"/>
        <w:spacing w:before="360"/>
      </w:pPr>
      <w:r w:rsidRPr="00DD0DAD">
        <w:t>Figure</w:t>
      </w:r>
    </w:p>
    <w:p w14:paraId="4432E0D8" w14:textId="77777777" w:rsidR="002B7ABA" w:rsidRPr="00DD0DAD" w:rsidRDefault="002B7ABA" w:rsidP="00826FED">
      <w:pPr>
        <w:pStyle w:val="Figuretitle"/>
        <w:spacing w:before="120" w:after="240"/>
      </w:pPr>
      <w:r w:rsidRPr="00DD0DAD">
        <w:t>Risques les plus importants et Fonds pour le registre des risques</w:t>
      </w:r>
    </w:p>
    <w:p w14:paraId="6EE88580" w14:textId="579241C7" w:rsidR="002B7ABA" w:rsidRPr="00DD0DAD" w:rsidRDefault="00B87169" w:rsidP="004E6DE8">
      <w:pPr>
        <w:pStyle w:val="Normalaftertitle"/>
        <w:jc w:val="center"/>
      </w:pPr>
      <w:r>
        <w:rPr>
          <w:noProof/>
          <w:lang w:val="en-US"/>
        </w:rPr>
        <w:drawing>
          <wp:inline distT="0" distB="0" distL="0" distR="0" wp14:anchorId="20F25E30" wp14:editId="2E9179C3">
            <wp:extent cx="6120765" cy="4112895"/>
            <wp:effectExtent l="0" t="0" r="0" b="1905"/>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29"/>
                    <a:stretch>
                      <a:fillRect/>
                    </a:stretch>
                  </pic:blipFill>
                  <pic:spPr>
                    <a:xfrm>
                      <a:off x="0" y="0"/>
                      <a:ext cx="6120765" cy="4112895"/>
                    </a:xfrm>
                    <a:prstGeom prst="rect">
                      <a:avLst/>
                    </a:prstGeom>
                  </pic:spPr>
                </pic:pic>
              </a:graphicData>
            </a:graphic>
          </wp:inline>
        </w:drawing>
      </w:r>
    </w:p>
    <w:p w14:paraId="695660D4" w14:textId="77777777" w:rsidR="002B7ABA" w:rsidRPr="00DD0DAD" w:rsidRDefault="002B7ABA" w:rsidP="004E6DE8">
      <w:pPr>
        <w:pStyle w:val="Note"/>
        <w:spacing w:before="360"/>
      </w:pPr>
      <w:r w:rsidRPr="00DD0DAD">
        <w:t>Note: La probabilité que tous les risques présentés se produisent en même temps est irréaliste.</w:t>
      </w:r>
    </w:p>
    <w:p w14:paraId="388CC42B" w14:textId="7321ACFA" w:rsidR="002B7ABA" w:rsidRPr="00DD0DAD" w:rsidRDefault="00B87169" w:rsidP="004E6DE8">
      <w:pPr>
        <w:pStyle w:val="Heading1"/>
      </w:pPr>
      <w:r>
        <w:lastRenderedPageBreak/>
        <w:t>8</w:t>
      </w:r>
      <w:r w:rsidR="002B7ABA" w:rsidRPr="00DD0DAD">
        <w:tab/>
        <w:t>Calendrier du projet</w:t>
      </w:r>
    </w:p>
    <w:p w14:paraId="0B4E86E2" w14:textId="429380DE" w:rsidR="002B7ABA" w:rsidRPr="00DD0DAD" w:rsidRDefault="002B7ABA" w:rsidP="004E6DE8">
      <w:r w:rsidRPr="00DD0DAD">
        <w:t>Hill international, qui s</w:t>
      </w:r>
      <w:r w:rsidR="004E6DE8">
        <w:t>'</w:t>
      </w:r>
      <w:r w:rsidRPr="00DD0DAD">
        <w:t>appuie sur la contribution importante du consortium d</w:t>
      </w:r>
      <w:r w:rsidR="004E6DE8">
        <w:t>'</w:t>
      </w:r>
      <w:r w:rsidRPr="00DD0DAD">
        <w:t xml:space="preserve">architectes CDTK et </w:t>
      </w:r>
      <w:r w:rsidR="00277BA8">
        <w:t xml:space="preserve">agit </w:t>
      </w:r>
      <w:r w:rsidRPr="00DD0DAD">
        <w:t>en coordination avec la Division responsable du projet de bâtiment, est chargé de suivre, d</w:t>
      </w:r>
      <w:r w:rsidR="004E6DE8">
        <w:t>'</w:t>
      </w:r>
      <w:r w:rsidRPr="00DD0DAD">
        <w:t>examiner et d</w:t>
      </w:r>
      <w:r w:rsidR="004E6DE8">
        <w:t>'</w:t>
      </w:r>
      <w:r w:rsidRPr="00DD0DAD">
        <w:t>actualiser le calendrier de conception et de construction.</w:t>
      </w:r>
    </w:p>
    <w:p w14:paraId="5E9936BC" w14:textId="7DB960A7" w:rsidR="002B7ABA" w:rsidRPr="00826FED" w:rsidRDefault="002B7ABA" w:rsidP="004E6DE8">
      <w:pPr>
        <w:rPr>
          <w:rStyle w:val="Hyperlink"/>
          <w:color w:val="auto"/>
        </w:rPr>
      </w:pPr>
      <w:r w:rsidRPr="00DD0DAD">
        <w:t xml:space="preserve">Le calendrier du projet est disponible </w:t>
      </w:r>
      <w:hyperlink r:id="rId30" w:history="1">
        <w:r w:rsidRPr="00826FED">
          <w:rPr>
            <w:rStyle w:val="Hyperlink"/>
          </w:rPr>
          <w:t>ici</w:t>
        </w:r>
      </w:hyperlink>
      <w:r w:rsidR="00826FED">
        <w:t>.</w:t>
      </w:r>
    </w:p>
    <w:p w14:paraId="1F029DEE" w14:textId="00E3DE12" w:rsidR="00B87169" w:rsidRPr="008B7CD2" w:rsidRDefault="00B87169" w:rsidP="004E6DE8">
      <w:pPr>
        <w:pStyle w:val="Heading1"/>
      </w:pPr>
      <w:r w:rsidRPr="008B7CD2">
        <w:t>9</w:t>
      </w:r>
      <w:r w:rsidRPr="008B7CD2">
        <w:tab/>
      </w:r>
      <w:r w:rsidR="008B7CD2" w:rsidRPr="008B7CD2">
        <w:t>Période de relogement et de transition</w:t>
      </w:r>
    </w:p>
    <w:p w14:paraId="427163CA" w14:textId="711B8AA4" w:rsidR="00B87169" w:rsidRPr="00473EA3" w:rsidRDefault="00DC1630" w:rsidP="004E6DE8">
      <w:r w:rsidRPr="00DC1630">
        <w:t>Un cabinet de conseil s</w:t>
      </w:r>
      <w:r>
        <w:t>pécialisé dans les espaces de travail a été mandaté pour formuler des recommandations sur les méthodes de travail</w:t>
      </w:r>
      <w:r w:rsidR="00D112ED">
        <w:t xml:space="preserve"> flexibles, conformément à la vision de l</w:t>
      </w:r>
      <w:r w:rsidR="004E6DE8">
        <w:t>'</w:t>
      </w:r>
      <w:r w:rsidR="00D112ED">
        <w:t>UIT pour l</w:t>
      </w:r>
      <w:r w:rsidR="004E6DE8">
        <w:t>'</w:t>
      </w:r>
      <w:r w:rsidR="00D112ED">
        <w:t xml:space="preserve">avenir, et mettre au point une proposition adaptée pour les espaces de travail durant la période de transition et dans le nouveau bâtiment du siège, conformément </w:t>
      </w:r>
      <w:r w:rsidR="00473EA3">
        <w:t xml:space="preserve">à la Stratégie et </w:t>
      </w:r>
      <w:r w:rsidR="00277BA8">
        <w:t xml:space="preserve">au </w:t>
      </w:r>
      <w:r w:rsidR="00473EA3">
        <w:t>plan de mise en œuvre pour les conditions de travail du personnel présentés dans le rapport soumis par le Secrétaire général au Conseil à sa session de 2020</w:t>
      </w:r>
      <w:r w:rsidR="00B87169" w:rsidRPr="00473EA3">
        <w:t>.</w:t>
      </w:r>
    </w:p>
    <w:p w14:paraId="1061D461" w14:textId="4B00E714" w:rsidR="00B87169" w:rsidRPr="00D379AE" w:rsidRDefault="00473EA3" w:rsidP="004E6DE8">
      <w:r w:rsidRPr="00473EA3">
        <w:t>L</w:t>
      </w:r>
      <w:r w:rsidR="004E6DE8">
        <w:t>'</w:t>
      </w:r>
      <w:r w:rsidRPr="00473EA3">
        <w:t>objectif de l</w:t>
      </w:r>
      <w:r w:rsidR="004E6DE8">
        <w:t>'</w:t>
      </w:r>
      <w:r w:rsidRPr="00473EA3">
        <w:t>UIT, durant l</w:t>
      </w:r>
      <w:r>
        <w:t>a période de transition, est d</w:t>
      </w:r>
      <w:r w:rsidR="004E6DE8">
        <w:t>'</w:t>
      </w:r>
      <w:r>
        <w:t xml:space="preserve">instaurer un environnement de travail sain et efficace </w:t>
      </w:r>
      <w:r w:rsidR="007D24A8">
        <w:t>pour le</w:t>
      </w:r>
      <w:r>
        <w:t xml:space="preserve"> personnel, dans les limites de l</w:t>
      </w:r>
      <w:r w:rsidR="004E6DE8">
        <w:t>'</w:t>
      </w:r>
      <w:r>
        <w:t xml:space="preserve">espace disponible et dans le respect des contraintes liées au </w:t>
      </w:r>
      <w:r w:rsidR="00AD499B">
        <w:t>chantier</w:t>
      </w:r>
      <w:r>
        <w:t xml:space="preserve">, </w:t>
      </w:r>
      <w:r w:rsidR="00AD499B">
        <w:t>qui fait fond sur la mise en place réussie du</w:t>
      </w:r>
      <w:r>
        <w:t xml:space="preserve"> télétravail durant la pandémie</w:t>
      </w:r>
      <w:r w:rsidR="00AD499B">
        <w:t xml:space="preserve"> et</w:t>
      </w:r>
      <w:r w:rsidR="00C91452">
        <w:t xml:space="preserve"> la transition vers de nouvelles méthodes de travail souples dans le nouveau bâtiment du siège, comme indiqué dans la Décision 619 (2019) du Conseil</w:t>
      </w:r>
      <w:r w:rsidR="00B87169" w:rsidRPr="00D379AE">
        <w:t>.</w:t>
      </w:r>
    </w:p>
    <w:p w14:paraId="28C5EB79" w14:textId="534AA633" w:rsidR="002B7ABA" w:rsidRPr="00DD0DAD" w:rsidRDefault="002B7ABA" w:rsidP="004E6DE8">
      <w:r w:rsidRPr="00DD0DAD">
        <w:t>Un certain nombre d</w:t>
      </w:r>
      <w:r w:rsidR="004E6DE8">
        <w:t>'</w:t>
      </w:r>
      <w:r w:rsidRPr="00DD0DAD">
        <w:t>activités préparatoires ont été lancées, afin d</w:t>
      </w:r>
      <w:r w:rsidR="004E6DE8">
        <w:t>'</w:t>
      </w:r>
      <w:r w:rsidRPr="00DD0DAD">
        <w:t>aligner l</w:t>
      </w:r>
      <w:r w:rsidR="004E6DE8">
        <w:t>'</w:t>
      </w:r>
      <w:r w:rsidRPr="00DD0DAD">
        <w:t xml:space="preserve">infrastructure existante sur celle qui sera en place une fois le nouveau bâtiment construit. Conformément au point 9 de la </w:t>
      </w:r>
      <w:hyperlink r:id="rId31" w:history="1">
        <w:r w:rsidRPr="00DD0DAD">
          <w:rPr>
            <w:rStyle w:val="Hyperlink"/>
          </w:rPr>
          <w:t>Décision 588</w:t>
        </w:r>
      </w:hyperlink>
      <w:r w:rsidRPr="00DD0DAD">
        <w:t>, un plan pour la rénovation du bâtiment Montbrillant a été approuvé et des fonds ont été affectés, afin de permettre la réalisation des travaux d</w:t>
      </w:r>
      <w:r w:rsidR="004E6DE8">
        <w:t>'</w:t>
      </w:r>
      <w:r w:rsidRPr="00DD0DAD">
        <w:t>ici à l</w:t>
      </w:r>
      <w:r w:rsidR="004E6DE8">
        <w:t>'</w:t>
      </w:r>
      <w:r w:rsidRPr="00DD0DAD">
        <w:t>achèvement de la construction du nouveau bâtiment.</w:t>
      </w:r>
    </w:p>
    <w:p w14:paraId="4BE75B9F" w14:textId="77A75C46" w:rsidR="002B7ABA" w:rsidRPr="00DD0DAD" w:rsidRDefault="002B7ABA" w:rsidP="004E6DE8">
      <w:r w:rsidRPr="00DD0DAD">
        <w:t>En prévision du processus de relogement du personnel, qui doit commencer au début de 2023, une feuille de route de haut niveau a été élaborée. La feuille de route définit quatre phases principales qui seront gérées par la Division FMBPD en prévision de la période de transition: planification de l</w:t>
      </w:r>
      <w:r w:rsidR="004E6DE8">
        <w:t>'</w:t>
      </w:r>
      <w:r w:rsidRPr="00DD0DAD">
        <w:t>espace, désencombrement, petits travaux de construction et déménagement des bureaux. Elle met également en évidence les projets connexes à l</w:t>
      </w:r>
      <w:r w:rsidR="004E6DE8">
        <w:t>'</w:t>
      </w:r>
      <w:r w:rsidRPr="00DD0DAD">
        <w:t>appui du relogement.</w:t>
      </w:r>
    </w:p>
    <w:p w14:paraId="33BDFFD8" w14:textId="2DBAB9F1" w:rsidR="002B7ABA" w:rsidRPr="00DD0DAD" w:rsidRDefault="002B7ABA" w:rsidP="004E6DE8">
      <w:r w:rsidRPr="00DD0DAD">
        <w:t>La phase de planification de l</w:t>
      </w:r>
      <w:r w:rsidR="004E6DE8">
        <w:t>'</w:t>
      </w:r>
      <w:r w:rsidRPr="00DD0DAD">
        <w:t>espace est en cours. Un Ordre de service a été publié, afin de centraliser la gestion de l</w:t>
      </w:r>
      <w:r w:rsidR="004E6DE8">
        <w:t>'</w:t>
      </w:r>
      <w:r w:rsidRPr="00DD0DAD">
        <w:t>espace et l</w:t>
      </w:r>
      <w:r w:rsidR="004E6DE8">
        <w:t>'</w:t>
      </w:r>
      <w:r w:rsidRPr="00DD0DAD">
        <w:t>achat du mobilier, ce qui permettra d</w:t>
      </w:r>
      <w:r w:rsidR="004E6DE8">
        <w:t>'</w:t>
      </w:r>
      <w:r w:rsidRPr="00DD0DAD">
        <w:t>optimiser l</w:t>
      </w:r>
      <w:r w:rsidR="004E6DE8">
        <w:t>'</w:t>
      </w:r>
      <w:r w:rsidRPr="00DD0DAD">
        <w:t>utilisation de l</w:t>
      </w:r>
      <w:r w:rsidR="004E6DE8">
        <w:t>'</w:t>
      </w:r>
      <w:r w:rsidRPr="00DD0DAD">
        <w:t>espace et d</w:t>
      </w:r>
      <w:r w:rsidR="004E6DE8">
        <w:t>'</w:t>
      </w:r>
      <w:r w:rsidRPr="00DD0DAD">
        <w:t>harmoniser et rationaliser les dépenses d</w:t>
      </w:r>
      <w:r w:rsidR="004E6DE8">
        <w:t>'</w:t>
      </w:r>
      <w:r w:rsidRPr="00DD0DAD">
        <w:t>équipement pour les biens de l</w:t>
      </w:r>
      <w:r w:rsidR="004E6DE8">
        <w:t>'</w:t>
      </w:r>
      <w:r w:rsidRPr="00DD0DAD">
        <w:t>UIT.</w:t>
      </w:r>
    </w:p>
    <w:p w14:paraId="721448E4" w14:textId="23B24248" w:rsidR="00B87169" w:rsidRPr="00D379AE" w:rsidRDefault="00D379AE" w:rsidP="004E6DE8">
      <w:r w:rsidRPr="00D379AE">
        <w:t>Une</w:t>
      </w:r>
      <w:r w:rsidR="00B248EE">
        <w:t xml:space="preserve"> première</w:t>
      </w:r>
      <w:r w:rsidRPr="00D379AE">
        <w:t xml:space="preserve"> proposition de relogement </w:t>
      </w:r>
      <w:r>
        <w:t>a été élaborée par le cabinet de conseil, afin de garantir la répartition équitable de l</w:t>
      </w:r>
      <w:r w:rsidR="004E6DE8">
        <w:t>'</w:t>
      </w:r>
      <w:r>
        <w:t>espace et l</w:t>
      </w:r>
      <w:r w:rsidR="004E6DE8">
        <w:t>'</w:t>
      </w:r>
      <w:r>
        <w:t>égalité de traitement des fonctionnaires. L</w:t>
      </w:r>
      <w:r w:rsidR="004E6DE8">
        <w:t>'</w:t>
      </w:r>
      <w:r>
        <w:t>étude préliminaire confirme que le bâtiment Montbrillant et la Tour peuvent, en association avec le télétravail, permettre le relogement du personnel, conformément aux exigences minimales en termes d</w:t>
      </w:r>
      <w:r w:rsidR="004E6DE8">
        <w:t>'</w:t>
      </w:r>
      <w:r>
        <w:t>espace. Sur la base des calculs provisoires, les Bureaux et les Départements du Secrétariat général bénéficieront chacun d</w:t>
      </w:r>
      <w:r w:rsidR="004E6DE8">
        <w:t>'</w:t>
      </w:r>
      <w:r>
        <w:t>environ 50% de l</w:t>
      </w:r>
      <w:r w:rsidR="004E6DE8">
        <w:t>'</w:t>
      </w:r>
      <w:r>
        <w:t>espace actuel qui leur est attribué, ce qui représente 60% des postes de travail actuels</w:t>
      </w:r>
      <w:r w:rsidR="00B87169" w:rsidRPr="00D379AE">
        <w:t xml:space="preserve">. </w:t>
      </w:r>
    </w:p>
    <w:p w14:paraId="636F5052" w14:textId="5335621F" w:rsidR="00B87169" w:rsidRPr="00D379AE" w:rsidRDefault="00D379AE" w:rsidP="004E6DE8">
      <w:r>
        <w:t>Des études supplémentaires</w:t>
      </w:r>
      <w:r w:rsidR="00AB7B04">
        <w:t xml:space="preserve"> et</w:t>
      </w:r>
      <w:r>
        <w:t xml:space="preserve"> de</w:t>
      </w:r>
      <w:r w:rsidR="00AB7B04">
        <w:t xml:space="preserve"> nouvelle</w:t>
      </w:r>
      <w:r>
        <w:t>s discussions avec toutes les parties prenantes seront menées à bien au cours des prochains mois pour établir la version définitive des plans d</w:t>
      </w:r>
      <w:r w:rsidR="004E6DE8">
        <w:t>'</w:t>
      </w:r>
      <w:r>
        <w:t>aménagement.</w:t>
      </w:r>
    </w:p>
    <w:p w14:paraId="11FEE6D3" w14:textId="08390B61" w:rsidR="00B87169" w:rsidRPr="00386042" w:rsidRDefault="00AB7B04" w:rsidP="004E6DE8">
      <w:r>
        <w:lastRenderedPageBreak/>
        <w:t>Parallèlement à</w:t>
      </w:r>
      <w:r w:rsidR="00BE0A91">
        <w:t xml:space="preserve"> la phase de planification de l</w:t>
      </w:r>
      <w:r w:rsidR="004E6DE8">
        <w:t>'</w:t>
      </w:r>
      <w:r w:rsidR="00BE0A91">
        <w:t>espace</w:t>
      </w:r>
      <w:r w:rsidR="00B87169" w:rsidRPr="00B87169">
        <w:t xml:space="preserve">, </w:t>
      </w:r>
      <w:r w:rsidR="002B7ABA" w:rsidRPr="00DD0DAD">
        <w:t xml:space="preserve">un programme de désencombrement </w:t>
      </w:r>
      <w:r w:rsidR="00BE0A91">
        <w:t>a été organisé au niveau des Départements</w:t>
      </w:r>
      <w:r w:rsidR="002B7ABA" w:rsidRPr="00DD0DAD">
        <w:t xml:space="preserve"> tout au long de 2022, afin de créer des espaces pour reloger le personnel et de préparer le déménagement</w:t>
      </w:r>
      <w:r w:rsidR="00C455F0">
        <w:t xml:space="preserve"> final</w:t>
      </w:r>
      <w:r w:rsidR="002B7ABA" w:rsidRPr="00DD0DAD">
        <w:t xml:space="preserve"> de</w:t>
      </w:r>
      <w:r w:rsidR="00C455F0">
        <w:t>s</w:t>
      </w:r>
      <w:r w:rsidR="002B7ABA" w:rsidRPr="00DD0DAD">
        <w:t xml:space="preserve"> bureau</w:t>
      </w:r>
      <w:r w:rsidR="00C455F0">
        <w:t>x</w:t>
      </w:r>
      <w:r w:rsidR="002B7ABA" w:rsidRPr="00DD0DAD">
        <w:t xml:space="preserve"> au début de 2023. Des installations </w:t>
      </w:r>
      <w:r w:rsidR="00BE0A91">
        <w:t>ont été</w:t>
      </w:r>
      <w:r w:rsidR="002B7ABA" w:rsidRPr="00DD0DAD">
        <w:t xml:space="preserve"> mises à la disposition des fonctionnaires</w:t>
      </w:r>
      <w:r w:rsidR="00C455F0">
        <w:t>, avec des orientations,</w:t>
      </w:r>
      <w:r w:rsidR="002B7ABA" w:rsidRPr="00DD0DAD">
        <w:t xml:space="preserve"> afin de veiller à ce que les dons, le recyclage et l</w:t>
      </w:r>
      <w:r w:rsidR="004E6DE8">
        <w:t>'</w:t>
      </w:r>
      <w:r w:rsidR="002B7ABA" w:rsidRPr="00DD0DAD">
        <w:t>élimination d</w:t>
      </w:r>
      <w:r w:rsidR="004E6DE8">
        <w:t>'</w:t>
      </w:r>
      <w:r w:rsidR="002B7ABA" w:rsidRPr="00DD0DAD">
        <w:t>objets et de matériels aient lieu conformément aux engagements de l</w:t>
      </w:r>
      <w:r w:rsidR="004E6DE8">
        <w:t>'</w:t>
      </w:r>
      <w:r w:rsidR="002B7ABA" w:rsidRPr="00DD0DAD">
        <w:t>UIT en matière de durabilité</w:t>
      </w:r>
      <w:r w:rsidR="00386042">
        <w:t>, et une vente d</w:t>
      </w:r>
      <w:r w:rsidR="004E6DE8">
        <w:t>'</w:t>
      </w:r>
      <w:r w:rsidR="00386042">
        <w:t>excédents d</w:t>
      </w:r>
      <w:r w:rsidR="004E6DE8">
        <w:t>'</w:t>
      </w:r>
      <w:r w:rsidR="00386042">
        <w:t>inventaire aux employés a été organisée conformément à la politique de l</w:t>
      </w:r>
      <w:r w:rsidR="004E6DE8">
        <w:t>'</w:t>
      </w:r>
      <w:r w:rsidR="00386042">
        <w:t>UIT relative à l</w:t>
      </w:r>
      <w:r w:rsidR="004E6DE8">
        <w:t>'</w:t>
      </w:r>
      <w:r w:rsidR="00386042">
        <w:t>élimination des équipements</w:t>
      </w:r>
      <w:r w:rsidR="00B87169" w:rsidRPr="00386042">
        <w:t>.</w:t>
      </w:r>
      <w:r w:rsidR="00386042">
        <w:t xml:space="preserve"> Les Bureaux et les Départements du Secrétariat général situés à la Tour ont mené à bien ce</w:t>
      </w:r>
      <w:r w:rsidR="00C455F0">
        <w:t xml:space="preserve"> </w:t>
      </w:r>
      <w:r w:rsidR="00386042">
        <w:t>t</w:t>
      </w:r>
      <w:r w:rsidR="00C455F0">
        <w:t>ravail</w:t>
      </w:r>
      <w:r w:rsidR="00386042">
        <w:t>, et ceux situés à Montbrillant et Varembé l</w:t>
      </w:r>
      <w:r w:rsidR="004E6DE8">
        <w:t>'</w:t>
      </w:r>
      <w:r w:rsidR="00386042">
        <w:t>effectueront d</w:t>
      </w:r>
      <w:r w:rsidR="004E6DE8">
        <w:t>'</w:t>
      </w:r>
      <w:r w:rsidR="00386042">
        <w:t>ici à octobre 2022</w:t>
      </w:r>
      <w:r w:rsidR="00B87169" w:rsidRPr="00386042">
        <w:t>.</w:t>
      </w:r>
    </w:p>
    <w:p w14:paraId="463D13DD" w14:textId="481F7328" w:rsidR="00B87169" w:rsidRDefault="002B7ABA" w:rsidP="004E6DE8">
      <w:r w:rsidRPr="00DD0DAD">
        <w:t>Les petits travaux de construction débuteront dans les sous-sols de la Tour</w:t>
      </w:r>
      <w:r w:rsidR="00B87169">
        <w:t xml:space="preserve"> </w:t>
      </w:r>
      <w:r w:rsidRPr="00DD0DAD">
        <w:t>et comprendront par la suite les travaux de construction nécessaires dans les espaces de bureau pour permettre la mise en œuvre des plans d</w:t>
      </w:r>
      <w:r w:rsidR="004E6DE8">
        <w:t>'</w:t>
      </w:r>
      <w:r w:rsidRPr="00DD0DAD">
        <w:t xml:space="preserve">aménagement définitifs. </w:t>
      </w:r>
    </w:p>
    <w:p w14:paraId="2845B3D6" w14:textId="64E356EE" w:rsidR="002B7ABA" w:rsidRPr="00386042" w:rsidRDefault="00386042" w:rsidP="004E6DE8">
      <w:r w:rsidRPr="00386042">
        <w:t>Le relogement du personnel d</w:t>
      </w:r>
      <w:r>
        <w:t>evrait commencer au début de 2023. Ce processus débutera par le nettoyage des bureaux et l</w:t>
      </w:r>
      <w:r w:rsidR="004E6DE8">
        <w:t>'</w:t>
      </w:r>
      <w:r>
        <w:t>installation des configurations de mobilier appropriées à la Tour et dans le bâtiment Montbrillant, avant le relogement des fonctionnaires dans leurs nouveaux bureaux</w:t>
      </w:r>
      <w:r w:rsidR="00B87169" w:rsidRPr="00386042">
        <w:t>.</w:t>
      </w:r>
    </w:p>
    <w:p w14:paraId="37158A7B" w14:textId="1A67D9C8" w:rsidR="002B7ABA" w:rsidRPr="00B72FB1" w:rsidRDefault="00B87169" w:rsidP="00B72FB1">
      <w:pPr>
        <w:pStyle w:val="Heading1"/>
      </w:pPr>
      <w:r w:rsidRPr="00B72FB1">
        <w:t>10</w:t>
      </w:r>
      <w:r w:rsidR="002B7ABA" w:rsidRPr="00B72FB1">
        <w:tab/>
        <w:t>Mises à jour des informations financières</w:t>
      </w:r>
    </w:p>
    <w:p w14:paraId="506E6367" w14:textId="174A531F" w:rsidR="002B7ABA" w:rsidRPr="00DD0DAD" w:rsidRDefault="00B87169" w:rsidP="004E6DE8">
      <w:pPr>
        <w:pStyle w:val="Heading2"/>
      </w:pPr>
      <w:r>
        <w:t>10</w:t>
      </w:r>
      <w:r w:rsidR="002B7ABA" w:rsidRPr="00DD0DAD">
        <w:t>.1</w:t>
      </w:r>
      <w:r w:rsidR="002B7ABA" w:rsidRPr="00DD0DAD">
        <w:tab/>
      </w:r>
      <w:r w:rsidR="00386042">
        <w:t>Parrainages et dons</w:t>
      </w:r>
    </w:p>
    <w:p w14:paraId="35E854A3" w14:textId="382BADA1" w:rsidR="002B7ABA" w:rsidRPr="00DD0DAD" w:rsidRDefault="002B7ABA" w:rsidP="004E6DE8">
      <w:r w:rsidRPr="00DD0DAD">
        <w:t xml:space="preserve">Compte tenu de la révision de la Décision 619, à la session de 2021 du Conseil, </w:t>
      </w:r>
      <w:r w:rsidR="00386042">
        <w:t xml:space="preserve">des parrainages supplémentaires ont été reçus </w:t>
      </w:r>
      <w:r w:rsidRPr="00DD0DAD">
        <w:t>du Koweït</w:t>
      </w:r>
      <w:r w:rsidR="00386042">
        <w:t xml:space="preserve"> et d</w:t>
      </w:r>
      <w:r w:rsidR="004E6DE8">
        <w:t>'</w:t>
      </w:r>
      <w:r w:rsidR="00386042">
        <w:t>I</w:t>
      </w:r>
      <w:r w:rsidR="00B87169" w:rsidRPr="00B87169">
        <w:t xml:space="preserve">ntersputnik, </w:t>
      </w:r>
      <w:r w:rsidR="00386042">
        <w:t>ainsi qu</w:t>
      </w:r>
      <w:r w:rsidR="004E6DE8">
        <w:t>'</w:t>
      </w:r>
      <w:r w:rsidR="00386042">
        <w:t>un don du Nigéria</w:t>
      </w:r>
      <w:r w:rsidR="00B87169">
        <w:t>.</w:t>
      </w:r>
    </w:p>
    <w:p w14:paraId="78F026F2" w14:textId="43974F53" w:rsidR="002B7ABA" w:rsidRPr="00DE5ADB" w:rsidRDefault="00386042" w:rsidP="00B72FB1">
      <w:pPr>
        <w:spacing w:after="240"/>
      </w:pPr>
      <w:r w:rsidRPr="00386042">
        <w:t>Un calendrier de paiement a</w:t>
      </w:r>
      <w:r>
        <w:t xml:space="preserve"> été convenu avec le Koweït et Intersputnik, et les paiements reçus à ce jour sont indiqués dans le tableau ci-dessous. </w:t>
      </w:r>
      <w:r w:rsidR="002764B7">
        <w:t>On trouvera ci-dessous l</w:t>
      </w:r>
      <w:r w:rsidRPr="002764B7">
        <w:t>e montant total des parrainages et des dons</w:t>
      </w:r>
      <w:r w:rsidR="002764B7">
        <w:t xml:space="preserve"> à ce jour</w:t>
      </w:r>
      <w:r w:rsidR="002764B7" w:rsidRPr="002764B7">
        <w:t>:</w:t>
      </w:r>
    </w:p>
    <w:tbl>
      <w:tblPr>
        <w:tblW w:w="9209" w:type="dxa"/>
        <w:jc w:val="center"/>
        <w:tblCellMar>
          <w:left w:w="0" w:type="dxa"/>
          <w:right w:w="0" w:type="dxa"/>
        </w:tblCellMar>
        <w:tblLook w:val="04A0" w:firstRow="1" w:lastRow="0" w:firstColumn="1" w:lastColumn="0" w:noHBand="0" w:noVBand="1"/>
      </w:tblPr>
      <w:tblGrid>
        <w:gridCol w:w="2302"/>
        <w:gridCol w:w="4786"/>
        <w:gridCol w:w="2121"/>
      </w:tblGrid>
      <w:tr w:rsidR="002B7ABA" w:rsidRPr="002764B7" w14:paraId="5F85DAB9" w14:textId="77777777" w:rsidTr="00B72FB1">
        <w:trPr>
          <w:trHeight w:val="322"/>
          <w:jc w:val="center"/>
        </w:trPr>
        <w:tc>
          <w:tcPr>
            <w:tcW w:w="230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01300A9" w14:textId="77777777" w:rsidR="002B7ABA" w:rsidRPr="00DD0DAD" w:rsidRDefault="002B7ABA" w:rsidP="004E6DE8">
            <w:pPr>
              <w:pStyle w:val="Tablehead"/>
              <w:rPr>
                <w:lang w:eastAsia="en-GB"/>
              </w:rPr>
            </w:pPr>
            <w:r w:rsidRPr="00DD0DAD">
              <w:rPr>
                <w:lang w:eastAsia="en-GB"/>
              </w:rPr>
              <w:t>Type de financement</w:t>
            </w:r>
          </w:p>
        </w:tc>
        <w:tc>
          <w:tcPr>
            <w:tcW w:w="478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40D18DA" w14:textId="14817C21" w:rsidR="002B7ABA" w:rsidRPr="00DD0DAD" w:rsidRDefault="00B87169" w:rsidP="004E6DE8">
            <w:pPr>
              <w:pStyle w:val="Tablehead"/>
              <w:rPr>
                <w:lang w:eastAsia="en-GB"/>
              </w:rPr>
            </w:pPr>
            <w:r w:rsidRPr="00B87169">
              <w:rPr>
                <w:lang w:eastAsia="en-GB"/>
              </w:rPr>
              <w:t>Sponsor/</w:t>
            </w:r>
            <w:r w:rsidR="002764B7">
              <w:rPr>
                <w:lang w:eastAsia="en-GB"/>
              </w:rPr>
              <w:t>donateur</w:t>
            </w:r>
            <w:r w:rsidRPr="00B87169">
              <w:rPr>
                <w:lang w:eastAsia="en-GB"/>
              </w:rPr>
              <w:t xml:space="preserve"> (</w:t>
            </w:r>
            <w:r w:rsidR="002764B7">
              <w:rPr>
                <w:lang w:eastAsia="en-GB"/>
              </w:rPr>
              <w:t>offre</w:t>
            </w:r>
            <w:r w:rsidRPr="00B87169">
              <w:rPr>
                <w:lang w:eastAsia="en-GB"/>
              </w:rPr>
              <w:t>)</w:t>
            </w:r>
          </w:p>
        </w:tc>
        <w:tc>
          <w:tcPr>
            <w:tcW w:w="2121" w:type="dxa"/>
            <w:tcBorders>
              <w:top w:val="single" w:sz="4" w:space="0" w:color="auto"/>
              <w:left w:val="single" w:sz="4" w:space="0" w:color="auto"/>
              <w:bottom w:val="single" w:sz="4" w:space="0" w:color="auto"/>
              <w:right w:val="single" w:sz="4" w:space="0" w:color="auto"/>
            </w:tcBorders>
            <w:tcMar>
              <w:left w:w="108" w:type="dxa"/>
              <w:right w:w="108" w:type="dxa"/>
            </w:tcMar>
          </w:tcPr>
          <w:p w14:paraId="657F4BA5" w14:textId="38F199C9" w:rsidR="002B7ABA" w:rsidRPr="002764B7" w:rsidRDefault="002764B7" w:rsidP="004E6DE8">
            <w:pPr>
              <w:pStyle w:val="Tablehead"/>
              <w:rPr>
                <w:lang w:eastAsia="en-GB"/>
              </w:rPr>
            </w:pPr>
            <w:r w:rsidRPr="002764B7">
              <w:rPr>
                <w:lang w:eastAsia="en-GB"/>
              </w:rPr>
              <w:t>Paiements déjà reçus, en</w:t>
            </w:r>
            <w:r w:rsidR="00B87169" w:rsidRPr="002764B7">
              <w:rPr>
                <w:lang w:eastAsia="en-GB"/>
              </w:rPr>
              <w:t xml:space="preserve"> CHF</w:t>
            </w:r>
          </w:p>
        </w:tc>
      </w:tr>
      <w:tr w:rsidR="002B7ABA" w:rsidRPr="00DD0DAD" w14:paraId="2FFD093E" w14:textId="77777777" w:rsidTr="00B72FB1">
        <w:trPr>
          <w:trHeight w:val="322"/>
          <w:jc w:val="center"/>
        </w:trPr>
        <w:tc>
          <w:tcPr>
            <w:tcW w:w="2302"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2D24C69F" w14:textId="77777777" w:rsidR="002B7ABA" w:rsidRPr="00DD0DAD" w:rsidRDefault="002B7ABA" w:rsidP="004E6DE8">
            <w:pPr>
              <w:pStyle w:val="Tabletext"/>
              <w:rPr>
                <w:lang w:eastAsia="en-GB"/>
              </w:rPr>
            </w:pPr>
            <w:r w:rsidRPr="00DD0DAD">
              <w:rPr>
                <w:lang w:eastAsia="en-GB"/>
              </w:rPr>
              <w:t>Parrainage</w:t>
            </w:r>
          </w:p>
        </w:tc>
        <w:tc>
          <w:tcPr>
            <w:tcW w:w="4786"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76E48C50" w14:textId="77777777" w:rsidR="002B7ABA" w:rsidRPr="00DD0DAD" w:rsidRDefault="002B7ABA" w:rsidP="004E6DE8">
            <w:pPr>
              <w:pStyle w:val="Tabletext"/>
              <w:rPr>
                <w:lang w:eastAsia="en-GB"/>
              </w:rPr>
            </w:pPr>
            <w:r w:rsidRPr="00DD0DAD">
              <w:rPr>
                <w:lang w:eastAsia="en-GB"/>
              </w:rPr>
              <w:t>Arabie saoudite (10 000 000 CHF)</w:t>
            </w:r>
          </w:p>
        </w:tc>
        <w:tc>
          <w:tcPr>
            <w:tcW w:w="2121" w:type="dxa"/>
            <w:tcBorders>
              <w:top w:val="single" w:sz="4" w:space="0" w:color="auto"/>
              <w:left w:val="single" w:sz="4" w:space="0" w:color="auto"/>
              <w:bottom w:val="dashSmallGap" w:sz="4" w:space="0" w:color="auto"/>
              <w:right w:val="single" w:sz="4" w:space="0" w:color="auto"/>
            </w:tcBorders>
            <w:tcMar>
              <w:left w:w="108" w:type="dxa"/>
              <w:right w:w="108" w:type="dxa"/>
            </w:tcMar>
            <w:vAlign w:val="center"/>
          </w:tcPr>
          <w:p w14:paraId="38E7CF00" w14:textId="77777777" w:rsidR="002B7ABA" w:rsidRPr="00DD0DAD" w:rsidRDefault="002B7ABA" w:rsidP="004E6DE8">
            <w:pPr>
              <w:pStyle w:val="Tabletext"/>
              <w:jc w:val="right"/>
              <w:rPr>
                <w:lang w:eastAsia="en-GB"/>
              </w:rPr>
            </w:pPr>
            <w:r w:rsidRPr="00DD0DAD">
              <w:rPr>
                <w:lang w:eastAsia="en-GB"/>
              </w:rPr>
              <w:t>10 000 000,00</w:t>
            </w:r>
          </w:p>
        </w:tc>
      </w:tr>
      <w:tr w:rsidR="002B7ABA" w:rsidRPr="00DD0DAD" w14:paraId="0E4DE984" w14:textId="77777777" w:rsidTr="00B72FB1">
        <w:trPr>
          <w:trHeight w:val="198"/>
          <w:jc w:val="center"/>
        </w:trPr>
        <w:tc>
          <w:tcPr>
            <w:tcW w:w="2302"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19586BFD" w14:textId="77777777" w:rsidR="002B7ABA" w:rsidRPr="00DD0DAD" w:rsidRDefault="002B7ABA" w:rsidP="004E6DE8">
            <w:pPr>
              <w:pStyle w:val="Tabletext"/>
              <w:rPr>
                <w:lang w:eastAsia="en-GB"/>
              </w:rPr>
            </w:pPr>
            <w:r w:rsidRPr="00DD0DAD">
              <w:rPr>
                <w:lang w:eastAsia="en-GB"/>
              </w:rPr>
              <w:t>Parrainage</w:t>
            </w:r>
          </w:p>
        </w:tc>
        <w:tc>
          <w:tcPr>
            <w:tcW w:w="4786"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703381EE" w14:textId="77777777" w:rsidR="002B7ABA" w:rsidRPr="00DD0DAD" w:rsidRDefault="002B7ABA" w:rsidP="004E6DE8">
            <w:pPr>
              <w:pStyle w:val="Tabletext"/>
              <w:rPr>
                <w:lang w:eastAsia="en-GB"/>
              </w:rPr>
            </w:pPr>
            <w:r w:rsidRPr="00DD0DAD">
              <w:rPr>
                <w:lang w:eastAsia="en-GB"/>
              </w:rPr>
              <w:t>Émirats arabes unis (5 000 000 CHF)</w:t>
            </w:r>
          </w:p>
        </w:tc>
        <w:tc>
          <w:tcPr>
            <w:tcW w:w="2121" w:type="dxa"/>
            <w:tcBorders>
              <w:top w:val="dashSmallGap" w:sz="4" w:space="0" w:color="auto"/>
              <w:left w:val="single" w:sz="4" w:space="0" w:color="auto"/>
              <w:bottom w:val="dashSmallGap" w:sz="4" w:space="0" w:color="auto"/>
              <w:right w:val="single" w:sz="4" w:space="0" w:color="auto"/>
            </w:tcBorders>
            <w:tcMar>
              <w:left w:w="108" w:type="dxa"/>
              <w:right w:w="108" w:type="dxa"/>
            </w:tcMar>
            <w:vAlign w:val="center"/>
          </w:tcPr>
          <w:p w14:paraId="030C6A12" w14:textId="77777777" w:rsidR="002B7ABA" w:rsidRPr="00DD0DAD" w:rsidRDefault="002B7ABA" w:rsidP="004E6DE8">
            <w:pPr>
              <w:pStyle w:val="Tabletext"/>
              <w:jc w:val="right"/>
              <w:rPr>
                <w:lang w:eastAsia="en-GB"/>
              </w:rPr>
            </w:pPr>
            <w:r w:rsidRPr="00DD0DAD">
              <w:rPr>
                <w:lang w:eastAsia="en-GB"/>
              </w:rPr>
              <w:t>5 000 000,00</w:t>
            </w:r>
          </w:p>
        </w:tc>
      </w:tr>
      <w:tr w:rsidR="002B7ABA" w:rsidRPr="00DD0DAD" w14:paraId="4BCA25C7" w14:textId="77777777" w:rsidTr="00B72FB1">
        <w:trPr>
          <w:trHeight w:val="198"/>
          <w:jc w:val="center"/>
        </w:trPr>
        <w:tc>
          <w:tcPr>
            <w:tcW w:w="2302"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5E04308A" w14:textId="77777777" w:rsidR="002B7ABA" w:rsidRPr="00DD0DAD" w:rsidRDefault="002B7ABA" w:rsidP="004E6DE8">
            <w:pPr>
              <w:pStyle w:val="Tabletext"/>
              <w:rPr>
                <w:lang w:eastAsia="en-GB"/>
              </w:rPr>
            </w:pPr>
            <w:r w:rsidRPr="00DD0DAD">
              <w:rPr>
                <w:lang w:eastAsia="en-GB"/>
              </w:rPr>
              <w:t>Parrainage</w:t>
            </w:r>
          </w:p>
        </w:tc>
        <w:tc>
          <w:tcPr>
            <w:tcW w:w="4786"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61C708D4" w14:textId="77777777" w:rsidR="002B7ABA" w:rsidRPr="00DD0DAD" w:rsidRDefault="002B7ABA" w:rsidP="004E6DE8">
            <w:pPr>
              <w:pStyle w:val="Tabletext"/>
              <w:rPr>
                <w:lang w:eastAsia="en-GB"/>
              </w:rPr>
            </w:pPr>
            <w:r w:rsidRPr="00DD0DAD">
              <w:rPr>
                <w:lang w:eastAsia="en-GB"/>
              </w:rPr>
              <w:t>Koweït (2 500 000 CHF)</w:t>
            </w:r>
          </w:p>
        </w:tc>
        <w:tc>
          <w:tcPr>
            <w:tcW w:w="2121" w:type="dxa"/>
            <w:tcBorders>
              <w:top w:val="dashSmallGap" w:sz="4" w:space="0" w:color="auto"/>
              <w:left w:val="single" w:sz="4" w:space="0" w:color="auto"/>
              <w:bottom w:val="dashSmallGap" w:sz="4" w:space="0" w:color="auto"/>
              <w:right w:val="single" w:sz="4" w:space="0" w:color="auto"/>
            </w:tcBorders>
            <w:tcMar>
              <w:left w:w="108" w:type="dxa"/>
              <w:right w:w="108" w:type="dxa"/>
            </w:tcMar>
            <w:vAlign w:val="center"/>
          </w:tcPr>
          <w:p w14:paraId="2BAAA008" w14:textId="29781462" w:rsidR="002B7ABA" w:rsidRPr="00DD0DAD" w:rsidRDefault="00B87169" w:rsidP="004E6DE8">
            <w:pPr>
              <w:pStyle w:val="Tabletext"/>
              <w:jc w:val="right"/>
              <w:rPr>
                <w:lang w:eastAsia="en-GB"/>
              </w:rPr>
            </w:pPr>
            <w:r>
              <w:rPr>
                <w:lang w:eastAsia="en-GB"/>
              </w:rPr>
              <w:t>1 375 000</w:t>
            </w:r>
            <w:r w:rsidR="002B7ABA" w:rsidRPr="00DD0DAD">
              <w:rPr>
                <w:lang w:eastAsia="en-GB"/>
              </w:rPr>
              <w:t>,00</w:t>
            </w:r>
            <w:r w:rsidR="00B72FB1" w:rsidRPr="002764B7">
              <w:rPr>
                <w:rFonts w:asciiTheme="minorHAnsi" w:hAnsiTheme="minorHAnsi" w:cstheme="minorHAnsi"/>
                <w:color w:val="000000" w:themeColor="text1"/>
                <w:lang w:eastAsia="ja-JP"/>
              </w:rPr>
              <w:t>*</w:t>
            </w:r>
          </w:p>
        </w:tc>
      </w:tr>
      <w:tr w:rsidR="002B7ABA" w:rsidRPr="00DD0DAD" w14:paraId="4F557250" w14:textId="77777777" w:rsidTr="00B72FB1">
        <w:trPr>
          <w:trHeight w:val="198"/>
          <w:jc w:val="center"/>
        </w:trPr>
        <w:tc>
          <w:tcPr>
            <w:tcW w:w="2302"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25181916" w14:textId="77777777" w:rsidR="002B7ABA" w:rsidRPr="00DD0DAD" w:rsidRDefault="002B7ABA" w:rsidP="004E6DE8">
            <w:pPr>
              <w:pStyle w:val="Tabletext"/>
              <w:rPr>
                <w:lang w:eastAsia="en-GB"/>
              </w:rPr>
            </w:pPr>
            <w:r w:rsidRPr="00DD0DAD">
              <w:rPr>
                <w:lang w:eastAsia="en-GB"/>
              </w:rPr>
              <w:t>Parrainage</w:t>
            </w:r>
          </w:p>
        </w:tc>
        <w:tc>
          <w:tcPr>
            <w:tcW w:w="4786"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28873A02" w14:textId="77777777" w:rsidR="002B7ABA" w:rsidRPr="00DD0DAD" w:rsidRDefault="002B7ABA" w:rsidP="004E6DE8">
            <w:pPr>
              <w:pStyle w:val="Tabletext"/>
              <w:rPr>
                <w:lang w:eastAsia="en-GB"/>
              </w:rPr>
            </w:pPr>
            <w:r w:rsidRPr="00DD0DAD">
              <w:rPr>
                <w:lang w:eastAsia="en-GB"/>
              </w:rPr>
              <w:t>Intersputnik (600 000 CHF)</w:t>
            </w:r>
          </w:p>
        </w:tc>
        <w:tc>
          <w:tcPr>
            <w:tcW w:w="2121" w:type="dxa"/>
            <w:tcBorders>
              <w:top w:val="dashSmallGap" w:sz="4" w:space="0" w:color="auto"/>
              <w:left w:val="single" w:sz="4" w:space="0" w:color="auto"/>
              <w:bottom w:val="dashSmallGap" w:sz="4" w:space="0" w:color="auto"/>
              <w:right w:val="single" w:sz="4" w:space="0" w:color="auto"/>
            </w:tcBorders>
            <w:tcMar>
              <w:left w:w="108" w:type="dxa"/>
              <w:right w:w="108" w:type="dxa"/>
            </w:tcMar>
            <w:vAlign w:val="center"/>
          </w:tcPr>
          <w:p w14:paraId="66C93079" w14:textId="739C2968" w:rsidR="002B7ABA" w:rsidRPr="00DD0DAD" w:rsidRDefault="002B7ABA" w:rsidP="004E6DE8">
            <w:pPr>
              <w:pStyle w:val="Tabletext"/>
              <w:jc w:val="right"/>
              <w:rPr>
                <w:lang w:eastAsia="en-GB"/>
              </w:rPr>
            </w:pPr>
            <w:r w:rsidRPr="00DD0DAD">
              <w:rPr>
                <w:lang w:eastAsia="en-GB"/>
              </w:rPr>
              <w:t>60 000,00</w:t>
            </w:r>
            <w:r w:rsidR="00B72FB1" w:rsidRPr="002764B7">
              <w:rPr>
                <w:rFonts w:asciiTheme="minorHAnsi" w:hAnsiTheme="minorHAnsi" w:cstheme="minorHAnsi"/>
                <w:color w:val="000000" w:themeColor="text1"/>
                <w:lang w:eastAsia="ja-JP"/>
              </w:rPr>
              <w:t>*</w:t>
            </w:r>
          </w:p>
        </w:tc>
      </w:tr>
      <w:tr w:rsidR="002B7ABA" w:rsidRPr="00DD0DAD" w14:paraId="0399955A" w14:textId="77777777" w:rsidTr="00B72FB1">
        <w:trPr>
          <w:trHeight w:val="300"/>
          <w:jc w:val="center"/>
        </w:trPr>
        <w:tc>
          <w:tcPr>
            <w:tcW w:w="2302"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1C0F5788" w14:textId="77777777" w:rsidR="002B7ABA" w:rsidRPr="00DD0DAD" w:rsidRDefault="002B7ABA" w:rsidP="004E6DE8">
            <w:pPr>
              <w:pStyle w:val="Tabletext"/>
              <w:rPr>
                <w:lang w:eastAsia="en-GB"/>
              </w:rPr>
            </w:pPr>
            <w:r w:rsidRPr="00DD0DAD">
              <w:rPr>
                <w:lang w:eastAsia="en-GB"/>
              </w:rPr>
              <w:t>Don</w:t>
            </w:r>
          </w:p>
        </w:tc>
        <w:tc>
          <w:tcPr>
            <w:tcW w:w="4786"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139DC889" w14:textId="77777777" w:rsidR="002B7ABA" w:rsidRPr="00DD0DAD" w:rsidRDefault="002B7ABA" w:rsidP="004E6DE8">
            <w:pPr>
              <w:pStyle w:val="Tabletext"/>
              <w:rPr>
                <w:lang w:eastAsia="en-GB"/>
              </w:rPr>
            </w:pPr>
            <w:r w:rsidRPr="00DD0DAD">
              <w:rPr>
                <w:lang w:eastAsia="en-GB"/>
              </w:rPr>
              <w:t>République tchèque (100 000 USD)</w:t>
            </w:r>
          </w:p>
        </w:tc>
        <w:tc>
          <w:tcPr>
            <w:tcW w:w="2121" w:type="dxa"/>
            <w:tcBorders>
              <w:top w:val="dashSmallGap" w:sz="4" w:space="0" w:color="auto"/>
              <w:left w:val="single" w:sz="4" w:space="0" w:color="auto"/>
              <w:bottom w:val="dashSmallGap" w:sz="4" w:space="0" w:color="auto"/>
              <w:right w:val="single" w:sz="4" w:space="0" w:color="auto"/>
            </w:tcBorders>
            <w:tcMar>
              <w:left w:w="108" w:type="dxa"/>
              <w:right w:w="108" w:type="dxa"/>
            </w:tcMar>
            <w:vAlign w:val="center"/>
          </w:tcPr>
          <w:p w14:paraId="2722F83A" w14:textId="70DA4A65" w:rsidR="002B7ABA" w:rsidRPr="00DD0DAD" w:rsidRDefault="002B7ABA" w:rsidP="004E6DE8">
            <w:pPr>
              <w:pStyle w:val="Tabletext"/>
              <w:jc w:val="right"/>
              <w:rPr>
                <w:lang w:eastAsia="en-GB"/>
              </w:rPr>
            </w:pPr>
            <w:r w:rsidRPr="00DD0DAD">
              <w:rPr>
                <w:lang w:eastAsia="en-GB"/>
              </w:rPr>
              <w:t>95 251,</w:t>
            </w:r>
            <w:r w:rsidR="00B87169">
              <w:rPr>
                <w:lang w:eastAsia="en-GB"/>
              </w:rPr>
              <w:t>00</w:t>
            </w:r>
          </w:p>
        </w:tc>
      </w:tr>
      <w:tr w:rsidR="002B7ABA" w:rsidRPr="00DD0DAD" w14:paraId="5B35C822" w14:textId="77777777" w:rsidTr="00F955AF">
        <w:trPr>
          <w:trHeight w:val="300"/>
          <w:jc w:val="center"/>
        </w:trPr>
        <w:tc>
          <w:tcPr>
            <w:tcW w:w="2302"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36034DBA" w14:textId="77777777" w:rsidR="002B7ABA" w:rsidRPr="00DD0DAD" w:rsidRDefault="002B7ABA" w:rsidP="004E6DE8">
            <w:pPr>
              <w:pStyle w:val="Tabletext"/>
              <w:rPr>
                <w:lang w:eastAsia="en-GB"/>
              </w:rPr>
            </w:pPr>
            <w:r w:rsidRPr="00DD0DAD">
              <w:rPr>
                <w:lang w:eastAsia="en-GB"/>
              </w:rPr>
              <w:t>Don</w:t>
            </w:r>
          </w:p>
        </w:tc>
        <w:tc>
          <w:tcPr>
            <w:tcW w:w="4786"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37C99C9B" w14:textId="77777777" w:rsidR="002B7ABA" w:rsidRPr="00DD0DAD" w:rsidRDefault="002B7ABA" w:rsidP="004E6DE8">
            <w:pPr>
              <w:pStyle w:val="Tabletext"/>
              <w:rPr>
                <w:lang w:eastAsia="en-GB"/>
              </w:rPr>
            </w:pPr>
            <w:r w:rsidRPr="00DD0DAD">
              <w:rPr>
                <w:lang w:eastAsia="en-GB"/>
              </w:rPr>
              <w:t>Ghana (40 000 USD)</w:t>
            </w:r>
          </w:p>
        </w:tc>
        <w:tc>
          <w:tcPr>
            <w:tcW w:w="2121" w:type="dxa"/>
            <w:tcBorders>
              <w:top w:val="dashSmallGap" w:sz="4" w:space="0" w:color="auto"/>
              <w:left w:val="single" w:sz="4" w:space="0" w:color="auto"/>
              <w:bottom w:val="dashSmallGap" w:sz="4" w:space="0" w:color="auto"/>
              <w:right w:val="single" w:sz="4" w:space="0" w:color="auto"/>
            </w:tcBorders>
            <w:tcMar>
              <w:left w:w="108" w:type="dxa"/>
              <w:right w:w="108" w:type="dxa"/>
            </w:tcMar>
            <w:vAlign w:val="center"/>
          </w:tcPr>
          <w:p w14:paraId="4C89BD73" w14:textId="76C0AEA8" w:rsidR="002B7ABA" w:rsidRPr="00DD0DAD" w:rsidRDefault="002B7ABA" w:rsidP="004E6DE8">
            <w:pPr>
              <w:pStyle w:val="Tabletext"/>
              <w:jc w:val="right"/>
              <w:rPr>
                <w:lang w:eastAsia="en-GB"/>
              </w:rPr>
            </w:pPr>
            <w:r w:rsidRPr="00DD0DAD">
              <w:rPr>
                <w:lang w:eastAsia="en-GB"/>
              </w:rPr>
              <w:t>39 920,</w:t>
            </w:r>
            <w:r w:rsidR="00B87169">
              <w:rPr>
                <w:lang w:eastAsia="en-GB"/>
              </w:rPr>
              <w:t>00</w:t>
            </w:r>
          </w:p>
        </w:tc>
      </w:tr>
      <w:tr w:rsidR="002B7ABA" w:rsidRPr="00DD0DAD" w14:paraId="7371578D" w14:textId="77777777" w:rsidTr="00F955AF">
        <w:trPr>
          <w:trHeight w:val="300"/>
          <w:jc w:val="center"/>
        </w:trPr>
        <w:tc>
          <w:tcPr>
            <w:tcW w:w="2302"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94B94A6" w14:textId="193CEEC5" w:rsidR="002B7ABA" w:rsidRPr="00DD0DAD" w:rsidRDefault="00B87169" w:rsidP="004E6DE8">
            <w:pPr>
              <w:pStyle w:val="Tabletext"/>
              <w:rPr>
                <w:lang w:eastAsia="en-GB"/>
              </w:rPr>
            </w:pPr>
            <w:r>
              <w:rPr>
                <w:lang w:eastAsia="en-GB"/>
              </w:rPr>
              <w:t>Don</w:t>
            </w:r>
          </w:p>
        </w:tc>
        <w:tc>
          <w:tcPr>
            <w:tcW w:w="4786"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392650B" w14:textId="1E92D96D" w:rsidR="002B7ABA" w:rsidRPr="00DD0DAD" w:rsidRDefault="00B87169" w:rsidP="00F955AF">
            <w:pPr>
              <w:pStyle w:val="Tabletext"/>
              <w:rPr>
                <w:lang w:eastAsia="en-GB"/>
              </w:rPr>
            </w:pPr>
            <w:r>
              <w:rPr>
                <w:lang w:eastAsia="en-GB"/>
              </w:rPr>
              <w:t xml:space="preserve">Nigéria (50 000 </w:t>
            </w:r>
            <w:r w:rsidR="00F955AF">
              <w:rPr>
                <w:lang w:eastAsia="en-GB"/>
              </w:rPr>
              <w:t>CHF</w:t>
            </w:r>
            <w:r>
              <w:rPr>
                <w:lang w:eastAsia="en-GB"/>
              </w:rPr>
              <w:t>)</w:t>
            </w:r>
          </w:p>
        </w:tc>
        <w:tc>
          <w:tcPr>
            <w:tcW w:w="2121" w:type="dxa"/>
            <w:tcBorders>
              <w:top w:val="dashSmallGap" w:sz="4" w:space="0" w:color="auto"/>
              <w:left w:val="single" w:sz="4" w:space="0" w:color="auto"/>
              <w:bottom w:val="single" w:sz="4" w:space="0" w:color="auto"/>
              <w:right w:val="single" w:sz="4" w:space="0" w:color="auto"/>
            </w:tcBorders>
            <w:tcMar>
              <w:left w:w="108" w:type="dxa"/>
              <w:right w:w="108" w:type="dxa"/>
            </w:tcMar>
            <w:vAlign w:val="center"/>
          </w:tcPr>
          <w:p w14:paraId="423B2E70" w14:textId="06CCADDD" w:rsidR="002B7ABA" w:rsidRPr="00DD0DAD" w:rsidRDefault="00B87169" w:rsidP="004E6DE8">
            <w:pPr>
              <w:pStyle w:val="Tabletext"/>
              <w:jc w:val="right"/>
              <w:rPr>
                <w:lang w:eastAsia="en-GB"/>
              </w:rPr>
            </w:pPr>
            <w:r>
              <w:rPr>
                <w:lang w:eastAsia="en-GB"/>
              </w:rPr>
              <w:t>50 000,00</w:t>
            </w:r>
          </w:p>
        </w:tc>
      </w:tr>
      <w:tr w:rsidR="00F955AF" w:rsidRPr="00DD0DAD" w14:paraId="47890E7B" w14:textId="77777777" w:rsidTr="00F955AF">
        <w:trPr>
          <w:trHeight w:val="300"/>
          <w:jc w:val="center"/>
        </w:trPr>
        <w:tc>
          <w:tcPr>
            <w:tcW w:w="230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B821684" w14:textId="658B0F3A" w:rsidR="00F955AF" w:rsidRDefault="00F955AF" w:rsidP="00F955AF">
            <w:pPr>
              <w:pStyle w:val="Tabletext"/>
              <w:spacing w:before="120" w:after="120"/>
              <w:rPr>
                <w:lang w:eastAsia="en-GB"/>
              </w:rPr>
            </w:pPr>
            <w:r w:rsidRPr="00DD0DAD">
              <w:rPr>
                <w:b/>
                <w:bCs/>
                <w:lang w:eastAsia="en-GB"/>
              </w:rPr>
              <w:t>Total en CHF</w:t>
            </w:r>
          </w:p>
        </w:tc>
        <w:tc>
          <w:tcPr>
            <w:tcW w:w="478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8A69FA4" w14:textId="4AFCFBE7" w:rsidR="00F955AF" w:rsidRDefault="00F955AF" w:rsidP="00F955AF">
            <w:pPr>
              <w:pStyle w:val="Tabletext"/>
              <w:spacing w:before="120" w:after="120"/>
              <w:rPr>
                <w:lang w:eastAsia="en-GB"/>
              </w:rPr>
            </w:pPr>
            <w:r>
              <w:rPr>
                <w:b/>
                <w:bCs/>
                <w:lang w:val="en-GB" w:eastAsia="en-GB"/>
              </w:rPr>
              <w:t>18 285 </w:t>
            </w:r>
            <w:r w:rsidRPr="00F955AF">
              <w:rPr>
                <w:b/>
                <w:bCs/>
                <w:lang w:val="en-GB" w:eastAsia="en-GB"/>
              </w:rPr>
              <w:t>171</w:t>
            </w:r>
            <w:r>
              <w:rPr>
                <w:b/>
                <w:bCs/>
                <w:lang w:val="en-GB" w:eastAsia="en-GB"/>
              </w:rPr>
              <w:t>,00</w:t>
            </w:r>
          </w:p>
        </w:tc>
        <w:tc>
          <w:tcPr>
            <w:tcW w:w="21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4740AE" w14:textId="391B14CF" w:rsidR="00F955AF" w:rsidRDefault="00F955AF" w:rsidP="00F955AF">
            <w:pPr>
              <w:pStyle w:val="Tabletext"/>
              <w:spacing w:before="120" w:after="120"/>
              <w:jc w:val="right"/>
              <w:rPr>
                <w:lang w:eastAsia="en-GB"/>
              </w:rPr>
            </w:pPr>
            <w:r>
              <w:rPr>
                <w:b/>
                <w:bCs/>
                <w:lang w:eastAsia="en-GB"/>
              </w:rPr>
              <w:t>16 890 171,00</w:t>
            </w:r>
          </w:p>
        </w:tc>
      </w:tr>
      <w:tr w:rsidR="00F955AF" w:rsidRPr="00DD0DAD" w14:paraId="0EF76002" w14:textId="77777777" w:rsidTr="00595CAB">
        <w:trPr>
          <w:trHeight w:val="300"/>
          <w:jc w:val="center"/>
        </w:trPr>
        <w:tc>
          <w:tcPr>
            <w:tcW w:w="9209" w:type="dxa"/>
            <w:gridSpan w:val="3"/>
            <w:noWrap/>
            <w:tcMar>
              <w:top w:w="0" w:type="dxa"/>
              <w:left w:w="108" w:type="dxa"/>
              <w:bottom w:w="0" w:type="dxa"/>
              <w:right w:w="108" w:type="dxa"/>
            </w:tcMar>
            <w:vAlign w:val="bottom"/>
            <w:hideMark/>
          </w:tcPr>
          <w:p w14:paraId="44F53B79" w14:textId="5E618D8A" w:rsidR="00F955AF" w:rsidRPr="00DD0DAD" w:rsidRDefault="00F955AF" w:rsidP="00F955AF">
            <w:pPr>
              <w:pStyle w:val="Tabletext"/>
              <w:tabs>
                <w:tab w:val="left" w:pos="288"/>
              </w:tabs>
              <w:spacing w:before="120"/>
              <w:rPr>
                <w:b/>
                <w:bCs/>
                <w:lang w:eastAsia="en-GB"/>
              </w:rPr>
            </w:pPr>
            <w:r w:rsidRPr="002764B7">
              <w:rPr>
                <w:rFonts w:asciiTheme="minorHAnsi" w:hAnsiTheme="minorHAnsi" w:cstheme="minorHAnsi"/>
                <w:color w:val="000000" w:themeColor="text1"/>
                <w:lang w:eastAsia="ja-JP"/>
              </w:rPr>
              <w:t>*</w:t>
            </w:r>
            <w:r w:rsidRPr="002764B7">
              <w:rPr>
                <w:rFonts w:asciiTheme="minorHAnsi" w:hAnsiTheme="minorHAnsi" w:cstheme="minorHAnsi"/>
                <w:color w:val="000000" w:themeColor="text1"/>
                <w:lang w:eastAsia="ja-JP"/>
              </w:rPr>
              <w:tab/>
            </w:r>
            <w:r>
              <w:rPr>
                <w:rFonts w:asciiTheme="minorHAnsi" w:hAnsiTheme="minorHAnsi" w:cstheme="minorHAnsi"/>
                <w:color w:val="000000" w:themeColor="text1"/>
                <w:lang w:eastAsia="ja-JP"/>
              </w:rPr>
              <w:t>Intégralité</w:t>
            </w:r>
            <w:r w:rsidRPr="002764B7">
              <w:rPr>
                <w:rFonts w:asciiTheme="minorHAnsi" w:hAnsiTheme="minorHAnsi" w:cstheme="minorHAnsi"/>
                <w:color w:val="000000" w:themeColor="text1"/>
                <w:lang w:eastAsia="ja-JP"/>
              </w:rPr>
              <w:t xml:space="preserve"> des paiements </w:t>
            </w:r>
            <w:r>
              <w:rPr>
                <w:rFonts w:asciiTheme="minorHAnsi" w:hAnsiTheme="minorHAnsi" w:cstheme="minorHAnsi"/>
                <w:color w:val="000000" w:themeColor="text1"/>
                <w:lang w:eastAsia="ja-JP"/>
              </w:rPr>
              <w:t>exigible en</w:t>
            </w:r>
            <w:r w:rsidRPr="002764B7">
              <w:rPr>
                <w:rFonts w:asciiTheme="minorHAnsi" w:hAnsiTheme="minorHAnsi" w:cstheme="minorHAnsi"/>
                <w:color w:val="000000" w:themeColor="text1"/>
                <w:lang w:eastAsia="ja-JP"/>
              </w:rPr>
              <w:t xml:space="preserve"> décembre 2023</w:t>
            </w:r>
            <w:r>
              <w:rPr>
                <w:rFonts w:asciiTheme="minorHAnsi" w:hAnsiTheme="minorHAnsi" w:cstheme="minorHAnsi"/>
                <w:color w:val="000000" w:themeColor="text1"/>
                <w:lang w:eastAsia="ja-JP"/>
              </w:rPr>
              <w:t>.</w:t>
            </w:r>
          </w:p>
        </w:tc>
      </w:tr>
    </w:tbl>
    <w:p w14:paraId="706E6315" w14:textId="3FC7218D" w:rsidR="00532F52" w:rsidRPr="002764B7" w:rsidRDefault="00532F52" w:rsidP="00B72FB1">
      <w:pPr>
        <w:spacing w:before="240"/>
        <w:ind w:left="284"/>
        <w:rPr>
          <w:rFonts w:asciiTheme="minorHAnsi" w:hAnsiTheme="minorHAnsi" w:cstheme="minorHAnsi"/>
          <w:color w:val="000000" w:themeColor="text1"/>
          <w:lang w:eastAsia="ja-JP"/>
        </w:rPr>
      </w:pPr>
    </w:p>
    <w:p w14:paraId="7D3D875F" w14:textId="4F1D38E5" w:rsidR="00532F52" w:rsidRDefault="00532F52" w:rsidP="004E6DE8">
      <w:pPr>
        <w:pStyle w:val="Heading2"/>
        <w:rPr>
          <w:lang w:eastAsia="ja-JP"/>
        </w:rPr>
      </w:pPr>
      <w:r w:rsidRPr="00532F52">
        <w:rPr>
          <w:lang w:eastAsia="ja-JP"/>
        </w:rPr>
        <w:lastRenderedPageBreak/>
        <w:t>10.2</w:t>
      </w:r>
      <w:r w:rsidRPr="00532F52">
        <w:rPr>
          <w:lang w:eastAsia="ja-JP"/>
        </w:rPr>
        <w:tab/>
      </w:r>
      <w:r w:rsidR="002764B7">
        <w:rPr>
          <w:lang w:eastAsia="ja-JP"/>
        </w:rPr>
        <w:t>Registre des risques</w:t>
      </w:r>
    </w:p>
    <w:p w14:paraId="628872CA" w14:textId="3F941505" w:rsidR="002B7ABA" w:rsidRDefault="002B7ABA" w:rsidP="00F955AF">
      <w:pPr>
        <w:spacing w:before="240"/>
        <w:rPr>
          <w:rFonts w:asciiTheme="minorHAnsi" w:hAnsiTheme="minorHAnsi" w:cstheme="minorHAnsi"/>
          <w:color w:val="000000" w:themeColor="text1"/>
        </w:rPr>
      </w:pPr>
      <w:r w:rsidRPr="00DD0DAD">
        <w:rPr>
          <w:rFonts w:asciiTheme="minorHAnsi" w:hAnsiTheme="minorHAnsi" w:cstheme="minorHAnsi"/>
          <w:color w:val="000000" w:themeColor="text1"/>
          <w:lang w:eastAsia="ja-JP"/>
        </w:rPr>
        <w:t>Lors de la session additionnelle qu</w:t>
      </w:r>
      <w:r w:rsidR="004E6DE8">
        <w:rPr>
          <w:rFonts w:asciiTheme="minorHAnsi" w:hAnsiTheme="minorHAnsi" w:cstheme="minorHAnsi"/>
          <w:color w:val="000000" w:themeColor="text1"/>
          <w:lang w:eastAsia="ja-JP"/>
        </w:rPr>
        <w:t>'</w:t>
      </w:r>
      <w:r w:rsidRPr="00DD0DAD">
        <w:rPr>
          <w:rFonts w:asciiTheme="minorHAnsi" w:hAnsiTheme="minorHAnsi" w:cstheme="minorHAnsi"/>
          <w:color w:val="000000" w:themeColor="text1"/>
          <w:lang w:eastAsia="ja-JP"/>
        </w:rPr>
        <w:t xml:space="preserve">il a tenue en septembre 2019, le Conseil a décidé de créer un Fonds pour le registre des risques (point 3 du </w:t>
      </w:r>
      <w:r w:rsidRPr="00DD0DAD">
        <w:rPr>
          <w:rFonts w:asciiTheme="minorHAnsi" w:hAnsiTheme="minorHAnsi" w:cstheme="minorHAnsi"/>
          <w:i/>
          <w:color w:val="000000" w:themeColor="text1"/>
          <w:lang w:eastAsia="ja-JP"/>
        </w:rPr>
        <w:t>décide</w:t>
      </w:r>
      <w:r w:rsidRPr="00DD0DAD">
        <w:rPr>
          <w:rFonts w:asciiTheme="minorHAnsi" w:hAnsiTheme="minorHAnsi" w:cstheme="minorHAnsi"/>
          <w:color w:val="000000" w:themeColor="text1"/>
          <w:lang w:eastAsia="ja-JP"/>
        </w:rPr>
        <w:t xml:space="preserve"> de la Décision 619) visant à prévoir une garantie financière additionnelle pour compenser les risques non atténuables, qui sera financé au titre de décisions ultérieures du Conseil à compter de 2020.</w:t>
      </w:r>
      <w:r w:rsidRPr="00DD0DAD">
        <w:rPr>
          <w:rFonts w:asciiTheme="minorHAnsi" w:hAnsiTheme="minorHAnsi" w:cstheme="minorHAnsi"/>
          <w:color w:val="000000" w:themeColor="text1"/>
        </w:rPr>
        <w:t xml:space="preserve"> Au 31 </w:t>
      </w:r>
      <w:r w:rsidR="002764B7">
        <w:rPr>
          <w:rFonts w:asciiTheme="minorHAnsi" w:hAnsiTheme="minorHAnsi" w:cstheme="minorHAnsi"/>
          <w:color w:val="000000" w:themeColor="text1"/>
        </w:rPr>
        <w:t>décembre</w:t>
      </w:r>
      <w:r w:rsidRPr="00DD0DAD">
        <w:rPr>
          <w:rFonts w:asciiTheme="minorHAnsi" w:hAnsiTheme="minorHAnsi" w:cstheme="minorHAnsi"/>
          <w:color w:val="000000" w:themeColor="text1"/>
        </w:rPr>
        <w:t xml:space="preserve"> 2021, le Fonds pour le registre des risques s</w:t>
      </w:r>
      <w:r w:rsidR="004E6DE8">
        <w:rPr>
          <w:rFonts w:asciiTheme="minorHAnsi" w:hAnsiTheme="minorHAnsi" w:cstheme="minorHAnsi"/>
          <w:color w:val="000000" w:themeColor="text1"/>
        </w:rPr>
        <w:t>'</w:t>
      </w:r>
      <w:r w:rsidRPr="00DD0DAD">
        <w:rPr>
          <w:rFonts w:asciiTheme="minorHAnsi" w:hAnsiTheme="minorHAnsi" w:cstheme="minorHAnsi"/>
          <w:color w:val="000000" w:themeColor="text1"/>
        </w:rPr>
        <w:t>élevait à 3 430 000 CHF. Après clôture des comptes pour 202</w:t>
      </w:r>
      <w:r w:rsidR="002764B7">
        <w:rPr>
          <w:rFonts w:asciiTheme="minorHAnsi" w:hAnsiTheme="minorHAnsi" w:cstheme="minorHAnsi"/>
          <w:color w:val="000000" w:themeColor="text1"/>
        </w:rPr>
        <w:t>2</w:t>
      </w:r>
      <w:r w:rsidRPr="00DD0DAD">
        <w:rPr>
          <w:rFonts w:asciiTheme="minorHAnsi" w:hAnsiTheme="minorHAnsi" w:cstheme="minorHAnsi"/>
          <w:color w:val="000000" w:themeColor="text1"/>
        </w:rPr>
        <w:t>, de nouveaux fonds pourraient être affectés</w:t>
      </w:r>
      <w:r w:rsidR="002764B7">
        <w:rPr>
          <w:rFonts w:asciiTheme="minorHAnsi" w:hAnsiTheme="minorHAnsi" w:cstheme="minorHAnsi"/>
          <w:color w:val="000000" w:themeColor="text1"/>
        </w:rPr>
        <w:t xml:space="preserve"> </w:t>
      </w:r>
      <w:r w:rsidR="002764B7" w:rsidRPr="002764B7">
        <w:rPr>
          <w:rFonts w:asciiTheme="minorHAnsi" w:hAnsiTheme="minorHAnsi" w:cstheme="minorHAnsi"/>
          <w:color w:val="000000" w:themeColor="text1"/>
        </w:rPr>
        <w:t>si des économies sont identifiées</w:t>
      </w:r>
      <w:r w:rsidR="002764B7">
        <w:rPr>
          <w:rFonts w:asciiTheme="minorHAnsi" w:hAnsiTheme="minorHAnsi" w:cstheme="minorHAnsi"/>
          <w:color w:val="000000" w:themeColor="text1"/>
        </w:rPr>
        <w:t>.</w:t>
      </w:r>
    </w:p>
    <w:p w14:paraId="6E41FD48" w14:textId="479B37E3" w:rsidR="00532F52" w:rsidRPr="00A22B1A" w:rsidRDefault="00532F52" w:rsidP="004E6DE8">
      <w:pPr>
        <w:pStyle w:val="Heading2"/>
      </w:pPr>
      <w:r w:rsidRPr="00A22B1A">
        <w:t>10.3</w:t>
      </w:r>
      <w:r w:rsidRPr="00A22B1A">
        <w:tab/>
      </w:r>
      <w:r w:rsidR="002764B7" w:rsidRPr="00A22B1A">
        <w:t>Prêt</w:t>
      </w:r>
    </w:p>
    <w:p w14:paraId="71A4288F" w14:textId="5E63D2EB" w:rsidR="00532F52" w:rsidRPr="00A22B1A" w:rsidRDefault="00826FED" w:rsidP="004E6DE8">
      <w:pPr>
        <w:rPr>
          <w:rFonts w:asciiTheme="minorHAnsi" w:hAnsiTheme="minorHAnsi" w:cstheme="minorHAnsi"/>
          <w:color w:val="000000" w:themeColor="text1"/>
        </w:rPr>
      </w:pPr>
      <w:r>
        <w:rPr>
          <w:rFonts w:asciiTheme="minorHAnsi" w:hAnsiTheme="minorHAnsi" w:cstheme="minorHAnsi"/>
          <w:color w:val="000000" w:themeColor="text1"/>
        </w:rPr>
        <w:t xml:space="preserve">Le prêt </w:t>
      </w:r>
      <w:r w:rsidR="00A22B1A" w:rsidRPr="00A22B1A">
        <w:rPr>
          <w:rFonts w:asciiTheme="minorHAnsi" w:hAnsiTheme="minorHAnsi" w:cstheme="minorHAnsi"/>
          <w:color w:val="000000" w:themeColor="text1"/>
        </w:rPr>
        <w:t>sans i</w:t>
      </w:r>
      <w:r w:rsidR="00A22B1A">
        <w:rPr>
          <w:rFonts w:asciiTheme="minorHAnsi" w:hAnsiTheme="minorHAnsi" w:cstheme="minorHAnsi"/>
          <w:color w:val="000000" w:themeColor="text1"/>
        </w:rPr>
        <w:t>ntérêt d</w:t>
      </w:r>
      <w:r w:rsidR="004E6DE8">
        <w:rPr>
          <w:rFonts w:asciiTheme="minorHAnsi" w:hAnsiTheme="minorHAnsi" w:cstheme="minorHAnsi"/>
          <w:color w:val="000000" w:themeColor="text1"/>
        </w:rPr>
        <w:t>'</w:t>
      </w:r>
      <w:r w:rsidR="00A22B1A">
        <w:rPr>
          <w:rFonts w:asciiTheme="minorHAnsi" w:hAnsiTheme="minorHAnsi" w:cstheme="minorHAnsi"/>
          <w:color w:val="000000" w:themeColor="text1"/>
        </w:rPr>
        <w:t xml:space="preserve">un montant de 150 millions CHF a été demandé en décembre 2019 et obtenu en décembre 2021. </w:t>
      </w:r>
      <w:r w:rsidR="00A22B1A" w:rsidRPr="00A22B1A">
        <w:rPr>
          <w:rFonts w:asciiTheme="minorHAnsi" w:hAnsiTheme="minorHAnsi" w:cstheme="minorHAnsi"/>
          <w:color w:val="000000" w:themeColor="text1"/>
        </w:rPr>
        <w:t>Par la suite, le contrat de prêt a été n</w:t>
      </w:r>
      <w:r w:rsidR="00A22B1A">
        <w:rPr>
          <w:rFonts w:asciiTheme="minorHAnsi" w:hAnsiTheme="minorHAnsi" w:cstheme="minorHAnsi"/>
          <w:color w:val="000000" w:themeColor="text1"/>
        </w:rPr>
        <w:t>égocié entre le pays hôte et l</w:t>
      </w:r>
      <w:r w:rsidR="004E6DE8">
        <w:rPr>
          <w:rFonts w:asciiTheme="minorHAnsi" w:hAnsiTheme="minorHAnsi" w:cstheme="minorHAnsi"/>
          <w:color w:val="000000" w:themeColor="text1"/>
        </w:rPr>
        <w:t>'</w:t>
      </w:r>
      <w:r w:rsidR="00A22B1A">
        <w:rPr>
          <w:rFonts w:asciiTheme="minorHAnsi" w:hAnsiTheme="minorHAnsi" w:cstheme="minorHAnsi"/>
          <w:color w:val="000000" w:themeColor="text1"/>
        </w:rPr>
        <w:t>UIT avant sa signature par les deux parties</w:t>
      </w:r>
      <w:r w:rsidR="00532F52" w:rsidRPr="00A22B1A">
        <w:rPr>
          <w:rFonts w:asciiTheme="minorHAnsi" w:hAnsiTheme="minorHAnsi" w:cstheme="minorHAnsi"/>
          <w:color w:val="000000" w:themeColor="text1"/>
        </w:rPr>
        <w:t>.</w:t>
      </w:r>
    </w:p>
    <w:p w14:paraId="27A89463" w14:textId="2CA3E3A0" w:rsidR="002B7ABA" w:rsidRPr="00DD0DAD" w:rsidRDefault="00532F52" w:rsidP="004E6DE8">
      <w:pPr>
        <w:pStyle w:val="Heading2"/>
      </w:pPr>
      <w:r>
        <w:t>10.4</w:t>
      </w:r>
      <w:r w:rsidR="002B7ABA" w:rsidRPr="00DD0DAD">
        <w:tab/>
        <w:t>Flux de trésorerie</w:t>
      </w:r>
    </w:p>
    <w:p w14:paraId="09516E1D" w14:textId="0A1DC131" w:rsidR="002B7ABA" w:rsidRPr="00DD0DAD" w:rsidRDefault="002B7ABA" w:rsidP="004E6DE8">
      <w:r w:rsidRPr="00DD0DAD">
        <w:rPr>
          <w:lang w:eastAsia="zh-CN"/>
        </w:rPr>
        <w:t>Des informations concernant le flux de trésorerie, par exemple concernant la planification financière, sont fournies dans le</w:t>
      </w:r>
      <w:r w:rsidR="00A22B1A">
        <w:rPr>
          <w:lang w:eastAsia="zh-CN"/>
        </w:rPr>
        <w:t>s</w:t>
      </w:r>
      <w:r w:rsidRPr="00DD0DAD">
        <w:rPr>
          <w:lang w:eastAsia="zh-CN"/>
        </w:rPr>
        <w:t xml:space="preserve"> rapport précédent</w:t>
      </w:r>
      <w:r w:rsidR="00A22B1A">
        <w:rPr>
          <w:lang w:eastAsia="zh-CN"/>
        </w:rPr>
        <w:t>s qui ont été soumis au Conseil</w:t>
      </w:r>
      <w:r w:rsidRPr="00DD0DAD">
        <w:rPr>
          <w:lang w:eastAsia="zh-CN"/>
        </w:rPr>
        <w:t xml:space="preserve"> et sont disponibles dans le Document </w:t>
      </w:r>
      <w:hyperlink r:id="rId32" w:history="1">
        <w:r w:rsidRPr="00DD0DAD">
          <w:rPr>
            <w:rStyle w:val="Hyperlink"/>
            <w:rFonts w:asciiTheme="minorHAnsi" w:hAnsiTheme="minorHAnsi" w:cstheme="minorHAnsi"/>
            <w:spacing w:val="-2"/>
            <w:szCs w:val="24"/>
            <w:lang w:eastAsia="zh-CN"/>
          </w:rPr>
          <w:t>C20/7(Rév.1)</w:t>
        </w:r>
      </w:hyperlink>
      <w:r w:rsidRPr="00DD0DAD">
        <w:rPr>
          <w:lang w:eastAsia="zh-CN"/>
        </w:rPr>
        <w:t>.</w:t>
      </w:r>
    </w:p>
    <w:p w14:paraId="13FA0157" w14:textId="452FD66A" w:rsidR="002B7ABA" w:rsidRDefault="002B7ABA" w:rsidP="004E6DE8">
      <w:pPr>
        <w:rPr>
          <w:lang w:eastAsia="zh-CN"/>
        </w:rPr>
      </w:pPr>
      <w:r w:rsidRPr="00DD0DAD">
        <w:rPr>
          <w:lang w:eastAsia="zh-CN"/>
        </w:rPr>
        <w:t>On trouvera dans l</w:t>
      </w:r>
      <w:r w:rsidR="004E6DE8">
        <w:rPr>
          <w:lang w:eastAsia="zh-CN"/>
        </w:rPr>
        <w:t>'</w:t>
      </w:r>
      <w:hyperlink w:anchor="AnnexeC" w:history="1">
        <w:r w:rsidRPr="00DD0DAD">
          <w:rPr>
            <w:rStyle w:val="Hyperlink"/>
            <w:lang w:eastAsia="zh-CN"/>
          </w:rPr>
          <w:t xml:space="preserve">Annexe </w:t>
        </w:r>
      </w:hyperlink>
      <w:r w:rsidR="00532F52">
        <w:rPr>
          <w:rStyle w:val="Hyperlink"/>
          <w:lang w:eastAsia="zh-CN"/>
        </w:rPr>
        <w:t>B</w:t>
      </w:r>
      <w:r w:rsidRPr="00DD0DAD">
        <w:rPr>
          <w:rStyle w:val="Hyperlink"/>
          <w:lang w:eastAsia="zh-CN"/>
        </w:rPr>
        <w:t xml:space="preserve"> </w:t>
      </w:r>
      <w:r w:rsidRPr="00DD0DAD">
        <w:rPr>
          <w:lang w:eastAsia="zh-CN"/>
        </w:rPr>
        <w:t>du présent rapport l</w:t>
      </w:r>
      <w:r w:rsidR="004E6DE8">
        <w:rPr>
          <w:lang w:eastAsia="zh-CN"/>
        </w:rPr>
        <w:t>'</w:t>
      </w:r>
      <w:r w:rsidRPr="00DD0DAD">
        <w:rPr>
          <w:lang w:eastAsia="zh-CN"/>
        </w:rPr>
        <w:t xml:space="preserve">état du flux de trésorerie et de la planification financière au 30 </w:t>
      </w:r>
      <w:r w:rsidR="00532F52">
        <w:rPr>
          <w:lang w:eastAsia="zh-CN"/>
        </w:rPr>
        <w:t>juin 2022</w:t>
      </w:r>
      <w:r w:rsidRPr="00DD0DAD">
        <w:rPr>
          <w:lang w:eastAsia="zh-CN"/>
        </w:rPr>
        <w:t>.</w:t>
      </w:r>
    </w:p>
    <w:p w14:paraId="72BE0C6E" w14:textId="24CB9EF8" w:rsidR="00532F52" w:rsidRPr="00532F52" w:rsidRDefault="00532F52" w:rsidP="004E6DE8">
      <w:pPr>
        <w:pStyle w:val="Heading2"/>
      </w:pPr>
      <w:r w:rsidRPr="00532F52">
        <w:t>10.5</w:t>
      </w:r>
      <w:r w:rsidRPr="00532F52">
        <w:tab/>
        <w:t>Calendrier des dépenses ou outil de suivi des coûts</w:t>
      </w:r>
    </w:p>
    <w:p w14:paraId="7FEFDBC2" w14:textId="07302C4D" w:rsidR="00532F52" w:rsidRPr="00DD0DAD" w:rsidRDefault="00532F52" w:rsidP="004E6DE8">
      <w:pPr>
        <w:rPr>
          <w:lang w:eastAsia="zh-CN"/>
        </w:rPr>
      </w:pPr>
      <w:r w:rsidRPr="00532F52">
        <w:rPr>
          <w:lang w:eastAsia="zh-CN"/>
        </w:rPr>
        <w:t xml:space="preserve">On trouvera dans le Document </w:t>
      </w:r>
      <w:hyperlink r:id="rId33" w:history="1">
        <w:r w:rsidRPr="00532F52">
          <w:rPr>
            <w:rStyle w:val="Hyperlink"/>
            <w:lang w:eastAsia="zh-CN"/>
          </w:rPr>
          <w:t>C20/7(Rév.1)</w:t>
        </w:r>
      </w:hyperlink>
      <w:r w:rsidRPr="00532F52">
        <w:rPr>
          <w:rStyle w:val="Hyperlink"/>
          <w:lang w:eastAsia="zh-CN"/>
        </w:rPr>
        <w:t xml:space="preserve"> </w:t>
      </w:r>
      <w:r w:rsidRPr="00532F52">
        <w:rPr>
          <w:lang w:eastAsia="zh-CN"/>
        </w:rPr>
        <w:t>des informations supplémentaires concernant le calendrier des dépenses ou l</w:t>
      </w:r>
      <w:r w:rsidR="004E6DE8">
        <w:rPr>
          <w:lang w:eastAsia="zh-CN"/>
        </w:rPr>
        <w:t>'</w:t>
      </w:r>
      <w:r w:rsidRPr="00532F52">
        <w:rPr>
          <w:lang w:eastAsia="zh-CN"/>
        </w:rPr>
        <w:t>outil de suivi des coûts.</w:t>
      </w:r>
      <w:r w:rsidRPr="00DD0DAD">
        <w:rPr>
          <w:lang w:eastAsia="zh-CN"/>
        </w:rPr>
        <w:t xml:space="preserve"> </w:t>
      </w:r>
    </w:p>
    <w:p w14:paraId="5F2E1DCF" w14:textId="5811096C" w:rsidR="00532F52" w:rsidRPr="00A22B1A" w:rsidRDefault="00A22B1A" w:rsidP="004E6DE8">
      <w:pPr>
        <w:rPr>
          <w:lang w:eastAsia="zh-CN"/>
        </w:rPr>
      </w:pPr>
      <w:r w:rsidRPr="00A22B1A">
        <w:rPr>
          <w:lang w:eastAsia="zh-CN"/>
        </w:rPr>
        <w:t xml:space="preserve">Le calendrier des dépenses, </w:t>
      </w:r>
      <w:r>
        <w:rPr>
          <w:lang w:eastAsia="zh-CN"/>
        </w:rPr>
        <w:t>à la date du</w:t>
      </w:r>
      <w:r w:rsidRPr="00A22B1A">
        <w:rPr>
          <w:lang w:eastAsia="zh-CN"/>
        </w:rPr>
        <w:t xml:space="preserve"> 30 juin 2022, est disponib</w:t>
      </w:r>
      <w:r>
        <w:rPr>
          <w:lang w:eastAsia="zh-CN"/>
        </w:rPr>
        <w:t xml:space="preserve">le </w:t>
      </w:r>
      <w:hyperlink r:id="rId34" w:history="1">
        <w:r w:rsidRPr="00D023E7">
          <w:rPr>
            <w:rStyle w:val="Hyperlink"/>
            <w:lang w:eastAsia="zh-CN"/>
          </w:rPr>
          <w:t>ici</w:t>
        </w:r>
      </w:hyperlink>
      <w:r>
        <w:rPr>
          <w:lang w:eastAsia="zh-CN"/>
        </w:rPr>
        <w:t>.</w:t>
      </w:r>
    </w:p>
    <w:p w14:paraId="79121FEC" w14:textId="4822DAA1" w:rsidR="002B7ABA" w:rsidRPr="00DD0DAD" w:rsidRDefault="00532F52" w:rsidP="004E6DE8">
      <w:pPr>
        <w:pStyle w:val="Heading2"/>
      </w:pPr>
      <w:r>
        <w:t>10.6</w:t>
      </w:r>
      <w:r w:rsidR="002B7ABA" w:rsidRPr="00DD0DAD">
        <w:tab/>
        <w:t>Dépenses engagées à ce jour</w:t>
      </w:r>
    </w:p>
    <w:p w14:paraId="475F9F37" w14:textId="387A1894" w:rsidR="002B7ABA" w:rsidRPr="00DD0DAD" w:rsidRDefault="002B7ABA" w:rsidP="004E6DE8">
      <w:r w:rsidRPr="00DD0DAD">
        <w:rPr>
          <w:lang w:eastAsia="zh-CN"/>
        </w:rPr>
        <w:t>Les informations concernant les dépenses engagées à ce jour fournies dans le</w:t>
      </w:r>
      <w:r w:rsidR="00A22B1A">
        <w:rPr>
          <w:lang w:eastAsia="zh-CN"/>
        </w:rPr>
        <w:t>s</w:t>
      </w:r>
      <w:r w:rsidRPr="00DD0DAD">
        <w:rPr>
          <w:lang w:eastAsia="zh-CN"/>
        </w:rPr>
        <w:t xml:space="preserve"> rapport</w:t>
      </w:r>
      <w:r w:rsidR="00A22B1A">
        <w:rPr>
          <w:lang w:eastAsia="zh-CN"/>
        </w:rPr>
        <w:t>s</w:t>
      </w:r>
      <w:r w:rsidRPr="00DD0DAD">
        <w:rPr>
          <w:lang w:eastAsia="zh-CN"/>
        </w:rPr>
        <w:t xml:space="preserve"> précédent</w:t>
      </w:r>
      <w:r w:rsidR="00A22B1A">
        <w:rPr>
          <w:lang w:eastAsia="zh-CN"/>
        </w:rPr>
        <w:t>s qui ont été soumis au Conseil</w:t>
      </w:r>
      <w:r w:rsidRPr="00DD0DAD">
        <w:rPr>
          <w:lang w:eastAsia="zh-CN"/>
        </w:rPr>
        <w:t xml:space="preserve"> sont disponibles dans le Document </w:t>
      </w:r>
      <w:hyperlink r:id="rId35" w:history="1">
        <w:r w:rsidRPr="00DD0DAD">
          <w:rPr>
            <w:rStyle w:val="Hyperlink"/>
            <w:rFonts w:asciiTheme="minorHAnsi" w:hAnsiTheme="minorHAnsi" w:cstheme="minorHAnsi"/>
            <w:spacing w:val="-2"/>
            <w:szCs w:val="24"/>
            <w:lang w:eastAsia="zh-CN"/>
          </w:rPr>
          <w:t>C20/7(Rév.1)</w:t>
        </w:r>
      </w:hyperlink>
      <w:r w:rsidRPr="00DD0DAD">
        <w:rPr>
          <w:lang w:eastAsia="zh-CN"/>
        </w:rPr>
        <w:t xml:space="preserve">. </w:t>
      </w:r>
    </w:p>
    <w:p w14:paraId="3A6BCBD6" w14:textId="390E47A2" w:rsidR="002B7ABA" w:rsidRPr="00DD0DAD" w:rsidRDefault="002B7ABA" w:rsidP="004E6DE8">
      <w:pPr>
        <w:rPr>
          <w:color w:val="000000" w:themeColor="text1"/>
        </w:rPr>
      </w:pPr>
      <w:r w:rsidRPr="00DD0DAD">
        <w:rPr>
          <w:lang w:eastAsia="zh-CN"/>
        </w:rPr>
        <w:t xml:space="preserve">Les dépenses engagées au titre du projet au 30 </w:t>
      </w:r>
      <w:r w:rsidR="00532F52">
        <w:rPr>
          <w:lang w:eastAsia="zh-CN"/>
        </w:rPr>
        <w:t>juin 2022</w:t>
      </w:r>
      <w:r w:rsidRPr="00DD0DAD">
        <w:rPr>
          <w:lang w:eastAsia="zh-CN"/>
        </w:rPr>
        <w:t xml:space="preserve"> s</w:t>
      </w:r>
      <w:r w:rsidR="004E6DE8">
        <w:rPr>
          <w:lang w:eastAsia="zh-CN"/>
        </w:rPr>
        <w:t>'</w:t>
      </w:r>
      <w:r w:rsidRPr="00DD0DAD">
        <w:rPr>
          <w:lang w:eastAsia="zh-CN"/>
        </w:rPr>
        <w:t xml:space="preserve">élèvent à </w:t>
      </w:r>
      <w:r w:rsidR="00532F52">
        <w:rPr>
          <w:lang w:eastAsia="zh-CN"/>
        </w:rPr>
        <w:t>16 121 383</w:t>
      </w:r>
      <w:r w:rsidRPr="00DD0DAD">
        <w:rPr>
          <w:lang w:eastAsia="zh-CN"/>
        </w:rPr>
        <w:t xml:space="preserve"> CHF. À l</w:t>
      </w:r>
      <w:r w:rsidR="004E6DE8">
        <w:rPr>
          <w:lang w:eastAsia="zh-CN"/>
        </w:rPr>
        <w:t>'</w:t>
      </w:r>
      <w:r w:rsidRPr="00DD0DAD">
        <w:rPr>
          <w:lang w:eastAsia="zh-CN"/>
        </w:rPr>
        <w:t>heure actuelle, les dépenses sont effectuées conformément au plan qui a été mis en place et qui correspond aux contrats et aux calendriers signés à ce jour par l</w:t>
      </w:r>
      <w:r w:rsidR="004E6DE8">
        <w:rPr>
          <w:lang w:eastAsia="zh-CN"/>
        </w:rPr>
        <w:t>'</w:t>
      </w:r>
      <w:r w:rsidRPr="00DD0DAD">
        <w:rPr>
          <w:lang w:eastAsia="zh-CN"/>
        </w:rPr>
        <w:t xml:space="preserve">UIT. </w:t>
      </w:r>
    </w:p>
    <w:p w14:paraId="547795D3" w14:textId="6C45D8A2" w:rsidR="002B7ABA" w:rsidRPr="00DD0DAD" w:rsidRDefault="00532F52" w:rsidP="004E6DE8">
      <w:pPr>
        <w:pStyle w:val="Heading2"/>
      </w:pPr>
      <w:r>
        <w:t>10.7</w:t>
      </w:r>
      <w:r w:rsidR="002B7ABA" w:rsidRPr="00DD0DAD">
        <w:tab/>
        <w:t>Dépenses prévues par rapport aux dépenses effectives</w:t>
      </w:r>
    </w:p>
    <w:p w14:paraId="0ABBABA1" w14:textId="77777777" w:rsidR="002B7ABA" w:rsidRPr="00DD0DAD" w:rsidRDefault="002B7ABA" w:rsidP="004E6DE8">
      <w:r w:rsidRPr="00DD0DAD">
        <w:rPr>
          <w:lang w:eastAsia="zh-CN"/>
        </w:rPr>
        <w:t xml:space="preserve">Les informations concernant les </w:t>
      </w:r>
      <w:r w:rsidRPr="00DD0DAD">
        <w:t>dépenses prévues par rapport aux dépenses effectives</w:t>
      </w:r>
      <w:r w:rsidRPr="00DD0DAD">
        <w:rPr>
          <w:lang w:eastAsia="zh-CN"/>
        </w:rPr>
        <w:t xml:space="preserve"> fournies dans le précédent rapport sont disponibles </w:t>
      </w:r>
      <w:r w:rsidRPr="00DD0DAD">
        <w:t xml:space="preserve">dans le </w:t>
      </w:r>
      <w:r w:rsidRPr="00DD0DAD">
        <w:rPr>
          <w:lang w:eastAsia="zh-CN"/>
        </w:rPr>
        <w:t xml:space="preserve">Document </w:t>
      </w:r>
      <w:hyperlink r:id="rId36" w:history="1">
        <w:r w:rsidRPr="00DD0DAD">
          <w:rPr>
            <w:rStyle w:val="Hyperlink"/>
            <w:rFonts w:asciiTheme="minorHAnsi" w:hAnsiTheme="minorHAnsi" w:cstheme="minorHAnsi"/>
            <w:spacing w:val="-2"/>
            <w:szCs w:val="24"/>
            <w:lang w:eastAsia="zh-CN"/>
          </w:rPr>
          <w:t>C20/7(Rév.1)</w:t>
        </w:r>
      </w:hyperlink>
      <w:r w:rsidRPr="00DD0DAD">
        <w:t>.</w:t>
      </w:r>
    </w:p>
    <w:p w14:paraId="5CB3E926" w14:textId="666623AA" w:rsidR="002B7ABA" w:rsidRPr="00DD0DAD" w:rsidRDefault="002B7ABA" w:rsidP="004E6DE8">
      <w:pPr>
        <w:rPr>
          <w:b/>
          <w:bCs/>
          <w:color w:val="000000" w:themeColor="text1"/>
        </w:rPr>
      </w:pPr>
      <w:r w:rsidRPr="00DD0DAD">
        <w:rPr>
          <w:lang w:eastAsia="zh-CN"/>
        </w:rPr>
        <w:t xml:space="preserve">Un graphique rendant compte de la situation au 30 </w:t>
      </w:r>
      <w:r w:rsidR="00532F52">
        <w:rPr>
          <w:lang w:eastAsia="zh-CN"/>
        </w:rPr>
        <w:t>juin 2022</w:t>
      </w:r>
      <w:r w:rsidRPr="00DD0DAD">
        <w:rPr>
          <w:lang w:eastAsia="zh-CN"/>
        </w:rPr>
        <w:t xml:space="preserve"> est reproduit dans l</w:t>
      </w:r>
      <w:r w:rsidR="004E6DE8">
        <w:rPr>
          <w:lang w:eastAsia="zh-CN"/>
        </w:rPr>
        <w:t>'</w:t>
      </w:r>
      <w:hyperlink w:anchor="AnnexeC" w:history="1">
        <w:r w:rsidRPr="00F955AF">
          <w:rPr>
            <w:rStyle w:val="Hyperlink"/>
            <w:lang w:eastAsia="zh-CN"/>
          </w:rPr>
          <w:t>An</w:t>
        </w:r>
        <w:r w:rsidR="00F955AF" w:rsidRPr="00F955AF">
          <w:rPr>
            <w:rStyle w:val="Hyperlink"/>
            <w:lang w:eastAsia="zh-CN"/>
          </w:rPr>
          <w:t>nexe C</w:t>
        </w:r>
      </w:hyperlink>
      <w:r w:rsidR="00F955AF">
        <w:rPr>
          <w:lang w:eastAsia="zh-CN"/>
        </w:rPr>
        <w:t xml:space="preserve"> </w:t>
      </w:r>
      <w:r w:rsidRPr="00DD0DAD">
        <w:rPr>
          <w:lang w:eastAsia="zh-CN"/>
        </w:rPr>
        <w:t xml:space="preserve">du présent rapport. </w:t>
      </w:r>
    </w:p>
    <w:p w14:paraId="0A58F391" w14:textId="029F4DD2" w:rsidR="002B7ABA" w:rsidRPr="00DD0DAD" w:rsidRDefault="00532F52" w:rsidP="004E6DE8">
      <w:pPr>
        <w:pStyle w:val="Heading1"/>
        <w:rPr>
          <w:lang w:eastAsia="ja-JP"/>
        </w:rPr>
      </w:pPr>
      <w:r>
        <w:rPr>
          <w:lang w:eastAsia="ja-JP"/>
        </w:rPr>
        <w:lastRenderedPageBreak/>
        <w:t>11</w:t>
      </w:r>
      <w:r w:rsidR="002B7ABA" w:rsidRPr="00DD0DAD">
        <w:rPr>
          <w:lang w:eastAsia="ja-JP"/>
        </w:rPr>
        <w:tab/>
        <w:t>Continuité des activités – Organisation des conférences pendant les phases de démolition du bâtiment Varembé et de construction du nouveau bâtiment</w:t>
      </w:r>
    </w:p>
    <w:p w14:paraId="1184B977" w14:textId="4269A1B7" w:rsidR="002B7ABA" w:rsidRPr="005D0FDA" w:rsidRDefault="002B7ABA" w:rsidP="004E6DE8">
      <w:r w:rsidRPr="00DD0DAD">
        <w:t>S</w:t>
      </w:r>
      <w:r w:rsidR="004E6DE8">
        <w:t>'</w:t>
      </w:r>
      <w:r w:rsidRPr="00DD0DAD">
        <w:t>agissant de la disponibilité d</w:t>
      </w:r>
      <w:r w:rsidR="004E6DE8">
        <w:t>'</w:t>
      </w:r>
      <w:r w:rsidRPr="00DD0DAD">
        <w:t xml:space="preserve">installations de conférence durant la période de construction du nouveau bâtiment, </w:t>
      </w:r>
      <w:r w:rsidR="00E225FB">
        <w:t>l</w:t>
      </w:r>
      <w:r w:rsidR="005D0FDA">
        <w:t xml:space="preserve">es efforts </w:t>
      </w:r>
      <w:r w:rsidR="00E225FB">
        <w:t>se poursuivent</w:t>
      </w:r>
      <w:r w:rsidR="005D0FDA">
        <w:t xml:space="preserve"> pour trouver des installations permettant d</w:t>
      </w:r>
      <w:r w:rsidR="004E6DE8">
        <w:t>'</w:t>
      </w:r>
      <w:r w:rsidR="005D0FDA">
        <w:t>accueillir toutes les réunions techniques pour lesquelles aucun espace n</w:t>
      </w:r>
      <w:r w:rsidR="004E6DE8">
        <w:t>'</w:t>
      </w:r>
      <w:r w:rsidR="005D0FDA">
        <w:t>est disponible à l</w:t>
      </w:r>
      <w:r w:rsidR="004E6DE8">
        <w:t>'</w:t>
      </w:r>
      <w:r w:rsidR="005D0FDA">
        <w:t>heure actuelle.</w:t>
      </w:r>
      <w:r w:rsidRPr="005D0FDA">
        <w:t xml:space="preserve"> </w:t>
      </w:r>
    </w:p>
    <w:p w14:paraId="1619306F" w14:textId="42439017" w:rsidR="000D0ABB" w:rsidRPr="005D0FDA" w:rsidRDefault="005D0FDA" w:rsidP="004E6DE8">
      <w:r w:rsidRPr="005D0FDA">
        <w:t>À la suite de discussions approfondi</w:t>
      </w:r>
      <w:r>
        <w:t xml:space="preserve">es avec les Bureaux et le Secrétariat général, et dans la mesure où le CICG est disponible, des salles ont été réservées au CICG pour accueillir les grandes réunions annuelles telles que le Conseil et les réunions des Groupes de travail du Conseil et des groupes consultatifs des Secteurs pendant cette période. </w:t>
      </w:r>
      <w:r w:rsidRPr="005D0FDA">
        <w:t>Les</w:t>
      </w:r>
      <w:r w:rsidR="00E225FB">
        <w:t xml:space="preserve"> autres</w:t>
      </w:r>
      <w:r w:rsidRPr="005D0FDA">
        <w:t xml:space="preserve"> réunions pour lesquelles des installations sont nécessaires s</w:t>
      </w:r>
      <w:r>
        <w:t>ont les réunions techniques, c</w:t>
      </w:r>
      <w:r w:rsidR="004E6DE8">
        <w:t>'</w:t>
      </w:r>
      <w:r>
        <w:t>est-à-dire les réunions des commissions d</w:t>
      </w:r>
      <w:r w:rsidR="004E6DE8">
        <w:t>'</w:t>
      </w:r>
      <w:r>
        <w:t>études et des groupes de travail</w:t>
      </w:r>
      <w:r w:rsidR="000D0ABB" w:rsidRPr="005D0FDA">
        <w:t>.</w:t>
      </w:r>
    </w:p>
    <w:p w14:paraId="5F63C593" w14:textId="100E1086" w:rsidR="000D0ABB" w:rsidRDefault="005D0FDA" w:rsidP="004E6DE8">
      <w:r>
        <w:t>En octobre 2021, un appel a été lancé pour l</w:t>
      </w:r>
      <w:r w:rsidR="004E6DE8">
        <w:t>'</w:t>
      </w:r>
      <w:r>
        <w:t>accueil des réunions techniques, et plusieurs États Membres ont manifesté leur intérêt. Toutefois, en raison de circonstances imprévues et des effets de la pandémie de COVID-19, les discussions avec certains États Membres sur cette question n</w:t>
      </w:r>
      <w:r w:rsidR="004E6DE8">
        <w:t>'</w:t>
      </w:r>
      <w:r>
        <w:t>ont pas pu être poursuivies.</w:t>
      </w:r>
      <w:r w:rsidR="000D0ABB" w:rsidRPr="005D0FDA">
        <w:t xml:space="preserve"> </w:t>
      </w:r>
    </w:p>
    <w:p w14:paraId="119F7B89" w14:textId="2A506880" w:rsidR="000D0ABB" w:rsidRPr="005D0FDA" w:rsidRDefault="005D0FDA" w:rsidP="004E6DE8">
      <w:r>
        <w:t>À la date de la rédaction du présent rapport, les discussions se poursuivent avec 3 États Membres, à savoir la Chine, le Rwanda et la Suisse</w:t>
      </w:r>
      <w:r w:rsidR="000D0ABB" w:rsidRPr="005D0FDA">
        <w:t>.</w:t>
      </w:r>
    </w:p>
    <w:p w14:paraId="2E52F629" w14:textId="0784829F" w:rsidR="000D0ABB" w:rsidRPr="005D0FDA" w:rsidRDefault="005D0FDA" w:rsidP="004E6DE8">
      <w:r w:rsidRPr="005D0FDA">
        <w:t>S</w:t>
      </w:r>
      <w:r w:rsidR="004E6DE8">
        <w:t>'</w:t>
      </w:r>
      <w:r w:rsidRPr="005D0FDA">
        <w:t>agissant de la disponibilité d</w:t>
      </w:r>
      <w:r>
        <w:t>es salles au siège de l</w:t>
      </w:r>
      <w:r w:rsidR="004E6DE8">
        <w:t>'</w:t>
      </w:r>
      <w:r>
        <w:t>UIT en 2023, des salles de réunion seront disponibles jusqu</w:t>
      </w:r>
      <w:r w:rsidR="004E6DE8">
        <w:t>'</w:t>
      </w:r>
      <w:r>
        <w:t>au deuxième trimestre de 2023, ce qui permettra la tenue de plusieurs réunions techniques durant les premiers mois de 2023</w:t>
      </w:r>
      <w:r w:rsidR="000D0ABB" w:rsidRPr="005D0FDA">
        <w:t>.</w:t>
      </w:r>
    </w:p>
    <w:p w14:paraId="3FBA4FFF" w14:textId="5F30867D" w:rsidR="000D0ABB" w:rsidRPr="00540133" w:rsidRDefault="005D0FDA" w:rsidP="004E6DE8">
      <w:r w:rsidRPr="005D0FDA">
        <w:t>S</w:t>
      </w:r>
      <w:r w:rsidR="004E6DE8">
        <w:t>'</w:t>
      </w:r>
      <w:r w:rsidRPr="005D0FDA">
        <w:t>agissant des manifestations qui s</w:t>
      </w:r>
      <w:r>
        <w:t xml:space="preserve">eront organisées après juin 2023, des discussions approfondies sont en cours avec la Suisse. Une liste détaillée des réunions pour lesquelles </w:t>
      </w:r>
      <w:r w:rsidR="00540133">
        <w:t>un lieu devra être identifié en 2023 et 2024 a été fournie à la Suisse, et les discussions se poursuivent au plus haut niveau pour examiner les solutions permettant de tenir les réunions techniques de l</w:t>
      </w:r>
      <w:r w:rsidR="004E6DE8">
        <w:t>'</w:t>
      </w:r>
      <w:r w:rsidR="00540133">
        <w:t>UIT à Genève, ailleurs qu</w:t>
      </w:r>
      <w:r w:rsidR="004E6DE8">
        <w:t>'</w:t>
      </w:r>
      <w:r w:rsidR="00540133">
        <w:t>au CICG, par exemple à Palexpo, ou dans une autre ville de Suisse</w:t>
      </w:r>
      <w:r w:rsidR="000D0ABB" w:rsidRPr="00540133">
        <w:t xml:space="preserve">. </w:t>
      </w:r>
    </w:p>
    <w:p w14:paraId="699BBFF4" w14:textId="1BAC62AE" w:rsidR="000D0ABB" w:rsidRPr="00540133" w:rsidRDefault="00540133" w:rsidP="004E6DE8">
      <w:r w:rsidRPr="00540133">
        <w:t>Dans l</w:t>
      </w:r>
      <w:r w:rsidR="004E6DE8">
        <w:t>'</w:t>
      </w:r>
      <w:r w:rsidRPr="00540133">
        <w:t xml:space="preserve">intervalle, </w:t>
      </w:r>
      <w:r>
        <w:t xml:space="preserve">bien que des </w:t>
      </w:r>
      <w:r w:rsidRPr="00540133">
        <w:t>solutions s</w:t>
      </w:r>
      <w:r>
        <w:t>oient à l</w:t>
      </w:r>
      <w:r w:rsidR="004E6DE8">
        <w:t>'</w:t>
      </w:r>
      <w:r>
        <w:t>étude afin de remédier au manque d</w:t>
      </w:r>
      <w:r w:rsidR="004E6DE8">
        <w:t>'</w:t>
      </w:r>
      <w:r>
        <w:t xml:space="preserve">installations pour </w:t>
      </w:r>
      <w:r w:rsidR="00E225FB">
        <w:t>accueillir les</w:t>
      </w:r>
      <w:r>
        <w:t xml:space="preserve"> réunions techniques, les propositions ci-après sont soumises aux États Membres, pour examen</w:t>
      </w:r>
      <w:r w:rsidR="000D0ABB" w:rsidRPr="00540133">
        <w:t>:</w:t>
      </w:r>
    </w:p>
    <w:p w14:paraId="171FD713" w14:textId="79C3117B" w:rsidR="000D0ABB" w:rsidRPr="00540133" w:rsidRDefault="000D0ABB" w:rsidP="004E6DE8">
      <w:pPr>
        <w:pStyle w:val="enumlev1"/>
      </w:pPr>
      <w:r w:rsidRPr="00540133">
        <w:t>•</w:t>
      </w:r>
      <w:r w:rsidRPr="00540133">
        <w:tab/>
      </w:r>
      <w:r w:rsidR="00540133" w:rsidRPr="00540133">
        <w:t>Les États Membres et l</w:t>
      </w:r>
      <w:r w:rsidR="00540133">
        <w:t>es Membres de Secteur pourraient envisager d</w:t>
      </w:r>
      <w:r w:rsidR="004E6DE8">
        <w:t>'</w:t>
      </w:r>
      <w:r w:rsidR="00540133">
        <w:t>accueillir physiquement certaines réunions techniques pendant la période de construction</w:t>
      </w:r>
      <w:r w:rsidR="00DB6D40">
        <w:t>.</w:t>
      </w:r>
    </w:p>
    <w:p w14:paraId="300F4438" w14:textId="0DAB9D19" w:rsidR="002B7ABA" w:rsidRPr="00540133" w:rsidRDefault="000D0ABB" w:rsidP="004E6DE8">
      <w:pPr>
        <w:pStyle w:val="enumlev1"/>
      </w:pPr>
      <w:r w:rsidRPr="00540133">
        <w:t>•</w:t>
      </w:r>
      <w:r w:rsidRPr="00540133">
        <w:tab/>
      </w:r>
      <w:r w:rsidR="00540133" w:rsidRPr="00540133">
        <w:t xml:space="preserve">Il pourrait être décidé de tenir certaines réunions techniques </w:t>
      </w:r>
      <w:r w:rsidR="00540133">
        <w:t>de façon virtuelle, dans toute la mesure possible</w:t>
      </w:r>
      <w:r w:rsidR="00DB6D40">
        <w:t>.</w:t>
      </w:r>
    </w:p>
    <w:p w14:paraId="54B8E54B" w14:textId="395B0A30" w:rsidR="002B7ABA" w:rsidRPr="00DD0DAD" w:rsidRDefault="002B7ABA" w:rsidP="004E6DE8">
      <w:pPr>
        <w:rPr>
          <w:lang w:eastAsia="en-GB"/>
        </w:rPr>
      </w:pPr>
      <w:r w:rsidRPr="00DD0DAD">
        <w:t>Grâce aux fonctionnalités multilingues et aux dispositifs de sécurité améliorés, l</w:t>
      </w:r>
      <w:r w:rsidR="004E6DE8">
        <w:t>'</w:t>
      </w:r>
      <w:r w:rsidRPr="00DD0DAD">
        <w:t>UIT peut prendre en charge jusqu</w:t>
      </w:r>
      <w:r w:rsidR="004E6DE8">
        <w:t>'</w:t>
      </w:r>
      <w:r w:rsidRPr="00DD0DAD">
        <w:t>à 10 000 utilisateurs en mode interactif et jusqu</w:t>
      </w:r>
      <w:r w:rsidR="004E6DE8">
        <w:t>'</w:t>
      </w:r>
      <w:r w:rsidRPr="00DD0DAD">
        <w:t>à 40 000 utilisateurs en mode webinaire</w:t>
      </w:r>
      <w:r w:rsidRPr="00DD0DAD">
        <w:rPr>
          <w:lang w:eastAsia="zh-CN"/>
        </w:rPr>
        <w:t>, tandis que la plate-forme "Zoom" est désormais accessible aux participants de tous les États Membres de l</w:t>
      </w:r>
      <w:r w:rsidR="004E6DE8">
        <w:rPr>
          <w:lang w:eastAsia="zh-CN"/>
        </w:rPr>
        <w:t>'</w:t>
      </w:r>
      <w:r w:rsidRPr="00DD0DAD">
        <w:rPr>
          <w:lang w:eastAsia="zh-CN"/>
        </w:rPr>
        <w:t xml:space="preserve">UIT. On trouvera dans les Documents </w:t>
      </w:r>
      <w:hyperlink r:id="rId37" w:history="1">
        <w:r w:rsidRPr="00DD0DAD">
          <w:rPr>
            <w:rStyle w:val="Hyperlink"/>
            <w:rFonts w:asciiTheme="minorHAnsi" w:hAnsiTheme="minorHAnsi" w:cstheme="minorHAnsi"/>
            <w:szCs w:val="24"/>
            <w:lang w:eastAsia="zh-CN"/>
          </w:rPr>
          <w:t>VC/13(Rév.1</w:t>
        </w:r>
      </w:hyperlink>
      <w:r w:rsidRPr="00DD0DAD">
        <w:rPr>
          <w:lang w:eastAsia="zh-CN"/>
        </w:rPr>
        <w:t xml:space="preserve">) et </w:t>
      </w:r>
      <w:hyperlink r:id="rId38" w:history="1">
        <w:r w:rsidRPr="00DD0DAD">
          <w:rPr>
            <w:rStyle w:val="Hyperlink"/>
            <w:bCs/>
          </w:rPr>
          <w:t>C20/INF/22</w:t>
        </w:r>
      </w:hyperlink>
      <w:r w:rsidRPr="00DD0DAD">
        <w:rPr>
          <w:lang w:eastAsia="zh-CN"/>
        </w:rPr>
        <w:t xml:space="preserve"> d</w:t>
      </w:r>
      <w:r w:rsidR="004E6DE8">
        <w:rPr>
          <w:lang w:eastAsia="zh-CN"/>
        </w:rPr>
        <w:t>'</w:t>
      </w:r>
      <w:r w:rsidRPr="00DD0DAD">
        <w:rPr>
          <w:lang w:eastAsia="zh-CN"/>
        </w:rPr>
        <w:t>autres informations sur ce point</w:t>
      </w:r>
      <w:r w:rsidRPr="00DD0DAD">
        <w:rPr>
          <w:bCs/>
        </w:rPr>
        <w:t>.</w:t>
      </w:r>
    </w:p>
    <w:p w14:paraId="41C97A76" w14:textId="77777777" w:rsidR="002B7ABA" w:rsidRPr="00DD0DAD" w:rsidRDefault="002B7ABA" w:rsidP="004E6DE8">
      <w:pPr>
        <w:rPr>
          <w:lang w:eastAsia="ja-JP"/>
        </w:rPr>
      </w:pPr>
    </w:p>
    <w:p w14:paraId="696BCE6A" w14:textId="77777777" w:rsidR="002B7ABA" w:rsidRPr="00DD0DAD" w:rsidRDefault="002B7ABA" w:rsidP="004E6DE8">
      <w:pPr>
        <w:rPr>
          <w:lang w:eastAsia="ja-JP"/>
        </w:rPr>
        <w:sectPr w:rsidR="002B7ABA" w:rsidRPr="00DD0DAD" w:rsidSect="002B7ABA">
          <w:headerReference w:type="default" r:id="rId39"/>
          <w:footerReference w:type="default" r:id="rId40"/>
          <w:footerReference w:type="first" r:id="rId41"/>
          <w:type w:val="continuous"/>
          <w:pgSz w:w="11907" w:h="16840" w:code="9"/>
          <w:pgMar w:top="1418" w:right="1134" w:bottom="1418" w:left="1134" w:header="720" w:footer="720" w:gutter="0"/>
          <w:paperSrc w:first="261" w:other="261"/>
          <w:cols w:space="720"/>
          <w:titlePg/>
          <w:docGrid w:linePitch="326"/>
        </w:sectPr>
      </w:pPr>
    </w:p>
    <w:p w14:paraId="67DAB8A2" w14:textId="77777777" w:rsidR="002B7ABA" w:rsidRPr="00DD0DAD" w:rsidRDefault="002B7ABA" w:rsidP="00395C64">
      <w:pPr>
        <w:pStyle w:val="AnnexNo"/>
        <w:spacing w:before="480"/>
      </w:pPr>
      <w:bookmarkStart w:id="8" w:name="AnnexeA"/>
      <w:bookmarkStart w:id="9" w:name="AnnexA"/>
      <w:r w:rsidRPr="00826FED">
        <w:lastRenderedPageBreak/>
        <w:t>Annexe A</w:t>
      </w:r>
      <w:bookmarkEnd w:id="8"/>
    </w:p>
    <w:bookmarkEnd w:id="9"/>
    <w:p w14:paraId="4CEA0FEB" w14:textId="4487B0DB" w:rsidR="002B7ABA" w:rsidRPr="00DD0DAD" w:rsidRDefault="002B7ABA" w:rsidP="004E6DE8">
      <w:pPr>
        <w:pStyle w:val="Annextitle"/>
        <w:spacing w:before="120"/>
        <w:rPr>
          <w:lang w:eastAsia="ja-JP"/>
        </w:rPr>
      </w:pPr>
      <w:r w:rsidRPr="00DD0DAD">
        <w:rPr>
          <w:lang w:eastAsia="ja-JP"/>
        </w:rPr>
        <w:t>Les risques les plus importants</w:t>
      </w:r>
      <w:r w:rsidR="005525D4">
        <w:rPr>
          <w:lang w:eastAsia="ja-JP"/>
        </w:rPr>
        <w:t xml:space="preserve"> et leurs estimations</w:t>
      </w:r>
    </w:p>
    <w:tbl>
      <w:tblPr>
        <w:tblW w:w="14176" w:type="dxa"/>
        <w:jc w:val="center"/>
        <w:tblLayout w:type="fixed"/>
        <w:tblCellMar>
          <w:left w:w="70" w:type="dxa"/>
          <w:right w:w="70" w:type="dxa"/>
        </w:tblCellMar>
        <w:tblLook w:val="04A0" w:firstRow="1" w:lastRow="0" w:firstColumn="1" w:lastColumn="0" w:noHBand="0" w:noVBand="1"/>
      </w:tblPr>
      <w:tblGrid>
        <w:gridCol w:w="865"/>
        <w:gridCol w:w="2664"/>
        <w:gridCol w:w="2045"/>
        <w:gridCol w:w="2268"/>
        <w:gridCol w:w="1074"/>
        <w:gridCol w:w="850"/>
        <w:gridCol w:w="1134"/>
        <w:gridCol w:w="3276"/>
      </w:tblGrid>
      <w:tr w:rsidR="002B7ABA" w:rsidRPr="00DD0DAD" w14:paraId="27AB2DF0" w14:textId="77777777" w:rsidTr="004E6DE8">
        <w:trPr>
          <w:trHeight w:val="614"/>
          <w:tblHeader/>
          <w:jc w:val="center"/>
        </w:trPr>
        <w:tc>
          <w:tcPr>
            <w:tcW w:w="865"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hideMark/>
          </w:tcPr>
          <w:p w14:paraId="4A7187E2" w14:textId="77777777" w:rsidR="002B7ABA" w:rsidRPr="00DD0DAD" w:rsidRDefault="002B7ABA" w:rsidP="004E6DE8">
            <w:pPr>
              <w:spacing w:before="60" w:after="60"/>
              <w:jc w:val="center"/>
              <w:rPr>
                <w:rFonts w:cs="Calibri"/>
                <w:b/>
                <w:bCs/>
                <w:color w:val="000000"/>
                <w:sz w:val="16"/>
                <w:szCs w:val="16"/>
                <w:lang w:eastAsia="es-ES"/>
              </w:rPr>
            </w:pPr>
            <w:r w:rsidRPr="00DD0DAD">
              <w:rPr>
                <w:rFonts w:cs="Calibri"/>
                <w:b/>
                <w:bCs/>
                <w:color w:val="000000"/>
                <w:sz w:val="16"/>
                <w:szCs w:val="16"/>
                <w:lang w:eastAsia="es-ES"/>
              </w:rPr>
              <w:t>Code de risque</w:t>
            </w:r>
          </w:p>
        </w:tc>
        <w:tc>
          <w:tcPr>
            <w:tcW w:w="2664" w:type="dxa"/>
            <w:tcBorders>
              <w:top w:val="single" w:sz="8" w:space="0" w:color="FFFFFF"/>
              <w:left w:val="nil"/>
              <w:bottom w:val="single" w:sz="8" w:space="0" w:color="FFFFFF"/>
              <w:right w:val="single" w:sz="12" w:space="0" w:color="FFFFFF"/>
            </w:tcBorders>
            <w:shd w:val="clear" w:color="auto" w:fill="D9D9D9" w:themeFill="background1" w:themeFillShade="D9"/>
            <w:hideMark/>
          </w:tcPr>
          <w:p w14:paraId="0076B6F5" w14:textId="77777777" w:rsidR="002B7ABA" w:rsidRPr="00DD0DAD" w:rsidRDefault="002B7ABA" w:rsidP="004E6DE8">
            <w:pPr>
              <w:spacing w:before="60" w:after="60"/>
              <w:jc w:val="center"/>
              <w:rPr>
                <w:rFonts w:cs="Calibri"/>
                <w:b/>
                <w:bCs/>
                <w:color w:val="000000"/>
                <w:sz w:val="16"/>
                <w:szCs w:val="16"/>
                <w:lang w:eastAsia="es-ES"/>
              </w:rPr>
            </w:pPr>
            <w:r w:rsidRPr="00DD0DAD">
              <w:rPr>
                <w:rFonts w:cs="Calibri"/>
                <w:b/>
                <w:bCs/>
                <w:color w:val="000000"/>
                <w:sz w:val="16"/>
                <w:szCs w:val="16"/>
                <w:lang w:eastAsia="es-ES"/>
              </w:rPr>
              <w:t>Nom du risque</w:t>
            </w:r>
          </w:p>
        </w:tc>
        <w:tc>
          <w:tcPr>
            <w:tcW w:w="2045"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tcPr>
          <w:p w14:paraId="65557DEA" w14:textId="77777777" w:rsidR="002B7ABA" w:rsidRPr="00DD0DAD" w:rsidRDefault="002B7ABA" w:rsidP="004E6DE8">
            <w:pPr>
              <w:spacing w:before="60" w:after="60"/>
              <w:jc w:val="center"/>
              <w:rPr>
                <w:rFonts w:cs="Calibri"/>
                <w:b/>
                <w:bCs/>
                <w:color w:val="000000"/>
                <w:sz w:val="16"/>
                <w:szCs w:val="16"/>
                <w:lang w:eastAsia="es-ES"/>
              </w:rPr>
            </w:pPr>
            <w:r w:rsidRPr="00DD0DAD">
              <w:rPr>
                <w:rFonts w:cs="Calibri"/>
                <w:b/>
                <w:bCs/>
                <w:color w:val="000000"/>
                <w:sz w:val="16"/>
                <w:szCs w:val="16"/>
                <w:lang w:eastAsia="es-ES"/>
              </w:rPr>
              <w:t>Cause</w:t>
            </w:r>
          </w:p>
        </w:tc>
        <w:tc>
          <w:tcPr>
            <w:tcW w:w="2268"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tcPr>
          <w:p w14:paraId="1BCC5A98" w14:textId="77777777" w:rsidR="002B7ABA" w:rsidRPr="00DD0DAD" w:rsidRDefault="002B7ABA" w:rsidP="004E6DE8">
            <w:pPr>
              <w:spacing w:before="60" w:after="60"/>
              <w:jc w:val="center"/>
              <w:rPr>
                <w:rFonts w:cs="Calibri"/>
                <w:b/>
                <w:bCs/>
                <w:color w:val="000000"/>
                <w:sz w:val="16"/>
                <w:szCs w:val="16"/>
                <w:lang w:eastAsia="es-ES"/>
              </w:rPr>
            </w:pPr>
            <w:r w:rsidRPr="00DD0DAD">
              <w:rPr>
                <w:rFonts w:cs="Calibri"/>
                <w:b/>
                <w:bCs/>
                <w:color w:val="000000"/>
                <w:sz w:val="16"/>
                <w:szCs w:val="16"/>
                <w:lang w:eastAsia="es-ES"/>
              </w:rPr>
              <w:t>Atténuation</w:t>
            </w:r>
          </w:p>
        </w:tc>
        <w:tc>
          <w:tcPr>
            <w:tcW w:w="1074"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hideMark/>
          </w:tcPr>
          <w:p w14:paraId="09BC3D55" w14:textId="77777777" w:rsidR="002B7ABA" w:rsidRPr="00DD0DAD" w:rsidRDefault="002B7ABA" w:rsidP="004E6DE8">
            <w:pPr>
              <w:spacing w:before="60" w:after="60"/>
              <w:jc w:val="center"/>
              <w:rPr>
                <w:rFonts w:cs="Calibri"/>
                <w:b/>
                <w:bCs/>
                <w:color w:val="000000"/>
                <w:sz w:val="16"/>
                <w:szCs w:val="16"/>
                <w:lang w:eastAsia="es-ES"/>
              </w:rPr>
            </w:pPr>
            <w:r w:rsidRPr="00DD0DAD">
              <w:rPr>
                <w:rFonts w:cs="Calibri"/>
                <w:b/>
                <w:bCs/>
                <w:color w:val="000000"/>
                <w:sz w:val="16"/>
                <w:szCs w:val="16"/>
                <w:lang w:eastAsia="es-ES"/>
              </w:rPr>
              <w:t>Probabilité</w:t>
            </w:r>
            <w:r w:rsidRPr="00DD0DAD">
              <w:rPr>
                <w:rFonts w:cs="Calibri"/>
                <w:b/>
                <w:bCs/>
                <w:color w:val="000000"/>
                <w:sz w:val="16"/>
                <w:szCs w:val="16"/>
                <w:lang w:eastAsia="es-ES"/>
              </w:rPr>
              <w:br/>
              <w:t>(A)</w:t>
            </w:r>
          </w:p>
        </w:tc>
        <w:tc>
          <w:tcPr>
            <w:tcW w:w="850"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hideMark/>
          </w:tcPr>
          <w:p w14:paraId="15899DA1" w14:textId="77777777" w:rsidR="002B7ABA" w:rsidRPr="00DD0DAD" w:rsidRDefault="002B7ABA" w:rsidP="004E6DE8">
            <w:pPr>
              <w:spacing w:before="60" w:after="60"/>
              <w:jc w:val="center"/>
              <w:rPr>
                <w:rFonts w:cs="Calibri"/>
                <w:b/>
                <w:bCs/>
                <w:color w:val="000000"/>
                <w:sz w:val="16"/>
                <w:szCs w:val="16"/>
                <w:lang w:eastAsia="es-ES"/>
              </w:rPr>
            </w:pPr>
            <w:r w:rsidRPr="00DD0DAD">
              <w:rPr>
                <w:rFonts w:cs="Calibri"/>
                <w:b/>
                <w:bCs/>
                <w:color w:val="000000"/>
                <w:sz w:val="16"/>
                <w:szCs w:val="16"/>
                <w:lang w:eastAsia="es-ES"/>
              </w:rPr>
              <w:t>Impact</w:t>
            </w:r>
          </w:p>
        </w:tc>
        <w:tc>
          <w:tcPr>
            <w:tcW w:w="1134"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hideMark/>
          </w:tcPr>
          <w:p w14:paraId="5B70E25C" w14:textId="77777777" w:rsidR="002B7ABA" w:rsidRPr="00DD0DAD" w:rsidRDefault="002B7ABA" w:rsidP="004E6DE8">
            <w:pPr>
              <w:spacing w:before="60" w:after="60"/>
              <w:jc w:val="center"/>
              <w:rPr>
                <w:rFonts w:cs="Calibri"/>
                <w:b/>
                <w:bCs/>
                <w:color w:val="000000"/>
                <w:sz w:val="16"/>
                <w:szCs w:val="16"/>
                <w:lang w:eastAsia="es-ES"/>
              </w:rPr>
            </w:pPr>
            <w:r w:rsidRPr="00DD0DAD">
              <w:rPr>
                <w:rFonts w:cs="Calibri"/>
                <w:b/>
                <w:bCs/>
                <w:color w:val="000000"/>
                <w:sz w:val="16"/>
                <w:szCs w:val="16"/>
                <w:lang w:eastAsia="es-ES"/>
              </w:rPr>
              <w:t>Coût pondéré</w:t>
            </w:r>
            <w:r w:rsidRPr="00DD0DAD">
              <w:rPr>
                <w:rFonts w:cs="Calibri"/>
                <w:b/>
                <w:bCs/>
                <w:color w:val="000000"/>
                <w:sz w:val="16"/>
                <w:szCs w:val="16"/>
                <w:lang w:eastAsia="es-ES"/>
              </w:rPr>
              <w:br/>
              <w:t>CHF</w:t>
            </w:r>
          </w:p>
        </w:tc>
        <w:tc>
          <w:tcPr>
            <w:tcW w:w="3276"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hideMark/>
          </w:tcPr>
          <w:p w14:paraId="14A8B818" w14:textId="77777777" w:rsidR="002B7ABA" w:rsidRPr="00DD0DAD" w:rsidRDefault="002B7ABA" w:rsidP="004E6DE8">
            <w:pPr>
              <w:spacing w:before="60" w:after="60"/>
              <w:jc w:val="center"/>
              <w:rPr>
                <w:rFonts w:cs="Calibri"/>
                <w:b/>
                <w:bCs/>
                <w:color w:val="000000"/>
                <w:sz w:val="16"/>
                <w:szCs w:val="16"/>
                <w:lang w:eastAsia="es-ES"/>
              </w:rPr>
            </w:pPr>
            <w:r w:rsidRPr="00DD0DAD">
              <w:rPr>
                <w:rFonts w:cs="Calibri"/>
                <w:b/>
                <w:bCs/>
                <w:color w:val="000000"/>
                <w:sz w:val="16"/>
                <w:szCs w:val="16"/>
                <w:lang w:eastAsia="es-ES"/>
              </w:rPr>
              <w:t>Commentaires sur les coûts</w:t>
            </w:r>
          </w:p>
        </w:tc>
      </w:tr>
      <w:tr w:rsidR="002B7ABA" w:rsidRPr="00DD0DAD" w14:paraId="122BAC7F" w14:textId="77777777" w:rsidTr="004E6DE8">
        <w:trPr>
          <w:trHeight w:val="294"/>
          <w:jc w:val="center"/>
        </w:trPr>
        <w:tc>
          <w:tcPr>
            <w:tcW w:w="3529"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D0E1305" w14:textId="77777777" w:rsidR="002B7ABA" w:rsidRPr="00DD0DAD" w:rsidRDefault="002B7ABA" w:rsidP="004E6DE8">
            <w:pPr>
              <w:spacing w:before="60" w:after="60"/>
              <w:rPr>
                <w:rFonts w:cs="Calibri"/>
                <w:sz w:val="20"/>
                <w:lang w:eastAsia="es-ES"/>
              </w:rPr>
            </w:pPr>
            <w:r w:rsidRPr="00DD0DAD">
              <w:rPr>
                <w:rFonts w:cs="Calibri"/>
                <w:b/>
                <w:bCs/>
                <w:color w:val="000000"/>
                <w:sz w:val="20"/>
                <w:lang w:eastAsia="es-ES"/>
              </w:rPr>
              <w:t>Continuité des activités</w:t>
            </w:r>
          </w:p>
        </w:tc>
        <w:tc>
          <w:tcPr>
            <w:tcW w:w="2045" w:type="dxa"/>
            <w:tcBorders>
              <w:top w:val="single" w:sz="12" w:space="0" w:color="FFFFFF" w:themeColor="background1"/>
              <w:bottom w:val="single" w:sz="12" w:space="0" w:color="FFFFFF" w:themeColor="background1"/>
            </w:tcBorders>
            <w:shd w:val="clear" w:color="auto" w:fill="D9D9D9" w:themeFill="background1" w:themeFillShade="D9"/>
          </w:tcPr>
          <w:p w14:paraId="4FFCA7EB" w14:textId="77777777" w:rsidR="002B7ABA" w:rsidRPr="00DD0DAD" w:rsidRDefault="002B7ABA" w:rsidP="004E6DE8">
            <w:pPr>
              <w:spacing w:before="60" w:after="60"/>
              <w:jc w:val="center"/>
              <w:rPr>
                <w:rFonts w:cs="Calibri"/>
                <w:sz w:val="16"/>
                <w:szCs w:val="16"/>
                <w:lang w:eastAsia="es-ES"/>
              </w:rPr>
            </w:pPr>
          </w:p>
        </w:tc>
        <w:tc>
          <w:tcPr>
            <w:tcW w:w="2268" w:type="dxa"/>
            <w:tcBorders>
              <w:top w:val="single" w:sz="12" w:space="0" w:color="FFFFFF" w:themeColor="background1"/>
              <w:bottom w:val="single" w:sz="12" w:space="0" w:color="FFFFFF" w:themeColor="background1"/>
            </w:tcBorders>
            <w:shd w:val="clear" w:color="auto" w:fill="D9D9D9" w:themeFill="background1" w:themeFillShade="D9"/>
          </w:tcPr>
          <w:p w14:paraId="2AC2BB03" w14:textId="77777777" w:rsidR="002B7ABA" w:rsidRPr="00DD0DAD" w:rsidRDefault="002B7ABA" w:rsidP="004E6DE8">
            <w:pPr>
              <w:spacing w:before="60" w:after="60"/>
              <w:jc w:val="center"/>
              <w:rPr>
                <w:rFonts w:cs="Calibri"/>
                <w:sz w:val="16"/>
                <w:szCs w:val="16"/>
                <w:lang w:eastAsia="es-ES"/>
              </w:rPr>
            </w:pPr>
          </w:p>
        </w:tc>
        <w:tc>
          <w:tcPr>
            <w:tcW w:w="1074" w:type="dxa"/>
            <w:tcBorders>
              <w:top w:val="single" w:sz="12" w:space="0" w:color="FFFFFF" w:themeColor="background1"/>
              <w:bottom w:val="single" w:sz="12" w:space="0" w:color="FFFFFF" w:themeColor="background1"/>
            </w:tcBorders>
            <w:shd w:val="clear" w:color="auto" w:fill="D9D9D9" w:themeFill="background1" w:themeFillShade="D9"/>
          </w:tcPr>
          <w:p w14:paraId="0B8D375D" w14:textId="77777777" w:rsidR="002B7ABA" w:rsidRPr="00DD0DAD" w:rsidRDefault="002B7ABA" w:rsidP="004E6DE8">
            <w:pPr>
              <w:spacing w:before="60" w:after="60"/>
              <w:jc w:val="center"/>
              <w:rPr>
                <w:rFonts w:cs="Calibri"/>
                <w:sz w:val="16"/>
                <w:szCs w:val="16"/>
                <w:lang w:eastAsia="es-ES"/>
              </w:rPr>
            </w:pPr>
          </w:p>
        </w:tc>
        <w:tc>
          <w:tcPr>
            <w:tcW w:w="850" w:type="dxa"/>
            <w:tcBorders>
              <w:top w:val="single" w:sz="12" w:space="0" w:color="FFFFFF" w:themeColor="background1"/>
              <w:bottom w:val="single" w:sz="12" w:space="0" w:color="FFFFFF" w:themeColor="background1"/>
            </w:tcBorders>
            <w:shd w:val="clear" w:color="auto" w:fill="D9D9D9" w:themeFill="background1" w:themeFillShade="D9"/>
            <w:noWrap/>
          </w:tcPr>
          <w:p w14:paraId="43919306" w14:textId="77777777" w:rsidR="002B7ABA" w:rsidRPr="00DD0DAD" w:rsidRDefault="002B7ABA" w:rsidP="004E6DE8">
            <w:pPr>
              <w:spacing w:before="60" w:after="60"/>
              <w:jc w:val="center"/>
              <w:rPr>
                <w:rFonts w:cs="Calibri"/>
                <w:sz w:val="16"/>
                <w:szCs w:val="16"/>
                <w:lang w:eastAsia="es-ES"/>
              </w:rPr>
            </w:pPr>
          </w:p>
        </w:tc>
        <w:tc>
          <w:tcPr>
            <w:tcW w:w="1134" w:type="dxa"/>
            <w:tcBorders>
              <w:top w:val="single" w:sz="12" w:space="0" w:color="FFFFFF" w:themeColor="background1"/>
              <w:bottom w:val="single" w:sz="12" w:space="0" w:color="FFFFFF" w:themeColor="background1"/>
            </w:tcBorders>
            <w:shd w:val="clear" w:color="auto" w:fill="D9D9D9" w:themeFill="background1" w:themeFillShade="D9"/>
          </w:tcPr>
          <w:p w14:paraId="42C21569" w14:textId="77777777" w:rsidR="002B7ABA" w:rsidRPr="00DD0DAD" w:rsidRDefault="002B7ABA" w:rsidP="004E6DE8">
            <w:pPr>
              <w:spacing w:before="60" w:after="60"/>
              <w:rPr>
                <w:rFonts w:cs="Calibri"/>
                <w:sz w:val="16"/>
                <w:szCs w:val="16"/>
                <w:lang w:eastAsia="es-ES"/>
              </w:rPr>
            </w:pPr>
          </w:p>
        </w:tc>
        <w:tc>
          <w:tcPr>
            <w:tcW w:w="327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ABC3AE2" w14:textId="77777777" w:rsidR="002B7ABA" w:rsidRPr="00DD0DAD" w:rsidRDefault="002B7ABA" w:rsidP="004E6DE8">
            <w:pPr>
              <w:spacing w:before="60" w:after="60"/>
              <w:rPr>
                <w:rFonts w:cs="Calibri"/>
                <w:sz w:val="16"/>
                <w:szCs w:val="16"/>
                <w:lang w:eastAsia="es-ES"/>
              </w:rPr>
            </w:pPr>
          </w:p>
        </w:tc>
      </w:tr>
      <w:tr w:rsidR="002B7ABA" w:rsidRPr="00DD0DAD" w14:paraId="7FDFAC98" w14:textId="77777777" w:rsidTr="004E6DE8">
        <w:trPr>
          <w:trHeight w:val="1059"/>
          <w:jc w:val="center"/>
        </w:trPr>
        <w:tc>
          <w:tcPr>
            <w:tcW w:w="865" w:type="dxa"/>
            <w:tcBorders>
              <w:top w:val="single" w:sz="12" w:space="0" w:color="FFFFFF" w:themeColor="background1"/>
              <w:left w:val="single" w:sz="4" w:space="0" w:color="BFBFBF"/>
              <w:bottom w:val="single" w:sz="4" w:space="0" w:color="A6A6A6" w:themeColor="background1" w:themeShade="A6"/>
              <w:right w:val="single" w:sz="4" w:space="0" w:color="BFBFBF"/>
            </w:tcBorders>
            <w:shd w:val="clear" w:color="auto" w:fill="auto"/>
          </w:tcPr>
          <w:p w14:paraId="3085470D" w14:textId="77777777" w:rsidR="002B7ABA" w:rsidRPr="00DD0DAD" w:rsidRDefault="002B7ABA" w:rsidP="004E6DE8">
            <w:pPr>
              <w:spacing w:before="60" w:after="60"/>
              <w:rPr>
                <w:rFonts w:cs="Calibri"/>
                <w:sz w:val="16"/>
                <w:szCs w:val="16"/>
                <w:lang w:eastAsia="es-ES"/>
              </w:rPr>
            </w:pPr>
            <w:r w:rsidRPr="00DD0DAD">
              <w:rPr>
                <w:rFonts w:cs="Calibri"/>
                <w:sz w:val="16"/>
                <w:szCs w:val="16"/>
                <w:lang w:eastAsia="es-ES"/>
              </w:rPr>
              <w:t>104/066</w:t>
            </w:r>
          </w:p>
        </w:tc>
        <w:tc>
          <w:tcPr>
            <w:tcW w:w="2664" w:type="dxa"/>
            <w:tcBorders>
              <w:top w:val="single" w:sz="12" w:space="0" w:color="FFFFFF" w:themeColor="background1"/>
              <w:left w:val="nil"/>
              <w:bottom w:val="single" w:sz="4" w:space="0" w:color="A6A6A6" w:themeColor="background1" w:themeShade="A6"/>
              <w:right w:val="single" w:sz="4" w:space="0" w:color="BFBFBF"/>
            </w:tcBorders>
            <w:shd w:val="clear" w:color="auto" w:fill="auto"/>
          </w:tcPr>
          <w:p w14:paraId="04037912" w14:textId="38D1986F" w:rsidR="002B7ABA" w:rsidRPr="00DD0DAD" w:rsidRDefault="002B7ABA" w:rsidP="004E6DE8">
            <w:pPr>
              <w:spacing w:before="60" w:after="60"/>
              <w:rPr>
                <w:rFonts w:cs="Calibri"/>
                <w:sz w:val="16"/>
                <w:szCs w:val="16"/>
                <w:lang w:eastAsia="es-ES"/>
              </w:rPr>
            </w:pPr>
            <w:r w:rsidRPr="00DD0DAD">
              <w:rPr>
                <w:rFonts w:cs="Calibri"/>
                <w:sz w:val="16"/>
                <w:szCs w:val="16"/>
                <w:lang w:eastAsia="es-ES"/>
              </w:rPr>
              <w:t>Indisponibilité d</w:t>
            </w:r>
            <w:r w:rsidR="004E6DE8">
              <w:rPr>
                <w:rFonts w:cs="Calibri"/>
                <w:sz w:val="16"/>
                <w:szCs w:val="16"/>
                <w:lang w:eastAsia="es-ES"/>
              </w:rPr>
              <w:t>'</w:t>
            </w:r>
            <w:r w:rsidRPr="00DD0DAD">
              <w:rPr>
                <w:rFonts w:cs="Calibri"/>
                <w:sz w:val="16"/>
                <w:szCs w:val="16"/>
                <w:lang w:eastAsia="es-ES"/>
              </w:rPr>
              <w:t>installations de conférence pour accueillir toutes les réunions des commissions d</w:t>
            </w:r>
            <w:r w:rsidR="004E6DE8">
              <w:rPr>
                <w:rFonts w:cs="Calibri"/>
                <w:sz w:val="16"/>
                <w:szCs w:val="16"/>
                <w:lang w:eastAsia="es-ES"/>
              </w:rPr>
              <w:t>'</w:t>
            </w:r>
            <w:r w:rsidRPr="00DD0DAD">
              <w:rPr>
                <w:rFonts w:cs="Calibri"/>
                <w:sz w:val="16"/>
                <w:szCs w:val="16"/>
                <w:lang w:eastAsia="es-ES"/>
              </w:rPr>
              <w:t>études</w:t>
            </w:r>
            <w:r w:rsidR="00540133">
              <w:rPr>
                <w:rFonts w:cs="Calibri"/>
                <w:sz w:val="16"/>
                <w:szCs w:val="16"/>
                <w:lang w:eastAsia="es-ES"/>
              </w:rPr>
              <w:t>, des groupes de travail, des groupes du Rapporteur et d</w:t>
            </w:r>
            <w:r w:rsidR="004E6DE8">
              <w:rPr>
                <w:rFonts w:cs="Calibri"/>
                <w:sz w:val="16"/>
                <w:szCs w:val="16"/>
                <w:lang w:eastAsia="es-ES"/>
              </w:rPr>
              <w:t>'</w:t>
            </w:r>
            <w:r w:rsidR="00540133">
              <w:rPr>
                <w:rFonts w:cs="Calibri"/>
                <w:sz w:val="16"/>
                <w:szCs w:val="16"/>
                <w:lang w:eastAsia="es-ES"/>
              </w:rPr>
              <w:t>autres groupes (réunions techniques)</w:t>
            </w:r>
            <w:r w:rsidRPr="00DD0DAD">
              <w:rPr>
                <w:rFonts w:cs="Calibri"/>
                <w:sz w:val="16"/>
                <w:szCs w:val="16"/>
                <w:lang w:eastAsia="es-ES"/>
              </w:rPr>
              <w:t xml:space="preserve"> à Genève durant la période de construction in</w:t>
            </w:r>
            <w:r w:rsidR="00DB6D40">
              <w:rPr>
                <w:rFonts w:cs="Calibri"/>
                <w:sz w:val="16"/>
                <w:szCs w:val="16"/>
                <w:lang w:eastAsia="es-ES"/>
              </w:rPr>
              <w:t>itiale (durée </w:t>
            </w:r>
            <w:proofErr w:type="gramStart"/>
            <w:r w:rsidR="00DB6D40">
              <w:rPr>
                <w:rFonts w:cs="Calibri"/>
                <w:sz w:val="16"/>
                <w:szCs w:val="16"/>
                <w:lang w:eastAsia="es-ES"/>
              </w:rPr>
              <w:t>approximative:</w:t>
            </w:r>
            <w:proofErr w:type="gramEnd"/>
            <w:r w:rsidR="00DB6D40">
              <w:rPr>
                <w:rFonts w:cs="Calibri"/>
                <w:sz w:val="16"/>
                <w:szCs w:val="16"/>
                <w:lang w:eastAsia="es-ES"/>
              </w:rPr>
              <w:t xml:space="preserve"> 24 </w:t>
            </w:r>
            <w:r w:rsidRPr="00DD0DAD">
              <w:rPr>
                <w:rFonts w:cs="Calibri"/>
                <w:sz w:val="16"/>
                <w:szCs w:val="16"/>
                <w:lang w:eastAsia="es-ES"/>
              </w:rPr>
              <w:t>mois).</w:t>
            </w:r>
          </w:p>
        </w:tc>
        <w:tc>
          <w:tcPr>
            <w:tcW w:w="2045" w:type="dxa"/>
            <w:tcBorders>
              <w:top w:val="single" w:sz="12" w:space="0" w:color="FFFFFF" w:themeColor="background1"/>
              <w:left w:val="nil"/>
              <w:bottom w:val="single" w:sz="4" w:space="0" w:color="A6A6A6" w:themeColor="background1" w:themeShade="A6"/>
              <w:right w:val="single" w:sz="8" w:space="0" w:color="BFBFBF" w:themeColor="background1" w:themeShade="BF"/>
            </w:tcBorders>
          </w:tcPr>
          <w:p w14:paraId="1448559F" w14:textId="77777777" w:rsidR="002B7ABA" w:rsidRPr="00DD0DAD" w:rsidRDefault="002B7ABA" w:rsidP="004E6DE8">
            <w:pPr>
              <w:spacing w:before="60" w:after="60"/>
              <w:rPr>
                <w:rFonts w:cs="Calibri"/>
                <w:sz w:val="16"/>
                <w:szCs w:val="16"/>
                <w:lang w:eastAsia="es-ES"/>
              </w:rPr>
            </w:pPr>
            <w:r w:rsidRPr="00DD0DAD">
              <w:rPr>
                <w:rFonts w:cs="Calibri"/>
                <w:sz w:val="16"/>
                <w:szCs w:val="16"/>
                <w:lang w:eastAsia="es-ES"/>
              </w:rPr>
              <w:t xml:space="preserve">Démolition du bâtiment de Varembé et indisponibilité des salles de réunion du bâtiment. </w:t>
            </w:r>
          </w:p>
          <w:p w14:paraId="36098370" w14:textId="6F829313" w:rsidR="002B7ABA" w:rsidRPr="00DD0DAD" w:rsidRDefault="002B7ABA" w:rsidP="004E6DE8">
            <w:pPr>
              <w:spacing w:before="60" w:after="60"/>
              <w:rPr>
                <w:rFonts w:cs="Calibri"/>
                <w:sz w:val="16"/>
                <w:szCs w:val="16"/>
                <w:lang w:eastAsia="es-ES"/>
              </w:rPr>
            </w:pPr>
            <w:r w:rsidRPr="00DD0DAD">
              <w:rPr>
                <w:rFonts w:cs="Calibri"/>
                <w:sz w:val="16"/>
                <w:szCs w:val="16"/>
                <w:lang w:eastAsia="es-ES"/>
              </w:rPr>
              <w:t>Impossibilité d</w:t>
            </w:r>
            <w:r w:rsidR="004E6DE8">
              <w:rPr>
                <w:rFonts w:cs="Calibri"/>
                <w:sz w:val="16"/>
                <w:szCs w:val="16"/>
                <w:lang w:eastAsia="es-ES"/>
              </w:rPr>
              <w:t>'</w:t>
            </w:r>
            <w:r w:rsidRPr="00DD0DAD">
              <w:rPr>
                <w:rFonts w:cs="Calibri"/>
                <w:sz w:val="16"/>
                <w:szCs w:val="16"/>
                <w:lang w:eastAsia="es-ES"/>
              </w:rPr>
              <w:t xml:space="preserve">utiliser les salles de réunion de la Tour et de Montbrillant en raison de la poussière et des nuisances sonores. </w:t>
            </w:r>
          </w:p>
          <w:p w14:paraId="26042EE3" w14:textId="77777777" w:rsidR="002B7ABA" w:rsidRPr="00DD0DAD" w:rsidRDefault="002B7ABA" w:rsidP="004E6DE8">
            <w:pPr>
              <w:spacing w:before="60" w:after="60"/>
              <w:rPr>
                <w:rFonts w:cs="Calibri"/>
                <w:sz w:val="16"/>
                <w:szCs w:val="16"/>
                <w:lang w:eastAsia="es-ES"/>
              </w:rPr>
            </w:pPr>
            <w:r w:rsidRPr="00DD0DAD">
              <w:rPr>
                <w:rFonts w:cs="Calibri"/>
                <w:sz w:val="16"/>
                <w:szCs w:val="16"/>
                <w:lang w:eastAsia="es-ES"/>
              </w:rPr>
              <w:t xml:space="preserve">Disponibilité limitée des salles de réunion du CICG. </w:t>
            </w:r>
          </w:p>
          <w:p w14:paraId="09879415" w14:textId="6680A6E2" w:rsidR="002B7ABA" w:rsidRPr="00DD0DAD" w:rsidRDefault="002B7ABA" w:rsidP="004E6DE8">
            <w:pPr>
              <w:spacing w:before="60" w:after="60"/>
              <w:rPr>
                <w:rFonts w:cs="Calibri"/>
                <w:sz w:val="16"/>
                <w:szCs w:val="16"/>
                <w:lang w:eastAsia="es-ES"/>
              </w:rPr>
            </w:pPr>
            <w:r w:rsidRPr="00DD0DAD">
              <w:rPr>
                <w:rFonts w:cs="Calibri"/>
                <w:sz w:val="16"/>
                <w:szCs w:val="16"/>
                <w:lang w:eastAsia="es-ES"/>
              </w:rPr>
              <w:t>Aucune offre ferme de la part de pays hôtes en vue d</w:t>
            </w:r>
            <w:r w:rsidR="004E6DE8">
              <w:rPr>
                <w:rFonts w:cs="Calibri"/>
                <w:sz w:val="16"/>
                <w:szCs w:val="16"/>
                <w:lang w:eastAsia="es-ES"/>
              </w:rPr>
              <w:t>'</w:t>
            </w:r>
            <w:r w:rsidRPr="00DD0DAD">
              <w:rPr>
                <w:rFonts w:cs="Calibri"/>
                <w:sz w:val="16"/>
                <w:szCs w:val="16"/>
                <w:lang w:eastAsia="es-ES"/>
              </w:rPr>
              <w:t>accueillir des réunions de l</w:t>
            </w:r>
            <w:r w:rsidR="004E6DE8">
              <w:rPr>
                <w:rFonts w:cs="Calibri"/>
                <w:sz w:val="16"/>
                <w:szCs w:val="16"/>
                <w:lang w:eastAsia="es-ES"/>
              </w:rPr>
              <w:t>'</w:t>
            </w:r>
            <w:r w:rsidRPr="00DD0DAD">
              <w:rPr>
                <w:rFonts w:cs="Calibri"/>
                <w:sz w:val="16"/>
                <w:szCs w:val="16"/>
                <w:lang w:eastAsia="es-ES"/>
              </w:rPr>
              <w:t xml:space="preserve">UIT durant cette période. </w:t>
            </w:r>
          </w:p>
        </w:tc>
        <w:tc>
          <w:tcPr>
            <w:tcW w:w="2268" w:type="dxa"/>
            <w:tcBorders>
              <w:top w:val="single" w:sz="12" w:space="0" w:color="FFFFFF" w:themeColor="background1"/>
              <w:left w:val="single" w:sz="8" w:space="0" w:color="BFBFBF" w:themeColor="background1" w:themeShade="BF"/>
              <w:bottom w:val="single" w:sz="4" w:space="0" w:color="A6A6A6" w:themeColor="background1" w:themeShade="A6"/>
              <w:right w:val="single" w:sz="8" w:space="0" w:color="BFBFBF" w:themeColor="background1" w:themeShade="BF"/>
            </w:tcBorders>
          </w:tcPr>
          <w:p w14:paraId="3148A666" w14:textId="6FB33789" w:rsidR="002B7ABA" w:rsidRPr="00DD0DAD" w:rsidRDefault="002B7ABA" w:rsidP="004E6DE8">
            <w:pPr>
              <w:spacing w:before="60" w:after="60"/>
              <w:rPr>
                <w:rFonts w:cs="Calibri"/>
                <w:sz w:val="16"/>
                <w:szCs w:val="16"/>
                <w:lang w:eastAsia="es-ES"/>
              </w:rPr>
            </w:pPr>
            <w:r w:rsidRPr="00DD0DAD">
              <w:rPr>
                <w:rFonts w:cs="Calibri"/>
                <w:sz w:val="16"/>
                <w:szCs w:val="16"/>
                <w:lang w:eastAsia="es-ES"/>
              </w:rPr>
              <w:t>Le Département C&amp;P travaille actuellement avec les Secteurs et le Secrétariat général de l</w:t>
            </w:r>
            <w:r w:rsidR="004E6DE8">
              <w:rPr>
                <w:rFonts w:cs="Calibri"/>
                <w:sz w:val="16"/>
                <w:szCs w:val="16"/>
                <w:lang w:eastAsia="es-ES"/>
              </w:rPr>
              <w:t>'</w:t>
            </w:r>
            <w:r w:rsidRPr="00DD0DAD">
              <w:rPr>
                <w:rFonts w:cs="Calibri"/>
                <w:sz w:val="16"/>
                <w:szCs w:val="16"/>
                <w:lang w:eastAsia="es-ES"/>
              </w:rPr>
              <w:t>UIT pour établir le calendrier complet des commissions d</w:t>
            </w:r>
            <w:r w:rsidR="004E6DE8">
              <w:rPr>
                <w:rFonts w:cs="Calibri"/>
                <w:sz w:val="16"/>
                <w:szCs w:val="16"/>
                <w:lang w:eastAsia="es-ES"/>
              </w:rPr>
              <w:t>'</w:t>
            </w:r>
            <w:r w:rsidRPr="00DD0DAD">
              <w:rPr>
                <w:rFonts w:cs="Calibri"/>
                <w:sz w:val="16"/>
                <w:szCs w:val="16"/>
                <w:lang w:eastAsia="es-ES"/>
              </w:rPr>
              <w:t xml:space="preserve">études et des groupes de travail avec les Secteurs. </w:t>
            </w:r>
          </w:p>
          <w:p w14:paraId="4B245672" w14:textId="3EED1A71" w:rsidR="002B7ABA" w:rsidRPr="00DD0DAD" w:rsidRDefault="002B7ABA" w:rsidP="004E6DE8">
            <w:pPr>
              <w:spacing w:before="60" w:after="60"/>
              <w:rPr>
                <w:rFonts w:cs="Calibri"/>
                <w:sz w:val="16"/>
                <w:szCs w:val="16"/>
                <w:lang w:eastAsia="es-ES"/>
              </w:rPr>
            </w:pPr>
            <w:r w:rsidRPr="00DD0DAD">
              <w:rPr>
                <w:rFonts w:cs="Calibri"/>
                <w:sz w:val="16"/>
                <w:szCs w:val="16"/>
                <w:lang w:eastAsia="es-ES"/>
              </w:rPr>
              <w:t>Le Département C&amp;P continue de travailler avec le CICG et la FIPOI pour essayer de trouver plus d</w:t>
            </w:r>
            <w:r w:rsidR="004E6DE8">
              <w:rPr>
                <w:rFonts w:cs="Calibri"/>
                <w:sz w:val="16"/>
                <w:szCs w:val="16"/>
                <w:lang w:eastAsia="es-ES"/>
              </w:rPr>
              <w:t>'</w:t>
            </w:r>
            <w:r w:rsidRPr="00DD0DAD">
              <w:rPr>
                <w:rFonts w:cs="Calibri"/>
                <w:sz w:val="16"/>
                <w:szCs w:val="16"/>
                <w:lang w:eastAsia="es-ES"/>
              </w:rPr>
              <w:t>espaces de réunion au cas où d</w:t>
            </w:r>
            <w:r w:rsidR="004E6DE8">
              <w:rPr>
                <w:rFonts w:cs="Calibri"/>
                <w:sz w:val="16"/>
                <w:szCs w:val="16"/>
                <w:lang w:eastAsia="es-ES"/>
              </w:rPr>
              <w:t>'</w:t>
            </w:r>
            <w:r w:rsidRPr="00DD0DAD">
              <w:rPr>
                <w:rFonts w:cs="Calibri"/>
                <w:sz w:val="16"/>
                <w:szCs w:val="16"/>
                <w:lang w:eastAsia="es-ES"/>
              </w:rPr>
              <w:t xml:space="preserve">autres organisations annuleraient leurs demandes. </w:t>
            </w:r>
          </w:p>
          <w:p w14:paraId="4C152084" w14:textId="2550B6A5" w:rsidR="002B7ABA" w:rsidRPr="00DD0DAD" w:rsidRDefault="002B7ABA" w:rsidP="004E6DE8">
            <w:pPr>
              <w:spacing w:before="60" w:after="60"/>
              <w:rPr>
                <w:rFonts w:cs="Calibri"/>
                <w:sz w:val="16"/>
                <w:szCs w:val="16"/>
                <w:lang w:eastAsia="es-ES"/>
              </w:rPr>
            </w:pPr>
            <w:r w:rsidRPr="00DD0DAD">
              <w:rPr>
                <w:rFonts w:cs="Calibri"/>
                <w:sz w:val="16"/>
                <w:szCs w:val="16"/>
                <w:lang w:eastAsia="es-ES"/>
              </w:rPr>
              <w:t>Utilisation des salles de réunion de la Tour et de Montbrillant pour les réunions des commissions d</w:t>
            </w:r>
            <w:r w:rsidR="004E6DE8">
              <w:rPr>
                <w:rFonts w:cs="Calibri"/>
                <w:sz w:val="16"/>
                <w:szCs w:val="16"/>
                <w:lang w:eastAsia="es-ES"/>
              </w:rPr>
              <w:t>'</w:t>
            </w:r>
            <w:r w:rsidRPr="00DD0DAD">
              <w:rPr>
                <w:rFonts w:cs="Calibri"/>
                <w:sz w:val="16"/>
                <w:szCs w:val="16"/>
                <w:lang w:eastAsia="es-ES"/>
              </w:rPr>
              <w:t>études et des groupes de travail lorsque le niveau de nuisance n</w:t>
            </w:r>
            <w:r w:rsidR="004E6DE8">
              <w:rPr>
                <w:rFonts w:cs="Calibri"/>
                <w:sz w:val="16"/>
                <w:szCs w:val="16"/>
                <w:lang w:eastAsia="es-ES"/>
              </w:rPr>
              <w:t>'</w:t>
            </w:r>
            <w:r w:rsidRPr="00DD0DAD">
              <w:rPr>
                <w:rFonts w:cs="Calibri"/>
                <w:sz w:val="16"/>
                <w:szCs w:val="16"/>
                <w:lang w:eastAsia="es-ES"/>
              </w:rPr>
              <w:t xml:space="preserve">empêche pas cette utilisation. </w:t>
            </w:r>
          </w:p>
          <w:p w14:paraId="618D3E45" w14:textId="7C7C73A3" w:rsidR="002B7ABA" w:rsidRPr="00DD0DAD" w:rsidRDefault="002B7ABA" w:rsidP="004E6DE8">
            <w:pPr>
              <w:spacing w:before="60" w:after="60"/>
              <w:rPr>
                <w:rFonts w:cs="Calibri"/>
                <w:sz w:val="16"/>
                <w:szCs w:val="16"/>
                <w:lang w:eastAsia="es-ES"/>
              </w:rPr>
            </w:pPr>
            <w:r w:rsidRPr="00DD0DAD">
              <w:rPr>
                <w:rFonts w:cs="Calibri"/>
                <w:sz w:val="16"/>
                <w:szCs w:val="16"/>
                <w:lang w:eastAsia="es-ES"/>
              </w:rPr>
              <w:t>Compte tenu du bon déroulement des manifestations virtuelles durant la pandémie de COVID-19, encourager la haute direction à décider d</w:t>
            </w:r>
            <w:r w:rsidR="004E6DE8">
              <w:rPr>
                <w:rFonts w:cs="Calibri"/>
                <w:sz w:val="16"/>
                <w:szCs w:val="16"/>
                <w:lang w:eastAsia="es-ES"/>
              </w:rPr>
              <w:t>'</w:t>
            </w:r>
            <w:r w:rsidRPr="00DD0DAD">
              <w:rPr>
                <w:rFonts w:cs="Calibri"/>
                <w:sz w:val="16"/>
                <w:szCs w:val="16"/>
                <w:lang w:eastAsia="es-ES"/>
              </w:rPr>
              <w:t>organiser les réunions des commissions d</w:t>
            </w:r>
            <w:r w:rsidR="004E6DE8">
              <w:rPr>
                <w:rFonts w:cs="Calibri"/>
                <w:sz w:val="16"/>
                <w:szCs w:val="16"/>
                <w:lang w:eastAsia="es-ES"/>
              </w:rPr>
              <w:t>'</w:t>
            </w:r>
            <w:r w:rsidRPr="00DD0DAD">
              <w:rPr>
                <w:rFonts w:cs="Calibri"/>
                <w:sz w:val="16"/>
                <w:szCs w:val="16"/>
                <w:lang w:eastAsia="es-ES"/>
              </w:rPr>
              <w:t xml:space="preserve">études et des réunions de travail de manière virtuelle. </w:t>
            </w:r>
          </w:p>
          <w:p w14:paraId="029AC080" w14:textId="5BFCC945" w:rsidR="002B7ABA" w:rsidRPr="00DD0DAD" w:rsidRDefault="002B7ABA" w:rsidP="004E6DE8">
            <w:pPr>
              <w:spacing w:before="60" w:after="60"/>
              <w:rPr>
                <w:rFonts w:cs="Calibri"/>
                <w:sz w:val="16"/>
                <w:szCs w:val="16"/>
                <w:lang w:eastAsia="es-ES"/>
              </w:rPr>
            </w:pPr>
            <w:r w:rsidRPr="00DD0DAD">
              <w:rPr>
                <w:rFonts w:cs="Calibri"/>
                <w:sz w:val="16"/>
                <w:szCs w:val="16"/>
                <w:lang w:eastAsia="es-ES"/>
              </w:rPr>
              <w:t xml:space="preserve">Les discussions avec les pays hôtes </w:t>
            </w:r>
            <w:r w:rsidR="00540133">
              <w:rPr>
                <w:rFonts w:cs="Calibri"/>
                <w:sz w:val="16"/>
                <w:szCs w:val="16"/>
                <w:lang w:eastAsia="es-ES"/>
              </w:rPr>
              <w:t xml:space="preserve">potentiels </w:t>
            </w:r>
            <w:r w:rsidRPr="00DD0DAD">
              <w:rPr>
                <w:rFonts w:cs="Calibri"/>
                <w:sz w:val="16"/>
                <w:szCs w:val="16"/>
                <w:lang w:eastAsia="es-ES"/>
              </w:rPr>
              <w:t>ont repris, un appel ayant été lancé afin d</w:t>
            </w:r>
            <w:r w:rsidR="004E6DE8">
              <w:rPr>
                <w:rFonts w:cs="Calibri"/>
                <w:sz w:val="16"/>
                <w:szCs w:val="16"/>
                <w:lang w:eastAsia="es-ES"/>
              </w:rPr>
              <w:t>'</w:t>
            </w:r>
            <w:r w:rsidRPr="00DD0DAD">
              <w:rPr>
                <w:rFonts w:cs="Calibri"/>
                <w:sz w:val="16"/>
                <w:szCs w:val="16"/>
                <w:lang w:eastAsia="es-ES"/>
              </w:rPr>
              <w:t xml:space="preserve">inviter les pays à accueillir les réunions </w:t>
            </w:r>
            <w:r w:rsidR="00540133">
              <w:rPr>
                <w:rFonts w:cs="Calibri"/>
                <w:sz w:val="16"/>
                <w:szCs w:val="16"/>
                <w:lang w:eastAsia="es-ES"/>
              </w:rPr>
              <w:t xml:space="preserve">techniques </w:t>
            </w:r>
            <w:r w:rsidRPr="00DD0DAD">
              <w:rPr>
                <w:rFonts w:cs="Calibri"/>
                <w:sz w:val="16"/>
                <w:szCs w:val="16"/>
                <w:lang w:eastAsia="es-ES"/>
              </w:rPr>
              <w:t>de l</w:t>
            </w:r>
            <w:r w:rsidR="004E6DE8">
              <w:rPr>
                <w:rFonts w:cs="Calibri"/>
                <w:sz w:val="16"/>
                <w:szCs w:val="16"/>
                <w:lang w:eastAsia="es-ES"/>
              </w:rPr>
              <w:t>'</w:t>
            </w:r>
            <w:r w:rsidRPr="00DD0DAD">
              <w:rPr>
                <w:rFonts w:cs="Calibri"/>
                <w:sz w:val="16"/>
                <w:szCs w:val="16"/>
                <w:lang w:eastAsia="es-ES"/>
              </w:rPr>
              <w:t xml:space="preserve">UIT. </w:t>
            </w:r>
            <w:r w:rsidRPr="00DD0DAD">
              <w:rPr>
                <w:rFonts w:cs="Calibri"/>
                <w:sz w:val="16"/>
                <w:szCs w:val="16"/>
                <w:lang w:eastAsia="es-ES"/>
              </w:rPr>
              <w:lastRenderedPageBreak/>
              <w:t>L</w:t>
            </w:r>
            <w:r w:rsidR="004E6DE8">
              <w:rPr>
                <w:rFonts w:cs="Calibri"/>
                <w:sz w:val="16"/>
                <w:szCs w:val="16"/>
                <w:lang w:eastAsia="es-ES"/>
              </w:rPr>
              <w:t>'</w:t>
            </w:r>
            <w:r w:rsidRPr="00DD0DAD">
              <w:rPr>
                <w:rFonts w:cs="Calibri"/>
                <w:sz w:val="16"/>
                <w:szCs w:val="16"/>
                <w:lang w:eastAsia="es-ES"/>
              </w:rPr>
              <w:t>UIT échange actuellement avec plusieurs États Membres ayant manifesté leur intérêt en vue d</w:t>
            </w:r>
            <w:r w:rsidR="004E6DE8">
              <w:rPr>
                <w:rFonts w:cs="Calibri"/>
                <w:sz w:val="16"/>
                <w:szCs w:val="16"/>
                <w:lang w:eastAsia="es-ES"/>
              </w:rPr>
              <w:t>'</w:t>
            </w:r>
            <w:r w:rsidRPr="00DD0DAD">
              <w:rPr>
                <w:rFonts w:cs="Calibri"/>
                <w:sz w:val="16"/>
                <w:szCs w:val="16"/>
                <w:lang w:eastAsia="es-ES"/>
              </w:rPr>
              <w:t>accueillir des réunions de l</w:t>
            </w:r>
            <w:r w:rsidR="004E6DE8">
              <w:rPr>
                <w:rFonts w:cs="Calibri"/>
                <w:sz w:val="16"/>
                <w:szCs w:val="16"/>
                <w:lang w:eastAsia="es-ES"/>
              </w:rPr>
              <w:t>'</w:t>
            </w:r>
            <w:r w:rsidRPr="00DD0DAD">
              <w:rPr>
                <w:rFonts w:cs="Calibri"/>
                <w:sz w:val="16"/>
                <w:szCs w:val="16"/>
                <w:lang w:eastAsia="es-ES"/>
              </w:rPr>
              <w:t xml:space="preserve">UIT, à la suite de cet appel. </w:t>
            </w:r>
          </w:p>
        </w:tc>
        <w:tc>
          <w:tcPr>
            <w:tcW w:w="1074" w:type="dxa"/>
            <w:tcBorders>
              <w:top w:val="single" w:sz="12" w:space="0" w:color="FFFFFF" w:themeColor="background1"/>
              <w:left w:val="single" w:sz="8" w:space="0" w:color="BFBFBF" w:themeColor="background1" w:themeShade="BF"/>
              <w:bottom w:val="single" w:sz="4" w:space="0" w:color="A6A6A6" w:themeColor="background1" w:themeShade="A6"/>
              <w:right w:val="single" w:sz="4" w:space="0" w:color="BFBFBF"/>
            </w:tcBorders>
            <w:shd w:val="clear" w:color="auto" w:fill="auto"/>
          </w:tcPr>
          <w:p w14:paraId="05D7A367" w14:textId="144AC3C1" w:rsidR="002B7ABA" w:rsidRPr="00DD0DAD" w:rsidRDefault="002B7ABA" w:rsidP="004E6DE8">
            <w:pPr>
              <w:spacing w:before="60" w:after="60"/>
              <w:jc w:val="center"/>
              <w:rPr>
                <w:rFonts w:cs="Calibri"/>
                <w:sz w:val="16"/>
                <w:szCs w:val="16"/>
                <w:lang w:eastAsia="es-ES"/>
              </w:rPr>
            </w:pPr>
            <w:r w:rsidRPr="00DD0DAD">
              <w:rPr>
                <w:rFonts w:cs="Calibri"/>
                <w:sz w:val="16"/>
                <w:szCs w:val="16"/>
                <w:lang w:eastAsia="es-ES"/>
              </w:rPr>
              <w:lastRenderedPageBreak/>
              <w:t>0,</w:t>
            </w:r>
            <w:r w:rsidR="000D0ABB">
              <w:rPr>
                <w:rFonts w:cs="Calibri"/>
                <w:sz w:val="16"/>
                <w:szCs w:val="16"/>
                <w:lang w:eastAsia="es-ES"/>
              </w:rPr>
              <w:t>7</w:t>
            </w:r>
            <w:r w:rsidRPr="00DD0DAD">
              <w:rPr>
                <w:rFonts w:cs="Calibri"/>
                <w:sz w:val="16"/>
                <w:szCs w:val="16"/>
                <w:lang w:eastAsia="es-ES"/>
              </w:rPr>
              <w:t>0</w:t>
            </w:r>
          </w:p>
        </w:tc>
        <w:tc>
          <w:tcPr>
            <w:tcW w:w="850" w:type="dxa"/>
            <w:tcBorders>
              <w:top w:val="single" w:sz="12" w:space="0" w:color="FFFFFF" w:themeColor="background1"/>
              <w:left w:val="nil"/>
              <w:bottom w:val="single" w:sz="4" w:space="0" w:color="A6A6A6" w:themeColor="background1" w:themeShade="A6"/>
              <w:right w:val="single" w:sz="4" w:space="0" w:color="BFBFBF"/>
            </w:tcBorders>
            <w:shd w:val="clear" w:color="auto" w:fill="auto"/>
            <w:noWrap/>
          </w:tcPr>
          <w:p w14:paraId="3CA4630A" w14:textId="77777777" w:rsidR="002B7ABA" w:rsidRPr="00DD0DAD" w:rsidRDefault="002B7ABA" w:rsidP="004E6DE8">
            <w:pPr>
              <w:spacing w:before="60" w:after="60"/>
              <w:jc w:val="center"/>
              <w:rPr>
                <w:rFonts w:cs="Calibri"/>
                <w:sz w:val="16"/>
                <w:szCs w:val="16"/>
                <w:lang w:eastAsia="es-ES"/>
              </w:rPr>
            </w:pPr>
            <w:r w:rsidRPr="00DD0DAD">
              <w:rPr>
                <w:rFonts w:cs="Calibri"/>
                <w:sz w:val="16"/>
                <w:szCs w:val="16"/>
                <w:lang w:eastAsia="es-ES"/>
              </w:rPr>
              <w:t>0,80</w:t>
            </w:r>
          </w:p>
        </w:tc>
        <w:tc>
          <w:tcPr>
            <w:tcW w:w="1134" w:type="dxa"/>
            <w:tcBorders>
              <w:top w:val="single" w:sz="12" w:space="0" w:color="FFFFFF" w:themeColor="background1"/>
              <w:left w:val="nil"/>
              <w:bottom w:val="single" w:sz="4" w:space="0" w:color="A6A6A6" w:themeColor="background1" w:themeShade="A6"/>
              <w:right w:val="single" w:sz="4" w:space="0" w:color="BFBFBF"/>
            </w:tcBorders>
            <w:shd w:val="clear" w:color="auto" w:fill="auto"/>
          </w:tcPr>
          <w:p w14:paraId="09783F15" w14:textId="7F1CE7A6" w:rsidR="002B7ABA" w:rsidRPr="00DD0DAD" w:rsidRDefault="000D0ABB" w:rsidP="004E6DE8">
            <w:pPr>
              <w:spacing w:before="60" w:after="60"/>
              <w:jc w:val="center"/>
              <w:rPr>
                <w:rFonts w:cs="Calibri"/>
                <w:sz w:val="16"/>
                <w:szCs w:val="16"/>
                <w:lang w:eastAsia="es-ES"/>
              </w:rPr>
            </w:pPr>
            <w:r>
              <w:rPr>
                <w:rFonts w:cs="Calibri"/>
                <w:sz w:val="16"/>
                <w:szCs w:val="16"/>
                <w:lang w:eastAsia="es-ES"/>
              </w:rPr>
              <w:t>2 385 355</w:t>
            </w:r>
          </w:p>
        </w:tc>
        <w:tc>
          <w:tcPr>
            <w:tcW w:w="3276" w:type="dxa"/>
            <w:tcBorders>
              <w:top w:val="single" w:sz="12" w:space="0" w:color="FFFFFF" w:themeColor="background1"/>
              <w:left w:val="nil"/>
              <w:bottom w:val="single" w:sz="4" w:space="0" w:color="A6A6A6" w:themeColor="background1" w:themeShade="A6"/>
              <w:right w:val="single" w:sz="4" w:space="0" w:color="BFBFBF"/>
            </w:tcBorders>
            <w:shd w:val="clear" w:color="auto" w:fill="auto"/>
          </w:tcPr>
          <w:p w14:paraId="6518C59E" w14:textId="77777777" w:rsidR="002B7ABA" w:rsidRPr="00DD0DAD" w:rsidRDefault="002B7ABA" w:rsidP="004E6DE8">
            <w:pPr>
              <w:spacing w:before="60" w:after="60"/>
              <w:rPr>
                <w:rFonts w:cs="Calibri"/>
                <w:sz w:val="16"/>
                <w:szCs w:val="16"/>
                <w:lang w:eastAsia="es-ES"/>
              </w:rPr>
            </w:pPr>
            <w:r w:rsidRPr="00DD0DAD">
              <w:rPr>
                <w:rFonts w:cs="Calibri"/>
                <w:sz w:val="16"/>
                <w:szCs w:val="16"/>
                <w:lang w:eastAsia="es-ES"/>
              </w:rPr>
              <w:t>Montant minimum pour respecter les exigences UN-MOSS et disposer des salles de conférence du CICG, y compris les installations techniques, les équipements et les opérateurs.</w:t>
            </w:r>
          </w:p>
          <w:p w14:paraId="0262390F" w14:textId="447DC789" w:rsidR="002B7ABA" w:rsidRPr="00DD0DAD" w:rsidRDefault="002B7ABA" w:rsidP="004E6DE8">
            <w:pPr>
              <w:spacing w:before="60" w:after="60"/>
              <w:rPr>
                <w:rFonts w:cs="Calibri"/>
                <w:sz w:val="16"/>
                <w:szCs w:val="16"/>
                <w:lang w:eastAsia="es-ES"/>
              </w:rPr>
            </w:pPr>
            <w:r w:rsidRPr="00DD0DAD">
              <w:rPr>
                <w:rFonts w:cs="Calibri"/>
                <w:sz w:val="16"/>
                <w:szCs w:val="16"/>
                <w:lang w:eastAsia="es-ES"/>
              </w:rPr>
              <w:t>Montant le plus probable correspondant à la mise à disposit</w:t>
            </w:r>
            <w:r w:rsidR="00DB6D40">
              <w:rPr>
                <w:rFonts w:cs="Calibri"/>
                <w:sz w:val="16"/>
                <w:szCs w:val="16"/>
                <w:lang w:eastAsia="es-ES"/>
              </w:rPr>
              <w:t>ion des salles de conférence du </w:t>
            </w:r>
            <w:r w:rsidRPr="00DD0DAD">
              <w:rPr>
                <w:rFonts w:cs="Calibri"/>
                <w:sz w:val="16"/>
                <w:szCs w:val="16"/>
                <w:lang w:eastAsia="es-ES"/>
              </w:rPr>
              <w:t>CICG. Prise en charge des installations techniques, des équipements et opérateurs par l</w:t>
            </w:r>
            <w:r w:rsidR="004E6DE8">
              <w:rPr>
                <w:rFonts w:cs="Calibri"/>
                <w:sz w:val="16"/>
                <w:szCs w:val="16"/>
                <w:lang w:eastAsia="es-ES"/>
              </w:rPr>
              <w:t>'</w:t>
            </w:r>
            <w:r w:rsidRPr="00DD0DAD">
              <w:rPr>
                <w:rFonts w:cs="Calibri"/>
                <w:sz w:val="16"/>
                <w:szCs w:val="16"/>
                <w:lang w:eastAsia="es-ES"/>
              </w:rPr>
              <w:t>UIT pendant deux années.</w:t>
            </w:r>
          </w:p>
          <w:p w14:paraId="0D33B531" w14:textId="7F5C6A9E" w:rsidR="002B7ABA" w:rsidRPr="00DD0DAD" w:rsidRDefault="002B7ABA" w:rsidP="004E6DE8">
            <w:pPr>
              <w:spacing w:before="60" w:after="60"/>
              <w:rPr>
                <w:rFonts w:cs="Calibri"/>
                <w:sz w:val="16"/>
                <w:szCs w:val="16"/>
                <w:lang w:eastAsia="es-ES"/>
              </w:rPr>
            </w:pPr>
            <w:r w:rsidRPr="00DD0DAD">
              <w:rPr>
                <w:rFonts w:cs="Calibri"/>
                <w:sz w:val="16"/>
                <w:szCs w:val="16"/>
                <w:lang w:eastAsia="es-ES"/>
              </w:rPr>
              <w:t>Montant maximum correspondant à la prise en charge par l</w:t>
            </w:r>
            <w:r w:rsidR="004E6DE8">
              <w:rPr>
                <w:rFonts w:cs="Calibri"/>
                <w:sz w:val="16"/>
                <w:szCs w:val="16"/>
                <w:lang w:eastAsia="es-ES"/>
              </w:rPr>
              <w:t>'</w:t>
            </w:r>
            <w:r w:rsidRPr="00DD0DAD">
              <w:rPr>
                <w:rFonts w:cs="Calibri"/>
                <w:sz w:val="16"/>
                <w:szCs w:val="16"/>
                <w:lang w:eastAsia="es-ES"/>
              </w:rPr>
              <w:t>UIT de l</w:t>
            </w:r>
            <w:r w:rsidR="004E6DE8">
              <w:rPr>
                <w:rFonts w:cs="Calibri"/>
                <w:sz w:val="16"/>
                <w:szCs w:val="16"/>
                <w:lang w:eastAsia="es-ES"/>
              </w:rPr>
              <w:t>'</w:t>
            </w:r>
            <w:r w:rsidRPr="00DD0DAD">
              <w:rPr>
                <w:rFonts w:cs="Calibri"/>
                <w:sz w:val="16"/>
                <w:szCs w:val="16"/>
                <w:lang w:eastAsia="es-ES"/>
              </w:rPr>
              <w:t>utilisation des salles de conférence, des installations, des équipements et des opérateurs du CICG.</w:t>
            </w:r>
          </w:p>
          <w:p w14:paraId="13BAC9E2" w14:textId="77777777" w:rsidR="002B7ABA" w:rsidRPr="00DD0DAD" w:rsidRDefault="002B7ABA" w:rsidP="004E6DE8">
            <w:pPr>
              <w:spacing w:before="60" w:after="60"/>
              <w:rPr>
                <w:rFonts w:cs="Calibri"/>
                <w:sz w:val="16"/>
                <w:szCs w:val="16"/>
                <w:lang w:eastAsia="es-ES"/>
              </w:rPr>
            </w:pPr>
            <w:r w:rsidRPr="00DD0DAD">
              <w:rPr>
                <w:rFonts w:cs="Calibri"/>
                <w:sz w:val="16"/>
                <w:szCs w:val="16"/>
                <w:lang w:eastAsia="es-ES"/>
              </w:rPr>
              <w:t>Base de 10 événements annuels et 50 jours/an de location.</w:t>
            </w:r>
          </w:p>
        </w:tc>
      </w:tr>
      <w:tr w:rsidR="000D0ABB" w:rsidRPr="00DD0DAD" w14:paraId="5814AAC2" w14:textId="77777777" w:rsidTr="000D0ABB">
        <w:trPr>
          <w:trHeight w:val="393"/>
          <w:jc w:val="center"/>
        </w:trPr>
        <w:tc>
          <w:tcPr>
            <w:tcW w:w="14176" w:type="dxa"/>
            <w:gridSpan w:val="8"/>
            <w:tcBorders>
              <w:top w:val="single" w:sz="12" w:space="0" w:color="FFFFFF" w:themeColor="background1"/>
              <w:left w:val="single" w:sz="4" w:space="0" w:color="BFBFBF"/>
              <w:bottom w:val="single" w:sz="4" w:space="0" w:color="A6A6A6" w:themeColor="background1" w:themeShade="A6"/>
              <w:right w:val="single" w:sz="4" w:space="0" w:color="BFBFBF"/>
            </w:tcBorders>
            <w:shd w:val="clear" w:color="auto" w:fill="D9D9D9" w:themeFill="background1" w:themeFillShade="D9"/>
          </w:tcPr>
          <w:p w14:paraId="75EE753D" w14:textId="6CEA0906" w:rsidR="000D0ABB" w:rsidRPr="00DD0DAD" w:rsidRDefault="00540133" w:rsidP="004E6DE8">
            <w:pPr>
              <w:keepNext/>
              <w:keepLines/>
              <w:spacing w:before="60" w:after="60"/>
              <w:rPr>
                <w:rFonts w:cs="Calibri"/>
                <w:sz w:val="16"/>
                <w:szCs w:val="16"/>
                <w:lang w:eastAsia="es-ES"/>
              </w:rPr>
            </w:pPr>
            <w:r>
              <w:rPr>
                <w:rFonts w:cs="Calibri"/>
                <w:b/>
                <w:bCs/>
                <w:color w:val="000000"/>
                <w:sz w:val="20"/>
                <w:lang w:eastAsia="es-ES"/>
              </w:rPr>
              <w:t>Gestion du changement</w:t>
            </w:r>
          </w:p>
        </w:tc>
      </w:tr>
      <w:tr w:rsidR="002B7ABA" w:rsidRPr="00DD0DAD" w14:paraId="31C5A766" w14:textId="77777777" w:rsidTr="004E6DE8">
        <w:trPr>
          <w:trHeight w:val="2656"/>
          <w:jc w:val="center"/>
        </w:trPr>
        <w:tc>
          <w:tcPr>
            <w:tcW w:w="865" w:type="dxa"/>
            <w:tcBorders>
              <w:top w:val="single" w:sz="4" w:space="0" w:color="A6A6A6" w:themeColor="background1" w:themeShade="A6"/>
              <w:left w:val="single" w:sz="4" w:space="0" w:color="BFBFBF"/>
              <w:bottom w:val="single" w:sz="4" w:space="0" w:color="BFBFBF"/>
              <w:right w:val="single" w:sz="4" w:space="0" w:color="BFBFBF"/>
            </w:tcBorders>
            <w:shd w:val="clear" w:color="auto" w:fill="auto"/>
          </w:tcPr>
          <w:p w14:paraId="42ED3B71" w14:textId="617E2089" w:rsidR="002B7ABA" w:rsidRPr="00DD0DAD" w:rsidRDefault="000D0ABB" w:rsidP="004E6DE8">
            <w:pPr>
              <w:spacing w:before="60" w:after="60"/>
              <w:rPr>
                <w:rFonts w:cs="Calibri"/>
                <w:sz w:val="16"/>
                <w:szCs w:val="16"/>
                <w:lang w:eastAsia="es-ES"/>
              </w:rPr>
            </w:pPr>
            <w:r>
              <w:rPr>
                <w:rFonts w:cs="Calibri"/>
                <w:sz w:val="16"/>
                <w:szCs w:val="16"/>
                <w:lang w:eastAsia="es-ES"/>
              </w:rPr>
              <w:t>110</w:t>
            </w:r>
          </w:p>
        </w:tc>
        <w:tc>
          <w:tcPr>
            <w:tcW w:w="2664" w:type="dxa"/>
            <w:tcBorders>
              <w:top w:val="single" w:sz="4" w:space="0" w:color="A6A6A6" w:themeColor="background1" w:themeShade="A6"/>
              <w:left w:val="nil"/>
              <w:bottom w:val="single" w:sz="4" w:space="0" w:color="BFBFBF"/>
              <w:right w:val="single" w:sz="4" w:space="0" w:color="BFBFBF"/>
            </w:tcBorders>
            <w:shd w:val="clear" w:color="auto" w:fill="auto"/>
          </w:tcPr>
          <w:p w14:paraId="220E35CB" w14:textId="643D913E" w:rsidR="002B7ABA" w:rsidRPr="007B6472" w:rsidRDefault="00540133" w:rsidP="004E6DE8">
            <w:pPr>
              <w:spacing w:before="60" w:after="60"/>
              <w:rPr>
                <w:rFonts w:cs="Calibri"/>
                <w:sz w:val="16"/>
                <w:szCs w:val="16"/>
                <w:lang w:eastAsia="es-ES"/>
              </w:rPr>
            </w:pPr>
            <w:r w:rsidRPr="007B6472">
              <w:rPr>
                <w:rFonts w:cs="Calibri"/>
                <w:sz w:val="16"/>
                <w:szCs w:val="16"/>
                <w:lang w:eastAsia="es-ES"/>
              </w:rPr>
              <w:t xml:space="preserve">Mise en </w:t>
            </w:r>
            <w:r w:rsidR="00E225FB" w:rsidRPr="007B6472">
              <w:rPr>
                <w:rFonts w:cs="Calibri"/>
                <w:sz w:val="16"/>
                <w:szCs w:val="16"/>
                <w:lang w:eastAsia="es-ES"/>
              </w:rPr>
              <w:t>œuvre</w:t>
            </w:r>
            <w:r w:rsidRPr="007B6472">
              <w:rPr>
                <w:rFonts w:cs="Calibri"/>
                <w:sz w:val="16"/>
                <w:szCs w:val="16"/>
                <w:lang w:eastAsia="es-ES"/>
              </w:rPr>
              <w:t xml:space="preserve"> d</w:t>
            </w:r>
            <w:r w:rsidR="004E6DE8">
              <w:rPr>
                <w:rFonts w:cs="Calibri"/>
                <w:sz w:val="16"/>
                <w:szCs w:val="16"/>
                <w:lang w:eastAsia="es-ES"/>
              </w:rPr>
              <w:t>'</w:t>
            </w:r>
            <w:r w:rsidRPr="007B6472">
              <w:rPr>
                <w:rFonts w:cs="Calibri"/>
                <w:sz w:val="16"/>
                <w:szCs w:val="16"/>
                <w:lang w:eastAsia="es-ES"/>
              </w:rPr>
              <w:t xml:space="preserve">un projet pilote </w:t>
            </w:r>
            <w:r w:rsidR="007B6472" w:rsidRPr="007B6472">
              <w:rPr>
                <w:rFonts w:cs="Calibri"/>
                <w:sz w:val="16"/>
                <w:szCs w:val="16"/>
                <w:lang w:eastAsia="es-ES"/>
              </w:rPr>
              <w:t xml:space="preserve">visant à tester </w:t>
            </w:r>
            <w:r w:rsidR="007B6472">
              <w:rPr>
                <w:rFonts w:cs="Calibri"/>
                <w:sz w:val="16"/>
                <w:szCs w:val="16"/>
                <w:lang w:eastAsia="es-ES"/>
              </w:rPr>
              <w:t>un espace de travail souple/agile afin de susciter l</w:t>
            </w:r>
            <w:r w:rsidR="004E6DE8">
              <w:rPr>
                <w:rFonts w:cs="Calibri"/>
                <w:sz w:val="16"/>
                <w:szCs w:val="16"/>
                <w:lang w:eastAsia="es-ES"/>
              </w:rPr>
              <w:t>'</w:t>
            </w:r>
            <w:r w:rsidR="007B6472">
              <w:rPr>
                <w:rFonts w:cs="Calibri"/>
                <w:sz w:val="16"/>
                <w:szCs w:val="16"/>
                <w:lang w:eastAsia="es-ES"/>
              </w:rPr>
              <w:t>adhésion du personnel</w:t>
            </w:r>
            <w:r w:rsidR="00E121DD">
              <w:rPr>
                <w:rFonts w:cs="Calibri"/>
                <w:sz w:val="16"/>
                <w:szCs w:val="16"/>
                <w:lang w:eastAsia="es-ES"/>
              </w:rPr>
              <w:t>.</w:t>
            </w:r>
          </w:p>
        </w:tc>
        <w:tc>
          <w:tcPr>
            <w:tcW w:w="2045" w:type="dxa"/>
            <w:tcBorders>
              <w:top w:val="single" w:sz="4" w:space="0" w:color="A6A6A6" w:themeColor="background1" w:themeShade="A6"/>
              <w:left w:val="nil"/>
              <w:bottom w:val="single" w:sz="4" w:space="0" w:color="BFBFBF"/>
              <w:right w:val="single" w:sz="8" w:space="0" w:color="BFBFBF" w:themeColor="background1" w:themeShade="BF"/>
            </w:tcBorders>
          </w:tcPr>
          <w:p w14:paraId="3B551D82" w14:textId="56B8DC5D" w:rsidR="002B7ABA" w:rsidRPr="007B6472" w:rsidRDefault="00472730" w:rsidP="004E6DE8">
            <w:pPr>
              <w:spacing w:before="60" w:after="60"/>
              <w:rPr>
                <w:rFonts w:cs="Calibri"/>
                <w:sz w:val="16"/>
                <w:szCs w:val="16"/>
                <w:lang w:eastAsia="es-ES"/>
              </w:rPr>
            </w:pPr>
            <w:r>
              <w:rPr>
                <w:rFonts w:cs="Calibri"/>
                <w:sz w:val="16"/>
                <w:szCs w:val="16"/>
                <w:lang w:eastAsia="es-ES"/>
              </w:rPr>
              <w:t>Absence de f</w:t>
            </w:r>
            <w:r w:rsidR="007B6472" w:rsidRPr="007B6472">
              <w:rPr>
                <w:rFonts w:cs="Calibri"/>
                <w:sz w:val="16"/>
                <w:szCs w:val="16"/>
                <w:lang w:eastAsia="es-ES"/>
              </w:rPr>
              <w:t>inancement manquant</w:t>
            </w:r>
            <w:r w:rsidR="00ED5D6E" w:rsidRPr="007B6472">
              <w:rPr>
                <w:rFonts w:cs="Calibri"/>
                <w:sz w:val="16"/>
                <w:szCs w:val="16"/>
                <w:lang w:eastAsia="es-ES"/>
              </w:rPr>
              <w:t xml:space="preserve"> (</w:t>
            </w:r>
            <w:r w:rsidR="007B6472" w:rsidRPr="007B6472">
              <w:rPr>
                <w:rFonts w:cs="Calibri"/>
                <w:sz w:val="16"/>
                <w:szCs w:val="16"/>
                <w:lang w:eastAsia="es-ES"/>
              </w:rPr>
              <w:t>sous-estimation des coûts indire</w:t>
            </w:r>
            <w:r w:rsidR="007B6472">
              <w:rPr>
                <w:rFonts w:cs="Calibri"/>
                <w:sz w:val="16"/>
                <w:szCs w:val="16"/>
                <w:lang w:eastAsia="es-ES"/>
              </w:rPr>
              <w:t>cts du projet</w:t>
            </w:r>
            <w:r w:rsidR="00ED5D6E" w:rsidRPr="007B6472">
              <w:rPr>
                <w:rFonts w:cs="Calibri"/>
                <w:sz w:val="16"/>
                <w:szCs w:val="16"/>
                <w:lang w:eastAsia="es-ES"/>
              </w:rPr>
              <w:t>)</w:t>
            </w:r>
            <w:r w:rsidR="00E121DD">
              <w:rPr>
                <w:rFonts w:cs="Calibri"/>
                <w:sz w:val="16"/>
                <w:szCs w:val="16"/>
                <w:lang w:eastAsia="es-ES"/>
              </w:rPr>
              <w:t>.</w:t>
            </w:r>
          </w:p>
        </w:tc>
        <w:tc>
          <w:tcPr>
            <w:tcW w:w="2268" w:type="dxa"/>
            <w:tcBorders>
              <w:top w:val="single" w:sz="4" w:space="0" w:color="A6A6A6" w:themeColor="background1" w:themeShade="A6"/>
              <w:left w:val="single" w:sz="8" w:space="0" w:color="BFBFBF" w:themeColor="background1" w:themeShade="BF"/>
              <w:bottom w:val="single" w:sz="4" w:space="0" w:color="BFBFBF"/>
              <w:right w:val="single" w:sz="8" w:space="0" w:color="BFBFBF" w:themeColor="background1" w:themeShade="BF"/>
            </w:tcBorders>
          </w:tcPr>
          <w:p w14:paraId="205471C0" w14:textId="2C61072F" w:rsidR="002B7ABA" w:rsidRPr="007B6472" w:rsidRDefault="007B6472" w:rsidP="004E6DE8">
            <w:pPr>
              <w:spacing w:before="60" w:after="60"/>
              <w:rPr>
                <w:rFonts w:cs="Calibri"/>
                <w:sz w:val="16"/>
                <w:szCs w:val="16"/>
                <w:lang w:eastAsia="es-ES"/>
              </w:rPr>
            </w:pPr>
            <w:r w:rsidRPr="007B6472">
              <w:rPr>
                <w:rFonts w:cs="Calibri"/>
                <w:sz w:val="16"/>
                <w:szCs w:val="16"/>
                <w:lang w:eastAsia="es-ES"/>
              </w:rPr>
              <w:t>Trouver un financement pour la mise</w:t>
            </w:r>
            <w:r>
              <w:rPr>
                <w:rFonts w:cs="Calibri"/>
                <w:sz w:val="16"/>
                <w:szCs w:val="16"/>
                <w:lang w:eastAsia="es-ES"/>
              </w:rPr>
              <w:t xml:space="preserve"> en œuvre d</w:t>
            </w:r>
            <w:r w:rsidR="004E6DE8">
              <w:rPr>
                <w:rFonts w:cs="Calibri"/>
                <w:sz w:val="16"/>
                <w:szCs w:val="16"/>
                <w:lang w:eastAsia="es-ES"/>
              </w:rPr>
              <w:t>'</w:t>
            </w:r>
            <w:r>
              <w:rPr>
                <w:rFonts w:cs="Calibri"/>
                <w:sz w:val="16"/>
                <w:szCs w:val="16"/>
                <w:lang w:eastAsia="es-ES"/>
              </w:rPr>
              <w:t>un projet pilote visant à créer un espace de travail représentatif au deuxième étage du bâtiment</w:t>
            </w:r>
            <w:r w:rsidR="00ED5D6E" w:rsidRPr="007B6472">
              <w:rPr>
                <w:rFonts w:cs="Calibri"/>
                <w:sz w:val="16"/>
                <w:szCs w:val="16"/>
                <w:lang w:eastAsia="es-ES"/>
              </w:rPr>
              <w:t xml:space="preserve"> Montbrillant.</w:t>
            </w:r>
          </w:p>
        </w:tc>
        <w:tc>
          <w:tcPr>
            <w:tcW w:w="1074" w:type="dxa"/>
            <w:tcBorders>
              <w:top w:val="single" w:sz="4" w:space="0" w:color="A6A6A6" w:themeColor="background1" w:themeShade="A6"/>
              <w:left w:val="single" w:sz="8" w:space="0" w:color="BFBFBF" w:themeColor="background1" w:themeShade="BF"/>
              <w:bottom w:val="single" w:sz="4" w:space="0" w:color="BFBFBF"/>
              <w:right w:val="single" w:sz="4" w:space="0" w:color="BFBFBF"/>
            </w:tcBorders>
            <w:shd w:val="clear" w:color="auto" w:fill="auto"/>
          </w:tcPr>
          <w:p w14:paraId="629C90B7" w14:textId="751BD4F2" w:rsidR="002B7ABA" w:rsidRPr="00DD0DAD" w:rsidRDefault="002B7ABA" w:rsidP="004E6DE8">
            <w:pPr>
              <w:spacing w:before="60" w:after="60"/>
              <w:jc w:val="center"/>
              <w:rPr>
                <w:rFonts w:cs="Calibri"/>
                <w:sz w:val="16"/>
                <w:szCs w:val="16"/>
                <w:lang w:eastAsia="es-ES"/>
              </w:rPr>
            </w:pPr>
            <w:r w:rsidRPr="00DD0DAD">
              <w:rPr>
                <w:rFonts w:cs="Calibri"/>
                <w:sz w:val="16"/>
                <w:szCs w:val="16"/>
                <w:lang w:eastAsia="es-ES"/>
              </w:rPr>
              <w:t>0,</w:t>
            </w:r>
            <w:r w:rsidR="00ED5D6E">
              <w:rPr>
                <w:rFonts w:cs="Calibri"/>
                <w:sz w:val="16"/>
                <w:szCs w:val="16"/>
                <w:lang w:eastAsia="es-ES"/>
              </w:rPr>
              <w:t>7</w:t>
            </w:r>
            <w:r w:rsidRPr="00DD0DAD">
              <w:rPr>
                <w:rFonts w:cs="Calibri"/>
                <w:sz w:val="16"/>
                <w:szCs w:val="16"/>
                <w:lang w:eastAsia="es-ES"/>
              </w:rPr>
              <w:t>0</w:t>
            </w:r>
          </w:p>
        </w:tc>
        <w:tc>
          <w:tcPr>
            <w:tcW w:w="850" w:type="dxa"/>
            <w:tcBorders>
              <w:top w:val="single" w:sz="4" w:space="0" w:color="A6A6A6" w:themeColor="background1" w:themeShade="A6"/>
              <w:left w:val="nil"/>
              <w:bottom w:val="single" w:sz="4" w:space="0" w:color="BFBFBF"/>
              <w:right w:val="single" w:sz="4" w:space="0" w:color="BFBFBF"/>
            </w:tcBorders>
            <w:shd w:val="clear" w:color="auto" w:fill="auto"/>
            <w:noWrap/>
          </w:tcPr>
          <w:p w14:paraId="2B689EA3" w14:textId="734D5C98" w:rsidR="002B7ABA" w:rsidRPr="00DD0DAD" w:rsidRDefault="002B7ABA" w:rsidP="004E6DE8">
            <w:pPr>
              <w:spacing w:before="60" w:after="60"/>
              <w:jc w:val="center"/>
              <w:rPr>
                <w:rFonts w:cs="Calibri"/>
                <w:sz w:val="16"/>
                <w:szCs w:val="16"/>
                <w:lang w:eastAsia="es-ES"/>
              </w:rPr>
            </w:pPr>
            <w:r w:rsidRPr="00DD0DAD">
              <w:rPr>
                <w:rFonts w:cs="Calibri"/>
                <w:sz w:val="16"/>
                <w:szCs w:val="16"/>
                <w:lang w:eastAsia="es-ES"/>
              </w:rPr>
              <w:t>0,</w:t>
            </w:r>
            <w:r w:rsidR="00ED5D6E">
              <w:rPr>
                <w:rFonts w:cs="Calibri"/>
                <w:sz w:val="16"/>
                <w:szCs w:val="16"/>
                <w:lang w:eastAsia="es-ES"/>
              </w:rPr>
              <w:t>4</w:t>
            </w:r>
            <w:r w:rsidRPr="00DD0DAD">
              <w:rPr>
                <w:rFonts w:cs="Calibri"/>
                <w:sz w:val="16"/>
                <w:szCs w:val="16"/>
                <w:lang w:eastAsia="es-ES"/>
              </w:rPr>
              <w:t>0</w:t>
            </w:r>
          </w:p>
        </w:tc>
        <w:tc>
          <w:tcPr>
            <w:tcW w:w="1134" w:type="dxa"/>
            <w:tcBorders>
              <w:top w:val="single" w:sz="4" w:space="0" w:color="A6A6A6" w:themeColor="background1" w:themeShade="A6"/>
              <w:left w:val="nil"/>
              <w:bottom w:val="single" w:sz="4" w:space="0" w:color="BFBFBF"/>
              <w:right w:val="single" w:sz="4" w:space="0" w:color="BFBFBF"/>
            </w:tcBorders>
            <w:shd w:val="clear" w:color="auto" w:fill="auto"/>
          </w:tcPr>
          <w:p w14:paraId="679AAB1B" w14:textId="0F8065B6" w:rsidR="002B7ABA" w:rsidRPr="00DD0DAD" w:rsidRDefault="00ED5D6E" w:rsidP="004E6DE8">
            <w:pPr>
              <w:spacing w:before="60" w:after="60"/>
              <w:jc w:val="center"/>
              <w:rPr>
                <w:rFonts w:cs="Calibri"/>
                <w:sz w:val="16"/>
                <w:szCs w:val="16"/>
                <w:lang w:eastAsia="es-ES"/>
              </w:rPr>
            </w:pPr>
            <w:r>
              <w:rPr>
                <w:rFonts w:cs="Calibri"/>
                <w:sz w:val="16"/>
                <w:szCs w:val="16"/>
                <w:lang w:eastAsia="es-ES"/>
              </w:rPr>
              <w:t>0</w:t>
            </w:r>
          </w:p>
        </w:tc>
        <w:tc>
          <w:tcPr>
            <w:tcW w:w="3276" w:type="dxa"/>
            <w:tcBorders>
              <w:top w:val="single" w:sz="4" w:space="0" w:color="A6A6A6" w:themeColor="background1" w:themeShade="A6"/>
              <w:left w:val="nil"/>
              <w:bottom w:val="single" w:sz="4" w:space="0" w:color="BFBFBF"/>
              <w:right w:val="single" w:sz="4" w:space="0" w:color="BFBFBF"/>
            </w:tcBorders>
            <w:shd w:val="clear" w:color="auto" w:fill="auto"/>
          </w:tcPr>
          <w:p w14:paraId="3DA65989" w14:textId="505D91DF" w:rsidR="002B7ABA" w:rsidRPr="00DD0DAD" w:rsidRDefault="005525D4" w:rsidP="004E6DE8">
            <w:pPr>
              <w:spacing w:before="60" w:after="60"/>
              <w:rPr>
                <w:rFonts w:cs="Calibri"/>
                <w:sz w:val="16"/>
                <w:szCs w:val="16"/>
                <w:lang w:eastAsia="es-ES"/>
              </w:rPr>
            </w:pPr>
            <w:r>
              <w:rPr>
                <w:rFonts w:cs="Calibri"/>
                <w:sz w:val="16"/>
                <w:szCs w:val="16"/>
                <w:lang w:eastAsia="es-ES"/>
              </w:rPr>
              <w:t xml:space="preserve">Non </w:t>
            </w:r>
            <w:r w:rsidR="00ED5D6E">
              <w:rPr>
                <w:rFonts w:cs="Calibri"/>
                <w:sz w:val="16"/>
                <w:szCs w:val="16"/>
                <w:lang w:eastAsia="es-ES"/>
              </w:rPr>
              <w:t>quantifiable</w:t>
            </w:r>
            <w:r w:rsidR="00E121DD">
              <w:rPr>
                <w:rFonts w:cs="Calibri"/>
                <w:sz w:val="16"/>
                <w:szCs w:val="16"/>
                <w:lang w:eastAsia="es-ES"/>
              </w:rPr>
              <w:t>.</w:t>
            </w:r>
          </w:p>
        </w:tc>
      </w:tr>
      <w:tr w:rsidR="002B7ABA" w:rsidRPr="00DD0DAD" w14:paraId="4F655CC4" w14:textId="77777777" w:rsidTr="004E6DE8">
        <w:trPr>
          <w:trHeight w:val="960"/>
          <w:jc w:val="center"/>
        </w:trPr>
        <w:tc>
          <w:tcPr>
            <w:tcW w:w="865" w:type="dxa"/>
            <w:tcBorders>
              <w:top w:val="single" w:sz="8" w:space="0" w:color="BFBFBF"/>
              <w:left w:val="single" w:sz="4" w:space="0" w:color="BFBFBF"/>
              <w:bottom w:val="single" w:sz="4" w:space="0" w:color="BFBFBF"/>
              <w:right w:val="single" w:sz="8" w:space="0" w:color="BFBFBF"/>
            </w:tcBorders>
            <w:shd w:val="clear" w:color="auto" w:fill="auto"/>
          </w:tcPr>
          <w:p w14:paraId="63DC66B9" w14:textId="2B05CAC9" w:rsidR="002B7ABA" w:rsidRPr="00DD0DAD" w:rsidRDefault="005525D4" w:rsidP="004E6DE8">
            <w:pPr>
              <w:spacing w:before="60" w:after="60"/>
              <w:rPr>
                <w:rFonts w:cs="Calibri"/>
                <w:sz w:val="16"/>
                <w:szCs w:val="16"/>
                <w:lang w:eastAsia="es-ES"/>
              </w:rPr>
            </w:pPr>
            <w:r>
              <w:rPr>
                <w:rFonts w:cs="Calibri"/>
                <w:sz w:val="16"/>
                <w:szCs w:val="16"/>
                <w:lang w:eastAsia="es-ES"/>
              </w:rPr>
              <w:t>111</w:t>
            </w:r>
          </w:p>
        </w:tc>
        <w:tc>
          <w:tcPr>
            <w:tcW w:w="2664" w:type="dxa"/>
            <w:tcBorders>
              <w:top w:val="single" w:sz="8" w:space="0" w:color="BFBFBF"/>
              <w:left w:val="single" w:sz="8" w:space="0" w:color="BFBFBF"/>
              <w:bottom w:val="single" w:sz="4" w:space="0" w:color="BFBFBF"/>
              <w:right w:val="single" w:sz="8" w:space="0" w:color="BFBFBF"/>
            </w:tcBorders>
            <w:shd w:val="clear" w:color="000000" w:fill="FFFFFF"/>
          </w:tcPr>
          <w:p w14:paraId="195DC64A" w14:textId="2FF42E95" w:rsidR="002B7ABA" w:rsidRPr="00DD0DAD" w:rsidRDefault="00472730" w:rsidP="004E6DE8">
            <w:pPr>
              <w:spacing w:before="60" w:after="60"/>
              <w:rPr>
                <w:rFonts w:cs="Calibri"/>
                <w:sz w:val="16"/>
                <w:szCs w:val="16"/>
                <w:lang w:eastAsia="es-ES"/>
              </w:rPr>
            </w:pPr>
            <w:r>
              <w:rPr>
                <w:rFonts w:cs="Calibri"/>
                <w:sz w:val="16"/>
                <w:szCs w:val="16"/>
                <w:lang w:eastAsia="es-ES"/>
              </w:rPr>
              <w:t xml:space="preserve">Absence </w:t>
            </w:r>
            <w:r w:rsidR="007B6472">
              <w:rPr>
                <w:rFonts w:cs="Calibri"/>
                <w:sz w:val="16"/>
                <w:szCs w:val="16"/>
                <w:lang w:eastAsia="es-ES"/>
              </w:rPr>
              <w:t>de politiques et de pratiques visant à appuyer le personnel durant le processus de relogement et dans le cadre des nouvelles méthodes de travail</w:t>
            </w:r>
            <w:r w:rsidR="00E121DD">
              <w:rPr>
                <w:rFonts w:cs="Calibri"/>
                <w:sz w:val="16"/>
                <w:szCs w:val="16"/>
                <w:lang w:eastAsia="es-ES"/>
              </w:rPr>
              <w:t>.</w:t>
            </w:r>
          </w:p>
        </w:tc>
        <w:tc>
          <w:tcPr>
            <w:tcW w:w="2045" w:type="dxa"/>
            <w:tcBorders>
              <w:top w:val="single" w:sz="8" w:space="0" w:color="BFBFBF"/>
              <w:left w:val="single" w:sz="8" w:space="0" w:color="BFBFBF"/>
              <w:bottom w:val="single" w:sz="4" w:space="0" w:color="BFBFBF"/>
              <w:right w:val="single" w:sz="8" w:space="0" w:color="BFBFBF"/>
            </w:tcBorders>
          </w:tcPr>
          <w:p w14:paraId="5AE56EF4" w14:textId="5491EE43" w:rsidR="002B7ABA" w:rsidRPr="007B6472" w:rsidRDefault="00472730" w:rsidP="004E6DE8">
            <w:pPr>
              <w:spacing w:before="60" w:after="60"/>
              <w:rPr>
                <w:rFonts w:cs="Calibri"/>
                <w:sz w:val="16"/>
                <w:szCs w:val="16"/>
                <w:lang w:eastAsia="es-ES"/>
              </w:rPr>
            </w:pPr>
            <w:r>
              <w:rPr>
                <w:rFonts w:cs="Calibri"/>
                <w:sz w:val="16"/>
                <w:szCs w:val="16"/>
                <w:lang w:eastAsia="es-ES"/>
              </w:rPr>
              <w:t>Absence de f</w:t>
            </w:r>
            <w:r w:rsidR="007B6472" w:rsidRPr="007B6472">
              <w:rPr>
                <w:rFonts w:cs="Calibri"/>
                <w:sz w:val="16"/>
                <w:szCs w:val="16"/>
                <w:lang w:eastAsia="es-ES"/>
              </w:rPr>
              <w:t>inancement manquant (sous-estimation des coûts indirects du projet)</w:t>
            </w:r>
            <w:r w:rsidR="00E121DD">
              <w:rPr>
                <w:rFonts w:cs="Calibri"/>
                <w:sz w:val="16"/>
                <w:szCs w:val="16"/>
                <w:lang w:eastAsia="es-ES"/>
              </w:rPr>
              <w:t>.</w:t>
            </w:r>
          </w:p>
        </w:tc>
        <w:tc>
          <w:tcPr>
            <w:tcW w:w="2268" w:type="dxa"/>
            <w:tcBorders>
              <w:top w:val="single" w:sz="8" w:space="0" w:color="BFBFBF"/>
              <w:left w:val="single" w:sz="8" w:space="0" w:color="BFBFBF"/>
              <w:bottom w:val="single" w:sz="4" w:space="0" w:color="BFBFBF"/>
              <w:right w:val="single" w:sz="8" w:space="0" w:color="BFBFBF"/>
            </w:tcBorders>
          </w:tcPr>
          <w:p w14:paraId="67568F2E" w14:textId="08D8D104" w:rsidR="002B7ABA" w:rsidRPr="00DE5ADB" w:rsidRDefault="007B6472" w:rsidP="004E6DE8">
            <w:pPr>
              <w:spacing w:before="60" w:after="60"/>
              <w:rPr>
                <w:rFonts w:cs="Calibri"/>
                <w:sz w:val="16"/>
                <w:szCs w:val="16"/>
                <w:lang w:eastAsia="es-ES"/>
              </w:rPr>
            </w:pPr>
            <w:r w:rsidRPr="007B6472">
              <w:rPr>
                <w:rFonts w:cs="Calibri"/>
                <w:sz w:val="16"/>
                <w:szCs w:val="16"/>
                <w:lang w:eastAsia="es-ES"/>
              </w:rPr>
              <w:t>Trouver un financement pour l</w:t>
            </w:r>
            <w:r w:rsidR="004E6DE8">
              <w:rPr>
                <w:rFonts w:cs="Calibri"/>
                <w:sz w:val="16"/>
                <w:szCs w:val="16"/>
                <w:lang w:eastAsia="es-ES"/>
              </w:rPr>
              <w:t>'</w:t>
            </w:r>
            <w:r w:rsidRPr="007B6472">
              <w:rPr>
                <w:rFonts w:cs="Calibri"/>
                <w:sz w:val="16"/>
                <w:szCs w:val="16"/>
                <w:lang w:eastAsia="es-ES"/>
              </w:rPr>
              <w:t>éla</w:t>
            </w:r>
            <w:r>
              <w:rPr>
                <w:rFonts w:cs="Calibri"/>
                <w:sz w:val="16"/>
                <w:szCs w:val="16"/>
                <w:lang w:eastAsia="es-ES"/>
              </w:rPr>
              <w:t>boration de politiques et de pratiques visant à appuyer le Département HRMD en vue d</w:t>
            </w:r>
            <w:r w:rsidR="004E6DE8">
              <w:rPr>
                <w:rFonts w:cs="Calibri"/>
                <w:sz w:val="16"/>
                <w:szCs w:val="16"/>
                <w:lang w:eastAsia="es-ES"/>
              </w:rPr>
              <w:t>'</w:t>
            </w:r>
            <w:r>
              <w:rPr>
                <w:rFonts w:cs="Calibri"/>
                <w:sz w:val="16"/>
                <w:szCs w:val="16"/>
                <w:lang w:eastAsia="es-ES"/>
              </w:rPr>
              <w:t>élaborer de nouvelles méthodes de travail.</w:t>
            </w:r>
          </w:p>
        </w:tc>
        <w:tc>
          <w:tcPr>
            <w:tcW w:w="1074" w:type="dxa"/>
            <w:tcBorders>
              <w:top w:val="single" w:sz="8" w:space="0" w:color="BFBFBF"/>
              <w:left w:val="single" w:sz="8" w:space="0" w:color="BFBFBF"/>
              <w:bottom w:val="single" w:sz="4" w:space="0" w:color="BFBFBF"/>
              <w:right w:val="single" w:sz="8" w:space="0" w:color="BFBFBF"/>
            </w:tcBorders>
            <w:shd w:val="clear" w:color="auto" w:fill="auto"/>
          </w:tcPr>
          <w:p w14:paraId="7EBFCE2B" w14:textId="77777777" w:rsidR="002B7ABA" w:rsidRPr="00DD0DAD" w:rsidRDefault="002B7ABA" w:rsidP="004E6DE8">
            <w:pPr>
              <w:spacing w:before="60" w:after="60"/>
              <w:jc w:val="center"/>
              <w:rPr>
                <w:rFonts w:cs="Calibri"/>
                <w:sz w:val="16"/>
                <w:szCs w:val="16"/>
                <w:lang w:eastAsia="es-ES"/>
              </w:rPr>
            </w:pPr>
            <w:r w:rsidRPr="00DD0DAD">
              <w:rPr>
                <w:rFonts w:cs="Calibri"/>
                <w:sz w:val="16"/>
                <w:szCs w:val="16"/>
                <w:lang w:eastAsia="es-ES"/>
              </w:rPr>
              <w:t>0,70</w:t>
            </w:r>
          </w:p>
        </w:tc>
        <w:tc>
          <w:tcPr>
            <w:tcW w:w="850" w:type="dxa"/>
            <w:tcBorders>
              <w:top w:val="single" w:sz="8" w:space="0" w:color="BFBFBF"/>
              <w:left w:val="single" w:sz="8" w:space="0" w:color="BFBFBF"/>
              <w:bottom w:val="single" w:sz="4" w:space="0" w:color="BFBFBF"/>
              <w:right w:val="single" w:sz="8" w:space="0" w:color="BFBFBF"/>
            </w:tcBorders>
            <w:shd w:val="clear" w:color="auto" w:fill="auto"/>
            <w:noWrap/>
          </w:tcPr>
          <w:p w14:paraId="1F554E7F" w14:textId="77777777" w:rsidR="002B7ABA" w:rsidRPr="00DD0DAD" w:rsidRDefault="002B7ABA" w:rsidP="004E6DE8">
            <w:pPr>
              <w:spacing w:before="60" w:after="60"/>
              <w:jc w:val="center"/>
              <w:rPr>
                <w:rFonts w:cs="Calibri"/>
                <w:sz w:val="16"/>
                <w:szCs w:val="16"/>
                <w:lang w:eastAsia="es-ES"/>
              </w:rPr>
            </w:pPr>
            <w:r w:rsidRPr="00DD0DAD">
              <w:rPr>
                <w:rFonts w:cs="Calibri"/>
                <w:sz w:val="16"/>
                <w:szCs w:val="16"/>
                <w:lang w:eastAsia="es-ES"/>
              </w:rPr>
              <w:t>0,40</w:t>
            </w:r>
          </w:p>
        </w:tc>
        <w:tc>
          <w:tcPr>
            <w:tcW w:w="1134" w:type="dxa"/>
            <w:tcBorders>
              <w:top w:val="single" w:sz="8" w:space="0" w:color="BFBFBF"/>
              <w:left w:val="single" w:sz="8" w:space="0" w:color="BFBFBF"/>
              <w:bottom w:val="single" w:sz="4" w:space="0" w:color="BFBFBF"/>
              <w:right w:val="single" w:sz="8" w:space="0" w:color="BFBFBF"/>
            </w:tcBorders>
            <w:shd w:val="clear" w:color="auto" w:fill="auto"/>
          </w:tcPr>
          <w:p w14:paraId="26B10FD1" w14:textId="47199A29" w:rsidR="002B7ABA" w:rsidRPr="00DD0DAD" w:rsidRDefault="005525D4" w:rsidP="004E6DE8">
            <w:pPr>
              <w:spacing w:before="60" w:after="60"/>
              <w:jc w:val="center"/>
              <w:rPr>
                <w:rFonts w:cs="Calibri"/>
                <w:sz w:val="16"/>
                <w:szCs w:val="16"/>
                <w:lang w:eastAsia="es-ES"/>
              </w:rPr>
            </w:pPr>
            <w:r>
              <w:rPr>
                <w:rFonts w:cs="Calibri"/>
                <w:sz w:val="16"/>
                <w:szCs w:val="16"/>
                <w:lang w:eastAsia="es-ES"/>
              </w:rPr>
              <w:t>0</w:t>
            </w:r>
          </w:p>
        </w:tc>
        <w:tc>
          <w:tcPr>
            <w:tcW w:w="3276" w:type="dxa"/>
            <w:tcBorders>
              <w:top w:val="single" w:sz="8" w:space="0" w:color="BFBFBF"/>
              <w:left w:val="single" w:sz="8" w:space="0" w:color="BFBFBF"/>
              <w:bottom w:val="single" w:sz="4" w:space="0" w:color="BFBFBF"/>
              <w:right w:val="single" w:sz="4" w:space="0" w:color="BFBFBF"/>
            </w:tcBorders>
            <w:shd w:val="clear" w:color="000000" w:fill="FFFFFF"/>
          </w:tcPr>
          <w:p w14:paraId="71B888CF" w14:textId="656718DB" w:rsidR="002B7ABA" w:rsidRPr="00DD0DAD" w:rsidRDefault="005525D4" w:rsidP="004E6DE8">
            <w:pPr>
              <w:spacing w:before="60" w:after="60"/>
              <w:rPr>
                <w:rFonts w:cs="Calibri"/>
                <w:sz w:val="16"/>
                <w:szCs w:val="16"/>
                <w:lang w:eastAsia="es-ES"/>
              </w:rPr>
            </w:pPr>
            <w:r w:rsidRPr="00DD0DAD">
              <w:rPr>
                <w:rFonts w:cs="Calibri"/>
                <w:sz w:val="16"/>
                <w:szCs w:val="16"/>
                <w:lang w:eastAsia="es-ES"/>
              </w:rPr>
              <w:t>Non quantifiable</w:t>
            </w:r>
            <w:r w:rsidR="00E121DD">
              <w:rPr>
                <w:rFonts w:cs="Calibri"/>
                <w:sz w:val="16"/>
                <w:szCs w:val="16"/>
                <w:lang w:eastAsia="es-ES"/>
              </w:rPr>
              <w:t>.</w:t>
            </w:r>
          </w:p>
        </w:tc>
      </w:tr>
      <w:tr w:rsidR="002B7ABA" w:rsidRPr="00DD0DAD" w14:paraId="100889E4" w14:textId="77777777" w:rsidTr="004E6DE8">
        <w:trPr>
          <w:trHeight w:val="480"/>
          <w:jc w:val="center"/>
        </w:trPr>
        <w:tc>
          <w:tcPr>
            <w:tcW w:w="14176" w:type="dxa"/>
            <w:gridSpan w:val="8"/>
            <w:tcBorders>
              <w:top w:val="single" w:sz="4" w:space="0" w:color="BFBFBF"/>
              <w:left w:val="single" w:sz="4" w:space="0" w:color="BFBFBF"/>
              <w:bottom w:val="single" w:sz="4" w:space="0" w:color="BFBFBF"/>
              <w:right w:val="single" w:sz="4" w:space="0" w:color="BFBFBF"/>
            </w:tcBorders>
            <w:shd w:val="clear" w:color="000000" w:fill="FFFFFF"/>
          </w:tcPr>
          <w:p w14:paraId="7EA4B6DF" w14:textId="77777777" w:rsidR="002B7ABA" w:rsidRPr="00DD0DAD" w:rsidRDefault="002B7ABA" w:rsidP="004E6DE8">
            <w:pPr>
              <w:keepNext/>
              <w:keepLines/>
              <w:spacing w:before="60" w:after="60"/>
              <w:rPr>
                <w:rFonts w:cs="Calibri"/>
                <w:b/>
                <w:sz w:val="20"/>
                <w:lang w:eastAsia="es-ES"/>
              </w:rPr>
            </w:pPr>
            <w:r w:rsidRPr="00DD0DAD">
              <w:rPr>
                <w:rFonts w:cs="Calibri"/>
                <w:b/>
                <w:sz w:val="20"/>
                <w:lang w:eastAsia="es-ES"/>
              </w:rPr>
              <w:lastRenderedPageBreak/>
              <w:t>Financement</w:t>
            </w:r>
          </w:p>
        </w:tc>
      </w:tr>
      <w:tr w:rsidR="002B7ABA" w:rsidRPr="00DD0DAD" w14:paraId="64192CCF" w14:textId="77777777" w:rsidTr="004E6DE8">
        <w:trPr>
          <w:trHeight w:val="480"/>
          <w:jc w:val="center"/>
        </w:trPr>
        <w:tc>
          <w:tcPr>
            <w:tcW w:w="865" w:type="dxa"/>
            <w:tcBorders>
              <w:top w:val="single" w:sz="4" w:space="0" w:color="BFBFBF"/>
              <w:left w:val="single" w:sz="4" w:space="0" w:color="BFBFBF"/>
              <w:bottom w:val="single" w:sz="4" w:space="0" w:color="BFBFBF"/>
              <w:right w:val="single" w:sz="8" w:space="0" w:color="BFBFBF"/>
            </w:tcBorders>
            <w:shd w:val="clear" w:color="000000" w:fill="FFFFFF"/>
            <w:hideMark/>
          </w:tcPr>
          <w:p w14:paraId="329EB37D" w14:textId="77777777"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108</w:t>
            </w:r>
          </w:p>
        </w:tc>
        <w:tc>
          <w:tcPr>
            <w:tcW w:w="2664" w:type="dxa"/>
            <w:tcBorders>
              <w:top w:val="single" w:sz="4" w:space="0" w:color="BFBFBF"/>
              <w:left w:val="single" w:sz="8" w:space="0" w:color="BFBFBF"/>
              <w:bottom w:val="single" w:sz="4" w:space="0" w:color="BFBFBF"/>
              <w:right w:val="single" w:sz="8" w:space="0" w:color="BFBFBF"/>
            </w:tcBorders>
            <w:shd w:val="clear" w:color="auto" w:fill="auto"/>
            <w:hideMark/>
          </w:tcPr>
          <w:p w14:paraId="0D589D14" w14:textId="35074651"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Taux d</w:t>
            </w:r>
            <w:r w:rsidR="004E6DE8">
              <w:rPr>
                <w:rFonts w:cs="Calibri"/>
                <w:sz w:val="16"/>
                <w:szCs w:val="16"/>
                <w:lang w:eastAsia="es-ES"/>
              </w:rPr>
              <w:t>'</w:t>
            </w:r>
            <w:r w:rsidR="00DB6D40">
              <w:rPr>
                <w:rFonts w:cs="Calibri"/>
                <w:sz w:val="16"/>
                <w:szCs w:val="16"/>
                <w:lang w:eastAsia="es-ES"/>
              </w:rPr>
              <w:t>intérêt</w:t>
            </w:r>
            <w:r w:rsidR="00E121DD">
              <w:rPr>
                <w:rFonts w:cs="Calibri"/>
                <w:sz w:val="16"/>
                <w:szCs w:val="16"/>
                <w:lang w:eastAsia="es-ES"/>
              </w:rPr>
              <w:t xml:space="preserve"> bancaire négatif</w:t>
            </w:r>
            <w:r w:rsidRPr="00DD0DAD">
              <w:rPr>
                <w:rFonts w:cs="Calibri"/>
                <w:sz w:val="16"/>
                <w:szCs w:val="16"/>
                <w:lang w:eastAsia="es-ES"/>
              </w:rPr>
              <w:t xml:space="preserve"> sur les fonds relevant du prêt libellés en francs suisses</w:t>
            </w:r>
            <w:r w:rsidR="00E121DD">
              <w:rPr>
                <w:rFonts w:cs="Calibri"/>
                <w:sz w:val="16"/>
                <w:szCs w:val="16"/>
                <w:lang w:eastAsia="es-ES"/>
              </w:rPr>
              <w:t>.</w:t>
            </w:r>
          </w:p>
        </w:tc>
        <w:tc>
          <w:tcPr>
            <w:tcW w:w="2045" w:type="dxa"/>
            <w:tcBorders>
              <w:top w:val="single" w:sz="4" w:space="0" w:color="BFBFBF"/>
              <w:left w:val="single" w:sz="8" w:space="0" w:color="BFBFBF"/>
              <w:bottom w:val="single" w:sz="4" w:space="0" w:color="BFBFBF"/>
              <w:right w:val="single" w:sz="8" w:space="0" w:color="BFBFBF"/>
            </w:tcBorders>
          </w:tcPr>
          <w:p w14:paraId="1B8EB380" w14:textId="66D322DB"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La Banque nationale suisse (BNS) applique un taux d</w:t>
            </w:r>
            <w:r w:rsidR="004E6DE8">
              <w:rPr>
                <w:rFonts w:cs="Calibri"/>
                <w:sz w:val="16"/>
                <w:szCs w:val="16"/>
                <w:lang w:eastAsia="es-ES"/>
              </w:rPr>
              <w:t>'</w:t>
            </w:r>
            <w:r w:rsidR="00E121DD">
              <w:rPr>
                <w:rFonts w:cs="Calibri"/>
                <w:sz w:val="16"/>
                <w:szCs w:val="16"/>
                <w:lang w:eastAsia="es-ES"/>
              </w:rPr>
              <w:t>intérêt</w:t>
            </w:r>
            <w:r w:rsidRPr="00DD0DAD">
              <w:rPr>
                <w:rFonts w:cs="Calibri"/>
                <w:sz w:val="16"/>
                <w:szCs w:val="16"/>
                <w:lang w:eastAsia="es-ES"/>
              </w:rPr>
              <w:t xml:space="preserve"> de 0,75% sur les montants dépassant un certain seuil. Dans le cas de l</w:t>
            </w:r>
            <w:r w:rsidR="004E6DE8">
              <w:rPr>
                <w:rFonts w:cs="Calibri"/>
                <w:sz w:val="16"/>
                <w:szCs w:val="16"/>
                <w:lang w:eastAsia="es-ES"/>
              </w:rPr>
              <w:t>'</w:t>
            </w:r>
            <w:r w:rsidRPr="00DD0DAD">
              <w:rPr>
                <w:rFonts w:cs="Calibri"/>
                <w:sz w:val="16"/>
                <w:szCs w:val="16"/>
                <w:lang w:eastAsia="es-ES"/>
              </w:rPr>
              <w:t>UIT, ce seuil est de 2,5 millions de CHF</w:t>
            </w:r>
            <w:r w:rsidR="00E121DD">
              <w:rPr>
                <w:rFonts w:cs="Calibri"/>
                <w:sz w:val="16"/>
                <w:szCs w:val="16"/>
                <w:lang w:eastAsia="es-ES"/>
              </w:rPr>
              <w:t>.</w:t>
            </w:r>
          </w:p>
        </w:tc>
        <w:tc>
          <w:tcPr>
            <w:tcW w:w="2268" w:type="dxa"/>
            <w:tcBorders>
              <w:top w:val="single" w:sz="4" w:space="0" w:color="BFBFBF"/>
              <w:left w:val="single" w:sz="8" w:space="0" w:color="BFBFBF"/>
              <w:bottom w:val="single" w:sz="4" w:space="0" w:color="BFBFBF"/>
              <w:right w:val="single" w:sz="8" w:space="0" w:color="BFBFBF"/>
            </w:tcBorders>
          </w:tcPr>
          <w:p w14:paraId="4C8907EC" w14:textId="217A3BB4"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La stratégie concernant une possible atténuation sera définie avec le Département FRMD. Présentation d</w:t>
            </w:r>
            <w:r w:rsidR="004E6DE8">
              <w:rPr>
                <w:rFonts w:cs="Calibri"/>
                <w:sz w:val="16"/>
                <w:szCs w:val="16"/>
                <w:lang w:eastAsia="es-ES"/>
              </w:rPr>
              <w:t>'</w:t>
            </w:r>
            <w:r w:rsidRPr="00DD0DAD">
              <w:rPr>
                <w:rFonts w:cs="Calibri"/>
                <w:sz w:val="16"/>
                <w:szCs w:val="16"/>
                <w:lang w:eastAsia="es-ES"/>
              </w:rPr>
              <w:t>un calendrier de paiement révisé au pays hôte.</w:t>
            </w:r>
          </w:p>
        </w:tc>
        <w:tc>
          <w:tcPr>
            <w:tcW w:w="1074" w:type="dxa"/>
            <w:tcBorders>
              <w:top w:val="single" w:sz="4" w:space="0" w:color="BFBFBF"/>
              <w:left w:val="single" w:sz="8" w:space="0" w:color="BFBFBF"/>
              <w:bottom w:val="single" w:sz="4" w:space="0" w:color="BFBFBF"/>
              <w:right w:val="single" w:sz="8" w:space="0" w:color="BFBFBF"/>
            </w:tcBorders>
            <w:shd w:val="clear" w:color="auto" w:fill="auto"/>
            <w:hideMark/>
          </w:tcPr>
          <w:p w14:paraId="4001BB15" w14:textId="77777777" w:rsidR="002B7ABA" w:rsidRPr="00DD0DAD" w:rsidRDefault="002B7ABA" w:rsidP="004E6DE8">
            <w:pPr>
              <w:keepNext/>
              <w:keepLines/>
              <w:spacing w:before="60" w:after="60"/>
              <w:jc w:val="center"/>
              <w:rPr>
                <w:rFonts w:cs="Calibri"/>
                <w:sz w:val="16"/>
                <w:szCs w:val="16"/>
                <w:lang w:eastAsia="es-ES"/>
              </w:rPr>
            </w:pPr>
            <w:r w:rsidRPr="00DD0DAD">
              <w:rPr>
                <w:rFonts w:cs="Calibri"/>
                <w:sz w:val="16"/>
                <w:szCs w:val="16"/>
                <w:lang w:eastAsia="es-ES"/>
              </w:rPr>
              <w:t>0,90</w:t>
            </w:r>
          </w:p>
        </w:tc>
        <w:tc>
          <w:tcPr>
            <w:tcW w:w="850" w:type="dxa"/>
            <w:tcBorders>
              <w:top w:val="single" w:sz="4" w:space="0" w:color="BFBFBF"/>
              <w:left w:val="single" w:sz="8" w:space="0" w:color="BFBFBF"/>
              <w:bottom w:val="single" w:sz="4" w:space="0" w:color="BFBFBF"/>
              <w:right w:val="single" w:sz="8" w:space="0" w:color="BFBFBF"/>
            </w:tcBorders>
            <w:shd w:val="clear" w:color="auto" w:fill="auto"/>
            <w:noWrap/>
            <w:hideMark/>
          </w:tcPr>
          <w:p w14:paraId="1D72E002" w14:textId="77777777" w:rsidR="002B7ABA" w:rsidRPr="00DD0DAD" w:rsidRDefault="002B7ABA" w:rsidP="004E6DE8">
            <w:pPr>
              <w:keepNext/>
              <w:keepLines/>
              <w:spacing w:before="60" w:after="60"/>
              <w:jc w:val="center"/>
              <w:rPr>
                <w:rFonts w:cs="Calibri"/>
                <w:sz w:val="16"/>
                <w:szCs w:val="16"/>
                <w:lang w:eastAsia="es-ES"/>
              </w:rPr>
            </w:pPr>
            <w:r w:rsidRPr="00DD0DAD">
              <w:rPr>
                <w:rFonts w:cs="Calibri"/>
                <w:sz w:val="16"/>
                <w:szCs w:val="16"/>
                <w:lang w:eastAsia="es-ES"/>
              </w:rPr>
              <w:t>0,20</w:t>
            </w:r>
          </w:p>
        </w:tc>
        <w:tc>
          <w:tcPr>
            <w:tcW w:w="1134" w:type="dxa"/>
            <w:tcBorders>
              <w:top w:val="single" w:sz="4" w:space="0" w:color="BFBFBF"/>
              <w:left w:val="single" w:sz="8" w:space="0" w:color="BFBFBF"/>
              <w:bottom w:val="single" w:sz="4" w:space="0" w:color="BFBFBF"/>
              <w:right w:val="single" w:sz="8" w:space="0" w:color="BFBFBF"/>
            </w:tcBorders>
            <w:shd w:val="clear" w:color="auto" w:fill="auto"/>
            <w:hideMark/>
          </w:tcPr>
          <w:p w14:paraId="5B087C39" w14:textId="77777777" w:rsidR="002B7ABA" w:rsidRPr="00DD0DAD" w:rsidRDefault="002B7ABA" w:rsidP="004E6DE8">
            <w:pPr>
              <w:keepNext/>
              <w:keepLines/>
              <w:spacing w:before="60" w:after="60"/>
              <w:jc w:val="center"/>
              <w:rPr>
                <w:rFonts w:cs="Calibri"/>
                <w:sz w:val="16"/>
                <w:szCs w:val="16"/>
                <w:lang w:eastAsia="es-ES"/>
              </w:rPr>
            </w:pPr>
            <w:r w:rsidRPr="00DD0DAD">
              <w:rPr>
                <w:rFonts w:cs="Calibri"/>
                <w:sz w:val="16"/>
                <w:szCs w:val="16"/>
                <w:lang w:eastAsia="es-ES"/>
              </w:rPr>
              <w:t>85 125</w:t>
            </w:r>
          </w:p>
        </w:tc>
        <w:tc>
          <w:tcPr>
            <w:tcW w:w="3276" w:type="dxa"/>
            <w:tcBorders>
              <w:top w:val="single" w:sz="4" w:space="0" w:color="BFBFBF"/>
              <w:left w:val="single" w:sz="8" w:space="0" w:color="BFBFBF"/>
              <w:bottom w:val="single" w:sz="4" w:space="0" w:color="BFBFBF"/>
              <w:right w:val="single" w:sz="4" w:space="0" w:color="BFBFBF"/>
            </w:tcBorders>
            <w:shd w:val="clear" w:color="000000" w:fill="FFFFFF"/>
          </w:tcPr>
          <w:p w14:paraId="6F928C31" w14:textId="685EDD0B" w:rsidR="002B7ABA" w:rsidRPr="00DD0DAD" w:rsidRDefault="007B6472" w:rsidP="004E6DE8">
            <w:pPr>
              <w:keepNext/>
              <w:keepLines/>
              <w:spacing w:before="60" w:after="60"/>
              <w:rPr>
                <w:rFonts w:cs="Calibri"/>
                <w:sz w:val="16"/>
                <w:szCs w:val="16"/>
                <w:lang w:eastAsia="es-ES"/>
              </w:rPr>
            </w:pPr>
            <w:r>
              <w:rPr>
                <w:rFonts w:cs="Calibri"/>
                <w:sz w:val="16"/>
                <w:szCs w:val="16"/>
                <w:lang w:eastAsia="es-ES"/>
              </w:rPr>
              <w:t>Montants estimés sur la base du</w:t>
            </w:r>
            <w:r w:rsidR="002B7ABA" w:rsidRPr="00DD0DAD">
              <w:rPr>
                <w:rFonts w:cs="Calibri"/>
                <w:sz w:val="16"/>
                <w:szCs w:val="16"/>
                <w:lang w:eastAsia="es-ES"/>
              </w:rPr>
              <w:t xml:space="preserve"> calendrier de paiement pour les demandes de crédits, déduction faite des dépenses connues de l</w:t>
            </w:r>
            <w:r w:rsidR="004E6DE8">
              <w:rPr>
                <w:rFonts w:cs="Calibri"/>
                <w:sz w:val="16"/>
                <w:szCs w:val="16"/>
                <w:lang w:eastAsia="es-ES"/>
              </w:rPr>
              <w:t>'</w:t>
            </w:r>
            <w:r w:rsidR="002B7ABA" w:rsidRPr="00DD0DAD">
              <w:rPr>
                <w:rFonts w:cs="Calibri"/>
                <w:sz w:val="16"/>
                <w:szCs w:val="16"/>
                <w:lang w:eastAsia="es-ES"/>
              </w:rPr>
              <w:t>UIT.</w:t>
            </w:r>
          </w:p>
        </w:tc>
      </w:tr>
      <w:tr w:rsidR="002B7ABA" w:rsidRPr="00DD0DAD" w14:paraId="78D4EE73" w14:textId="77777777" w:rsidTr="004E6DE8">
        <w:trPr>
          <w:trHeight w:val="480"/>
          <w:jc w:val="center"/>
        </w:trPr>
        <w:tc>
          <w:tcPr>
            <w:tcW w:w="865" w:type="dxa"/>
            <w:tcBorders>
              <w:top w:val="single" w:sz="4" w:space="0" w:color="BFBFBF"/>
              <w:left w:val="single" w:sz="4" w:space="0" w:color="BFBFBF"/>
              <w:bottom w:val="single" w:sz="4" w:space="0" w:color="BFBFBF"/>
              <w:right w:val="single" w:sz="8" w:space="0" w:color="BFBFBF"/>
            </w:tcBorders>
            <w:shd w:val="clear" w:color="000000" w:fill="FFFFFF"/>
          </w:tcPr>
          <w:p w14:paraId="34D8E887" w14:textId="77777777"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109</w:t>
            </w:r>
          </w:p>
        </w:tc>
        <w:tc>
          <w:tcPr>
            <w:tcW w:w="2664" w:type="dxa"/>
            <w:tcBorders>
              <w:top w:val="single" w:sz="4" w:space="0" w:color="BFBFBF"/>
              <w:left w:val="single" w:sz="8" w:space="0" w:color="BFBFBF"/>
              <w:bottom w:val="single" w:sz="4" w:space="0" w:color="BFBFBF"/>
              <w:right w:val="single" w:sz="8" w:space="0" w:color="BFBFBF"/>
            </w:tcBorders>
            <w:shd w:val="clear" w:color="auto" w:fill="auto"/>
          </w:tcPr>
          <w:p w14:paraId="005D4908" w14:textId="2E4F9E7C"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Fonds pour le registre des risques non réapprovisionné</w:t>
            </w:r>
            <w:r w:rsidR="00E121DD">
              <w:rPr>
                <w:rFonts w:cs="Calibri"/>
                <w:sz w:val="16"/>
                <w:szCs w:val="16"/>
                <w:lang w:eastAsia="es-ES"/>
              </w:rPr>
              <w:t>.</w:t>
            </w:r>
          </w:p>
        </w:tc>
        <w:tc>
          <w:tcPr>
            <w:tcW w:w="2045" w:type="dxa"/>
            <w:tcBorders>
              <w:top w:val="single" w:sz="4" w:space="0" w:color="BFBFBF"/>
              <w:left w:val="single" w:sz="8" w:space="0" w:color="BFBFBF"/>
              <w:bottom w:val="single" w:sz="4" w:space="0" w:color="BFBFBF"/>
              <w:right w:val="single" w:sz="8" w:space="0" w:color="BFBFBF"/>
            </w:tcBorders>
          </w:tcPr>
          <w:p w14:paraId="15C75E0C" w14:textId="253D0C39"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Aucune économie en fin d</w:t>
            </w:r>
            <w:r w:rsidR="004E6DE8">
              <w:rPr>
                <w:rFonts w:cs="Calibri"/>
                <w:sz w:val="16"/>
                <w:szCs w:val="16"/>
                <w:lang w:eastAsia="es-ES"/>
              </w:rPr>
              <w:t>'</w:t>
            </w:r>
            <w:r w:rsidRPr="00DD0DAD">
              <w:rPr>
                <w:rFonts w:cs="Calibri"/>
                <w:sz w:val="16"/>
                <w:szCs w:val="16"/>
                <w:lang w:eastAsia="es-ES"/>
              </w:rPr>
              <w:t>exercice</w:t>
            </w:r>
            <w:r w:rsidR="00E121DD">
              <w:rPr>
                <w:rFonts w:cs="Calibri"/>
                <w:sz w:val="16"/>
                <w:szCs w:val="16"/>
                <w:lang w:eastAsia="es-ES"/>
              </w:rPr>
              <w:t>.</w:t>
            </w:r>
          </w:p>
        </w:tc>
        <w:tc>
          <w:tcPr>
            <w:tcW w:w="2268" w:type="dxa"/>
            <w:tcBorders>
              <w:top w:val="single" w:sz="4" w:space="0" w:color="BFBFBF"/>
              <w:left w:val="single" w:sz="8" w:space="0" w:color="BFBFBF"/>
              <w:bottom w:val="single" w:sz="4" w:space="0" w:color="BFBFBF"/>
              <w:right w:val="single" w:sz="8" w:space="0" w:color="BFBFBF"/>
            </w:tcBorders>
          </w:tcPr>
          <w:p w14:paraId="1C6FB74C" w14:textId="7663CD45"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La Stratégie concernant une possible atténuation sera définie avec le Département FRMD, afin de dégager des économies et d</w:t>
            </w:r>
            <w:r w:rsidR="004E6DE8">
              <w:rPr>
                <w:rFonts w:cs="Calibri"/>
                <w:sz w:val="16"/>
                <w:szCs w:val="16"/>
                <w:lang w:eastAsia="es-ES"/>
              </w:rPr>
              <w:t>'</w:t>
            </w:r>
            <w:r w:rsidR="00E121DD">
              <w:rPr>
                <w:rFonts w:cs="Calibri"/>
                <w:sz w:val="16"/>
                <w:szCs w:val="16"/>
                <w:lang w:eastAsia="es-ES"/>
              </w:rPr>
              <w:t>équilibrer le budget.</w:t>
            </w:r>
          </w:p>
        </w:tc>
        <w:tc>
          <w:tcPr>
            <w:tcW w:w="1074" w:type="dxa"/>
            <w:tcBorders>
              <w:top w:val="single" w:sz="4" w:space="0" w:color="BFBFBF"/>
              <w:left w:val="single" w:sz="8" w:space="0" w:color="BFBFBF"/>
              <w:bottom w:val="single" w:sz="4" w:space="0" w:color="BFBFBF"/>
              <w:right w:val="single" w:sz="8" w:space="0" w:color="BFBFBF"/>
            </w:tcBorders>
            <w:shd w:val="clear" w:color="auto" w:fill="auto"/>
          </w:tcPr>
          <w:p w14:paraId="04D7A4A7" w14:textId="77777777" w:rsidR="002B7ABA" w:rsidRPr="00DD0DAD" w:rsidRDefault="002B7ABA" w:rsidP="004E6DE8">
            <w:pPr>
              <w:keepNext/>
              <w:keepLines/>
              <w:spacing w:before="60" w:after="60"/>
              <w:jc w:val="center"/>
              <w:rPr>
                <w:rFonts w:cs="Calibri"/>
                <w:sz w:val="16"/>
                <w:szCs w:val="16"/>
                <w:lang w:eastAsia="es-ES"/>
              </w:rPr>
            </w:pPr>
            <w:r w:rsidRPr="00DD0DAD">
              <w:rPr>
                <w:rFonts w:cs="Calibri"/>
                <w:sz w:val="16"/>
                <w:szCs w:val="16"/>
                <w:lang w:eastAsia="es-ES"/>
              </w:rPr>
              <w:t>0,90</w:t>
            </w:r>
          </w:p>
        </w:tc>
        <w:tc>
          <w:tcPr>
            <w:tcW w:w="850" w:type="dxa"/>
            <w:tcBorders>
              <w:top w:val="single" w:sz="4" w:space="0" w:color="BFBFBF"/>
              <w:left w:val="single" w:sz="8" w:space="0" w:color="BFBFBF"/>
              <w:bottom w:val="single" w:sz="4" w:space="0" w:color="BFBFBF"/>
              <w:right w:val="single" w:sz="8" w:space="0" w:color="BFBFBF"/>
            </w:tcBorders>
            <w:shd w:val="clear" w:color="auto" w:fill="auto"/>
            <w:noWrap/>
          </w:tcPr>
          <w:p w14:paraId="5FD44FA4" w14:textId="77777777" w:rsidR="002B7ABA" w:rsidRPr="00DD0DAD" w:rsidRDefault="002B7ABA" w:rsidP="004E6DE8">
            <w:pPr>
              <w:keepNext/>
              <w:keepLines/>
              <w:spacing w:before="60" w:after="60"/>
              <w:jc w:val="center"/>
              <w:rPr>
                <w:rFonts w:cs="Calibri"/>
                <w:sz w:val="16"/>
                <w:szCs w:val="16"/>
                <w:lang w:eastAsia="es-ES"/>
              </w:rPr>
            </w:pPr>
            <w:r w:rsidRPr="00DD0DAD">
              <w:rPr>
                <w:rFonts w:cs="Calibri"/>
                <w:sz w:val="16"/>
                <w:szCs w:val="16"/>
                <w:lang w:eastAsia="es-ES"/>
              </w:rPr>
              <w:t>0,40</w:t>
            </w:r>
          </w:p>
        </w:tc>
        <w:tc>
          <w:tcPr>
            <w:tcW w:w="1134" w:type="dxa"/>
            <w:tcBorders>
              <w:top w:val="single" w:sz="4" w:space="0" w:color="BFBFBF"/>
              <w:left w:val="single" w:sz="8" w:space="0" w:color="BFBFBF"/>
              <w:bottom w:val="single" w:sz="4" w:space="0" w:color="BFBFBF"/>
              <w:right w:val="single" w:sz="8" w:space="0" w:color="BFBFBF"/>
            </w:tcBorders>
            <w:shd w:val="clear" w:color="auto" w:fill="auto"/>
          </w:tcPr>
          <w:p w14:paraId="6F003086" w14:textId="77777777" w:rsidR="002B7ABA" w:rsidRPr="00DD0DAD" w:rsidRDefault="002B7ABA" w:rsidP="004E6DE8">
            <w:pPr>
              <w:keepNext/>
              <w:keepLines/>
              <w:spacing w:before="60" w:after="60"/>
              <w:jc w:val="center"/>
              <w:rPr>
                <w:rFonts w:cs="Calibri"/>
                <w:sz w:val="16"/>
                <w:szCs w:val="16"/>
                <w:lang w:eastAsia="es-ES"/>
              </w:rPr>
            </w:pPr>
            <w:r w:rsidRPr="00DD0DAD">
              <w:rPr>
                <w:rFonts w:cs="Calibri"/>
                <w:sz w:val="16"/>
                <w:szCs w:val="16"/>
                <w:lang w:eastAsia="es-ES"/>
              </w:rPr>
              <w:t>0</w:t>
            </w:r>
          </w:p>
        </w:tc>
        <w:tc>
          <w:tcPr>
            <w:tcW w:w="3276" w:type="dxa"/>
            <w:tcBorders>
              <w:top w:val="single" w:sz="4" w:space="0" w:color="BFBFBF"/>
              <w:left w:val="single" w:sz="8" w:space="0" w:color="BFBFBF"/>
              <w:bottom w:val="single" w:sz="4" w:space="0" w:color="BFBFBF"/>
              <w:right w:val="single" w:sz="4" w:space="0" w:color="BFBFBF"/>
            </w:tcBorders>
            <w:shd w:val="clear" w:color="000000" w:fill="FFFFFF"/>
          </w:tcPr>
          <w:p w14:paraId="75527EBC" w14:textId="09CCA70C"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Non quantifiable</w:t>
            </w:r>
            <w:r w:rsidR="00E121DD">
              <w:rPr>
                <w:rFonts w:cs="Calibri"/>
                <w:sz w:val="16"/>
                <w:szCs w:val="16"/>
                <w:lang w:eastAsia="es-ES"/>
              </w:rPr>
              <w:t>.</w:t>
            </w:r>
          </w:p>
        </w:tc>
      </w:tr>
      <w:tr w:rsidR="005525D4" w:rsidRPr="00086955" w14:paraId="60FA8D46" w14:textId="77777777" w:rsidTr="004E6DE8">
        <w:trPr>
          <w:trHeight w:val="480"/>
          <w:jc w:val="center"/>
        </w:trPr>
        <w:tc>
          <w:tcPr>
            <w:tcW w:w="865" w:type="dxa"/>
            <w:tcBorders>
              <w:top w:val="single" w:sz="4" w:space="0" w:color="BFBFBF"/>
              <w:left w:val="single" w:sz="4" w:space="0" w:color="BFBFBF"/>
              <w:bottom w:val="single" w:sz="4" w:space="0" w:color="BFBFBF"/>
              <w:right w:val="single" w:sz="8" w:space="0" w:color="BFBFBF"/>
            </w:tcBorders>
            <w:shd w:val="clear" w:color="000000" w:fill="FFFFFF"/>
          </w:tcPr>
          <w:p w14:paraId="0F655C50" w14:textId="6FC9EF44" w:rsidR="005525D4" w:rsidRPr="00DD0DAD" w:rsidRDefault="005525D4" w:rsidP="004E6DE8">
            <w:pPr>
              <w:keepNext/>
              <w:keepLines/>
              <w:spacing w:before="60" w:after="60"/>
              <w:rPr>
                <w:rFonts w:cs="Calibri"/>
                <w:sz w:val="16"/>
                <w:szCs w:val="16"/>
                <w:lang w:eastAsia="es-ES"/>
              </w:rPr>
            </w:pPr>
            <w:r>
              <w:rPr>
                <w:rFonts w:cs="Calibri"/>
                <w:sz w:val="16"/>
                <w:szCs w:val="16"/>
                <w:lang w:eastAsia="es-ES"/>
              </w:rPr>
              <w:t>116</w:t>
            </w:r>
          </w:p>
        </w:tc>
        <w:tc>
          <w:tcPr>
            <w:tcW w:w="2664" w:type="dxa"/>
            <w:tcBorders>
              <w:top w:val="single" w:sz="4" w:space="0" w:color="BFBFBF"/>
              <w:left w:val="single" w:sz="8" w:space="0" w:color="BFBFBF"/>
              <w:bottom w:val="single" w:sz="4" w:space="0" w:color="BFBFBF"/>
              <w:right w:val="single" w:sz="8" w:space="0" w:color="BFBFBF"/>
            </w:tcBorders>
            <w:shd w:val="clear" w:color="auto" w:fill="auto"/>
          </w:tcPr>
          <w:p w14:paraId="3E931CB0" w14:textId="09DB1A67" w:rsidR="005525D4" w:rsidRPr="00DD0DAD" w:rsidRDefault="007B6472" w:rsidP="004E6DE8">
            <w:pPr>
              <w:keepNext/>
              <w:keepLines/>
              <w:spacing w:before="60" w:after="60"/>
              <w:rPr>
                <w:rFonts w:cs="Calibri"/>
                <w:sz w:val="16"/>
                <w:szCs w:val="16"/>
                <w:lang w:eastAsia="es-ES"/>
              </w:rPr>
            </w:pPr>
            <w:r>
              <w:rPr>
                <w:rFonts w:cs="Calibri"/>
                <w:sz w:val="16"/>
                <w:szCs w:val="16"/>
                <w:lang w:eastAsia="es-ES"/>
              </w:rPr>
              <w:t xml:space="preserve">Inflation </w:t>
            </w:r>
            <w:r w:rsidR="00F355EF">
              <w:rPr>
                <w:rFonts w:cs="Calibri"/>
                <w:sz w:val="16"/>
                <w:szCs w:val="16"/>
                <w:lang w:eastAsia="es-ES"/>
              </w:rPr>
              <w:t>du prix d</w:t>
            </w:r>
            <w:r>
              <w:rPr>
                <w:rFonts w:cs="Calibri"/>
                <w:sz w:val="16"/>
                <w:szCs w:val="16"/>
                <w:lang w:eastAsia="es-ES"/>
              </w:rPr>
              <w:t>es matières premières</w:t>
            </w:r>
            <w:r w:rsidR="00E121DD">
              <w:rPr>
                <w:rFonts w:cs="Calibri"/>
                <w:sz w:val="16"/>
                <w:szCs w:val="16"/>
                <w:lang w:eastAsia="es-ES"/>
              </w:rPr>
              <w:t>.</w:t>
            </w:r>
          </w:p>
        </w:tc>
        <w:tc>
          <w:tcPr>
            <w:tcW w:w="2045" w:type="dxa"/>
            <w:tcBorders>
              <w:top w:val="single" w:sz="4" w:space="0" w:color="BFBFBF"/>
              <w:left w:val="single" w:sz="8" w:space="0" w:color="BFBFBF"/>
              <w:bottom w:val="single" w:sz="4" w:space="0" w:color="BFBFBF"/>
              <w:right w:val="single" w:sz="8" w:space="0" w:color="BFBFBF"/>
            </w:tcBorders>
          </w:tcPr>
          <w:p w14:paraId="2CC06B8C" w14:textId="708C6C07" w:rsidR="005525D4" w:rsidRPr="007B6472" w:rsidRDefault="007B6472" w:rsidP="004E6DE8">
            <w:pPr>
              <w:keepNext/>
              <w:keepLines/>
              <w:spacing w:before="60" w:after="60"/>
              <w:rPr>
                <w:rFonts w:cs="Calibri"/>
                <w:sz w:val="16"/>
                <w:szCs w:val="16"/>
                <w:lang w:eastAsia="es-ES"/>
              </w:rPr>
            </w:pPr>
            <w:r>
              <w:rPr>
                <w:rFonts w:cs="Calibri"/>
                <w:sz w:val="16"/>
                <w:szCs w:val="16"/>
                <w:lang w:eastAsia="es-ES"/>
              </w:rPr>
              <w:t>Conséquences</w:t>
            </w:r>
            <w:r w:rsidRPr="007B6472">
              <w:rPr>
                <w:rFonts w:cs="Calibri"/>
                <w:sz w:val="16"/>
                <w:szCs w:val="16"/>
                <w:lang w:eastAsia="es-ES"/>
              </w:rPr>
              <w:t xml:space="preserve"> inconnues du contexte géopolitique mondial</w:t>
            </w:r>
            <w:r>
              <w:rPr>
                <w:rFonts w:cs="Calibri"/>
                <w:sz w:val="16"/>
                <w:szCs w:val="16"/>
                <w:lang w:eastAsia="es-ES"/>
              </w:rPr>
              <w:t xml:space="preserve"> actuel</w:t>
            </w:r>
            <w:r w:rsidR="00E121DD">
              <w:rPr>
                <w:rFonts w:cs="Calibri"/>
                <w:sz w:val="16"/>
                <w:szCs w:val="16"/>
                <w:lang w:eastAsia="es-ES"/>
              </w:rPr>
              <w:t>.</w:t>
            </w:r>
          </w:p>
        </w:tc>
        <w:tc>
          <w:tcPr>
            <w:tcW w:w="2268" w:type="dxa"/>
            <w:tcBorders>
              <w:top w:val="single" w:sz="4" w:space="0" w:color="BFBFBF"/>
              <w:left w:val="single" w:sz="8" w:space="0" w:color="BFBFBF"/>
              <w:bottom w:val="single" w:sz="4" w:space="0" w:color="BFBFBF"/>
              <w:right w:val="single" w:sz="8" w:space="0" w:color="BFBFBF"/>
            </w:tcBorders>
          </w:tcPr>
          <w:p w14:paraId="3FC733CA" w14:textId="34629D96" w:rsidR="005525D4" w:rsidRPr="00086955" w:rsidRDefault="00086955" w:rsidP="004E6DE8">
            <w:pPr>
              <w:keepNext/>
              <w:keepLines/>
              <w:spacing w:before="60" w:after="60"/>
              <w:rPr>
                <w:rFonts w:cs="Calibri"/>
                <w:sz w:val="16"/>
                <w:szCs w:val="16"/>
                <w:lang w:eastAsia="es-ES"/>
              </w:rPr>
            </w:pPr>
            <w:r w:rsidRPr="00086955">
              <w:rPr>
                <w:rFonts w:cs="Calibri"/>
                <w:sz w:val="16"/>
                <w:szCs w:val="16"/>
                <w:lang w:eastAsia="es-ES"/>
              </w:rPr>
              <w:t xml:space="preserve">Augmentation du budget avec une provision pour </w:t>
            </w:r>
            <w:r>
              <w:rPr>
                <w:rFonts w:cs="Calibri"/>
                <w:sz w:val="16"/>
                <w:szCs w:val="16"/>
                <w:lang w:eastAsia="es-ES"/>
              </w:rPr>
              <w:t>l</w:t>
            </w:r>
            <w:r w:rsidR="004E6DE8">
              <w:rPr>
                <w:rFonts w:cs="Calibri"/>
                <w:sz w:val="16"/>
                <w:szCs w:val="16"/>
                <w:lang w:eastAsia="es-ES"/>
              </w:rPr>
              <w:t>'</w:t>
            </w:r>
            <w:r>
              <w:rPr>
                <w:rFonts w:cs="Calibri"/>
                <w:sz w:val="16"/>
                <w:szCs w:val="16"/>
                <w:lang w:eastAsia="es-ES"/>
              </w:rPr>
              <w:t>augmentation des coûts</w:t>
            </w:r>
            <w:r w:rsidR="005525D4" w:rsidRPr="00086955">
              <w:rPr>
                <w:rFonts w:cs="Calibri"/>
                <w:sz w:val="16"/>
                <w:szCs w:val="16"/>
                <w:lang w:eastAsia="es-ES"/>
              </w:rPr>
              <w:t xml:space="preserve"> </w:t>
            </w:r>
            <w:r>
              <w:rPr>
                <w:rFonts w:cs="Calibri"/>
                <w:sz w:val="16"/>
                <w:szCs w:val="16"/>
                <w:lang w:eastAsia="es-ES"/>
              </w:rPr>
              <w:t>(</w:t>
            </w:r>
            <w:r w:rsidR="005525D4" w:rsidRPr="00086955">
              <w:rPr>
                <w:rFonts w:cs="Calibri"/>
                <w:sz w:val="16"/>
                <w:szCs w:val="16"/>
                <w:lang w:eastAsia="es-ES"/>
              </w:rPr>
              <w:t>560</w:t>
            </w:r>
            <w:r>
              <w:rPr>
                <w:rFonts w:cs="Calibri"/>
                <w:sz w:val="16"/>
                <w:szCs w:val="16"/>
                <w:lang w:eastAsia="es-ES"/>
              </w:rPr>
              <w:t> 000 CHF</w:t>
            </w:r>
            <w:r w:rsidR="005525D4" w:rsidRPr="00086955">
              <w:rPr>
                <w:rFonts w:cs="Calibri"/>
                <w:sz w:val="16"/>
                <w:szCs w:val="16"/>
                <w:lang w:eastAsia="es-ES"/>
              </w:rPr>
              <w:t>).</w:t>
            </w:r>
          </w:p>
          <w:p w14:paraId="6CEAAB01" w14:textId="70CD8554" w:rsidR="005525D4" w:rsidRPr="00086955" w:rsidRDefault="00086955" w:rsidP="004E6DE8">
            <w:pPr>
              <w:keepNext/>
              <w:keepLines/>
              <w:spacing w:before="60" w:after="60"/>
              <w:rPr>
                <w:rFonts w:cs="Calibri"/>
                <w:sz w:val="16"/>
                <w:szCs w:val="16"/>
                <w:lang w:eastAsia="es-ES"/>
              </w:rPr>
            </w:pPr>
            <w:r w:rsidRPr="00086955">
              <w:rPr>
                <w:rFonts w:cs="Calibri"/>
                <w:sz w:val="16"/>
                <w:szCs w:val="16"/>
                <w:lang w:eastAsia="es-ES"/>
              </w:rPr>
              <w:t>Passer un contrat avec l</w:t>
            </w:r>
            <w:r w:rsidR="004E6DE8">
              <w:rPr>
                <w:rFonts w:cs="Calibri"/>
                <w:sz w:val="16"/>
                <w:szCs w:val="16"/>
                <w:lang w:eastAsia="es-ES"/>
              </w:rPr>
              <w:t>'</w:t>
            </w:r>
            <w:r w:rsidRPr="00086955">
              <w:rPr>
                <w:rFonts w:cs="Calibri"/>
                <w:sz w:val="16"/>
                <w:szCs w:val="16"/>
                <w:lang w:eastAsia="es-ES"/>
              </w:rPr>
              <w:t>entreprise générale à un prix fixe su</w:t>
            </w:r>
            <w:r>
              <w:rPr>
                <w:rFonts w:cs="Calibri"/>
                <w:sz w:val="16"/>
                <w:szCs w:val="16"/>
                <w:lang w:eastAsia="es-ES"/>
              </w:rPr>
              <w:t>r 4 ans (risques et bénéfices</w:t>
            </w:r>
            <w:r w:rsidR="00E225FB">
              <w:rPr>
                <w:rFonts w:cs="Calibri"/>
                <w:sz w:val="16"/>
                <w:szCs w:val="16"/>
                <w:lang w:eastAsia="es-ES"/>
              </w:rPr>
              <w:t xml:space="preserve"> revenant à</w:t>
            </w:r>
            <w:r>
              <w:rPr>
                <w:rFonts w:cs="Calibri"/>
                <w:sz w:val="16"/>
                <w:szCs w:val="16"/>
                <w:lang w:eastAsia="es-ES"/>
              </w:rPr>
              <w:t xml:space="preserve"> l</w:t>
            </w:r>
            <w:r w:rsidR="004E6DE8">
              <w:rPr>
                <w:rFonts w:cs="Calibri"/>
                <w:sz w:val="16"/>
                <w:szCs w:val="16"/>
                <w:lang w:eastAsia="es-ES"/>
              </w:rPr>
              <w:t>'</w:t>
            </w:r>
            <w:r>
              <w:rPr>
                <w:rFonts w:cs="Calibri"/>
                <w:sz w:val="16"/>
                <w:szCs w:val="16"/>
                <w:lang w:eastAsia="es-ES"/>
              </w:rPr>
              <w:t>entreprise générale</w:t>
            </w:r>
            <w:r w:rsidR="005525D4" w:rsidRPr="00086955">
              <w:rPr>
                <w:rFonts w:cs="Calibri"/>
                <w:sz w:val="16"/>
                <w:szCs w:val="16"/>
                <w:lang w:eastAsia="es-ES"/>
              </w:rPr>
              <w:t>).</w:t>
            </w:r>
          </w:p>
        </w:tc>
        <w:tc>
          <w:tcPr>
            <w:tcW w:w="1074" w:type="dxa"/>
            <w:tcBorders>
              <w:top w:val="single" w:sz="4" w:space="0" w:color="BFBFBF"/>
              <w:left w:val="single" w:sz="8" w:space="0" w:color="BFBFBF"/>
              <w:bottom w:val="single" w:sz="4" w:space="0" w:color="BFBFBF"/>
              <w:right w:val="single" w:sz="8" w:space="0" w:color="BFBFBF"/>
            </w:tcBorders>
            <w:shd w:val="clear" w:color="auto" w:fill="auto"/>
          </w:tcPr>
          <w:p w14:paraId="01AF3AB5" w14:textId="13763711" w:rsidR="005525D4" w:rsidRPr="00DD0DAD" w:rsidRDefault="005525D4" w:rsidP="004E6DE8">
            <w:pPr>
              <w:keepNext/>
              <w:keepLines/>
              <w:spacing w:before="60" w:after="60"/>
              <w:jc w:val="center"/>
              <w:rPr>
                <w:rFonts w:cs="Calibri"/>
                <w:sz w:val="16"/>
                <w:szCs w:val="16"/>
                <w:lang w:eastAsia="es-ES"/>
              </w:rPr>
            </w:pPr>
            <w:r>
              <w:rPr>
                <w:rFonts w:cs="Calibri"/>
                <w:sz w:val="16"/>
                <w:szCs w:val="16"/>
                <w:lang w:eastAsia="es-ES"/>
              </w:rPr>
              <w:t>0,70</w:t>
            </w:r>
          </w:p>
        </w:tc>
        <w:tc>
          <w:tcPr>
            <w:tcW w:w="850" w:type="dxa"/>
            <w:tcBorders>
              <w:top w:val="single" w:sz="4" w:space="0" w:color="BFBFBF"/>
              <w:left w:val="single" w:sz="8" w:space="0" w:color="BFBFBF"/>
              <w:bottom w:val="single" w:sz="4" w:space="0" w:color="BFBFBF"/>
              <w:right w:val="single" w:sz="8" w:space="0" w:color="BFBFBF"/>
            </w:tcBorders>
            <w:shd w:val="clear" w:color="auto" w:fill="auto"/>
            <w:noWrap/>
          </w:tcPr>
          <w:p w14:paraId="3A6BD040" w14:textId="1D304160" w:rsidR="005525D4" w:rsidRPr="00DD0DAD" w:rsidRDefault="005525D4" w:rsidP="004E6DE8">
            <w:pPr>
              <w:keepNext/>
              <w:keepLines/>
              <w:spacing w:before="60" w:after="60"/>
              <w:jc w:val="center"/>
              <w:rPr>
                <w:rFonts w:cs="Calibri"/>
                <w:sz w:val="16"/>
                <w:szCs w:val="16"/>
                <w:lang w:eastAsia="es-ES"/>
              </w:rPr>
            </w:pPr>
            <w:r>
              <w:rPr>
                <w:rFonts w:cs="Calibri"/>
                <w:sz w:val="16"/>
                <w:szCs w:val="16"/>
                <w:lang w:eastAsia="es-ES"/>
              </w:rPr>
              <w:t>0,40</w:t>
            </w:r>
          </w:p>
        </w:tc>
        <w:tc>
          <w:tcPr>
            <w:tcW w:w="1134" w:type="dxa"/>
            <w:tcBorders>
              <w:top w:val="single" w:sz="4" w:space="0" w:color="BFBFBF"/>
              <w:left w:val="single" w:sz="8" w:space="0" w:color="BFBFBF"/>
              <w:bottom w:val="single" w:sz="4" w:space="0" w:color="BFBFBF"/>
              <w:right w:val="single" w:sz="8" w:space="0" w:color="BFBFBF"/>
            </w:tcBorders>
            <w:shd w:val="clear" w:color="auto" w:fill="auto"/>
          </w:tcPr>
          <w:p w14:paraId="5520FE51" w14:textId="23760DC7" w:rsidR="005525D4" w:rsidRPr="00DD0DAD" w:rsidRDefault="005525D4" w:rsidP="004E6DE8">
            <w:pPr>
              <w:keepNext/>
              <w:keepLines/>
              <w:spacing w:before="60" w:after="60"/>
              <w:jc w:val="center"/>
              <w:rPr>
                <w:rFonts w:cs="Calibri"/>
                <w:sz w:val="16"/>
                <w:szCs w:val="16"/>
                <w:lang w:eastAsia="es-ES"/>
              </w:rPr>
            </w:pPr>
            <w:r>
              <w:rPr>
                <w:rFonts w:cs="Calibri"/>
                <w:sz w:val="16"/>
                <w:szCs w:val="16"/>
                <w:lang w:eastAsia="es-ES"/>
              </w:rPr>
              <w:t>4 168,002</w:t>
            </w:r>
          </w:p>
        </w:tc>
        <w:tc>
          <w:tcPr>
            <w:tcW w:w="3276" w:type="dxa"/>
            <w:tcBorders>
              <w:top w:val="single" w:sz="4" w:space="0" w:color="BFBFBF"/>
              <w:left w:val="single" w:sz="8" w:space="0" w:color="BFBFBF"/>
              <w:bottom w:val="single" w:sz="4" w:space="0" w:color="BFBFBF"/>
              <w:right w:val="single" w:sz="4" w:space="0" w:color="BFBFBF"/>
            </w:tcBorders>
            <w:shd w:val="clear" w:color="000000" w:fill="FFFFFF"/>
          </w:tcPr>
          <w:p w14:paraId="5F07EFDC" w14:textId="0866BDB6" w:rsidR="005525D4" w:rsidRPr="00086955" w:rsidRDefault="005525D4" w:rsidP="004E6DE8">
            <w:pPr>
              <w:keepNext/>
              <w:keepLines/>
              <w:spacing w:before="60" w:after="60"/>
              <w:rPr>
                <w:rFonts w:cs="Calibri"/>
                <w:sz w:val="16"/>
                <w:szCs w:val="16"/>
                <w:lang w:eastAsia="es-ES"/>
              </w:rPr>
            </w:pPr>
            <w:r w:rsidRPr="00086955">
              <w:rPr>
                <w:rFonts w:cs="Calibri"/>
                <w:sz w:val="16"/>
                <w:szCs w:val="16"/>
                <w:lang w:eastAsia="es-ES"/>
              </w:rPr>
              <w:t xml:space="preserve">50% </w:t>
            </w:r>
            <w:r w:rsidR="00086955" w:rsidRPr="00086955">
              <w:rPr>
                <w:rFonts w:cs="Calibri"/>
                <w:sz w:val="16"/>
                <w:szCs w:val="16"/>
                <w:lang w:eastAsia="es-ES"/>
              </w:rPr>
              <w:t xml:space="preserve">des </w:t>
            </w:r>
            <w:r w:rsidRPr="00086955">
              <w:rPr>
                <w:rFonts w:cs="Calibri"/>
                <w:sz w:val="16"/>
                <w:szCs w:val="16"/>
                <w:lang w:eastAsia="es-ES"/>
              </w:rPr>
              <w:t>114 million</w:t>
            </w:r>
            <w:r w:rsidR="00086955" w:rsidRPr="00086955">
              <w:rPr>
                <w:rFonts w:cs="Calibri"/>
                <w:sz w:val="16"/>
                <w:szCs w:val="16"/>
                <w:lang w:eastAsia="es-ES"/>
              </w:rPr>
              <w:t>s de CHF sont réputés consacrés aux ma</w:t>
            </w:r>
            <w:r w:rsidR="00086955">
              <w:rPr>
                <w:rFonts w:cs="Calibri"/>
                <w:sz w:val="16"/>
                <w:szCs w:val="16"/>
                <w:lang w:eastAsia="es-ES"/>
              </w:rPr>
              <w:t xml:space="preserve">tériaux et sont </w:t>
            </w:r>
            <w:r w:rsidR="00E225FB">
              <w:rPr>
                <w:rFonts w:cs="Calibri"/>
                <w:sz w:val="16"/>
                <w:szCs w:val="16"/>
                <w:lang w:eastAsia="es-ES"/>
              </w:rPr>
              <w:t>exposés</w:t>
            </w:r>
            <w:r w:rsidR="00086955">
              <w:rPr>
                <w:rFonts w:cs="Calibri"/>
                <w:sz w:val="16"/>
                <w:szCs w:val="16"/>
                <w:lang w:eastAsia="es-ES"/>
              </w:rPr>
              <w:t xml:space="preserve"> à la hausse des coûts des matières premières</w:t>
            </w:r>
            <w:r w:rsidR="00E121DD">
              <w:rPr>
                <w:rFonts w:cs="Calibri"/>
                <w:sz w:val="16"/>
                <w:szCs w:val="16"/>
                <w:lang w:eastAsia="es-ES"/>
              </w:rPr>
              <w:t>.</w:t>
            </w:r>
          </w:p>
          <w:p w14:paraId="6DC95CD0" w14:textId="5FC3BF36" w:rsidR="005525D4" w:rsidRPr="00086955" w:rsidRDefault="00DB6D40" w:rsidP="004E6DE8">
            <w:pPr>
              <w:keepNext/>
              <w:keepLines/>
              <w:spacing w:before="60" w:after="60"/>
              <w:rPr>
                <w:rFonts w:cs="Calibri"/>
                <w:sz w:val="16"/>
                <w:szCs w:val="16"/>
                <w:lang w:eastAsia="es-ES"/>
              </w:rPr>
            </w:pPr>
            <w:r>
              <w:rPr>
                <w:rFonts w:cs="Calibri"/>
                <w:sz w:val="16"/>
                <w:szCs w:val="16"/>
                <w:lang w:eastAsia="es-ES"/>
              </w:rPr>
              <w:t>S</w:t>
            </w:r>
            <w:r w:rsidR="005525D4" w:rsidRPr="00086955">
              <w:rPr>
                <w:rFonts w:cs="Calibri"/>
                <w:sz w:val="16"/>
                <w:szCs w:val="16"/>
                <w:lang w:eastAsia="es-ES"/>
              </w:rPr>
              <w:t>c</w:t>
            </w:r>
            <w:r w:rsidR="00086955" w:rsidRPr="00086955">
              <w:rPr>
                <w:rFonts w:cs="Calibri"/>
                <w:sz w:val="16"/>
                <w:szCs w:val="16"/>
                <w:lang w:eastAsia="es-ES"/>
              </w:rPr>
              <w:t>é</w:t>
            </w:r>
            <w:r w:rsidR="005525D4" w:rsidRPr="00086955">
              <w:rPr>
                <w:rFonts w:cs="Calibri"/>
                <w:sz w:val="16"/>
                <w:szCs w:val="16"/>
                <w:lang w:eastAsia="es-ES"/>
              </w:rPr>
              <w:t>nar</w:t>
            </w:r>
            <w:r w:rsidR="00086955" w:rsidRPr="00086955">
              <w:rPr>
                <w:rFonts w:cs="Calibri"/>
                <w:sz w:val="16"/>
                <w:szCs w:val="16"/>
                <w:lang w:eastAsia="es-ES"/>
              </w:rPr>
              <w:t>ios</w:t>
            </w:r>
            <w:r w:rsidR="005525D4" w:rsidRPr="00086955">
              <w:rPr>
                <w:rFonts w:cs="Calibri"/>
                <w:sz w:val="16"/>
                <w:szCs w:val="16"/>
                <w:lang w:eastAsia="es-ES"/>
              </w:rPr>
              <w:t xml:space="preserve">: </w:t>
            </w:r>
            <w:r w:rsidR="00086955" w:rsidRPr="00086955">
              <w:rPr>
                <w:rFonts w:cs="Calibri"/>
                <w:sz w:val="16"/>
                <w:szCs w:val="16"/>
                <w:lang w:eastAsia="es-ES"/>
              </w:rPr>
              <w:t xml:space="preserve">Minimum: </w:t>
            </w:r>
            <w:r w:rsidR="00E121DD">
              <w:rPr>
                <w:rFonts w:cs="Calibri"/>
                <w:sz w:val="16"/>
                <w:szCs w:val="16"/>
                <w:lang w:eastAsia="es-ES"/>
              </w:rPr>
              <w:t>2%/</w:t>
            </w:r>
            <w:r w:rsidR="00E225FB">
              <w:rPr>
                <w:rFonts w:cs="Calibri"/>
                <w:sz w:val="16"/>
                <w:szCs w:val="16"/>
                <w:lang w:eastAsia="es-ES"/>
              </w:rPr>
              <w:t>scénario</w:t>
            </w:r>
            <w:r w:rsidR="00086955" w:rsidRPr="00086955">
              <w:rPr>
                <w:rFonts w:cs="Calibri"/>
                <w:sz w:val="16"/>
                <w:szCs w:val="16"/>
                <w:lang w:eastAsia="es-ES"/>
              </w:rPr>
              <w:t xml:space="preserve"> le plus probable: 4% et augmentation ma</w:t>
            </w:r>
            <w:r w:rsidR="00086955">
              <w:rPr>
                <w:rFonts w:cs="Calibri"/>
                <w:sz w:val="16"/>
                <w:szCs w:val="16"/>
                <w:lang w:eastAsia="es-ES"/>
              </w:rPr>
              <w:t>ximale</w:t>
            </w:r>
            <w:r w:rsidR="00963A54">
              <w:rPr>
                <w:rFonts w:cs="Calibri"/>
                <w:sz w:val="16"/>
                <w:szCs w:val="16"/>
                <w:lang w:eastAsia="es-ES"/>
              </w:rPr>
              <w:t>:</w:t>
            </w:r>
            <w:r w:rsidR="00086955">
              <w:rPr>
                <w:rFonts w:cs="Calibri"/>
                <w:sz w:val="16"/>
                <w:szCs w:val="16"/>
                <w:lang w:eastAsia="es-ES"/>
              </w:rPr>
              <w:t xml:space="preserve"> 6%. Durée de la construction</w:t>
            </w:r>
            <w:r w:rsidR="00963A54">
              <w:rPr>
                <w:rFonts w:cs="Calibri"/>
                <w:sz w:val="16"/>
                <w:szCs w:val="16"/>
                <w:lang w:eastAsia="es-ES"/>
              </w:rPr>
              <w:t>:</w:t>
            </w:r>
            <w:r w:rsidR="00086955">
              <w:rPr>
                <w:rFonts w:cs="Calibri"/>
                <w:sz w:val="16"/>
                <w:szCs w:val="16"/>
                <w:lang w:eastAsia="es-ES"/>
              </w:rPr>
              <w:t xml:space="preserve"> 4 ans</w:t>
            </w:r>
            <w:r w:rsidR="00E121DD">
              <w:rPr>
                <w:rFonts w:cs="Calibri"/>
                <w:sz w:val="16"/>
                <w:szCs w:val="16"/>
                <w:lang w:eastAsia="es-ES"/>
              </w:rPr>
              <w:t>.</w:t>
            </w:r>
          </w:p>
        </w:tc>
      </w:tr>
      <w:tr w:rsidR="002B7ABA" w:rsidRPr="00DD0DAD" w14:paraId="16B7FD3A" w14:textId="77777777" w:rsidTr="004E6DE8">
        <w:trPr>
          <w:trHeight w:val="480"/>
          <w:jc w:val="center"/>
        </w:trPr>
        <w:tc>
          <w:tcPr>
            <w:tcW w:w="14176" w:type="dxa"/>
            <w:gridSpan w:val="8"/>
            <w:tcBorders>
              <w:top w:val="single" w:sz="4" w:space="0" w:color="BFBFBF"/>
              <w:left w:val="single" w:sz="4" w:space="0" w:color="BFBFBF"/>
              <w:bottom w:val="single" w:sz="4" w:space="0" w:color="BFBFBF"/>
              <w:right w:val="single" w:sz="4" w:space="0" w:color="BFBFBF"/>
            </w:tcBorders>
            <w:shd w:val="clear" w:color="000000" w:fill="FFFFFF"/>
          </w:tcPr>
          <w:p w14:paraId="1BCCB13C" w14:textId="77777777" w:rsidR="002B7ABA" w:rsidRPr="00DD0DAD" w:rsidRDefault="002B7ABA" w:rsidP="004E6DE8">
            <w:pPr>
              <w:keepNext/>
              <w:keepLines/>
              <w:spacing w:before="60" w:after="60"/>
              <w:rPr>
                <w:rFonts w:cs="Calibri"/>
                <w:b/>
                <w:sz w:val="20"/>
                <w:lang w:eastAsia="es-ES"/>
              </w:rPr>
            </w:pPr>
            <w:r w:rsidRPr="00DD0DAD">
              <w:rPr>
                <w:rFonts w:cs="Calibri"/>
                <w:b/>
                <w:sz w:val="20"/>
                <w:lang w:eastAsia="es-ES"/>
              </w:rPr>
              <w:t>Gouvernance</w:t>
            </w:r>
          </w:p>
        </w:tc>
      </w:tr>
      <w:tr w:rsidR="002B7ABA" w:rsidRPr="00DD0DAD" w14:paraId="466BDE33" w14:textId="77777777" w:rsidTr="004E6DE8">
        <w:trPr>
          <w:trHeight w:val="480"/>
          <w:jc w:val="center"/>
        </w:trPr>
        <w:tc>
          <w:tcPr>
            <w:tcW w:w="865" w:type="dxa"/>
            <w:tcBorders>
              <w:top w:val="single" w:sz="4" w:space="0" w:color="BFBFBF"/>
              <w:left w:val="single" w:sz="4" w:space="0" w:color="BFBFBF"/>
              <w:bottom w:val="single" w:sz="4" w:space="0" w:color="BFBFBF"/>
              <w:right w:val="single" w:sz="8" w:space="0" w:color="BFBFBF"/>
            </w:tcBorders>
            <w:shd w:val="clear" w:color="000000" w:fill="FFFFFF"/>
          </w:tcPr>
          <w:p w14:paraId="2B7A56EA" w14:textId="77777777"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106</w:t>
            </w:r>
          </w:p>
        </w:tc>
        <w:tc>
          <w:tcPr>
            <w:tcW w:w="2664" w:type="dxa"/>
            <w:tcBorders>
              <w:top w:val="single" w:sz="4" w:space="0" w:color="BFBFBF"/>
              <w:left w:val="single" w:sz="8" w:space="0" w:color="BFBFBF"/>
              <w:bottom w:val="single" w:sz="4" w:space="0" w:color="BFBFBF"/>
              <w:right w:val="single" w:sz="8" w:space="0" w:color="BFBFBF"/>
            </w:tcBorders>
            <w:shd w:val="clear" w:color="auto" w:fill="auto"/>
          </w:tcPr>
          <w:p w14:paraId="0F65155E" w14:textId="1EA57A49"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Changement de l</w:t>
            </w:r>
            <w:r w:rsidR="004E6DE8">
              <w:rPr>
                <w:rFonts w:cs="Calibri"/>
                <w:sz w:val="16"/>
                <w:szCs w:val="16"/>
                <w:lang w:eastAsia="es-ES"/>
              </w:rPr>
              <w:t>'</w:t>
            </w:r>
            <w:r w:rsidRPr="00DD0DAD">
              <w:rPr>
                <w:rFonts w:cs="Calibri"/>
                <w:sz w:val="16"/>
                <w:szCs w:val="16"/>
                <w:lang w:eastAsia="es-ES"/>
              </w:rPr>
              <w:t>équipe de direction</w:t>
            </w:r>
            <w:r w:rsidR="00E121DD">
              <w:rPr>
                <w:rFonts w:cs="Calibri"/>
                <w:sz w:val="16"/>
                <w:szCs w:val="16"/>
                <w:lang w:eastAsia="es-ES"/>
              </w:rPr>
              <w:t>.</w:t>
            </w:r>
          </w:p>
        </w:tc>
        <w:tc>
          <w:tcPr>
            <w:tcW w:w="2045" w:type="dxa"/>
            <w:tcBorders>
              <w:top w:val="single" w:sz="4" w:space="0" w:color="BFBFBF"/>
              <w:left w:val="single" w:sz="8" w:space="0" w:color="BFBFBF"/>
              <w:bottom w:val="single" w:sz="4" w:space="0" w:color="BFBFBF"/>
              <w:right w:val="single" w:sz="8" w:space="0" w:color="BFBFBF"/>
            </w:tcBorders>
          </w:tcPr>
          <w:p w14:paraId="33F18021" w14:textId="00F3896C"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Élections à la PP-22</w:t>
            </w:r>
            <w:r w:rsidR="00E121DD">
              <w:rPr>
                <w:rFonts w:cs="Calibri"/>
                <w:sz w:val="16"/>
                <w:szCs w:val="16"/>
                <w:lang w:eastAsia="es-ES"/>
              </w:rPr>
              <w:t>.</w:t>
            </w:r>
          </w:p>
        </w:tc>
        <w:tc>
          <w:tcPr>
            <w:tcW w:w="2268" w:type="dxa"/>
            <w:tcBorders>
              <w:top w:val="single" w:sz="4" w:space="0" w:color="BFBFBF"/>
              <w:left w:val="single" w:sz="8" w:space="0" w:color="BFBFBF"/>
              <w:bottom w:val="single" w:sz="4" w:space="0" w:color="BFBFBF"/>
              <w:right w:val="single" w:sz="8" w:space="0" w:color="BFBFBF"/>
            </w:tcBorders>
          </w:tcPr>
          <w:p w14:paraId="52CD48AE" w14:textId="745A3CB8"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Anticiper les étapes importantes et communiquer à l</w:t>
            </w:r>
            <w:r w:rsidR="004E6DE8">
              <w:rPr>
                <w:rFonts w:cs="Calibri"/>
                <w:sz w:val="16"/>
                <w:szCs w:val="16"/>
                <w:lang w:eastAsia="es-ES"/>
              </w:rPr>
              <w:t>'</w:t>
            </w:r>
            <w:r w:rsidRPr="00DD0DAD">
              <w:rPr>
                <w:rFonts w:cs="Calibri"/>
                <w:sz w:val="16"/>
                <w:szCs w:val="16"/>
                <w:lang w:eastAsia="es-ES"/>
              </w:rPr>
              <w:t>avance à ce sujet</w:t>
            </w:r>
            <w:r w:rsidR="00E121DD">
              <w:rPr>
                <w:rFonts w:cs="Calibri"/>
                <w:sz w:val="16"/>
                <w:szCs w:val="16"/>
                <w:lang w:eastAsia="es-ES"/>
              </w:rPr>
              <w:t>.</w:t>
            </w:r>
          </w:p>
        </w:tc>
        <w:tc>
          <w:tcPr>
            <w:tcW w:w="1074" w:type="dxa"/>
            <w:tcBorders>
              <w:top w:val="single" w:sz="4" w:space="0" w:color="BFBFBF"/>
              <w:left w:val="single" w:sz="8" w:space="0" w:color="BFBFBF"/>
              <w:bottom w:val="single" w:sz="4" w:space="0" w:color="BFBFBF"/>
              <w:right w:val="single" w:sz="8" w:space="0" w:color="BFBFBF"/>
            </w:tcBorders>
            <w:shd w:val="clear" w:color="auto" w:fill="auto"/>
          </w:tcPr>
          <w:p w14:paraId="286A1B1F" w14:textId="09F7ECB5" w:rsidR="002B7ABA" w:rsidRPr="00DD0DAD" w:rsidRDefault="002B7ABA" w:rsidP="004E6DE8">
            <w:pPr>
              <w:keepNext/>
              <w:keepLines/>
              <w:spacing w:before="60" w:after="60"/>
              <w:jc w:val="center"/>
              <w:rPr>
                <w:rFonts w:cs="Calibri"/>
                <w:sz w:val="16"/>
                <w:szCs w:val="16"/>
                <w:lang w:eastAsia="es-ES"/>
              </w:rPr>
            </w:pPr>
            <w:r w:rsidRPr="00DD0DAD">
              <w:rPr>
                <w:rFonts w:cs="Calibri"/>
                <w:sz w:val="16"/>
                <w:szCs w:val="16"/>
                <w:lang w:eastAsia="es-ES"/>
              </w:rPr>
              <w:t>0,</w:t>
            </w:r>
            <w:r w:rsidR="00837A44">
              <w:rPr>
                <w:rFonts w:cs="Calibri"/>
                <w:sz w:val="16"/>
                <w:szCs w:val="16"/>
                <w:lang w:eastAsia="es-ES"/>
              </w:rPr>
              <w:t>70</w:t>
            </w:r>
            <w:r w:rsidRPr="00DD0DAD">
              <w:rPr>
                <w:rFonts w:cs="Calibri"/>
                <w:sz w:val="16"/>
                <w:szCs w:val="16"/>
                <w:lang w:eastAsia="es-ES"/>
              </w:rPr>
              <w:t xml:space="preserve"> </w:t>
            </w:r>
          </w:p>
        </w:tc>
        <w:tc>
          <w:tcPr>
            <w:tcW w:w="850" w:type="dxa"/>
            <w:tcBorders>
              <w:top w:val="single" w:sz="4" w:space="0" w:color="BFBFBF"/>
              <w:left w:val="single" w:sz="8" w:space="0" w:color="BFBFBF"/>
              <w:bottom w:val="single" w:sz="4" w:space="0" w:color="BFBFBF"/>
              <w:right w:val="single" w:sz="8" w:space="0" w:color="BFBFBF"/>
            </w:tcBorders>
            <w:shd w:val="clear" w:color="auto" w:fill="auto"/>
            <w:noWrap/>
          </w:tcPr>
          <w:p w14:paraId="099F3AEC" w14:textId="77777777" w:rsidR="002B7ABA" w:rsidRPr="00DD0DAD" w:rsidRDefault="002B7ABA" w:rsidP="004E6DE8">
            <w:pPr>
              <w:keepNext/>
              <w:keepLines/>
              <w:spacing w:before="60" w:after="60"/>
              <w:jc w:val="center"/>
              <w:rPr>
                <w:rFonts w:cs="Calibri"/>
                <w:sz w:val="16"/>
                <w:szCs w:val="16"/>
                <w:lang w:eastAsia="es-ES"/>
              </w:rPr>
            </w:pPr>
            <w:r w:rsidRPr="00DD0DAD">
              <w:rPr>
                <w:rFonts w:cs="Calibri"/>
                <w:sz w:val="16"/>
                <w:szCs w:val="16"/>
                <w:lang w:eastAsia="es-ES"/>
              </w:rPr>
              <w:t>0,40</w:t>
            </w:r>
          </w:p>
        </w:tc>
        <w:tc>
          <w:tcPr>
            <w:tcW w:w="1134" w:type="dxa"/>
            <w:tcBorders>
              <w:top w:val="single" w:sz="4" w:space="0" w:color="BFBFBF"/>
              <w:left w:val="single" w:sz="8" w:space="0" w:color="BFBFBF"/>
              <w:bottom w:val="single" w:sz="4" w:space="0" w:color="BFBFBF"/>
              <w:right w:val="single" w:sz="8" w:space="0" w:color="BFBFBF"/>
            </w:tcBorders>
            <w:shd w:val="clear" w:color="auto" w:fill="auto"/>
          </w:tcPr>
          <w:p w14:paraId="3CA42E3A" w14:textId="77777777" w:rsidR="002B7ABA" w:rsidRPr="00DD0DAD" w:rsidRDefault="002B7ABA" w:rsidP="004E6DE8">
            <w:pPr>
              <w:keepNext/>
              <w:keepLines/>
              <w:spacing w:before="60" w:after="60"/>
              <w:jc w:val="center"/>
              <w:rPr>
                <w:rFonts w:cs="Calibri"/>
                <w:sz w:val="16"/>
                <w:szCs w:val="16"/>
                <w:lang w:eastAsia="es-ES"/>
              </w:rPr>
            </w:pPr>
            <w:r w:rsidRPr="00DD0DAD">
              <w:rPr>
                <w:rFonts w:cs="Calibri"/>
                <w:sz w:val="16"/>
                <w:szCs w:val="16"/>
                <w:lang w:eastAsia="es-ES"/>
              </w:rPr>
              <w:t>0</w:t>
            </w:r>
          </w:p>
        </w:tc>
        <w:tc>
          <w:tcPr>
            <w:tcW w:w="3276" w:type="dxa"/>
            <w:tcBorders>
              <w:top w:val="single" w:sz="4" w:space="0" w:color="BFBFBF"/>
              <w:left w:val="single" w:sz="8" w:space="0" w:color="BFBFBF"/>
              <w:bottom w:val="single" w:sz="4" w:space="0" w:color="BFBFBF"/>
              <w:right w:val="single" w:sz="4" w:space="0" w:color="BFBFBF"/>
            </w:tcBorders>
            <w:shd w:val="clear" w:color="000000" w:fill="FFFFFF"/>
          </w:tcPr>
          <w:p w14:paraId="018E2D48" w14:textId="54DBBA13" w:rsidR="002B7ABA" w:rsidRPr="00DD0DAD" w:rsidRDefault="002B7ABA" w:rsidP="004E6DE8">
            <w:pPr>
              <w:keepNext/>
              <w:keepLines/>
              <w:spacing w:before="60" w:after="60"/>
              <w:rPr>
                <w:rFonts w:cs="Calibri"/>
                <w:sz w:val="16"/>
                <w:szCs w:val="16"/>
                <w:lang w:eastAsia="es-ES"/>
              </w:rPr>
            </w:pPr>
            <w:r w:rsidRPr="00DD0DAD">
              <w:rPr>
                <w:rFonts w:cs="Calibri"/>
                <w:sz w:val="16"/>
                <w:szCs w:val="16"/>
                <w:lang w:eastAsia="es-ES"/>
              </w:rPr>
              <w:t>Non quantifiable</w:t>
            </w:r>
            <w:r w:rsidR="00E121DD">
              <w:rPr>
                <w:rFonts w:cs="Calibri"/>
                <w:sz w:val="16"/>
                <w:szCs w:val="16"/>
                <w:lang w:eastAsia="es-ES"/>
              </w:rPr>
              <w:t>.</w:t>
            </w:r>
          </w:p>
        </w:tc>
      </w:tr>
      <w:tr w:rsidR="005525D4" w:rsidRPr="00DD0DAD" w14:paraId="2B1ADCD2" w14:textId="77777777" w:rsidTr="004E6DE8">
        <w:trPr>
          <w:trHeight w:val="480"/>
          <w:jc w:val="center"/>
        </w:trPr>
        <w:tc>
          <w:tcPr>
            <w:tcW w:w="865" w:type="dxa"/>
            <w:tcBorders>
              <w:top w:val="single" w:sz="4" w:space="0" w:color="BFBFBF"/>
              <w:left w:val="single" w:sz="4" w:space="0" w:color="BFBFBF"/>
              <w:bottom w:val="single" w:sz="4" w:space="0" w:color="BFBFBF"/>
              <w:right w:val="single" w:sz="8" w:space="0" w:color="BFBFBF"/>
            </w:tcBorders>
            <w:shd w:val="clear" w:color="000000" w:fill="FFFFFF"/>
          </w:tcPr>
          <w:p w14:paraId="2499C34D" w14:textId="32B48020" w:rsidR="005525D4" w:rsidRPr="00DD0DAD" w:rsidRDefault="005525D4" w:rsidP="004E6DE8">
            <w:pPr>
              <w:keepNext/>
              <w:keepLines/>
              <w:spacing w:before="60" w:after="60"/>
              <w:rPr>
                <w:rFonts w:cs="Calibri"/>
                <w:sz w:val="16"/>
                <w:szCs w:val="16"/>
                <w:lang w:eastAsia="es-ES"/>
              </w:rPr>
            </w:pPr>
            <w:r>
              <w:rPr>
                <w:rFonts w:cs="Calibri"/>
                <w:sz w:val="16"/>
                <w:szCs w:val="16"/>
                <w:lang w:eastAsia="es-ES"/>
              </w:rPr>
              <w:t>117</w:t>
            </w:r>
          </w:p>
        </w:tc>
        <w:tc>
          <w:tcPr>
            <w:tcW w:w="2664" w:type="dxa"/>
            <w:tcBorders>
              <w:top w:val="single" w:sz="4" w:space="0" w:color="BFBFBF"/>
              <w:left w:val="single" w:sz="8" w:space="0" w:color="BFBFBF"/>
              <w:bottom w:val="single" w:sz="4" w:space="0" w:color="BFBFBF"/>
              <w:right w:val="single" w:sz="8" w:space="0" w:color="BFBFBF"/>
            </w:tcBorders>
            <w:shd w:val="clear" w:color="auto" w:fill="auto"/>
          </w:tcPr>
          <w:p w14:paraId="39E63485" w14:textId="1E758C0E" w:rsidR="005525D4" w:rsidRPr="002A38BA" w:rsidRDefault="002A38BA" w:rsidP="004E6DE8">
            <w:pPr>
              <w:keepNext/>
              <w:keepLines/>
              <w:spacing w:before="60" w:after="60"/>
              <w:rPr>
                <w:rFonts w:cs="Calibri"/>
                <w:sz w:val="16"/>
                <w:szCs w:val="16"/>
                <w:lang w:eastAsia="es-ES"/>
              </w:rPr>
            </w:pPr>
            <w:r w:rsidRPr="002A38BA">
              <w:rPr>
                <w:rFonts w:cs="Calibri"/>
                <w:sz w:val="16"/>
                <w:szCs w:val="16"/>
                <w:lang w:eastAsia="es-ES"/>
              </w:rPr>
              <w:t>Changement d</w:t>
            </w:r>
            <w:r w:rsidR="004E6DE8">
              <w:rPr>
                <w:rFonts w:cs="Calibri"/>
                <w:sz w:val="16"/>
                <w:szCs w:val="16"/>
                <w:lang w:eastAsia="es-ES"/>
              </w:rPr>
              <w:t>'</w:t>
            </w:r>
            <w:r w:rsidRPr="002A38BA">
              <w:rPr>
                <w:rFonts w:cs="Calibri"/>
                <w:sz w:val="16"/>
                <w:szCs w:val="16"/>
                <w:lang w:eastAsia="es-ES"/>
              </w:rPr>
              <w:t>acteurs essentiels au sein de l</w:t>
            </w:r>
            <w:r w:rsidR="004E6DE8">
              <w:rPr>
                <w:rFonts w:cs="Calibri"/>
                <w:sz w:val="16"/>
                <w:szCs w:val="16"/>
                <w:lang w:eastAsia="es-ES"/>
              </w:rPr>
              <w:t>'</w:t>
            </w:r>
            <w:r w:rsidRPr="002A38BA">
              <w:rPr>
                <w:rFonts w:cs="Calibri"/>
                <w:sz w:val="16"/>
                <w:szCs w:val="16"/>
                <w:lang w:eastAsia="es-ES"/>
              </w:rPr>
              <w:t>éq</w:t>
            </w:r>
            <w:r>
              <w:rPr>
                <w:rFonts w:cs="Calibri"/>
                <w:sz w:val="16"/>
                <w:szCs w:val="16"/>
                <w:lang w:eastAsia="es-ES"/>
              </w:rPr>
              <w:t>uipe de projet</w:t>
            </w:r>
            <w:r w:rsidR="00E121DD">
              <w:rPr>
                <w:rFonts w:cs="Calibri"/>
                <w:sz w:val="16"/>
                <w:szCs w:val="16"/>
                <w:lang w:eastAsia="es-ES"/>
              </w:rPr>
              <w:t>.</w:t>
            </w:r>
          </w:p>
        </w:tc>
        <w:tc>
          <w:tcPr>
            <w:tcW w:w="2045" w:type="dxa"/>
            <w:tcBorders>
              <w:top w:val="single" w:sz="4" w:space="0" w:color="BFBFBF"/>
              <w:left w:val="single" w:sz="8" w:space="0" w:color="BFBFBF"/>
              <w:bottom w:val="single" w:sz="4" w:space="0" w:color="BFBFBF"/>
              <w:right w:val="single" w:sz="8" w:space="0" w:color="BFBFBF"/>
            </w:tcBorders>
          </w:tcPr>
          <w:p w14:paraId="4F799A19" w14:textId="68D13930" w:rsidR="005525D4" w:rsidRPr="00DE5ADB" w:rsidRDefault="002A38BA" w:rsidP="004E6DE8">
            <w:pPr>
              <w:keepNext/>
              <w:keepLines/>
              <w:spacing w:before="60" w:after="60"/>
              <w:rPr>
                <w:rFonts w:cs="Calibri"/>
                <w:sz w:val="16"/>
                <w:szCs w:val="16"/>
                <w:lang w:eastAsia="es-ES"/>
              </w:rPr>
            </w:pPr>
            <w:r w:rsidRPr="002A38BA">
              <w:rPr>
                <w:rFonts w:cs="Calibri"/>
                <w:sz w:val="16"/>
                <w:szCs w:val="16"/>
                <w:lang w:eastAsia="es-ES"/>
              </w:rPr>
              <w:t xml:space="preserve">Absence de </w:t>
            </w:r>
            <w:r w:rsidR="00E225FB">
              <w:rPr>
                <w:rFonts w:cs="Calibri"/>
                <w:sz w:val="16"/>
                <w:szCs w:val="16"/>
                <w:lang w:eastAsia="es-ES"/>
              </w:rPr>
              <w:t>s</w:t>
            </w:r>
            <w:r w:rsidRPr="002A38BA">
              <w:rPr>
                <w:rFonts w:cs="Calibri"/>
                <w:sz w:val="16"/>
                <w:szCs w:val="16"/>
                <w:lang w:eastAsia="es-ES"/>
              </w:rPr>
              <w:t>tratégie centrée s</w:t>
            </w:r>
            <w:r>
              <w:rPr>
                <w:rFonts w:cs="Calibri"/>
                <w:sz w:val="16"/>
                <w:szCs w:val="16"/>
                <w:lang w:eastAsia="es-ES"/>
              </w:rPr>
              <w:t>ur le personnel et de plan stratégique pour les ressources humaines en vigueur pour des fonctionnaires essentiels au sein de l</w:t>
            </w:r>
            <w:r w:rsidR="004E6DE8">
              <w:rPr>
                <w:rFonts w:cs="Calibri"/>
                <w:sz w:val="16"/>
                <w:szCs w:val="16"/>
                <w:lang w:eastAsia="es-ES"/>
              </w:rPr>
              <w:t>'</w:t>
            </w:r>
            <w:r>
              <w:rPr>
                <w:rFonts w:cs="Calibri"/>
                <w:sz w:val="16"/>
                <w:szCs w:val="16"/>
                <w:lang w:eastAsia="es-ES"/>
              </w:rPr>
              <w:t>UIT</w:t>
            </w:r>
            <w:r w:rsidR="00E121DD">
              <w:rPr>
                <w:rFonts w:cs="Calibri"/>
                <w:sz w:val="16"/>
                <w:szCs w:val="16"/>
                <w:lang w:eastAsia="es-ES"/>
              </w:rPr>
              <w:t>.</w:t>
            </w:r>
          </w:p>
        </w:tc>
        <w:tc>
          <w:tcPr>
            <w:tcW w:w="2268" w:type="dxa"/>
            <w:tcBorders>
              <w:top w:val="single" w:sz="4" w:space="0" w:color="BFBFBF"/>
              <w:left w:val="single" w:sz="8" w:space="0" w:color="BFBFBF"/>
              <w:bottom w:val="single" w:sz="4" w:space="0" w:color="BFBFBF"/>
              <w:right w:val="single" w:sz="8" w:space="0" w:color="BFBFBF"/>
            </w:tcBorders>
          </w:tcPr>
          <w:p w14:paraId="07198B60" w14:textId="2DFD71D9" w:rsidR="005525D4" w:rsidRPr="002A38BA" w:rsidRDefault="002A38BA" w:rsidP="00E121DD">
            <w:pPr>
              <w:keepNext/>
              <w:keepLines/>
              <w:spacing w:before="60" w:after="60"/>
              <w:rPr>
                <w:rFonts w:cs="Calibri"/>
                <w:sz w:val="16"/>
                <w:szCs w:val="16"/>
                <w:lang w:eastAsia="es-ES"/>
              </w:rPr>
            </w:pPr>
            <w:r w:rsidRPr="002A38BA">
              <w:rPr>
                <w:rFonts w:cs="Calibri"/>
                <w:sz w:val="16"/>
                <w:szCs w:val="16"/>
                <w:lang w:eastAsia="es-ES"/>
              </w:rPr>
              <w:t>Un plan de succession c</w:t>
            </w:r>
            <w:r>
              <w:rPr>
                <w:rFonts w:cs="Calibri"/>
                <w:sz w:val="16"/>
                <w:szCs w:val="16"/>
                <w:lang w:eastAsia="es-ES"/>
              </w:rPr>
              <w:t>oncret et réalisable sera présenté au Vice-Secrétaire général avant la</w:t>
            </w:r>
            <w:r w:rsidR="00E121DD">
              <w:rPr>
                <w:rFonts w:cs="Calibri"/>
                <w:sz w:val="16"/>
                <w:szCs w:val="16"/>
                <w:lang w:eastAsia="es-ES"/>
              </w:rPr>
              <w:t> </w:t>
            </w:r>
            <w:r>
              <w:rPr>
                <w:rFonts w:cs="Calibri"/>
                <w:sz w:val="16"/>
                <w:szCs w:val="16"/>
                <w:lang w:eastAsia="es-ES"/>
              </w:rPr>
              <w:t>PP-22 à la suite d</w:t>
            </w:r>
            <w:r w:rsidR="004E6DE8">
              <w:rPr>
                <w:rFonts w:cs="Calibri"/>
                <w:sz w:val="16"/>
                <w:szCs w:val="16"/>
                <w:lang w:eastAsia="es-ES"/>
              </w:rPr>
              <w:t>'</w:t>
            </w:r>
            <w:r>
              <w:rPr>
                <w:rFonts w:cs="Calibri"/>
                <w:sz w:val="16"/>
                <w:szCs w:val="16"/>
                <w:lang w:eastAsia="es-ES"/>
              </w:rPr>
              <w:t>une analyse comparative avec d</w:t>
            </w:r>
            <w:r w:rsidR="004E6DE8">
              <w:rPr>
                <w:rFonts w:cs="Calibri"/>
                <w:sz w:val="16"/>
                <w:szCs w:val="16"/>
                <w:lang w:eastAsia="es-ES"/>
              </w:rPr>
              <w:t>'</w:t>
            </w:r>
            <w:r>
              <w:rPr>
                <w:rFonts w:cs="Calibri"/>
                <w:sz w:val="16"/>
                <w:szCs w:val="16"/>
                <w:lang w:eastAsia="es-ES"/>
              </w:rPr>
              <w:t>autres projets de construction importants au sein du système des Nations Unies, afin de faire en sorte que l</w:t>
            </w:r>
            <w:r w:rsidR="004E6DE8">
              <w:rPr>
                <w:rFonts w:cs="Calibri"/>
                <w:sz w:val="16"/>
                <w:szCs w:val="16"/>
                <w:lang w:eastAsia="es-ES"/>
              </w:rPr>
              <w:t>'</w:t>
            </w:r>
            <w:r>
              <w:rPr>
                <w:rFonts w:cs="Calibri"/>
                <w:sz w:val="16"/>
                <w:szCs w:val="16"/>
                <w:lang w:eastAsia="es-ES"/>
              </w:rPr>
              <w:t>équipe de projet soit suffisamment dotée en personnel</w:t>
            </w:r>
            <w:r w:rsidR="005525D4" w:rsidRPr="002A38BA">
              <w:rPr>
                <w:rFonts w:cs="Calibri"/>
                <w:sz w:val="16"/>
                <w:szCs w:val="16"/>
                <w:lang w:eastAsia="es-ES"/>
              </w:rPr>
              <w:t>.</w:t>
            </w:r>
          </w:p>
        </w:tc>
        <w:tc>
          <w:tcPr>
            <w:tcW w:w="1074" w:type="dxa"/>
            <w:tcBorders>
              <w:top w:val="single" w:sz="4" w:space="0" w:color="BFBFBF"/>
              <w:left w:val="single" w:sz="8" w:space="0" w:color="BFBFBF"/>
              <w:bottom w:val="single" w:sz="4" w:space="0" w:color="BFBFBF"/>
              <w:right w:val="single" w:sz="8" w:space="0" w:color="BFBFBF"/>
            </w:tcBorders>
            <w:shd w:val="clear" w:color="auto" w:fill="auto"/>
          </w:tcPr>
          <w:p w14:paraId="7A0490A1" w14:textId="2B9A1540" w:rsidR="005525D4" w:rsidRPr="00DD0DAD" w:rsidRDefault="005525D4" w:rsidP="004E6DE8">
            <w:pPr>
              <w:keepNext/>
              <w:keepLines/>
              <w:spacing w:before="60" w:after="60"/>
              <w:jc w:val="center"/>
              <w:rPr>
                <w:rFonts w:cs="Calibri"/>
                <w:sz w:val="16"/>
                <w:szCs w:val="16"/>
                <w:lang w:eastAsia="es-ES"/>
              </w:rPr>
            </w:pPr>
            <w:r>
              <w:rPr>
                <w:rFonts w:cs="Calibri"/>
                <w:sz w:val="16"/>
                <w:szCs w:val="16"/>
                <w:lang w:eastAsia="es-ES"/>
              </w:rPr>
              <w:t>0,70</w:t>
            </w:r>
          </w:p>
        </w:tc>
        <w:tc>
          <w:tcPr>
            <w:tcW w:w="850" w:type="dxa"/>
            <w:tcBorders>
              <w:top w:val="single" w:sz="4" w:space="0" w:color="BFBFBF"/>
              <w:left w:val="single" w:sz="8" w:space="0" w:color="BFBFBF"/>
              <w:bottom w:val="single" w:sz="4" w:space="0" w:color="BFBFBF"/>
              <w:right w:val="single" w:sz="8" w:space="0" w:color="BFBFBF"/>
            </w:tcBorders>
            <w:shd w:val="clear" w:color="auto" w:fill="auto"/>
            <w:noWrap/>
          </w:tcPr>
          <w:p w14:paraId="1C2D5784" w14:textId="04B00DFC" w:rsidR="005525D4" w:rsidRPr="00DD0DAD" w:rsidRDefault="005525D4" w:rsidP="004E6DE8">
            <w:pPr>
              <w:keepNext/>
              <w:keepLines/>
              <w:spacing w:before="60" w:after="60"/>
              <w:jc w:val="center"/>
              <w:rPr>
                <w:rFonts w:cs="Calibri"/>
                <w:sz w:val="16"/>
                <w:szCs w:val="16"/>
                <w:lang w:eastAsia="es-ES"/>
              </w:rPr>
            </w:pPr>
            <w:r>
              <w:rPr>
                <w:rFonts w:cs="Calibri"/>
                <w:sz w:val="16"/>
                <w:szCs w:val="16"/>
                <w:lang w:eastAsia="es-ES"/>
              </w:rPr>
              <w:t>0,40</w:t>
            </w:r>
          </w:p>
        </w:tc>
        <w:tc>
          <w:tcPr>
            <w:tcW w:w="1134" w:type="dxa"/>
            <w:tcBorders>
              <w:top w:val="single" w:sz="4" w:space="0" w:color="BFBFBF"/>
              <w:left w:val="single" w:sz="8" w:space="0" w:color="BFBFBF"/>
              <w:bottom w:val="single" w:sz="4" w:space="0" w:color="BFBFBF"/>
              <w:right w:val="single" w:sz="8" w:space="0" w:color="BFBFBF"/>
            </w:tcBorders>
            <w:shd w:val="clear" w:color="auto" w:fill="auto"/>
          </w:tcPr>
          <w:p w14:paraId="12833381" w14:textId="40A2D28C" w:rsidR="005525D4" w:rsidRPr="00DD0DAD" w:rsidRDefault="005525D4" w:rsidP="004E6DE8">
            <w:pPr>
              <w:keepNext/>
              <w:keepLines/>
              <w:spacing w:before="60" w:after="60"/>
              <w:jc w:val="center"/>
              <w:rPr>
                <w:rFonts w:cs="Calibri"/>
                <w:sz w:val="16"/>
                <w:szCs w:val="16"/>
                <w:lang w:eastAsia="es-ES"/>
              </w:rPr>
            </w:pPr>
            <w:r>
              <w:rPr>
                <w:rFonts w:cs="Calibri"/>
                <w:sz w:val="16"/>
                <w:szCs w:val="16"/>
                <w:lang w:eastAsia="es-ES"/>
              </w:rPr>
              <w:t>0</w:t>
            </w:r>
          </w:p>
        </w:tc>
        <w:tc>
          <w:tcPr>
            <w:tcW w:w="3276" w:type="dxa"/>
            <w:tcBorders>
              <w:top w:val="single" w:sz="4" w:space="0" w:color="BFBFBF"/>
              <w:left w:val="single" w:sz="8" w:space="0" w:color="BFBFBF"/>
              <w:bottom w:val="single" w:sz="4" w:space="0" w:color="BFBFBF"/>
              <w:right w:val="single" w:sz="4" w:space="0" w:color="BFBFBF"/>
            </w:tcBorders>
            <w:shd w:val="clear" w:color="000000" w:fill="FFFFFF"/>
          </w:tcPr>
          <w:p w14:paraId="4E5B9974" w14:textId="2B55BEF0" w:rsidR="005525D4" w:rsidRPr="00DD0DAD" w:rsidRDefault="005525D4" w:rsidP="004E6DE8">
            <w:pPr>
              <w:keepNext/>
              <w:keepLines/>
              <w:spacing w:before="60" w:after="60"/>
              <w:rPr>
                <w:rFonts w:cs="Calibri"/>
                <w:sz w:val="16"/>
                <w:szCs w:val="16"/>
                <w:lang w:eastAsia="es-ES"/>
              </w:rPr>
            </w:pPr>
            <w:r w:rsidRPr="00DD0DAD">
              <w:rPr>
                <w:rFonts w:cs="Calibri"/>
                <w:sz w:val="16"/>
                <w:szCs w:val="16"/>
                <w:lang w:eastAsia="es-ES"/>
              </w:rPr>
              <w:t>Non quantifiable</w:t>
            </w:r>
            <w:r w:rsidR="00E121DD">
              <w:rPr>
                <w:rFonts w:cs="Calibri"/>
                <w:sz w:val="16"/>
                <w:szCs w:val="16"/>
                <w:lang w:eastAsia="es-ES"/>
              </w:rPr>
              <w:t>.</w:t>
            </w:r>
          </w:p>
        </w:tc>
      </w:tr>
      <w:tr w:rsidR="005525D4" w:rsidRPr="00DD0DAD" w14:paraId="6D591D31" w14:textId="77777777" w:rsidTr="004E6DE8">
        <w:trPr>
          <w:trHeight w:val="480"/>
          <w:jc w:val="center"/>
        </w:trPr>
        <w:tc>
          <w:tcPr>
            <w:tcW w:w="14176" w:type="dxa"/>
            <w:gridSpan w:val="8"/>
            <w:tcBorders>
              <w:top w:val="single" w:sz="4" w:space="0" w:color="BFBFBF"/>
              <w:left w:val="single" w:sz="4" w:space="0" w:color="BFBFBF"/>
              <w:bottom w:val="single" w:sz="4" w:space="0" w:color="BFBFBF"/>
              <w:right w:val="single" w:sz="4" w:space="0" w:color="BFBFBF"/>
            </w:tcBorders>
            <w:shd w:val="clear" w:color="000000" w:fill="FFFFFF"/>
          </w:tcPr>
          <w:p w14:paraId="1D916194" w14:textId="50463F0A" w:rsidR="005525D4" w:rsidRPr="00DD0DAD" w:rsidRDefault="005525D4" w:rsidP="004E6DE8">
            <w:pPr>
              <w:keepNext/>
              <w:keepLines/>
              <w:spacing w:before="60" w:after="60"/>
              <w:rPr>
                <w:rFonts w:cs="Calibri"/>
                <w:sz w:val="16"/>
                <w:szCs w:val="16"/>
                <w:lang w:eastAsia="es-ES"/>
              </w:rPr>
            </w:pPr>
            <w:r>
              <w:rPr>
                <w:rFonts w:cs="Calibri"/>
                <w:b/>
                <w:sz w:val="20"/>
                <w:lang w:eastAsia="es-ES"/>
              </w:rPr>
              <w:lastRenderedPageBreak/>
              <w:t>Passation de marchés</w:t>
            </w:r>
          </w:p>
        </w:tc>
      </w:tr>
      <w:tr w:rsidR="005525D4" w:rsidRPr="00B342D3" w14:paraId="36311E2A" w14:textId="77777777" w:rsidTr="004E6DE8">
        <w:trPr>
          <w:trHeight w:val="480"/>
          <w:jc w:val="center"/>
        </w:trPr>
        <w:tc>
          <w:tcPr>
            <w:tcW w:w="865" w:type="dxa"/>
            <w:tcBorders>
              <w:top w:val="single" w:sz="4" w:space="0" w:color="BFBFBF"/>
              <w:left w:val="single" w:sz="4" w:space="0" w:color="BFBFBF"/>
              <w:bottom w:val="single" w:sz="4" w:space="0" w:color="BFBFBF"/>
              <w:right w:val="single" w:sz="8" w:space="0" w:color="BFBFBF"/>
            </w:tcBorders>
            <w:shd w:val="clear" w:color="000000" w:fill="FFFFFF"/>
          </w:tcPr>
          <w:p w14:paraId="7F34C6A1" w14:textId="740A646F" w:rsidR="005525D4" w:rsidRDefault="005525D4" w:rsidP="004E6DE8">
            <w:pPr>
              <w:keepNext/>
              <w:keepLines/>
              <w:spacing w:before="60" w:after="60"/>
              <w:rPr>
                <w:rFonts w:cs="Calibri"/>
                <w:sz w:val="16"/>
                <w:szCs w:val="16"/>
                <w:lang w:eastAsia="es-ES"/>
              </w:rPr>
            </w:pPr>
            <w:r>
              <w:rPr>
                <w:rFonts w:cs="Calibri"/>
                <w:sz w:val="16"/>
                <w:szCs w:val="16"/>
                <w:lang w:eastAsia="es-ES"/>
              </w:rPr>
              <w:t>0044</w:t>
            </w:r>
          </w:p>
        </w:tc>
        <w:tc>
          <w:tcPr>
            <w:tcW w:w="2664" w:type="dxa"/>
            <w:tcBorders>
              <w:top w:val="single" w:sz="4" w:space="0" w:color="BFBFBF"/>
              <w:left w:val="single" w:sz="8" w:space="0" w:color="BFBFBF"/>
              <w:bottom w:val="single" w:sz="4" w:space="0" w:color="BFBFBF"/>
              <w:right w:val="single" w:sz="8" w:space="0" w:color="BFBFBF"/>
            </w:tcBorders>
            <w:shd w:val="clear" w:color="auto" w:fill="auto"/>
          </w:tcPr>
          <w:p w14:paraId="26B51C68" w14:textId="56837CD2" w:rsidR="005525D4" w:rsidRPr="005525D4" w:rsidRDefault="005525D4" w:rsidP="004E6DE8">
            <w:pPr>
              <w:keepNext/>
              <w:keepLines/>
              <w:spacing w:before="60" w:after="60"/>
              <w:rPr>
                <w:rFonts w:cs="Calibri"/>
                <w:sz w:val="16"/>
                <w:szCs w:val="16"/>
                <w:lang w:eastAsia="es-ES"/>
              </w:rPr>
            </w:pPr>
            <w:r w:rsidRPr="005525D4">
              <w:rPr>
                <w:rFonts w:cs="Calibri"/>
                <w:sz w:val="16"/>
                <w:szCs w:val="16"/>
                <w:lang w:eastAsia="es-ES"/>
              </w:rPr>
              <w:t>Risque de dérive de la portée des travaux, de dépassements de coûts et de retards non détectés à temps.</w:t>
            </w:r>
          </w:p>
        </w:tc>
        <w:tc>
          <w:tcPr>
            <w:tcW w:w="2045" w:type="dxa"/>
            <w:tcBorders>
              <w:top w:val="single" w:sz="4" w:space="0" w:color="BFBFBF"/>
              <w:left w:val="single" w:sz="8" w:space="0" w:color="BFBFBF"/>
              <w:bottom w:val="single" w:sz="4" w:space="0" w:color="BFBFBF"/>
              <w:right w:val="single" w:sz="8" w:space="0" w:color="BFBFBF"/>
            </w:tcBorders>
          </w:tcPr>
          <w:p w14:paraId="0D0F7676" w14:textId="0D5865D9" w:rsidR="005525D4" w:rsidRPr="005525D4" w:rsidRDefault="005525D4" w:rsidP="004E6DE8">
            <w:pPr>
              <w:keepNext/>
              <w:keepLines/>
              <w:spacing w:before="60" w:after="60"/>
              <w:rPr>
                <w:rFonts w:cs="Calibri"/>
                <w:sz w:val="16"/>
                <w:szCs w:val="16"/>
                <w:lang w:eastAsia="es-ES"/>
              </w:rPr>
            </w:pPr>
            <w:r w:rsidRPr="005525D4">
              <w:rPr>
                <w:rFonts w:cs="Calibri"/>
                <w:sz w:val="16"/>
                <w:szCs w:val="16"/>
                <w:lang w:eastAsia="es-ES"/>
              </w:rPr>
              <w:t>Libellé inadéquat des contrats.</w:t>
            </w:r>
          </w:p>
        </w:tc>
        <w:tc>
          <w:tcPr>
            <w:tcW w:w="2268" w:type="dxa"/>
            <w:tcBorders>
              <w:top w:val="single" w:sz="4" w:space="0" w:color="BFBFBF"/>
              <w:left w:val="single" w:sz="8" w:space="0" w:color="BFBFBF"/>
              <w:bottom w:val="single" w:sz="4" w:space="0" w:color="BFBFBF"/>
              <w:right w:val="single" w:sz="8" w:space="0" w:color="BFBFBF"/>
            </w:tcBorders>
          </w:tcPr>
          <w:p w14:paraId="62019F31" w14:textId="18C916C2" w:rsidR="005525D4" w:rsidRDefault="002A38BA" w:rsidP="004E6DE8">
            <w:pPr>
              <w:keepNext/>
              <w:keepLines/>
              <w:spacing w:before="60" w:after="60"/>
              <w:rPr>
                <w:rFonts w:cs="Calibri"/>
                <w:sz w:val="16"/>
                <w:szCs w:val="16"/>
                <w:lang w:eastAsia="es-ES"/>
              </w:rPr>
            </w:pPr>
            <w:r w:rsidRPr="002A38BA">
              <w:rPr>
                <w:rFonts w:cs="Calibri"/>
                <w:sz w:val="16"/>
                <w:szCs w:val="16"/>
                <w:lang w:eastAsia="es-ES"/>
              </w:rPr>
              <w:t>Des contrats précis, juridiquement contraignants et à prix fixe</w:t>
            </w:r>
            <w:r w:rsidR="005525D4" w:rsidRPr="002A38BA">
              <w:rPr>
                <w:rFonts w:cs="Calibri"/>
                <w:sz w:val="16"/>
                <w:szCs w:val="16"/>
                <w:lang w:eastAsia="es-ES"/>
              </w:rPr>
              <w:t xml:space="preserve">. </w:t>
            </w:r>
            <w:r w:rsidR="005525D4" w:rsidRPr="005525D4">
              <w:rPr>
                <w:rFonts w:cs="Calibri"/>
                <w:sz w:val="16"/>
                <w:szCs w:val="16"/>
                <w:lang w:eastAsia="es-ES"/>
              </w:rPr>
              <w:t>Désigner un cabinet d</w:t>
            </w:r>
            <w:r w:rsidR="004E6DE8">
              <w:rPr>
                <w:rFonts w:cs="Calibri"/>
                <w:sz w:val="16"/>
                <w:szCs w:val="16"/>
                <w:lang w:eastAsia="es-ES"/>
              </w:rPr>
              <w:t>'</w:t>
            </w:r>
            <w:r w:rsidR="005525D4" w:rsidRPr="005525D4">
              <w:rPr>
                <w:rFonts w:cs="Calibri"/>
                <w:sz w:val="16"/>
                <w:szCs w:val="16"/>
                <w:lang w:eastAsia="es-ES"/>
              </w:rPr>
              <w:t>avocats spécialisé pour le projet.</w:t>
            </w:r>
            <w:r w:rsidR="005525D4">
              <w:rPr>
                <w:rFonts w:cs="Calibri"/>
                <w:sz w:val="16"/>
                <w:szCs w:val="16"/>
                <w:lang w:eastAsia="es-ES"/>
              </w:rPr>
              <w:t xml:space="preserve"> </w:t>
            </w:r>
          </w:p>
          <w:p w14:paraId="25403495" w14:textId="7892FEDD" w:rsidR="005525D4" w:rsidRPr="00B342D3" w:rsidRDefault="00B342D3" w:rsidP="004E6DE8">
            <w:pPr>
              <w:keepNext/>
              <w:keepLines/>
              <w:spacing w:before="60" w:after="60"/>
              <w:rPr>
                <w:rFonts w:cs="Calibri"/>
                <w:sz w:val="16"/>
                <w:szCs w:val="16"/>
                <w:lang w:eastAsia="es-ES"/>
              </w:rPr>
            </w:pPr>
            <w:r w:rsidRPr="00B342D3">
              <w:rPr>
                <w:rFonts w:cs="Calibri"/>
                <w:sz w:val="16"/>
                <w:szCs w:val="16"/>
                <w:lang w:eastAsia="es-ES"/>
              </w:rPr>
              <w:t>L</w:t>
            </w:r>
            <w:r w:rsidR="004E6DE8">
              <w:rPr>
                <w:rFonts w:cs="Calibri"/>
                <w:sz w:val="16"/>
                <w:szCs w:val="16"/>
                <w:lang w:eastAsia="es-ES"/>
              </w:rPr>
              <w:t>'</w:t>
            </w:r>
            <w:r w:rsidRPr="00B342D3">
              <w:rPr>
                <w:rFonts w:cs="Calibri"/>
                <w:sz w:val="16"/>
                <w:szCs w:val="16"/>
                <w:lang w:eastAsia="es-ES"/>
              </w:rPr>
              <w:t>Unité des affaires juridi</w:t>
            </w:r>
            <w:r>
              <w:rPr>
                <w:rFonts w:cs="Calibri"/>
                <w:sz w:val="16"/>
                <w:szCs w:val="16"/>
                <w:lang w:eastAsia="es-ES"/>
              </w:rPr>
              <w:t>ques fournira un appui à la Division des achats en vue de l</w:t>
            </w:r>
            <w:r w:rsidR="004E6DE8">
              <w:rPr>
                <w:rFonts w:cs="Calibri"/>
                <w:sz w:val="16"/>
                <w:szCs w:val="16"/>
                <w:lang w:eastAsia="es-ES"/>
              </w:rPr>
              <w:t>'</w:t>
            </w:r>
            <w:r>
              <w:rPr>
                <w:rFonts w:cs="Calibri"/>
                <w:sz w:val="16"/>
                <w:szCs w:val="16"/>
                <w:lang w:eastAsia="es-ES"/>
              </w:rPr>
              <w:t>élaboration des contrats. Des fonds seront identifiés pour payer les honoraires du cabinet d</w:t>
            </w:r>
            <w:r w:rsidR="004E6DE8">
              <w:rPr>
                <w:rFonts w:cs="Calibri"/>
                <w:sz w:val="16"/>
                <w:szCs w:val="16"/>
                <w:lang w:eastAsia="es-ES"/>
              </w:rPr>
              <w:t>'</w:t>
            </w:r>
            <w:r>
              <w:rPr>
                <w:rFonts w:cs="Calibri"/>
                <w:sz w:val="16"/>
                <w:szCs w:val="16"/>
                <w:lang w:eastAsia="es-ES"/>
              </w:rPr>
              <w:t>avocats spécialisé</w:t>
            </w:r>
            <w:r w:rsidR="005525D4" w:rsidRPr="00B342D3">
              <w:rPr>
                <w:rFonts w:cs="Calibri"/>
                <w:sz w:val="16"/>
                <w:szCs w:val="16"/>
                <w:lang w:eastAsia="es-ES"/>
              </w:rPr>
              <w:t>.</w:t>
            </w:r>
          </w:p>
        </w:tc>
        <w:tc>
          <w:tcPr>
            <w:tcW w:w="1074" w:type="dxa"/>
            <w:tcBorders>
              <w:top w:val="single" w:sz="4" w:space="0" w:color="BFBFBF"/>
              <w:left w:val="single" w:sz="8" w:space="0" w:color="BFBFBF"/>
              <w:bottom w:val="single" w:sz="4" w:space="0" w:color="BFBFBF"/>
              <w:right w:val="single" w:sz="8" w:space="0" w:color="BFBFBF"/>
            </w:tcBorders>
            <w:shd w:val="clear" w:color="auto" w:fill="auto"/>
          </w:tcPr>
          <w:p w14:paraId="2B2DF5F2" w14:textId="122D4182" w:rsidR="005525D4" w:rsidRDefault="005525D4" w:rsidP="004E6DE8">
            <w:pPr>
              <w:keepNext/>
              <w:keepLines/>
              <w:spacing w:before="60" w:after="60"/>
              <w:jc w:val="center"/>
              <w:rPr>
                <w:rFonts w:cs="Calibri"/>
                <w:sz w:val="16"/>
                <w:szCs w:val="16"/>
                <w:lang w:eastAsia="es-ES"/>
              </w:rPr>
            </w:pPr>
            <w:r>
              <w:rPr>
                <w:rFonts w:cs="Calibri"/>
                <w:sz w:val="16"/>
                <w:szCs w:val="16"/>
                <w:lang w:eastAsia="es-ES"/>
              </w:rPr>
              <w:t>0,50</w:t>
            </w:r>
          </w:p>
        </w:tc>
        <w:tc>
          <w:tcPr>
            <w:tcW w:w="850" w:type="dxa"/>
            <w:tcBorders>
              <w:top w:val="single" w:sz="4" w:space="0" w:color="BFBFBF"/>
              <w:left w:val="single" w:sz="8" w:space="0" w:color="BFBFBF"/>
              <w:bottom w:val="single" w:sz="4" w:space="0" w:color="BFBFBF"/>
              <w:right w:val="single" w:sz="8" w:space="0" w:color="BFBFBF"/>
            </w:tcBorders>
            <w:shd w:val="clear" w:color="auto" w:fill="auto"/>
            <w:noWrap/>
          </w:tcPr>
          <w:p w14:paraId="1D411923" w14:textId="2DDDFABD" w:rsidR="005525D4" w:rsidRDefault="005525D4" w:rsidP="004E6DE8">
            <w:pPr>
              <w:keepNext/>
              <w:keepLines/>
              <w:spacing w:before="60" w:after="60"/>
              <w:jc w:val="center"/>
              <w:rPr>
                <w:rFonts w:cs="Calibri"/>
                <w:sz w:val="16"/>
                <w:szCs w:val="16"/>
                <w:lang w:eastAsia="es-ES"/>
              </w:rPr>
            </w:pPr>
            <w:r>
              <w:rPr>
                <w:rFonts w:cs="Calibri"/>
                <w:sz w:val="16"/>
                <w:szCs w:val="16"/>
                <w:lang w:eastAsia="es-ES"/>
              </w:rPr>
              <w:t>0,40</w:t>
            </w:r>
          </w:p>
        </w:tc>
        <w:tc>
          <w:tcPr>
            <w:tcW w:w="1134" w:type="dxa"/>
            <w:tcBorders>
              <w:top w:val="single" w:sz="4" w:space="0" w:color="BFBFBF"/>
              <w:left w:val="single" w:sz="8" w:space="0" w:color="BFBFBF"/>
              <w:bottom w:val="single" w:sz="4" w:space="0" w:color="BFBFBF"/>
              <w:right w:val="single" w:sz="8" w:space="0" w:color="BFBFBF"/>
            </w:tcBorders>
            <w:shd w:val="clear" w:color="auto" w:fill="auto"/>
          </w:tcPr>
          <w:p w14:paraId="656E0D7C" w14:textId="0FCCA097" w:rsidR="005525D4" w:rsidRDefault="005525D4" w:rsidP="004E6DE8">
            <w:pPr>
              <w:keepNext/>
              <w:keepLines/>
              <w:spacing w:before="60" w:after="60"/>
              <w:jc w:val="center"/>
              <w:rPr>
                <w:rFonts w:cs="Calibri"/>
                <w:sz w:val="16"/>
                <w:szCs w:val="16"/>
                <w:lang w:eastAsia="es-ES"/>
              </w:rPr>
            </w:pPr>
            <w:r>
              <w:rPr>
                <w:rFonts w:cs="Calibri"/>
                <w:sz w:val="16"/>
                <w:szCs w:val="16"/>
                <w:lang w:eastAsia="es-ES"/>
              </w:rPr>
              <w:t>0</w:t>
            </w:r>
          </w:p>
        </w:tc>
        <w:tc>
          <w:tcPr>
            <w:tcW w:w="3276" w:type="dxa"/>
            <w:tcBorders>
              <w:top w:val="single" w:sz="4" w:space="0" w:color="BFBFBF"/>
              <w:left w:val="single" w:sz="8" w:space="0" w:color="BFBFBF"/>
              <w:bottom w:val="single" w:sz="4" w:space="0" w:color="BFBFBF"/>
              <w:right w:val="single" w:sz="4" w:space="0" w:color="BFBFBF"/>
            </w:tcBorders>
            <w:shd w:val="clear" w:color="000000" w:fill="FFFFFF"/>
          </w:tcPr>
          <w:p w14:paraId="4A08299C" w14:textId="3AC7064B" w:rsidR="005525D4" w:rsidRPr="00B342D3" w:rsidRDefault="00B342D3" w:rsidP="004E6DE8">
            <w:pPr>
              <w:keepNext/>
              <w:keepLines/>
              <w:spacing w:before="60" w:after="60"/>
              <w:rPr>
                <w:rFonts w:cs="Calibri"/>
                <w:sz w:val="16"/>
                <w:szCs w:val="16"/>
                <w:lang w:eastAsia="es-ES"/>
              </w:rPr>
            </w:pPr>
            <w:r w:rsidRPr="00B342D3">
              <w:rPr>
                <w:rFonts w:cs="Calibri"/>
                <w:sz w:val="16"/>
                <w:szCs w:val="16"/>
                <w:lang w:eastAsia="es-ES"/>
              </w:rPr>
              <w:t>Responsabilité de l</w:t>
            </w:r>
            <w:r w:rsidR="004E6DE8">
              <w:rPr>
                <w:rFonts w:cs="Calibri"/>
                <w:sz w:val="16"/>
                <w:szCs w:val="16"/>
                <w:lang w:eastAsia="es-ES"/>
              </w:rPr>
              <w:t>'</w:t>
            </w:r>
            <w:r w:rsidRPr="00B342D3">
              <w:rPr>
                <w:rFonts w:cs="Calibri"/>
                <w:sz w:val="16"/>
                <w:szCs w:val="16"/>
                <w:lang w:eastAsia="es-ES"/>
              </w:rPr>
              <w:t>EG, si le contrat avec l</w:t>
            </w:r>
            <w:r w:rsidR="004E6DE8">
              <w:rPr>
                <w:rFonts w:cs="Calibri"/>
                <w:sz w:val="16"/>
                <w:szCs w:val="16"/>
                <w:lang w:eastAsia="es-ES"/>
              </w:rPr>
              <w:t>'</w:t>
            </w:r>
            <w:r w:rsidRPr="00B342D3">
              <w:rPr>
                <w:rFonts w:cs="Calibri"/>
                <w:sz w:val="16"/>
                <w:szCs w:val="16"/>
                <w:lang w:eastAsia="es-ES"/>
              </w:rPr>
              <w:t>EG est forfaitaire, elle doit assumer les frais et le retard.</w:t>
            </w:r>
          </w:p>
        </w:tc>
      </w:tr>
      <w:tr w:rsidR="005525D4" w:rsidRPr="00DD0DAD" w14:paraId="483E165C" w14:textId="77777777" w:rsidTr="004E6DE8">
        <w:trPr>
          <w:trHeight w:val="480"/>
          <w:jc w:val="center"/>
        </w:trPr>
        <w:tc>
          <w:tcPr>
            <w:tcW w:w="865" w:type="dxa"/>
            <w:tcBorders>
              <w:top w:val="single" w:sz="4" w:space="0" w:color="BFBFBF"/>
              <w:left w:val="single" w:sz="4" w:space="0" w:color="BFBFBF"/>
              <w:bottom w:val="single" w:sz="4" w:space="0" w:color="BFBFBF"/>
              <w:right w:val="single" w:sz="8" w:space="0" w:color="BFBFBF"/>
            </w:tcBorders>
            <w:shd w:val="clear" w:color="000000" w:fill="FFFFFF"/>
          </w:tcPr>
          <w:p w14:paraId="16DB3512" w14:textId="3BBC3EF6" w:rsidR="005525D4" w:rsidRDefault="005525D4" w:rsidP="004E6DE8">
            <w:pPr>
              <w:keepNext/>
              <w:keepLines/>
              <w:spacing w:before="60" w:after="60"/>
              <w:rPr>
                <w:rFonts w:cs="Calibri"/>
                <w:sz w:val="16"/>
                <w:szCs w:val="16"/>
                <w:lang w:eastAsia="es-ES"/>
              </w:rPr>
            </w:pPr>
            <w:r>
              <w:rPr>
                <w:rFonts w:cs="Calibri"/>
                <w:sz w:val="16"/>
                <w:szCs w:val="16"/>
                <w:lang w:eastAsia="es-ES"/>
              </w:rPr>
              <w:t>122</w:t>
            </w:r>
          </w:p>
        </w:tc>
        <w:tc>
          <w:tcPr>
            <w:tcW w:w="2664" w:type="dxa"/>
            <w:tcBorders>
              <w:top w:val="single" w:sz="4" w:space="0" w:color="BFBFBF"/>
              <w:left w:val="single" w:sz="8" w:space="0" w:color="BFBFBF"/>
              <w:bottom w:val="single" w:sz="4" w:space="0" w:color="BFBFBF"/>
              <w:right w:val="single" w:sz="8" w:space="0" w:color="BFBFBF"/>
            </w:tcBorders>
            <w:shd w:val="clear" w:color="auto" w:fill="auto"/>
          </w:tcPr>
          <w:p w14:paraId="728FB761" w14:textId="77727EF3" w:rsidR="005525D4" w:rsidRPr="005525D4" w:rsidRDefault="00B342D3" w:rsidP="004E6DE8">
            <w:pPr>
              <w:keepNext/>
              <w:keepLines/>
              <w:spacing w:before="60" w:after="60"/>
              <w:rPr>
                <w:rFonts w:cs="Calibri"/>
                <w:sz w:val="16"/>
                <w:szCs w:val="16"/>
                <w:lang w:eastAsia="es-ES"/>
              </w:rPr>
            </w:pPr>
            <w:r>
              <w:rPr>
                <w:rFonts w:cs="Calibri"/>
                <w:sz w:val="16"/>
                <w:szCs w:val="16"/>
                <w:lang w:eastAsia="es-ES"/>
              </w:rPr>
              <w:t>Faillite des sous-traitants</w:t>
            </w:r>
            <w:r w:rsidR="00E121DD">
              <w:rPr>
                <w:rFonts w:cs="Calibri"/>
                <w:sz w:val="16"/>
                <w:szCs w:val="16"/>
                <w:lang w:eastAsia="es-ES"/>
              </w:rPr>
              <w:t>.</w:t>
            </w:r>
          </w:p>
        </w:tc>
        <w:tc>
          <w:tcPr>
            <w:tcW w:w="2045" w:type="dxa"/>
            <w:tcBorders>
              <w:top w:val="single" w:sz="4" w:space="0" w:color="BFBFBF"/>
              <w:left w:val="single" w:sz="8" w:space="0" w:color="BFBFBF"/>
              <w:bottom w:val="single" w:sz="4" w:space="0" w:color="BFBFBF"/>
              <w:right w:val="single" w:sz="8" w:space="0" w:color="BFBFBF"/>
            </w:tcBorders>
          </w:tcPr>
          <w:p w14:paraId="0E7AFBE2" w14:textId="77C7E973" w:rsidR="005525D4" w:rsidRPr="00B342D3" w:rsidRDefault="00B342D3" w:rsidP="004E6DE8">
            <w:pPr>
              <w:keepNext/>
              <w:keepLines/>
              <w:spacing w:before="60" w:after="60"/>
              <w:rPr>
                <w:rFonts w:cs="Calibri"/>
                <w:sz w:val="16"/>
                <w:szCs w:val="16"/>
                <w:lang w:eastAsia="es-ES"/>
              </w:rPr>
            </w:pPr>
            <w:r w:rsidRPr="00B342D3">
              <w:rPr>
                <w:rFonts w:cs="Calibri"/>
                <w:sz w:val="16"/>
                <w:szCs w:val="16"/>
                <w:lang w:eastAsia="es-ES"/>
              </w:rPr>
              <w:t>Le processus de sélection du sous-traitant</w:t>
            </w:r>
            <w:r>
              <w:rPr>
                <w:rFonts w:cs="Calibri"/>
                <w:sz w:val="16"/>
                <w:szCs w:val="16"/>
                <w:lang w:eastAsia="es-ES"/>
              </w:rPr>
              <w:t xml:space="preserve"> n</w:t>
            </w:r>
            <w:r w:rsidR="004E6DE8">
              <w:rPr>
                <w:rFonts w:cs="Calibri"/>
                <w:sz w:val="16"/>
                <w:szCs w:val="16"/>
                <w:lang w:eastAsia="es-ES"/>
              </w:rPr>
              <w:t>'</w:t>
            </w:r>
            <w:r>
              <w:rPr>
                <w:rFonts w:cs="Calibri"/>
                <w:sz w:val="16"/>
                <w:szCs w:val="16"/>
                <w:lang w:eastAsia="es-ES"/>
              </w:rPr>
              <w:t>évalue pas suffisamment la situation financière du sous-traitant et le paiement de</w:t>
            </w:r>
            <w:r w:rsidRPr="00B342D3">
              <w:rPr>
                <w:rFonts w:cs="Calibri"/>
                <w:sz w:val="16"/>
                <w:szCs w:val="16"/>
                <w:lang w:eastAsia="es-ES"/>
              </w:rPr>
              <w:t>s</w:t>
            </w:r>
            <w:r>
              <w:rPr>
                <w:rFonts w:cs="Calibri"/>
                <w:sz w:val="16"/>
                <w:szCs w:val="16"/>
                <w:lang w:eastAsia="es-ES"/>
              </w:rPr>
              <w:t xml:space="preserve"> impôts</w:t>
            </w:r>
            <w:r w:rsidR="00E121DD">
              <w:rPr>
                <w:rFonts w:cs="Calibri"/>
                <w:sz w:val="16"/>
                <w:szCs w:val="16"/>
                <w:lang w:eastAsia="es-ES"/>
              </w:rPr>
              <w:t>.</w:t>
            </w:r>
          </w:p>
        </w:tc>
        <w:tc>
          <w:tcPr>
            <w:tcW w:w="2268" w:type="dxa"/>
            <w:tcBorders>
              <w:top w:val="single" w:sz="4" w:space="0" w:color="BFBFBF"/>
              <w:left w:val="single" w:sz="8" w:space="0" w:color="BFBFBF"/>
              <w:bottom w:val="single" w:sz="4" w:space="0" w:color="BFBFBF"/>
              <w:right w:val="single" w:sz="8" w:space="0" w:color="BFBFBF"/>
            </w:tcBorders>
          </w:tcPr>
          <w:p w14:paraId="558DAF10" w14:textId="369633BF" w:rsidR="005525D4" w:rsidRPr="00B342D3" w:rsidRDefault="00B342D3" w:rsidP="004E6DE8">
            <w:pPr>
              <w:keepNext/>
              <w:keepLines/>
              <w:spacing w:before="60" w:after="60"/>
              <w:rPr>
                <w:rFonts w:cs="Calibri"/>
                <w:sz w:val="16"/>
                <w:szCs w:val="16"/>
                <w:lang w:eastAsia="es-ES"/>
              </w:rPr>
            </w:pPr>
            <w:r w:rsidRPr="00B342D3">
              <w:rPr>
                <w:rFonts w:cs="Calibri"/>
                <w:sz w:val="16"/>
                <w:szCs w:val="16"/>
                <w:lang w:eastAsia="es-ES"/>
              </w:rPr>
              <w:t>Mettre au point un processus</w:t>
            </w:r>
            <w:r>
              <w:rPr>
                <w:rFonts w:cs="Calibri"/>
                <w:sz w:val="16"/>
                <w:szCs w:val="16"/>
                <w:lang w:eastAsia="es-ES"/>
              </w:rPr>
              <w:t xml:space="preserve"> d</w:t>
            </w:r>
            <w:r w:rsidR="004E6DE8">
              <w:rPr>
                <w:rFonts w:cs="Calibri"/>
                <w:sz w:val="16"/>
                <w:szCs w:val="16"/>
                <w:lang w:eastAsia="es-ES"/>
              </w:rPr>
              <w:t>'</w:t>
            </w:r>
            <w:r>
              <w:rPr>
                <w:rFonts w:cs="Calibri"/>
                <w:sz w:val="16"/>
                <w:szCs w:val="16"/>
                <w:lang w:eastAsia="es-ES"/>
              </w:rPr>
              <w:t>appel d</w:t>
            </w:r>
            <w:r w:rsidR="004E6DE8">
              <w:rPr>
                <w:rFonts w:cs="Calibri"/>
                <w:sz w:val="16"/>
                <w:szCs w:val="16"/>
                <w:lang w:eastAsia="es-ES"/>
              </w:rPr>
              <w:t>'</w:t>
            </w:r>
            <w:r>
              <w:rPr>
                <w:rFonts w:cs="Calibri"/>
                <w:sz w:val="16"/>
                <w:szCs w:val="16"/>
                <w:lang w:eastAsia="es-ES"/>
              </w:rPr>
              <w:t>offres pour les sous-traitants</w:t>
            </w:r>
            <w:r w:rsidR="005525D4" w:rsidRPr="00B342D3">
              <w:rPr>
                <w:rFonts w:cs="Calibri"/>
                <w:sz w:val="16"/>
                <w:szCs w:val="16"/>
                <w:lang w:eastAsia="es-ES"/>
              </w:rPr>
              <w:t>.</w:t>
            </w:r>
          </w:p>
          <w:p w14:paraId="1F1DCB85" w14:textId="447594E6" w:rsidR="005525D4" w:rsidRPr="00DE5ADB" w:rsidRDefault="00B342D3" w:rsidP="004E6DE8">
            <w:pPr>
              <w:keepNext/>
              <w:keepLines/>
              <w:spacing w:before="60" w:after="60"/>
              <w:rPr>
                <w:rFonts w:cs="Calibri"/>
                <w:sz w:val="16"/>
                <w:szCs w:val="16"/>
                <w:lang w:eastAsia="es-ES"/>
              </w:rPr>
            </w:pPr>
            <w:r w:rsidRPr="00B342D3">
              <w:rPr>
                <w:rFonts w:cs="Calibri"/>
                <w:sz w:val="16"/>
                <w:szCs w:val="16"/>
                <w:lang w:eastAsia="es-ES"/>
              </w:rPr>
              <w:t>Processus en vertu duquel l</w:t>
            </w:r>
            <w:r w:rsidR="004E6DE8">
              <w:rPr>
                <w:rFonts w:cs="Calibri"/>
                <w:sz w:val="16"/>
                <w:szCs w:val="16"/>
                <w:lang w:eastAsia="es-ES"/>
              </w:rPr>
              <w:t>'</w:t>
            </w:r>
            <w:r>
              <w:rPr>
                <w:rFonts w:cs="Calibri"/>
                <w:sz w:val="16"/>
                <w:szCs w:val="16"/>
                <w:lang w:eastAsia="es-ES"/>
              </w:rPr>
              <w:t>entreprise générale a certaines obligations consistant à évaluer la bonne situation financière de tous les sous-traitants durant le processus d</w:t>
            </w:r>
            <w:r w:rsidR="004E6DE8">
              <w:rPr>
                <w:rFonts w:cs="Calibri"/>
                <w:sz w:val="16"/>
                <w:szCs w:val="16"/>
                <w:lang w:eastAsia="es-ES"/>
              </w:rPr>
              <w:t>'</w:t>
            </w:r>
            <w:r>
              <w:rPr>
                <w:rFonts w:cs="Calibri"/>
                <w:sz w:val="16"/>
                <w:szCs w:val="16"/>
                <w:lang w:eastAsia="es-ES"/>
              </w:rPr>
              <w:t>appel d</w:t>
            </w:r>
            <w:r w:rsidR="004E6DE8">
              <w:rPr>
                <w:rFonts w:cs="Calibri"/>
                <w:sz w:val="16"/>
                <w:szCs w:val="16"/>
                <w:lang w:eastAsia="es-ES"/>
              </w:rPr>
              <w:t>'</w:t>
            </w:r>
            <w:r>
              <w:rPr>
                <w:rFonts w:cs="Calibri"/>
                <w:sz w:val="16"/>
                <w:szCs w:val="16"/>
                <w:lang w:eastAsia="es-ES"/>
              </w:rPr>
              <w:t>offres, notamment, mais non exclusivement en ce qui concerne le paiement des impôts, le registre commercial, etc.</w:t>
            </w:r>
          </w:p>
        </w:tc>
        <w:tc>
          <w:tcPr>
            <w:tcW w:w="1074" w:type="dxa"/>
            <w:tcBorders>
              <w:top w:val="single" w:sz="4" w:space="0" w:color="BFBFBF"/>
              <w:left w:val="single" w:sz="8" w:space="0" w:color="BFBFBF"/>
              <w:bottom w:val="single" w:sz="4" w:space="0" w:color="BFBFBF"/>
              <w:right w:val="single" w:sz="8" w:space="0" w:color="BFBFBF"/>
            </w:tcBorders>
            <w:shd w:val="clear" w:color="auto" w:fill="auto"/>
          </w:tcPr>
          <w:p w14:paraId="55156C8E" w14:textId="12441D33" w:rsidR="005525D4" w:rsidRDefault="005525D4" w:rsidP="004E6DE8">
            <w:pPr>
              <w:keepNext/>
              <w:keepLines/>
              <w:spacing w:before="60" w:after="60"/>
              <w:jc w:val="center"/>
              <w:rPr>
                <w:rFonts w:cs="Calibri"/>
                <w:sz w:val="16"/>
                <w:szCs w:val="16"/>
                <w:lang w:eastAsia="es-ES"/>
              </w:rPr>
            </w:pPr>
            <w:r>
              <w:rPr>
                <w:rFonts w:cs="Calibri"/>
                <w:sz w:val="16"/>
                <w:szCs w:val="16"/>
                <w:lang w:eastAsia="es-ES"/>
              </w:rPr>
              <w:t>0,30</w:t>
            </w:r>
          </w:p>
        </w:tc>
        <w:tc>
          <w:tcPr>
            <w:tcW w:w="850" w:type="dxa"/>
            <w:tcBorders>
              <w:top w:val="single" w:sz="4" w:space="0" w:color="BFBFBF"/>
              <w:left w:val="single" w:sz="8" w:space="0" w:color="BFBFBF"/>
              <w:bottom w:val="single" w:sz="4" w:space="0" w:color="BFBFBF"/>
              <w:right w:val="single" w:sz="8" w:space="0" w:color="BFBFBF"/>
            </w:tcBorders>
            <w:shd w:val="clear" w:color="auto" w:fill="auto"/>
            <w:noWrap/>
          </w:tcPr>
          <w:p w14:paraId="31F2691D" w14:textId="2034FD62" w:rsidR="005525D4" w:rsidRDefault="005525D4" w:rsidP="004E6DE8">
            <w:pPr>
              <w:keepNext/>
              <w:keepLines/>
              <w:spacing w:before="60" w:after="60"/>
              <w:jc w:val="center"/>
              <w:rPr>
                <w:rFonts w:cs="Calibri"/>
                <w:sz w:val="16"/>
                <w:szCs w:val="16"/>
                <w:lang w:eastAsia="es-ES"/>
              </w:rPr>
            </w:pPr>
            <w:r>
              <w:rPr>
                <w:rFonts w:cs="Calibri"/>
                <w:sz w:val="16"/>
                <w:szCs w:val="16"/>
                <w:lang w:eastAsia="es-ES"/>
              </w:rPr>
              <w:t>0,80</w:t>
            </w:r>
          </w:p>
        </w:tc>
        <w:tc>
          <w:tcPr>
            <w:tcW w:w="1134" w:type="dxa"/>
            <w:tcBorders>
              <w:top w:val="single" w:sz="4" w:space="0" w:color="BFBFBF"/>
              <w:left w:val="single" w:sz="8" w:space="0" w:color="BFBFBF"/>
              <w:bottom w:val="single" w:sz="4" w:space="0" w:color="BFBFBF"/>
              <w:right w:val="single" w:sz="8" w:space="0" w:color="BFBFBF"/>
            </w:tcBorders>
            <w:shd w:val="clear" w:color="auto" w:fill="auto"/>
          </w:tcPr>
          <w:p w14:paraId="3BB75C18" w14:textId="791780F3" w:rsidR="005525D4" w:rsidRDefault="005525D4" w:rsidP="004E6DE8">
            <w:pPr>
              <w:keepNext/>
              <w:keepLines/>
              <w:spacing w:before="60" w:after="60"/>
              <w:jc w:val="center"/>
              <w:rPr>
                <w:rFonts w:cs="Calibri"/>
                <w:sz w:val="16"/>
                <w:szCs w:val="16"/>
                <w:lang w:eastAsia="es-ES"/>
              </w:rPr>
            </w:pPr>
            <w:r>
              <w:rPr>
                <w:rFonts w:cs="Calibri"/>
                <w:sz w:val="16"/>
                <w:szCs w:val="16"/>
                <w:lang w:eastAsia="es-ES"/>
              </w:rPr>
              <w:t>0</w:t>
            </w:r>
          </w:p>
        </w:tc>
        <w:tc>
          <w:tcPr>
            <w:tcW w:w="3276" w:type="dxa"/>
            <w:tcBorders>
              <w:top w:val="single" w:sz="4" w:space="0" w:color="BFBFBF"/>
              <w:left w:val="single" w:sz="8" w:space="0" w:color="BFBFBF"/>
              <w:bottom w:val="single" w:sz="4" w:space="0" w:color="BFBFBF"/>
              <w:right w:val="single" w:sz="4" w:space="0" w:color="BFBFBF"/>
            </w:tcBorders>
            <w:shd w:val="clear" w:color="000000" w:fill="FFFFFF"/>
          </w:tcPr>
          <w:p w14:paraId="0454E767" w14:textId="16D76C8D" w:rsidR="005525D4" w:rsidRPr="00DD0DAD" w:rsidRDefault="00B342D3" w:rsidP="004E6DE8">
            <w:pPr>
              <w:keepNext/>
              <w:keepLines/>
              <w:spacing w:before="60" w:after="60"/>
              <w:rPr>
                <w:rFonts w:cs="Calibri"/>
                <w:sz w:val="16"/>
                <w:szCs w:val="16"/>
                <w:lang w:eastAsia="es-ES"/>
              </w:rPr>
            </w:pPr>
            <w:r>
              <w:rPr>
                <w:rFonts w:cs="Calibri"/>
                <w:sz w:val="16"/>
                <w:szCs w:val="16"/>
                <w:lang w:eastAsia="es-ES"/>
              </w:rPr>
              <w:t>Difficile à quantifier</w:t>
            </w:r>
            <w:r w:rsidR="00E121DD">
              <w:rPr>
                <w:rFonts w:cs="Calibri"/>
                <w:sz w:val="16"/>
                <w:szCs w:val="16"/>
                <w:lang w:eastAsia="es-ES"/>
              </w:rPr>
              <w:t>.</w:t>
            </w:r>
          </w:p>
        </w:tc>
      </w:tr>
      <w:tr w:rsidR="005525D4" w:rsidRPr="00DD0DAD" w14:paraId="08057B20" w14:textId="77777777" w:rsidTr="004E6DE8">
        <w:trPr>
          <w:trHeight w:val="480"/>
          <w:jc w:val="center"/>
        </w:trPr>
        <w:tc>
          <w:tcPr>
            <w:tcW w:w="14176" w:type="dxa"/>
            <w:gridSpan w:val="8"/>
            <w:tcBorders>
              <w:top w:val="single" w:sz="4" w:space="0" w:color="BFBFBF"/>
              <w:left w:val="single" w:sz="4" w:space="0" w:color="BFBFBF"/>
              <w:bottom w:val="single" w:sz="4" w:space="0" w:color="BFBFBF"/>
              <w:right w:val="single" w:sz="4" w:space="0" w:color="BFBFBF"/>
            </w:tcBorders>
            <w:shd w:val="clear" w:color="000000" w:fill="FFFFFF"/>
          </w:tcPr>
          <w:p w14:paraId="10938FEF" w14:textId="71DEB88C" w:rsidR="005525D4" w:rsidRPr="005525D4" w:rsidRDefault="005525D4" w:rsidP="004E6DE8">
            <w:pPr>
              <w:keepNext/>
              <w:keepLines/>
              <w:spacing w:before="60" w:after="60"/>
              <w:rPr>
                <w:rFonts w:cs="Calibri"/>
                <w:b/>
                <w:bCs/>
                <w:sz w:val="20"/>
                <w:lang w:eastAsia="es-ES"/>
              </w:rPr>
            </w:pPr>
            <w:r w:rsidRPr="005525D4">
              <w:rPr>
                <w:rFonts w:cs="Calibri"/>
                <w:b/>
                <w:bCs/>
                <w:sz w:val="20"/>
                <w:lang w:eastAsia="es-ES"/>
              </w:rPr>
              <w:t>Programme</w:t>
            </w:r>
          </w:p>
        </w:tc>
      </w:tr>
      <w:tr w:rsidR="005525D4" w:rsidRPr="00DD0DAD" w14:paraId="42470A25" w14:textId="77777777" w:rsidTr="004E6DE8">
        <w:trPr>
          <w:trHeight w:val="480"/>
          <w:jc w:val="center"/>
        </w:trPr>
        <w:tc>
          <w:tcPr>
            <w:tcW w:w="865" w:type="dxa"/>
            <w:tcBorders>
              <w:top w:val="single" w:sz="4" w:space="0" w:color="BFBFBF"/>
              <w:left w:val="single" w:sz="4" w:space="0" w:color="BFBFBF"/>
              <w:bottom w:val="single" w:sz="4" w:space="0" w:color="BFBFBF"/>
              <w:right w:val="single" w:sz="8" w:space="0" w:color="BFBFBF"/>
            </w:tcBorders>
            <w:shd w:val="clear" w:color="000000" w:fill="FFFFFF"/>
          </w:tcPr>
          <w:p w14:paraId="582C7673" w14:textId="22CA3EB3" w:rsidR="005525D4" w:rsidRDefault="005525D4" w:rsidP="004E6DE8">
            <w:pPr>
              <w:keepNext/>
              <w:keepLines/>
              <w:spacing w:before="60" w:after="60"/>
              <w:rPr>
                <w:rFonts w:cs="Calibri"/>
                <w:sz w:val="16"/>
                <w:szCs w:val="16"/>
                <w:lang w:eastAsia="es-ES"/>
              </w:rPr>
            </w:pPr>
            <w:r>
              <w:rPr>
                <w:rFonts w:cs="Calibri"/>
                <w:sz w:val="16"/>
                <w:szCs w:val="16"/>
                <w:lang w:eastAsia="es-ES"/>
              </w:rPr>
              <w:t>112/0092</w:t>
            </w:r>
          </w:p>
        </w:tc>
        <w:tc>
          <w:tcPr>
            <w:tcW w:w="2664" w:type="dxa"/>
            <w:tcBorders>
              <w:top w:val="single" w:sz="4" w:space="0" w:color="BFBFBF"/>
              <w:left w:val="single" w:sz="8" w:space="0" w:color="BFBFBF"/>
              <w:bottom w:val="single" w:sz="4" w:space="0" w:color="BFBFBF"/>
              <w:right w:val="single" w:sz="8" w:space="0" w:color="BFBFBF"/>
            </w:tcBorders>
            <w:shd w:val="clear" w:color="auto" w:fill="auto"/>
          </w:tcPr>
          <w:p w14:paraId="3CC90E24" w14:textId="791EB56F" w:rsidR="005525D4" w:rsidRPr="00B342D3" w:rsidRDefault="00B342D3" w:rsidP="004E6DE8">
            <w:pPr>
              <w:keepNext/>
              <w:keepLines/>
              <w:spacing w:before="60" w:after="60"/>
              <w:rPr>
                <w:rFonts w:cs="Calibri"/>
                <w:sz w:val="16"/>
                <w:szCs w:val="16"/>
                <w:lang w:eastAsia="es-ES"/>
              </w:rPr>
            </w:pPr>
            <w:r w:rsidRPr="00B342D3">
              <w:rPr>
                <w:rFonts w:cs="Calibri"/>
                <w:sz w:val="16"/>
                <w:szCs w:val="16"/>
                <w:lang w:eastAsia="es-ES"/>
              </w:rPr>
              <w:t>Conséquences inconnues d</w:t>
            </w:r>
            <w:r w:rsidR="004E6DE8">
              <w:rPr>
                <w:rFonts w:cs="Calibri"/>
                <w:sz w:val="16"/>
                <w:szCs w:val="16"/>
                <w:lang w:eastAsia="es-ES"/>
              </w:rPr>
              <w:t>'</w:t>
            </w:r>
            <w:r w:rsidR="001E08EC" w:rsidRPr="00B342D3">
              <w:rPr>
                <w:rFonts w:cs="Calibri"/>
                <w:sz w:val="16"/>
                <w:szCs w:val="16"/>
                <w:lang w:eastAsia="es-ES"/>
              </w:rPr>
              <w:t>évènements</w:t>
            </w:r>
            <w:r w:rsidRPr="00B342D3">
              <w:rPr>
                <w:rFonts w:cs="Calibri"/>
                <w:sz w:val="16"/>
                <w:szCs w:val="16"/>
                <w:lang w:eastAsia="es-ES"/>
              </w:rPr>
              <w:t xml:space="preserve"> imprévus pour </w:t>
            </w:r>
            <w:r>
              <w:rPr>
                <w:rFonts w:cs="Calibri"/>
                <w:sz w:val="16"/>
                <w:szCs w:val="16"/>
                <w:lang w:eastAsia="es-ES"/>
              </w:rPr>
              <w:t>le calendrier estimé du projet de bâtiment</w:t>
            </w:r>
            <w:r w:rsidR="005525D4" w:rsidRPr="00B342D3">
              <w:rPr>
                <w:rFonts w:cs="Calibri"/>
                <w:sz w:val="16"/>
                <w:szCs w:val="16"/>
                <w:lang w:eastAsia="es-ES"/>
              </w:rPr>
              <w:t>.</w:t>
            </w:r>
          </w:p>
        </w:tc>
        <w:tc>
          <w:tcPr>
            <w:tcW w:w="2045" w:type="dxa"/>
            <w:tcBorders>
              <w:top w:val="single" w:sz="4" w:space="0" w:color="BFBFBF"/>
              <w:left w:val="single" w:sz="8" w:space="0" w:color="BFBFBF"/>
              <w:bottom w:val="single" w:sz="4" w:space="0" w:color="BFBFBF"/>
              <w:right w:val="single" w:sz="8" w:space="0" w:color="BFBFBF"/>
            </w:tcBorders>
          </w:tcPr>
          <w:p w14:paraId="0830584B" w14:textId="10612381" w:rsidR="005525D4" w:rsidRPr="005525D4" w:rsidRDefault="00B342D3" w:rsidP="004E6DE8">
            <w:pPr>
              <w:keepNext/>
              <w:keepLines/>
              <w:spacing w:before="60" w:after="60"/>
              <w:rPr>
                <w:rFonts w:cs="Calibri"/>
                <w:sz w:val="16"/>
                <w:szCs w:val="16"/>
                <w:lang w:eastAsia="es-ES"/>
              </w:rPr>
            </w:pPr>
            <w:r>
              <w:rPr>
                <w:rFonts w:cs="Calibri"/>
                <w:sz w:val="16"/>
                <w:szCs w:val="16"/>
                <w:lang w:eastAsia="es-ES"/>
              </w:rPr>
              <w:t>Évènement imprévisible constituant une force m</w:t>
            </w:r>
            <w:r w:rsidR="00E121DD">
              <w:rPr>
                <w:rFonts w:cs="Calibri"/>
                <w:sz w:val="16"/>
                <w:szCs w:val="16"/>
                <w:lang w:eastAsia="es-ES"/>
              </w:rPr>
              <w:t>ajeure.</w:t>
            </w:r>
          </w:p>
        </w:tc>
        <w:tc>
          <w:tcPr>
            <w:tcW w:w="2268" w:type="dxa"/>
            <w:tcBorders>
              <w:top w:val="single" w:sz="4" w:space="0" w:color="BFBFBF"/>
              <w:left w:val="single" w:sz="8" w:space="0" w:color="BFBFBF"/>
              <w:bottom w:val="single" w:sz="4" w:space="0" w:color="BFBFBF"/>
              <w:right w:val="single" w:sz="8" w:space="0" w:color="BFBFBF"/>
            </w:tcBorders>
          </w:tcPr>
          <w:p w14:paraId="7596A6E1" w14:textId="28919C1B" w:rsidR="005525D4" w:rsidRDefault="005525D4" w:rsidP="004E6DE8">
            <w:pPr>
              <w:keepNext/>
              <w:keepLines/>
              <w:spacing w:before="60" w:after="60"/>
              <w:rPr>
                <w:rFonts w:cs="Calibri"/>
                <w:sz w:val="16"/>
                <w:szCs w:val="16"/>
                <w:lang w:eastAsia="es-ES"/>
              </w:rPr>
            </w:pPr>
            <w:r w:rsidRPr="005525D4">
              <w:rPr>
                <w:rFonts w:cs="Calibri"/>
                <w:sz w:val="16"/>
                <w:szCs w:val="16"/>
                <w:lang w:eastAsia="es-ES"/>
              </w:rPr>
              <w:t>Inclure des bonnes pratiques mises en œuvre dans d</w:t>
            </w:r>
            <w:r w:rsidR="004E6DE8">
              <w:rPr>
                <w:rFonts w:cs="Calibri"/>
                <w:sz w:val="16"/>
                <w:szCs w:val="16"/>
                <w:lang w:eastAsia="es-ES"/>
              </w:rPr>
              <w:t>'</w:t>
            </w:r>
            <w:r w:rsidRPr="005525D4">
              <w:rPr>
                <w:rFonts w:cs="Calibri"/>
                <w:sz w:val="16"/>
                <w:szCs w:val="16"/>
                <w:lang w:eastAsia="es-ES"/>
              </w:rPr>
              <w:t>autres organisations et dans le secteur privé.</w:t>
            </w:r>
          </w:p>
          <w:p w14:paraId="41B7E739" w14:textId="2D202902" w:rsidR="005525D4" w:rsidRPr="00042062" w:rsidRDefault="00B342D3" w:rsidP="004E6DE8">
            <w:pPr>
              <w:keepNext/>
              <w:keepLines/>
              <w:spacing w:before="60" w:after="60"/>
              <w:rPr>
                <w:rFonts w:cs="Calibri"/>
                <w:sz w:val="16"/>
                <w:szCs w:val="16"/>
                <w:lang w:eastAsia="es-ES"/>
              </w:rPr>
            </w:pPr>
            <w:r w:rsidRPr="00042062">
              <w:rPr>
                <w:rFonts w:cs="Calibri"/>
                <w:sz w:val="16"/>
                <w:szCs w:val="16"/>
                <w:lang w:eastAsia="es-ES"/>
              </w:rPr>
              <w:t>Continuer d</w:t>
            </w:r>
            <w:r w:rsidR="004E6DE8">
              <w:rPr>
                <w:rFonts w:cs="Calibri"/>
                <w:sz w:val="16"/>
                <w:szCs w:val="16"/>
                <w:lang w:eastAsia="es-ES"/>
              </w:rPr>
              <w:t>'</w:t>
            </w:r>
            <w:r w:rsidRPr="00042062">
              <w:rPr>
                <w:rFonts w:cs="Calibri"/>
                <w:sz w:val="16"/>
                <w:szCs w:val="16"/>
                <w:lang w:eastAsia="es-ES"/>
              </w:rPr>
              <w:t xml:space="preserve">exercer un suivi et </w:t>
            </w:r>
            <w:r w:rsidR="00042062" w:rsidRPr="00042062">
              <w:rPr>
                <w:rFonts w:cs="Calibri"/>
                <w:sz w:val="16"/>
                <w:szCs w:val="16"/>
                <w:lang w:eastAsia="es-ES"/>
              </w:rPr>
              <w:t xml:space="preserve">de </w:t>
            </w:r>
            <w:r w:rsidR="00042062">
              <w:rPr>
                <w:rFonts w:cs="Calibri"/>
                <w:sz w:val="16"/>
                <w:szCs w:val="16"/>
                <w:lang w:eastAsia="es-ES"/>
              </w:rPr>
              <w:t>modifier le programme selon les besoins</w:t>
            </w:r>
            <w:r w:rsidR="005525D4" w:rsidRPr="00042062">
              <w:rPr>
                <w:rFonts w:cs="Calibri"/>
                <w:sz w:val="16"/>
                <w:szCs w:val="16"/>
                <w:lang w:eastAsia="es-ES"/>
              </w:rPr>
              <w:t>.</w:t>
            </w:r>
          </w:p>
        </w:tc>
        <w:tc>
          <w:tcPr>
            <w:tcW w:w="1074" w:type="dxa"/>
            <w:tcBorders>
              <w:top w:val="single" w:sz="4" w:space="0" w:color="BFBFBF"/>
              <w:left w:val="single" w:sz="8" w:space="0" w:color="BFBFBF"/>
              <w:bottom w:val="single" w:sz="4" w:space="0" w:color="BFBFBF"/>
              <w:right w:val="single" w:sz="8" w:space="0" w:color="BFBFBF"/>
            </w:tcBorders>
            <w:shd w:val="clear" w:color="auto" w:fill="auto"/>
          </w:tcPr>
          <w:p w14:paraId="472E5577" w14:textId="65371541" w:rsidR="005525D4" w:rsidRDefault="005525D4" w:rsidP="004E6DE8">
            <w:pPr>
              <w:keepNext/>
              <w:keepLines/>
              <w:spacing w:before="60" w:after="60"/>
              <w:jc w:val="center"/>
              <w:rPr>
                <w:rFonts w:cs="Calibri"/>
                <w:sz w:val="16"/>
                <w:szCs w:val="16"/>
                <w:lang w:eastAsia="es-ES"/>
              </w:rPr>
            </w:pPr>
            <w:r>
              <w:rPr>
                <w:rFonts w:cs="Calibri"/>
                <w:sz w:val="16"/>
                <w:szCs w:val="16"/>
                <w:lang w:eastAsia="es-ES"/>
              </w:rPr>
              <w:t>0,70</w:t>
            </w:r>
          </w:p>
        </w:tc>
        <w:tc>
          <w:tcPr>
            <w:tcW w:w="850" w:type="dxa"/>
            <w:tcBorders>
              <w:top w:val="single" w:sz="4" w:space="0" w:color="BFBFBF"/>
              <w:left w:val="single" w:sz="8" w:space="0" w:color="BFBFBF"/>
              <w:bottom w:val="single" w:sz="4" w:space="0" w:color="BFBFBF"/>
              <w:right w:val="single" w:sz="8" w:space="0" w:color="BFBFBF"/>
            </w:tcBorders>
            <w:shd w:val="clear" w:color="auto" w:fill="auto"/>
            <w:noWrap/>
          </w:tcPr>
          <w:p w14:paraId="57919550" w14:textId="30F95795" w:rsidR="005525D4" w:rsidRDefault="005525D4" w:rsidP="004E6DE8">
            <w:pPr>
              <w:keepNext/>
              <w:keepLines/>
              <w:spacing w:before="60" w:after="60"/>
              <w:jc w:val="center"/>
              <w:rPr>
                <w:rFonts w:cs="Calibri"/>
                <w:sz w:val="16"/>
                <w:szCs w:val="16"/>
                <w:lang w:eastAsia="es-ES"/>
              </w:rPr>
            </w:pPr>
            <w:r>
              <w:rPr>
                <w:rFonts w:cs="Calibri"/>
                <w:sz w:val="16"/>
                <w:szCs w:val="16"/>
                <w:lang w:eastAsia="es-ES"/>
              </w:rPr>
              <w:t>0,40</w:t>
            </w:r>
          </w:p>
        </w:tc>
        <w:tc>
          <w:tcPr>
            <w:tcW w:w="1134" w:type="dxa"/>
            <w:tcBorders>
              <w:top w:val="single" w:sz="4" w:space="0" w:color="BFBFBF"/>
              <w:left w:val="single" w:sz="8" w:space="0" w:color="BFBFBF"/>
              <w:bottom w:val="single" w:sz="4" w:space="0" w:color="BFBFBF"/>
              <w:right w:val="single" w:sz="8" w:space="0" w:color="BFBFBF"/>
            </w:tcBorders>
            <w:shd w:val="clear" w:color="auto" w:fill="auto"/>
          </w:tcPr>
          <w:p w14:paraId="071A0B29" w14:textId="12269987" w:rsidR="005525D4" w:rsidRDefault="005525D4" w:rsidP="004E6DE8">
            <w:pPr>
              <w:keepNext/>
              <w:keepLines/>
              <w:spacing w:before="60" w:after="60"/>
              <w:jc w:val="center"/>
              <w:rPr>
                <w:rFonts w:cs="Calibri"/>
                <w:sz w:val="16"/>
                <w:szCs w:val="16"/>
                <w:lang w:eastAsia="es-ES"/>
              </w:rPr>
            </w:pPr>
            <w:r>
              <w:rPr>
                <w:rFonts w:cs="Calibri"/>
                <w:sz w:val="16"/>
                <w:szCs w:val="16"/>
                <w:lang w:eastAsia="es-ES"/>
              </w:rPr>
              <w:t>0</w:t>
            </w:r>
          </w:p>
        </w:tc>
        <w:tc>
          <w:tcPr>
            <w:tcW w:w="3276" w:type="dxa"/>
            <w:tcBorders>
              <w:top w:val="single" w:sz="4" w:space="0" w:color="BFBFBF"/>
              <w:left w:val="single" w:sz="8" w:space="0" w:color="BFBFBF"/>
              <w:bottom w:val="single" w:sz="4" w:space="0" w:color="BFBFBF"/>
              <w:right w:val="single" w:sz="4" w:space="0" w:color="BFBFBF"/>
            </w:tcBorders>
            <w:shd w:val="clear" w:color="000000" w:fill="FFFFFF"/>
          </w:tcPr>
          <w:p w14:paraId="0D2AE95B" w14:textId="7EB9FA43" w:rsidR="005525D4" w:rsidRPr="00DD0DAD" w:rsidRDefault="005525D4" w:rsidP="004E6DE8">
            <w:pPr>
              <w:keepNext/>
              <w:keepLines/>
              <w:spacing w:before="60" w:after="60"/>
              <w:rPr>
                <w:rFonts w:cs="Calibri"/>
                <w:sz w:val="16"/>
                <w:szCs w:val="16"/>
                <w:lang w:eastAsia="es-ES"/>
              </w:rPr>
            </w:pPr>
            <w:r w:rsidRPr="00DD0DAD">
              <w:rPr>
                <w:rFonts w:cs="Calibri"/>
                <w:sz w:val="16"/>
                <w:szCs w:val="16"/>
                <w:lang w:eastAsia="es-ES"/>
              </w:rPr>
              <w:t>Non quantifiable</w:t>
            </w:r>
            <w:r w:rsidR="00E121DD">
              <w:rPr>
                <w:rFonts w:cs="Calibri"/>
                <w:sz w:val="16"/>
                <w:szCs w:val="16"/>
                <w:lang w:eastAsia="es-ES"/>
              </w:rPr>
              <w:t>.</w:t>
            </w:r>
          </w:p>
        </w:tc>
      </w:tr>
    </w:tbl>
    <w:p w14:paraId="33382977" w14:textId="77777777" w:rsidR="002B7ABA" w:rsidRPr="00DD0DAD" w:rsidRDefault="002B7ABA" w:rsidP="004E6DE8">
      <w:pPr>
        <w:rPr>
          <w:lang w:eastAsia="ja-JP"/>
        </w:rPr>
      </w:pPr>
    </w:p>
    <w:p w14:paraId="0C9B7E7E" w14:textId="77777777" w:rsidR="002B7ABA" w:rsidRPr="00DD0DAD" w:rsidRDefault="002B7ABA" w:rsidP="004E6DE8">
      <w:pPr>
        <w:rPr>
          <w:lang w:eastAsia="ja-JP"/>
        </w:rPr>
        <w:sectPr w:rsidR="002B7ABA" w:rsidRPr="00DD0DAD" w:rsidSect="004E6DE8">
          <w:headerReference w:type="default" r:id="rId42"/>
          <w:footerReference w:type="default" r:id="rId43"/>
          <w:headerReference w:type="first" r:id="rId44"/>
          <w:footerReference w:type="first" r:id="rId45"/>
          <w:pgSz w:w="16840" w:h="11907" w:orient="landscape" w:code="9"/>
          <w:pgMar w:top="1134" w:right="1418" w:bottom="1134" w:left="1418" w:header="720" w:footer="720" w:gutter="0"/>
          <w:paperSrc w:first="261" w:other="261"/>
          <w:cols w:space="720"/>
          <w:titlePg/>
          <w:docGrid w:linePitch="326"/>
        </w:sectPr>
      </w:pPr>
    </w:p>
    <w:p w14:paraId="0D51FC9E" w14:textId="7649B336" w:rsidR="002B7ABA" w:rsidRPr="00DD0DAD" w:rsidRDefault="002B7ABA" w:rsidP="002B6477">
      <w:pPr>
        <w:pStyle w:val="AnnexNo"/>
        <w:spacing w:before="480"/>
      </w:pPr>
      <w:r w:rsidRPr="00DD0DAD">
        <w:lastRenderedPageBreak/>
        <w:t xml:space="preserve">Annexe </w:t>
      </w:r>
      <w:r w:rsidR="005525D4">
        <w:t>B</w:t>
      </w:r>
    </w:p>
    <w:p w14:paraId="1D54F186" w14:textId="3F9A4DC1" w:rsidR="002B7ABA" w:rsidRPr="00DD0DAD" w:rsidRDefault="002B7ABA" w:rsidP="004E6DE8">
      <w:pPr>
        <w:pStyle w:val="Annextitle"/>
        <w:spacing w:after="480"/>
      </w:pPr>
      <w:r w:rsidRPr="00DD0DAD">
        <w:t>Flux de trésorerie</w:t>
      </w:r>
      <w:r w:rsidR="00042062">
        <w:t xml:space="preserve"> à la fin juin</w:t>
      </w:r>
      <w:r w:rsidR="005525D4">
        <w:t xml:space="preserve"> 2022</w:t>
      </w:r>
      <w:r w:rsidR="00042062">
        <w:t xml:space="preserve"> (CHF</w:t>
      </w:r>
      <w:r w:rsidRPr="00DD0DAD">
        <w:t>)</w:t>
      </w:r>
    </w:p>
    <w:tbl>
      <w:tblPr>
        <w:tblW w:w="16006" w:type="dxa"/>
        <w:tblInd w:w="-820" w:type="dxa"/>
        <w:tblLook w:val="04A0" w:firstRow="1" w:lastRow="0" w:firstColumn="1" w:lastColumn="0" w:noHBand="0" w:noVBand="1"/>
      </w:tblPr>
      <w:tblGrid>
        <w:gridCol w:w="796"/>
        <w:gridCol w:w="885"/>
        <w:gridCol w:w="932"/>
        <w:gridCol w:w="885"/>
        <w:gridCol w:w="850"/>
        <w:gridCol w:w="920"/>
        <w:gridCol w:w="851"/>
        <w:gridCol w:w="1070"/>
        <w:gridCol w:w="851"/>
        <w:gridCol w:w="1024"/>
        <w:gridCol w:w="885"/>
        <w:gridCol w:w="1042"/>
        <w:gridCol w:w="1033"/>
        <w:gridCol w:w="1242"/>
        <w:gridCol w:w="222"/>
        <w:gridCol w:w="1242"/>
        <w:gridCol w:w="222"/>
        <w:gridCol w:w="1054"/>
      </w:tblGrid>
      <w:tr w:rsidR="002B7ABA" w:rsidRPr="00DD0DAD" w14:paraId="1B374B4A" w14:textId="77777777" w:rsidTr="002B6477">
        <w:trPr>
          <w:trHeight w:val="242"/>
        </w:trPr>
        <w:tc>
          <w:tcPr>
            <w:tcW w:w="796" w:type="dxa"/>
            <w:vMerge w:val="restart"/>
            <w:tcBorders>
              <w:top w:val="single" w:sz="8" w:space="0" w:color="auto"/>
              <w:left w:val="single" w:sz="8" w:space="0" w:color="auto"/>
              <w:bottom w:val="single" w:sz="4" w:space="0" w:color="000000"/>
              <w:right w:val="single" w:sz="4" w:space="0" w:color="auto"/>
            </w:tcBorders>
            <w:shd w:val="clear" w:color="auto" w:fill="auto"/>
            <w:noWrap/>
            <w:hideMark/>
          </w:tcPr>
          <w:p w14:paraId="5EC25707" w14:textId="77777777" w:rsidR="002B7ABA" w:rsidRPr="00DD0DAD" w:rsidRDefault="002B7ABA" w:rsidP="004E6DE8">
            <w:pPr>
              <w:pStyle w:val="Tablehead"/>
              <w:rPr>
                <w:rFonts w:asciiTheme="minorHAnsi" w:hAnsiTheme="minorHAnsi"/>
                <w:sz w:val="18"/>
                <w:szCs w:val="18"/>
                <w:lang w:eastAsia="en-GB"/>
              </w:rPr>
            </w:pPr>
            <w:r w:rsidRPr="00DD0DAD">
              <w:rPr>
                <w:rFonts w:asciiTheme="minorHAnsi" w:hAnsiTheme="minorHAnsi"/>
                <w:sz w:val="18"/>
                <w:szCs w:val="18"/>
                <w:lang w:eastAsia="en-GB"/>
              </w:rPr>
              <w:t>Période</w:t>
            </w:r>
          </w:p>
        </w:tc>
        <w:tc>
          <w:tcPr>
            <w:tcW w:w="2702"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hideMark/>
          </w:tcPr>
          <w:p w14:paraId="60918DF8" w14:textId="77777777" w:rsidR="002B7ABA" w:rsidRPr="00DD0DAD" w:rsidRDefault="002B7ABA" w:rsidP="004E6DE8">
            <w:pPr>
              <w:pStyle w:val="Tablehead"/>
              <w:rPr>
                <w:rFonts w:asciiTheme="minorHAnsi" w:hAnsiTheme="minorHAnsi"/>
                <w:sz w:val="18"/>
                <w:szCs w:val="18"/>
                <w:lang w:eastAsia="en-GB"/>
              </w:rPr>
            </w:pPr>
            <w:r w:rsidRPr="00DD0DAD">
              <w:rPr>
                <w:rFonts w:asciiTheme="minorHAnsi" w:hAnsiTheme="minorHAnsi"/>
                <w:sz w:val="18"/>
                <w:szCs w:val="18"/>
                <w:lang w:eastAsia="en-GB"/>
              </w:rPr>
              <w:t>1er trimestre</w:t>
            </w:r>
          </w:p>
        </w:tc>
        <w:tc>
          <w:tcPr>
            <w:tcW w:w="2621"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hideMark/>
          </w:tcPr>
          <w:p w14:paraId="4B00488C" w14:textId="77777777" w:rsidR="002B7ABA" w:rsidRPr="00DD0DAD" w:rsidRDefault="002B7ABA" w:rsidP="004E6DE8">
            <w:pPr>
              <w:pStyle w:val="Tablehead"/>
              <w:rPr>
                <w:rFonts w:asciiTheme="minorHAnsi" w:hAnsiTheme="minorHAnsi"/>
                <w:sz w:val="18"/>
                <w:szCs w:val="18"/>
                <w:lang w:eastAsia="en-GB"/>
              </w:rPr>
            </w:pPr>
            <w:r w:rsidRPr="00DD0DAD">
              <w:rPr>
                <w:rFonts w:asciiTheme="minorHAnsi" w:hAnsiTheme="minorHAnsi"/>
                <w:sz w:val="18"/>
                <w:szCs w:val="18"/>
                <w:lang w:eastAsia="en-GB"/>
              </w:rPr>
              <w:t>2ème trimestre</w:t>
            </w:r>
          </w:p>
        </w:tc>
        <w:tc>
          <w:tcPr>
            <w:tcW w:w="2945" w:type="dxa"/>
            <w:gridSpan w:val="3"/>
            <w:vMerge w:val="restart"/>
            <w:tcBorders>
              <w:top w:val="single" w:sz="8" w:space="0" w:color="auto"/>
              <w:left w:val="nil"/>
              <w:bottom w:val="single" w:sz="4" w:space="0" w:color="000000"/>
              <w:right w:val="single" w:sz="4" w:space="0" w:color="000000"/>
            </w:tcBorders>
            <w:shd w:val="clear" w:color="auto" w:fill="auto"/>
            <w:noWrap/>
            <w:hideMark/>
          </w:tcPr>
          <w:p w14:paraId="64EBFA73" w14:textId="77777777" w:rsidR="002B7ABA" w:rsidRPr="00DD0DAD" w:rsidRDefault="002B7ABA" w:rsidP="004E6DE8">
            <w:pPr>
              <w:pStyle w:val="Tablehead"/>
              <w:rPr>
                <w:rFonts w:asciiTheme="minorHAnsi" w:hAnsiTheme="minorHAnsi"/>
                <w:sz w:val="18"/>
                <w:szCs w:val="18"/>
                <w:lang w:eastAsia="en-GB"/>
              </w:rPr>
            </w:pPr>
            <w:r w:rsidRPr="00DD0DAD">
              <w:rPr>
                <w:rFonts w:asciiTheme="minorHAnsi" w:hAnsiTheme="minorHAnsi"/>
                <w:sz w:val="18"/>
                <w:szCs w:val="18"/>
                <w:lang w:eastAsia="en-GB"/>
              </w:rPr>
              <w:t>3ème trimestre</w:t>
            </w:r>
          </w:p>
        </w:tc>
        <w:tc>
          <w:tcPr>
            <w:tcW w:w="2960" w:type="dxa"/>
            <w:gridSpan w:val="3"/>
            <w:vMerge w:val="restart"/>
            <w:tcBorders>
              <w:top w:val="single" w:sz="8" w:space="0" w:color="auto"/>
              <w:left w:val="single" w:sz="4" w:space="0" w:color="auto"/>
              <w:bottom w:val="single" w:sz="4" w:space="0" w:color="000000"/>
              <w:right w:val="nil"/>
            </w:tcBorders>
            <w:shd w:val="clear" w:color="auto" w:fill="auto"/>
            <w:noWrap/>
            <w:hideMark/>
          </w:tcPr>
          <w:p w14:paraId="4BF3F494" w14:textId="77777777" w:rsidR="002B7ABA" w:rsidRPr="00DD0DAD" w:rsidRDefault="002B7ABA" w:rsidP="004E6DE8">
            <w:pPr>
              <w:pStyle w:val="Tablehead"/>
              <w:rPr>
                <w:rFonts w:asciiTheme="minorHAnsi" w:hAnsiTheme="minorHAnsi"/>
                <w:sz w:val="18"/>
                <w:szCs w:val="18"/>
                <w:lang w:eastAsia="en-GB"/>
              </w:rPr>
            </w:pPr>
            <w:r w:rsidRPr="00DD0DAD">
              <w:rPr>
                <w:rFonts w:asciiTheme="minorHAnsi" w:hAnsiTheme="minorHAnsi"/>
                <w:sz w:val="18"/>
                <w:szCs w:val="18"/>
                <w:lang w:eastAsia="en-GB"/>
              </w:rPr>
              <w:t>4ème trimestre</w:t>
            </w:r>
          </w:p>
        </w:tc>
        <w:tc>
          <w:tcPr>
            <w:tcW w:w="1242" w:type="dxa"/>
            <w:vMerge w:val="restart"/>
            <w:tcBorders>
              <w:top w:val="single" w:sz="8" w:space="0" w:color="auto"/>
              <w:left w:val="single" w:sz="8" w:space="0" w:color="auto"/>
              <w:bottom w:val="single" w:sz="4" w:space="0" w:color="000000"/>
              <w:right w:val="single" w:sz="8" w:space="0" w:color="auto"/>
            </w:tcBorders>
            <w:shd w:val="clear" w:color="auto" w:fill="auto"/>
            <w:hideMark/>
          </w:tcPr>
          <w:p w14:paraId="68FAB3B2" w14:textId="77777777" w:rsidR="002B7ABA" w:rsidRPr="00DD0DAD" w:rsidRDefault="002B7ABA" w:rsidP="004E6DE8">
            <w:pPr>
              <w:pStyle w:val="Tablehead"/>
              <w:rPr>
                <w:rFonts w:asciiTheme="minorHAnsi" w:hAnsiTheme="minorHAnsi"/>
                <w:sz w:val="18"/>
                <w:szCs w:val="18"/>
                <w:lang w:eastAsia="en-GB"/>
              </w:rPr>
            </w:pPr>
            <w:r w:rsidRPr="00DD0DAD">
              <w:rPr>
                <w:rFonts w:asciiTheme="minorHAnsi" w:hAnsiTheme="minorHAnsi"/>
                <w:sz w:val="18"/>
                <w:szCs w:val="18"/>
                <w:lang w:eastAsia="en-GB"/>
              </w:rPr>
              <w:t>Total</w:t>
            </w:r>
            <w:r w:rsidRPr="00DD0DAD">
              <w:rPr>
                <w:rFonts w:asciiTheme="minorHAnsi" w:hAnsiTheme="minorHAnsi"/>
                <w:sz w:val="18"/>
                <w:szCs w:val="18"/>
                <w:lang w:eastAsia="en-GB"/>
              </w:rPr>
              <w:br/>
              <w:t>des paiements</w:t>
            </w:r>
          </w:p>
        </w:tc>
        <w:tc>
          <w:tcPr>
            <w:tcW w:w="222" w:type="dxa"/>
            <w:tcBorders>
              <w:top w:val="nil"/>
              <w:left w:val="nil"/>
              <w:bottom w:val="nil"/>
              <w:right w:val="nil"/>
            </w:tcBorders>
            <w:shd w:val="clear" w:color="auto" w:fill="auto"/>
            <w:noWrap/>
            <w:hideMark/>
          </w:tcPr>
          <w:p w14:paraId="74CC9D03" w14:textId="77777777" w:rsidR="002B7ABA" w:rsidRPr="00DD0DAD" w:rsidRDefault="002B7ABA" w:rsidP="004E6DE8">
            <w:pPr>
              <w:pStyle w:val="Tablehead"/>
              <w:rPr>
                <w:rFonts w:asciiTheme="minorHAnsi" w:hAnsiTheme="minorHAnsi"/>
                <w:sz w:val="18"/>
                <w:szCs w:val="18"/>
                <w:lang w:eastAsia="en-GB"/>
              </w:rPr>
            </w:pPr>
          </w:p>
        </w:tc>
        <w:tc>
          <w:tcPr>
            <w:tcW w:w="1242" w:type="dxa"/>
            <w:vMerge w:val="restart"/>
            <w:tcBorders>
              <w:top w:val="single" w:sz="8" w:space="0" w:color="auto"/>
              <w:left w:val="single" w:sz="8" w:space="0" w:color="auto"/>
              <w:bottom w:val="single" w:sz="4" w:space="0" w:color="000000"/>
              <w:right w:val="single" w:sz="8" w:space="0" w:color="auto"/>
            </w:tcBorders>
            <w:shd w:val="clear" w:color="auto" w:fill="auto"/>
            <w:hideMark/>
          </w:tcPr>
          <w:p w14:paraId="68B064C3" w14:textId="77777777" w:rsidR="002B7ABA" w:rsidRPr="00DD0DAD" w:rsidRDefault="002B7ABA" w:rsidP="004E6DE8">
            <w:pPr>
              <w:pStyle w:val="Tablehead"/>
              <w:rPr>
                <w:rFonts w:asciiTheme="minorHAnsi" w:hAnsiTheme="minorHAnsi"/>
                <w:sz w:val="18"/>
                <w:szCs w:val="18"/>
                <w:lang w:eastAsia="en-GB"/>
              </w:rPr>
            </w:pPr>
            <w:r w:rsidRPr="00DD0DAD">
              <w:rPr>
                <w:rFonts w:asciiTheme="minorHAnsi" w:hAnsiTheme="minorHAnsi"/>
                <w:sz w:val="18"/>
                <w:szCs w:val="18"/>
                <w:lang w:eastAsia="en-GB"/>
              </w:rPr>
              <w:t>Fonds reçus de la FIPOI</w:t>
            </w:r>
          </w:p>
        </w:tc>
        <w:tc>
          <w:tcPr>
            <w:tcW w:w="222" w:type="dxa"/>
            <w:tcBorders>
              <w:top w:val="nil"/>
              <w:left w:val="nil"/>
              <w:bottom w:val="nil"/>
              <w:right w:val="nil"/>
            </w:tcBorders>
            <w:shd w:val="clear" w:color="auto" w:fill="auto"/>
            <w:noWrap/>
            <w:hideMark/>
          </w:tcPr>
          <w:p w14:paraId="5216839A" w14:textId="77777777" w:rsidR="002B7ABA" w:rsidRPr="00DD0DAD" w:rsidRDefault="002B7ABA" w:rsidP="004E6DE8">
            <w:pPr>
              <w:pStyle w:val="Tablehead"/>
              <w:rPr>
                <w:rFonts w:asciiTheme="minorHAnsi" w:hAnsiTheme="minorHAnsi"/>
                <w:sz w:val="18"/>
                <w:szCs w:val="18"/>
                <w:lang w:eastAsia="en-GB"/>
              </w:rPr>
            </w:pPr>
          </w:p>
        </w:tc>
        <w:tc>
          <w:tcPr>
            <w:tcW w:w="1054" w:type="dxa"/>
            <w:vMerge w:val="restart"/>
            <w:tcBorders>
              <w:top w:val="single" w:sz="8" w:space="0" w:color="auto"/>
              <w:left w:val="single" w:sz="8" w:space="0" w:color="auto"/>
              <w:bottom w:val="single" w:sz="4" w:space="0" w:color="000000"/>
              <w:right w:val="single" w:sz="8" w:space="0" w:color="auto"/>
            </w:tcBorders>
            <w:shd w:val="clear" w:color="auto" w:fill="auto"/>
            <w:hideMark/>
          </w:tcPr>
          <w:p w14:paraId="44C380F7" w14:textId="77777777" w:rsidR="002B7ABA" w:rsidRPr="00DD0DAD" w:rsidRDefault="002B7ABA" w:rsidP="004E6DE8">
            <w:pPr>
              <w:pStyle w:val="Tablehead"/>
              <w:rPr>
                <w:rFonts w:asciiTheme="minorHAnsi" w:hAnsiTheme="minorHAnsi"/>
                <w:sz w:val="18"/>
                <w:szCs w:val="18"/>
                <w:lang w:eastAsia="en-GB"/>
              </w:rPr>
            </w:pPr>
            <w:r w:rsidRPr="00DD0DAD">
              <w:rPr>
                <w:rFonts w:asciiTheme="minorHAnsi" w:hAnsiTheme="minorHAnsi"/>
                <w:sz w:val="18"/>
                <w:szCs w:val="18"/>
                <w:lang w:eastAsia="en-GB"/>
              </w:rPr>
              <w:t>Flux de trésorerie</w:t>
            </w:r>
          </w:p>
        </w:tc>
      </w:tr>
      <w:tr w:rsidR="002B7ABA" w:rsidRPr="00DD0DAD" w14:paraId="16FD3182" w14:textId="77777777" w:rsidTr="002B6477">
        <w:trPr>
          <w:trHeight w:val="251"/>
        </w:trPr>
        <w:tc>
          <w:tcPr>
            <w:tcW w:w="796" w:type="dxa"/>
            <w:vMerge/>
            <w:tcBorders>
              <w:top w:val="single" w:sz="8" w:space="0" w:color="auto"/>
              <w:left w:val="single" w:sz="8" w:space="0" w:color="auto"/>
              <w:bottom w:val="single" w:sz="4" w:space="0" w:color="000000"/>
              <w:right w:val="single" w:sz="4" w:space="0" w:color="auto"/>
            </w:tcBorders>
            <w:hideMark/>
          </w:tcPr>
          <w:p w14:paraId="33501B44"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2702" w:type="dxa"/>
            <w:gridSpan w:val="3"/>
            <w:vMerge/>
            <w:tcBorders>
              <w:top w:val="single" w:sz="8" w:space="0" w:color="auto"/>
              <w:left w:val="single" w:sz="4" w:space="0" w:color="auto"/>
              <w:bottom w:val="single" w:sz="4" w:space="0" w:color="000000"/>
              <w:right w:val="single" w:sz="4" w:space="0" w:color="000000"/>
            </w:tcBorders>
            <w:hideMark/>
          </w:tcPr>
          <w:p w14:paraId="2332E130"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2621" w:type="dxa"/>
            <w:gridSpan w:val="3"/>
            <w:vMerge/>
            <w:tcBorders>
              <w:top w:val="single" w:sz="8" w:space="0" w:color="auto"/>
              <w:left w:val="single" w:sz="4" w:space="0" w:color="auto"/>
              <w:bottom w:val="single" w:sz="4" w:space="0" w:color="000000"/>
              <w:right w:val="single" w:sz="4" w:space="0" w:color="000000"/>
            </w:tcBorders>
            <w:hideMark/>
          </w:tcPr>
          <w:p w14:paraId="71F5ADF9"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2945" w:type="dxa"/>
            <w:gridSpan w:val="3"/>
            <w:vMerge/>
            <w:tcBorders>
              <w:top w:val="single" w:sz="8" w:space="0" w:color="auto"/>
              <w:left w:val="nil"/>
              <w:bottom w:val="single" w:sz="4" w:space="0" w:color="000000"/>
              <w:right w:val="single" w:sz="4" w:space="0" w:color="000000"/>
            </w:tcBorders>
            <w:hideMark/>
          </w:tcPr>
          <w:p w14:paraId="79202ADB"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2960" w:type="dxa"/>
            <w:gridSpan w:val="3"/>
            <w:vMerge/>
            <w:tcBorders>
              <w:top w:val="single" w:sz="8" w:space="0" w:color="auto"/>
              <w:left w:val="single" w:sz="4" w:space="0" w:color="auto"/>
              <w:bottom w:val="single" w:sz="4" w:space="0" w:color="000000"/>
              <w:right w:val="nil"/>
            </w:tcBorders>
            <w:hideMark/>
          </w:tcPr>
          <w:p w14:paraId="62190812"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1242" w:type="dxa"/>
            <w:vMerge/>
            <w:tcBorders>
              <w:top w:val="single" w:sz="8" w:space="0" w:color="auto"/>
              <w:left w:val="single" w:sz="8" w:space="0" w:color="auto"/>
              <w:bottom w:val="single" w:sz="4" w:space="0" w:color="000000"/>
              <w:right w:val="single" w:sz="8" w:space="0" w:color="auto"/>
            </w:tcBorders>
            <w:hideMark/>
          </w:tcPr>
          <w:p w14:paraId="755785C2"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222" w:type="dxa"/>
            <w:tcBorders>
              <w:top w:val="nil"/>
              <w:left w:val="nil"/>
              <w:bottom w:val="nil"/>
              <w:right w:val="nil"/>
            </w:tcBorders>
            <w:shd w:val="clear" w:color="auto" w:fill="auto"/>
            <w:noWrap/>
            <w:hideMark/>
          </w:tcPr>
          <w:p w14:paraId="39B360E8"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b/>
                <w:bCs/>
                <w:color w:val="000000"/>
                <w:sz w:val="18"/>
                <w:szCs w:val="18"/>
                <w:lang w:eastAsia="en-GB"/>
              </w:rPr>
            </w:pPr>
          </w:p>
        </w:tc>
        <w:tc>
          <w:tcPr>
            <w:tcW w:w="1242" w:type="dxa"/>
            <w:vMerge/>
            <w:tcBorders>
              <w:top w:val="single" w:sz="8" w:space="0" w:color="auto"/>
              <w:left w:val="single" w:sz="8" w:space="0" w:color="auto"/>
              <w:bottom w:val="single" w:sz="4" w:space="0" w:color="000000"/>
              <w:right w:val="single" w:sz="8" w:space="0" w:color="auto"/>
            </w:tcBorders>
            <w:hideMark/>
          </w:tcPr>
          <w:p w14:paraId="319980D2"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222" w:type="dxa"/>
            <w:tcBorders>
              <w:top w:val="nil"/>
              <w:left w:val="nil"/>
              <w:bottom w:val="nil"/>
              <w:right w:val="nil"/>
            </w:tcBorders>
            <w:shd w:val="clear" w:color="auto" w:fill="auto"/>
            <w:noWrap/>
            <w:hideMark/>
          </w:tcPr>
          <w:p w14:paraId="68EFB847"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1054" w:type="dxa"/>
            <w:vMerge/>
            <w:tcBorders>
              <w:top w:val="single" w:sz="8" w:space="0" w:color="auto"/>
              <w:left w:val="single" w:sz="8" w:space="0" w:color="auto"/>
              <w:bottom w:val="single" w:sz="4" w:space="0" w:color="000000"/>
              <w:right w:val="single" w:sz="8" w:space="0" w:color="auto"/>
            </w:tcBorders>
            <w:hideMark/>
          </w:tcPr>
          <w:p w14:paraId="4F7D5A47"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r>
      <w:tr w:rsidR="002B7ABA" w:rsidRPr="00DD0DAD" w14:paraId="3A0D4DEF" w14:textId="77777777" w:rsidTr="002B6477">
        <w:trPr>
          <w:trHeight w:val="251"/>
        </w:trPr>
        <w:tc>
          <w:tcPr>
            <w:tcW w:w="796" w:type="dxa"/>
            <w:vMerge/>
            <w:tcBorders>
              <w:top w:val="single" w:sz="8" w:space="0" w:color="auto"/>
              <w:left w:val="single" w:sz="8" w:space="0" w:color="auto"/>
              <w:bottom w:val="single" w:sz="4" w:space="0" w:color="000000"/>
              <w:right w:val="single" w:sz="4" w:space="0" w:color="auto"/>
            </w:tcBorders>
            <w:hideMark/>
          </w:tcPr>
          <w:p w14:paraId="0A61084B"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885" w:type="dxa"/>
            <w:tcBorders>
              <w:top w:val="nil"/>
              <w:left w:val="nil"/>
              <w:bottom w:val="single" w:sz="4" w:space="0" w:color="auto"/>
              <w:right w:val="single" w:sz="4" w:space="0" w:color="auto"/>
            </w:tcBorders>
            <w:shd w:val="clear" w:color="auto" w:fill="auto"/>
            <w:noWrap/>
            <w:hideMark/>
          </w:tcPr>
          <w:p w14:paraId="4787E456"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Janvier</w:t>
            </w:r>
          </w:p>
        </w:tc>
        <w:tc>
          <w:tcPr>
            <w:tcW w:w="932" w:type="dxa"/>
            <w:tcBorders>
              <w:top w:val="nil"/>
              <w:left w:val="nil"/>
              <w:bottom w:val="single" w:sz="4" w:space="0" w:color="auto"/>
              <w:right w:val="single" w:sz="4" w:space="0" w:color="auto"/>
            </w:tcBorders>
            <w:shd w:val="clear" w:color="auto" w:fill="auto"/>
            <w:noWrap/>
            <w:hideMark/>
          </w:tcPr>
          <w:p w14:paraId="434F8ED5"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Février</w:t>
            </w:r>
          </w:p>
        </w:tc>
        <w:tc>
          <w:tcPr>
            <w:tcW w:w="885" w:type="dxa"/>
            <w:tcBorders>
              <w:top w:val="nil"/>
              <w:left w:val="nil"/>
              <w:bottom w:val="single" w:sz="4" w:space="0" w:color="auto"/>
              <w:right w:val="single" w:sz="4" w:space="0" w:color="auto"/>
            </w:tcBorders>
            <w:shd w:val="clear" w:color="auto" w:fill="auto"/>
            <w:noWrap/>
            <w:hideMark/>
          </w:tcPr>
          <w:p w14:paraId="5E27682E"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Mars</w:t>
            </w:r>
          </w:p>
        </w:tc>
        <w:tc>
          <w:tcPr>
            <w:tcW w:w="850" w:type="dxa"/>
            <w:tcBorders>
              <w:top w:val="nil"/>
              <w:left w:val="nil"/>
              <w:bottom w:val="single" w:sz="4" w:space="0" w:color="auto"/>
              <w:right w:val="single" w:sz="4" w:space="0" w:color="auto"/>
            </w:tcBorders>
            <w:shd w:val="clear" w:color="auto" w:fill="auto"/>
            <w:noWrap/>
            <w:hideMark/>
          </w:tcPr>
          <w:p w14:paraId="28D48EA5"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Avril</w:t>
            </w:r>
          </w:p>
        </w:tc>
        <w:tc>
          <w:tcPr>
            <w:tcW w:w="920" w:type="dxa"/>
            <w:tcBorders>
              <w:top w:val="nil"/>
              <w:left w:val="nil"/>
              <w:bottom w:val="single" w:sz="4" w:space="0" w:color="auto"/>
              <w:right w:val="single" w:sz="4" w:space="0" w:color="auto"/>
            </w:tcBorders>
            <w:shd w:val="clear" w:color="auto" w:fill="auto"/>
            <w:noWrap/>
            <w:hideMark/>
          </w:tcPr>
          <w:p w14:paraId="7D7112ED"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Mai</w:t>
            </w:r>
          </w:p>
        </w:tc>
        <w:tc>
          <w:tcPr>
            <w:tcW w:w="851" w:type="dxa"/>
            <w:tcBorders>
              <w:top w:val="nil"/>
              <w:left w:val="nil"/>
              <w:bottom w:val="single" w:sz="4" w:space="0" w:color="auto"/>
              <w:right w:val="single" w:sz="4" w:space="0" w:color="auto"/>
            </w:tcBorders>
            <w:shd w:val="clear" w:color="auto" w:fill="auto"/>
            <w:noWrap/>
            <w:hideMark/>
          </w:tcPr>
          <w:p w14:paraId="75EFF6C5"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Juin</w:t>
            </w:r>
          </w:p>
        </w:tc>
        <w:tc>
          <w:tcPr>
            <w:tcW w:w="1070" w:type="dxa"/>
            <w:tcBorders>
              <w:top w:val="nil"/>
              <w:left w:val="nil"/>
              <w:bottom w:val="single" w:sz="4" w:space="0" w:color="auto"/>
              <w:right w:val="single" w:sz="4" w:space="0" w:color="auto"/>
            </w:tcBorders>
            <w:shd w:val="clear" w:color="auto" w:fill="auto"/>
            <w:noWrap/>
            <w:hideMark/>
          </w:tcPr>
          <w:p w14:paraId="11DADA55"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Juillet</w:t>
            </w:r>
          </w:p>
        </w:tc>
        <w:tc>
          <w:tcPr>
            <w:tcW w:w="851" w:type="dxa"/>
            <w:tcBorders>
              <w:top w:val="nil"/>
              <w:left w:val="nil"/>
              <w:bottom w:val="single" w:sz="4" w:space="0" w:color="auto"/>
              <w:right w:val="single" w:sz="4" w:space="0" w:color="auto"/>
            </w:tcBorders>
            <w:shd w:val="clear" w:color="auto" w:fill="auto"/>
            <w:noWrap/>
            <w:hideMark/>
          </w:tcPr>
          <w:p w14:paraId="13F69E9C"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Août</w:t>
            </w:r>
          </w:p>
        </w:tc>
        <w:tc>
          <w:tcPr>
            <w:tcW w:w="1024" w:type="dxa"/>
            <w:tcBorders>
              <w:top w:val="nil"/>
              <w:left w:val="nil"/>
              <w:bottom w:val="single" w:sz="4" w:space="0" w:color="auto"/>
              <w:right w:val="single" w:sz="4" w:space="0" w:color="auto"/>
            </w:tcBorders>
            <w:shd w:val="clear" w:color="auto" w:fill="auto"/>
            <w:noWrap/>
            <w:hideMark/>
          </w:tcPr>
          <w:p w14:paraId="772F9532"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Septembre</w:t>
            </w:r>
          </w:p>
        </w:tc>
        <w:tc>
          <w:tcPr>
            <w:tcW w:w="885" w:type="dxa"/>
            <w:tcBorders>
              <w:top w:val="nil"/>
              <w:left w:val="nil"/>
              <w:bottom w:val="single" w:sz="4" w:space="0" w:color="auto"/>
              <w:right w:val="single" w:sz="4" w:space="0" w:color="auto"/>
            </w:tcBorders>
            <w:shd w:val="clear" w:color="auto" w:fill="auto"/>
            <w:noWrap/>
            <w:hideMark/>
          </w:tcPr>
          <w:p w14:paraId="777B86C9"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Octobre</w:t>
            </w:r>
          </w:p>
        </w:tc>
        <w:tc>
          <w:tcPr>
            <w:tcW w:w="1042" w:type="dxa"/>
            <w:tcBorders>
              <w:top w:val="nil"/>
              <w:left w:val="nil"/>
              <w:bottom w:val="single" w:sz="4" w:space="0" w:color="auto"/>
              <w:right w:val="single" w:sz="4" w:space="0" w:color="auto"/>
            </w:tcBorders>
            <w:shd w:val="clear" w:color="auto" w:fill="auto"/>
            <w:noWrap/>
            <w:hideMark/>
          </w:tcPr>
          <w:p w14:paraId="58EED550"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Novembre</w:t>
            </w:r>
          </w:p>
        </w:tc>
        <w:tc>
          <w:tcPr>
            <w:tcW w:w="1033" w:type="dxa"/>
            <w:tcBorders>
              <w:top w:val="nil"/>
              <w:left w:val="nil"/>
              <w:bottom w:val="single" w:sz="4" w:space="0" w:color="auto"/>
              <w:right w:val="single" w:sz="4" w:space="0" w:color="auto"/>
            </w:tcBorders>
            <w:shd w:val="clear" w:color="auto" w:fill="auto"/>
            <w:noWrap/>
            <w:hideMark/>
          </w:tcPr>
          <w:p w14:paraId="5D7A477C" w14:textId="77777777" w:rsidR="002B7ABA" w:rsidRPr="00DD0DAD" w:rsidRDefault="002B7ABA" w:rsidP="004E6DE8">
            <w:pPr>
              <w:pStyle w:val="Tablehead"/>
              <w:rPr>
                <w:rFonts w:asciiTheme="minorHAnsi" w:hAnsiTheme="minorHAnsi"/>
                <w:b w:val="0"/>
                <w:bCs/>
                <w:sz w:val="18"/>
                <w:szCs w:val="18"/>
                <w:lang w:eastAsia="en-GB"/>
              </w:rPr>
            </w:pPr>
            <w:r w:rsidRPr="00DD0DAD">
              <w:rPr>
                <w:rFonts w:asciiTheme="minorHAnsi" w:hAnsiTheme="minorHAnsi"/>
                <w:b w:val="0"/>
                <w:bCs/>
                <w:sz w:val="18"/>
                <w:szCs w:val="18"/>
                <w:lang w:eastAsia="en-GB"/>
              </w:rPr>
              <w:t>Décembre</w:t>
            </w:r>
          </w:p>
        </w:tc>
        <w:tc>
          <w:tcPr>
            <w:tcW w:w="1242" w:type="dxa"/>
            <w:vMerge/>
            <w:tcBorders>
              <w:top w:val="single" w:sz="8" w:space="0" w:color="auto"/>
              <w:left w:val="single" w:sz="8" w:space="0" w:color="auto"/>
              <w:bottom w:val="single" w:sz="4" w:space="0" w:color="000000"/>
              <w:right w:val="single" w:sz="8" w:space="0" w:color="auto"/>
            </w:tcBorders>
            <w:hideMark/>
          </w:tcPr>
          <w:p w14:paraId="37154FB1"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222" w:type="dxa"/>
            <w:tcBorders>
              <w:top w:val="nil"/>
              <w:left w:val="nil"/>
              <w:bottom w:val="nil"/>
              <w:right w:val="nil"/>
            </w:tcBorders>
            <w:shd w:val="clear" w:color="auto" w:fill="auto"/>
            <w:noWrap/>
            <w:hideMark/>
          </w:tcPr>
          <w:p w14:paraId="479F0581"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18"/>
                <w:szCs w:val="18"/>
                <w:lang w:eastAsia="en-GB"/>
              </w:rPr>
            </w:pPr>
          </w:p>
        </w:tc>
        <w:tc>
          <w:tcPr>
            <w:tcW w:w="1242" w:type="dxa"/>
            <w:vMerge/>
            <w:tcBorders>
              <w:top w:val="single" w:sz="8" w:space="0" w:color="auto"/>
              <w:left w:val="single" w:sz="8" w:space="0" w:color="auto"/>
              <w:bottom w:val="single" w:sz="4" w:space="0" w:color="000000"/>
              <w:right w:val="single" w:sz="8" w:space="0" w:color="auto"/>
            </w:tcBorders>
            <w:hideMark/>
          </w:tcPr>
          <w:p w14:paraId="3AA2F54A"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222" w:type="dxa"/>
            <w:tcBorders>
              <w:top w:val="nil"/>
              <w:left w:val="nil"/>
              <w:bottom w:val="nil"/>
              <w:right w:val="nil"/>
            </w:tcBorders>
            <w:shd w:val="clear" w:color="auto" w:fill="auto"/>
            <w:noWrap/>
            <w:hideMark/>
          </w:tcPr>
          <w:p w14:paraId="18A8E00B"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1054" w:type="dxa"/>
            <w:vMerge/>
            <w:tcBorders>
              <w:top w:val="single" w:sz="8" w:space="0" w:color="auto"/>
              <w:left w:val="single" w:sz="8" w:space="0" w:color="auto"/>
              <w:bottom w:val="single" w:sz="4" w:space="0" w:color="000000"/>
              <w:right w:val="single" w:sz="8" w:space="0" w:color="auto"/>
            </w:tcBorders>
            <w:hideMark/>
          </w:tcPr>
          <w:p w14:paraId="21A7B667"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r>
      <w:tr w:rsidR="002B7ABA" w:rsidRPr="00DD0DAD" w14:paraId="0A12A8A0" w14:textId="77777777" w:rsidTr="00D318A7">
        <w:trPr>
          <w:trHeight w:val="251"/>
        </w:trPr>
        <w:tc>
          <w:tcPr>
            <w:tcW w:w="796"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B738C5D"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b/>
                <w:bCs/>
                <w:sz w:val="18"/>
                <w:szCs w:val="18"/>
                <w:lang w:eastAsia="en-GB"/>
              </w:rPr>
              <w:t>2017</w:t>
            </w:r>
          </w:p>
        </w:tc>
        <w:tc>
          <w:tcPr>
            <w:tcW w:w="885"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ADC8AA7"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w:t>
            </w:r>
          </w:p>
        </w:tc>
        <w:tc>
          <w:tcPr>
            <w:tcW w:w="932"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9BFEB5B"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w:t>
            </w:r>
          </w:p>
        </w:tc>
        <w:tc>
          <w:tcPr>
            <w:tcW w:w="885"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62B4CEDC"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w:t>
            </w:r>
          </w:p>
        </w:tc>
        <w:tc>
          <w:tcPr>
            <w:tcW w:w="85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D70AEBB"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3 </w:t>
            </w:r>
          </w:p>
        </w:tc>
        <w:tc>
          <w:tcPr>
            <w:tcW w:w="92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6EC097B"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14 </w:t>
            </w:r>
          </w:p>
        </w:tc>
        <w:tc>
          <w:tcPr>
            <w:tcW w:w="85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5834B3CF"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12 341 </w:t>
            </w:r>
          </w:p>
        </w:tc>
        <w:tc>
          <w:tcPr>
            <w:tcW w:w="107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8E2FD6A"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38 033 </w:t>
            </w:r>
          </w:p>
        </w:tc>
        <w:tc>
          <w:tcPr>
            <w:tcW w:w="85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720B6F5"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18 371 </w:t>
            </w:r>
          </w:p>
        </w:tc>
        <w:tc>
          <w:tcPr>
            <w:tcW w:w="102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D179AC2"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6 045 </w:t>
            </w:r>
          </w:p>
        </w:tc>
        <w:tc>
          <w:tcPr>
            <w:tcW w:w="885"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D9908CE"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1 374 </w:t>
            </w:r>
          </w:p>
        </w:tc>
        <w:tc>
          <w:tcPr>
            <w:tcW w:w="1042"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2F371EB"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92 134 </w:t>
            </w:r>
          </w:p>
        </w:tc>
        <w:tc>
          <w:tcPr>
            <w:tcW w:w="1033" w:type="dxa"/>
            <w:vMerge w:val="restart"/>
            <w:tcBorders>
              <w:top w:val="nil"/>
              <w:left w:val="single" w:sz="4" w:space="0" w:color="auto"/>
              <w:bottom w:val="single" w:sz="4" w:space="0" w:color="000000"/>
              <w:right w:val="nil"/>
            </w:tcBorders>
            <w:shd w:val="clear" w:color="000000" w:fill="EAEAEA"/>
            <w:noWrap/>
            <w:vAlign w:val="center"/>
            <w:hideMark/>
          </w:tcPr>
          <w:p w14:paraId="10662F39"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160 095 </w:t>
            </w:r>
          </w:p>
        </w:tc>
        <w:tc>
          <w:tcPr>
            <w:tcW w:w="1242"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3B2E51EF"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 xml:space="preserve">328 410 </w:t>
            </w:r>
          </w:p>
        </w:tc>
        <w:tc>
          <w:tcPr>
            <w:tcW w:w="222" w:type="dxa"/>
            <w:tcBorders>
              <w:top w:val="nil"/>
              <w:left w:val="nil"/>
              <w:bottom w:val="nil"/>
              <w:right w:val="nil"/>
            </w:tcBorders>
            <w:shd w:val="clear" w:color="auto" w:fill="auto"/>
            <w:noWrap/>
            <w:vAlign w:val="center"/>
            <w:hideMark/>
          </w:tcPr>
          <w:p w14:paraId="7B0A0873" w14:textId="77777777" w:rsidR="002B7ABA" w:rsidRPr="00DD0DAD" w:rsidRDefault="002B7ABA" w:rsidP="004E6DE8">
            <w:pPr>
              <w:pStyle w:val="Tabletext"/>
              <w:jc w:val="center"/>
              <w:rPr>
                <w:rFonts w:asciiTheme="minorHAnsi" w:hAnsiTheme="minorHAnsi"/>
                <w:b/>
                <w:bCs/>
                <w:sz w:val="18"/>
                <w:szCs w:val="18"/>
                <w:lang w:eastAsia="en-GB"/>
              </w:rPr>
            </w:pPr>
          </w:p>
        </w:tc>
        <w:tc>
          <w:tcPr>
            <w:tcW w:w="1242"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4AF320AF"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 xml:space="preserve">720 000 </w:t>
            </w:r>
          </w:p>
        </w:tc>
        <w:tc>
          <w:tcPr>
            <w:tcW w:w="222" w:type="dxa"/>
            <w:tcBorders>
              <w:top w:val="nil"/>
              <w:left w:val="nil"/>
              <w:bottom w:val="nil"/>
              <w:right w:val="nil"/>
            </w:tcBorders>
            <w:shd w:val="clear" w:color="auto" w:fill="auto"/>
            <w:noWrap/>
            <w:vAlign w:val="center"/>
            <w:hideMark/>
          </w:tcPr>
          <w:p w14:paraId="6C39AB9E" w14:textId="77777777" w:rsidR="002B7ABA" w:rsidRPr="00DD0DAD" w:rsidRDefault="002B7ABA" w:rsidP="004E6DE8">
            <w:pPr>
              <w:pStyle w:val="Tabletext"/>
              <w:jc w:val="center"/>
              <w:rPr>
                <w:rFonts w:asciiTheme="minorHAnsi" w:hAnsiTheme="minorHAnsi"/>
                <w:b/>
                <w:bCs/>
                <w:sz w:val="18"/>
                <w:szCs w:val="18"/>
                <w:lang w:eastAsia="en-GB"/>
              </w:rPr>
            </w:pPr>
          </w:p>
        </w:tc>
        <w:tc>
          <w:tcPr>
            <w:tcW w:w="105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7B79C8A0"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 xml:space="preserve">391 590 </w:t>
            </w:r>
          </w:p>
        </w:tc>
      </w:tr>
      <w:tr w:rsidR="002B7ABA" w:rsidRPr="00DD0DAD" w14:paraId="4187549B" w14:textId="77777777" w:rsidTr="00D318A7">
        <w:trPr>
          <w:trHeight w:val="251"/>
        </w:trPr>
        <w:tc>
          <w:tcPr>
            <w:tcW w:w="796" w:type="dxa"/>
            <w:vMerge/>
            <w:tcBorders>
              <w:top w:val="nil"/>
              <w:left w:val="single" w:sz="8" w:space="0" w:color="auto"/>
              <w:bottom w:val="single" w:sz="4" w:space="0" w:color="000000"/>
              <w:right w:val="single" w:sz="4" w:space="0" w:color="auto"/>
            </w:tcBorders>
            <w:vAlign w:val="center"/>
            <w:hideMark/>
          </w:tcPr>
          <w:p w14:paraId="08DBB767" w14:textId="77777777" w:rsidR="002B7ABA" w:rsidRPr="00DD0DAD" w:rsidRDefault="002B7ABA" w:rsidP="004E6DE8">
            <w:pPr>
              <w:pStyle w:val="Tabletext"/>
              <w:jc w:val="center"/>
              <w:rPr>
                <w:rFonts w:asciiTheme="minorHAnsi" w:hAnsiTheme="minorHAnsi"/>
                <w:b/>
                <w:bCs/>
                <w:sz w:val="18"/>
                <w:szCs w:val="18"/>
                <w:lang w:eastAsia="en-GB"/>
              </w:rPr>
            </w:pPr>
          </w:p>
        </w:tc>
        <w:tc>
          <w:tcPr>
            <w:tcW w:w="885" w:type="dxa"/>
            <w:vMerge/>
            <w:tcBorders>
              <w:top w:val="nil"/>
              <w:left w:val="single" w:sz="4" w:space="0" w:color="auto"/>
              <w:bottom w:val="single" w:sz="4" w:space="0" w:color="000000"/>
              <w:right w:val="single" w:sz="4" w:space="0" w:color="auto"/>
            </w:tcBorders>
            <w:vAlign w:val="center"/>
            <w:hideMark/>
          </w:tcPr>
          <w:p w14:paraId="7017A383" w14:textId="77777777" w:rsidR="002B7ABA" w:rsidRPr="00DD0DAD" w:rsidRDefault="002B7ABA" w:rsidP="004E6DE8">
            <w:pPr>
              <w:pStyle w:val="Tabletext"/>
              <w:jc w:val="center"/>
              <w:rPr>
                <w:rFonts w:asciiTheme="minorHAnsi" w:hAnsiTheme="minorHAnsi"/>
                <w:sz w:val="18"/>
                <w:szCs w:val="18"/>
                <w:lang w:eastAsia="en-GB"/>
              </w:rPr>
            </w:pPr>
          </w:p>
        </w:tc>
        <w:tc>
          <w:tcPr>
            <w:tcW w:w="932" w:type="dxa"/>
            <w:vMerge/>
            <w:tcBorders>
              <w:top w:val="nil"/>
              <w:left w:val="single" w:sz="4" w:space="0" w:color="auto"/>
              <w:bottom w:val="single" w:sz="4" w:space="0" w:color="000000"/>
              <w:right w:val="single" w:sz="4" w:space="0" w:color="auto"/>
            </w:tcBorders>
            <w:vAlign w:val="center"/>
            <w:hideMark/>
          </w:tcPr>
          <w:p w14:paraId="55E8C22A" w14:textId="77777777" w:rsidR="002B7ABA" w:rsidRPr="00DD0DAD" w:rsidRDefault="002B7ABA" w:rsidP="004E6DE8">
            <w:pPr>
              <w:pStyle w:val="Tabletext"/>
              <w:jc w:val="center"/>
              <w:rPr>
                <w:rFonts w:asciiTheme="minorHAnsi" w:hAnsiTheme="minorHAnsi"/>
                <w:sz w:val="18"/>
                <w:szCs w:val="18"/>
                <w:lang w:eastAsia="en-GB"/>
              </w:rPr>
            </w:pPr>
          </w:p>
        </w:tc>
        <w:tc>
          <w:tcPr>
            <w:tcW w:w="885" w:type="dxa"/>
            <w:vMerge/>
            <w:tcBorders>
              <w:top w:val="nil"/>
              <w:left w:val="single" w:sz="4" w:space="0" w:color="auto"/>
              <w:bottom w:val="single" w:sz="4" w:space="0" w:color="000000"/>
              <w:right w:val="single" w:sz="4" w:space="0" w:color="auto"/>
            </w:tcBorders>
            <w:vAlign w:val="center"/>
            <w:hideMark/>
          </w:tcPr>
          <w:p w14:paraId="5D6D9C8C" w14:textId="77777777" w:rsidR="002B7ABA" w:rsidRPr="00DD0DAD" w:rsidRDefault="002B7ABA" w:rsidP="004E6DE8">
            <w:pPr>
              <w:pStyle w:val="Tabletext"/>
              <w:jc w:val="center"/>
              <w:rPr>
                <w:rFonts w:asciiTheme="minorHAnsi" w:hAnsiTheme="minorHAnsi"/>
                <w:sz w:val="18"/>
                <w:szCs w:val="18"/>
                <w:lang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511B9826" w14:textId="77777777" w:rsidR="002B7ABA" w:rsidRPr="00DD0DAD" w:rsidRDefault="002B7ABA" w:rsidP="004E6DE8">
            <w:pPr>
              <w:pStyle w:val="Tabletext"/>
              <w:jc w:val="center"/>
              <w:rPr>
                <w:rFonts w:asciiTheme="minorHAnsi" w:hAnsiTheme="minorHAnsi"/>
                <w:sz w:val="18"/>
                <w:szCs w:val="18"/>
                <w:lang w:eastAsia="en-GB"/>
              </w:rPr>
            </w:pPr>
          </w:p>
        </w:tc>
        <w:tc>
          <w:tcPr>
            <w:tcW w:w="920" w:type="dxa"/>
            <w:vMerge/>
            <w:tcBorders>
              <w:top w:val="nil"/>
              <w:left w:val="single" w:sz="4" w:space="0" w:color="auto"/>
              <w:bottom w:val="single" w:sz="4" w:space="0" w:color="000000"/>
              <w:right w:val="single" w:sz="4" w:space="0" w:color="auto"/>
            </w:tcBorders>
            <w:vAlign w:val="center"/>
            <w:hideMark/>
          </w:tcPr>
          <w:p w14:paraId="2AA8DC39" w14:textId="77777777" w:rsidR="002B7ABA" w:rsidRPr="00DD0DAD" w:rsidRDefault="002B7ABA" w:rsidP="004E6DE8">
            <w:pPr>
              <w:pStyle w:val="Tabletext"/>
              <w:jc w:val="center"/>
              <w:rPr>
                <w:rFonts w:asciiTheme="minorHAnsi" w:hAnsiTheme="minorHAnsi"/>
                <w:sz w:val="18"/>
                <w:szCs w:val="18"/>
                <w:lang w:eastAsia="en-GB"/>
              </w:rPr>
            </w:pPr>
          </w:p>
        </w:tc>
        <w:tc>
          <w:tcPr>
            <w:tcW w:w="851" w:type="dxa"/>
            <w:vMerge/>
            <w:tcBorders>
              <w:top w:val="nil"/>
              <w:left w:val="single" w:sz="4" w:space="0" w:color="auto"/>
              <w:bottom w:val="single" w:sz="4" w:space="0" w:color="000000"/>
              <w:right w:val="single" w:sz="4" w:space="0" w:color="auto"/>
            </w:tcBorders>
            <w:vAlign w:val="center"/>
            <w:hideMark/>
          </w:tcPr>
          <w:p w14:paraId="2B153832" w14:textId="77777777" w:rsidR="002B7ABA" w:rsidRPr="00DD0DAD" w:rsidRDefault="002B7ABA" w:rsidP="004E6DE8">
            <w:pPr>
              <w:pStyle w:val="Tabletext"/>
              <w:jc w:val="center"/>
              <w:rPr>
                <w:rFonts w:asciiTheme="minorHAnsi" w:hAnsiTheme="minorHAnsi"/>
                <w:sz w:val="18"/>
                <w:szCs w:val="18"/>
                <w:lang w:eastAsia="en-GB"/>
              </w:rPr>
            </w:pPr>
          </w:p>
        </w:tc>
        <w:tc>
          <w:tcPr>
            <w:tcW w:w="1070" w:type="dxa"/>
            <w:vMerge/>
            <w:tcBorders>
              <w:top w:val="nil"/>
              <w:left w:val="single" w:sz="4" w:space="0" w:color="auto"/>
              <w:bottom w:val="single" w:sz="4" w:space="0" w:color="000000"/>
              <w:right w:val="single" w:sz="4" w:space="0" w:color="auto"/>
            </w:tcBorders>
            <w:vAlign w:val="center"/>
            <w:hideMark/>
          </w:tcPr>
          <w:p w14:paraId="6819A68F" w14:textId="77777777" w:rsidR="002B7ABA" w:rsidRPr="00DD0DAD" w:rsidRDefault="002B7ABA" w:rsidP="004E6DE8">
            <w:pPr>
              <w:pStyle w:val="Tabletext"/>
              <w:jc w:val="center"/>
              <w:rPr>
                <w:rFonts w:asciiTheme="minorHAnsi" w:hAnsiTheme="minorHAnsi"/>
                <w:sz w:val="18"/>
                <w:szCs w:val="18"/>
                <w:lang w:eastAsia="en-GB"/>
              </w:rPr>
            </w:pPr>
          </w:p>
        </w:tc>
        <w:tc>
          <w:tcPr>
            <w:tcW w:w="851" w:type="dxa"/>
            <w:vMerge/>
            <w:tcBorders>
              <w:top w:val="nil"/>
              <w:left w:val="single" w:sz="4" w:space="0" w:color="auto"/>
              <w:bottom w:val="single" w:sz="4" w:space="0" w:color="000000"/>
              <w:right w:val="single" w:sz="4" w:space="0" w:color="auto"/>
            </w:tcBorders>
            <w:vAlign w:val="center"/>
            <w:hideMark/>
          </w:tcPr>
          <w:p w14:paraId="3B17B855" w14:textId="77777777" w:rsidR="002B7ABA" w:rsidRPr="00DD0DAD" w:rsidRDefault="002B7ABA" w:rsidP="004E6DE8">
            <w:pPr>
              <w:pStyle w:val="Tabletext"/>
              <w:jc w:val="center"/>
              <w:rPr>
                <w:rFonts w:asciiTheme="minorHAnsi" w:hAnsiTheme="minorHAnsi"/>
                <w:sz w:val="18"/>
                <w:szCs w:val="18"/>
                <w:lang w:eastAsia="en-GB"/>
              </w:rPr>
            </w:pPr>
          </w:p>
        </w:tc>
        <w:tc>
          <w:tcPr>
            <w:tcW w:w="1024" w:type="dxa"/>
            <w:vMerge/>
            <w:tcBorders>
              <w:top w:val="nil"/>
              <w:left w:val="single" w:sz="4" w:space="0" w:color="auto"/>
              <w:bottom w:val="single" w:sz="4" w:space="0" w:color="000000"/>
              <w:right w:val="single" w:sz="4" w:space="0" w:color="auto"/>
            </w:tcBorders>
            <w:vAlign w:val="center"/>
            <w:hideMark/>
          </w:tcPr>
          <w:p w14:paraId="18075C70" w14:textId="77777777" w:rsidR="002B7ABA" w:rsidRPr="00DD0DAD" w:rsidRDefault="002B7ABA" w:rsidP="004E6DE8">
            <w:pPr>
              <w:pStyle w:val="Tabletext"/>
              <w:jc w:val="center"/>
              <w:rPr>
                <w:rFonts w:asciiTheme="minorHAnsi" w:hAnsiTheme="minorHAnsi"/>
                <w:sz w:val="18"/>
                <w:szCs w:val="18"/>
                <w:lang w:eastAsia="en-GB"/>
              </w:rPr>
            </w:pPr>
          </w:p>
        </w:tc>
        <w:tc>
          <w:tcPr>
            <w:tcW w:w="885" w:type="dxa"/>
            <w:vMerge/>
            <w:tcBorders>
              <w:top w:val="nil"/>
              <w:left w:val="single" w:sz="4" w:space="0" w:color="auto"/>
              <w:bottom w:val="single" w:sz="4" w:space="0" w:color="000000"/>
              <w:right w:val="single" w:sz="4" w:space="0" w:color="auto"/>
            </w:tcBorders>
            <w:vAlign w:val="center"/>
            <w:hideMark/>
          </w:tcPr>
          <w:p w14:paraId="6D71FA12" w14:textId="77777777" w:rsidR="002B7ABA" w:rsidRPr="00DD0DAD" w:rsidRDefault="002B7ABA" w:rsidP="004E6DE8">
            <w:pPr>
              <w:pStyle w:val="Tabletext"/>
              <w:jc w:val="center"/>
              <w:rPr>
                <w:rFonts w:asciiTheme="minorHAnsi" w:hAnsiTheme="minorHAnsi"/>
                <w:sz w:val="18"/>
                <w:szCs w:val="18"/>
                <w:lang w:eastAsia="en-GB"/>
              </w:rPr>
            </w:pPr>
          </w:p>
        </w:tc>
        <w:tc>
          <w:tcPr>
            <w:tcW w:w="1042" w:type="dxa"/>
            <w:vMerge/>
            <w:tcBorders>
              <w:top w:val="nil"/>
              <w:left w:val="single" w:sz="4" w:space="0" w:color="auto"/>
              <w:bottom w:val="single" w:sz="4" w:space="0" w:color="000000"/>
              <w:right w:val="single" w:sz="4" w:space="0" w:color="auto"/>
            </w:tcBorders>
            <w:vAlign w:val="center"/>
            <w:hideMark/>
          </w:tcPr>
          <w:p w14:paraId="48936605" w14:textId="77777777" w:rsidR="002B7ABA" w:rsidRPr="00DD0DAD" w:rsidRDefault="002B7ABA" w:rsidP="004E6DE8">
            <w:pPr>
              <w:pStyle w:val="Tabletext"/>
              <w:jc w:val="center"/>
              <w:rPr>
                <w:rFonts w:asciiTheme="minorHAnsi" w:hAnsiTheme="minorHAnsi"/>
                <w:sz w:val="18"/>
                <w:szCs w:val="18"/>
                <w:lang w:eastAsia="en-GB"/>
              </w:rPr>
            </w:pPr>
          </w:p>
        </w:tc>
        <w:tc>
          <w:tcPr>
            <w:tcW w:w="1033" w:type="dxa"/>
            <w:vMerge/>
            <w:tcBorders>
              <w:top w:val="nil"/>
              <w:left w:val="single" w:sz="4" w:space="0" w:color="auto"/>
              <w:bottom w:val="single" w:sz="4" w:space="0" w:color="000000"/>
              <w:right w:val="nil"/>
            </w:tcBorders>
            <w:vAlign w:val="center"/>
            <w:hideMark/>
          </w:tcPr>
          <w:p w14:paraId="59BDB3CB" w14:textId="77777777" w:rsidR="002B7ABA" w:rsidRPr="00DD0DAD" w:rsidRDefault="002B7ABA" w:rsidP="004E6DE8">
            <w:pPr>
              <w:pStyle w:val="Tabletext"/>
              <w:jc w:val="center"/>
              <w:rPr>
                <w:rFonts w:asciiTheme="minorHAnsi" w:hAnsiTheme="minorHAnsi"/>
                <w:sz w:val="18"/>
                <w:szCs w:val="18"/>
                <w:lang w:eastAsia="en-GB"/>
              </w:rPr>
            </w:pPr>
          </w:p>
        </w:tc>
        <w:tc>
          <w:tcPr>
            <w:tcW w:w="1242" w:type="dxa"/>
            <w:vMerge/>
            <w:tcBorders>
              <w:top w:val="nil"/>
              <w:left w:val="single" w:sz="8" w:space="0" w:color="auto"/>
              <w:bottom w:val="single" w:sz="4" w:space="0" w:color="000000"/>
              <w:right w:val="single" w:sz="8" w:space="0" w:color="auto"/>
            </w:tcBorders>
            <w:vAlign w:val="center"/>
            <w:hideMark/>
          </w:tcPr>
          <w:p w14:paraId="5DA754C0" w14:textId="77777777" w:rsidR="002B7ABA" w:rsidRPr="00DD0DAD" w:rsidRDefault="002B7ABA" w:rsidP="004E6DE8">
            <w:pPr>
              <w:pStyle w:val="Tabletext"/>
              <w:jc w:val="center"/>
              <w:rPr>
                <w:rFonts w:asciiTheme="minorHAnsi" w:hAnsiTheme="minorHAnsi"/>
                <w:b/>
                <w:bCs/>
                <w:sz w:val="18"/>
                <w:szCs w:val="18"/>
                <w:lang w:eastAsia="en-GB"/>
              </w:rPr>
            </w:pPr>
          </w:p>
        </w:tc>
        <w:tc>
          <w:tcPr>
            <w:tcW w:w="222" w:type="dxa"/>
            <w:tcBorders>
              <w:top w:val="nil"/>
              <w:left w:val="nil"/>
              <w:bottom w:val="nil"/>
              <w:right w:val="nil"/>
            </w:tcBorders>
            <w:shd w:val="clear" w:color="auto" w:fill="auto"/>
            <w:noWrap/>
            <w:vAlign w:val="center"/>
            <w:hideMark/>
          </w:tcPr>
          <w:p w14:paraId="776B3A10" w14:textId="77777777" w:rsidR="002B7ABA" w:rsidRPr="00DD0DAD" w:rsidRDefault="002B7ABA" w:rsidP="004E6DE8">
            <w:pPr>
              <w:pStyle w:val="Tabletext"/>
              <w:jc w:val="center"/>
              <w:rPr>
                <w:rFonts w:asciiTheme="minorHAnsi" w:hAnsiTheme="minorHAnsi"/>
                <w:b/>
                <w:bCs/>
                <w:sz w:val="18"/>
                <w:szCs w:val="18"/>
                <w:lang w:eastAsia="en-GB"/>
              </w:rPr>
            </w:pPr>
          </w:p>
        </w:tc>
        <w:tc>
          <w:tcPr>
            <w:tcW w:w="1242" w:type="dxa"/>
            <w:vMerge/>
            <w:tcBorders>
              <w:top w:val="nil"/>
              <w:left w:val="single" w:sz="8" w:space="0" w:color="auto"/>
              <w:bottom w:val="single" w:sz="4" w:space="0" w:color="000000"/>
              <w:right w:val="single" w:sz="8" w:space="0" w:color="auto"/>
            </w:tcBorders>
            <w:vAlign w:val="center"/>
            <w:hideMark/>
          </w:tcPr>
          <w:p w14:paraId="679F82BA" w14:textId="77777777" w:rsidR="002B7ABA" w:rsidRPr="00DD0DAD" w:rsidRDefault="002B7ABA" w:rsidP="004E6DE8">
            <w:pPr>
              <w:pStyle w:val="Tabletext"/>
              <w:jc w:val="center"/>
              <w:rPr>
                <w:rFonts w:asciiTheme="minorHAnsi" w:hAnsiTheme="minorHAnsi"/>
                <w:b/>
                <w:bCs/>
                <w:sz w:val="18"/>
                <w:szCs w:val="18"/>
                <w:lang w:eastAsia="en-GB"/>
              </w:rPr>
            </w:pPr>
          </w:p>
        </w:tc>
        <w:tc>
          <w:tcPr>
            <w:tcW w:w="222" w:type="dxa"/>
            <w:tcBorders>
              <w:top w:val="nil"/>
              <w:left w:val="nil"/>
              <w:bottom w:val="nil"/>
              <w:right w:val="nil"/>
            </w:tcBorders>
            <w:shd w:val="clear" w:color="auto" w:fill="auto"/>
            <w:noWrap/>
            <w:vAlign w:val="center"/>
            <w:hideMark/>
          </w:tcPr>
          <w:p w14:paraId="6D6710C7" w14:textId="77777777" w:rsidR="002B7ABA" w:rsidRPr="00DD0DAD" w:rsidRDefault="002B7ABA" w:rsidP="004E6DE8">
            <w:pPr>
              <w:pStyle w:val="Tabletext"/>
              <w:jc w:val="center"/>
              <w:rPr>
                <w:rFonts w:asciiTheme="minorHAnsi" w:hAnsiTheme="minorHAnsi"/>
                <w:b/>
                <w:bCs/>
                <w:sz w:val="18"/>
                <w:szCs w:val="18"/>
                <w:lang w:eastAsia="en-GB"/>
              </w:rPr>
            </w:pPr>
          </w:p>
        </w:tc>
        <w:tc>
          <w:tcPr>
            <w:tcW w:w="1054" w:type="dxa"/>
            <w:vMerge/>
            <w:tcBorders>
              <w:top w:val="nil"/>
              <w:left w:val="single" w:sz="8" w:space="0" w:color="auto"/>
              <w:bottom w:val="single" w:sz="4" w:space="0" w:color="000000"/>
              <w:right w:val="single" w:sz="8" w:space="0" w:color="auto"/>
            </w:tcBorders>
            <w:vAlign w:val="center"/>
            <w:hideMark/>
          </w:tcPr>
          <w:p w14:paraId="25FBA21F" w14:textId="77777777" w:rsidR="002B7ABA" w:rsidRPr="00DD0DAD" w:rsidRDefault="002B7ABA" w:rsidP="004E6DE8">
            <w:pPr>
              <w:pStyle w:val="Tabletext"/>
              <w:jc w:val="center"/>
              <w:rPr>
                <w:rFonts w:asciiTheme="minorHAnsi" w:hAnsiTheme="minorHAnsi"/>
                <w:b/>
                <w:bCs/>
                <w:sz w:val="18"/>
                <w:szCs w:val="18"/>
                <w:lang w:eastAsia="en-GB"/>
              </w:rPr>
            </w:pPr>
          </w:p>
        </w:tc>
      </w:tr>
      <w:tr w:rsidR="002B7ABA" w:rsidRPr="00DD0DAD" w14:paraId="5B504348" w14:textId="77777777" w:rsidTr="00D318A7">
        <w:trPr>
          <w:trHeight w:val="251"/>
        </w:trPr>
        <w:tc>
          <w:tcPr>
            <w:tcW w:w="796"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FC593E0"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b/>
                <w:bCs/>
                <w:sz w:val="18"/>
                <w:szCs w:val="18"/>
                <w:lang w:eastAsia="en-GB"/>
              </w:rPr>
              <w:t>2018</w:t>
            </w:r>
          </w:p>
        </w:tc>
        <w:tc>
          <w:tcPr>
            <w:tcW w:w="885"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59C6E2D9"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307 590 </w:t>
            </w:r>
          </w:p>
        </w:tc>
        <w:tc>
          <w:tcPr>
            <w:tcW w:w="932"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DF97D04"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52 541 </w:t>
            </w:r>
          </w:p>
        </w:tc>
        <w:tc>
          <w:tcPr>
            <w:tcW w:w="885"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273DE8A8" w14:textId="549CF1E5"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20</w:t>
            </w:r>
          </w:p>
        </w:tc>
        <w:tc>
          <w:tcPr>
            <w:tcW w:w="85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D134595" w14:textId="7F5E51F0"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204</w:t>
            </w:r>
          </w:p>
        </w:tc>
        <w:tc>
          <w:tcPr>
            <w:tcW w:w="92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76122B9" w14:textId="6CED1329"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76 020</w:t>
            </w:r>
          </w:p>
        </w:tc>
        <w:tc>
          <w:tcPr>
            <w:tcW w:w="85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247DD286"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15 573 </w:t>
            </w:r>
          </w:p>
        </w:tc>
        <w:tc>
          <w:tcPr>
            <w:tcW w:w="107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A0224D1"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0 </w:t>
            </w:r>
          </w:p>
        </w:tc>
        <w:tc>
          <w:tcPr>
            <w:tcW w:w="85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F4B1A01"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0 </w:t>
            </w:r>
          </w:p>
        </w:tc>
        <w:tc>
          <w:tcPr>
            <w:tcW w:w="102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F31550E"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594 020 </w:t>
            </w:r>
          </w:p>
        </w:tc>
        <w:tc>
          <w:tcPr>
            <w:tcW w:w="885"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298D8DF"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75 396 </w:t>
            </w:r>
          </w:p>
        </w:tc>
        <w:tc>
          <w:tcPr>
            <w:tcW w:w="1042"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2CC4B43C"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628 780 </w:t>
            </w:r>
          </w:p>
        </w:tc>
        <w:tc>
          <w:tcPr>
            <w:tcW w:w="1033" w:type="dxa"/>
            <w:vMerge w:val="restart"/>
            <w:tcBorders>
              <w:top w:val="nil"/>
              <w:left w:val="single" w:sz="4" w:space="0" w:color="auto"/>
              <w:bottom w:val="single" w:sz="4" w:space="0" w:color="000000"/>
              <w:right w:val="nil"/>
            </w:tcBorders>
            <w:shd w:val="clear" w:color="000000" w:fill="EAEAEA"/>
            <w:noWrap/>
            <w:vAlign w:val="center"/>
            <w:hideMark/>
          </w:tcPr>
          <w:p w14:paraId="114337BE"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734 </w:t>
            </w:r>
          </w:p>
        </w:tc>
        <w:tc>
          <w:tcPr>
            <w:tcW w:w="1242"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ABE349C"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 xml:space="preserve">1 750 878 </w:t>
            </w:r>
          </w:p>
        </w:tc>
        <w:tc>
          <w:tcPr>
            <w:tcW w:w="222" w:type="dxa"/>
            <w:tcBorders>
              <w:top w:val="nil"/>
              <w:left w:val="nil"/>
              <w:bottom w:val="nil"/>
              <w:right w:val="nil"/>
            </w:tcBorders>
            <w:shd w:val="clear" w:color="auto" w:fill="auto"/>
            <w:noWrap/>
            <w:vAlign w:val="center"/>
            <w:hideMark/>
          </w:tcPr>
          <w:p w14:paraId="4DF5348A" w14:textId="77777777" w:rsidR="002B7ABA" w:rsidRPr="00DD0DAD" w:rsidRDefault="002B7ABA" w:rsidP="004E6DE8">
            <w:pPr>
              <w:pStyle w:val="Tabletext"/>
              <w:jc w:val="center"/>
              <w:rPr>
                <w:rFonts w:asciiTheme="minorHAnsi" w:hAnsiTheme="minorHAnsi"/>
                <w:b/>
                <w:bCs/>
                <w:sz w:val="18"/>
                <w:szCs w:val="18"/>
                <w:lang w:eastAsia="en-GB"/>
              </w:rPr>
            </w:pPr>
          </w:p>
        </w:tc>
        <w:tc>
          <w:tcPr>
            <w:tcW w:w="1242"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2ED733D"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 xml:space="preserve">1 667 000 </w:t>
            </w:r>
          </w:p>
        </w:tc>
        <w:tc>
          <w:tcPr>
            <w:tcW w:w="222" w:type="dxa"/>
            <w:tcBorders>
              <w:top w:val="nil"/>
              <w:left w:val="nil"/>
              <w:bottom w:val="nil"/>
              <w:right w:val="nil"/>
            </w:tcBorders>
            <w:shd w:val="clear" w:color="auto" w:fill="auto"/>
            <w:noWrap/>
            <w:vAlign w:val="center"/>
            <w:hideMark/>
          </w:tcPr>
          <w:p w14:paraId="7A6AD495" w14:textId="77777777" w:rsidR="002B7ABA" w:rsidRPr="00DD0DAD" w:rsidRDefault="002B7ABA" w:rsidP="004E6DE8">
            <w:pPr>
              <w:pStyle w:val="Tabletext"/>
              <w:jc w:val="center"/>
              <w:rPr>
                <w:rFonts w:asciiTheme="minorHAnsi" w:hAnsiTheme="minorHAnsi"/>
                <w:b/>
                <w:bCs/>
                <w:sz w:val="18"/>
                <w:szCs w:val="18"/>
                <w:lang w:eastAsia="en-GB"/>
              </w:rPr>
            </w:pPr>
          </w:p>
        </w:tc>
        <w:tc>
          <w:tcPr>
            <w:tcW w:w="105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6F6A47C5" w14:textId="76FE0052" w:rsidR="002B7ABA" w:rsidRPr="00DD0DAD" w:rsidRDefault="005525D4" w:rsidP="004E6DE8">
            <w:pPr>
              <w:pStyle w:val="Tabletext"/>
              <w:jc w:val="center"/>
              <w:rPr>
                <w:rFonts w:asciiTheme="minorHAnsi" w:hAnsiTheme="minorHAnsi"/>
                <w:b/>
                <w:bCs/>
                <w:sz w:val="18"/>
                <w:szCs w:val="18"/>
                <w:lang w:eastAsia="en-GB"/>
              </w:rPr>
            </w:pPr>
            <w:r w:rsidRPr="005525D4">
              <w:rPr>
                <w:rFonts w:asciiTheme="minorHAnsi" w:hAnsiTheme="minorHAnsi" w:cs="Calibri"/>
                <w:b/>
                <w:bCs/>
                <w:color w:val="000000"/>
                <w:sz w:val="18"/>
                <w:szCs w:val="18"/>
                <w:lang w:eastAsia="en-GB"/>
              </w:rPr>
              <w:t>–</w:t>
            </w:r>
            <w:r w:rsidR="002B7ABA" w:rsidRPr="00DD0DAD">
              <w:rPr>
                <w:rFonts w:asciiTheme="minorHAnsi" w:hAnsiTheme="minorHAnsi" w:cs="Calibri"/>
                <w:b/>
                <w:bCs/>
                <w:color w:val="000000"/>
                <w:sz w:val="18"/>
                <w:szCs w:val="18"/>
                <w:lang w:eastAsia="en-GB"/>
              </w:rPr>
              <w:t xml:space="preserve">83 878 </w:t>
            </w:r>
          </w:p>
        </w:tc>
      </w:tr>
      <w:tr w:rsidR="002B7ABA" w:rsidRPr="00DD0DAD" w14:paraId="77BBD217" w14:textId="77777777" w:rsidTr="00D318A7">
        <w:trPr>
          <w:trHeight w:val="251"/>
        </w:trPr>
        <w:tc>
          <w:tcPr>
            <w:tcW w:w="796" w:type="dxa"/>
            <w:vMerge/>
            <w:tcBorders>
              <w:top w:val="nil"/>
              <w:left w:val="single" w:sz="8" w:space="0" w:color="auto"/>
              <w:bottom w:val="single" w:sz="4" w:space="0" w:color="000000"/>
              <w:right w:val="single" w:sz="4" w:space="0" w:color="auto"/>
            </w:tcBorders>
            <w:vAlign w:val="center"/>
            <w:hideMark/>
          </w:tcPr>
          <w:p w14:paraId="3131FE98" w14:textId="77777777" w:rsidR="002B7ABA" w:rsidRPr="00DD0DAD" w:rsidRDefault="002B7ABA" w:rsidP="004E6DE8">
            <w:pPr>
              <w:pStyle w:val="Tabletext"/>
              <w:jc w:val="center"/>
              <w:rPr>
                <w:rFonts w:asciiTheme="minorHAnsi" w:hAnsiTheme="minorHAnsi"/>
                <w:b/>
                <w:bCs/>
                <w:sz w:val="18"/>
                <w:szCs w:val="18"/>
                <w:lang w:eastAsia="en-GB"/>
              </w:rPr>
            </w:pPr>
          </w:p>
        </w:tc>
        <w:tc>
          <w:tcPr>
            <w:tcW w:w="885" w:type="dxa"/>
            <w:vMerge/>
            <w:tcBorders>
              <w:top w:val="nil"/>
              <w:left w:val="single" w:sz="4" w:space="0" w:color="auto"/>
              <w:bottom w:val="single" w:sz="4" w:space="0" w:color="000000"/>
              <w:right w:val="single" w:sz="4" w:space="0" w:color="auto"/>
            </w:tcBorders>
            <w:vAlign w:val="center"/>
            <w:hideMark/>
          </w:tcPr>
          <w:p w14:paraId="6600D419" w14:textId="77777777" w:rsidR="002B7ABA" w:rsidRPr="00DD0DAD" w:rsidRDefault="002B7ABA" w:rsidP="004E6DE8">
            <w:pPr>
              <w:pStyle w:val="Tabletext"/>
              <w:jc w:val="center"/>
              <w:rPr>
                <w:rFonts w:asciiTheme="minorHAnsi" w:hAnsiTheme="minorHAnsi"/>
                <w:sz w:val="18"/>
                <w:szCs w:val="18"/>
                <w:lang w:eastAsia="en-GB"/>
              </w:rPr>
            </w:pPr>
          </w:p>
        </w:tc>
        <w:tc>
          <w:tcPr>
            <w:tcW w:w="932" w:type="dxa"/>
            <w:vMerge/>
            <w:tcBorders>
              <w:top w:val="nil"/>
              <w:left w:val="single" w:sz="4" w:space="0" w:color="auto"/>
              <w:bottom w:val="single" w:sz="4" w:space="0" w:color="000000"/>
              <w:right w:val="single" w:sz="4" w:space="0" w:color="auto"/>
            </w:tcBorders>
            <w:vAlign w:val="center"/>
            <w:hideMark/>
          </w:tcPr>
          <w:p w14:paraId="48D5BCD7" w14:textId="77777777" w:rsidR="002B7ABA" w:rsidRPr="00DD0DAD" w:rsidRDefault="002B7ABA" w:rsidP="004E6DE8">
            <w:pPr>
              <w:pStyle w:val="Tabletext"/>
              <w:jc w:val="center"/>
              <w:rPr>
                <w:rFonts w:asciiTheme="minorHAnsi" w:hAnsiTheme="minorHAnsi"/>
                <w:sz w:val="18"/>
                <w:szCs w:val="18"/>
                <w:lang w:eastAsia="en-GB"/>
              </w:rPr>
            </w:pPr>
          </w:p>
        </w:tc>
        <w:tc>
          <w:tcPr>
            <w:tcW w:w="885" w:type="dxa"/>
            <w:vMerge/>
            <w:tcBorders>
              <w:top w:val="nil"/>
              <w:left w:val="single" w:sz="4" w:space="0" w:color="auto"/>
              <w:bottom w:val="single" w:sz="4" w:space="0" w:color="000000"/>
              <w:right w:val="single" w:sz="4" w:space="0" w:color="auto"/>
            </w:tcBorders>
            <w:vAlign w:val="center"/>
            <w:hideMark/>
          </w:tcPr>
          <w:p w14:paraId="4ABA6450" w14:textId="77777777" w:rsidR="002B7ABA" w:rsidRPr="00DD0DAD" w:rsidRDefault="002B7ABA" w:rsidP="004E6DE8">
            <w:pPr>
              <w:pStyle w:val="Tabletext"/>
              <w:jc w:val="center"/>
              <w:rPr>
                <w:rFonts w:asciiTheme="minorHAnsi" w:hAnsiTheme="minorHAnsi"/>
                <w:sz w:val="18"/>
                <w:szCs w:val="18"/>
                <w:lang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6BA73397" w14:textId="77777777" w:rsidR="002B7ABA" w:rsidRPr="00DD0DAD" w:rsidRDefault="002B7ABA" w:rsidP="004E6DE8">
            <w:pPr>
              <w:pStyle w:val="Tabletext"/>
              <w:jc w:val="center"/>
              <w:rPr>
                <w:rFonts w:asciiTheme="minorHAnsi" w:hAnsiTheme="minorHAnsi"/>
                <w:sz w:val="18"/>
                <w:szCs w:val="18"/>
                <w:lang w:eastAsia="en-GB"/>
              </w:rPr>
            </w:pPr>
          </w:p>
        </w:tc>
        <w:tc>
          <w:tcPr>
            <w:tcW w:w="920" w:type="dxa"/>
            <w:vMerge/>
            <w:tcBorders>
              <w:top w:val="nil"/>
              <w:left w:val="single" w:sz="4" w:space="0" w:color="auto"/>
              <w:bottom w:val="single" w:sz="4" w:space="0" w:color="000000"/>
              <w:right w:val="single" w:sz="4" w:space="0" w:color="auto"/>
            </w:tcBorders>
            <w:vAlign w:val="center"/>
            <w:hideMark/>
          </w:tcPr>
          <w:p w14:paraId="08732297" w14:textId="77777777" w:rsidR="002B7ABA" w:rsidRPr="00DD0DAD" w:rsidRDefault="002B7ABA" w:rsidP="004E6DE8">
            <w:pPr>
              <w:pStyle w:val="Tabletext"/>
              <w:jc w:val="center"/>
              <w:rPr>
                <w:rFonts w:asciiTheme="minorHAnsi" w:hAnsiTheme="minorHAnsi"/>
                <w:sz w:val="18"/>
                <w:szCs w:val="18"/>
                <w:lang w:eastAsia="en-GB"/>
              </w:rPr>
            </w:pPr>
          </w:p>
        </w:tc>
        <w:tc>
          <w:tcPr>
            <w:tcW w:w="851" w:type="dxa"/>
            <w:vMerge/>
            <w:tcBorders>
              <w:top w:val="nil"/>
              <w:left w:val="single" w:sz="4" w:space="0" w:color="auto"/>
              <w:bottom w:val="single" w:sz="4" w:space="0" w:color="000000"/>
              <w:right w:val="single" w:sz="4" w:space="0" w:color="auto"/>
            </w:tcBorders>
            <w:vAlign w:val="center"/>
            <w:hideMark/>
          </w:tcPr>
          <w:p w14:paraId="4402C2B6" w14:textId="77777777" w:rsidR="002B7ABA" w:rsidRPr="00DD0DAD" w:rsidRDefault="002B7ABA" w:rsidP="004E6DE8">
            <w:pPr>
              <w:pStyle w:val="Tabletext"/>
              <w:jc w:val="center"/>
              <w:rPr>
                <w:rFonts w:asciiTheme="minorHAnsi" w:hAnsiTheme="minorHAnsi"/>
                <w:sz w:val="18"/>
                <w:szCs w:val="18"/>
                <w:lang w:eastAsia="en-GB"/>
              </w:rPr>
            </w:pPr>
          </w:p>
        </w:tc>
        <w:tc>
          <w:tcPr>
            <w:tcW w:w="1070" w:type="dxa"/>
            <w:vMerge/>
            <w:tcBorders>
              <w:top w:val="nil"/>
              <w:left w:val="single" w:sz="4" w:space="0" w:color="auto"/>
              <w:bottom w:val="single" w:sz="4" w:space="0" w:color="000000"/>
              <w:right w:val="single" w:sz="4" w:space="0" w:color="auto"/>
            </w:tcBorders>
            <w:vAlign w:val="center"/>
            <w:hideMark/>
          </w:tcPr>
          <w:p w14:paraId="38F4A160" w14:textId="77777777" w:rsidR="002B7ABA" w:rsidRPr="00DD0DAD" w:rsidRDefault="002B7ABA" w:rsidP="004E6DE8">
            <w:pPr>
              <w:pStyle w:val="Tabletext"/>
              <w:jc w:val="center"/>
              <w:rPr>
                <w:rFonts w:asciiTheme="minorHAnsi" w:hAnsiTheme="minorHAnsi"/>
                <w:sz w:val="18"/>
                <w:szCs w:val="18"/>
                <w:lang w:eastAsia="en-GB"/>
              </w:rPr>
            </w:pPr>
          </w:p>
        </w:tc>
        <w:tc>
          <w:tcPr>
            <w:tcW w:w="851" w:type="dxa"/>
            <w:vMerge/>
            <w:tcBorders>
              <w:top w:val="nil"/>
              <w:left w:val="single" w:sz="4" w:space="0" w:color="auto"/>
              <w:bottom w:val="single" w:sz="4" w:space="0" w:color="000000"/>
              <w:right w:val="single" w:sz="4" w:space="0" w:color="auto"/>
            </w:tcBorders>
            <w:vAlign w:val="center"/>
            <w:hideMark/>
          </w:tcPr>
          <w:p w14:paraId="1BDFB0E0" w14:textId="77777777" w:rsidR="002B7ABA" w:rsidRPr="00DD0DAD" w:rsidRDefault="002B7ABA" w:rsidP="004E6DE8">
            <w:pPr>
              <w:pStyle w:val="Tabletext"/>
              <w:jc w:val="center"/>
              <w:rPr>
                <w:rFonts w:asciiTheme="minorHAnsi" w:hAnsiTheme="minorHAnsi"/>
                <w:sz w:val="18"/>
                <w:szCs w:val="18"/>
                <w:lang w:eastAsia="en-GB"/>
              </w:rPr>
            </w:pPr>
          </w:p>
        </w:tc>
        <w:tc>
          <w:tcPr>
            <w:tcW w:w="1024" w:type="dxa"/>
            <w:vMerge/>
            <w:tcBorders>
              <w:top w:val="nil"/>
              <w:left w:val="single" w:sz="4" w:space="0" w:color="auto"/>
              <w:bottom w:val="single" w:sz="4" w:space="0" w:color="000000"/>
              <w:right w:val="single" w:sz="4" w:space="0" w:color="auto"/>
            </w:tcBorders>
            <w:vAlign w:val="center"/>
            <w:hideMark/>
          </w:tcPr>
          <w:p w14:paraId="6F914269" w14:textId="77777777" w:rsidR="002B7ABA" w:rsidRPr="00DD0DAD" w:rsidRDefault="002B7ABA" w:rsidP="004E6DE8">
            <w:pPr>
              <w:pStyle w:val="Tabletext"/>
              <w:jc w:val="center"/>
              <w:rPr>
                <w:rFonts w:asciiTheme="minorHAnsi" w:hAnsiTheme="minorHAnsi"/>
                <w:sz w:val="18"/>
                <w:szCs w:val="18"/>
                <w:lang w:eastAsia="en-GB"/>
              </w:rPr>
            </w:pPr>
          </w:p>
        </w:tc>
        <w:tc>
          <w:tcPr>
            <w:tcW w:w="885" w:type="dxa"/>
            <w:vMerge/>
            <w:tcBorders>
              <w:top w:val="nil"/>
              <w:left w:val="single" w:sz="4" w:space="0" w:color="auto"/>
              <w:bottom w:val="single" w:sz="4" w:space="0" w:color="000000"/>
              <w:right w:val="single" w:sz="4" w:space="0" w:color="auto"/>
            </w:tcBorders>
            <w:vAlign w:val="center"/>
            <w:hideMark/>
          </w:tcPr>
          <w:p w14:paraId="32ADA976" w14:textId="77777777" w:rsidR="002B7ABA" w:rsidRPr="00DD0DAD" w:rsidRDefault="002B7ABA" w:rsidP="004E6DE8">
            <w:pPr>
              <w:pStyle w:val="Tabletext"/>
              <w:jc w:val="center"/>
              <w:rPr>
                <w:rFonts w:asciiTheme="minorHAnsi" w:hAnsiTheme="minorHAnsi"/>
                <w:sz w:val="18"/>
                <w:szCs w:val="18"/>
                <w:lang w:eastAsia="en-GB"/>
              </w:rPr>
            </w:pPr>
          </w:p>
        </w:tc>
        <w:tc>
          <w:tcPr>
            <w:tcW w:w="1042" w:type="dxa"/>
            <w:vMerge/>
            <w:tcBorders>
              <w:top w:val="nil"/>
              <w:left w:val="single" w:sz="4" w:space="0" w:color="auto"/>
              <w:bottom w:val="single" w:sz="4" w:space="0" w:color="000000"/>
              <w:right w:val="single" w:sz="4" w:space="0" w:color="auto"/>
            </w:tcBorders>
            <w:vAlign w:val="center"/>
            <w:hideMark/>
          </w:tcPr>
          <w:p w14:paraId="4B4ADC53" w14:textId="77777777" w:rsidR="002B7ABA" w:rsidRPr="00DD0DAD" w:rsidRDefault="002B7ABA" w:rsidP="004E6DE8">
            <w:pPr>
              <w:pStyle w:val="Tabletext"/>
              <w:jc w:val="center"/>
              <w:rPr>
                <w:rFonts w:asciiTheme="minorHAnsi" w:hAnsiTheme="minorHAnsi"/>
                <w:sz w:val="18"/>
                <w:szCs w:val="18"/>
                <w:lang w:eastAsia="en-GB"/>
              </w:rPr>
            </w:pPr>
          </w:p>
        </w:tc>
        <w:tc>
          <w:tcPr>
            <w:tcW w:w="1033" w:type="dxa"/>
            <w:vMerge/>
            <w:tcBorders>
              <w:top w:val="nil"/>
              <w:left w:val="single" w:sz="4" w:space="0" w:color="auto"/>
              <w:bottom w:val="single" w:sz="4" w:space="0" w:color="000000"/>
              <w:right w:val="nil"/>
            </w:tcBorders>
            <w:vAlign w:val="center"/>
            <w:hideMark/>
          </w:tcPr>
          <w:p w14:paraId="11F3286F" w14:textId="77777777" w:rsidR="002B7ABA" w:rsidRPr="00DD0DAD" w:rsidRDefault="002B7ABA" w:rsidP="004E6DE8">
            <w:pPr>
              <w:pStyle w:val="Tabletext"/>
              <w:jc w:val="center"/>
              <w:rPr>
                <w:rFonts w:asciiTheme="minorHAnsi" w:hAnsiTheme="minorHAnsi"/>
                <w:sz w:val="18"/>
                <w:szCs w:val="18"/>
                <w:lang w:eastAsia="en-GB"/>
              </w:rPr>
            </w:pPr>
          </w:p>
        </w:tc>
        <w:tc>
          <w:tcPr>
            <w:tcW w:w="1242" w:type="dxa"/>
            <w:vMerge/>
            <w:tcBorders>
              <w:top w:val="nil"/>
              <w:left w:val="single" w:sz="8" w:space="0" w:color="auto"/>
              <w:bottom w:val="single" w:sz="4" w:space="0" w:color="000000"/>
              <w:right w:val="single" w:sz="8" w:space="0" w:color="auto"/>
            </w:tcBorders>
            <w:vAlign w:val="center"/>
            <w:hideMark/>
          </w:tcPr>
          <w:p w14:paraId="3862DA5B" w14:textId="77777777" w:rsidR="002B7ABA" w:rsidRPr="00DD0DAD" w:rsidRDefault="002B7ABA" w:rsidP="004E6DE8">
            <w:pPr>
              <w:pStyle w:val="Tabletext"/>
              <w:jc w:val="center"/>
              <w:rPr>
                <w:rFonts w:asciiTheme="minorHAnsi" w:hAnsiTheme="minorHAnsi"/>
                <w:b/>
                <w:bCs/>
                <w:sz w:val="18"/>
                <w:szCs w:val="18"/>
                <w:lang w:eastAsia="en-GB"/>
              </w:rPr>
            </w:pPr>
          </w:p>
        </w:tc>
        <w:tc>
          <w:tcPr>
            <w:tcW w:w="222" w:type="dxa"/>
            <w:tcBorders>
              <w:top w:val="nil"/>
              <w:left w:val="nil"/>
              <w:bottom w:val="nil"/>
              <w:right w:val="nil"/>
            </w:tcBorders>
            <w:shd w:val="clear" w:color="auto" w:fill="auto"/>
            <w:noWrap/>
            <w:vAlign w:val="center"/>
            <w:hideMark/>
          </w:tcPr>
          <w:p w14:paraId="435F9918" w14:textId="77777777" w:rsidR="002B7ABA" w:rsidRPr="00DD0DAD" w:rsidRDefault="002B7ABA" w:rsidP="004E6DE8">
            <w:pPr>
              <w:pStyle w:val="Tabletext"/>
              <w:jc w:val="center"/>
              <w:rPr>
                <w:rFonts w:asciiTheme="minorHAnsi" w:hAnsiTheme="minorHAnsi"/>
                <w:b/>
                <w:bCs/>
                <w:sz w:val="18"/>
                <w:szCs w:val="18"/>
                <w:lang w:eastAsia="en-GB"/>
              </w:rPr>
            </w:pPr>
          </w:p>
        </w:tc>
        <w:tc>
          <w:tcPr>
            <w:tcW w:w="1242" w:type="dxa"/>
            <w:vMerge/>
            <w:tcBorders>
              <w:top w:val="nil"/>
              <w:left w:val="single" w:sz="8" w:space="0" w:color="auto"/>
              <w:bottom w:val="single" w:sz="4" w:space="0" w:color="000000"/>
              <w:right w:val="single" w:sz="8" w:space="0" w:color="auto"/>
            </w:tcBorders>
            <w:vAlign w:val="center"/>
            <w:hideMark/>
          </w:tcPr>
          <w:p w14:paraId="458104DC" w14:textId="77777777" w:rsidR="002B7ABA" w:rsidRPr="00DD0DAD" w:rsidRDefault="002B7ABA" w:rsidP="004E6DE8">
            <w:pPr>
              <w:pStyle w:val="Tabletext"/>
              <w:jc w:val="center"/>
              <w:rPr>
                <w:rFonts w:asciiTheme="minorHAnsi" w:hAnsiTheme="minorHAnsi"/>
                <w:b/>
                <w:bCs/>
                <w:sz w:val="18"/>
                <w:szCs w:val="18"/>
                <w:lang w:eastAsia="en-GB"/>
              </w:rPr>
            </w:pPr>
          </w:p>
        </w:tc>
        <w:tc>
          <w:tcPr>
            <w:tcW w:w="222" w:type="dxa"/>
            <w:tcBorders>
              <w:top w:val="nil"/>
              <w:left w:val="nil"/>
              <w:bottom w:val="nil"/>
              <w:right w:val="nil"/>
            </w:tcBorders>
            <w:shd w:val="clear" w:color="auto" w:fill="auto"/>
            <w:noWrap/>
            <w:vAlign w:val="center"/>
            <w:hideMark/>
          </w:tcPr>
          <w:p w14:paraId="01A44F48" w14:textId="77777777" w:rsidR="002B7ABA" w:rsidRPr="00DD0DAD" w:rsidRDefault="002B7ABA" w:rsidP="004E6DE8">
            <w:pPr>
              <w:pStyle w:val="Tabletext"/>
              <w:jc w:val="center"/>
              <w:rPr>
                <w:rFonts w:asciiTheme="minorHAnsi" w:hAnsiTheme="minorHAnsi"/>
                <w:b/>
                <w:bCs/>
                <w:sz w:val="18"/>
                <w:szCs w:val="18"/>
                <w:lang w:eastAsia="en-GB"/>
              </w:rPr>
            </w:pPr>
          </w:p>
        </w:tc>
        <w:tc>
          <w:tcPr>
            <w:tcW w:w="1054" w:type="dxa"/>
            <w:vMerge/>
            <w:tcBorders>
              <w:top w:val="nil"/>
              <w:left w:val="single" w:sz="8" w:space="0" w:color="auto"/>
              <w:bottom w:val="single" w:sz="4" w:space="0" w:color="000000"/>
              <w:right w:val="single" w:sz="8" w:space="0" w:color="auto"/>
            </w:tcBorders>
            <w:vAlign w:val="center"/>
            <w:hideMark/>
          </w:tcPr>
          <w:p w14:paraId="17822B17" w14:textId="77777777" w:rsidR="002B7ABA" w:rsidRPr="00DD0DAD" w:rsidRDefault="002B7ABA" w:rsidP="004E6DE8">
            <w:pPr>
              <w:pStyle w:val="Tabletext"/>
              <w:jc w:val="center"/>
              <w:rPr>
                <w:rFonts w:asciiTheme="minorHAnsi" w:hAnsiTheme="minorHAnsi"/>
                <w:b/>
                <w:bCs/>
                <w:sz w:val="18"/>
                <w:szCs w:val="18"/>
                <w:lang w:eastAsia="en-GB"/>
              </w:rPr>
            </w:pPr>
          </w:p>
        </w:tc>
      </w:tr>
      <w:tr w:rsidR="002B7ABA" w:rsidRPr="00DD0DAD" w14:paraId="2F707F48" w14:textId="77777777" w:rsidTr="00D318A7">
        <w:trPr>
          <w:trHeight w:val="251"/>
        </w:trPr>
        <w:tc>
          <w:tcPr>
            <w:tcW w:w="796"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B77C5A9"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b/>
                <w:bCs/>
                <w:sz w:val="18"/>
                <w:szCs w:val="18"/>
                <w:lang w:eastAsia="en-GB"/>
              </w:rPr>
              <w:t>2019</w:t>
            </w:r>
          </w:p>
        </w:tc>
        <w:tc>
          <w:tcPr>
            <w:tcW w:w="885"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CE6CC05"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38 879 </w:t>
            </w:r>
          </w:p>
        </w:tc>
        <w:tc>
          <w:tcPr>
            <w:tcW w:w="932"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D2DBDBF"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0 </w:t>
            </w:r>
          </w:p>
        </w:tc>
        <w:tc>
          <w:tcPr>
            <w:tcW w:w="885"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5ED531BC"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699 165 </w:t>
            </w:r>
          </w:p>
        </w:tc>
        <w:tc>
          <w:tcPr>
            <w:tcW w:w="85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3E1E21F"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35 065 </w:t>
            </w:r>
          </w:p>
        </w:tc>
        <w:tc>
          <w:tcPr>
            <w:tcW w:w="92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BAC9D85"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224 787 </w:t>
            </w:r>
          </w:p>
        </w:tc>
        <w:tc>
          <w:tcPr>
            <w:tcW w:w="85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2823E47D"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15 780 </w:t>
            </w:r>
          </w:p>
        </w:tc>
        <w:tc>
          <w:tcPr>
            <w:tcW w:w="107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4015BEA"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2 425 </w:t>
            </w:r>
          </w:p>
        </w:tc>
        <w:tc>
          <w:tcPr>
            <w:tcW w:w="85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32FE4F1"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427 824 </w:t>
            </w:r>
          </w:p>
        </w:tc>
        <w:tc>
          <w:tcPr>
            <w:tcW w:w="102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F6ECF97"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493 162 </w:t>
            </w:r>
          </w:p>
        </w:tc>
        <w:tc>
          <w:tcPr>
            <w:tcW w:w="885" w:type="dxa"/>
            <w:vMerge w:val="restart"/>
            <w:tcBorders>
              <w:top w:val="nil"/>
              <w:left w:val="nil"/>
              <w:bottom w:val="single" w:sz="4" w:space="0" w:color="000000"/>
              <w:right w:val="single" w:sz="4" w:space="0" w:color="auto"/>
            </w:tcBorders>
            <w:shd w:val="clear" w:color="000000" w:fill="EAEAEA"/>
            <w:noWrap/>
            <w:vAlign w:val="center"/>
            <w:hideMark/>
          </w:tcPr>
          <w:p w14:paraId="791E85C1"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157 592 </w:t>
            </w:r>
          </w:p>
        </w:tc>
        <w:tc>
          <w:tcPr>
            <w:tcW w:w="1042"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22FE3C45"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511 636 </w:t>
            </w:r>
          </w:p>
        </w:tc>
        <w:tc>
          <w:tcPr>
            <w:tcW w:w="1033" w:type="dxa"/>
            <w:vMerge w:val="restart"/>
            <w:tcBorders>
              <w:top w:val="nil"/>
              <w:left w:val="single" w:sz="4" w:space="0" w:color="auto"/>
              <w:bottom w:val="single" w:sz="4" w:space="0" w:color="000000"/>
              <w:right w:val="nil"/>
            </w:tcBorders>
            <w:shd w:val="clear" w:color="000000" w:fill="EAEAEA"/>
            <w:noWrap/>
            <w:vAlign w:val="center"/>
            <w:hideMark/>
          </w:tcPr>
          <w:p w14:paraId="0E5ADFFD"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86 613 </w:t>
            </w:r>
          </w:p>
        </w:tc>
        <w:tc>
          <w:tcPr>
            <w:tcW w:w="1242"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4F4F93DF"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 xml:space="preserve">2 692 928 </w:t>
            </w:r>
          </w:p>
        </w:tc>
        <w:tc>
          <w:tcPr>
            <w:tcW w:w="222" w:type="dxa"/>
            <w:tcBorders>
              <w:top w:val="nil"/>
              <w:left w:val="nil"/>
              <w:bottom w:val="nil"/>
              <w:right w:val="nil"/>
            </w:tcBorders>
            <w:shd w:val="clear" w:color="auto" w:fill="auto"/>
            <w:noWrap/>
            <w:vAlign w:val="center"/>
            <w:hideMark/>
          </w:tcPr>
          <w:p w14:paraId="3AE8BD3C" w14:textId="77777777" w:rsidR="002B7ABA" w:rsidRPr="00DD0DAD" w:rsidRDefault="002B7ABA" w:rsidP="004E6DE8">
            <w:pPr>
              <w:pStyle w:val="Tabletext"/>
              <w:jc w:val="center"/>
              <w:rPr>
                <w:rFonts w:asciiTheme="minorHAnsi" w:hAnsiTheme="minorHAnsi"/>
                <w:b/>
                <w:bCs/>
                <w:sz w:val="18"/>
                <w:szCs w:val="18"/>
                <w:lang w:eastAsia="en-GB"/>
              </w:rPr>
            </w:pPr>
          </w:p>
        </w:tc>
        <w:tc>
          <w:tcPr>
            <w:tcW w:w="1242"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DB07DDE"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 xml:space="preserve">3 249 777 </w:t>
            </w:r>
          </w:p>
        </w:tc>
        <w:tc>
          <w:tcPr>
            <w:tcW w:w="222" w:type="dxa"/>
            <w:tcBorders>
              <w:top w:val="nil"/>
              <w:left w:val="nil"/>
              <w:bottom w:val="nil"/>
              <w:right w:val="nil"/>
            </w:tcBorders>
            <w:shd w:val="clear" w:color="auto" w:fill="auto"/>
            <w:noWrap/>
            <w:vAlign w:val="center"/>
            <w:hideMark/>
          </w:tcPr>
          <w:p w14:paraId="46D963AC" w14:textId="77777777" w:rsidR="002B7ABA" w:rsidRPr="00DD0DAD" w:rsidRDefault="002B7ABA" w:rsidP="004E6DE8">
            <w:pPr>
              <w:pStyle w:val="Tabletext"/>
              <w:jc w:val="center"/>
              <w:rPr>
                <w:rFonts w:asciiTheme="minorHAnsi" w:hAnsiTheme="minorHAnsi"/>
                <w:b/>
                <w:bCs/>
                <w:sz w:val="18"/>
                <w:szCs w:val="18"/>
                <w:lang w:eastAsia="en-GB"/>
              </w:rPr>
            </w:pPr>
          </w:p>
        </w:tc>
        <w:tc>
          <w:tcPr>
            <w:tcW w:w="1054" w:type="dxa"/>
            <w:vMerge w:val="restart"/>
            <w:tcBorders>
              <w:top w:val="nil"/>
              <w:left w:val="single" w:sz="8" w:space="0" w:color="auto"/>
              <w:bottom w:val="nil"/>
              <w:right w:val="single" w:sz="8" w:space="0" w:color="auto"/>
            </w:tcBorders>
            <w:shd w:val="clear" w:color="auto" w:fill="auto"/>
            <w:noWrap/>
            <w:vAlign w:val="center"/>
            <w:hideMark/>
          </w:tcPr>
          <w:p w14:paraId="1CD195E7"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 xml:space="preserve">556 849 </w:t>
            </w:r>
          </w:p>
        </w:tc>
      </w:tr>
      <w:tr w:rsidR="002B7ABA" w:rsidRPr="00DD0DAD" w14:paraId="5C4FF84F" w14:textId="77777777" w:rsidTr="00D318A7">
        <w:trPr>
          <w:trHeight w:val="251"/>
        </w:trPr>
        <w:tc>
          <w:tcPr>
            <w:tcW w:w="796" w:type="dxa"/>
            <w:vMerge/>
            <w:tcBorders>
              <w:top w:val="nil"/>
              <w:left w:val="single" w:sz="8" w:space="0" w:color="auto"/>
              <w:bottom w:val="single" w:sz="4" w:space="0" w:color="000000"/>
              <w:right w:val="single" w:sz="4" w:space="0" w:color="auto"/>
            </w:tcBorders>
            <w:vAlign w:val="center"/>
            <w:hideMark/>
          </w:tcPr>
          <w:p w14:paraId="09CFC81F" w14:textId="77777777" w:rsidR="002B7ABA" w:rsidRPr="00DD0DAD" w:rsidRDefault="002B7ABA" w:rsidP="004E6DE8">
            <w:pPr>
              <w:pStyle w:val="Tabletext"/>
              <w:jc w:val="center"/>
              <w:rPr>
                <w:rFonts w:asciiTheme="minorHAnsi" w:hAnsiTheme="minorHAnsi"/>
                <w:b/>
                <w:bCs/>
                <w:sz w:val="18"/>
                <w:szCs w:val="18"/>
                <w:lang w:eastAsia="en-GB"/>
              </w:rPr>
            </w:pPr>
          </w:p>
        </w:tc>
        <w:tc>
          <w:tcPr>
            <w:tcW w:w="885" w:type="dxa"/>
            <w:vMerge/>
            <w:tcBorders>
              <w:top w:val="nil"/>
              <w:left w:val="single" w:sz="4" w:space="0" w:color="auto"/>
              <w:bottom w:val="single" w:sz="4" w:space="0" w:color="000000"/>
              <w:right w:val="single" w:sz="4" w:space="0" w:color="auto"/>
            </w:tcBorders>
            <w:vAlign w:val="center"/>
            <w:hideMark/>
          </w:tcPr>
          <w:p w14:paraId="033D145F" w14:textId="77777777" w:rsidR="002B7ABA" w:rsidRPr="00DD0DAD" w:rsidRDefault="002B7ABA" w:rsidP="004E6DE8">
            <w:pPr>
              <w:pStyle w:val="Tabletext"/>
              <w:jc w:val="center"/>
              <w:rPr>
                <w:rFonts w:asciiTheme="minorHAnsi" w:hAnsiTheme="minorHAnsi"/>
                <w:sz w:val="18"/>
                <w:szCs w:val="18"/>
                <w:lang w:eastAsia="en-GB"/>
              </w:rPr>
            </w:pPr>
          </w:p>
        </w:tc>
        <w:tc>
          <w:tcPr>
            <w:tcW w:w="932" w:type="dxa"/>
            <w:vMerge/>
            <w:tcBorders>
              <w:top w:val="nil"/>
              <w:left w:val="single" w:sz="4" w:space="0" w:color="auto"/>
              <w:bottom w:val="single" w:sz="4" w:space="0" w:color="000000"/>
              <w:right w:val="single" w:sz="4" w:space="0" w:color="auto"/>
            </w:tcBorders>
            <w:vAlign w:val="center"/>
            <w:hideMark/>
          </w:tcPr>
          <w:p w14:paraId="59434273" w14:textId="77777777" w:rsidR="002B7ABA" w:rsidRPr="00DD0DAD" w:rsidRDefault="002B7ABA" w:rsidP="004E6DE8">
            <w:pPr>
              <w:pStyle w:val="Tabletext"/>
              <w:jc w:val="center"/>
              <w:rPr>
                <w:rFonts w:asciiTheme="minorHAnsi" w:hAnsiTheme="minorHAnsi"/>
                <w:sz w:val="18"/>
                <w:szCs w:val="18"/>
                <w:lang w:eastAsia="en-GB"/>
              </w:rPr>
            </w:pPr>
          </w:p>
        </w:tc>
        <w:tc>
          <w:tcPr>
            <w:tcW w:w="885" w:type="dxa"/>
            <w:vMerge/>
            <w:tcBorders>
              <w:top w:val="nil"/>
              <w:left w:val="single" w:sz="4" w:space="0" w:color="auto"/>
              <w:bottom w:val="single" w:sz="4" w:space="0" w:color="000000"/>
              <w:right w:val="single" w:sz="4" w:space="0" w:color="auto"/>
            </w:tcBorders>
            <w:vAlign w:val="center"/>
            <w:hideMark/>
          </w:tcPr>
          <w:p w14:paraId="045909A1" w14:textId="77777777" w:rsidR="002B7ABA" w:rsidRPr="00DD0DAD" w:rsidRDefault="002B7ABA" w:rsidP="004E6DE8">
            <w:pPr>
              <w:pStyle w:val="Tabletext"/>
              <w:jc w:val="center"/>
              <w:rPr>
                <w:rFonts w:asciiTheme="minorHAnsi" w:hAnsiTheme="minorHAnsi"/>
                <w:sz w:val="18"/>
                <w:szCs w:val="18"/>
                <w:lang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66D3136B" w14:textId="77777777" w:rsidR="002B7ABA" w:rsidRPr="00DD0DAD" w:rsidRDefault="002B7ABA" w:rsidP="004E6DE8">
            <w:pPr>
              <w:pStyle w:val="Tabletext"/>
              <w:jc w:val="center"/>
              <w:rPr>
                <w:rFonts w:asciiTheme="minorHAnsi" w:hAnsiTheme="minorHAnsi"/>
                <w:sz w:val="18"/>
                <w:szCs w:val="18"/>
                <w:lang w:eastAsia="en-GB"/>
              </w:rPr>
            </w:pPr>
          </w:p>
        </w:tc>
        <w:tc>
          <w:tcPr>
            <w:tcW w:w="920" w:type="dxa"/>
            <w:vMerge/>
            <w:tcBorders>
              <w:top w:val="nil"/>
              <w:left w:val="single" w:sz="4" w:space="0" w:color="auto"/>
              <w:bottom w:val="single" w:sz="4" w:space="0" w:color="000000"/>
              <w:right w:val="single" w:sz="4" w:space="0" w:color="auto"/>
            </w:tcBorders>
            <w:vAlign w:val="center"/>
            <w:hideMark/>
          </w:tcPr>
          <w:p w14:paraId="4A9CD6F9" w14:textId="77777777" w:rsidR="002B7ABA" w:rsidRPr="00DD0DAD" w:rsidRDefault="002B7ABA" w:rsidP="004E6DE8">
            <w:pPr>
              <w:pStyle w:val="Tabletext"/>
              <w:jc w:val="center"/>
              <w:rPr>
                <w:rFonts w:asciiTheme="minorHAnsi" w:hAnsiTheme="minorHAnsi"/>
                <w:sz w:val="18"/>
                <w:szCs w:val="18"/>
                <w:lang w:eastAsia="en-GB"/>
              </w:rPr>
            </w:pPr>
          </w:p>
        </w:tc>
        <w:tc>
          <w:tcPr>
            <w:tcW w:w="851" w:type="dxa"/>
            <w:vMerge/>
            <w:tcBorders>
              <w:top w:val="nil"/>
              <w:left w:val="single" w:sz="4" w:space="0" w:color="auto"/>
              <w:bottom w:val="single" w:sz="4" w:space="0" w:color="000000"/>
              <w:right w:val="single" w:sz="4" w:space="0" w:color="auto"/>
            </w:tcBorders>
            <w:vAlign w:val="center"/>
            <w:hideMark/>
          </w:tcPr>
          <w:p w14:paraId="7DEFE5E5" w14:textId="77777777" w:rsidR="002B7ABA" w:rsidRPr="00DD0DAD" w:rsidRDefault="002B7ABA" w:rsidP="004E6DE8">
            <w:pPr>
              <w:pStyle w:val="Tabletext"/>
              <w:jc w:val="center"/>
              <w:rPr>
                <w:rFonts w:asciiTheme="minorHAnsi" w:hAnsiTheme="minorHAnsi"/>
                <w:sz w:val="18"/>
                <w:szCs w:val="18"/>
                <w:lang w:eastAsia="en-GB"/>
              </w:rPr>
            </w:pPr>
          </w:p>
        </w:tc>
        <w:tc>
          <w:tcPr>
            <w:tcW w:w="1070" w:type="dxa"/>
            <w:vMerge/>
            <w:tcBorders>
              <w:top w:val="nil"/>
              <w:left w:val="single" w:sz="4" w:space="0" w:color="auto"/>
              <w:bottom w:val="single" w:sz="4" w:space="0" w:color="000000"/>
              <w:right w:val="single" w:sz="4" w:space="0" w:color="auto"/>
            </w:tcBorders>
            <w:vAlign w:val="center"/>
            <w:hideMark/>
          </w:tcPr>
          <w:p w14:paraId="7753816B" w14:textId="77777777" w:rsidR="002B7ABA" w:rsidRPr="00DD0DAD" w:rsidRDefault="002B7ABA" w:rsidP="004E6DE8">
            <w:pPr>
              <w:pStyle w:val="Tabletext"/>
              <w:jc w:val="center"/>
              <w:rPr>
                <w:rFonts w:asciiTheme="minorHAnsi" w:hAnsiTheme="minorHAnsi"/>
                <w:sz w:val="18"/>
                <w:szCs w:val="18"/>
                <w:lang w:eastAsia="en-GB"/>
              </w:rPr>
            </w:pPr>
          </w:p>
        </w:tc>
        <w:tc>
          <w:tcPr>
            <w:tcW w:w="851" w:type="dxa"/>
            <w:vMerge/>
            <w:tcBorders>
              <w:top w:val="nil"/>
              <w:left w:val="single" w:sz="4" w:space="0" w:color="auto"/>
              <w:bottom w:val="single" w:sz="4" w:space="0" w:color="000000"/>
              <w:right w:val="single" w:sz="4" w:space="0" w:color="auto"/>
            </w:tcBorders>
            <w:vAlign w:val="center"/>
            <w:hideMark/>
          </w:tcPr>
          <w:p w14:paraId="5998D031" w14:textId="77777777" w:rsidR="002B7ABA" w:rsidRPr="00DD0DAD" w:rsidRDefault="002B7ABA" w:rsidP="004E6DE8">
            <w:pPr>
              <w:pStyle w:val="Tabletext"/>
              <w:jc w:val="center"/>
              <w:rPr>
                <w:rFonts w:asciiTheme="minorHAnsi" w:hAnsiTheme="minorHAnsi"/>
                <w:sz w:val="18"/>
                <w:szCs w:val="18"/>
                <w:lang w:eastAsia="en-GB"/>
              </w:rPr>
            </w:pPr>
          </w:p>
        </w:tc>
        <w:tc>
          <w:tcPr>
            <w:tcW w:w="1024" w:type="dxa"/>
            <w:vMerge/>
            <w:tcBorders>
              <w:top w:val="nil"/>
              <w:left w:val="single" w:sz="4" w:space="0" w:color="auto"/>
              <w:bottom w:val="single" w:sz="4" w:space="0" w:color="000000"/>
              <w:right w:val="single" w:sz="4" w:space="0" w:color="auto"/>
            </w:tcBorders>
            <w:vAlign w:val="center"/>
            <w:hideMark/>
          </w:tcPr>
          <w:p w14:paraId="5677DE69" w14:textId="77777777" w:rsidR="002B7ABA" w:rsidRPr="00DD0DAD" w:rsidRDefault="002B7ABA" w:rsidP="004E6DE8">
            <w:pPr>
              <w:pStyle w:val="Tabletext"/>
              <w:jc w:val="center"/>
              <w:rPr>
                <w:rFonts w:asciiTheme="minorHAnsi" w:hAnsiTheme="minorHAnsi"/>
                <w:sz w:val="18"/>
                <w:szCs w:val="18"/>
                <w:lang w:eastAsia="en-GB"/>
              </w:rPr>
            </w:pPr>
          </w:p>
        </w:tc>
        <w:tc>
          <w:tcPr>
            <w:tcW w:w="885" w:type="dxa"/>
            <w:vMerge/>
            <w:tcBorders>
              <w:top w:val="nil"/>
              <w:left w:val="nil"/>
              <w:bottom w:val="single" w:sz="4" w:space="0" w:color="000000"/>
              <w:right w:val="single" w:sz="4" w:space="0" w:color="auto"/>
            </w:tcBorders>
            <w:vAlign w:val="center"/>
            <w:hideMark/>
          </w:tcPr>
          <w:p w14:paraId="4F9C5097" w14:textId="77777777" w:rsidR="002B7ABA" w:rsidRPr="00DD0DAD" w:rsidRDefault="002B7ABA" w:rsidP="004E6DE8">
            <w:pPr>
              <w:pStyle w:val="Tabletext"/>
              <w:jc w:val="center"/>
              <w:rPr>
                <w:rFonts w:asciiTheme="minorHAnsi" w:hAnsiTheme="minorHAnsi"/>
                <w:sz w:val="18"/>
                <w:szCs w:val="18"/>
                <w:lang w:eastAsia="en-GB"/>
              </w:rPr>
            </w:pPr>
          </w:p>
        </w:tc>
        <w:tc>
          <w:tcPr>
            <w:tcW w:w="1042" w:type="dxa"/>
            <w:vMerge/>
            <w:tcBorders>
              <w:top w:val="nil"/>
              <w:left w:val="single" w:sz="4" w:space="0" w:color="auto"/>
              <w:bottom w:val="single" w:sz="4" w:space="0" w:color="000000"/>
              <w:right w:val="single" w:sz="4" w:space="0" w:color="auto"/>
            </w:tcBorders>
            <w:vAlign w:val="center"/>
            <w:hideMark/>
          </w:tcPr>
          <w:p w14:paraId="3ACC80A8" w14:textId="77777777" w:rsidR="002B7ABA" w:rsidRPr="00DD0DAD" w:rsidRDefault="002B7ABA" w:rsidP="004E6DE8">
            <w:pPr>
              <w:pStyle w:val="Tabletext"/>
              <w:jc w:val="center"/>
              <w:rPr>
                <w:rFonts w:asciiTheme="minorHAnsi" w:hAnsiTheme="minorHAnsi"/>
                <w:sz w:val="18"/>
                <w:szCs w:val="18"/>
                <w:lang w:eastAsia="en-GB"/>
              </w:rPr>
            </w:pPr>
          </w:p>
        </w:tc>
        <w:tc>
          <w:tcPr>
            <w:tcW w:w="1033" w:type="dxa"/>
            <w:vMerge/>
            <w:tcBorders>
              <w:top w:val="nil"/>
              <w:left w:val="single" w:sz="4" w:space="0" w:color="auto"/>
              <w:bottom w:val="single" w:sz="4" w:space="0" w:color="000000"/>
              <w:right w:val="nil"/>
            </w:tcBorders>
            <w:vAlign w:val="center"/>
            <w:hideMark/>
          </w:tcPr>
          <w:p w14:paraId="527071AA" w14:textId="77777777" w:rsidR="002B7ABA" w:rsidRPr="00DD0DAD" w:rsidRDefault="002B7ABA" w:rsidP="004E6DE8">
            <w:pPr>
              <w:pStyle w:val="Tabletext"/>
              <w:jc w:val="center"/>
              <w:rPr>
                <w:rFonts w:asciiTheme="minorHAnsi" w:hAnsiTheme="minorHAnsi"/>
                <w:sz w:val="18"/>
                <w:szCs w:val="18"/>
                <w:lang w:eastAsia="en-GB"/>
              </w:rPr>
            </w:pPr>
          </w:p>
        </w:tc>
        <w:tc>
          <w:tcPr>
            <w:tcW w:w="1242" w:type="dxa"/>
            <w:vMerge/>
            <w:tcBorders>
              <w:top w:val="nil"/>
              <w:left w:val="single" w:sz="8" w:space="0" w:color="auto"/>
              <w:bottom w:val="single" w:sz="4" w:space="0" w:color="000000"/>
              <w:right w:val="single" w:sz="8" w:space="0" w:color="auto"/>
            </w:tcBorders>
            <w:vAlign w:val="center"/>
            <w:hideMark/>
          </w:tcPr>
          <w:p w14:paraId="3EC56F48" w14:textId="77777777" w:rsidR="002B7ABA" w:rsidRPr="00DD0DAD" w:rsidRDefault="002B7ABA" w:rsidP="004E6DE8">
            <w:pPr>
              <w:pStyle w:val="Tabletext"/>
              <w:jc w:val="center"/>
              <w:rPr>
                <w:rFonts w:asciiTheme="minorHAnsi" w:hAnsiTheme="minorHAnsi"/>
                <w:b/>
                <w:bCs/>
                <w:sz w:val="18"/>
                <w:szCs w:val="18"/>
                <w:lang w:eastAsia="en-GB"/>
              </w:rPr>
            </w:pPr>
          </w:p>
        </w:tc>
        <w:tc>
          <w:tcPr>
            <w:tcW w:w="222" w:type="dxa"/>
            <w:tcBorders>
              <w:top w:val="nil"/>
              <w:left w:val="nil"/>
              <w:bottom w:val="nil"/>
              <w:right w:val="nil"/>
            </w:tcBorders>
            <w:shd w:val="clear" w:color="auto" w:fill="auto"/>
            <w:noWrap/>
            <w:vAlign w:val="center"/>
            <w:hideMark/>
          </w:tcPr>
          <w:p w14:paraId="374B05E8" w14:textId="77777777" w:rsidR="002B7ABA" w:rsidRPr="00DD0DAD" w:rsidRDefault="002B7ABA" w:rsidP="004E6DE8">
            <w:pPr>
              <w:pStyle w:val="Tabletext"/>
              <w:jc w:val="center"/>
              <w:rPr>
                <w:rFonts w:asciiTheme="minorHAnsi" w:hAnsiTheme="minorHAnsi"/>
                <w:b/>
                <w:bCs/>
                <w:sz w:val="18"/>
                <w:szCs w:val="18"/>
                <w:lang w:eastAsia="en-GB"/>
              </w:rPr>
            </w:pPr>
          </w:p>
        </w:tc>
        <w:tc>
          <w:tcPr>
            <w:tcW w:w="1242" w:type="dxa"/>
            <w:vMerge/>
            <w:tcBorders>
              <w:top w:val="nil"/>
              <w:left w:val="single" w:sz="8" w:space="0" w:color="auto"/>
              <w:bottom w:val="single" w:sz="4" w:space="0" w:color="000000"/>
              <w:right w:val="single" w:sz="8" w:space="0" w:color="auto"/>
            </w:tcBorders>
            <w:vAlign w:val="center"/>
            <w:hideMark/>
          </w:tcPr>
          <w:p w14:paraId="542E6C92" w14:textId="77777777" w:rsidR="002B7ABA" w:rsidRPr="00DD0DAD" w:rsidRDefault="002B7ABA" w:rsidP="004E6DE8">
            <w:pPr>
              <w:pStyle w:val="Tabletext"/>
              <w:jc w:val="center"/>
              <w:rPr>
                <w:rFonts w:asciiTheme="minorHAnsi" w:hAnsiTheme="minorHAnsi"/>
                <w:b/>
                <w:bCs/>
                <w:sz w:val="18"/>
                <w:szCs w:val="18"/>
                <w:lang w:eastAsia="en-GB"/>
              </w:rPr>
            </w:pPr>
          </w:p>
        </w:tc>
        <w:tc>
          <w:tcPr>
            <w:tcW w:w="222" w:type="dxa"/>
            <w:tcBorders>
              <w:top w:val="nil"/>
              <w:left w:val="nil"/>
              <w:bottom w:val="nil"/>
              <w:right w:val="nil"/>
            </w:tcBorders>
            <w:shd w:val="clear" w:color="auto" w:fill="auto"/>
            <w:noWrap/>
            <w:vAlign w:val="center"/>
            <w:hideMark/>
          </w:tcPr>
          <w:p w14:paraId="14080E55" w14:textId="77777777" w:rsidR="002B7ABA" w:rsidRPr="00DD0DAD" w:rsidRDefault="002B7ABA" w:rsidP="004E6DE8">
            <w:pPr>
              <w:pStyle w:val="Tabletext"/>
              <w:jc w:val="center"/>
              <w:rPr>
                <w:rFonts w:asciiTheme="minorHAnsi" w:hAnsiTheme="minorHAnsi"/>
                <w:b/>
                <w:bCs/>
                <w:sz w:val="18"/>
                <w:szCs w:val="18"/>
                <w:lang w:eastAsia="en-GB"/>
              </w:rPr>
            </w:pPr>
          </w:p>
        </w:tc>
        <w:tc>
          <w:tcPr>
            <w:tcW w:w="1054" w:type="dxa"/>
            <w:vMerge/>
            <w:tcBorders>
              <w:top w:val="nil"/>
              <w:left w:val="single" w:sz="8" w:space="0" w:color="auto"/>
              <w:bottom w:val="nil"/>
              <w:right w:val="single" w:sz="8" w:space="0" w:color="auto"/>
            </w:tcBorders>
            <w:vAlign w:val="center"/>
            <w:hideMark/>
          </w:tcPr>
          <w:p w14:paraId="141A9EEF" w14:textId="77777777" w:rsidR="002B7ABA" w:rsidRPr="00DD0DAD" w:rsidRDefault="002B7ABA" w:rsidP="004E6DE8">
            <w:pPr>
              <w:pStyle w:val="Tabletext"/>
              <w:jc w:val="center"/>
              <w:rPr>
                <w:rFonts w:asciiTheme="minorHAnsi" w:hAnsiTheme="minorHAnsi"/>
                <w:b/>
                <w:bCs/>
                <w:sz w:val="18"/>
                <w:szCs w:val="18"/>
                <w:lang w:eastAsia="en-GB"/>
              </w:rPr>
            </w:pPr>
          </w:p>
        </w:tc>
      </w:tr>
      <w:tr w:rsidR="002B7ABA" w:rsidRPr="00DD0DAD" w14:paraId="1908F4DD" w14:textId="77777777" w:rsidTr="00D318A7">
        <w:trPr>
          <w:trHeight w:val="251"/>
        </w:trPr>
        <w:tc>
          <w:tcPr>
            <w:tcW w:w="796"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2F5E577"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b/>
                <w:bCs/>
                <w:sz w:val="18"/>
                <w:szCs w:val="18"/>
                <w:lang w:eastAsia="en-GB"/>
              </w:rPr>
              <w:t>2020</w:t>
            </w:r>
          </w:p>
        </w:tc>
        <w:tc>
          <w:tcPr>
            <w:tcW w:w="885" w:type="dxa"/>
            <w:vMerge w:val="restart"/>
            <w:tcBorders>
              <w:top w:val="nil"/>
              <w:left w:val="single" w:sz="4" w:space="0" w:color="auto"/>
              <w:bottom w:val="single" w:sz="4" w:space="0" w:color="000000"/>
              <w:right w:val="nil"/>
            </w:tcBorders>
            <w:shd w:val="clear" w:color="000000" w:fill="EAEAEA"/>
            <w:noWrap/>
            <w:vAlign w:val="center"/>
            <w:hideMark/>
          </w:tcPr>
          <w:p w14:paraId="2E70B5E3"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86 594 </w:t>
            </w:r>
          </w:p>
        </w:tc>
        <w:tc>
          <w:tcPr>
            <w:tcW w:w="932"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4FE8D06"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918 119 </w:t>
            </w:r>
          </w:p>
        </w:tc>
        <w:tc>
          <w:tcPr>
            <w:tcW w:w="885"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2474FB91"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65 618 </w:t>
            </w:r>
          </w:p>
        </w:tc>
        <w:tc>
          <w:tcPr>
            <w:tcW w:w="85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6E3C218"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65 598 </w:t>
            </w:r>
          </w:p>
        </w:tc>
        <w:tc>
          <w:tcPr>
            <w:tcW w:w="92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5A99D315"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909 920 </w:t>
            </w:r>
          </w:p>
        </w:tc>
        <w:tc>
          <w:tcPr>
            <w:tcW w:w="85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5A43A797"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65 618 </w:t>
            </w:r>
          </w:p>
        </w:tc>
        <w:tc>
          <w:tcPr>
            <w:tcW w:w="107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0813953"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104 900 </w:t>
            </w:r>
          </w:p>
        </w:tc>
        <w:tc>
          <w:tcPr>
            <w:tcW w:w="85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28810D74"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8 750 </w:t>
            </w:r>
          </w:p>
        </w:tc>
        <w:tc>
          <w:tcPr>
            <w:tcW w:w="102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9EDEEFB" w14:textId="61D6000A" w:rsidR="002B7ABA" w:rsidRPr="00DD0DAD" w:rsidRDefault="002B6477" w:rsidP="004E6DE8">
            <w:pPr>
              <w:pStyle w:val="Tabletext"/>
              <w:jc w:val="center"/>
              <w:rPr>
                <w:rFonts w:asciiTheme="minorHAnsi" w:hAnsiTheme="minorHAnsi"/>
                <w:sz w:val="18"/>
                <w:szCs w:val="18"/>
                <w:lang w:eastAsia="en-GB"/>
              </w:rPr>
            </w:pPr>
            <w:r>
              <w:rPr>
                <w:rFonts w:asciiTheme="minorHAnsi" w:hAnsiTheme="minorHAnsi" w:cs="Calibri"/>
                <w:color w:val="000000"/>
                <w:sz w:val="18"/>
                <w:szCs w:val="18"/>
                <w:lang w:eastAsia="en-GB"/>
              </w:rPr>
              <w:t>982 420</w:t>
            </w:r>
            <w:r w:rsidR="002B7ABA" w:rsidRPr="00DD0DAD">
              <w:rPr>
                <w:rFonts w:asciiTheme="minorHAnsi" w:hAnsiTheme="minorHAnsi" w:cs="Calibri"/>
                <w:color w:val="000000"/>
                <w:sz w:val="18"/>
                <w:szCs w:val="18"/>
                <w:lang w:eastAsia="en-GB"/>
              </w:rPr>
              <w:t xml:space="preserve"> </w:t>
            </w:r>
          </w:p>
        </w:tc>
        <w:tc>
          <w:tcPr>
            <w:tcW w:w="885"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7F61D34"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65 598 </w:t>
            </w:r>
          </w:p>
        </w:tc>
        <w:tc>
          <w:tcPr>
            <w:tcW w:w="1042"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7CB1DD7"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909 920 </w:t>
            </w:r>
          </w:p>
        </w:tc>
        <w:tc>
          <w:tcPr>
            <w:tcW w:w="1033" w:type="dxa"/>
            <w:vMerge w:val="restart"/>
            <w:tcBorders>
              <w:top w:val="nil"/>
              <w:left w:val="single" w:sz="4" w:space="0" w:color="auto"/>
              <w:bottom w:val="single" w:sz="4" w:space="0" w:color="000000"/>
              <w:right w:val="nil"/>
            </w:tcBorders>
            <w:shd w:val="clear" w:color="000000" w:fill="EAEAEA"/>
            <w:noWrap/>
            <w:vAlign w:val="center"/>
            <w:hideMark/>
          </w:tcPr>
          <w:p w14:paraId="4644CC06"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65 598 </w:t>
            </w:r>
          </w:p>
        </w:tc>
        <w:tc>
          <w:tcPr>
            <w:tcW w:w="1242"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853D307" w14:textId="124BBEB7" w:rsidR="002B7ABA" w:rsidRPr="00DD0DAD" w:rsidRDefault="002B7ABA" w:rsidP="00D318A7">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4 24</w:t>
            </w:r>
            <w:r w:rsidR="00D318A7">
              <w:rPr>
                <w:rFonts w:asciiTheme="minorHAnsi" w:hAnsiTheme="minorHAnsi" w:cs="Calibri"/>
                <w:b/>
                <w:bCs/>
                <w:color w:val="000000"/>
                <w:sz w:val="18"/>
                <w:szCs w:val="18"/>
                <w:lang w:eastAsia="en-GB"/>
              </w:rPr>
              <w:t>8</w:t>
            </w:r>
            <w:r w:rsidRPr="00DD0DAD">
              <w:rPr>
                <w:rFonts w:asciiTheme="minorHAnsi" w:hAnsiTheme="minorHAnsi" w:cs="Calibri"/>
                <w:b/>
                <w:bCs/>
                <w:color w:val="000000"/>
                <w:sz w:val="18"/>
                <w:szCs w:val="18"/>
                <w:lang w:eastAsia="en-GB"/>
              </w:rPr>
              <w:t xml:space="preserve"> </w:t>
            </w:r>
            <w:r w:rsidR="00D318A7">
              <w:rPr>
                <w:rFonts w:asciiTheme="minorHAnsi" w:hAnsiTheme="minorHAnsi" w:cs="Calibri"/>
                <w:b/>
                <w:bCs/>
                <w:color w:val="000000"/>
                <w:sz w:val="18"/>
                <w:szCs w:val="18"/>
                <w:lang w:eastAsia="en-GB"/>
              </w:rPr>
              <w:t>651</w:t>
            </w:r>
            <w:r w:rsidRPr="00DD0DAD">
              <w:rPr>
                <w:rFonts w:asciiTheme="minorHAnsi" w:hAnsiTheme="minorHAnsi" w:cs="Calibri"/>
                <w:b/>
                <w:bCs/>
                <w:color w:val="000000"/>
                <w:sz w:val="18"/>
                <w:szCs w:val="18"/>
                <w:lang w:eastAsia="en-GB"/>
              </w:rPr>
              <w:t xml:space="preserve"> </w:t>
            </w:r>
          </w:p>
        </w:tc>
        <w:tc>
          <w:tcPr>
            <w:tcW w:w="222" w:type="dxa"/>
            <w:tcBorders>
              <w:top w:val="nil"/>
              <w:left w:val="nil"/>
              <w:bottom w:val="nil"/>
              <w:right w:val="nil"/>
            </w:tcBorders>
            <w:shd w:val="clear" w:color="auto" w:fill="auto"/>
            <w:noWrap/>
            <w:vAlign w:val="center"/>
            <w:hideMark/>
          </w:tcPr>
          <w:p w14:paraId="22D38D02" w14:textId="77777777" w:rsidR="002B7ABA" w:rsidRPr="00DD0DAD" w:rsidRDefault="002B7ABA" w:rsidP="004E6DE8">
            <w:pPr>
              <w:pStyle w:val="Tabletext"/>
              <w:jc w:val="center"/>
              <w:rPr>
                <w:rFonts w:asciiTheme="minorHAnsi" w:hAnsiTheme="minorHAnsi"/>
                <w:b/>
                <w:bCs/>
                <w:sz w:val="18"/>
                <w:szCs w:val="18"/>
                <w:lang w:eastAsia="en-GB"/>
              </w:rPr>
            </w:pPr>
          </w:p>
        </w:tc>
        <w:tc>
          <w:tcPr>
            <w:tcW w:w="1242" w:type="dxa"/>
            <w:vMerge w:val="restart"/>
            <w:tcBorders>
              <w:top w:val="nil"/>
              <w:left w:val="single" w:sz="8" w:space="0" w:color="auto"/>
              <w:bottom w:val="nil"/>
              <w:right w:val="single" w:sz="8" w:space="0" w:color="auto"/>
            </w:tcBorders>
            <w:shd w:val="clear" w:color="auto" w:fill="auto"/>
            <w:noWrap/>
            <w:vAlign w:val="center"/>
            <w:hideMark/>
          </w:tcPr>
          <w:p w14:paraId="28D55AEC"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 xml:space="preserve">3 653 866 </w:t>
            </w:r>
          </w:p>
        </w:tc>
        <w:tc>
          <w:tcPr>
            <w:tcW w:w="222" w:type="dxa"/>
            <w:tcBorders>
              <w:top w:val="nil"/>
              <w:left w:val="nil"/>
              <w:bottom w:val="nil"/>
              <w:right w:val="nil"/>
            </w:tcBorders>
            <w:shd w:val="clear" w:color="auto" w:fill="auto"/>
            <w:noWrap/>
            <w:vAlign w:val="center"/>
            <w:hideMark/>
          </w:tcPr>
          <w:p w14:paraId="1C0DD75E" w14:textId="77777777" w:rsidR="002B7ABA" w:rsidRPr="00DD0DAD" w:rsidRDefault="002B7ABA" w:rsidP="004E6DE8">
            <w:pPr>
              <w:pStyle w:val="Tabletext"/>
              <w:jc w:val="center"/>
              <w:rPr>
                <w:rFonts w:asciiTheme="minorHAnsi" w:hAnsiTheme="minorHAnsi"/>
                <w:b/>
                <w:bCs/>
                <w:sz w:val="18"/>
                <w:szCs w:val="18"/>
                <w:lang w:eastAsia="en-GB"/>
              </w:rPr>
            </w:pPr>
          </w:p>
        </w:tc>
        <w:tc>
          <w:tcPr>
            <w:tcW w:w="1054" w:type="dxa"/>
            <w:vMerge w:val="restart"/>
            <w:tcBorders>
              <w:top w:val="single" w:sz="4" w:space="0" w:color="auto"/>
              <w:left w:val="single" w:sz="8" w:space="0" w:color="auto"/>
              <w:bottom w:val="nil"/>
              <w:right w:val="single" w:sz="8" w:space="0" w:color="auto"/>
            </w:tcBorders>
            <w:shd w:val="clear" w:color="auto" w:fill="auto"/>
            <w:noWrap/>
            <w:vAlign w:val="center"/>
            <w:hideMark/>
          </w:tcPr>
          <w:p w14:paraId="5A0BFD80" w14:textId="33961107" w:rsidR="002B7ABA" w:rsidRPr="00DD0DAD" w:rsidRDefault="002B7ABA" w:rsidP="00D318A7">
            <w:pPr>
              <w:pStyle w:val="Tabletext"/>
              <w:jc w:val="center"/>
              <w:rPr>
                <w:rFonts w:asciiTheme="minorHAnsi" w:hAnsiTheme="minorHAnsi"/>
                <w:b/>
                <w:bCs/>
                <w:sz w:val="18"/>
                <w:szCs w:val="18"/>
                <w:lang w:eastAsia="en-GB"/>
              </w:rPr>
            </w:pPr>
            <w:r w:rsidRPr="00DD0DAD">
              <w:rPr>
                <w:rFonts w:asciiTheme="minorHAnsi" w:hAnsiTheme="minorHAnsi"/>
                <w:b/>
                <w:bCs/>
                <w:sz w:val="18"/>
                <w:szCs w:val="18"/>
                <w:lang w:eastAsia="en-GB"/>
              </w:rPr>
              <w:t>–</w:t>
            </w:r>
            <w:r w:rsidR="00D318A7">
              <w:rPr>
                <w:rFonts w:asciiTheme="minorHAnsi" w:hAnsiTheme="minorHAnsi"/>
                <w:b/>
                <w:bCs/>
                <w:sz w:val="18"/>
                <w:szCs w:val="18"/>
                <w:lang w:eastAsia="en-GB"/>
              </w:rPr>
              <w:t>594 785</w:t>
            </w:r>
          </w:p>
        </w:tc>
      </w:tr>
      <w:tr w:rsidR="002B7ABA" w:rsidRPr="00DD0DAD" w14:paraId="4D77EBDC" w14:textId="77777777" w:rsidTr="00D318A7">
        <w:trPr>
          <w:trHeight w:val="251"/>
        </w:trPr>
        <w:tc>
          <w:tcPr>
            <w:tcW w:w="796" w:type="dxa"/>
            <w:vMerge/>
            <w:tcBorders>
              <w:top w:val="nil"/>
              <w:left w:val="single" w:sz="8" w:space="0" w:color="auto"/>
              <w:bottom w:val="single" w:sz="4" w:space="0" w:color="000000"/>
              <w:right w:val="single" w:sz="4" w:space="0" w:color="auto"/>
            </w:tcBorders>
            <w:vAlign w:val="center"/>
            <w:hideMark/>
          </w:tcPr>
          <w:p w14:paraId="07A68234" w14:textId="77777777" w:rsidR="002B7ABA" w:rsidRPr="00DD0DAD" w:rsidRDefault="002B7ABA" w:rsidP="004E6DE8">
            <w:pPr>
              <w:pStyle w:val="Tabletext"/>
              <w:jc w:val="center"/>
              <w:rPr>
                <w:rFonts w:asciiTheme="minorHAnsi" w:hAnsiTheme="minorHAnsi"/>
                <w:b/>
                <w:bCs/>
                <w:sz w:val="18"/>
                <w:szCs w:val="18"/>
                <w:lang w:eastAsia="en-GB"/>
              </w:rPr>
            </w:pPr>
          </w:p>
        </w:tc>
        <w:tc>
          <w:tcPr>
            <w:tcW w:w="885" w:type="dxa"/>
            <w:vMerge/>
            <w:tcBorders>
              <w:top w:val="nil"/>
              <w:left w:val="single" w:sz="4" w:space="0" w:color="auto"/>
              <w:bottom w:val="single" w:sz="4" w:space="0" w:color="000000"/>
              <w:right w:val="nil"/>
            </w:tcBorders>
            <w:vAlign w:val="center"/>
            <w:hideMark/>
          </w:tcPr>
          <w:p w14:paraId="19DDB60C" w14:textId="77777777" w:rsidR="002B7ABA" w:rsidRPr="00DD0DAD" w:rsidRDefault="002B7ABA" w:rsidP="004E6DE8">
            <w:pPr>
              <w:pStyle w:val="Tabletext"/>
              <w:jc w:val="center"/>
              <w:rPr>
                <w:rFonts w:asciiTheme="minorHAnsi" w:hAnsiTheme="minorHAnsi"/>
                <w:sz w:val="18"/>
                <w:szCs w:val="18"/>
                <w:lang w:eastAsia="en-GB"/>
              </w:rPr>
            </w:pPr>
          </w:p>
        </w:tc>
        <w:tc>
          <w:tcPr>
            <w:tcW w:w="932" w:type="dxa"/>
            <w:vMerge/>
            <w:tcBorders>
              <w:top w:val="nil"/>
              <w:left w:val="single" w:sz="4" w:space="0" w:color="auto"/>
              <w:bottom w:val="single" w:sz="4" w:space="0" w:color="000000"/>
              <w:right w:val="single" w:sz="4" w:space="0" w:color="auto"/>
            </w:tcBorders>
            <w:vAlign w:val="center"/>
            <w:hideMark/>
          </w:tcPr>
          <w:p w14:paraId="699DA3D4" w14:textId="77777777" w:rsidR="002B7ABA" w:rsidRPr="00DD0DAD" w:rsidRDefault="002B7ABA" w:rsidP="004E6DE8">
            <w:pPr>
              <w:pStyle w:val="Tabletext"/>
              <w:jc w:val="center"/>
              <w:rPr>
                <w:rFonts w:asciiTheme="minorHAnsi" w:hAnsiTheme="minorHAnsi"/>
                <w:sz w:val="18"/>
                <w:szCs w:val="18"/>
                <w:lang w:eastAsia="en-GB"/>
              </w:rPr>
            </w:pPr>
          </w:p>
        </w:tc>
        <w:tc>
          <w:tcPr>
            <w:tcW w:w="885" w:type="dxa"/>
            <w:vMerge/>
            <w:tcBorders>
              <w:top w:val="nil"/>
              <w:left w:val="single" w:sz="4" w:space="0" w:color="auto"/>
              <w:bottom w:val="single" w:sz="4" w:space="0" w:color="000000"/>
              <w:right w:val="single" w:sz="4" w:space="0" w:color="auto"/>
            </w:tcBorders>
            <w:vAlign w:val="center"/>
            <w:hideMark/>
          </w:tcPr>
          <w:p w14:paraId="5FA2E211" w14:textId="77777777" w:rsidR="002B7ABA" w:rsidRPr="00DD0DAD" w:rsidRDefault="002B7ABA" w:rsidP="004E6DE8">
            <w:pPr>
              <w:pStyle w:val="Tabletext"/>
              <w:jc w:val="center"/>
              <w:rPr>
                <w:rFonts w:asciiTheme="minorHAnsi" w:hAnsiTheme="minorHAnsi"/>
                <w:sz w:val="18"/>
                <w:szCs w:val="18"/>
                <w:lang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06C78F27" w14:textId="77777777" w:rsidR="002B7ABA" w:rsidRPr="00DD0DAD" w:rsidRDefault="002B7ABA" w:rsidP="004E6DE8">
            <w:pPr>
              <w:pStyle w:val="Tabletext"/>
              <w:jc w:val="center"/>
              <w:rPr>
                <w:rFonts w:asciiTheme="minorHAnsi" w:hAnsiTheme="minorHAnsi"/>
                <w:sz w:val="18"/>
                <w:szCs w:val="18"/>
                <w:lang w:eastAsia="en-GB"/>
              </w:rPr>
            </w:pPr>
          </w:p>
        </w:tc>
        <w:tc>
          <w:tcPr>
            <w:tcW w:w="920" w:type="dxa"/>
            <w:vMerge/>
            <w:tcBorders>
              <w:top w:val="nil"/>
              <w:left w:val="single" w:sz="4" w:space="0" w:color="auto"/>
              <w:bottom w:val="single" w:sz="4" w:space="0" w:color="000000"/>
              <w:right w:val="single" w:sz="4" w:space="0" w:color="auto"/>
            </w:tcBorders>
            <w:vAlign w:val="center"/>
            <w:hideMark/>
          </w:tcPr>
          <w:p w14:paraId="30CB9101" w14:textId="77777777" w:rsidR="002B7ABA" w:rsidRPr="00DD0DAD" w:rsidRDefault="002B7ABA" w:rsidP="004E6DE8">
            <w:pPr>
              <w:pStyle w:val="Tabletext"/>
              <w:jc w:val="center"/>
              <w:rPr>
                <w:rFonts w:asciiTheme="minorHAnsi" w:hAnsiTheme="minorHAnsi"/>
                <w:sz w:val="18"/>
                <w:szCs w:val="18"/>
                <w:lang w:eastAsia="en-GB"/>
              </w:rPr>
            </w:pPr>
          </w:p>
        </w:tc>
        <w:tc>
          <w:tcPr>
            <w:tcW w:w="851" w:type="dxa"/>
            <w:vMerge/>
            <w:tcBorders>
              <w:top w:val="nil"/>
              <w:left w:val="single" w:sz="4" w:space="0" w:color="auto"/>
              <w:bottom w:val="single" w:sz="4" w:space="0" w:color="000000"/>
              <w:right w:val="single" w:sz="4" w:space="0" w:color="auto"/>
            </w:tcBorders>
            <w:vAlign w:val="center"/>
            <w:hideMark/>
          </w:tcPr>
          <w:p w14:paraId="0C8691EF" w14:textId="77777777" w:rsidR="002B7ABA" w:rsidRPr="00DD0DAD" w:rsidRDefault="002B7ABA" w:rsidP="004E6DE8">
            <w:pPr>
              <w:pStyle w:val="Tabletext"/>
              <w:jc w:val="center"/>
              <w:rPr>
                <w:rFonts w:asciiTheme="minorHAnsi" w:hAnsiTheme="minorHAnsi"/>
                <w:sz w:val="18"/>
                <w:szCs w:val="18"/>
                <w:lang w:eastAsia="en-GB"/>
              </w:rPr>
            </w:pPr>
          </w:p>
        </w:tc>
        <w:tc>
          <w:tcPr>
            <w:tcW w:w="1070" w:type="dxa"/>
            <w:vMerge/>
            <w:tcBorders>
              <w:top w:val="nil"/>
              <w:left w:val="single" w:sz="4" w:space="0" w:color="auto"/>
              <w:bottom w:val="single" w:sz="4" w:space="0" w:color="000000"/>
              <w:right w:val="single" w:sz="4" w:space="0" w:color="auto"/>
            </w:tcBorders>
            <w:vAlign w:val="center"/>
            <w:hideMark/>
          </w:tcPr>
          <w:p w14:paraId="219924A4" w14:textId="77777777" w:rsidR="002B7ABA" w:rsidRPr="00DD0DAD" w:rsidRDefault="002B7ABA" w:rsidP="004E6DE8">
            <w:pPr>
              <w:pStyle w:val="Tabletext"/>
              <w:jc w:val="center"/>
              <w:rPr>
                <w:rFonts w:asciiTheme="minorHAnsi" w:hAnsiTheme="minorHAnsi"/>
                <w:sz w:val="18"/>
                <w:szCs w:val="18"/>
                <w:lang w:eastAsia="en-GB"/>
              </w:rPr>
            </w:pPr>
          </w:p>
        </w:tc>
        <w:tc>
          <w:tcPr>
            <w:tcW w:w="851" w:type="dxa"/>
            <w:vMerge/>
            <w:tcBorders>
              <w:top w:val="nil"/>
              <w:left w:val="single" w:sz="4" w:space="0" w:color="auto"/>
              <w:bottom w:val="single" w:sz="4" w:space="0" w:color="000000"/>
              <w:right w:val="single" w:sz="4" w:space="0" w:color="auto"/>
            </w:tcBorders>
            <w:vAlign w:val="center"/>
            <w:hideMark/>
          </w:tcPr>
          <w:p w14:paraId="0B1F5E81" w14:textId="77777777" w:rsidR="002B7ABA" w:rsidRPr="00DD0DAD" w:rsidRDefault="002B7ABA" w:rsidP="004E6DE8">
            <w:pPr>
              <w:pStyle w:val="Tabletext"/>
              <w:jc w:val="center"/>
              <w:rPr>
                <w:rFonts w:asciiTheme="minorHAnsi" w:hAnsiTheme="minorHAnsi"/>
                <w:sz w:val="18"/>
                <w:szCs w:val="18"/>
                <w:lang w:eastAsia="en-GB"/>
              </w:rPr>
            </w:pPr>
          </w:p>
        </w:tc>
        <w:tc>
          <w:tcPr>
            <w:tcW w:w="1024" w:type="dxa"/>
            <w:vMerge/>
            <w:tcBorders>
              <w:top w:val="nil"/>
              <w:left w:val="single" w:sz="4" w:space="0" w:color="auto"/>
              <w:bottom w:val="single" w:sz="4" w:space="0" w:color="000000"/>
              <w:right w:val="single" w:sz="4" w:space="0" w:color="auto"/>
            </w:tcBorders>
            <w:vAlign w:val="center"/>
            <w:hideMark/>
          </w:tcPr>
          <w:p w14:paraId="4D7933CF" w14:textId="77777777" w:rsidR="002B7ABA" w:rsidRPr="00DD0DAD" w:rsidRDefault="002B7ABA" w:rsidP="004E6DE8">
            <w:pPr>
              <w:pStyle w:val="Tabletext"/>
              <w:jc w:val="center"/>
              <w:rPr>
                <w:rFonts w:asciiTheme="minorHAnsi" w:hAnsiTheme="minorHAnsi"/>
                <w:sz w:val="18"/>
                <w:szCs w:val="18"/>
                <w:lang w:eastAsia="en-GB"/>
              </w:rPr>
            </w:pPr>
          </w:p>
        </w:tc>
        <w:tc>
          <w:tcPr>
            <w:tcW w:w="885" w:type="dxa"/>
            <w:vMerge/>
            <w:tcBorders>
              <w:top w:val="nil"/>
              <w:left w:val="single" w:sz="4" w:space="0" w:color="auto"/>
              <w:bottom w:val="single" w:sz="4" w:space="0" w:color="000000"/>
              <w:right w:val="single" w:sz="4" w:space="0" w:color="auto"/>
            </w:tcBorders>
            <w:vAlign w:val="center"/>
            <w:hideMark/>
          </w:tcPr>
          <w:p w14:paraId="3DC567D6" w14:textId="77777777" w:rsidR="002B7ABA" w:rsidRPr="00DD0DAD" w:rsidRDefault="002B7ABA" w:rsidP="004E6DE8">
            <w:pPr>
              <w:pStyle w:val="Tabletext"/>
              <w:jc w:val="center"/>
              <w:rPr>
                <w:rFonts w:asciiTheme="minorHAnsi" w:hAnsiTheme="minorHAnsi"/>
                <w:sz w:val="18"/>
                <w:szCs w:val="18"/>
                <w:lang w:eastAsia="en-GB"/>
              </w:rPr>
            </w:pPr>
          </w:p>
        </w:tc>
        <w:tc>
          <w:tcPr>
            <w:tcW w:w="1042" w:type="dxa"/>
            <w:vMerge/>
            <w:tcBorders>
              <w:top w:val="nil"/>
              <w:left w:val="single" w:sz="4" w:space="0" w:color="auto"/>
              <w:bottom w:val="single" w:sz="4" w:space="0" w:color="000000"/>
              <w:right w:val="single" w:sz="4" w:space="0" w:color="auto"/>
            </w:tcBorders>
            <w:vAlign w:val="center"/>
            <w:hideMark/>
          </w:tcPr>
          <w:p w14:paraId="592D5C33" w14:textId="77777777" w:rsidR="002B7ABA" w:rsidRPr="00DD0DAD" w:rsidRDefault="002B7ABA" w:rsidP="004E6DE8">
            <w:pPr>
              <w:pStyle w:val="Tabletext"/>
              <w:jc w:val="center"/>
              <w:rPr>
                <w:rFonts w:asciiTheme="minorHAnsi" w:hAnsiTheme="minorHAnsi"/>
                <w:sz w:val="18"/>
                <w:szCs w:val="18"/>
                <w:lang w:eastAsia="en-GB"/>
              </w:rPr>
            </w:pPr>
          </w:p>
        </w:tc>
        <w:tc>
          <w:tcPr>
            <w:tcW w:w="1033" w:type="dxa"/>
            <w:vMerge/>
            <w:tcBorders>
              <w:top w:val="nil"/>
              <w:left w:val="single" w:sz="4" w:space="0" w:color="auto"/>
              <w:bottom w:val="single" w:sz="4" w:space="0" w:color="000000"/>
              <w:right w:val="nil"/>
            </w:tcBorders>
            <w:vAlign w:val="center"/>
            <w:hideMark/>
          </w:tcPr>
          <w:p w14:paraId="3C36FA1A" w14:textId="77777777" w:rsidR="002B7ABA" w:rsidRPr="00DD0DAD" w:rsidRDefault="002B7ABA" w:rsidP="004E6DE8">
            <w:pPr>
              <w:pStyle w:val="Tabletext"/>
              <w:jc w:val="center"/>
              <w:rPr>
                <w:rFonts w:asciiTheme="minorHAnsi" w:hAnsiTheme="minorHAnsi"/>
                <w:sz w:val="18"/>
                <w:szCs w:val="18"/>
                <w:lang w:eastAsia="en-GB"/>
              </w:rPr>
            </w:pPr>
          </w:p>
        </w:tc>
        <w:tc>
          <w:tcPr>
            <w:tcW w:w="1242" w:type="dxa"/>
            <w:vMerge/>
            <w:tcBorders>
              <w:top w:val="nil"/>
              <w:left w:val="single" w:sz="8" w:space="0" w:color="auto"/>
              <w:bottom w:val="single" w:sz="4" w:space="0" w:color="000000"/>
              <w:right w:val="single" w:sz="8" w:space="0" w:color="auto"/>
            </w:tcBorders>
            <w:vAlign w:val="center"/>
            <w:hideMark/>
          </w:tcPr>
          <w:p w14:paraId="24258EAA" w14:textId="77777777" w:rsidR="002B7ABA" w:rsidRPr="00DD0DAD" w:rsidRDefault="002B7ABA" w:rsidP="004E6DE8">
            <w:pPr>
              <w:pStyle w:val="Tabletext"/>
              <w:jc w:val="center"/>
              <w:rPr>
                <w:rFonts w:asciiTheme="minorHAnsi" w:hAnsiTheme="minorHAnsi"/>
                <w:b/>
                <w:bCs/>
                <w:sz w:val="18"/>
                <w:szCs w:val="18"/>
                <w:lang w:eastAsia="en-GB"/>
              </w:rPr>
            </w:pPr>
          </w:p>
        </w:tc>
        <w:tc>
          <w:tcPr>
            <w:tcW w:w="222" w:type="dxa"/>
            <w:tcBorders>
              <w:top w:val="nil"/>
              <w:left w:val="nil"/>
              <w:bottom w:val="nil"/>
              <w:right w:val="nil"/>
            </w:tcBorders>
            <w:shd w:val="clear" w:color="auto" w:fill="auto"/>
            <w:noWrap/>
            <w:vAlign w:val="center"/>
            <w:hideMark/>
          </w:tcPr>
          <w:p w14:paraId="4FDED3B8" w14:textId="77777777" w:rsidR="002B7ABA" w:rsidRPr="00DD0DAD" w:rsidRDefault="002B7ABA" w:rsidP="004E6DE8">
            <w:pPr>
              <w:pStyle w:val="Tabletext"/>
              <w:jc w:val="center"/>
              <w:rPr>
                <w:rFonts w:asciiTheme="minorHAnsi" w:hAnsiTheme="minorHAnsi"/>
                <w:b/>
                <w:bCs/>
                <w:sz w:val="18"/>
                <w:szCs w:val="18"/>
                <w:lang w:eastAsia="en-GB"/>
              </w:rPr>
            </w:pPr>
          </w:p>
        </w:tc>
        <w:tc>
          <w:tcPr>
            <w:tcW w:w="1242" w:type="dxa"/>
            <w:vMerge/>
            <w:tcBorders>
              <w:top w:val="nil"/>
              <w:left w:val="single" w:sz="8" w:space="0" w:color="auto"/>
              <w:bottom w:val="nil"/>
              <w:right w:val="single" w:sz="8" w:space="0" w:color="auto"/>
            </w:tcBorders>
            <w:vAlign w:val="center"/>
            <w:hideMark/>
          </w:tcPr>
          <w:p w14:paraId="326D0A05" w14:textId="77777777" w:rsidR="002B7ABA" w:rsidRPr="00DD0DAD" w:rsidRDefault="002B7ABA" w:rsidP="004E6DE8">
            <w:pPr>
              <w:pStyle w:val="Tabletext"/>
              <w:jc w:val="center"/>
              <w:rPr>
                <w:rFonts w:asciiTheme="minorHAnsi" w:hAnsiTheme="minorHAnsi"/>
                <w:b/>
                <w:bCs/>
                <w:sz w:val="18"/>
                <w:szCs w:val="18"/>
                <w:lang w:eastAsia="en-GB"/>
              </w:rPr>
            </w:pPr>
          </w:p>
        </w:tc>
        <w:tc>
          <w:tcPr>
            <w:tcW w:w="222" w:type="dxa"/>
            <w:tcBorders>
              <w:top w:val="nil"/>
              <w:left w:val="nil"/>
              <w:bottom w:val="nil"/>
              <w:right w:val="nil"/>
            </w:tcBorders>
            <w:shd w:val="clear" w:color="auto" w:fill="auto"/>
            <w:noWrap/>
            <w:vAlign w:val="center"/>
            <w:hideMark/>
          </w:tcPr>
          <w:p w14:paraId="1C2622EE" w14:textId="77777777" w:rsidR="002B7ABA" w:rsidRPr="00DD0DAD" w:rsidRDefault="002B7ABA" w:rsidP="004E6DE8">
            <w:pPr>
              <w:pStyle w:val="Tabletext"/>
              <w:jc w:val="center"/>
              <w:rPr>
                <w:rFonts w:asciiTheme="minorHAnsi" w:hAnsiTheme="minorHAnsi"/>
                <w:b/>
                <w:bCs/>
                <w:sz w:val="18"/>
                <w:szCs w:val="18"/>
                <w:lang w:eastAsia="en-GB"/>
              </w:rPr>
            </w:pPr>
          </w:p>
        </w:tc>
        <w:tc>
          <w:tcPr>
            <w:tcW w:w="1054" w:type="dxa"/>
            <w:vMerge/>
            <w:tcBorders>
              <w:top w:val="single" w:sz="4" w:space="0" w:color="auto"/>
              <w:left w:val="single" w:sz="8" w:space="0" w:color="auto"/>
              <w:bottom w:val="nil"/>
              <w:right w:val="single" w:sz="8" w:space="0" w:color="auto"/>
            </w:tcBorders>
            <w:vAlign w:val="center"/>
            <w:hideMark/>
          </w:tcPr>
          <w:p w14:paraId="7E16D861" w14:textId="77777777" w:rsidR="002B7ABA" w:rsidRPr="00DD0DAD" w:rsidRDefault="002B7ABA" w:rsidP="004E6DE8">
            <w:pPr>
              <w:pStyle w:val="Tabletext"/>
              <w:jc w:val="center"/>
              <w:rPr>
                <w:rFonts w:asciiTheme="minorHAnsi" w:hAnsiTheme="minorHAnsi"/>
                <w:b/>
                <w:bCs/>
                <w:sz w:val="18"/>
                <w:szCs w:val="18"/>
                <w:lang w:eastAsia="en-GB"/>
              </w:rPr>
            </w:pPr>
          </w:p>
        </w:tc>
      </w:tr>
      <w:tr w:rsidR="002B7ABA" w:rsidRPr="00DD0DAD" w14:paraId="2B4FF7D9" w14:textId="77777777" w:rsidTr="00D318A7">
        <w:trPr>
          <w:trHeight w:val="251"/>
        </w:trPr>
        <w:tc>
          <w:tcPr>
            <w:tcW w:w="7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CA0430C"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b/>
                <w:bCs/>
                <w:sz w:val="18"/>
                <w:szCs w:val="18"/>
                <w:lang w:eastAsia="en-GB"/>
              </w:rPr>
              <w:t>2021</w:t>
            </w:r>
          </w:p>
        </w:tc>
        <w:tc>
          <w:tcPr>
            <w:tcW w:w="885"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7B38DAF4"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65 598 </w:t>
            </w:r>
          </w:p>
        </w:tc>
        <w:tc>
          <w:tcPr>
            <w:tcW w:w="932"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4F34BA4D"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119 222 </w:t>
            </w:r>
          </w:p>
        </w:tc>
        <w:tc>
          <w:tcPr>
            <w:tcW w:w="885"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34DBF8F6"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918 871 </w:t>
            </w:r>
          </w:p>
        </w:tc>
        <w:tc>
          <w:tcPr>
            <w:tcW w:w="850"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75EAB8CD"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70 398 </w:t>
            </w:r>
          </w:p>
        </w:tc>
        <w:tc>
          <w:tcPr>
            <w:tcW w:w="920"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48C07C98"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772 450 </w:t>
            </w:r>
          </w:p>
        </w:tc>
        <w:tc>
          <w:tcPr>
            <w:tcW w:w="851"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1B78B142"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70 398 </w:t>
            </w:r>
          </w:p>
        </w:tc>
        <w:tc>
          <w:tcPr>
            <w:tcW w:w="1070"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0034E2E2"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1 134 997 </w:t>
            </w:r>
          </w:p>
        </w:tc>
        <w:tc>
          <w:tcPr>
            <w:tcW w:w="851"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07F0AA88"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776 950 </w:t>
            </w:r>
          </w:p>
        </w:tc>
        <w:tc>
          <w:tcPr>
            <w:tcW w:w="1024"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36CAE040"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70 998 </w:t>
            </w:r>
          </w:p>
        </w:tc>
        <w:tc>
          <w:tcPr>
            <w:tcW w:w="885"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2009CBFD"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141 397 </w:t>
            </w:r>
          </w:p>
        </w:tc>
        <w:tc>
          <w:tcPr>
            <w:tcW w:w="1042"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32E35DD0" w14:textId="77777777" w:rsidR="002B7ABA" w:rsidRPr="00DD0DAD" w:rsidRDefault="002B7ABA" w:rsidP="004E6DE8">
            <w:pPr>
              <w:pStyle w:val="Tabletext"/>
              <w:jc w:val="center"/>
              <w:rPr>
                <w:rFonts w:asciiTheme="minorHAnsi" w:hAnsiTheme="minorHAnsi"/>
                <w:sz w:val="18"/>
                <w:szCs w:val="18"/>
                <w:lang w:eastAsia="en-GB"/>
              </w:rPr>
            </w:pPr>
            <w:r w:rsidRPr="00DD0DAD">
              <w:rPr>
                <w:rFonts w:asciiTheme="minorHAnsi" w:hAnsiTheme="minorHAnsi" w:cs="Calibri"/>
                <w:color w:val="000000"/>
                <w:sz w:val="18"/>
                <w:szCs w:val="18"/>
                <w:lang w:eastAsia="en-GB"/>
              </w:rPr>
              <w:t xml:space="preserve">809 051 </w:t>
            </w:r>
          </w:p>
        </w:tc>
        <w:tc>
          <w:tcPr>
            <w:tcW w:w="1033"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5792B12E" w14:textId="27CCC1DB" w:rsidR="002B7ABA" w:rsidRPr="00DD0DAD" w:rsidRDefault="005525D4" w:rsidP="004E6DE8">
            <w:pPr>
              <w:pStyle w:val="Tabletext"/>
              <w:jc w:val="center"/>
              <w:rPr>
                <w:rFonts w:asciiTheme="minorHAnsi" w:hAnsiTheme="minorHAnsi"/>
                <w:sz w:val="18"/>
                <w:szCs w:val="18"/>
                <w:lang w:eastAsia="en-GB"/>
              </w:rPr>
            </w:pPr>
            <w:r>
              <w:rPr>
                <w:rFonts w:asciiTheme="minorHAnsi" w:hAnsiTheme="minorHAnsi" w:cs="Calibri"/>
                <w:color w:val="000000"/>
                <w:sz w:val="18"/>
                <w:szCs w:val="18"/>
                <w:lang w:eastAsia="en-GB"/>
              </w:rPr>
              <w:t>85 878</w:t>
            </w:r>
            <w:r w:rsidR="002B7ABA" w:rsidRPr="00DD0DAD">
              <w:rPr>
                <w:rFonts w:asciiTheme="minorHAnsi" w:hAnsiTheme="minorHAnsi" w:cs="Calibri"/>
                <w:color w:val="000000"/>
                <w:sz w:val="18"/>
                <w:szCs w:val="18"/>
                <w:lang w:eastAsia="en-GB"/>
              </w:rPr>
              <w:t> </w:t>
            </w:r>
          </w:p>
        </w:tc>
        <w:tc>
          <w:tcPr>
            <w:tcW w:w="12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A40987" w14:textId="736A0B42" w:rsidR="002B7ABA" w:rsidRPr="00DD0DAD" w:rsidRDefault="005525D4" w:rsidP="004E6DE8">
            <w:pPr>
              <w:pStyle w:val="Tabletext"/>
              <w:jc w:val="center"/>
              <w:rPr>
                <w:rFonts w:asciiTheme="minorHAnsi" w:hAnsiTheme="minorHAnsi"/>
                <w:b/>
                <w:bCs/>
                <w:sz w:val="18"/>
                <w:szCs w:val="18"/>
                <w:lang w:eastAsia="en-GB"/>
              </w:rPr>
            </w:pPr>
            <w:r>
              <w:rPr>
                <w:rFonts w:asciiTheme="minorHAnsi" w:hAnsiTheme="minorHAnsi" w:cs="Calibri"/>
                <w:b/>
                <w:bCs/>
                <w:color w:val="000000"/>
                <w:sz w:val="18"/>
                <w:szCs w:val="18"/>
                <w:lang w:eastAsia="en-GB"/>
              </w:rPr>
              <w:t>5 036 208</w:t>
            </w:r>
            <w:r w:rsidR="002B7ABA" w:rsidRPr="00DD0DAD">
              <w:rPr>
                <w:rFonts w:asciiTheme="minorHAnsi" w:hAnsiTheme="minorHAnsi" w:cs="Calibri"/>
                <w:b/>
                <w:bCs/>
                <w:color w:val="000000"/>
                <w:sz w:val="18"/>
                <w:szCs w:val="18"/>
                <w:lang w:eastAsia="en-GB"/>
              </w:rPr>
              <w:t xml:space="preserve"> </w:t>
            </w:r>
          </w:p>
        </w:tc>
        <w:tc>
          <w:tcPr>
            <w:tcW w:w="222" w:type="dxa"/>
            <w:tcBorders>
              <w:top w:val="nil"/>
              <w:left w:val="nil"/>
              <w:bottom w:val="nil"/>
              <w:right w:val="nil"/>
            </w:tcBorders>
            <w:shd w:val="clear" w:color="auto" w:fill="auto"/>
            <w:noWrap/>
            <w:vAlign w:val="center"/>
            <w:hideMark/>
          </w:tcPr>
          <w:p w14:paraId="7D0E5562" w14:textId="77777777" w:rsidR="002B7ABA" w:rsidRPr="00DD0DAD" w:rsidRDefault="002B7ABA" w:rsidP="004E6DE8">
            <w:pPr>
              <w:pStyle w:val="Tabletext"/>
              <w:jc w:val="center"/>
              <w:rPr>
                <w:rFonts w:asciiTheme="minorHAnsi" w:hAnsiTheme="minorHAnsi"/>
                <w:b/>
                <w:bCs/>
                <w:sz w:val="18"/>
                <w:szCs w:val="18"/>
                <w:lang w:eastAsia="en-GB"/>
              </w:rPr>
            </w:pPr>
          </w:p>
        </w:tc>
        <w:tc>
          <w:tcPr>
            <w:tcW w:w="1242" w:type="dxa"/>
            <w:vMerge w:val="restart"/>
            <w:tcBorders>
              <w:top w:val="single" w:sz="4" w:space="0" w:color="auto"/>
              <w:left w:val="single" w:sz="8" w:space="0" w:color="auto"/>
              <w:bottom w:val="nil"/>
              <w:right w:val="single" w:sz="8" w:space="0" w:color="auto"/>
            </w:tcBorders>
            <w:shd w:val="clear" w:color="auto" w:fill="auto"/>
            <w:noWrap/>
            <w:vAlign w:val="center"/>
            <w:hideMark/>
          </w:tcPr>
          <w:p w14:paraId="29EE8C89"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 xml:space="preserve">7 663 386 </w:t>
            </w:r>
          </w:p>
        </w:tc>
        <w:tc>
          <w:tcPr>
            <w:tcW w:w="222" w:type="dxa"/>
            <w:tcBorders>
              <w:top w:val="nil"/>
              <w:left w:val="nil"/>
              <w:bottom w:val="nil"/>
              <w:right w:val="nil"/>
            </w:tcBorders>
            <w:shd w:val="clear" w:color="auto" w:fill="auto"/>
            <w:noWrap/>
            <w:vAlign w:val="center"/>
            <w:hideMark/>
          </w:tcPr>
          <w:p w14:paraId="3F922808" w14:textId="77777777" w:rsidR="002B7ABA" w:rsidRPr="00DD0DAD" w:rsidRDefault="002B7ABA" w:rsidP="004E6DE8">
            <w:pPr>
              <w:pStyle w:val="Tabletext"/>
              <w:jc w:val="center"/>
              <w:rPr>
                <w:rFonts w:asciiTheme="minorHAnsi" w:hAnsiTheme="minorHAnsi"/>
                <w:b/>
                <w:bCs/>
                <w:sz w:val="18"/>
                <w:szCs w:val="18"/>
                <w:lang w:eastAsia="en-GB"/>
              </w:rPr>
            </w:pPr>
          </w:p>
        </w:tc>
        <w:tc>
          <w:tcPr>
            <w:tcW w:w="1054" w:type="dxa"/>
            <w:vMerge w:val="restart"/>
            <w:tcBorders>
              <w:top w:val="single" w:sz="4" w:space="0" w:color="auto"/>
              <w:left w:val="single" w:sz="8" w:space="0" w:color="auto"/>
              <w:bottom w:val="nil"/>
              <w:right w:val="single" w:sz="8" w:space="0" w:color="auto"/>
            </w:tcBorders>
            <w:shd w:val="clear" w:color="auto" w:fill="auto"/>
            <w:noWrap/>
            <w:vAlign w:val="center"/>
            <w:hideMark/>
          </w:tcPr>
          <w:p w14:paraId="65168096" w14:textId="0EAB9C2E"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cs="Calibri"/>
                <w:b/>
                <w:bCs/>
                <w:color w:val="000000"/>
                <w:sz w:val="18"/>
                <w:szCs w:val="18"/>
                <w:lang w:eastAsia="en-GB"/>
              </w:rPr>
              <w:t xml:space="preserve">2 </w:t>
            </w:r>
            <w:r w:rsidR="005525D4">
              <w:rPr>
                <w:rFonts w:asciiTheme="minorHAnsi" w:hAnsiTheme="minorHAnsi" w:cs="Calibri"/>
                <w:b/>
                <w:bCs/>
                <w:color w:val="000000"/>
                <w:sz w:val="18"/>
                <w:szCs w:val="18"/>
                <w:lang w:eastAsia="en-GB"/>
              </w:rPr>
              <w:t>627 178</w:t>
            </w:r>
          </w:p>
        </w:tc>
      </w:tr>
      <w:tr w:rsidR="002B7ABA" w:rsidRPr="00DD0DAD" w14:paraId="1220648F" w14:textId="77777777" w:rsidTr="00D318A7">
        <w:trPr>
          <w:trHeight w:val="264"/>
        </w:trPr>
        <w:tc>
          <w:tcPr>
            <w:tcW w:w="796" w:type="dxa"/>
            <w:vMerge/>
            <w:tcBorders>
              <w:top w:val="nil"/>
              <w:left w:val="single" w:sz="8" w:space="0" w:color="auto"/>
              <w:bottom w:val="single" w:sz="4" w:space="0" w:color="auto"/>
              <w:right w:val="single" w:sz="4" w:space="0" w:color="auto"/>
            </w:tcBorders>
            <w:vAlign w:val="center"/>
            <w:hideMark/>
          </w:tcPr>
          <w:p w14:paraId="35E41540" w14:textId="77777777" w:rsidR="002B7ABA" w:rsidRPr="00DD0DAD" w:rsidRDefault="002B7ABA" w:rsidP="004E6DE8">
            <w:pPr>
              <w:pStyle w:val="Tabletext"/>
              <w:jc w:val="center"/>
              <w:rPr>
                <w:rFonts w:asciiTheme="minorHAnsi" w:hAnsiTheme="minorHAnsi"/>
                <w:sz w:val="18"/>
                <w:szCs w:val="18"/>
                <w:lang w:eastAsia="en-GB"/>
              </w:rPr>
            </w:pPr>
          </w:p>
        </w:tc>
        <w:tc>
          <w:tcPr>
            <w:tcW w:w="885" w:type="dxa"/>
            <w:vMerge/>
            <w:tcBorders>
              <w:top w:val="nil"/>
              <w:left w:val="single" w:sz="4" w:space="0" w:color="auto"/>
              <w:bottom w:val="single" w:sz="4" w:space="0" w:color="auto"/>
              <w:right w:val="single" w:sz="4" w:space="0" w:color="auto"/>
            </w:tcBorders>
            <w:vAlign w:val="center"/>
            <w:hideMark/>
          </w:tcPr>
          <w:p w14:paraId="0A1014CA" w14:textId="77777777" w:rsidR="002B7ABA" w:rsidRPr="00DD0DAD" w:rsidRDefault="002B7ABA" w:rsidP="004E6DE8">
            <w:pPr>
              <w:pStyle w:val="Tabletext"/>
              <w:jc w:val="center"/>
              <w:rPr>
                <w:rFonts w:asciiTheme="minorHAnsi" w:hAnsiTheme="minorHAnsi"/>
                <w:sz w:val="18"/>
                <w:szCs w:val="18"/>
                <w:lang w:eastAsia="en-GB"/>
              </w:rPr>
            </w:pPr>
          </w:p>
        </w:tc>
        <w:tc>
          <w:tcPr>
            <w:tcW w:w="932" w:type="dxa"/>
            <w:vMerge/>
            <w:tcBorders>
              <w:top w:val="nil"/>
              <w:left w:val="single" w:sz="4" w:space="0" w:color="auto"/>
              <w:bottom w:val="single" w:sz="4" w:space="0" w:color="auto"/>
              <w:right w:val="single" w:sz="4" w:space="0" w:color="auto"/>
            </w:tcBorders>
            <w:vAlign w:val="center"/>
            <w:hideMark/>
          </w:tcPr>
          <w:p w14:paraId="25FA4960" w14:textId="77777777" w:rsidR="002B7ABA" w:rsidRPr="00DD0DAD" w:rsidRDefault="002B7ABA" w:rsidP="004E6DE8">
            <w:pPr>
              <w:pStyle w:val="Tabletext"/>
              <w:jc w:val="center"/>
              <w:rPr>
                <w:rFonts w:asciiTheme="minorHAnsi" w:hAnsiTheme="minorHAnsi"/>
                <w:sz w:val="18"/>
                <w:szCs w:val="18"/>
                <w:lang w:eastAsia="en-GB"/>
              </w:rPr>
            </w:pPr>
          </w:p>
        </w:tc>
        <w:tc>
          <w:tcPr>
            <w:tcW w:w="885" w:type="dxa"/>
            <w:vMerge/>
            <w:tcBorders>
              <w:top w:val="nil"/>
              <w:left w:val="single" w:sz="4" w:space="0" w:color="auto"/>
              <w:bottom w:val="single" w:sz="4" w:space="0" w:color="auto"/>
              <w:right w:val="single" w:sz="4" w:space="0" w:color="auto"/>
            </w:tcBorders>
            <w:vAlign w:val="center"/>
            <w:hideMark/>
          </w:tcPr>
          <w:p w14:paraId="0DDDA000" w14:textId="77777777" w:rsidR="002B7ABA" w:rsidRPr="00DD0DAD" w:rsidRDefault="002B7ABA" w:rsidP="004E6DE8">
            <w:pPr>
              <w:pStyle w:val="Tabletext"/>
              <w:jc w:val="center"/>
              <w:rPr>
                <w:rFonts w:asciiTheme="minorHAnsi" w:hAnsiTheme="minorHAnsi"/>
                <w:sz w:val="18"/>
                <w:szCs w:val="18"/>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0A4FD55A" w14:textId="77777777" w:rsidR="002B7ABA" w:rsidRPr="00DD0DAD" w:rsidRDefault="002B7ABA" w:rsidP="004E6DE8">
            <w:pPr>
              <w:pStyle w:val="Tabletext"/>
              <w:jc w:val="center"/>
              <w:rPr>
                <w:rFonts w:asciiTheme="minorHAnsi" w:hAnsiTheme="minorHAnsi"/>
                <w:sz w:val="18"/>
                <w:szCs w:val="18"/>
                <w:lang w:eastAsia="en-GB"/>
              </w:rPr>
            </w:pPr>
          </w:p>
        </w:tc>
        <w:tc>
          <w:tcPr>
            <w:tcW w:w="920" w:type="dxa"/>
            <w:vMerge/>
            <w:tcBorders>
              <w:top w:val="nil"/>
              <w:left w:val="single" w:sz="4" w:space="0" w:color="auto"/>
              <w:bottom w:val="single" w:sz="4" w:space="0" w:color="auto"/>
              <w:right w:val="single" w:sz="4" w:space="0" w:color="auto"/>
            </w:tcBorders>
            <w:vAlign w:val="center"/>
            <w:hideMark/>
          </w:tcPr>
          <w:p w14:paraId="33B89DC3" w14:textId="77777777" w:rsidR="002B7ABA" w:rsidRPr="00DD0DAD" w:rsidRDefault="002B7ABA" w:rsidP="004E6DE8">
            <w:pPr>
              <w:pStyle w:val="Tabletext"/>
              <w:jc w:val="center"/>
              <w:rPr>
                <w:rFonts w:asciiTheme="minorHAnsi" w:hAnsiTheme="minorHAnsi"/>
                <w:sz w:val="18"/>
                <w:szCs w:val="18"/>
                <w:lang w:eastAsia="en-GB"/>
              </w:rPr>
            </w:pPr>
          </w:p>
        </w:tc>
        <w:tc>
          <w:tcPr>
            <w:tcW w:w="851" w:type="dxa"/>
            <w:vMerge/>
            <w:tcBorders>
              <w:top w:val="nil"/>
              <w:left w:val="single" w:sz="4" w:space="0" w:color="auto"/>
              <w:bottom w:val="single" w:sz="4" w:space="0" w:color="auto"/>
              <w:right w:val="single" w:sz="4" w:space="0" w:color="auto"/>
            </w:tcBorders>
            <w:vAlign w:val="center"/>
            <w:hideMark/>
          </w:tcPr>
          <w:p w14:paraId="4C8900EE" w14:textId="77777777" w:rsidR="002B7ABA" w:rsidRPr="00DD0DAD" w:rsidRDefault="002B7ABA" w:rsidP="004E6DE8">
            <w:pPr>
              <w:pStyle w:val="Tabletext"/>
              <w:jc w:val="center"/>
              <w:rPr>
                <w:rFonts w:asciiTheme="minorHAnsi" w:hAnsiTheme="minorHAnsi"/>
                <w:sz w:val="18"/>
                <w:szCs w:val="18"/>
                <w:lang w:eastAsia="en-GB"/>
              </w:rPr>
            </w:pPr>
          </w:p>
        </w:tc>
        <w:tc>
          <w:tcPr>
            <w:tcW w:w="1070" w:type="dxa"/>
            <w:vMerge/>
            <w:tcBorders>
              <w:top w:val="nil"/>
              <w:left w:val="single" w:sz="4" w:space="0" w:color="auto"/>
              <w:bottom w:val="single" w:sz="4" w:space="0" w:color="auto"/>
              <w:right w:val="single" w:sz="4" w:space="0" w:color="auto"/>
            </w:tcBorders>
            <w:vAlign w:val="center"/>
            <w:hideMark/>
          </w:tcPr>
          <w:p w14:paraId="3EF5820D" w14:textId="77777777" w:rsidR="002B7ABA" w:rsidRPr="00DD0DAD" w:rsidRDefault="002B7ABA" w:rsidP="004E6DE8">
            <w:pPr>
              <w:pStyle w:val="Tabletext"/>
              <w:jc w:val="center"/>
              <w:rPr>
                <w:rFonts w:asciiTheme="minorHAnsi" w:hAnsiTheme="minorHAnsi"/>
                <w:sz w:val="18"/>
                <w:szCs w:val="18"/>
                <w:lang w:eastAsia="en-GB"/>
              </w:rPr>
            </w:pPr>
          </w:p>
        </w:tc>
        <w:tc>
          <w:tcPr>
            <w:tcW w:w="851" w:type="dxa"/>
            <w:vMerge/>
            <w:tcBorders>
              <w:top w:val="nil"/>
              <w:left w:val="single" w:sz="4" w:space="0" w:color="auto"/>
              <w:bottom w:val="single" w:sz="4" w:space="0" w:color="auto"/>
              <w:right w:val="single" w:sz="4" w:space="0" w:color="auto"/>
            </w:tcBorders>
            <w:vAlign w:val="center"/>
            <w:hideMark/>
          </w:tcPr>
          <w:p w14:paraId="6B8B1386" w14:textId="77777777" w:rsidR="002B7ABA" w:rsidRPr="00DD0DAD" w:rsidRDefault="002B7ABA" w:rsidP="004E6DE8">
            <w:pPr>
              <w:pStyle w:val="Tabletext"/>
              <w:jc w:val="center"/>
              <w:rPr>
                <w:rFonts w:asciiTheme="minorHAnsi" w:hAnsiTheme="minorHAnsi"/>
                <w:sz w:val="18"/>
                <w:szCs w:val="18"/>
                <w:lang w:eastAsia="en-GB"/>
              </w:rPr>
            </w:pPr>
          </w:p>
        </w:tc>
        <w:tc>
          <w:tcPr>
            <w:tcW w:w="1024" w:type="dxa"/>
            <w:vMerge/>
            <w:tcBorders>
              <w:top w:val="nil"/>
              <w:left w:val="single" w:sz="4" w:space="0" w:color="auto"/>
              <w:bottom w:val="single" w:sz="4" w:space="0" w:color="auto"/>
              <w:right w:val="single" w:sz="4" w:space="0" w:color="auto"/>
            </w:tcBorders>
            <w:vAlign w:val="center"/>
            <w:hideMark/>
          </w:tcPr>
          <w:p w14:paraId="5178DD9C" w14:textId="77777777" w:rsidR="002B7ABA" w:rsidRPr="00DD0DAD" w:rsidRDefault="002B7ABA" w:rsidP="004E6DE8">
            <w:pPr>
              <w:pStyle w:val="Tabletext"/>
              <w:jc w:val="center"/>
              <w:rPr>
                <w:rFonts w:asciiTheme="minorHAnsi" w:hAnsiTheme="minorHAnsi"/>
                <w:sz w:val="18"/>
                <w:szCs w:val="18"/>
                <w:lang w:eastAsia="en-GB"/>
              </w:rPr>
            </w:pPr>
          </w:p>
        </w:tc>
        <w:tc>
          <w:tcPr>
            <w:tcW w:w="885" w:type="dxa"/>
            <w:vMerge/>
            <w:tcBorders>
              <w:top w:val="nil"/>
              <w:left w:val="single" w:sz="4" w:space="0" w:color="auto"/>
              <w:bottom w:val="single" w:sz="4" w:space="0" w:color="auto"/>
              <w:right w:val="single" w:sz="4" w:space="0" w:color="auto"/>
            </w:tcBorders>
            <w:vAlign w:val="center"/>
            <w:hideMark/>
          </w:tcPr>
          <w:p w14:paraId="24DA9319" w14:textId="77777777" w:rsidR="002B7ABA" w:rsidRPr="00DD0DAD" w:rsidRDefault="002B7ABA" w:rsidP="004E6DE8">
            <w:pPr>
              <w:pStyle w:val="Tabletext"/>
              <w:jc w:val="center"/>
              <w:rPr>
                <w:rFonts w:asciiTheme="minorHAnsi" w:hAnsiTheme="minorHAnsi"/>
                <w:sz w:val="18"/>
                <w:szCs w:val="18"/>
                <w:lang w:eastAsia="en-GB"/>
              </w:rPr>
            </w:pPr>
          </w:p>
        </w:tc>
        <w:tc>
          <w:tcPr>
            <w:tcW w:w="1042" w:type="dxa"/>
            <w:vMerge/>
            <w:tcBorders>
              <w:top w:val="nil"/>
              <w:left w:val="single" w:sz="4" w:space="0" w:color="auto"/>
              <w:bottom w:val="single" w:sz="8" w:space="0" w:color="auto"/>
              <w:right w:val="single" w:sz="4" w:space="0" w:color="auto"/>
            </w:tcBorders>
            <w:vAlign w:val="center"/>
            <w:hideMark/>
          </w:tcPr>
          <w:p w14:paraId="7049EF5C" w14:textId="77777777" w:rsidR="002B7ABA" w:rsidRPr="00DD0DAD" w:rsidRDefault="002B7ABA" w:rsidP="004E6DE8">
            <w:pPr>
              <w:pStyle w:val="Tabletext"/>
              <w:jc w:val="center"/>
              <w:rPr>
                <w:rFonts w:asciiTheme="minorHAnsi" w:hAnsiTheme="minorHAnsi"/>
                <w:sz w:val="18"/>
                <w:szCs w:val="18"/>
                <w:lang w:eastAsia="en-GB"/>
              </w:rPr>
            </w:pPr>
          </w:p>
        </w:tc>
        <w:tc>
          <w:tcPr>
            <w:tcW w:w="1033" w:type="dxa"/>
            <w:vMerge/>
            <w:tcBorders>
              <w:top w:val="nil"/>
              <w:left w:val="single" w:sz="4" w:space="0" w:color="auto"/>
              <w:bottom w:val="single" w:sz="8" w:space="0" w:color="auto"/>
              <w:right w:val="single" w:sz="4" w:space="0" w:color="auto"/>
            </w:tcBorders>
            <w:vAlign w:val="center"/>
            <w:hideMark/>
          </w:tcPr>
          <w:p w14:paraId="5F708EFC" w14:textId="77777777" w:rsidR="002B7ABA" w:rsidRPr="00DD0DAD" w:rsidRDefault="002B7ABA" w:rsidP="004E6DE8">
            <w:pPr>
              <w:pStyle w:val="Tabletext"/>
              <w:jc w:val="center"/>
              <w:rPr>
                <w:rFonts w:asciiTheme="minorHAnsi" w:hAnsiTheme="minorHAnsi"/>
                <w:sz w:val="18"/>
                <w:szCs w:val="18"/>
                <w:lang w:eastAsia="en-GB"/>
              </w:rPr>
            </w:pPr>
          </w:p>
        </w:tc>
        <w:tc>
          <w:tcPr>
            <w:tcW w:w="1242" w:type="dxa"/>
            <w:vMerge/>
            <w:tcBorders>
              <w:top w:val="nil"/>
              <w:left w:val="single" w:sz="8" w:space="0" w:color="auto"/>
              <w:bottom w:val="single" w:sz="8" w:space="0" w:color="000000"/>
              <w:right w:val="single" w:sz="8" w:space="0" w:color="auto"/>
            </w:tcBorders>
            <w:vAlign w:val="center"/>
            <w:hideMark/>
          </w:tcPr>
          <w:p w14:paraId="7C2A4F68" w14:textId="77777777" w:rsidR="002B7ABA" w:rsidRPr="00DD0DAD" w:rsidRDefault="002B7ABA" w:rsidP="004E6DE8">
            <w:pPr>
              <w:pStyle w:val="Tabletext"/>
              <w:jc w:val="center"/>
              <w:rPr>
                <w:rFonts w:asciiTheme="minorHAnsi" w:hAnsiTheme="minorHAnsi"/>
                <w:sz w:val="18"/>
                <w:szCs w:val="18"/>
                <w:lang w:eastAsia="en-GB"/>
              </w:rPr>
            </w:pPr>
          </w:p>
        </w:tc>
        <w:tc>
          <w:tcPr>
            <w:tcW w:w="222" w:type="dxa"/>
            <w:tcBorders>
              <w:top w:val="nil"/>
              <w:left w:val="nil"/>
              <w:bottom w:val="nil"/>
              <w:right w:val="nil"/>
            </w:tcBorders>
            <w:shd w:val="clear" w:color="auto" w:fill="auto"/>
            <w:noWrap/>
            <w:vAlign w:val="center"/>
            <w:hideMark/>
          </w:tcPr>
          <w:p w14:paraId="7E353E44" w14:textId="77777777" w:rsidR="002B7ABA" w:rsidRPr="00DD0DAD" w:rsidRDefault="002B7ABA" w:rsidP="004E6DE8">
            <w:pPr>
              <w:pStyle w:val="Tabletext"/>
              <w:jc w:val="center"/>
              <w:rPr>
                <w:rFonts w:asciiTheme="minorHAnsi" w:hAnsiTheme="minorHAnsi"/>
                <w:sz w:val="18"/>
                <w:szCs w:val="18"/>
                <w:lang w:eastAsia="en-GB"/>
              </w:rPr>
            </w:pPr>
          </w:p>
        </w:tc>
        <w:tc>
          <w:tcPr>
            <w:tcW w:w="1242" w:type="dxa"/>
            <w:vMerge/>
            <w:tcBorders>
              <w:top w:val="single" w:sz="4" w:space="0" w:color="auto"/>
              <w:left w:val="single" w:sz="8" w:space="0" w:color="auto"/>
              <w:bottom w:val="nil"/>
              <w:right w:val="single" w:sz="8" w:space="0" w:color="auto"/>
            </w:tcBorders>
            <w:vAlign w:val="center"/>
            <w:hideMark/>
          </w:tcPr>
          <w:p w14:paraId="5BA2AFB6" w14:textId="77777777" w:rsidR="002B7ABA" w:rsidRPr="00DD0DAD" w:rsidRDefault="002B7ABA" w:rsidP="004E6DE8">
            <w:pPr>
              <w:pStyle w:val="Tabletext"/>
              <w:jc w:val="center"/>
              <w:rPr>
                <w:rFonts w:asciiTheme="minorHAnsi" w:hAnsiTheme="minorHAnsi"/>
                <w:sz w:val="18"/>
                <w:szCs w:val="18"/>
                <w:lang w:eastAsia="en-GB"/>
              </w:rPr>
            </w:pPr>
          </w:p>
        </w:tc>
        <w:tc>
          <w:tcPr>
            <w:tcW w:w="222" w:type="dxa"/>
            <w:tcBorders>
              <w:top w:val="nil"/>
              <w:left w:val="nil"/>
              <w:bottom w:val="nil"/>
              <w:right w:val="nil"/>
            </w:tcBorders>
            <w:shd w:val="clear" w:color="auto" w:fill="auto"/>
            <w:noWrap/>
            <w:vAlign w:val="center"/>
            <w:hideMark/>
          </w:tcPr>
          <w:p w14:paraId="0B3BC072" w14:textId="77777777" w:rsidR="002B7ABA" w:rsidRPr="00DD0DAD" w:rsidRDefault="002B7ABA" w:rsidP="004E6DE8">
            <w:pPr>
              <w:pStyle w:val="Tabletext"/>
              <w:jc w:val="center"/>
              <w:rPr>
                <w:rFonts w:asciiTheme="minorHAnsi" w:hAnsiTheme="minorHAnsi"/>
                <w:sz w:val="18"/>
                <w:szCs w:val="18"/>
                <w:lang w:eastAsia="en-GB"/>
              </w:rPr>
            </w:pPr>
          </w:p>
        </w:tc>
        <w:tc>
          <w:tcPr>
            <w:tcW w:w="1054" w:type="dxa"/>
            <w:vMerge/>
            <w:tcBorders>
              <w:top w:val="single" w:sz="4" w:space="0" w:color="auto"/>
              <w:left w:val="single" w:sz="8" w:space="0" w:color="auto"/>
              <w:bottom w:val="nil"/>
              <w:right w:val="single" w:sz="8" w:space="0" w:color="auto"/>
            </w:tcBorders>
            <w:vAlign w:val="center"/>
            <w:hideMark/>
          </w:tcPr>
          <w:p w14:paraId="0E529B67" w14:textId="77777777" w:rsidR="002B7ABA" w:rsidRPr="00DD0DAD" w:rsidRDefault="002B7ABA" w:rsidP="004E6DE8">
            <w:pPr>
              <w:pStyle w:val="Tabletext"/>
              <w:jc w:val="center"/>
              <w:rPr>
                <w:rFonts w:asciiTheme="minorHAnsi" w:hAnsiTheme="minorHAnsi"/>
                <w:sz w:val="18"/>
                <w:szCs w:val="18"/>
                <w:lang w:eastAsia="en-GB"/>
              </w:rPr>
            </w:pPr>
          </w:p>
        </w:tc>
      </w:tr>
      <w:tr w:rsidR="005525D4" w:rsidRPr="00DD0DAD" w14:paraId="60F681E5" w14:textId="77777777" w:rsidTr="00D318A7">
        <w:trPr>
          <w:trHeight w:val="473"/>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B57D0" w14:textId="34767848" w:rsidR="005525D4" w:rsidRPr="005525D4" w:rsidRDefault="005525D4" w:rsidP="004E6DE8">
            <w:pPr>
              <w:pStyle w:val="Tabletext"/>
              <w:jc w:val="center"/>
              <w:rPr>
                <w:rFonts w:asciiTheme="minorHAnsi" w:hAnsiTheme="minorHAnsi"/>
                <w:b/>
                <w:bCs/>
                <w:sz w:val="18"/>
                <w:szCs w:val="18"/>
                <w:lang w:eastAsia="en-GB"/>
              </w:rPr>
            </w:pPr>
            <w:r w:rsidRPr="005525D4">
              <w:rPr>
                <w:rFonts w:asciiTheme="minorHAnsi" w:hAnsiTheme="minorHAnsi"/>
                <w:b/>
                <w:bCs/>
                <w:sz w:val="18"/>
                <w:szCs w:val="18"/>
                <w:lang w:eastAsia="en-GB"/>
              </w:rPr>
              <w:t>2022</w:t>
            </w:r>
          </w:p>
        </w:tc>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84AC78" w14:textId="4D183114" w:rsidR="005525D4" w:rsidRPr="00A1205E" w:rsidRDefault="005525D4" w:rsidP="004E6DE8">
            <w:pPr>
              <w:pStyle w:val="Tabletext"/>
              <w:jc w:val="center"/>
              <w:rPr>
                <w:rFonts w:asciiTheme="minorHAnsi" w:hAnsiTheme="minorHAnsi" w:cs="Calibri"/>
                <w:color w:val="000000"/>
                <w:sz w:val="18"/>
                <w:szCs w:val="18"/>
                <w:lang w:eastAsia="en-GB"/>
              </w:rPr>
            </w:pPr>
            <w:r w:rsidRPr="00A1205E">
              <w:rPr>
                <w:rFonts w:asciiTheme="minorHAnsi" w:hAnsiTheme="minorHAnsi" w:cs="Calibri"/>
                <w:color w:val="000000"/>
                <w:sz w:val="18"/>
                <w:szCs w:val="18"/>
                <w:lang w:eastAsia="en-GB"/>
              </w:rPr>
              <w:t>199 148</w:t>
            </w:r>
          </w:p>
        </w:tc>
        <w:tc>
          <w:tcPr>
            <w:tcW w:w="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D92C46" w14:textId="341FB564" w:rsidR="005525D4" w:rsidRPr="00A1205E" w:rsidRDefault="005525D4" w:rsidP="004E6DE8">
            <w:pPr>
              <w:pStyle w:val="Tabletext"/>
              <w:jc w:val="center"/>
              <w:rPr>
                <w:rFonts w:asciiTheme="minorHAnsi" w:hAnsiTheme="minorHAnsi" w:cs="Calibri"/>
                <w:color w:val="000000"/>
                <w:sz w:val="18"/>
                <w:szCs w:val="18"/>
                <w:lang w:eastAsia="en-GB"/>
              </w:rPr>
            </w:pPr>
            <w:r w:rsidRPr="00A1205E">
              <w:rPr>
                <w:rFonts w:asciiTheme="minorHAnsi" w:hAnsiTheme="minorHAnsi" w:cs="Calibri"/>
                <w:color w:val="000000"/>
                <w:sz w:val="18"/>
                <w:szCs w:val="18"/>
                <w:lang w:eastAsia="en-GB"/>
              </w:rPr>
              <w:t>0</w:t>
            </w:r>
          </w:p>
        </w:tc>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842125" w14:textId="61A17B7D" w:rsidR="005525D4" w:rsidRPr="00A1205E" w:rsidRDefault="005525D4" w:rsidP="004E6DE8">
            <w:pPr>
              <w:pStyle w:val="Tabletext"/>
              <w:jc w:val="center"/>
              <w:rPr>
                <w:rFonts w:asciiTheme="minorHAnsi" w:hAnsiTheme="minorHAnsi" w:cs="Calibri"/>
                <w:color w:val="000000"/>
                <w:sz w:val="18"/>
                <w:szCs w:val="18"/>
                <w:lang w:eastAsia="en-GB"/>
              </w:rPr>
            </w:pPr>
            <w:r w:rsidRPr="00A1205E">
              <w:rPr>
                <w:rFonts w:asciiTheme="minorHAnsi" w:hAnsiTheme="minorHAnsi" w:cs="Calibri"/>
                <w:color w:val="000000"/>
                <w:sz w:val="18"/>
                <w:szCs w:val="18"/>
                <w:lang w:eastAsia="en-GB"/>
              </w:rPr>
              <w:t>492</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4F84642" w14:textId="723CFA29" w:rsidR="005525D4" w:rsidRPr="00A1205E" w:rsidRDefault="005525D4" w:rsidP="004E6DE8">
            <w:pPr>
              <w:pStyle w:val="Tabletext"/>
              <w:jc w:val="center"/>
              <w:rPr>
                <w:rFonts w:asciiTheme="minorHAnsi" w:hAnsiTheme="minorHAnsi" w:cs="Calibri"/>
                <w:color w:val="000000"/>
                <w:sz w:val="18"/>
                <w:szCs w:val="18"/>
                <w:lang w:eastAsia="en-GB"/>
              </w:rPr>
            </w:pPr>
            <w:r w:rsidRPr="00A1205E">
              <w:rPr>
                <w:rFonts w:asciiTheme="minorHAnsi" w:hAnsiTheme="minorHAnsi" w:cs="Calibri"/>
                <w:color w:val="000000"/>
                <w:sz w:val="18"/>
                <w:szCs w:val="18"/>
                <w:lang w:eastAsia="en-GB"/>
              </w:rPr>
              <w:t>890 750</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AC2632" w14:textId="4F843144" w:rsidR="005525D4" w:rsidRPr="00A1205E" w:rsidRDefault="005525D4" w:rsidP="004E6DE8">
            <w:pPr>
              <w:pStyle w:val="Tabletext"/>
              <w:jc w:val="center"/>
              <w:rPr>
                <w:rFonts w:asciiTheme="minorHAnsi" w:hAnsiTheme="minorHAnsi" w:cs="Calibri"/>
                <w:color w:val="000000"/>
                <w:sz w:val="18"/>
                <w:szCs w:val="18"/>
                <w:lang w:eastAsia="en-GB"/>
              </w:rPr>
            </w:pPr>
            <w:r w:rsidRPr="00A1205E">
              <w:rPr>
                <w:rFonts w:asciiTheme="minorHAnsi" w:hAnsiTheme="minorHAnsi" w:cs="Calibri"/>
                <w:color w:val="000000"/>
                <w:sz w:val="18"/>
                <w:szCs w:val="18"/>
                <w:lang w:eastAsia="en-GB"/>
              </w:rPr>
              <w:t>911 018</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E422C4B" w14:textId="0659FFF0" w:rsidR="005525D4" w:rsidRPr="00A1205E" w:rsidRDefault="005525D4" w:rsidP="004E6DE8">
            <w:pPr>
              <w:pStyle w:val="Tabletext"/>
              <w:jc w:val="center"/>
              <w:rPr>
                <w:rFonts w:asciiTheme="minorHAnsi" w:hAnsiTheme="minorHAnsi" w:cs="Calibri"/>
                <w:color w:val="000000"/>
                <w:sz w:val="18"/>
                <w:szCs w:val="18"/>
                <w:lang w:eastAsia="en-GB"/>
              </w:rPr>
            </w:pPr>
            <w:r w:rsidRPr="00A1205E">
              <w:rPr>
                <w:rFonts w:asciiTheme="minorHAnsi" w:hAnsiTheme="minorHAnsi" w:cs="Calibri"/>
                <w:color w:val="000000"/>
                <w:sz w:val="18"/>
                <w:szCs w:val="18"/>
                <w:lang w:eastAsia="en-GB"/>
              </w:rPr>
              <w:t>62 900</w:t>
            </w:r>
          </w:p>
        </w:tc>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BAA3B2B" w14:textId="77777777" w:rsidR="005525D4" w:rsidRPr="00A1205E" w:rsidRDefault="005525D4" w:rsidP="004E6DE8">
            <w:pPr>
              <w:pStyle w:val="Tabletext"/>
              <w:jc w:val="center"/>
              <w:rPr>
                <w:rFonts w:asciiTheme="minorHAnsi" w:hAnsiTheme="minorHAnsi" w:cs="Calibri"/>
                <w:color w:val="000000"/>
                <w:sz w:val="18"/>
                <w:szCs w:val="18"/>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ACDFA0" w14:textId="77777777" w:rsidR="005525D4" w:rsidRPr="00A1205E" w:rsidRDefault="005525D4" w:rsidP="004E6DE8">
            <w:pPr>
              <w:pStyle w:val="Tabletext"/>
              <w:jc w:val="center"/>
              <w:rPr>
                <w:rFonts w:asciiTheme="minorHAnsi" w:hAnsiTheme="minorHAnsi" w:cs="Calibri"/>
                <w:color w:val="000000"/>
                <w:sz w:val="18"/>
                <w:szCs w:val="18"/>
                <w:lang w:eastAsia="en-GB"/>
              </w:rPr>
            </w:pP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F0BD278" w14:textId="77777777" w:rsidR="005525D4" w:rsidRPr="00A1205E" w:rsidRDefault="005525D4" w:rsidP="004E6DE8">
            <w:pPr>
              <w:pStyle w:val="Tabletext"/>
              <w:jc w:val="center"/>
              <w:rPr>
                <w:rFonts w:asciiTheme="minorHAnsi" w:hAnsiTheme="minorHAnsi" w:cs="Calibri"/>
                <w:color w:val="000000"/>
                <w:sz w:val="18"/>
                <w:szCs w:val="18"/>
                <w:lang w:eastAsia="en-GB"/>
              </w:rPr>
            </w:pPr>
          </w:p>
        </w:tc>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961B2A" w14:textId="77777777" w:rsidR="005525D4" w:rsidRPr="00A1205E" w:rsidRDefault="005525D4" w:rsidP="004E6DE8">
            <w:pPr>
              <w:pStyle w:val="Tabletext"/>
              <w:jc w:val="center"/>
              <w:rPr>
                <w:rFonts w:asciiTheme="minorHAnsi" w:hAnsiTheme="minorHAnsi" w:cs="Calibri"/>
                <w:color w:val="000000"/>
                <w:sz w:val="18"/>
                <w:szCs w:val="18"/>
                <w:lang w:eastAsia="en-GB"/>
              </w:rPr>
            </w:pPr>
          </w:p>
        </w:tc>
        <w:tc>
          <w:tcPr>
            <w:tcW w:w="1037"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tcPr>
          <w:p w14:paraId="43970FBA" w14:textId="77777777" w:rsidR="005525D4" w:rsidRPr="00A1205E" w:rsidRDefault="005525D4" w:rsidP="004E6DE8">
            <w:pPr>
              <w:pStyle w:val="Tabletext"/>
              <w:jc w:val="center"/>
              <w:rPr>
                <w:rFonts w:asciiTheme="minorHAnsi" w:hAnsiTheme="minorHAnsi" w:cs="Calibri"/>
                <w:color w:val="000000"/>
                <w:sz w:val="18"/>
                <w:szCs w:val="18"/>
                <w:lang w:eastAsia="en-GB"/>
              </w:rPr>
            </w:pPr>
          </w:p>
        </w:tc>
        <w:tc>
          <w:tcPr>
            <w:tcW w:w="1038"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509CDE5E" w14:textId="1D6B9746" w:rsidR="005525D4" w:rsidRPr="00A1205E" w:rsidRDefault="005525D4" w:rsidP="004E6DE8">
            <w:pPr>
              <w:pStyle w:val="Tabletext"/>
              <w:jc w:val="center"/>
              <w:rPr>
                <w:rFonts w:asciiTheme="minorHAnsi" w:hAnsiTheme="minorHAnsi" w:cs="Calibri"/>
                <w:color w:val="000000"/>
                <w:sz w:val="18"/>
                <w:szCs w:val="18"/>
                <w:lang w:eastAsia="en-GB"/>
              </w:rPr>
            </w:pPr>
          </w:p>
        </w:tc>
        <w:tc>
          <w:tcPr>
            <w:tcW w:w="1242" w:type="dxa"/>
            <w:tcBorders>
              <w:top w:val="nil"/>
              <w:left w:val="single" w:sz="8" w:space="0" w:color="auto"/>
              <w:bottom w:val="single" w:sz="8" w:space="0" w:color="000000"/>
              <w:right w:val="single" w:sz="8" w:space="0" w:color="auto"/>
            </w:tcBorders>
            <w:shd w:val="clear" w:color="auto" w:fill="auto"/>
            <w:noWrap/>
            <w:vAlign w:val="center"/>
          </w:tcPr>
          <w:p w14:paraId="2D0B9A43" w14:textId="1036CF75" w:rsidR="005525D4" w:rsidRPr="00DD0DAD" w:rsidRDefault="005525D4" w:rsidP="004E6DE8">
            <w:pPr>
              <w:pStyle w:val="Tabletext"/>
              <w:jc w:val="center"/>
              <w:rPr>
                <w:rFonts w:asciiTheme="minorHAnsi" w:hAnsiTheme="minorHAnsi" w:cs="Calibri"/>
                <w:b/>
                <w:bCs/>
                <w:color w:val="000000"/>
                <w:sz w:val="18"/>
                <w:szCs w:val="18"/>
                <w:lang w:eastAsia="en-GB"/>
              </w:rPr>
            </w:pPr>
            <w:r>
              <w:rPr>
                <w:rFonts w:asciiTheme="minorHAnsi" w:hAnsiTheme="minorHAnsi" w:cs="Calibri"/>
                <w:b/>
                <w:bCs/>
                <w:color w:val="000000"/>
                <w:sz w:val="18"/>
                <w:szCs w:val="18"/>
                <w:lang w:eastAsia="en-GB"/>
              </w:rPr>
              <w:t>2 064 307</w:t>
            </w:r>
          </w:p>
        </w:tc>
        <w:tc>
          <w:tcPr>
            <w:tcW w:w="222" w:type="dxa"/>
            <w:tcBorders>
              <w:top w:val="nil"/>
              <w:left w:val="nil"/>
              <w:bottom w:val="nil"/>
              <w:right w:val="nil"/>
            </w:tcBorders>
            <w:shd w:val="clear" w:color="auto" w:fill="auto"/>
            <w:noWrap/>
            <w:vAlign w:val="center"/>
          </w:tcPr>
          <w:p w14:paraId="3129B536" w14:textId="77777777" w:rsidR="005525D4" w:rsidRPr="00DD0DAD" w:rsidRDefault="005525D4" w:rsidP="004E6DE8">
            <w:pPr>
              <w:pStyle w:val="Tabletext"/>
              <w:jc w:val="center"/>
              <w:rPr>
                <w:rFonts w:asciiTheme="minorHAnsi" w:hAnsiTheme="minorHAnsi"/>
                <w:b/>
                <w:bCs/>
                <w:sz w:val="18"/>
                <w:szCs w:val="18"/>
                <w:lang w:eastAsia="en-GB"/>
              </w:rPr>
            </w:pPr>
          </w:p>
        </w:tc>
        <w:tc>
          <w:tcPr>
            <w:tcW w:w="1242"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2819AD4A" w14:textId="689336EC" w:rsidR="005525D4" w:rsidRPr="00DD0DAD" w:rsidRDefault="005525D4" w:rsidP="004E6DE8">
            <w:pPr>
              <w:pStyle w:val="Tabletext"/>
              <w:jc w:val="center"/>
              <w:rPr>
                <w:rFonts w:asciiTheme="minorHAnsi" w:hAnsiTheme="minorHAnsi" w:cs="Calibri"/>
                <w:b/>
                <w:bCs/>
                <w:color w:val="000000"/>
                <w:sz w:val="18"/>
                <w:szCs w:val="18"/>
                <w:lang w:eastAsia="en-GB"/>
              </w:rPr>
            </w:pPr>
            <w:r>
              <w:rPr>
                <w:rFonts w:asciiTheme="minorHAnsi" w:hAnsiTheme="minorHAnsi" w:cs="Calibri"/>
                <w:b/>
                <w:bCs/>
                <w:color w:val="000000"/>
                <w:sz w:val="18"/>
                <w:szCs w:val="18"/>
                <w:lang w:eastAsia="en-GB"/>
              </w:rPr>
              <w:t>0</w:t>
            </w:r>
          </w:p>
        </w:tc>
        <w:tc>
          <w:tcPr>
            <w:tcW w:w="222" w:type="dxa"/>
            <w:tcBorders>
              <w:top w:val="nil"/>
              <w:left w:val="nil"/>
              <w:bottom w:val="nil"/>
              <w:right w:val="nil"/>
            </w:tcBorders>
            <w:shd w:val="clear" w:color="auto" w:fill="auto"/>
            <w:noWrap/>
            <w:vAlign w:val="center"/>
          </w:tcPr>
          <w:p w14:paraId="7C19AD19" w14:textId="77777777" w:rsidR="005525D4" w:rsidRPr="00DD0DAD" w:rsidRDefault="005525D4" w:rsidP="004E6DE8">
            <w:pPr>
              <w:pStyle w:val="Tabletext"/>
              <w:jc w:val="center"/>
              <w:rPr>
                <w:rFonts w:asciiTheme="minorHAnsi" w:hAnsiTheme="minorHAnsi"/>
                <w:b/>
                <w:bCs/>
                <w:sz w:val="18"/>
                <w:szCs w:val="18"/>
                <w:lang w:eastAsia="en-GB"/>
              </w:rPr>
            </w:pPr>
          </w:p>
        </w:tc>
        <w:tc>
          <w:tcPr>
            <w:tcW w:w="105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00128149" w14:textId="3CC34870" w:rsidR="005525D4" w:rsidRPr="00DD0DAD" w:rsidRDefault="005525D4" w:rsidP="004E6DE8">
            <w:pPr>
              <w:pStyle w:val="Tabletext"/>
              <w:jc w:val="center"/>
              <w:rPr>
                <w:rFonts w:asciiTheme="minorHAnsi" w:hAnsiTheme="minorHAnsi" w:cs="Calibri"/>
                <w:b/>
                <w:bCs/>
                <w:color w:val="000000"/>
                <w:sz w:val="18"/>
                <w:szCs w:val="18"/>
                <w:lang w:eastAsia="en-GB"/>
              </w:rPr>
            </w:pPr>
            <w:r w:rsidRPr="005525D4">
              <w:rPr>
                <w:rFonts w:asciiTheme="minorHAnsi" w:hAnsiTheme="minorHAnsi" w:cs="Calibri"/>
                <w:b/>
                <w:bCs/>
                <w:color w:val="000000"/>
                <w:sz w:val="18"/>
                <w:szCs w:val="18"/>
                <w:lang w:eastAsia="en-GB"/>
              </w:rPr>
              <w:t>–</w:t>
            </w:r>
            <w:r>
              <w:rPr>
                <w:rFonts w:asciiTheme="minorHAnsi" w:hAnsiTheme="minorHAnsi" w:cs="Calibri"/>
                <w:b/>
                <w:bCs/>
                <w:color w:val="000000"/>
                <w:sz w:val="18"/>
                <w:szCs w:val="18"/>
                <w:lang w:eastAsia="en-GB"/>
              </w:rPr>
              <w:t>2 064 307</w:t>
            </w:r>
          </w:p>
        </w:tc>
      </w:tr>
      <w:tr w:rsidR="002B7ABA" w:rsidRPr="00DD0DAD" w14:paraId="19DA7CC1" w14:textId="77777777" w:rsidTr="00D318A7">
        <w:trPr>
          <w:trHeight w:val="251"/>
        </w:trPr>
        <w:tc>
          <w:tcPr>
            <w:tcW w:w="796" w:type="dxa"/>
            <w:tcBorders>
              <w:top w:val="single" w:sz="4" w:space="0" w:color="auto"/>
              <w:left w:val="nil"/>
              <w:bottom w:val="nil"/>
              <w:right w:val="nil"/>
            </w:tcBorders>
            <w:shd w:val="clear" w:color="auto" w:fill="auto"/>
            <w:noWrap/>
            <w:hideMark/>
          </w:tcPr>
          <w:p w14:paraId="7FBE86E1" w14:textId="77777777" w:rsidR="002B7ABA" w:rsidRPr="00DD0DAD" w:rsidRDefault="002B7ABA" w:rsidP="004E6DE8">
            <w:pPr>
              <w:pStyle w:val="Tabletext"/>
              <w:jc w:val="center"/>
              <w:rPr>
                <w:rFonts w:asciiTheme="minorHAnsi" w:hAnsiTheme="minorHAnsi"/>
                <w:sz w:val="18"/>
                <w:szCs w:val="18"/>
                <w:lang w:eastAsia="en-GB"/>
              </w:rPr>
            </w:pPr>
          </w:p>
        </w:tc>
        <w:tc>
          <w:tcPr>
            <w:tcW w:w="885" w:type="dxa"/>
            <w:tcBorders>
              <w:top w:val="single" w:sz="4" w:space="0" w:color="auto"/>
              <w:left w:val="nil"/>
              <w:bottom w:val="nil"/>
              <w:right w:val="nil"/>
            </w:tcBorders>
            <w:shd w:val="clear" w:color="auto" w:fill="auto"/>
            <w:noWrap/>
            <w:hideMark/>
          </w:tcPr>
          <w:p w14:paraId="4B496A23" w14:textId="77777777" w:rsidR="002B7ABA" w:rsidRPr="00DD0DAD" w:rsidRDefault="002B7ABA" w:rsidP="004E6DE8">
            <w:pPr>
              <w:pStyle w:val="Tabletext"/>
              <w:jc w:val="center"/>
              <w:rPr>
                <w:rFonts w:asciiTheme="minorHAnsi" w:hAnsiTheme="minorHAnsi"/>
                <w:sz w:val="18"/>
                <w:szCs w:val="18"/>
                <w:lang w:eastAsia="en-GB"/>
              </w:rPr>
            </w:pPr>
          </w:p>
        </w:tc>
        <w:tc>
          <w:tcPr>
            <w:tcW w:w="932" w:type="dxa"/>
            <w:tcBorders>
              <w:top w:val="single" w:sz="4" w:space="0" w:color="auto"/>
              <w:left w:val="nil"/>
              <w:bottom w:val="nil"/>
              <w:right w:val="nil"/>
            </w:tcBorders>
            <w:shd w:val="clear" w:color="auto" w:fill="auto"/>
            <w:noWrap/>
            <w:hideMark/>
          </w:tcPr>
          <w:p w14:paraId="5A79990E" w14:textId="77777777" w:rsidR="002B7ABA" w:rsidRPr="00DD0DAD" w:rsidRDefault="002B7ABA" w:rsidP="004E6DE8">
            <w:pPr>
              <w:pStyle w:val="Tabletext"/>
              <w:jc w:val="center"/>
              <w:rPr>
                <w:rFonts w:asciiTheme="minorHAnsi" w:hAnsiTheme="minorHAnsi"/>
                <w:sz w:val="18"/>
                <w:szCs w:val="18"/>
                <w:lang w:eastAsia="en-GB"/>
              </w:rPr>
            </w:pPr>
          </w:p>
        </w:tc>
        <w:tc>
          <w:tcPr>
            <w:tcW w:w="885" w:type="dxa"/>
            <w:tcBorders>
              <w:top w:val="single" w:sz="4" w:space="0" w:color="auto"/>
              <w:left w:val="nil"/>
              <w:bottom w:val="nil"/>
              <w:right w:val="nil"/>
            </w:tcBorders>
            <w:shd w:val="clear" w:color="auto" w:fill="auto"/>
            <w:noWrap/>
            <w:hideMark/>
          </w:tcPr>
          <w:p w14:paraId="05F18DD9" w14:textId="77777777" w:rsidR="002B7ABA" w:rsidRPr="00DD0DAD" w:rsidRDefault="002B7ABA" w:rsidP="004E6DE8">
            <w:pPr>
              <w:pStyle w:val="Tabletext"/>
              <w:jc w:val="center"/>
              <w:rPr>
                <w:rFonts w:asciiTheme="minorHAnsi" w:hAnsiTheme="minorHAnsi"/>
                <w:sz w:val="18"/>
                <w:szCs w:val="18"/>
                <w:lang w:eastAsia="en-GB"/>
              </w:rPr>
            </w:pPr>
          </w:p>
        </w:tc>
        <w:tc>
          <w:tcPr>
            <w:tcW w:w="850" w:type="dxa"/>
            <w:tcBorders>
              <w:top w:val="single" w:sz="4" w:space="0" w:color="auto"/>
              <w:left w:val="nil"/>
              <w:bottom w:val="nil"/>
              <w:right w:val="nil"/>
            </w:tcBorders>
            <w:shd w:val="clear" w:color="auto" w:fill="auto"/>
            <w:noWrap/>
            <w:hideMark/>
          </w:tcPr>
          <w:p w14:paraId="1EDB768E" w14:textId="77777777" w:rsidR="002B7ABA" w:rsidRPr="00DD0DAD" w:rsidRDefault="002B7ABA" w:rsidP="004E6DE8">
            <w:pPr>
              <w:pStyle w:val="Tabletext"/>
              <w:jc w:val="center"/>
              <w:rPr>
                <w:rFonts w:asciiTheme="minorHAnsi" w:hAnsiTheme="minorHAnsi"/>
                <w:sz w:val="18"/>
                <w:szCs w:val="18"/>
                <w:lang w:eastAsia="en-GB"/>
              </w:rPr>
            </w:pPr>
          </w:p>
        </w:tc>
        <w:tc>
          <w:tcPr>
            <w:tcW w:w="920" w:type="dxa"/>
            <w:tcBorders>
              <w:top w:val="single" w:sz="4" w:space="0" w:color="auto"/>
              <w:left w:val="nil"/>
              <w:bottom w:val="nil"/>
              <w:right w:val="nil"/>
            </w:tcBorders>
            <w:shd w:val="clear" w:color="auto" w:fill="auto"/>
            <w:noWrap/>
            <w:hideMark/>
          </w:tcPr>
          <w:p w14:paraId="645FEC51" w14:textId="77777777" w:rsidR="002B7ABA" w:rsidRPr="00DD0DAD" w:rsidRDefault="002B7ABA" w:rsidP="004E6DE8">
            <w:pPr>
              <w:pStyle w:val="Tabletext"/>
              <w:jc w:val="center"/>
              <w:rPr>
                <w:rFonts w:asciiTheme="minorHAnsi" w:hAnsiTheme="minorHAnsi"/>
                <w:sz w:val="18"/>
                <w:szCs w:val="18"/>
                <w:lang w:eastAsia="en-GB"/>
              </w:rPr>
            </w:pPr>
          </w:p>
        </w:tc>
        <w:tc>
          <w:tcPr>
            <w:tcW w:w="851" w:type="dxa"/>
            <w:tcBorders>
              <w:top w:val="single" w:sz="4" w:space="0" w:color="auto"/>
              <w:left w:val="nil"/>
              <w:bottom w:val="nil"/>
              <w:right w:val="nil"/>
            </w:tcBorders>
            <w:shd w:val="clear" w:color="auto" w:fill="auto"/>
            <w:noWrap/>
            <w:hideMark/>
          </w:tcPr>
          <w:p w14:paraId="4EF9CB3F" w14:textId="77777777" w:rsidR="002B7ABA" w:rsidRPr="00DD0DAD" w:rsidRDefault="002B7ABA" w:rsidP="004E6DE8">
            <w:pPr>
              <w:pStyle w:val="Tabletext"/>
              <w:jc w:val="center"/>
              <w:rPr>
                <w:rFonts w:asciiTheme="minorHAnsi" w:hAnsiTheme="minorHAnsi"/>
                <w:sz w:val="18"/>
                <w:szCs w:val="18"/>
                <w:lang w:eastAsia="en-GB"/>
              </w:rPr>
            </w:pPr>
          </w:p>
        </w:tc>
        <w:tc>
          <w:tcPr>
            <w:tcW w:w="1070" w:type="dxa"/>
            <w:tcBorders>
              <w:top w:val="single" w:sz="4" w:space="0" w:color="auto"/>
              <w:left w:val="nil"/>
              <w:bottom w:val="nil"/>
              <w:right w:val="nil"/>
            </w:tcBorders>
            <w:shd w:val="clear" w:color="auto" w:fill="auto"/>
            <w:noWrap/>
            <w:hideMark/>
          </w:tcPr>
          <w:p w14:paraId="5FF71856" w14:textId="77777777" w:rsidR="002B7ABA" w:rsidRPr="00DD0DAD" w:rsidRDefault="002B7ABA" w:rsidP="004E6DE8">
            <w:pPr>
              <w:pStyle w:val="Tabletext"/>
              <w:jc w:val="center"/>
              <w:rPr>
                <w:rFonts w:asciiTheme="minorHAnsi" w:hAnsiTheme="minorHAnsi"/>
                <w:sz w:val="18"/>
                <w:szCs w:val="18"/>
                <w:lang w:eastAsia="en-GB"/>
              </w:rPr>
            </w:pPr>
          </w:p>
        </w:tc>
        <w:tc>
          <w:tcPr>
            <w:tcW w:w="851" w:type="dxa"/>
            <w:tcBorders>
              <w:top w:val="single" w:sz="4" w:space="0" w:color="auto"/>
              <w:left w:val="nil"/>
              <w:bottom w:val="nil"/>
              <w:right w:val="nil"/>
            </w:tcBorders>
            <w:shd w:val="clear" w:color="auto" w:fill="auto"/>
            <w:noWrap/>
            <w:hideMark/>
          </w:tcPr>
          <w:p w14:paraId="256D7D07" w14:textId="77777777" w:rsidR="002B7ABA" w:rsidRPr="00DD0DAD" w:rsidRDefault="002B7ABA" w:rsidP="004E6DE8">
            <w:pPr>
              <w:pStyle w:val="Tabletext"/>
              <w:jc w:val="center"/>
              <w:rPr>
                <w:rFonts w:asciiTheme="minorHAnsi" w:hAnsiTheme="minorHAnsi"/>
                <w:sz w:val="18"/>
                <w:szCs w:val="18"/>
                <w:lang w:eastAsia="en-GB"/>
              </w:rPr>
            </w:pPr>
          </w:p>
        </w:tc>
        <w:tc>
          <w:tcPr>
            <w:tcW w:w="1024" w:type="dxa"/>
            <w:tcBorders>
              <w:top w:val="single" w:sz="4" w:space="0" w:color="auto"/>
              <w:left w:val="nil"/>
              <w:bottom w:val="nil"/>
              <w:right w:val="nil"/>
            </w:tcBorders>
            <w:shd w:val="clear" w:color="auto" w:fill="auto"/>
            <w:noWrap/>
            <w:hideMark/>
          </w:tcPr>
          <w:p w14:paraId="74622A97" w14:textId="77777777" w:rsidR="002B7ABA" w:rsidRPr="00DD0DAD" w:rsidRDefault="002B7ABA" w:rsidP="004E6DE8">
            <w:pPr>
              <w:pStyle w:val="Tabletext"/>
              <w:jc w:val="center"/>
              <w:rPr>
                <w:rFonts w:asciiTheme="minorHAnsi" w:hAnsiTheme="minorHAnsi"/>
                <w:sz w:val="18"/>
                <w:szCs w:val="18"/>
                <w:lang w:eastAsia="en-GB"/>
              </w:rPr>
            </w:pPr>
          </w:p>
        </w:tc>
        <w:tc>
          <w:tcPr>
            <w:tcW w:w="885" w:type="dxa"/>
            <w:tcBorders>
              <w:top w:val="single" w:sz="4" w:space="0" w:color="auto"/>
              <w:left w:val="nil"/>
              <w:bottom w:val="nil"/>
              <w:right w:val="nil"/>
            </w:tcBorders>
            <w:shd w:val="clear" w:color="auto" w:fill="auto"/>
            <w:noWrap/>
            <w:hideMark/>
          </w:tcPr>
          <w:p w14:paraId="7508D3C5" w14:textId="77777777" w:rsidR="002B7ABA" w:rsidRPr="00DD0DAD" w:rsidRDefault="002B7ABA" w:rsidP="004E6DE8">
            <w:pPr>
              <w:pStyle w:val="Tabletext"/>
              <w:jc w:val="center"/>
              <w:rPr>
                <w:rFonts w:asciiTheme="minorHAnsi" w:hAnsiTheme="minorHAnsi"/>
                <w:sz w:val="18"/>
                <w:szCs w:val="18"/>
                <w:lang w:eastAsia="en-GB"/>
              </w:rPr>
            </w:pPr>
          </w:p>
        </w:tc>
        <w:tc>
          <w:tcPr>
            <w:tcW w:w="2075"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B12293" w14:textId="77777777" w:rsidR="002B7ABA" w:rsidRPr="00DD0DAD" w:rsidRDefault="002B7ABA" w:rsidP="004E6DE8">
            <w:pPr>
              <w:pStyle w:val="Tabletext"/>
              <w:jc w:val="center"/>
              <w:rPr>
                <w:rFonts w:asciiTheme="minorHAnsi" w:hAnsiTheme="minorHAnsi"/>
                <w:b/>
                <w:bCs/>
                <w:sz w:val="18"/>
                <w:szCs w:val="18"/>
                <w:lang w:eastAsia="en-GB"/>
              </w:rPr>
            </w:pPr>
            <w:r w:rsidRPr="00DD0DAD">
              <w:rPr>
                <w:rFonts w:asciiTheme="minorHAnsi" w:hAnsiTheme="minorHAnsi"/>
                <w:b/>
                <w:bCs/>
                <w:sz w:val="18"/>
                <w:szCs w:val="18"/>
                <w:lang w:eastAsia="en-GB"/>
              </w:rPr>
              <w:t>TOTAL DES PAIEMENTS</w:t>
            </w:r>
          </w:p>
        </w:tc>
        <w:tc>
          <w:tcPr>
            <w:tcW w:w="1242" w:type="dxa"/>
            <w:vMerge w:val="restart"/>
            <w:tcBorders>
              <w:top w:val="nil"/>
              <w:left w:val="single" w:sz="8" w:space="0" w:color="auto"/>
              <w:bottom w:val="single" w:sz="8" w:space="0" w:color="000000"/>
              <w:right w:val="single" w:sz="8" w:space="0" w:color="auto"/>
            </w:tcBorders>
            <w:shd w:val="clear" w:color="auto" w:fill="auto"/>
            <w:noWrap/>
            <w:vAlign w:val="center"/>
          </w:tcPr>
          <w:p w14:paraId="1C8864E7" w14:textId="0BD1A179" w:rsidR="002B7ABA" w:rsidRPr="00DD0DAD" w:rsidRDefault="005525D4" w:rsidP="004E6DE8">
            <w:pPr>
              <w:pStyle w:val="Tabletext"/>
              <w:jc w:val="center"/>
              <w:rPr>
                <w:rFonts w:asciiTheme="minorHAnsi" w:hAnsiTheme="minorHAnsi"/>
                <w:b/>
                <w:bCs/>
                <w:sz w:val="18"/>
                <w:szCs w:val="18"/>
                <w:lang w:eastAsia="en-GB"/>
              </w:rPr>
            </w:pPr>
            <w:r>
              <w:rPr>
                <w:rFonts w:asciiTheme="minorHAnsi" w:hAnsiTheme="minorHAnsi"/>
                <w:b/>
                <w:bCs/>
                <w:sz w:val="18"/>
                <w:szCs w:val="18"/>
                <w:lang w:eastAsia="en-GB"/>
              </w:rPr>
              <w:t>16 121 383</w:t>
            </w:r>
          </w:p>
        </w:tc>
        <w:tc>
          <w:tcPr>
            <w:tcW w:w="222" w:type="dxa"/>
            <w:tcBorders>
              <w:top w:val="nil"/>
              <w:left w:val="nil"/>
              <w:bottom w:val="nil"/>
              <w:right w:val="nil"/>
            </w:tcBorders>
            <w:shd w:val="clear" w:color="auto" w:fill="auto"/>
            <w:noWrap/>
            <w:vAlign w:val="center"/>
          </w:tcPr>
          <w:p w14:paraId="3793C35E" w14:textId="77777777" w:rsidR="002B7ABA" w:rsidRPr="00DD0DAD" w:rsidRDefault="002B7ABA" w:rsidP="004E6DE8">
            <w:pPr>
              <w:pStyle w:val="Tabletext"/>
              <w:jc w:val="center"/>
              <w:rPr>
                <w:rFonts w:asciiTheme="minorHAnsi" w:hAnsiTheme="minorHAnsi"/>
                <w:b/>
                <w:bCs/>
                <w:sz w:val="18"/>
                <w:szCs w:val="18"/>
                <w:lang w:eastAsia="en-GB"/>
              </w:rPr>
            </w:pPr>
          </w:p>
        </w:tc>
        <w:tc>
          <w:tcPr>
            <w:tcW w:w="124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ABAB1A2" w14:textId="0868C533" w:rsidR="002B7ABA" w:rsidRPr="00DD0DAD" w:rsidRDefault="005525D4" w:rsidP="004E6DE8">
            <w:pPr>
              <w:pStyle w:val="Tabletext"/>
              <w:jc w:val="center"/>
              <w:rPr>
                <w:rFonts w:asciiTheme="minorHAnsi" w:hAnsiTheme="minorHAnsi"/>
                <w:b/>
                <w:bCs/>
                <w:sz w:val="18"/>
                <w:szCs w:val="18"/>
                <w:lang w:eastAsia="en-GB"/>
              </w:rPr>
            </w:pPr>
            <w:r>
              <w:rPr>
                <w:rFonts w:asciiTheme="minorHAnsi" w:hAnsiTheme="minorHAnsi"/>
                <w:b/>
                <w:bCs/>
                <w:sz w:val="18"/>
                <w:szCs w:val="18"/>
                <w:lang w:eastAsia="en-GB"/>
              </w:rPr>
              <w:t>16 954 029</w:t>
            </w:r>
          </w:p>
        </w:tc>
        <w:tc>
          <w:tcPr>
            <w:tcW w:w="222" w:type="dxa"/>
            <w:tcBorders>
              <w:top w:val="nil"/>
              <w:left w:val="nil"/>
              <w:bottom w:val="nil"/>
              <w:right w:val="nil"/>
            </w:tcBorders>
            <w:shd w:val="clear" w:color="auto" w:fill="auto"/>
            <w:noWrap/>
            <w:vAlign w:val="center"/>
          </w:tcPr>
          <w:p w14:paraId="273D6E71" w14:textId="77777777" w:rsidR="002B7ABA" w:rsidRPr="00DD0DAD" w:rsidRDefault="002B7ABA" w:rsidP="004E6DE8">
            <w:pPr>
              <w:pStyle w:val="Tabletext"/>
              <w:jc w:val="center"/>
              <w:rPr>
                <w:rFonts w:asciiTheme="minorHAnsi" w:hAnsiTheme="minorHAnsi"/>
                <w:b/>
                <w:bCs/>
                <w:sz w:val="18"/>
                <w:szCs w:val="18"/>
                <w:lang w:eastAsia="en-GB"/>
              </w:rPr>
            </w:pPr>
          </w:p>
        </w:tc>
        <w:tc>
          <w:tcPr>
            <w:tcW w:w="105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7AC2AFAD" w14:textId="52D1C1B6" w:rsidR="002B7ABA" w:rsidRPr="00DD0DAD" w:rsidRDefault="005525D4" w:rsidP="004E6DE8">
            <w:pPr>
              <w:pStyle w:val="Tabletext"/>
              <w:jc w:val="center"/>
              <w:rPr>
                <w:rFonts w:asciiTheme="minorHAnsi" w:hAnsiTheme="minorHAnsi"/>
                <w:b/>
                <w:bCs/>
                <w:sz w:val="18"/>
                <w:szCs w:val="18"/>
                <w:lang w:eastAsia="en-GB"/>
              </w:rPr>
            </w:pPr>
            <w:r>
              <w:rPr>
                <w:rFonts w:asciiTheme="minorHAnsi" w:hAnsiTheme="minorHAnsi"/>
                <w:b/>
                <w:bCs/>
                <w:sz w:val="18"/>
                <w:szCs w:val="18"/>
                <w:lang w:eastAsia="en-GB"/>
              </w:rPr>
              <w:t>832 646</w:t>
            </w:r>
          </w:p>
        </w:tc>
      </w:tr>
      <w:tr w:rsidR="002B7ABA" w:rsidRPr="00DD0DAD" w14:paraId="0C1FF0D7" w14:textId="77777777" w:rsidTr="002B6477">
        <w:trPr>
          <w:trHeight w:val="264"/>
        </w:trPr>
        <w:tc>
          <w:tcPr>
            <w:tcW w:w="796" w:type="dxa"/>
            <w:tcBorders>
              <w:top w:val="nil"/>
              <w:left w:val="nil"/>
              <w:bottom w:val="nil"/>
              <w:right w:val="nil"/>
            </w:tcBorders>
            <w:shd w:val="clear" w:color="auto" w:fill="auto"/>
            <w:noWrap/>
            <w:hideMark/>
          </w:tcPr>
          <w:p w14:paraId="6DF0CA28" w14:textId="77777777" w:rsidR="002B7ABA" w:rsidRPr="002B6477" w:rsidRDefault="002B7ABA" w:rsidP="004E6DE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bCs/>
                <w:color w:val="000000"/>
                <w:sz w:val="18"/>
                <w:szCs w:val="18"/>
                <w:lang w:eastAsia="en-GB"/>
              </w:rPr>
            </w:pPr>
          </w:p>
        </w:tc>
        <w:tc>
          <w:tcPr>
            <w:tcW w:w="885" w:type="dxa"/>
            <w:tcBorders>
              <w:top w:val="nil"/>
              <w:left w:val="nil"/>
              <w:bottom w:val="nil"/>
              <w:right w:val="nil"/>
            </w:tcBorders>
            <w:shd w:val="clear" w:color="auto" w:fill="auto"/>
            <w:noWrap/>
            <w:hideMark/>
          </w:tcPr>
          <w:p w14:paraId="49885CC3"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932" w:type="dxa"/>
            <w:tcBorders>
              <w:top w:val="nil"/>
              <w:left w:val="nil"/>
              <w:bottom w:val="nil"/>
              <w:right w:val="nil"/>
            </w:tcBorders>
            <w:shd w:val="clear" w:color="auto" w:fill="auto"/>
            <w:noWrap/>
            <w:hideMark/>
          </w:tcPr>
          <w:p w14:paraId="0F5B84FA"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885" w:type="dxa"/>
            <w:tcBorders>
              <w:top w:val="nil"/>
              <w:left w:val="nil"/>
              <w:bottom w:val="nil"/>
              <w:right w:val="nil"/>
            </w:tcBorders>
            <w:shd w:val="clear" w:color="auto" w:fill="auto"/>
            <w:noWrap/>
            <w:hideMark/>
          </w:tcPr>
          <w:p w14:paraId="45092005"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850" w:type="dxa"/>
            <w:tcBorders>
              <w:top w:val="nil"/>
              <w:left w:val="nil"/>
              <w:bottom w:val="nil"/>
              <w:right w:val="nil"/>
            </w:tcBorders>
            <w:shd w:val="clear" w:color="auto" w:fill="auto"/>
            <w:noWrap/>
            <w:hideMark/>
          </w:tcPr>
          <w:p w14:paraId="0A1E384F"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920" w:type="dxa"/>
            <w:tcBorders>
              <w:top w:val="nil"/>
              <w:left w:val="nil"/>
              <w:bottom w:val="nil"/>
              <w:right w:val="nil"/>
            </w:tcBorders>
            <w:shd w:val="clear" w:color="auto" w:fill="auto"/>
            <w:noWrap/>
            <w:hideMark/>
          </w:tcPr>
          <w:p w14:paraId="4462F608"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851" w:type="dxa"/>
            <w:tcBorders>
              <w:top w:val="nil"/>
              <w:left w:val="nil"/>
              <w:bottom w:val="nil"/>
              <w:right w:val="nil"/>
            </w:tcBorders>
            <w:shd w:val="clear" w:color="auto" w:fill="auto"/>
            <w:noWrap/>
            <w:hideMark/>
          </w:tcPr>
          <w:p w14:paraId="238567C0"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1070" w:type="dxa"/>
            <w:tcBorders>
              <w:top w:val="nil"/>
              <w:left w:val="nil"/>
              <w:bottom w:val="nil"/>
              <w:right w:val="nil"/>
            </w:tcBorders>
            <w:shd w:val="clear" w:color="auto" w:fill="auto"/>
            <w:noWrap/>
            <w:hideMark/>
          </w:tcPr>
          <w:p w14:paraId="4FE9F83B"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851" w:type="dxa"/>
            <w:tcBorders>
              <w:top w:val="nil"/>
              <w:left w:val="nil"/>
              <w:bottom w:val="nil"/>
              <w:right w:val="nil"/>
            </w:tcBorders>
            <w:shd w:val="clear" w:color="auto" w:fill="auto"/>
            <w:noWrap/>
            <w:hideMark/>
          </w:tcPr>
          <w:p w14:paraId="5DE4D436"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1024" w:type="dxa"/>
            <w:tcBorders>
              <w:top w:val="nil"/>
              <w:left w:val="nil"/>
              <w:bottom w:val="nil"/>
              <w:right w:val="nil"/>
            </w:tcBorders>
            <w:shd w:val="clear" w:color="auto" w:fill="auto"/>
            <w:noWrap/>
            <w:hideMark/>
          </w:tcPr>
          <w:p w14:paraId="2EAE0139"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885" w:type="dxa"/>
            <w:tcBorders>
              <w:top w:val="nil"/>
              <w:left w:val="nil"/>
              <w:bottom w:val="nil"/>
              <w:right w:val="single" w:sz="8" w:space="0" w:color="auto"/>
            </w:tcBorders>
            <w:shd w:val="clear" w:color="auto" w:fill="auto"/>
            <w:noWrap/>
            <w:hideMark/>
          </w:tcPr>
          <w:p w14:paraId="6471A6DF"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2075" w:type="dxa"/>
            <w:gridSpan w:val="2"/>
            <w:vMerge/>
            <w:tcBorders>
              <w:top w:val="single" w:sz="8" w:space="0" w:color="000000"/>
              <w:left w:val="single" w:sz="8" w:space="0" w:color="auto"/>
              <w:bottom w:val="single" w:sz="8" w:space="0" w:color="auto"/>
              <w:right w:val="nil"/>
            </w:tcBorders>
            <w:hideMark/>
          </w:tcPr>
          <w:p w14:paraId="771B9791"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1242" w:type="dxa"/>
            <w:vMerge/>
            <w:tcBorders>
              <w:top w:val="nil"/>
              <w:left w:val="single" w:sz="8" w:space="0" w:color="auto"/>
              <w:bottom w:val="single" w:sz="8" w:space="0" w:color="000000"/>
              <w:right w:val="single" w:sz="8" w:space="0" w:color="auto"/>
            </w:tcBorders>
            <w:hideMark/>
          </w:tcPr>
          <w:p w14:paraId="78929EB7"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222" w:type="dxa"/>
            <w:tcBorders>
              <w:top w:val="nil"/>
              <w:left w:val="nil"/>
              <w:bottom w:val="nil"/>
              <w:right w:val="nil"/>
            </w:tcBorders>
            <w:shd w:val="clear" w:color="auto" w:fill="auto"/>
            <w:noWrap/>
            <w:hideMark/>
          </w:tcPr>
          <w:p w14:paraId="2BDFDB3A"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1242" w:type="dxa"/>
            <w:vMerge/>
            <w:tcBorders>
              <w:top w:val="single" w:sz="8" w:space="0" w:color="auto"/>
              <w:left w:val="single" w:sz="8" w:space="0" w:color="auto"/>
              <w:bottom w:val="single" w:sz="8" w:space="0" w:color="000000"/>
              <w:right w:val="single" w:sz="8" w:space="0" w:color="auto"/>
            </w:tcBorders>
            <w:hideMark/>
          </w:tcPr>
          <w:p w14:paraId="45EA0694"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c>
          <w:tcPr>
            <w:tcW w:w="222" w:type="dxa"/>
            <w:tcBorders>
              <w:top w:val="nil"/>
              <w:left w:val="nil"/>
              <w:bottom w:val="nil"/>
              <w:right w:val="nil"/>
            </w:tcBorders>
            <w:shd w:val="clear" w:color="auto" w:fill="auto"/>
            <w:noWrap/>
            <w:hideMark/>
          </w:tcPr>
          <w:p w14:paraId="3E0B32AF"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eastAsia="en-GB"/>
              </w:rPr>
            </w:pPr>
          </w:p>
        </w:tc>
        <w:tc>
          <w:tcPr>
            <w:tcW w:w="1054" w:type="dxa"/>
            <w:vMerge/>
            <w:tcBorders>
              <w:top w:val="single" w:sz="8" w:space="0" w:color="auto"/>
              <w:left w:val="single" w:sz="8" w:space="0" w:color="auto"/>
              <w:bottom w:val="single" w:sz="8" w:space="0" w:color="000000"/>
              <w:right w:val="single" w:sz="8" w:space="0" w:color="auto"/>
            </w:tcBorders>
            <w:hideMark/>
          </w:tcPr>
          <w:p w14:paraId="4EA43206"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18"/>
                <w:szCs w:val="18"/>
                <w:lang w:eastAsia="en-GB"/>
              </w:rPr>
            </w:pPr>
          </w:p>
        </w:tc>
      </w:tr>
    </w:tbl>
    <w:p w14:paraId="406727B8" w14:textId="77777777" w:rsidR="002B7ABA" w:rsidRPr="00DD0DAD" w:rsidRDefault="002B7ABA" w:rsidP="004E6DE8">
      <w:pPr>
        <w:keepNext/>
        <w:tabs>
          <w:tab w:val="clear" w:pos="567"/>
          <w:tab w:val="clear" w:pos="1134"/>
          <w:tab w:val="clear" w:pos="1701"/>
          <w:tab w:val="clear" w:pos="2268"/>
          <w:tab w:val="clear" w:pos="2835"/>
          <w:tab w:val="left" w:pos="2948"/>
          <w:tab w:val="left" w:pos="4082"/>
        </w:tabs>
        <w:spacing w:before="360" w:after="480"/>
        <w:jc w:val="center"/>
        <w:rPr>
          <w:b/>
          <w:bCs/>
        </w:rPr>
      </w:pPr>
      <w:r w:rsidRPr="00DD0DAD">
        <w:rPr>
          <w:b/>
          <w:bCs/>
        </w:rPr>
        <w:br w:type="page"/>
      </w:r>
    </w:p>
    <w:p w14:paraId="506B9FD9" w14:textId="52BA6BF9" w:rsidR="002B7ABA" w:rsidRPr="00DD0DAD" w:rsidRDefault="002B7ABA" w:rsidP="004E6DE8">
      <w:pPr>
        <w:pStyle w:val="Headingb"/>
        <w:spacing w:after="120"/>
      </w:pPr>
      <w:r w:rsidRPr="00DD0DAD">
        <w:lastRenderedPageBreak/>
        <w:t xml:space="preserve">Planification financière </w:t>
      </w:r>
      <w:r w:rsidR="00D318A7">
        <w:t>– P</w:t>
      </w:r>
      <w:r w:rsidRPr="00DD0DAD">
        <w:t>remière tranche du prêt</w:t>
      </w:r>
    </w:p>
    <w:tbl>
      <w:tblPr>
        <w:tblW w:w="15357" w:type="dxa"/>
        <w:jc w:val="center"/>
        <w:tblLook w:val="04A0" w:firstRow="1" w:lastRow="0" w:firstColumn="1" w:lastColumn="0" w:noHBand="0" w:noVBand="1"/>
      </w:tblPr>
      <w:tblGrid>
        <w:gridCol w:w="924"/>
        <w:gridCol w:w="1148"/>
        <w:gridCol w:w="990"/>
        <w:gridCol w:w="1011"/>
        <w:gridCol w:w="1148"/>
        <w:gridCol w:w="990"/>
        <w:gridCol w:w="1011"/>
        <w:gridCol w:w="1059"/>
        <w:gridCol w:w="990"/>
        <w:gridCol w:w="1222"/>
        <w:gridCol w:w="1148"/>
        <w:gridCol w:w="1181"/>
        <w:gridCol w:w="1343"/>
        <w:gridCol w:w="1192"/>
      </w:tblGrid>
      <w:tr w:rsidR="002B7ABA" w:rsidRPr="00DD0DAD" w14:paraId="7E0B9094" w14:textId="77777777" w:rsidTr="001D1A6D">
        <w:trPr>
          <w:trHeight w:val="300"/>
          <w:jc w:val="center"/>
        </w:trPr>
        <w:tc>
          <w:tcPr>
            <w:tcW w:w="92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4BE03826" w14:textId="77777777" w:rsidR="002B7ABA" w:rsidRPr="00DD0DAD" w:rsidRDefault="002B7ABA" w:rsidP="004E6DE8">
            <w:pPr>
              <w:pStyle w:val="Tablehead"/>
              <w:rPr>
                <w:rFonts w:asciiTheme="minorHAnsi" w:hAnsiTheme="minorHAnsi"/>
                <w:sz w:val="20"/>
                <w:lang w:eastAsia="en-GB"/>
              </w:rPr>
            </w:pPr>
            <w:r w:rsidRPr="00DD0DAD">
              <w:rPr>
                <w:rFonts w:asciiTheme="minorHAnsi" w:hAnsiTheme="minorHAnsi"/>
                <w:sz w:val="20"/>
                <w:lang w:eastAsia="en-GB"/>
              </w:rPr>
              <w:t>Période</w:t>
            </w:r>
          </w:p>
        </w:tc>
        <w:tc>
          <w:tcPr>
            <w:tcW w:w="3149" w:type="dxa"/>
            <w:gridSpan w:val="3"/>
            <w:tcBorders>
              <w:top w:val="single" w:sz="8" w:space="0" w:color="auto"/>
              <w:left w:val="nil"/>
              <w:bottom w:val="nil"/>
              <w:right w:val="single" w:sz="4" w:space="0" w:color="000000"/>
            </w:tcBorders>
            <w:shd w:val="clear" w:color="auto" w:fill="auto"/>
            <w:noWrap/>
            <w:vAlign w:val="center"/>
            <w:hideMark/>
          </w:tcPr>
          <w:p w14:paraId="73D6EE5B" w14:textId="77777777" w:rsidR="002B7ABA" w:rsidRPr="00DD0DAD" w:rsidRDefault="002B7ABA" w:rsidP="004E6DE8">
            <w:pPr>
              <w:pStyle w:val="Tablehead"/>
              <w:rPr>
                <w:rFonts w:asciiTheme="minorHAnsi" w:hAnsiTheme="minorHAnsi"/>
                <w:sz w:val="20"/>
                <w:lang w:eastAsia="en-GB"/>
              </w:rPr>
            </w:pPr>
            <w:r w:rsidRPr="00DD0DAD">
              <w:rPr>
                <w:rFonts w:asciiTheme="minorHAnsi" w:hAnsiTheme="minorHAnsi"/>
                <w:sz w:val="20"/>
                <w:lang w:eastAsia="en-GB"/>
              </w:rPr>
              <w:t>1er trimestre</w:t>
            </w:r>
          </w:p>
        </w:tc>
        <w:tc>
          <w:tcPr>
            <w:tcW w:w="3149" w:type="dxa"/>
            <w:gridSpan w:val="3"/>
            <w:tcBorders>
              <w:top w:val="single" w:sz="8" w:space="0" w:color="auto"/>
              <w:left w:val="nil"/>
              <w:bottom w:val="nil"/>
              <w:right w:val="single" w:sz="4" w:space="0" w:color="000000"/>
            </w:tcBorders>
            <w:shd w:val="clear" w:color="auto" w:fill="auto"/>
            <w:noWrap/>
            <w:vAlign w:val="center"/>
            <w:hideMark/>
          </w:tcPr>
          <w:p w14:paraId="1783101F" w14:textId="77777777" w:rsidR="002B7ABA" w:rsidRPr="00DD0DAD" w:rsidRDefault="002B7ABA" w:rsidP="004E6DE8">
            <w:pPr>
              <w:pStyle w:val="Tablehead"/>
              <w:rPr>
                <w:rFonts w:asciiTheme="minorHAnsi" w:hAnsiTheme="minorHAnsi"/>
                <w:sz w:val="20"/>
                <w:lang w:eastAsia="en-GB"/>
              </w:rPr>
            </w:pPr>
            <w:r w:rsidRPr="00DD0DAD">
              <w:rPr>
                <w:rFonts w:asciiTheme="minorHAnsi" w:hAnsiTheme="minorHAnsi"/>
                <w:sz w:val="20"/>
                <w:lang w:eastAsia="en-GB"/>
              </w:rPr>
              <w:t>2ème trimestre</w:t>
            </w:r>
          </w:p>
        </w:tc>
        <w:tc>
          <w:tcPr>
            <w:tcW w:w="3271" w:type="dxa"/>
            <w:gridSpan w:val="3"/>
            <w:tcBorders>
              <w:top w:val="single" w:sz="8" w:space="0" w:color="auto"/>
              <w:left w:val="nil"/>
              <w:bottom w:val="nil"/>
              <w:right w:val="single" w:sz="4" w:space="0" w:color="000000"/>
            </w:tcBorders>
            <w:shd w:val="clear" w:color="auto" w:fill="auto"/>
            <w:noWrap/>
            <w:vAlign w:val="center"/>
            <w:hideMark/>
          </w:tcPr>
          <w:p w14:paraId="1A0E40DE" w14:textId="77777777" w:rsidR="002B7ABA" w:rsidRPr="00DD0DAD" w:rsidRDefault="002B7ABA" w:rsidP="004E6DE8">
            <w:pPr>
              <w:pStyle w:val="Tablehead"/>
              <w:rPr>
                <w:rFonts w:asciiTheme="minorHAnsi" w:hAnsiTheme="minorHAnsi"/>
                <w:sz w:val="20"/>
                <w:lang w:eastAsia="en-GB"/>
              </w:rPr>
            </w:pPr>
            <w:r w:rsidRPr="00DD0DAD">
              <w:rPr>
                <w:rFonts w:asciiTheme="minorHAnsi" w:hAnsiTheme="minorHAnsi"/>
                <w:sz w:val="20"/>
                <w:lang w:eastAsia="en-GB"/>
              </w:rPr>
              <w:t>3ème trimestre</w:t>
            </w:r>
          </w:p>
        </w:tc>
        <w:tc>
          <w:tcPr>
            <w:tcW w:w="3672" w:type="dxa"/>
            <w:gridSpan w:val="3"/>
            <w:tcBorders>
              <w:top w:val="single" w:sz="8" w:space="0" w:color="auto"/>
              <w:left w:val="nil"/>
              <w:bottom w:val="nil"/>
              <w:right w:val="single" w:sz="4" w:space="0" w:color="000000"/>
            </w:tcBorders>
            <w:shd w:val="clear" w:color="auto" w:fill="auto"/>
            <w:noWrap/>
            <w:vAlign w:val="center"/>
            <w:hideMark/>
          </w:tcPr>
          <w:p w14:paraId="2FDB42B1" w14:textId="77777777" w:rsidR="002B7ABA" w:rsidRPr="00DD0DAD" w:rsidRDefault="002B7ABA" w:rsidP="004E6DE8">
            <w:pPr>
              <w:pStyle w:val="Tablehead"/>
              <w:rPr>
                <w:rFonts w:asciiTheme="minorHAnsi" w:hAnsiTheme="minorHAnsi"/>
                <w:sz w:val="20"/>
                <w:lang w:eastAsia="en-GB"/>
              </w:rPr>
            </w:pPr>
            <w:r w:rsidRPr="00DD0DAD">
              <w:rPr>
                <w:rFonts w:asciiTheme="minorHAnsi" w:hAnsiTheme="minorHAnsi"/>
                <w:sz w:val="20"/>
                <w:lang w:eastAsia="en-GB"/>
              </w:rPr>
              <w:t>4ème trimestre</w:t>
            </w:r>
          </w:p>
        </w:tc>
        <w:tc>
          <w:tcPr>
            <w:tcW w:w="1192"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099A4311" w14:textId="77777777" w:rsidR="002B7ABA" w:rsidRPr="00DD0DAD" w:rsidRDefault="002B7ABA" w:rsidP="004E6DE8">
            <w:pPr>
              <w:pStyle w:val="Tablehead"/>
              <w:rPr>
                <w:rFonts w:asciiTheme="minorHAnsi" w:hAnsiTheme="minorHAnsi"/>
                <w:sz w:val="20"/>
                <w:lang w:eastAsia="en-GB"/>
              </w:rPr>
            </w:pPr>
            <w:r w:rsidRPr="00DD0DAD">
              <w:rPr>
                <w:rFonts w:asciiTheme="minorHAnsi" w:hAnsiTheme="minorHAnsi"/>
                <w:sz w:val="20"/>
                <w:lang w:eastAsia="en-GB"/>
              </w:rPr>
              <w:t>Total</w:t>
            </w:r>
          </w:p>
        </w:tc>
      </w:tr>
      <w:tr w:rsidR="002B7ABA" w:rsidRPr="00DD0DAD" w14:paraId="10D364C0" w14:textId="77777777" w:rsidTr="001D1A6D">
        <w:trPr>
          <w:trHeight w:val="300"/>
          <w:jc w:val="center"/>
        </w:trPr>
        <w:tc>
          <w:tcPr>
            <w:tcW w:w="924" w:type="dxa"/>
            <w:vMerge/>
            <w:tcBorders>
              <w:top w:val="single" w:sz="8" w:space="0" w:color="auto"/>
              <w:left w:val="single" w:sz="8" w:space="0" w:color="auto"/>
              <w:bottom w:val="single" w:sz="4" w:space="0" w:color="000000"/>
              <w:right w:val="single" w:sz="4" w:space="0" w:color="auto"/>
            </w:tcBorders>
            <w:vAlign w:val="center"/>
            <w:hideMark/>
          </w:tcPr>
          <w:p w14:paraId="1CB680D1" w14:textId="77777777" w:rsidR="002B7ABA" w:rsidRPr="00DD0DAD" w:rsidRDefault="002B7ABA" w:rsidP="004E6DE8">
            <w:pPr>
              <w:pStyle w:val="Tablehead"/>
              <w:rPr>
                <w:rFonts w:asciiTheme="minorHAnsi" w:hAnsiTheme="minorHAnsi"/>
                <w:sz w:val="20"/>
                <w:lang w:eastAsia="en-GB"/>
              </w:rPr>
            </w:pP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20789FEE"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Janvier</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E9C244F"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Février</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5729C30A"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Mars</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782C3663"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Avril</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532F7969"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Mai</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5F519E50"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Juin</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593355DA"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Juillet</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1717087"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Août</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17F6A6D7"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Septembre</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6C6B37A1"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Octobre</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68421E29"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Novembre</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14:paraId="4B8C02B4" w14:textId="77777777" w:rsidR="002B7ABA" w:rsidRPr="00DD0DAD" w:rsidRDefault="002B7ABA" w:rsidP="004E6DE8">
            <w:pPr>
              <w:pStyle w:val="Tablehead"/>
              <w:rPr>
                <w:rFonts w:asciiTheme="minorHAnsi" w:hAnsiTheme="minorHAnsi"/>
                <w:b w:val="0"/>
                <w:bCs/>
                <w:sz w:val="20"/>
                <w:lang w:eastAsia="en-GB"/>
              </w:rPr>
            </w:pPr>
            <w:r w:rsidRPr="00DD0DAD">
              <w:rPr>
                <w:rFonts w:asciiTheme="minorHAnsi" w:hAnsiTheme="minorHAnsi"/>
                <w:b w:val="0"/>
                <w:bCs/>
                <w:sz w:val="20"/>
                <w:lang w:eastAsia="en-GB"/>
              </w:rPr>
              <w:t>Décembre</w:t>
            </w:r>
          </w:p>
        </w:tc>
        <w:tc>
          <w:tcPr>
            <w:tcW w:w="1192" w:type="dxa"/>
            <w:vMerge/>
            <w:tcBorders>
              <w:top w:val="single" w:sz="8" w:space="0" w:color="auto"/>
              <w:left w:val="single" w:sz="4" w:space="0" w:color="auto"/>
              <w:bottom w:val="single" w:sz="4" w:space="0" w:color="000000"/>
              <w:right w:val="single" w:sz="8" w:space="0" w:color="auto"/>
            </w:tcBorders>
            <w:vAlign w:val="center"/>
            <w:hideMark/>
          </w:tcPr>
          <w:p w14:paraId="55509E3D"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20"/>
                <w:lang w:eastAsia="en-GB"/>
              </w:rPr>
            </w:pPr>
          </w:p>
        </w:tc>
      </w:tr>
      <w:tr w:rsidR="002B7ABA" w:rsidRPr="00DD0DAD" w14:paraId="0039CB71" w14:textId="77777777" w:rsidTr="001D1A6D">
        <w:trPr>
          <w:trHeight w:val="300"/>
          <w:jc w:val="center"/>
        </w:trPr>
        <w:tc>
          <w:tcPr>
            <w:tcW w:w="924" w:type="dxa"/>
            <w:tcBorders>
              <w:top w:val="nil"/>
              <w:left w:val="single" w:sz="8" w:space="0" w:color="auto"/>
              <w:bottom w:val="single" w:sz="4" w:space="0" w:color="auto"/>
              <w:right w:val="single" w:sz="4" w:space="0" w:color="auto"/>
            </w:tcBorders>
            <w:shd w:val="clear" w:color="auto" w:fill="auto"/>
            <w:noWrap/>
            <w:vAlign w:val="center"/>
            <w:hideMark/>
          </w:tcPr>
          <w:p w14:paraId="18CCE462" w14:textId="77777777" w:rsidR="002B7ABA" w:rsidRPr="00DD0DAD" w:rsidRDefault="002B7ABA" w:rsidP="004E6DE8">
            <w:pPr>
              <w:pStyle w:val="Tabletext"/>
              <w:jc w:val="center"/>
              <w:rPr>
                <w:rFonts w:asciiTheme="minorHAnsi" w:hAnsiTheme="minorHAnsi"/>
                <w:b/>
                <w:bCs/>
                <w:sz w:val="20"/>
              </w:rPr>
            </w:pPr>
            <w:r w:rsidRPr="00DD0DAD">
              <w:rPr>
                <w:rFonts w:asciiTheme="minorHAnsi" w:hAnsiTheme="minorHAnsi"/>
                <w:b/>
                <w:bCs/>
                <w:sz w:val="20"/>
              </w:rPr>
              <w:t>2017</w:t>
            </w:r>
          </w:p>
        </w:tc>
        <w:tc>
          <w:tcPr>
            <w:tcW w:w="1148" w:type="dxa"/>
            <w:tcBorders>
              <w:top w:val="nil"/>
              <w:left w:val="nil"/>
              <w:bottom w:val="single" w:sz="4" w:space="0" w:color="auto"/>
              <w:right w:val="single" w:sz="4" w:space="0" w:color="auto"/>
            </w:tcBorders>
            <w:shd w:val="clear" w:color="000000" w:fill="EAEAEA"/>
            <w:noWrap/>
            <w:vAlign w:val="center"/>
            <w:hideMark/>
          </w:tcPr>
          <w:p w14:paraId="076233C9"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990" w:type="dxa"/>
            <w:tcBorders>
              <w:top w:val="nil"/>
              <w:left w:val="nil"/>
              <w:bottom w:val="single" w:sz="4" w:space="0" w:color="auto"/>
              <w:right w:val="single" w:sz="4" w:space="0" w:color="auto"/>
            </w:tcBorders>
            <w:shd w:val="clear" w:color="000000" w:fill="EAEAEA"/>
            <w:noWrap/>
            <w:vAlign w:val="center"/>
            <w:hideMark/>
          </w:tcPr>
          <w:p w14:paraId="5D6951A0"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011" w:type="dxa"/>
            <w:tcBorders>
              <w:top w:val="nil"/>
              <w:left w:val="nil"/>
              <w:bottom w:val="single" w:sz="4" w:space="0" w:color="auto"/>
              <w:right w:val="single" w:sz="4" w:space="0" w:color="auto"/>
            </w:tcBorders>
            <w:shd w:val="clear" w:color="000000" w:fill="EAEAEA"/>
            <w:noWrap/>
            <w:vAlign w:val="center"/>
            <w:hideMark/>
          </w:tcPr>
          <w:p w14:paraId="2C6D5C64"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148" w:type="dxa"/>
            <w:tcBorders>
              <w:top w:val="nil"/>
              <w:left w:val="nil"/>
              <w:bottom w:val="single" w:sz="4" w:space="0" w:color="auto"/>
              <w:right w:val="single" w:sz="4" w:space="0" w:color="auto"/>
            </w:tcBorders>
            <w:shd w:val="clear" w:color="000000" w:fill="EAEAEA"/>
            <w:noWrap/>
            <w:vAlign w:val="center"/>
            <w:hideMark/>
          </w:tcPr>
          <w:p w14:paraId="7A7E2611"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990" w:type="dxa"/>
            <w:tcBorders>
              <w:top w:val="nil"/>
              <w:left w:val="nil"/>
              <w:bottom w:val="single" w:sz="4" w:space="0" w:color="auto"/>
              <w:right w:val="single" w:sz="4" w:space="0" w:color="auto"/>
            </w:tcBorders>
            <w:shd w:val="clear" w:color="000000" w:fill="EAEAEA"/>
            <w:noWrap/>
            <w:vAlign w:val="center"/>
            <w:hideMark/>
          </w:tcPr>
          <w:p w14:paraId="54874DCA"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011" w:type="dxa"/>
            <w:tcBorders>
              <w:top w:val="nil"/>
              <w:left w:val="nil"/>
              <w:bottom w:val="single" w:sz="4" w:space="0" w:color="auto"/>
              <w:right w:val="single" w:sz="4" w:space="0" w:color="auto"/>
            </w:tcBorders>
            <w:shd w:val="clear" w:color="000000" w:fill="EAEAEA"/>
            <w:noWrap/>
            <w:vAlign w:val="center"/>
            <w:hideMark/>
          </w:tcPr>
          <w:p w14:paraId="65C022B6"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059" w:type="dxa"/>
            <w:tcBorders>
              <w:top w:val="nil"/>
              <w:left w:val="nil"/>
              <w:bottom w:val="single" w:sz="4" w:space="0" w:color="auto"/>
              <w:right w:val="single" w:sz="4" w:space="0" w:color="auto"/>
            </w:tcBorders>
            <w:shd w:val="clear" w:color="000000" w:fill="EAEAEA"/>
            <w:noWrap/>
            <w:vAlign w:val="center"/>
            <w:hideMark/>
          </w:tcPr>
          <w:p w14:paraId="17008247"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990" w:type="dxa"/>
            <w:tcBorders>
              <w:top w:val="nil"/>
              <w:left w:val="nil"/>
              <w:bottom w:val="single" w:sz="4" w:space="0" w:color="auto"/>
              <w:right w:val="single" w:sz="4" w:space="0" w:color="auto"/>
            </w:tcBorders>
            <w:shd w:val="clear" w:color="000000" w:fill="EAEAEA"/>
            <w:noWrap/>
            <w:vAlign w:val="center"/>
            <w:hideMark/>
          </w:tcPr>
          <w:p w14:paraId="09928F53"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222" w:type="dxa"/>
            <w:tcBorders>
              <w:top w:val="nil"/>
              <w:left w:val="nil"/>
              <w:bottom w:val="single" w:sz="4" w:space="0" w:color="auto"/>
              <w:right w:val="single" w:sz="4" w:space="0" w:color="auto"/>
            </w:tcBorders>
            <w:shd w:val="clear" w:color="000000" w:fill="EAEAEA"/>
            <w:noWrap/>
            <w:vAlign w:val="center"/>
            <w:hideMark/>
          </w:tcPr>
          <w:p w14:paraId="5691191A"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3672"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177CCBE5"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720 000 </w:t>
            </w:r>
          </w:p>
        </w:tc>
        <w:tc>
          <w:tcPr>
            <w:tcW w:w="1192" w:type="dxa"/>
            <w:tcBorders>
              <w:top w:val="nil"/>
              <w:left w:val="nil"/>
              <w:bottom w:val="single" w:sz="4" w:space="0" w:color="auto"/>
              <w:right w:val="single" w:sz="8" w:space="0" w:color="auto"/>
            </w:tcBorders>
            <w:shd w:val="clear" w:color="auto" w:fill="auto"/>
            <w:noWrap/>
            <w:vAlign w:val="center"/>
            <w:hideMark/>
          </w:tcPr>
          <w:p w14:paraId="29A6D4AD"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b/>
                <w:bCs/>
                <w:sz w:val="20"/>
              </w:rPr>
              <w:t xml:space="preserve">720 000 </w:t>
            </w:r>
          </w:p>
        </w:tc>
      </w:tr>
      <w:tr w:rsidR="002B7ABA" w:rsidRPr="00DD0DAD" w14:paraId="774A18F9" w14:textId="77777777" w:rsidTr="001D1A6D">
        <w:trPr>
          <w:trHeight w:val="300"/>
          <w:jc w:val="center"/>
        </w:trPr>
        <w:tc>
          <w:tcPr>
            <w:tcW w:w="924" w:type="dxa"/>
            <w:tcBorders>
              <w:top w:val="nil"/>
              <w:left w:val="single" w:sz="8" w:space="0" w:color="auto"/>
              <w:bottom w:val="single" w:sz="4" w:space="0" w:color="auto"/>
              <w:right w:val="single" w:sz="4" w:space="0" w:color="auto"/>
            </w:tcBorders>
            <w:shd w:val="clear" w:color="auto" w:fill="auto"/>
            <w:noWrap/>
            <w:vAlign w:val="center"/>
            <w:hideMark/>
          </w:tcPr>
          <w:p w14:paraId="443E5251" w14:textId="77777777" w:rsidR="002B7ABA" w:rsidRPr="00DD0DAD" w:rsidRDefault="002B7ABA" w:rsidP="004E6DE8">
            <w:pPr>
              <w:pStyle w:val="Tabletext"/>
              <w:jc w:val="center"/>
              <w:rPr>
                <w:rFonts w:asciiTheme="minorHAnsi" w:hAnsiTheme="minorHAnsi"/>
                <w:b/>
                <w:bCs/>
                <w:sz w:val="20"/>
              </w:rPr>
            </w:pPr>
            <w:r w:rsidRPr="00DD0DAD">
              <w:rPr>
                <w:rFonts w:asciiTheme="minorHAnsi" w:hAnsiTheme="minorHAnsi"/>
                <w:b/>
                <w:bCs/>
                <w:sz w:val="20"/>
              </w:rPr>
              <w:t>2018</w:t>
            </w:r>
          </w:p>
        </w:tc>
        <w:tc>
          <w:tcPr>
            <w:tcW w:w="1148" w:type="dxa"/>
            <w:tcBorders>
              <w:top w:val="nil"/>
              <w:left w:val="nil"/>
              <w:bottom w:val="single" w:sz="4" w:space="0" w:color="auto"/>
              <w:right w:val="single" w:sz="4" w:space="0" w:color="auto"/>
            </w:tcBorders>
            <w:shd w:val="clear" w:color="000000" w:fill="EAEAEA"/>
            <w:noWrap/>
            <w:vAlign w:val="center"/>
            <w:hideMark/>
          </w:tcPr>
          <w:p w14:paraId="25E8C3F9"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990" w:type="dxa"/>
            <w:tcBorders>
              <w:top w:val="nil"/>
              <w:left w:val="nil"/>
              <w:bottom w:val="single" w:sz="4" w:space="0" w:color="auto"/>
              <w:right w:val="single" w:sz="4" w:space="0" w:color="auto"/>
            </w:tcBorders>
            <w:shd w:val="clear" w:color="000000" w:fill="EAEAEA"/>
            <w:noWrap/>
            <w:vAlign w:val="center"/>
            <w:hideMark/>
          </w:tcPr>
          <w:p w14:paraId="6DB2E173"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011" w:type="dxa"/>
            <w:tcBorders>
              <w:top w:val="nil"/>
              <w:left w:val="nil"/>
              <w:bottom w:val="single" w:sz="4" w:space="0" w:color="auto"/>
              <w:right w:val="single" w:sz="4" w:space="0" w:color="auto"/>
            </w:tcBorders>
            <w:shd w:val="clear" w:color="000000" w:fill="EAEAEA"/>
            <w:noWrap/>
            <w:vAlign w:val="center"/>
            <w:hideMark/>
          </w:tcPr>
          <w:p w14:paraId="027FE940"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3149"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0023E218"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746 000 </w:t>
            </w:r>
          </w:p>
        </w:tc>
        <w:tc>
          <w:tcPr>
            <w:tcW w:w="3271"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7BA55BC7"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421 000 </w:t>
            </w:r>
          </w:p>
        </w:tc>
        <w:tc>
          <w:tcPr>
            <w:tcW w:w="3672"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11BEE6D0"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500 000 </w:t>
            </w:r>
          </w:p>
        </w:tc>
        <w:tc>
          <w:tcPr>
            <w:tcW w:w="1192" w:type="dxa"/>
            <w:tcBorders>
              <w:top w:val="nil"/>
              <w:left w:val="nil"/>
              <w:bottom w:val="single" w:sz="4" w:space="0" w:color="auto"/>
              <w:right w:val="single" w:sz="8" w:space="0" w:color="auto"/>
            </w:tcBorders>
            <w:shd w:val="clear" w:color="auto" w:fill="auto"/>
            <w:noWrap/>
            <w:vAlign w:val="center"/>
            <w:hideMark/>
          </w:tcPr>
          <w:p w14:paraId="63A97714"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b/>
                <w:bCs/>
                <w:sz w:val="20"/>
              </w:rPr>
              <w:t xml:space="preserve">1 667 000 </w:t>
            </w:r>
          </w:p>
        </w:tc>
      </w:tr>
      <w:tr w:rsidR="002B7ABA" w:rsidRPr="00DD0DAD" w14:paraId="28ACA427" w14:textId="77777777" w:rsidTr="001D1A6D">
        <w:trPr>
          <w:trHeight w:val="300"/>
          <w:jc w:val="center"/>
        </w:trPr>
        <w:tc>
          <w:tcPr>
            <w:tcW w:w="924"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0ACF912" w14:textId="77777777" w:rsidR="002B7ABA" w:rsidRPr="00DD0DAD" w:rsidRDefault="002B7ABA" w:rsidP="004E6DE8">
            <w:pPr>
              <w:pStyle w:val="Tabletext"/>
              <w:jc w:val="center"/>
              <w:rPr>
                <w:rFonts w:asciiTheme="minorHAnsi" w:hAnsiTheme="minorHAnsi"/>
                <w:b/>
                <w:bCs/>
                <w:sz w:val="20"/>
              </w:rPr>
            </w:pPr>
            <w:r w:rsidRPr="00DD0DAD">
              <w:rPr>
                <w:rFonts w:asciiTheme="minorHAnsi" w:hAnsiTheme="minorHAnsi"/>
                <w:b/>
                <w:bCs/>
                <w:sz w:val="20"/>
              </w:rPr>
              <w:t>2019</w:t>
            </w:r>
          </w:p>
        </w:tc>
        <w:tc>
          <w:tcPr>
            <w:tcW w:w="3149" w:type="dxa"/>
            <w:gridSpan w:val="3"/>
            <w:tcBorders>
              <w:top w:val="single" w:sz="4" w:space="0" w:color="auto"/>
              <w:left w:val="nil"/>
              <w:bottom w:val="single" w:sz="4" w:space="0" w:color="auto"/>
              <w:right w:val="single" w:sz="4" w:space="0" w:color="auto"/>
            </w:tcBorders>
            <w:shd w:val="clear" w:color="000000" w:fill="EAEAEA"/>
            <w:noWrap/>
            <w:vAlign w:val="center"/>
            <w:hideMark/>
          </w:tcPr>
          <w:p w14:paraId="36DC280B"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600 000 </w:t>
            </w:r>
          </w:p>
        </w:tc>
        <w:tc>
          <w:tcPr>
            <w:tcW w:w="3149" w:type="dxa"/>
            <w:gridSpan w:val="3"/>
            <w:tcBorders>
              <w:top w:val="single" w:sz="4" w:space="0" w:color="auto"/>
              <w:left w:val="nil"/>
              <w:bottom w:val="single" w:sz="4" w:space="0" w:color="auto"/>
              <w:right w:val="single" w:sz="4" w:space="0" w:color="auto"/>
            </w:tcBorders>
            <w:shd w:val="clear" w:color="000000" w:fill="EAEAEA"/>
            <w:noWrap/>
            <w:vAlign w:val="center"/>
            <w:hideMark/>
          </w:tcPr>
          <w:p w14:paraId="36F8F541"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568 000 </w:t>
            </w:r>
          </w:p>
        </w:tc>
        <w:tc>
          <w:tcPr>
            <w:tcW w:w="1059" w:type="dxa"/>
            <w:tcBorders>
              <w:top w:val="nil"/>
              <w:left w:val="nil"/>
              <w:bottom w:val="single" w:sz="4" w:space="0" w:color="auto"/>
              <w:right w:val="single" w:sz="4" w:space="0" w:color="auto"/>
            </w:tcBorders>
            <w:shd w:val="clear" w:color="000000" w:fill="EAEAEA"/>
            <w:noWrap/>
            <w:vAlign w:val="center"/>
            <w:hideMark/>
          </w:tcPr>
          <w:p w14:paraId="07E58E7E"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88 444 </w:t>
            </w:r>
          </w:p>
        </w:tc>
        <w:tc>
          <w:tcPr>
            <w:tcW w:w="990" w:type="dxa"/>
            <w:tcBorders>
              <w:top w:val="nil"/>
              <w:left w:val="nil"/>
              <w:bottom w:val="single" w:sz="4" w:space="0" w:color="auto"/>
              <w:right w:val="single" w:sz="4" w:space="0" w:color="auto"/>
            </w:tcBorders>
            <w:shd w:val="clear" w:color="000000" w:fill="EAEAEA"/>
            <w:noWrap/>
            <w:vAlign w:val="center"/>
            <w:hideMark/>
          </w:tcPr>
          <w:p w14:paraId="0C981D04"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706 667 </w:t>
            </w:r>
          </w:p>
        </w:tc>
        <w:tc>
          <w:tcPr>
            <w:tcW w:w="1222" w:type="dxa"/>
            <w:tcBorders>
              <w:top w:val="nil"/>
              <w:left w:val="nil"/>
              <w:bottom w:val="single" w:sz="4" w:space="0" w:color="auto"/>
              <w:right w:val="single" w:sz="4" w:space="0" w:color="auto"/>
            </w:tcBorders>
            <w:shd w:val="clear" w:color="000000" w:fill="EAEAEA"/>
            <w:noWrap/>
            <w:vAlign w:val="center"/>
            <w:hideMark/>
          </w:tcPr>
          <w:p w14:paraId="429DE07E"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86 667 </w:t>
            </w:r>
          </w:p>
        </w:tc>
        <w:tc>
          <w:tcPr>
            <w:tcW w:w="1148" w:type="dxa"/>
            <w:tcBorders>
              <w:top w:val="nil"/>
              <w:left w:val="nil"/>
              <w:bottom w:val="single" w:sz="4" w:space="0" w:color="auto"/>
              <w:right w:val="single" w:sz="4" w:space="0" w:color="auto"/>
            </w:tcBorders>
            <w:shd w:val="clear" w:color="000000" w:fill="EAEAEA"/>
            <w:noWrap/>
            <w:vAlign w:val="center"/>
            <w:hideMark/>
          </w:tcPr>
          <w:p w14:paraId="3DBA2AE6"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1 026 812 </w:t>
            </w:r>
          </w:p>
        </w:tc>
        <w:tc>
          <w:tcPr>
            <w:tcW w:w="1181" w:type="dxa"/>
            <w:tcBorders>
              <w:top w:val="nil"/>
              <w:left w:val="nil"/>
              <w:bottom w:val="single" w:sz="4" w:space="0" w:color="auto"/>
              <w:right w:val="single" w:sz="4" w:space="0" w:color="auto"/>
            </w:tcBorders>
            <w:shd w:val="clear" w:color="000000" w:fill="EAEAEA"/>
            <w:noWrap/>
            <w:vAlign w:val="center"/>
            <w:hideMark/>
          </w:tcPr>
          <w:p w14:paraId="2A0C8D54"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86 594 </w:t>
            </w:r>
          </w:p>
        </w:tc>
        <w:tc>
          <w:tcPr>
            <w:tcW w:w="1343" w:type="dxa"/>
            <w:tcBorders>
              <w:top w:val="nil"/>
              <w:left w:val="nil"/>
              <w:bottom w:val="single" w:sz="4" w:space="0" w:color="auto"/>
              <w:right w:val="single" w:sz="4" w:space="0" w:color="auto"/>
            </w:tcBorders>
            <w:shd w:val="clear" w:color="000000" w:fill="EAEAEA"/>
            <w:noWrap/>
            <w:vAlign w:val="center"/>
            <w:hideMark/>
          </w:tcPr>
          <w:p w14:paraId="3E9685D7"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86 594 </w:t>
            </w:r>
          </w:p>
        </w:tc>
        <w:tc>
          <w:tcPr>
            <w:tcW w:w="1192" w:type="dxa"/>
            <w:tcBorders>
              <w:top w:val="nil"/>
              <w:left w:val="nil"/>
              <w:bottom w:val="single" w:sz="4" w:space="0" w:color="auto"/>
              <w:right w:val="single" w:sz="8" w:space="0" w:color="auto"/>
            </w:tcBorders>
            <w:shd w:val="clear" w:color="auto" w:fill="auto"/>
            <w:noWrap/>
            <w:vAlign w:val="center"/>
            <w:hideMark/>
          </w:tcPr>
          <w:p w14:paraId="2F995708"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b/>
                <w:bCs/>
                <w:sz w:val="20"/>
              </w:rPr>
              <w:t> </w:t>
            </w:r>
          </w:p>
        </w:tc>
      </w:tr>
      <w:tr w:rsidR="002B7ABA" w:rsidRPr="00DD0DAD" w14:paraId="533DF337" w14:textId="77777777" w:rsidTr="001D1A6D">
        <w:trPr>
          <w:trHeight w:val="300"/>
          <w:jc w:val="center"/>
        </w:trPr>
        <w:tc>
          <w:tcPr>
            <w:tcW w:w="924" w:type="dxa"/>
            <w:vMerge/>
            <w:tcBorders>
              <w:top w:val="nil"/>
              <w:left w:val="single" w:sz="8" w:space="0" w:color="auto"/>
              <w:bottom w:val="single" w:sz="4" w:space="0" w:color="000000"/>
              <w:right w:val="single" w:sz="4" w:space="0" w:color="auto"/>
            </w:tcBorders>
            <w:vAlign w:val="center"/>
            <w:hideMark/>
          </w:tcPr>
          <w:p w14:paraId="02222245" w14:textId="77777777" w:rsidR="002B7ABA" w:rsidRPr="00DD0DAD" w:rsidRDefault="002B7ABA" w:rsidP="004E6DE8">
            <w:pPr>
              <w:pStyle w:val="Tabletext"/>
              <w:jc w:val="center"/>
              <w:rPr>
                <w:rFonts w:asciiTheme="minorHAnsi" w:hAnsiTheme="minorHAnsi"/>
                <w:b/>
                <w:bCs/>
                <w:sz w:val="20"/>
              </w:rPr>
            </w:pPr>
          </w:p>
        </w:tc>
        <w:tc>
          <w:tcPr>
            <w:tcW w:w="3149" w:type="dxa"/>
            <w:gridSpan w:val="3"/>
            <w:tcBorders>
              <w:top w:val="single" w:sz="4" w:space="0" w:color="auto"/>
              <w:left w:val="nil"/>
              <w:bottom w:val="single" w:sz="4" w:space="0" w:color="auto"/>
              <w:right w:val="single" w:sz="4" w:space="0" w:color="auto"/>
            </w:tcBorders>
            <w:shd w:val="clear" w:color="000000" w:fill="EAEAEA"/>
            <w:noWrap/>
            <w:vAlign w:val="center"/>
            <w:hideMark/>
          </w:tcPr>
          <w:p w14:paraId="72896A16"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600 000 </w:t>
            </w:r>
          </w:p>
        </w:tc>
        <w:tc>
          <w:tcPr>
            <w:tcW w:w="3149" w:type="dxa"/>
            <w:gridSpan w:val="3"/>
            <w:tcBorders>
              <w:top w:val="single" w:sz="4" w:space="0" w:color="auto"/>
              <w:left w:val="nil"/>
              <w:bottom w:val="single" w:sz="4" w:space="0" w:color="auto"/>
              <w:right w:val="single" w:sz="4" w:space="0" w:color="auto"/>
            </w:tcBorders>
            <w:shd w:val="clear" w:color="000000" w:fill="EAEAEA"/>
            <w:noWrap/>
            <w:vAlign w:val="center"/>
            <w:hideMark/>
          </w:tcPr>
          <w:p w14:paraId="1CB7B09A"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568 000 </w:t>
            </w:r>
          </w:p>
        </w:tc>
        <w:tc>
          <w:tcPr>
            <w:tcW w:w="3271" w:type="dxa"/>
            <w:gridSpan w:val="3"/>
            <w:tcBorders>
              <w:top w:val="single" w:sz="4" w:space="0" w:color="auto"/>
              <w:left w:val="nil"/>
              <w:bottom w:val="single" w:sz="4" w:space="0" w:color="auto"/>
              <w:right w:val="single" w:sz="4" w:space="0" w:color="auto"/>
            </w:tcBorders>
            <w:shd w:val="clear" w:color="000000" w:fill="EAEAEA"/>
            <w:noWrap/>
            <w:vAlign w:val="center"/>
            <w:hideMark/>
          </w:tcPr>
          <w:p w14:paraId="4DFECFFF"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881 777 </w:t>
            </w:r>
          </w:p>
        </w:tc>
        <w:tc>
          <w:tcPr>
            <w:tcW w:w="3672" w:type="dxa"/>
            <w:gridSpan w:val="3"/>
            <w:tcBorders>
              <w:top w:val="single" w:sz="4" w:space="0" w:color="auto"/>
              <w:left w:val="nil"/>
              <w:bottom w:val="single" w:sz="4" w:space="0" w:color="auto"/>
              <w:right w:val="single" w:sz="4" w:space="0" w:color="auto"/>
            </w:tcBorders>
            <w:shd w:val="clear" w:color="000000" w:fill="EAEAEA"/>
            <w:noWrap/>
            <w:vAlign w:val="center"/>
            <w:hideMark/>
          </w:tcPr>
          <w:p w14:paraId="437E517D"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1 200 000 </w:t>
            </w:r>
          </w:p>
        </w:tc>
        <w:tc>
          <w:tcPr>
            <w:tcW w:w="1192" w:type="dxa"/>
            <w:tcBorders>
              <w:top w:val="nil"/>
              <w:left w:val="nil"/>
              <w:bottom w:val="single" w:sz="4" w:space="0" w:color="auto"/>
              <w:right w:val="single" w:sz="8" w:space="0" w:color="auto"/>
            </w:tcBorders>
            <w:shd w:val="clear" w:color="auto" w:fill="auto"/>
            <w:noWrap/>
            <w:vAlign w:val="center"/>
            <w:hideMark/>
          </w:tcPr>
          <w:p w14:paraId="6008F8CE"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b/>
                <w:bCs/>
                <w:sz w:val="20"/>
              </w:rPr>
              <w:t xml:space="preserve">3 249 777 </w:t>
            </w:r>
          </w:p>
        </w:tc>
      </w:tr>
      <w:tr w:rsidR="002B7ABA" w:rsidRPr="00DD0DAD" w14:paraId="3B286F22" w14:textId="77777777" w:rsidTr="001D1A6D">
        <w:trPr>
          <w:trHeight w:val="300"/>
          <w:jc w:val="center"/>
        </w:trPr>
        <w:tc>
          <w:tcPr>
            <w:tcW w:w="924"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AA872E7" w14:textId="77777777" w:rsidR="002B7ABA" w:rsidRPr="00DD0DAD" w:rsidRDefault="002B7ABA" w:rsidP="004E6DE8">
            <w:pPr>
              <w:pStyle w:val="Tabletext"/>
              <w:jc w:val="center"/>
              <w:rPr>
                <w:rFonts w:asciiTheme="minorHAnsi" w:hAnsiTheme="minorHAnsi"/>
                <w:b/>
                <w:bCs/>
                <w:sz w:val="20"/>
              </w:rPr>
            </w:pPr>
            <w:r w:rsidRPr="00DD0DAD">
              <w:rPr>
                <w:rFonts w:asciiTheme="minorHAnsi" w:hAnsiTheme="minorHAnsi"/>
                <w:b/>
                <w:bCs/>
                <w:sz w:val="20"/>
              </w:rPr>
              <w:t>2020</w:t>
            </w:r>
          </w:p>
        </w:tc>
        <w:tc>
          <w:tcPr>
            <w:tcW w:w="1148" w:type="dxa"/>
            <w:tcBorders>
              <w:top w:val="nil"/>
              <w:left w:val="nil"/>
              <w:bottom w:val="single" w:sz="4" w:space="0" w:color="auto"/>
              <w:right w:val="single" w:sz="4" w:space="0" w:color="auto"/>
            </w:tcBorders>
            <w:shd w:val="clear" w:color="000000" w:fill="EAEAEA"/>
            <w:noWrap/>
            <w:vAlign w:val="center"/>
            <w:hideMark/>
          </w:tcPr>
          <w:p w14:paraId="7B4CCD4C"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65 598 </w:t>
            </w:r>
          </w:p>
        </w:tc>
        <w:tc>
          <w:tcPr>
            <w:tcW w:w="990" w:type="dxa"/>
            <w:tcBorders>
              <w:top w:val="nil"/>
              <w:left w:val="nil"/>
              <w:bottom w:val="single" w:sz="4" w:space="0" w:color="auto"/>
              <w:right w:val="single" w:sz="4" w:space="0" w:color="auto"/>
            </w:tcBorders>
            <w:shd w:val="clear" w:color="000000" w:fill="EAEAEA"/>
            <w:noWrap/>
            <w:vAlign w:val="center"/>
            <w:hideMark/>
          </w:tcPr>
          <w:p w14:paraId="4C6CE474"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221 599 </w:t>
            </w:r>
          </w:p>
        </w:tc>
        <w:tc>
          <w:tcPr>
            <w:tcW w:w="1011" w:type="dxa"/>
            <w:tcBorders>
              <w:top w:val="nil"/>
              <w:left w:val="nil"/>
              <w:bottom w:val="single" w:sz="4" w:space="0" w:color="auto"/>
              <w:right w:val="single" w:sz="4" w:space="0" w:color="auto"/>
            </w:tcBorders>
            <w:shd w:val="clear" w:color="000000" w:fill="EAEAEA"/>
            <w:noWrap/>
            <w:vAlign w:val="center"/>
            <w:hideMark/>
          </w:tcPr>
          <w:p w14:paraId="08851C1F"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65 598 </w:t>
            </w:r>
          </w:p>
        </w:tc>
        <w:tc>
          <w:tcPr>
            <w:tcW w:w="1148" w:type="dxa"/>
            <w:tcBorders>
              <w:top w:val="nil"/>
              <w:left w:val="nil"/>
              <w:bottom w:val="single" w:sz="4" w:space="0" w:color="auto"/>
              <w:right w:val="single" w:sz="4" w:space="0" w:color="auto"/>
            </w:tcBorders>
            <w:shd w:val="clear" w:color="000000" w:fill="EAEAEA"/>
            <w:noWrap/>
            <w:vAlign w:val="center"/>
            <w:hideMark/>
          </w:tcPr>
          <w:p w14:paraId="75948CE7"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928 012 </w:t>
            </w:r>
          </w:p>
        </w:tc>
        <w:tc>
          <w:tcPr>
            <w:tcW w:w="990" w:type="dxa"/>
            <w:tcBorders>
              <w:top w:val="nil"/>
              <w:left w:val="nil"/>
              <w:bottom w:val="single" w:sz="4" w:space="0" w:color="auto"/>
              <w:right w:val="single" w:sz="4" w:space="0" w:color="auto"/>
            </w:tcBorders>
            <w:shd w:val="clear" w:color="000000" w:fill="EAEAEA"/>
            <w:noWrap/>
            <w:vAlign w:val="center"/>
            <w:hideMark/>
          </w:tcPr>
          <w:p w14:paraId="5EEE6A3C"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83 689 </w:t>
            </w:r>
          </w:p>
        </w:tc>
        <w:tc>
          <w:tcPr>
            <w:tcW w:w="1011" w:type="dxa"/>
            <w:tcBorders>
              <w:top w:val="nil"/>
              <w:left w:val="nil"/>
              <w:bottom w:val="single" w:sz="4" w:space="0" w:color="auto"/>
              <w:right w:val="single" w:sz="4" w:space="0" w:color="auto"/>
            </w:tcBorders>
            <w:shd w:val="clear" w:color="000000" w:fill="EAEAEA"/>
            <w:noWrap/>
            <w:vAlign w:val="center"/>
            <w:hideMark/>
          </w:tcPr>
          <w:p w14:paraId="7B6E646C"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83 689 </w:t>
            </w:r>
          </w:p>
        </w:tc>
        <w:tc>
          <w:tcPr>
            <w:tcW w:w="1059" w:type="dxa"/>
            <w:tcBorders>
              <w:top w:val="nil"/>
              <w:left w:val="nil"/>
              <w:bottom w:val="single" w:sz="4" w:space="0" w:color="auto"/>
              <w:right w:val="single" w:sz="4" w:space="0" w:color="auto"/>
            </w:tcBorders>
            <w:shd w:val="clear" w:color="000000" w:fill="EAEAEA"/>
            <w:noWrap/>
            <w:vAlign w:val="center"/>
            <w:hideMark/>
          </w:tcPr>
          <w:p w14:paraId="550F8143"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944 162 </w:t>
            </w:r>
          </w:p>
        </w:tc>
        <w:tc>
          <w:tcPr>
            <w:tcW w:w="990" w:type="dxa"/>
            <w:tcBorders>
              <w:top w:val="nil"/>
              <w:left w:val="nil"/>
              <w:bottom w:val="single" w:sz="4" w:space="0" w:color="auto"/>
              <w:right w:val="single" w:sz="4" w:space="0" w:color="auto"/>
            </w:tcBorders>
            <w:shd w:val="clear" w:color="000000" w:fill="EAEAEA"/>
            <w:noWrap/>
            <w:vAlign w:val="center"/>
            <w:hideMark/>
          </w:tcPr>
          <w:p w14:paraId="4EDED542"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83 689 </w:t>
            </w:r>
          </w:p>
        </w:tc>
        <w:tc>
          <w:tcPr>
            <w:tcW w:w="1222" w:type="dxa"/>
            <w:tcBorders>
              <w:top w:val="nil"/>
              <w:left w:val="nil"/>
              <w:bottom w:val="single" w:sz="4" w:space="0" w:color="auto"/>
              <w:right w:val="single" w:sz="4" w:space="0" w:color="auto"/>
            </w:tcBorders>
            <w:shd w:val="clear" w:color="000000" w:fill="EAEAEA"/>
            <w:noWrap/>
            <w:vAlign w:val="center"/>
            <w:hideMark/>
          </w:tcPr>
          <w:p w14:paraId="55A830B9"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83 689 </w:t>
            </w:r>
          </w:p>
        </w:tc>
        <w:tc>
          <w:tcPr>
            <w:tcW w:w="1148" w:type="dxa"/>
            <w:tcBorders>
              <w:top w:val="nil"/>
              <w:left w:val="nil"/>
              <w:bottom w:val="single" w:sz="4" w:space="0" w:color="auto"/>
              <w:right w:val="single" w:sz="4" w:space="0" w:color="auto"/>
            </w:tcBorders>
            <w:shd w:val="clear" w:color="000000" w:fill="EAEAEA"/>
            <w:noWrap/>
            <w:vAlign w:val="center"/>
            <w:hideMark/>
          </w:tcPr>
          <w:p w14:paraId="30620AB1"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909 921 </w:t>
            </w:r>
          </w:p>
        </w:tc>
        <w:tc>
          <w:tcPr>
            <w:tcW w:w="1181" w:type="dxa"/>
            <w:tcBorders>
              <w:top w:val="nil"/>
              <w:left w:val="nil"/>
              <w:bottom w:val="single" w:sz="4" w:space="0" w:color="auto"/>
              <w:right w:val="single" w:sz="4" w:space="0" w:color="auto"/>
            </w:tcBorders>
            <w:shd w:val="clear" w:color="000000" w:fill="EAEAEA"/>
            <w:noWrap/>
            <w:vAlign w:val="center"/>
            <w:hideMark/>
          </w:tcPr>
          <w:p w14:paraId="3C40E7D7"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65 598 </w:t>
            </w:r>
          </w:p>
        </w:tc>
        <w:tc>
          <w:tcPr>
            <w:tcW w:w="1343" w:type="dxa"/>
            <w:tcBorders>
              <w:top w:val="nil"/>
              <w:left w:val="nil"/>
              <w:bottom w:val="single" w:sz="4" w:space="0" w:color="auto"/>
              <w:right w:val="single" w:sz="4" w:space="0" w:color="auto"/>
            </w:tcBorders>
            <w:shd w:val="clear" w:color="000000" w:fill="EAEAEA"/>
            <w:noWrap/>
            <w:vAlign w:val="center"/>
            <w:hideMark/>
          </w:tcPr>
          <w:p w14:paraId="210AFE25"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118 622 </w:t>
            </w:r>
          </w:p>
        </w:tc>
        <w:tc>
          <w:tcPr>
            <w:tcW w:w="1192" w:type="dxa"/>
            <w:tcBorders>
              <w:top w:val="nil"/>
              <w:left w:val="nil"/>
              <w:bottom w:val="single" w:sz="4" w:space="0" w:color="auto"/>
              <w:right w:val="single" w:sz="8" w:space="0" w:color="auto"/>
            </w:tcBorders>
            <w:shd w:val="clear" w:color="auto" w:fill="auto"/>
            <w:noWrap/>
            <w:vAlign w:val="center"/>
            <w:hideMark/>
          </w:tcPr>
          <w:p w14:paraId="3DC49F84"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b/>
                <w:bCs/>
                <w:sz w:val="20"/>
              </w:rPr>
              <w:t> </w:t>
            </w:r>
          </w:p>
        </w:tc>
      </w:tr>
      <w:tr w:rsidR="002B7ABA" w:rsidRPr="00DD0DAD" w14:paraId="7894B855" w14:textId="77777777" w:rsidTr="001D1A6D">
        <w:trPr>
          <w:trHeight w:val="300"/>
          <w:jc w:val="center"/>
        </w:trPr>
        <w:tc>
          <w:tcPr>
            <w:tcW w:w="924" w:type="dxa"/>
            <w:vMerge/>
            <w:tcBorders>
              <w:top w:val="nil"/>
              <w:left w:val="single" w:sz="8" w:space="0" w:color="auto"/>
              <w:bottom w:val="single" w:sz="4" w:space="0" w:color="000000"/>
              <w:right w:val="single" w:sz="4" w:space="0" w:color="auto"/>
            </w:tcBorders>
            <w:vAlign w:val="center"/>
            <w:hideMark/>
          </w:tcPr>
          <w:p w14:paraId="193C3F93" w14:textId="77777777" w:rsidR="002B7ABA" w:rsidRPr="00DD0DAD" w:rsidRDefault="002B7ABA" w:rsidP="004E6DE8">
            <w:pPr>
              <w:pStyle w:val="Tabletext"/>
              <w:jc w:val="center"/>
              <w:rPr>
                <w:rFonts w:asciiTheme="minorHAnsi" w:hAnsiTheme="minorHAnsi"/>
                <w:b/>
                <w:bCs/>
                <w:sz w:val="20"/>
              </w:rPr>
            </w:pPr>
          </w:p>
        </w:tc>
        <w:tc>
          <w:tcPr>
            <w:tcW w:w="3149"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375FA42C"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352 795 </w:t>
            </w:r>
          </w:p>
        </w:tc>
        <w:tc>
          <w:tcPr>
            <w:tcW w:w="3149"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6B2A078B"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1 095 390 </w:t>
            </w:r>
          </w:p>
        </w:tc>
        <w:tc>
          <w:tcPr>
            <w:tcW w:w="3271"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46705E5A"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1 111 540 </w:t>
            </w:r>
          </w:p>
        </w:tc>
        <w:tc>
          <w:tcPr>
            <w:tcW w:w="3672"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5FE06A1A"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1 094 141 </w:t>
            </w:r>
          </w:p>
        </w:tc>
        <w:tc>
          <w:tcPr>
            <w:tcW w:w="1192" w:type="dxa"/>
            <w:tcBorders>
              <w:top w:val="nil"/>
              <w:left w:val="nil"/>
              <w:bottom w:val="single" w:sz="4" w:space="0" w:color="auto"/>
              <w:right w:val="single" w:sz="8" w:space="0" w:color="auto"/>
            </w:tcBorders>
            <w:shd w:val="clear" w:color="auto" w:fill="auto"/>
            <w:noWrap/>
            <w:vAlign w:val="center"/>
            <w:hideMark/>
          </w:tcPr>
          <w:p w14:paraId="3F534542"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b/>
                <w:bCs/>
                <w:sz w:val="20"/>
              </w:rPr>
              <w:t xml:space="preserve">3 653 867 </w:t>
            </w:r>
          </w:p>
        </w:tc>
      </w:tr>
      <w:tr w:rsidR="002B7ABA" w:rsidRPr="00DD0DAD" w14:paraId="4B8DF36E" w14:textId="77777777" w:rsidTr="001D1A6D">
        <w:trPr>
          <w:trHeight w:val="300"/>
          <w:jc w:val="center"/>
        </w:trPr>
        <w:tc>
          <w:tcPr>
            <w:tcW w:w="92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C70A064" w14:textId="77777777" w:rsidR="002B7ABA" w:rsidRPr="00DD0DAD" w:rsidRDefault="002B7ABA" w:rsidP="004E6DE8">
            <w:pPr>
              <w:pStyle w:val="Tabletext"/>
              <w:jc w:val="center"/>
              <w:rPr>
                <w:rFonts w:asciiTheme="minorHAnsi" w:hAnsiTheme="minorHAnsi"/>
                <w:b/>
                <w:bCs/>
                <w:sz w:val="20"/>
              </w:rPr>
            </w:pPr>
            <w:r w:rsidRPr="00DD0DAD">
              <w:rPr>
                <w:rFonts w:asciiTheme="minorHAnsi" w:hAnsiTheme="minorHAnsi"/>
                <w:b/>
                <w:bCs/>
                <w:sz w:val="20"/>
              </w:rPr>
              <w:t>2021</w:t>
            </w:r>
          </w:p>
        </w:tc>
        <w:tc>
          <w:tcPr>
            <w:tcW w:w="1148" w:type="dxa"/>
            <w:tcBorders>
              <w:top w:val="nil"/>
              <w:left w:val="nil"/>
              <w:bottom w:val="single" w:sz="4" w:space="0" w:color="auto"/>
              <w:right w:val="single" w:sz="4" w:space="0" w:color="auto"/>
            </w:tcBorders>
            <w:shd w:val="clear" w:color="000000" w:fill="EAEAEA"/>
            <w:noWrap/>
            <w:vAlign w:val="center"/>
            <w:hideMark/>
          </w:tcPr>
          <w:p w14:paraId="07C624ED"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1 095 312 </w:t>
            </w:r>
          </w:p>
        </w:tc>
        <w:tc>
          <w:tcPr>
            <w:tcW w:w="990" w:type="dxa"/>
            <w:tcBorders>
              <w:top w:val="nil"/>
              <w:left w:val="nil"/>
              <w:bottom w:val="single" w:sz="4" w:space="0" w:color="auto"/>
              <w:right w:val="single" w:sz="4" w:space="0" w:color="auto"/>
            </w:tcBorders>
            <w:shd w:val="clear" w:color="000000" w:fill="EAEAEA"/>
            <w:noWrap/>
            <w:vAlign w:val="center"/>
            <w:hideMark/>
          </w:tcPr>
          <w:p w14:paraId="578350AB"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88 489 </w:t>
            </w:r>
          </w:p>
        </w:tc>
        <w:tc>
          <w:tcPr>
            <w:tcW w:w="1011" w:type="dxa"/>
            <w:tcBorders>
              <w:top w:val="nil"/>
              <w:left w:val="nil"/>
              <w:bottom w:val="single" w:sz="4" w:space="0" w:color="auto"/>
              <w:right w:val="single" w:sz="4" w:space="0" w:color="auto"/>
            </w:tcBorders>
            <w:shd w:val="clear" w:color="000000" w:fill="EAEAEA"/>
            <w:noWrap/>
            <w:vAlign w:val="center"/>
            <w:hideMark/>
          </w:tcPr>
          <w:p w14:paraId="63BA8F47"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88 489 </w:t>
            </w:r>
          </w:p>
        </w:tc>
        <w:tc>
          <w:tcPr>
            <w:tcW w:w="1148" w:type="dxa"/>
            <w:tcBorders>
              <w:top w:val="nil"/>
              <w:left w:val="nil"/>
              <w:bottom w:val="single" w:sz="4" w:space="0" w:color="auto"/>
              <w:right w:val="single" w:sz="4" w:space="0" w:color="auto"/>
            </w:tcBorders>
            <w:shd w:val="clear" w:color="000000" w:fill="EAEAEA"/>
            <w:noWrap/>
            <w:vAlign w:val="center"/>
            <w:hideMark/>
          </w:tcPr>
          <w:p w14:paraId="07178ADC"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1 260 088 </w:t>
            </w:r>
          </w:p>
        </w:tc>
        <w:tc>
          <w:tcPr>
            <w:tcW w:w="990" w:type="dxa"/>
            <w:tcBorders>
              <w:top w:val="nil"/>
              <w:left w:val="nil"/>
              <w:bottom w:val="single" w:sz="4" w:space="0" w:color="auto"/>
              <w:right w:val="single" w:sz="4" w:space="0" w:color="auto"/>
            </w:tcBorders>
            <w:shd w:val="clear" w:color="000000" w:fill="EAEAEA"/>
            <w:noWrap/>
            <w:vAlign w:val="center"/>
            <w:hideMark/>
          </w:tcPr>
          <w:p w14:paraId="2D36DB43"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88 489 </w:t>
            </w:r>
          </w:p>
        </w:tc>
        <w:tc>
          <w:tcPr>
            <w:tcW w:w="1011" w:type="dxa"/>
            <w:tcBorders>
              <w:top w:val="nil"/>
              <w:left w:val="nil"/>
              <w:bottom w:val="single" w:sz="4" w:space="0" w:color="auto"/>
              <w:right w:val="single" w:sz="4" w:space="0" w:color="auto"/>
            </w:tcBorders>
            <w:shd w:val="clear" w:color="000000" w:fill="EAEAEA"/>
            <w:noWrap/>
            <w:vAlign w:val="center"/>
            <w:hideMark/>
          </w:tcPr>
          <w:p w14:paraId="2C865BCE"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88 489 </w:t>
            </w:r>
          </w:p>
        </w:tc>
        <w:tc>
          <w:tcPr>
            <w:tcW w:w="1059" w:type="dxa"/>
            <w:tcBorders>
              <w:top w:val="nil"/>
              <w:left w:val="nil"/>
              <w:bottom w:val="single" w:sz="4" w:space="0" w:color="auto"/>
              <w:right w:val="single" w:sz="4" w:space="0" w:color="auto"/>
            </w:tcBorders>
            <w:shd w:val="clear" w:color="000000" w:fill="EAEAEA"/>
            <w:noWrap/>
            <w:vAlign w:val="center"/>
            <w:hideMark/>
          </w:tcPr>
          <w:p w14:paraId="397CA5BC"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990" w:type="dxa"/>
            <w:tcBorders>
              <w:top w:val="nil"/>
              <w:left w:val="nil"/>
              <w:bottom w:val="single" w:sz="4" w:space="0" w:color="auto"/>
              <w:right w:val="single" w:sz="4" w:space="0" w:color="auto"/>
            </w:tcBorders>
            <w:shd w:val="clear" w:color="000000" w:fill="EAEAEA"/>
            <w:noWrap/>
            <w:vAlign w:val="center"/>
            <w:hideMark/>
          </w:tcPr>
          <w:p w14:paraId="7DEEE41A"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222" w:type="dxa"/>
            <w:tcBorders>
              <w:top w:val="nil"/>
              <w:left w:val="nil"/>
              <w:bottom w:val="single" w:sz="4" w:space="0" w:color="auto"/>
              <w:right w:val="single" w:sz="4" w:space="0" w:color="auto"/>
            </w:tcBorders>
            <w:shd w:val="clear" w:color="000000" w:fill="EAEAEA"/>
            <w:noWrap/>
            <w:vAlign w:val="center"/>
            <w:hideMark/>
          </w:tcPr>
          <w:p w14:paraId="50B1AC3C"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148" w:type="dxa"/>
            <w:tcBorders>
              <w:top w:val="nil"/>
              <w:left w:val="nil"/>
              <w:bottom w:val="single" w:sz="4" w:space="0" w:color="auto"/>
              <w:right w:val="single" w:sz="4" w:space="0" w:color="auto"/>
            </w:tcBorders>
            <w:shd w:val="clear" w:color="000000" w:fill="EAEAEA"/>
            <w:noWrap/>
            <w:vAlign w:val="center"/>
            <w:hideMark/>
          </w:tcPr>
          <w:p w14:paraId="4B295E20"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181" w:type="dxa"/>
            <w:tcBorders>
              <w:top w:val="nil"/>
              <w:left w:val="nil"/>
              <w:bottom w:val="single" w:sz="4" w:space="0" w:color="auto"/>
              <w:right w:val="single" w:sz="4" w:space="0" w:color="auto"/>
            </w:tcBorders>
            <w:shd w:val="clear" w:color="000000" w:fill="EAEAEA"/>
            <w:noWrap/>
            <w:vAlign w:val="center"/>
            <w:hideMark/>
          </w:tcPr>
          <w:p w14:paraId="0D0CD3C9"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343" w:type="dxa"/>
            <w:tcBorders>
              <w:top w:val="nil"/>
              <w:left w:val="nil"/>
              <w:bottom w:val="single" w:sz="4" w:space="0" w:color="auto"/>
              <w:right w:val="single" w:sz="4" w:space="0" w:color="auto"/>
            </w:tcBorders>
            <w:shd w:val="clear" w:color="000000" w:fill="EAEAEA"/>
            <w:noWrap/>
            <w:vAlign w:val="center"/>
            <w:hideMark/>
          </w:tcPr>
          <w:p w14:paraId="4025778C"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192" w:type="dxa"/>
            <w:tcBorders>
              <w:top w:val="nil"/>
              <w:left w:val="nil"/>
              <w:right w:val="single" w:sz="8" w:space="0" w:color="auto"/>
            </w:tcBorders>
            <w:shd w:val="clear" w:color="auto" w:fill="auto"/>
            <w:noWrap/>
            <w:vAlign w:val="center"/>
            <w:hideMark/>
          </w:tcPr>
          <w:p w14:paraId="7868122B"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b/>
                <w:bCs/>
                <w:sz w:val="20"/>
              </w:rPr>
              <w:t> </w:t>
            </w:r>
          </w:p>
        </w:tc>
      </w:tr>
      <w:tr w:rsidR="002B7ABA" w:rsidRPr="00DD0DAD" w14:paraId="36050B7B" w14:textId="77777777" w:rsidTr="0038112A">
        <w:trPr>
          <w:trHeight w:val="315"/>
          <w:jc w:val="center"/>
        </w:trPr>
        <w:tc>
          <w:tcPr>
            <w:tcW w:w="924" w:type="dxa"/>
            <w:vMerge/>
            <w:tcBorders>
              <w:top w:val="nil"/>
              <w:left w:val="single" w:sz="8" w:space="0" w:color="auto"/>
              <w:bottom w:val="single" w:sz="8" w:space="0" w:color="000000"/>
              <w:right w:val="single" w:sz="4" w:space="0" w:color="auto"/>
            </w:tcBorders>
            <w:vAlign w:val="center"/>
            <w:hideMark/>
          </w:tcPr>
          <w:p w14:paraId="1FC0ADE3" w14:textId="77777777" w:rsidR="002B7ABA" w:rsidRPr="00DD0DAD" w:rsidRDefault="002B7ABA" w:rsidP="004E6DE8">
            <w:pPr>
              <w:pStyle w:val="Tabletext"/>
              <w:jc w:val="center"/>
              <w:rPr>
                <w:rFonts w:asciiTheme="minorHAnsi" w:hAnsiTheme="minorHAnsi"/>
                <w:sz w:val="20"/>
              </w:rPr>
            </w:pPr>
          </w:p>
        </w:tc>
        <w:tc>
          <w:tcPr>
            <w:tcW w:w="3149" w:type="dxa"/>
            <w:gridSpan w:val="3"/>
            <w:tcBorders>
              <w:top w:val="single" w:sz="4" w:space="0" w:color="auto"/>
              <w:left w:val="nil"/>
              <w:bottom w:val="single" w:sz="8" w:space="0" w:color="auto"/>
              <w:right w:val="single" w:sz="4" w:space="0" w:color="000000"/>
            </w:tcBorders>
            <w:shd w:val="clear" w:color="000000" w:fill="EAEAEA"/>
            <w:noWrap/>
            <w:vAlign w:val="center"/>
            <w:hideMark/>
          </w:tcPr>
          <w:p w14:paraId="3DDB98A9"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1 272 290 </w:t>
            </w:r>
          </w:p>
        </w:tc>
        <w:tc>
          <w:tcPr>
            <w:tcW w:w="3149"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2C7C51E7"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xml:space="preserve">1 437 066 </w:t>
            </w:r>
          </w:p>
        </w:tc>
        <w:tc>
          <w:tcPr>
            <w:tcW w:w="3271"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385EE1D6"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3672"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2B0A9D32"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sz w:val="20"/>
              </w:rPr>
              <w:t> </w:t>
            </w:r>
          </w:p>
        </w:tc>
        <w:tc>
          <w:tcPr>
            <w:tcW w:w="1192" w:type="dxa"/>
            <w:tcBorders>
              <w:top w:val="nil"/>
              <w:left w:val="nil"/>
              <w:bottom w:val="single" w:sz="4" w:space="0" w:color="auto"/>
              <w:right w:val="single" w:sz="8" w:space="0" w:color="auto"/>
            </w:tcBorders>
            <w:shd w:val="clear" w:color="auto" w:fill="auto"/>
            <w:noWrap/>
            <w:vAlign w:val="center"/>
            <w:hideMark/>
          </w:tcPr>
          <w:p w14:paraId="513D4175"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b/>
                <w:bCs/>
                <w:sz w:val="20"/>
              </w:rPr>
              <w:t xml:space="preserve">2 709 357 </w:t>
            </w:r>
          </w:p>
        </w:tc>
      </w:tr>
      <w:tr w:rsidR="00D318A7" w:rsidRPr="00DD0DAD" w14:paraId="1581494A" w14:textId="77777777" w:rsidTr="0038112A">
        <w:trPr>
          <w:trHeight w:val="315"/>
          <w:jc w:val="center"/>
        </w:trPr>
        <w:tc>
          <w:tcPr>
            <w:tcW w:w="924" w:type="dxa"/>
            <w:tcBorders>
              <w:top w:val="nil"/>
              <w:left w:val="nil"/>
              <w:right w:val="nil"/>
            </w:tcBorders>
            <w:shd w:val="clear" w:color="auto" w:fill="auto"/>
            <w:noWrap/>
            <w:vAlign w:val="center"/>
            <w:hideMark/>
          </w:tcPr>
          <w:p w14:paraId="7A964FB0" w14:textId="77777777" w:rsidR="00D318A7" w:rsidRPr="00DD0DAD" w:rsidRDefault="00D318A7" w:rsidP="004E6DE8">
            <w:pPr>
              <w:pStyle w:val="Tabletext"/>
              <w:jc w:val="center"/>
              <w:rPr>
                <w:rFonts w:asciiTheme="minorHAnsi" w:hAnsiTheme="minorHAnsi"/>
                <w:sz w:val="20"/>
              </w:rPr>
            </w:pPr>
          </w:p>
        </w:tc>
        <w:tc>
          <w:tcPr>
            <w:tcW w:w="1148" w:type="dxa"/>
            <w:tcBorders>
              <w:top w:val="nil"/>
              <w:left w:val="nil"/>
              <w:right w:val="nil"/>
            </w:tcBorders>
            <w:shd w:val="clear" w:color="auto" w:fill="auto"/>
            <w:noWrap/>
            <w:vAlign w:val="center"/>
            <w:hideMark/>
          </w:tcPr>
          <w:p w14:paraId="737C0341" w14:textId="77777777" w:rsidR="00D318A7" w:rsidRPr="00DD0DAD" w:rsidRDefault="00D318A7" w:rsidP="004E6DE8">
            <w:pPr>
              <w:pStyle w:val="Tabletext"/>
              <w:jc w:val="center"/>
              <w:rPr>
                <w:rFonts w:asciiTheme="minorHAnsi" w:hAnsiTheme="minorHAnsi"/>
                <w:sz w:val="20"/>
              </w:rPr>
            </w:pPr>
          </w:p>
        </w:tc>
        <w:tc>
          <w:tcPr>
            <w:tcW w:w="990" w:type="dxa"/>
            <w:tcBorders>
              <w:top w:val="nil"/>
              <w:left w:val="nil"/>
              <w:right w:val="nil"/>
            </w:tcBorders>
            <w:shd w:val="clear" w:color="auto" w:fill="auto"/>
            <w:noWrap/>
            <w:vAlign w:val="center"/>
            <w:hideMark/>
          </w:tcPr>
          <w:p w14:paraId="7795B93D" w14:textId="77777777" w:rsidR="00D318A7" w:rsidRPr="00DD0DAD" w:rsidRDefault="00D318A7" w:rsidP="004E6DE8">
            <w:pPr>
              <w:pStyle w:val="Tabletext"/>
              <w:jc w:val="center"/>
              <w:rPr>
                <w:rFonts w:asciiTheme="minorHAnsi" w:hAnsiTheme="minorHAnsi"/>
                <w:sz w:val="20"/>
              </w:rPr>
            </w:pPr>
          </w:p>
        </w:tc>
        <w:tc>
          <w:tcPr>
            <w:tcW w:w="1011" w:type="dxa"/>
            <w:tcBorders>
              <w:top w:val="nil"/>
              <w:left w:val="nil"/>
              <w:right w:val="nil"/>
            </w:tcBorders>
            <w:shd w:val="clear" w:color="auto" w:fill="auto"/>
            <w:noWrap/>
            <w:vAlign w:val="center"/>
            <w:hideMark/>
          </w:tcPr>
          <w:p w14:paraId="45F05744" w14:textId="77777777" w:rsidR="00D318A7" w:rsidRPr="00DD0DAD" w:rsidRDefault="00D318A7" w:rsidP="004E6DE8">
            <w:pPr>
              <w:pStyle w:val="Tabletext"/>
              <w:jc w:val="center"/>
              <w:rPr>
                <w:rFonts w:asciiTheme="minorHAnsi" w:hAnsiTheme="minorHAnsi"/>
                <w:sz w:val="20"/>
              </w:rPr>
            </w:pPr>
          </w:p>
        </w:tc>
        <w:tc>
          <w:tcPr>
            <w:tcW w:w="1148" w:type="dxa"/>
            <w:tcBorders>
              <w:top w:val="single" w:sz="4" w:space="0" w:color="auto"/>
              <w:left w:val="nil"/>
              <w:right w:val="nil"/>
            </w:tcBorders>
            <w:shd w:val="clear" w:color="auto" w:fill="auto"/>
            <w:noWrap/>
            <w:vAlign w:val="center"/>
            <w:hideMark/>
          </w:tcPr>
          <w:p w14:paraId="30509A28" w14:textId="77777777" w:rsidR="00D318A7" w:rsidRPr="00DD0DAD" w:rsidRDefault="00D318A7" w:rsidP="004E6DE8">
            <w:pPr>
              <w:pStyle w:val="Tabletext"/>
              <w:jc w:val="center"/>
              <w:rPr>
                <w:rFonts w:asciiTheme="minorHAnsi" w:hAnsiTheme="minorHAnsi"/>
                <w:sz w:val="20"/>
              </w:rPr>
            </w:pPr>
          </w:p>
        </w:tc>
        <w:tc>
          <w:tcPr>
            <w:tcW w:w="990" w:type="dxa"/>
            <w:tcBorders>
              <w:top w:val="single" w:sz="4" w:space="0" w:color="auto"/>
              <w:left w:val="nil"/>
              <w:right w:val="nil"/>
            </w:tcBorders>
            <w:shd w:val="clear" w:color="auto" w:fill="auto"/>
            <w:noWrap/>
            <w:vAlign w:val="center"/>
            <w:hideMark/>
          </w:tcPr>
          <w:p w14:paraId="1F36AAD4" w14:textId="77777777" w:rsidR="00D318A7" w:rsidRPr="00DD0DAD" w:rsidRDefault="00D318A7" w:rsidP="004E6DE8">
            <w:pPr>
              <w:pStyle w:val="Tabletext"/>
              <w:jc w:val="center"/>
              <w:rPr>
                <w:rFonts w:asciiTheme="minorHAnsi" w:hAnsiTheme="minorHAnsi"/>
                <w:sz w:val="20"/>
              </w:rPr>
            </w:pPr>
          </w:p>
        </w:tc>
        <w:tc>
          <w:tcPr>
            <w:tcW w:w="1011" w:type="dxa"/>
            <w:tcBorders>
              <w:top w:val="single" w:sz="4" w:space="0" w:color="auto"/>
              <w:left w:val="nil"/>
              <w:right w:val="nil"/>
            </w:tcBorders>
            <w:shd w:val="clear" w:color="auto" w:fill="auto"/>
            <w:noWrap/>
            <w:vAlign w:val="center"/>
            <w:hideMark/>
          </w:tcPr>
          <w:p w14:paraId="0F4446A2" w14:textId="77777777" w:rsidR="00D318A7" w:rsidRPr="00DD0DAD" w:rsidRDefault="00D318A7" w:rsidP="004E6DE8">
            <w:pPr>
              <w:pStyle w:val="Tabletext"/>
              <w:jc w:val="center"/>
              <w:rPr>
                <w:rFonts w:asciiTheme="minorHAnsi" w:hAnsiTheme="minorHAnsi"/>
                <w:sz w:val="20"/>
              </w:rPr>
            </w:pPr>
          </w:p>
        </w:tc>
        <w:tc>
          <w:tcPr>
            <w:tcW w:w="1059" w:type="dxa"/>
            <w:tcBorders>
              <w:top w:val="single" w:sz="4" w:space="0" w:color="auto"/>
              <w:left w:val="nil"/>
              <w:right w:val="nil"/>
            </w:tcBorders>
            <w:shd w:val="clear" w:color="auto" w:fill="auto"/>
            <w:noWrap/>
            <w:vAlign w:val="center"/>
            <w:hideMark/>
          </w:tcPr>
          <w:p w14:paraId="4956707F" w14:textId="77777777" w:rsidR="00D318A7" w:rsidRPr="00DD0DAD" w:rsidRDefault="00D318A7" w:rsidP="004E6DE8">
            <w:pPr>
              <w:pStyle w:val="Tabletext"/>
              <w:jc w:val="center"/>
              <w:rPr>
                <w:rFonts w:asciiTheme="minorHAnsi" w:hAnsiTheme="minorHAnsi"/>
                <w:sz w:val="20"/>
              </w:rPr>
            </w:pPr>
          </w:p>
        </w:tc>
        <w:tc>
          <w:tcPr>
            <w:tcW w:w="990" w:type="dxa"/>
            <w:tcBorders>
              <w:top w:val="single" w:sz="4" w:space="0" w:color="auto"/>
              <w:left w:val="nil"/>
              <w:right w:val="nil"/>
            </w:tcBorders>
            <w:shd w:val="clear" w:color="auto" w:fill="auto"/>
            <w:noWrap/>
            <w:vAlign w:val="center"/>
            <w:hideMark/>
          </w:tcPr>
          <w:p w14:paraId="14268218" w14:textId="77777777" w:rsidR="00D318A7" w:rsidRPr="00DD0DAD" w:rsidRDefault="00D318A7" w:rsidP="004E6DE8">
            <w:pPr>
              <w:pStyle w:val="Tabletext"/>
              <w:jc w:val="center"/>
              <w:rPr>
                <w:rFonts w:asciiTheme="minorHAnsi" w:hAnsiTheme="minorHAnsi"/>
                <w:sz w:val="20"/>
              </w:rPr>
            </w:pPr>
          </w:p>
        </w:tc>
        <w:tc>
          <w:tcPr>
            <w:tcW w:w="1222" w:type="dxa"/>
            <w:tcBorders>
              <w:top w:val="single" w:sz="4" w:space="0" w:color="auto"/>
              <w:left w:val="nil"/>
              <w:right w:val="single" w:sz="4" w:space="0" w:color="auto"/>
            </w:tcBorders>
            <w:shd w:val="clear" w:color="auto" w:fill="auto"/>
            <w:noWrap/>
            <w:vAlign w:val="center"/>
            <w:hideMark/>
          </w:tcPr>
          <w:p w14:paraId="245990E9" w14:textId="77777777" w:rsidR="00D318A7" w:rsidRPr="00DD0DAD" w:rsidRDefault="00D318A7" w:rsidP="004E6DE8">
            <w:pPr>
              <w:pStyle w:val="Tabletext"/>
              <w:jc w:val="center"/>
              <w:rPr>
                <w:rFonts w:asciiTheme="minorHAnsi" w:hAnsiTheme="minorHAnsi"/>
                <w:sz w:val="20"/>
              </w:rPr>
            </w:pPr>
          </w:p>
        </w:tc>
        <w:tc>
          <w:tcPr>
            <w:tcW w:w="367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2AD4FA80" w14:textId="77777777" w:rsidR="00D318A7" w:rsidRPr="00DD0DAD" w:rsidRDefault="00D318A7" w:rsidP="00D318A7">
            <w:pPr>
              <w:pStyle w:val="Tabletext"/>
              <w:rPr>
                <w:rFonts w:asciiTheme="minorHAnsi" w:hAnsiTheme="minorHAnsi"/>
                <w:b/>
                <w:bCs/>
                <w:sz w:val="20"/>
              </w:rPr>
            </w:pPr>
            <w:r w:rsidRPr="00DD0DAD">
              <w:rPr>
                <w:rFonts w:asciiTheme="minorHAnsi" w:hAnsiTheme="minorHAnsi"/>
                <w:b/>
                <w:bCs/>
                <w:sz w:val="20"/>
              </w:rPr>
              <w:t>TOTAL DES DÉPENSES</w:t>
            </w:r>
          </w:p>
        </w:tc>
        <w:tc>
          <w:tcPr>
            <w:tcW w:w="1192" w:type="dxa"/>
            <w:tcBorders>
              <w:top w:val="nil"/>
              <w:left w:val="nil"/>
              <w:bottom w:val="single" w:sz="4" w:space="0" w:color="auto"/>
              <w:right w:val="single" w:sz="8" w:space="0" w:color="auto"/>
            </w:tcBorders>
            <w:shd w:val="clear" w:color="auto" w:fill="auto"/>
            <w:noWrap/>
            <w:vAlign w:val="center"/>
            <w:hideMark/>
          </w:tcPr>
          <w:p w14:paraId="479AB792" w14:textId="77777777" w:rsidR="00D318A7" w:rsidRPr="00DD0DAD" w:rsidRDefault="00D318A7" w:rsidP="001D1A6D">
            <w:pPr>
              <w:pStyle w:val="Tabletext"/>
              <w:jc w:val="right"/>
              <w:rPr>
                <w:rFonts w:asciiTheme="minorHAnsi" w:hAnsiTheme="minorHAnsi"/>
                <w:b/>
                <w:bCs/>
                <w:sz w:val="20"/>
              </w:rPr>
            </w:pPr>
            <w:r w:rsidRPr="00DD0DAD">
              <w:rPr>
                <w:rFonts w:asciiTheme="minorHAnsi" w:hAnsiTheme="minorHAnsi"/>
                <w:b/>
                <w:bCs/>
                <w:sz w:val="20"/>
              </w:rPr>
              <w:t xml:space="preserve">12 000 000 </w:t>
            </w:r>
          </w:p>
        </w:tc>
      </w:tr>
      <w:tr w:rsidR="00D318A7" w:rsidRPr="00DD0DAD" w14:paraId="51C83588" w14:textId="77777777" w:rsidTr="0038112A">
        <w:trPr>
          <w:trHeight w:val="315"/>
          <w:jc w:val="center"/>
        </w:trPr>
        <w:tc>
          <w:tcPr>
            <w:tcW w:w="924" w:type="dxa"/>
            <w:tcBorders>
              <w:left w:val="nil"/>
              <w:bottom w:val="nil"/>
              <w:right w:val="nil"/>
            </w:tcBorders>
            <w:shd w:val="clear" w:color="auto" w:fill="auto"/>
            <w:noWrap/>
            <w:vAlign w:val="center"/>
          </w:tcPr>
          <w:p w14:paraId="1BE548EB" w14:textId="77777777" w:rsidR="00D318A7" w:rsidRPr="00DD0DAD" w:rsidRDefault="00D318A7" w:rsidP="004E6DE8">
            <w:pPr>
              <w:pStyle w:val="Tabletext"/>
              <w:jc w:val="center"/>
              <w:rPr>
                <w:rFonts w:asciiTheme="minorHAnsi" w:hAnsiTheme="minorHAnsi"/>
                <w:sz w:val="20"/>
              </w:rPr>
            </w:pPr>
          </w:p>
        </w:tc>
        <w:tc>
          <w:tcPr>
            <w:tcW w:w="1148" w:type="dxa"/>
            <w:tcBorders>
              <w:left w:val="nil"/>
              <w:bottom w:val="nil"/>
              <w:right w:val="nil"/>
            </w:tcBorders>
            <w:shd w:val="clear" w:color="auto" w:fill="auto"/>
            <w:noWrap/>
            <w:vAlign w:val="center"/>
          </w:tcPr>
          <w:p w14:paraId="462B1937" w14:textId="77777777" w:rsidR="00D318A7" w:rsidRPr="00DD0DAD" w:rsidRDefault="00D318A7" w:rsidP="004E6DE8">
            <w:pPr>
              <w:pStyle w:val="Tabletext"/>
              <w:jc w:val="center"/>
              <w:rPr>
                <w:rFonts w:asciiTheme="minorHAnsi" w:hAnsiTheme="minorHAnsi"/>
                <w:sz w:val="20"/>
              </w:rPr>
            </w:pPr>
          </w:p>
        </w:tc>
        <w:tc>
          <w:tcPr>
            <w:tcW w:w="990" w:type="dxa"/>
            <w:tcBorders>
              <w:left w:val="nil"/>
              <w:bottom w:val="nil"/>
              <w:right w:val="nil"/>
            </w:tcBorders>
            <w:shd w:val="clear" w:color="auto" w:fill="auto"/>
            <w:noWrap/>
            <w:vAlign w:val="center"/>
          </w:tcPr>
          <w:p w14:paraId="7E733582" w14:textId="77777777" w:rsidR="00D318A7" w:rsidRPr="00DD0DAD" w:rsidRDefault="00D318A7" w:rsidP="004E6DE8">
            <w:pPr>
              <w:pStyle w:val="Tabletext"/>
              <w:jc w:val="center"/>
              <w:rPr>
                <w:rFonts w:asciiTheme="minorHAnsi" w:hAnsiTheme="minorHAnsi"/>
                <w:sz w:val="20"/>
              </w:rPr>
            </w:pPr>
          </w:p>
        </w:tc>
        <w:tc>
          <w:tcPr>
            <w:tcW w:w="1011" w:type="dxa"/>
            <w:tcBorders>
              <w:left w:val="nil"/>
              <w:bottom w:val="nil"/>
              <w:right w:val="nil"/>
            </w:tcBorders>
            <w:shd w:val="clear" w:color="auto" w:fill="auto"/>
            <w:noWrap/>
            <w:vAlign w:val="center"/>
          </w:tcPr>
          <w:p w14:paraId="24D8B6F6" w14:textId="77777777" w:rsidR="00D318A7" w:rsidRPr="00DD0DAD" w:rsidRDefault="00D318A7" w:rsidP="004E6DE8">
            <w:pPr>
              <w:pStyle w:val="Tabletext"/>
              <w:jc w:val="center"/>
              <w:rPr>
                <w:rFonts w:asciiTheme="minorHAnsi" w:hAnsiTheme="minorHAnsi"/>
                <w:sz w:val="20"/>
              </w:rPr>
            </w:pPr>
          </w:p>
        </w:tc>
        <w:tc>
          <w:tcPr>
            <w:tcW w:w="1148" w:type="dxa"/>
            <w:tcBorders>
              <w:left w:val="nil"/>
              <w:bottom w:val="nil"/>
              <w:right w:val="nil"/>
            </w:tcBorders>
            <w:shd w:val="clear" w:color="auto" w:fill="auto"/>
            <w:noWrap/>
            <w:vAlign w:val="center"/>
          </w:tcPr>
          <w:p w14:paraId="28EFC33A" w14:textId="77777777" w:rsidR="00D318A7" w:rsidRPr="00DD0DAD" w:rsidRDefault="00D318A7" w:rsidP="004E6DE8">
            <w:pPr>
              <w:pStyle w:val="Tabletext"/>
              <w:jc w:val="center"/>
              <w:rPr>
                <w:rFonts w:asciiTheme="minorHAnsi" w:hAnsiTheme="minorHAnsi"/>
                <w:sz w:val="20"/>
              </w:rPr>
            </w:pPr>
          </w:p>
        </w:tc>
        <w:tc>
          <w:tcPr>
            <w:tcW w:w="990" w:type="dxa"/>
            <w:tcBorders>
              <w:left w:val="nil"/>
              <w:bottom w:val="nil"/>
              <w:right w:val="nil"/>
            </w:tcBorders>
            <w:shd w:val="clear" w:color="auto" w:fill="auto"/>
            <w:noWrap/>
            <w:vAlign w:val="center"/>
          </w:tcPr>
          <w:p w14:paraId="112142F8" w14:textId="77777777" w:rsidR="00D318A7" w:rsidRPr="00DD0DAD" w:rsidRDefault="00D318A7" w:rsidP="004E6DE8">
            <w:pPr>
              <w:pStyle w:val="Tabletext"/>
              <w:jc w:val="center"/>
              <w:rPr>
                <w:rFonts w:asciiTheme="minorHAnsi" w:hAnsiTheme="minorHAnsi"/>
                <w:sz w:val="20"/>
              </w:rPr>
            </w:pPr>
          </w:p>
        </w:tc>
        <w:tc>
          <w:tcPr>
            <w:tcW w:w="1011" w:type="dxa"/>
            <w:tcBorders>
              <w:left w:val="nil"/>
              <w:bottom w:val="nil"/>
              <w:right w:val="nil"/>
            </w:tcBorders>
            <w:shd w:val="clear" w:color="auto" w:fill="auto"/>
            <w:noWrap/>
            <w:vAlign w:val="center"/>
          </w:tcPr>
          <w:p w14:paraId="4412CEBA" w14:textId="77777777" w:rsidR="00D318A7" w:rsidRPr="00DD0DAD" w:rsidRDefault="00D318A7" w:rsidP="004E6DE8">
            <w:pPr>
              <w:pStyle w:val="Tabletext"/>
              <w:jc w:val="center"/>
              <w:rPr>
                <w:rFonts w:asciiTheme="minorHAnsi" w:hAnsiTheme="minorHAnsi"/>
                <w:sz w:val="20"/>
              </w:rPr>
            </w:pPr>
          </w:p>
        </w:tc>
        <w:tc>
          <w:tcPr>
            <w:tcW w:w="1059" w:type="dxa"/>
            <w:tcBorders>
              <w:left w:val="nil"/>
              <w:bottom w:val="nil"/>
              <w:right w:val="nil"/>
            </w:tcBorders>
            <w:shd w:val="clear" w:color="auto" w:fill="auto"/>
            <w:noWrap/>
            <w:vAlign w:val="center"/>
          </w:tcPr>
          <w:p w14:paraId="20919CF9" w14:textId="77777777" w:rsidR="00D318A7" w:rsidRPr="00DD0DAD" w:rsidRDefault="00D318A7" w:rsidP="004E6DE8">
            <w:pPr>
              <w:pStyle w:val="Tabletext"/>
              <w:jc w:val="center"/>
              <w:rPr>
                <w:rFonts w:asciiTheme="minorHAnsi" w:hAnsiTheme="minorHAnsi"/>
                <w:sz w:val="20"/>
              </w:rPr>
            </w:pPr>
          </w:p>
        </w:tc>
        <w:tc>
          <w:tcPr>
            <w:tcW w:w="990" w:type="dxa"/>
            <w:tcBorders>
              <w:left w:val="nil"/>
              <w:bottom w:val="nil"/>
              <w:right w:val="nil"/>
            </w:tcBorders>
            <w:shd w:val="clear" w:color="auto" w:fill="auto"/>
            <w:noWrap/>
            <w:vAlign w:val="center"/>
          </w:tcPr>
          <w:p w14:paraId="0D3FC969" w14:textId="77777777" w:rsidR="00D318A7" w:rsidRPr="00DD0DAD" w:rsidRDefault="00D318A7" w:rsidP="004E6DE8">
            <w:pPr>
              <w:pStyle w:val="Tabletext"/>
              <w:jc w:val="center"/>
              <w:rPr>
                <w:rFonts w:asciiTheme="minorHAnsi" w:hAnsiTheme="minorHAnsi"/>
                <w:sz w:val="20"/>
              </w:rPr>
            </w:pPr>
          </w:p>
        </w:tc>
        <w:tc>
          <w:tcPr>
            <w:tcW w:w="1222" w:type="dxa"/>
            <w:tcBorders>
              <w:left w:val="nil"/>
              <w:bottom w:val="nil"/>
              <w:right w:val="single" w:sz="4" w:space="0" w:color="auto"/>
            </w:tcBorders>
            <w:shd w:val="clear" w:color="auto" w:fill="auto"/>
            <w:noWrap/>
            <w:vAlign w:val="center"/>
          </w:tcPr>
          <w:p w14:paraId="631E8986" w14:textId="77777777" w:rsidR="00D318A7" w:rsidRPr="00DD0DAD" w:rsidRDefault="00D318A7" w:rsidP="004E6DE8">
            <w:pPr>
              <w:pStyle w:val="Tabletext"/>
              <w:jc w:val="center"/>
              <w:rPr>
                <w:rFonts w:asciiTheme="minorHAnsi" w:hAnsiTheme="minorHAnsi"/>
                <w:sz w:val="20"/>
              </w:rPr>
            </w:pPr>
          </w:p>
        </w:tc>
        <w:tc>
          <w:tcPr>
            <w:tcW w:w="367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14:paraId="7135E835" w14:textId="63F1A2CF" w:rsidR="00D318A7" w:rsidRPr="00DD0DAD" w:rsidRDefault="00D318A7" w:rsidP="00D318A7">
            <w:pPr>
              <w:pStyle w:val="Tabletext"/>
              <w:rPr>
                <w:rFonts w:asciiTheme="minorHAnsi" w:hAnsiTheme="minorHAnsi"/>
                <w:b/>
                <w:bCs/>
                <w:sz w:val="20"/>
              </w:rPr>
            </w:pPr>
            <w:r w:rsidRPr="00DD0DAD">
              <w:rPr>
                <w:rFonts w:asciiTheme="minorHAnsi" w:hAnsiTheme="minorHAnsi"/>
                <w:b/>
                <w:bCs/>
                <w:sz w:val="20"/>
              </w:rPr>
              <w:t xml:space="preserve">Bilan à la fin du 2ème trimestre </w:t>
            </w:r>
            <w:r>
              <w:rPr>
                <w:rFonts w:asciiTheme="minorHAnsi" w:hAnsiTheme="minorHAnsi"/>
                <w:b/>
                <w:bCs/>
                <w:sz w:val="20"/>
              </w:rPr>
              <w:t>de </w:t>
            </w:r>
            <w:r w:rsidRPr="00DD0DAD">
              <w:rPr>
                <w:rFonts w:asciiTheme="minorHAnsi" w:hAnsiTheme="minorHAnsi"/>
                <w:b/>
                <w:bCs/>
                <w:sz w:val="20"/>
              </w:rPr>
              <w:t>2021</w:t>
            </w:r>
          </w:p>
        </w:tc>
        <w:tc>
          <w:tcPr>
            <w:tcW w:w="1192" w:type="dxa"/>
            <w:tcBorders>
              <w:top w:val="single" w:sz="4" w:space="0" w:color="auto"/>
              <w:left w:val="nil"/>
              <w:bottom w:val="single" w:sz="8" w:space="0" w:color="auto"/>
              <w:right w:val="single" w:sz="8" w:space="0" w:color="auto"/>
            </w:tcBorders>
            <w:shd w:val="clear" w:color="auto" w:fill="auto"/>
            <w:noWrap/>
            <w:vAlign w:val="center"/>
          </w:tcPr>
          <w:p w14:paraId="3C1A2347" w14:textId="77777777" w:rsidR="00D318A7" w:rsidRPr="00DD0DAD" w:rsidRDefault="00D318A7" w:rsidP="001D1A6D">
            <w:pPr>
              <w:pStyle w:val="Tabletext"/>
              <w:jc w:val="right"/>
              <w:rPr>
                <w:rFonts w:asciiTheme="minorHAnsi" w:hAnsiTheme="minorHAnsi"/>
                <w:b/>
                <w:bCs/>
                <w:sz w:val="20"/>
              </w:rPr>
            </w:pPr>
            <w:r w:rsidRPr="00DD0DAD">
              <w:rPr>
                <w:rFonts w:asciiTheme="minorHAnsi" w:hAnsiTheme="minorHAnsi"/>
                <w:b/>
                <w:bCs/>
                <w:sz w:val="20"/>
              </w:rPr>
              <w:t>0</w:t>
            </w:r>
          </w:p>
        </w:tc>
      </w:tr>
    </w:tbl>
    <w:p w14:paraId="08BA7AFA" w14:textId="77777777" w:rsidR="002B7ABA" w:rsidRPr="00DD0DAD" w:rsidRDefault="002B7ABA" w:rsidP="004E6DE8">
      <w:pPr>
        <w:pStyle w:val="Headingb"/>
        <w:spacing w:after="120"/>
      </w:pPr>
      <w:r w:rsidRPr="00DD0DAD">
        <w:br w:type="page"/>
      </w:r>
    </w:p>
    <w:p w14:paraId="750C70C1" w14:textId="03405642" w:rsidR="002B7ABA" w:rsidRPr="00DD0DAD" w:rsidRDefault="002B7ABA" w:rsidP="004E6DE8">
      <w:pPr>
        <w:pStyle w:val="Headingb"/>
        <w:spacing w:after="120"/>
      </w:pPr>
      <w:r w:rsidRPr="00DD0DAD">
        <w:lastRenderedPageBreak/>
        <w:t xml:space="preserve">Planification financière </w:t>
      </w:r>
      <w:r w:rsidR="00D318A7">
        <w:t>–</w:t>
      </w:r>
      <w:r w:rsidRPr="00DD0DAD">
        <w:t xml:space="preserve"> </w:t>
      </w:r>
      <w:r w:rsidR="00D318A7">
        <w:t>D</w:t>
      </w:r>
      <w:r w:rsidR="001E08EC">
        <w:t>euxième</w:t>
      </w:r>
      <w:r w:rsidRPr="00DD0DAD">
        <w:t xml:space="preserve"> tranche du prêt</w:t>
      </w:r>
    </w:p>
    <w:tbl>
      <w:tblPr>
        <w:tblW w:w="15370" w:type="dxa"/>
        <w:jc w:val="center"/>
        <w:tblLook w:val="04A0" w:firstRow="1" w:lastRow="0" w:firstColumn="1" w:lastColumn="0" w:noHBand="0" w:noVBand="1"/>
      </w:tblPr>
      <w:tblGrid>
        <w:gridCol w:w="931"/>
        <w:gridCol w:w="1088"/>
        <w:gridCol w:w="1040"/>
        <w:gridCol w:w="860"/>
        <w:gridCol w:w="1103"/>
        <w:gridCol w:w="1060"/>
        <w:gridCol w:w="1115"/>
        <w:gridCol w:w="1009"/>
        <w:gridCol w:w="1009"/>
        <w:gridCol w:w="1313"/>
        <w:gridCol w:w="1129"/>
        <w:gridCol w:w="1183"/>
        <w:gridCol w:w="1142"/>
        <w:gridCol w:w="1388"/>
      </w:tblGrid>
      <w:tr w:rsidR="002B7ABA" w:rsidRPr="00DD0DAD" w14:paraId="7F84A4D9" w14:textId="77777777" w:rsidTr="00D318A7">
        <w:trPr>
          <w:trHeight w:val="300"/>
          <w:jc w:val="center"/>
        </w:trPr>
        <w:tc>
          <w:tcPr>
            <w:tcW w:w="93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tcPr>
          <w:p w14:paraId="794E9532" w14:textId="77777777" w:rsidR="002B7ABA" w:rsidRPr="00DD0DAD" w:rsidRDefault="002B7ABA" w:rsidP="004E6DE8">
            <w:pPr>
              <w:pStyle w:val="Tablehead"/>
              <w:rPr>
                <w:rFonts w:asciiTheme="minorHAnsi" w:hAnsiTheme="minorHAnsi" w:cs="Calibri"/>
                <w:bCs/>
                <w:color w:val="000000"/>
                <w:sz w:val="20"/>
                <w:lang w:eastAsia="en-GB"/>
              </w:rPr>
            </w:pPr>
            <w:r w:rsidRPr="00DD0DAD">
              <w:rPr>
                <w:rFonts w:asciiTheme="minorHAnsi" w:hAnsiTheme="minorHAnsi"/>
                <w:sz w:val="20"/>
                <w:lang w:eastAsia="en-GB"/>
              </w:rPr>
              <w:t>Période</w:t>
            </w:r>
          </w:p>
        </w:tc>
        <w:tc>
          <w:tcPr>
            <w:tcW w:w="2988" w:type="dxa"/>
            <w:gridSpan w:val="3"/>
            <w:tcBorders>
              <w:top w:val="single" w:sz="8" w:space="0" w:color="auto"/>
              <w:left w:val="nil"/>
              <w:bottom w:val="nil"/>
              <w:right w:val="single" w:sz="4" w:space="0" w:color="000000"/>
            </w:tcBorders>
            <w:shd w:val="clear" w:color="auto" w:fill="auto"/>
            <w:noWrap/>
            <w:vAlign w:val="center"/>
          </w:tcPr>
          <w:p w14:paraId="56BE8D62" w14:textId="77777777" w:rsidR="002B7ABA" w:rsidRPr="00DD0DAD" w:rsidRDefault="002B7ABA" w:rsidP="004E6DE8">
            <w:pPr>
              <w:pStyle w:val="Tablehead"/>
              <w:rPr>
                <w:rFonts w:asciiTheme="minorHAnsi" w:hAnsiTheme="minorHAnsi" w:cs="Calibri"/>
                <w:bCs/>
                <w:color w:val="000000"/>
                <w:sz w:val="20"/>
                <w:lang w:eastAsia="en-GB"/>
              </w:rPr>
            </w:pPr>
            <w:r w:rsidRPr="00DD0DAD">
              <w:rPr>
                <w:rFonts w:asciiTheme="minorHAnsi" w:hAnsiTheme="minorHAnsi"/>
                <w:sz w:val="20"/>
                <w:lang w:eastAsia="en-GB"/>
              </w:rPr>
              <w:t>1er trimestre</w:t>
            </w:r>
          </w:p>
        </w:tc>
        <w:tc>
          <w:tcPr>
            <w:tcW w:w="3278" w:type="dxa"/>
            <w:gridSpan w:val="3"/>
            <w:tcBorders>
              <w:top w:val="single" w:sz="8" w:space="0" w:color="auto"/>
              <w:left w:val="nil"/>
              <w:bottom w:val="nil"/>
              <w:right w:val="single" w:sz="4" w:space="0" w:color="000000"/>
            </w:tcBorders>
            <w:shd w:val="clear" w:color="auto" w:fill="auto"/>
            <w:noWrap/>
            <w:vAlign w:val="center"/>
          </w:tcPr>
          <w:p w14:paraId="6742C9EE" w14:textId="77777777" w:rsidR="002B7ABA" w:rsidRPr="00DD0DAD" w:rsidRDefault="002B7ABA" w:rsidP="004E6DE8">
            <w:pPr>
              <w:pStyle w:val="Tablehead"/>
              <w:rPr>
                <w:rFonts w:asciiTheme="minorHAnsi" w:hAnsiTheme="minorHAnsi" w:cs="Calibri"/>
                <w:bCs/>
                <w:color w:val="000000"/>
                <w:sz w:val="20"/>
                <w:lang w:eastAsia="en-GB"/>
              </w:rPr>
            </w:pPr>
            <w:r w:rsidRPr="00DD0DAD">
              <w:rPr>
                <w:rFonts w:asciiTheme="minorHAnsi" w:hAnsiTheme="minorHAnsi"/>
                <w:sz w:val="20"/>
                <w:lang w:eastAsia="en-GB"/>
              </w:rPr>
              <w:t>2ème trimestre</w:t>
            </w:r>
          </w:p>
        </w:tc>
        <w:tc>
          <w:tcPr>
            <w:tcW w:w="3331" w:type="dxa"/>
            <w:gridSpan w:val="3"/>
            <w:tcBorders>
              <w:top w:val="single" w:sz="8" w:space="0" w:color="auto"/>
              <w:left w:val="nil"/>
              <w:bottom w:val="nil"/>
              <w:right w:val="single" w:sz="4" w:space="0" w:color="000000"/>
            </w:tcBorders>
            <w:shd w:val="clear" w:color="auto" w:fill="auto"/>
            <w:noWrap/>
            <w:vAlign w:val="center"/>
          </w:tcPr>
          <w:p w14:paraId="0849ADCB" w14:textId="77777777" w:rsidR="002B7ABA" w:rsidRPr="00DD0DAD" w:rsidRDefault="002B7ABA" w:rsidP="004E6DE8">
            <w:pPr>
              <w:pStyle w:val="Tablehead"/>
              <w:rPr>
                <w:rFonts w:asciiTheme="minorHAnsi" w:hAnsiTheme="minorHAnsi" w:cs="Calibri"/>
                <w:bCs/>
                <w:color w:val="000000"/>
                <w:sz w:val="20"/>
                <w:lang w:eastAsia="en-GB"/>
              </w:rPr>
            </w:pPr>
            <w:r w:rsidRPr="00DD0DAD">
              <w:rPr>
                <w:rFonts w:asciiTheme="minorHAnsi" w:hAnsiTheme="minorHAnsi"/>
                <w:sz w:val="20"/>
                <w:lang w:eastAsia="en-GB"/>
              </w:rPr>
              <w:t>3ème trimestre</w:t>
            </w:r>
          </w:p>
        </w:tc>
        <w:tc>
          <w:tcPr>
            <w:tcW w:w="3454" w:type="dxa"/>
            <w:gridSpan w:val="3"/>
            <w:tcBorders>
              <w:top w:val="single" w:sz="8" w:space="0" w:color="auto"/>
              <w:left w:val="nil"/>
              <w:bottom w:val="nil"/>
              <w:right w:val="single" w:sz="4" w:space="0" w:color="000000"/>
            </w:tcBorders>
            <w:shd w:val="clear" w:color="auto" w:fill="auto"/>
            <w:noWrap/>
            <w:vAlign w:val="center"/>
          </w:tcPr>
          <w:p w14:paraId="0D9D01AB" w14:textId="77777777" w:rsidR="002B7ABA" w:rsidRPr="00DD0DAD" w:rsidRDefault="002B7ABA" w:rsidP="004E6DE8">
            <w:pPr>
              <w:pStyle w:val="Tablehead"/>
              <w:rPr>
                <w:rFonts w:asciiTheme="minorHAnsi" w:hAnsiTheme="minorHAnsi" w:cs="Calibri"/>
                <w:bCs/>
                <w:color w:val="000000"/>
                <w:sz w:val="20"/>
                <w:lang w:eastAsia="en-GB"/>
              </w:rPr>
            </w:pPr>
            <w:r w:rsidRPr="00DD0DAD">
              <w:rPr>
                <w:rFonts w:asciiTheme="minorHAnsi" w:hAnsiTheme="minorHAnsi"/>
                <w:sz w:val="20"/>
                <w:lang w:eastAsia="en-GB"/>
              </w:rPr>
              <w:t>4ème trimestre</w:t>
            </w:r>
          </w:p>
        </w:tc>
        <w:tc>
          <w:tcPr>
            <w:tcW w:w="1388"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5B55A415" w14:textId="77777777" w:rsidR="002B7ABA" w:rsidRPr="00DD0DAD" w:rsidRDefault="002B7ABA" w:rsidP="004E6DE8">
            <w:pPr>
              <w:pStyle w:val="Tablehead"/>
              <w:rPr>
                <w:rFonts w:asciiTheme="minorHAnsi" w:hAnsiTheme="minorHAnsi"/>
                <w:sz w:val="20"/>
                <w:lang w:eastAsia="en-GB"/>
              </w:rPr>
            </w:pPr>
            <w:r w:rsidRPr="00DD0DAD">
              <w:rPr>
                <w:rFonts w:asciiTheme="minorHAnsi" w:hAnsiTheme="minorHAnsi"/>
                <w:sz w:val="20"/>
                <w:lang w:eastAsia="en-GB"/>
              </w:rPr>
              <w:t>Total</w:t>
            </w:r>
          </w:p>
        </w:tc>
      </w:tr>
      <w:tr w:rsidR="002B7ABA" w:rsidRPr="00DD0DAD" w14:paraId="01DC2734" w14:textId="77777777" w:rsidTr="00D318A7">
        <w:trPr>
          <w:trHeight w:val="300"/>
          <w:jc w:val="center"/>
        </w:trPr>
        <w:tc>
          <w:tcPr>
            <w:tcW w:w="931" w:type="dxa"/>
            <w:vMerge/>
            <w:tcBorders>
              <w:top w:val="single" w:sz="8" w:space="0" w:color="auto"/>
              <w:left w:val="single" w:sz="8" w:space="0" w:color="auto"/>
              <w:bottom w:val="single" w:sz="4" w:space="0" w:color="000000"/>
              <w:right w:val="single" w:sz="4" w:space="0" w:color="auto"/>
            </w:tcBorders>
            <w:vAlign w:val="center"/>
          </w:tcPr>
          <w:p w14:paraId="1EB51644" w14:textId="77777777" w:rsidR="002B7ABA" w:rsidRPr="00DD0DAD" w:rsidRDefault="002B7ABA" w:rsidP="004E6DE8">
            <w:pPr>
              <w:pStyle w:val="Tablehead"/>
              <w:rPr>
                <w:rFonts w:asciiTheme="minorHAnsi" w:hAnsiTheme="minorHAnsi" w:cs="Calibri"/>
                <w:bCs/>
                <w:color w:val="000000"/>
                <w:sz w:val="20"/>
                <w:lang w:eastAsia="en-GB"/>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2423E4E1"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Janvier</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10104BBB"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Février</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5C35FD0E"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Mars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E39DDCD"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Avril</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CFEC18A"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Mai</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44538A39"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Juin</w:t>
            </w:r>
          </w:p>
        </w:tc>
        <w:tc>
          <w:tcPr>
            <w:tcW w:w="1009" w:type="dxa"/>
            <w:tcBorders>
              <w:top w:val="single" w:sz="4" w:space="0" w:color="auto"/>
              <w:left w:val="nil"/>
              <w:bottom w:val="single" w:sz="4" w:space="0" w:color="auto"/>
              <w:right w:val="single" w:sz="4" w:space="0" w:color="auto"/>
            </w:tcBorders>
            <w:shd w:val="clear" w:color="auto" w:fill="auto"/>
            <w:noWrap/>
            <w:vAlign w:val="center"/>
          </w:tcPr>
          <w:p w14:paraId="53EA844C"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Juillet</w:t>
            </w:r>
          </w:p>
        </w:tc>
        <w:tc>
          <w:tcPr>
            <w:tcW w:w="1009" w:type="dxa"/>
            <w:tcBorders>
              <w:top w:val="single" w:sz="4" w:space="0" w:color="auto"/>
              <w:left w:val="nil"/>
              <w:bottom w:val="single" w:sz="4" w:space="0" w:color="auto"/>
              <w:right w:val="single" w:sz="4" w:space="0" w:color="auto"/>
            </w:tcBorders>
            <w:shd w:val="clear" w:color="auto" w:fill="auto"/>
            <w:noWrap/>
            <w:vAlign w:val="center"/>
          </w:tcPr>
          <w:p w14:paraId="66E23E69"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Août</w:t>
            </w:r>
          </w:p>
        </w:tc>
        <w:tc>
          <w:tcPr>
            <w:tcW w:w="1313" w:type="dxa"/>
            <w:tcBorders>
              <w:top w:val="single" w:sz="4" w:space="0" w:color="auto"/>
              <w:left w:val="nil"/>
              <w:bottom w:val="single" w:sz="4" w:space="0" w:color="auto"/>
              <w:right w:val="single" w:sz="4" w:space="0" w:color="auto"/>
            </w:tcBorders>
            <w:shd w:val="clear" w:color="auto" w:fill="auto"/>
            <w:noWrap/>
            <w:vAlign w:val="center"/>
          </w:tcPr>
          <w:p w14:paraId="10812414"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Septembre</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4551D640"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Octobre</w:t>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6F953DEC"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Novembre</w:t>
            </w:r>
          </w:p>
        </w:tc>
        <w:tc>
          <w:tcPr>
            <w:tcW w:w="1142" w:type="dxa"/>
            <w:tcBorders>
              <w:top w:val="single" w:sz="4" w:space="0" w:color="auto"/>
              <w:left w:val="nil"/>
              <w:bottom w:val="single" w:sz="4" w:space="0" w:color="auto"/>
              <w:right w:val="single" w:sz="4" w:space="0" w:color="auto"/>
            </w:tcBorders>
            <w:shd w:val="clear" w:color="auto" w:fill="auto"/>
            <w:noWrap/>
            <w:vAlign w:val="center"/>
          </w:tcPr>
          <w:p w14:paraId="4B757D6C" w14:textId="77777777" w:rsidR="002B7ABA" w:rsidRPr="00DD0DAD" w:rsidRDefault="002B7ABA" w:rsidP="004E6DE8">
            <w:pPr>
              <w:pStyle w:val="Tablehead"/>
              <w:rPr>
                <w:rFonts w:asciiTheme="minorHAnsi" w:hAnsiTheme="minorHAnsi" w:cs="Calibri"/>
                <w:b w:val="0"/>
                <w:color w:val="000000"/>
                <w:sz w:val="20"/>
                <w:lang w:eastAsia="en-GB"/>
              </w:rPr>
            </w:pPr>
            <w:r w:rsidRPr="00DD0DAD">
              <w:rPr>
                <w:rFonts w:asciiTheme="minorHAnsi" w:hAnsiTheme="minorHAnsi"/>
                <w:b w:val="0"/>
                <w:sz w:val="20"/>
                <w:lang w:eastAsia="en-GB"/>
              </w:rPr>
              <w:t>Décembre</w:t>
            </w:r>
          </w:p>
        </w:tc>
        <w:tc>
          <w:tcPr>
            <w:tcW w:w="1388" w:type="dxa"/>
            <w:vMerge/>
            <w:tcBorders>
              <w:top w:val="single" w:sz="8" w:space="0" w:color="auto"/>
              <w:left w:val="single" w:sz="4" w:space="0" w:color="auto"/>
              <w:bottom w:val="single" w:sz="4" w:space="0" w:color="000000"/>
              <w:right w:val="single" w:sz="8" w:space="0" w:color="auto"/>
            </w:tcBorders>
            <w:vAlign w:val="center"/>
            <w:hideMark/>
          </w:tcPr>
          <w:p w14:paraId="75596748" w14:textId="77777777" w:rsidR="002B7ABA" w:rsidRPr="00DD0DAD" w:rsidRDefault="002B7ABA" w:rsidP="004E6DE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b/>
                <w:bCs/>
                <w:color w:val="000000"/>
                <w:sz w:val="20"/>
                <w:lang w:eastAsia="en-GB"/>
              </w:rPr>
            </w:pPr>
          </w:p>
        </w:tc>
      </w:tr>
      <w:tr w:rsidR="002B7ABA" w:rsidRPr="00DD0DAD" w14:paraId="6491E572" w14:textId="77777777" w:rsidTr="00D318A7">
        <w:trPr>
          <w:trHeight w:val="300"/>
          <w:jc w:val="center"/>
        </w:trPr>
        <w:tc>
          <w:tcPr>
            <w:tcW w:w="931" w:type="dxa"/>
            <w:tcBorders>
              <w:top w:val="nil"/>
              <w:left w:val="single" w:sz="8" w:space="0" w:color="auto"/>
              <w:bottom w:val="single" w:sz="4" w:space="0" w:color="auto"/>
              <w:right w:val="single" w:sz="4" w:space="0" w:color="auto"/>
            </w:tcBorders>
            <w:shd w:val="clear" w:color="auto" w:fill="auto"/>
            <w:noWrap/>
            <w:vAlign w:val="center"/>
            <w:hideMark/>
          </w:tcPr>
          <w:p w14:paraId="75D894AF" w14:textId="77777777" w:rsidR="002B7ABA" w:rsidRPr="00DD0DAD" w:rsidRDefault="002B7ABA" w:rsidP="004E6DE8">
            <w:pPr>
              <w:pStyle w:val="Tabletext"/>
              <w:jc w:val="center"/>
              <w:rPr>
                <w:rFonts w:asciiTheme="minorHAnsi" w:hAnsiTheme="minorHAnsi" w:cs="Calibri"/>
                <w:b/>
                <w:bCs/>
                <w:color w:val="000000"/>
                <w:sz w:val="20"/>
                <w:lang w:eastAsia="en-GB"/>
              </w:rPr>
            </w:pPr>
            <w:r w:rsidRPr="00DD0DAD">
              <w:rPr>
                <w:rFonts w:asciiTheme="minorHAnsi" w:hAnsiTheme="minorHAnsi" w:cs="Calibri"/>
                <w:b/>
                <w:bCs/>
                <w:color w:val="000000"/>
                <w:sz w:val="20"/>
                <w:lang w:eastAsia="en-GB"/>
              </w:rPr>
              <w:t>2021</w:t>
            </w:r>
          </w:p>
        </w:tc>
        <w:tc>
          <w:tcPr>
            <w:tcW w:w="2988"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10CCF085"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0 </w:t>
            </w:r>
          </w:p>
        </w:tc>
        <w:tc>
          <w:tcPr>
            <w:tcW w:w="3278"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2133DAF0"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702 051 </w:t>
            </w:r>
          </w:p>
        </w:tc>
        <w:tc>
          <w:tcPr>
            <w:tcW w:w="3331"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5D62DAA4"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2 185 989 </w:t>
            </w:r>
          </w:p>
        </w:tc>
        <w:tc>
          <w:tcPr>
            <w:tcW w:w="3454"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346A9AEC"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2 065 989 </w:t>
            </w:r>
          </w:p>
        </w:tc>
        <w:tc>
          <w:tcPr>
            <w:tcW w:w="1388" w:type="dxa"/>
            <w:tcBorders>
              <w:top w:val="nil"/>
              <w:left w:val="nil"/>
              <w:bottom w:val="single" w:sz="4" w:space="0" w:color="auto"/>
              <w:right w:val="single" w:sz="8" w:space="0" w:color="auto"/>
            </w:tcBorders>
            <w:shd w:val="clear" w:color="auto" w:fill="auto"/>
            <w:noWrap/>
            <w:vAlign w:val="center"/>
            <w:hideMark/>
          </w:tcPr>
          <w:p w14:paraId="78C6254D"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cs="Calibri"/>
                <w:b/>
                <w:bCs/>
                <w:color w:val="000000"/>
                <w:sz w:val="20"/>
                <w:lang w:eastAsia="en-GB"/>
              </w:rPr>
              <w:t xml:space="preserve">4 954 030 </w:t>
            </w:r>
          </w:p>
        </w:tc>
      </w:tr>
      <w:tr w:rsidR="002B7ABA" w:rsidRPr="00DD0DAD" w14:paraId="688BD7C1" w14:textId="77777777" w:rsidTr="00D318A7">
        <w:trPr>
          <w:trHeight w:val="300"/>
          <w:jc w:val="center"/>
        </w:trPr>
        <w:tc>
          <w:tcPr>
            <w:tcW w:w="931" w:type="dxa"/>
            <w:tcBorders>
              <w:top w:val="nil"/>
              <w:left w:val="single" w:sz="8" w:space="0" w:color="auto"/>
              <w:bottom w:val="single" w:sz="4" w:space="0" w:color="auto"/>
              <w:right w:val="single" w:sz="4" w:space="0" w:color="auto"/>
            </w:tcBorders>
            <w:shd w:val="clear" w:color="auto" w:fill="auto"/>
            <w:noWrap/>
            <w:vAlign w:val="center"/>
            <w:hideMark/>
          </w:tcPr>
          <w:p w14:paraId="4C1C2499" w14:textId="77777777" w:rsidR="002B7ABA" w:rsidRPr="00DD0DAD" w:rsidRDefault="002B7ABA" w:rsidP="004E6DE8">
            <w:pPr>
              <w:pStyle w:val="Tabletext"/>
              <w:jc w:val="center"/>
              <w:rPr>
                <w:rFonts w:asciiTheme="minorHAnsi" w:hAnsiTheme="minorHAnsi" w:cs="Calibri"/>
                <w:b/>
                <w:bCs/>
                <w:color w:val="000000"/>
                <w:sz w:val="20"/>
                <w:lang w:eastAsia="en-GB"/>
              </w:rPr>
            </w:pPr>
            <w:r w:rsidRPr="00DD0DAD">
              <w:rPr>
                <w:rFonts w:asciiTheme="minorHAnsi" w:hAnsiTheme="minorHAnsi" w:cs="Calibri"/>
                <w:b/>
                <w:bCs/>
                <w:color w:val="000000"/>
                <w:sz w:val="20"/>
                <w:lang w:eastAsia="en-GB"/>
              </w:rPr>
              <w:t>2022</w:t>
            </w:r>
          </w:p>
        </w:tc>
        <w:tc>
          <w:tcPr>
            <w:tcW w:w="2988" w:type="dxa"/>
            <w:gridSpan w:val="3"/>
            <w:tcBorders>
              <w:top w:val="single" w:sz="4" w:space="0" w:color="auto"/>
              <w:left w:val="nil"/>
              <w:bottom w:val="single" w:sz="4" w:space="0" w:color="auto"/>
              <w:right w:val="single" w:sz="4" w:space="0" w:color="auto"/>
            </w:tcBorders>
            <w:shd w:val="clear" w:color="000000" w:fill="EAEAEA"/>
            <w:noWrap/>
            <w:vAlign w:val="center"/>
            <w:hideMark/>
          </w:tcPr>
          <w:p w14:paraId="6EB4E7C8"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0 </w:t>
            </w:r>
          </w:p>
        </w:tc>
        <w:tc>
          <w:tcPr>
            <w:tcW w:w="3278" w:type="dxa"/>
            <w:gridSpan w:val="3"/>
            <w:tcBorders>
              <w:top w:val="single" w:sz="4" w:space="0" w:color="auto"/>
              <w:left w:val="single" w:sz="4" w:space="0" w:color="auto"/>
              <w:bottom w:val="single" w:sz="4" w:space="0" w:color="auto"/>
              <w:right w:val="single" w:sz="4" w:space="0" w:color="auto"/>
            </w:tcBorders>
            <w:shd w:val="clear" w:color="000000" w:fill="EAEAEA"/>
            <w:noWrap/>
            <w:vAlign w:val="center"/>
            <w:hideMark/>
          </w:tcPr>
          <w:p w14:paraId="2D2CDA92" w14:textId="3674CDA4" w:rsidR="002B7ABA" w:rsidRPr="00DD0DAD" w:rsidRDefault="00D318A7" w:rsidP="004E6DE8">
            <w:pPr>
              <w:pStyle w:val="Tabletext"/>
              <w:jc w:val="center"/>
              <w:rPr>
                <w:rFonts w:asciiTheme="minorHAnsi" w:hAnsiTheme="minorHAnsi"/>
                <w:sz w:val="20"/>
              </w:rPr>
            </w:pPr>
            <w:r>
              <w:rPr>
                <w:rFonts w:asciiTheme="minorHAnsi" w:hAnsiTheme="minorHAnsi" w:cs="Calibri"/>
                <w:color w:val="000000"/>
                <w:sz w:val="20"/>
                <w:lang w:eastAsia="en-GB"/>
              </w:rPr>
              <w:t>0</w:t>
            </w:r>
            <w:r w:rsidR="002B7ABA" w:rsidRPr="00DD0DAD">
              <w:rPr>
                <w:rFonts w:asciiTheme="minorHAnsi" w:hAnsiTheme="minorHAnsi" w:cs="Calibri"/>
                <w:color w:val="000000"/>
                <w:sz w:val="20"/>
                <w:lang w:eastAsia="en-GB"/>
              </w:rPr>
              <w:t xml:space="preserve"> </w:t>
            </w:r>
          </w:p>
        </w:tc>
        <w:tc>
          <w:tcPr>
            <w:tcW w:w="3331" w:type="dxa"/>
            <w:gridSpan w:val="3"/>
            <w:tcBorders>
              <w:top w:val="single" w:sz="4" w:space="0" w:color="auto"/>
              <w:left w:val="single" w:sz="4" w:space="0" w:color="auto"/>
              <w:bottom w:val="single" w:sz="4" w:space="0" w:color="auto"/>
              <w:right w:val="single" w:sz="4" w:space="0" w:color="auto"/>
            </w:tcBorders>
            <w:shd w:val="clear" w:color="000000" w:fill="EAEAEA"/>
            <w:noWrap/>
            <w:vAlign w:val="center"/>
            <w:hideMark/>
          </w:tcPr>
          <w:p w14:paraId="2CC9D0B5"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345 000 </w:t>
            </w:r>
          </w:p>
        </w:tc>
        <w:tc>
          <w:tcPr>
            <w:tcW w:w="3454" w:type="dxa"/>
            <w:gridSpan w:val="3"/>
            <w:tcBorders>
              <w:top w:val="single" w:sz="4" w:space="0" w:color="auto"/>
              <w:left w:val="single" w:sz="4" w:space="0" w:color="auto"/>
              <w:bottom w:val="single" w:sz="4" w:space="0" w:color="auto"/>
              <w:right w:val="single" w:sz="4" w:space="0" w:color="auto"/>
            </w:tcBorders>
            <w:shd w:val="clear" w:color="000000" w:fill="EAEAEA"/>
            <w:noWrap/>
            <w:vAlign w:val="center"/>
            <w:hideMark/>
          </w:tcPr>
          <w:p w14:paraId="55587609" w14:textId="4A44157C" w:rsidR="002B7ABA" w:rsidRPr="00DD0DAD" w:rsidRDefault="002B7ABA" w:rsidP="00D318A7">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2 </w:t>
            </w:r>
            <w:r w:rsidR="00D318A7">
              <w:rPr>
                <w:rFonts w:asciiTheme="minorHAnsi" w:hAnsiTheme="minorHAnsi" w:cs="Calibri"/>
                <w:color w:val="000000"/>
                <w:sz w:val="20"/>
                <w:lang w:eastAsia="en-GB"/>
              </w:rPr>
              <w:t>172 500</w:t>
            </w:r>
            <w:r w:rsidRPr="00DD0DAD">
              <w:rPr>
                <w:rFonts w:asciiTheme="minorHAnsi" w:hAnsiTheme="minorHAnsi" w:cs="Calibri"/>
                <w:color w:val="000000"/>
                <w:sz w:val="20"/>
                <w:lang w:eastAsia="en-GB"/>
              </w:rPr>
              <w:t xml:space="preserve"> </w:t>
            </w:r>
          </w:p>
        </w:tc>
        <w:tc>
          <w:tcPr>
            <w:tcW w:w="1388" w:type="dxa"/>
            <w:tcBorders>
              <w:top w:val="nil"/>
              <w:left w:val="single" w:sz="4" w:space="0" w:color="auto"/>
              <w:bottom w:val="single" w:sz="4" w:space="0" w:color="auto"/>
              <w:right w:val="single" w:sz="8" w:space="0" w:color="auto"/>
            </w:tcBorders>
            <w:shd w:val="clear" w:color="auto" w:fill="auto"/>
            <w:noWrap/>
            <w:vAlign w:val="center"/>
            <w:hideMark/>
          </w:tcPr>
          <w:p w14:paraId="3DB51FA5"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cs="Calibri"/>
                <w:b/>
                <w:bCs/>
                <w:color w:val="000000"/>
                <w:sz w:val="20"/>
                <w:lang w:eastAsia="en-GB"/>
              </w:rPr>
              <w:t xml:space="preserve">2 517 500 </w:t>
            </w:r>
          </w:p>
        </w:tc>
      </w:tr>
      <w:tr w:rsidR="002B7ABA" w:rsidRPr="00DD0DAD" w14:paraId="507C4BD0" w14:textId="77777777" w:rsidTr="00D318A7">
        <w:trPr>
          <w:trHeight w:val="300"/>
          <w:jc w:val="center"/>
        </w:trPr>
        <w:tc>
          <w:tcPr>
            <w:tcW w:w="931" w:type="dxa"/>
            <w:tcBorders>
              <w:top w:val="nil"/>
              <w:left w:val="single" w:sz="8" w:space="0" w:color="auto"/>
              <w:bottom w:val="single" w:sz="4" w:space="0" w:color="auto"/>
              <w:right w:val="single" w:sz="4" w:space="0" w:color="auto"/>
            </w:tcBorders>
            <w:shd w:val="clear" w:color="auto" w:fill="auto"/>
            <w:noWrap/>
            <w:vAlign w:val="center"/>
            <w:hideMark/>
          </w:tcPr>
          <w:p w14:paraId="57E0E6A5" w14:textId="77777777" w:rsidR="002B7ABA" w:rsidRPr="00DD0DAD" w:rsidRDefault="002B7ABA" w:rsidP="004E6DE8">
            <w:pPr>
              <w:pStyle w:val="Tabletext"/>
              <w:jc w:val="center"/>
              <w:rPr>
                <w:rFonts w:asciiTheme="minorHAnsi" w:hAnsiTheme="minorHAnsi" w:cs="Calibri"/>
                <w:b/>
                <w:bCs/>
                <w:color w:val="000000"/>
                <w:sz w:val="20"/>
                <w:lang w:eastAsia="en-GB"/>
              </w:rPr>
            </w:pPr>
            <w:r w:rsidRPr="00DD0DAD">
              <w:rPr>
                <w:rFonts w:asciiTheme="minorHAnsi" w:hAnsiTheme="minorHAnsi" w:cs="Calibri"/>
                <w:b/>
                <w:bCs/>
                <w:color w:val="000000"/>
                <w:sz w:val="20"/>
                <w:lang w:eastAsia="en-GB"/>
              </w:rPr>
              <w:t>2023</w:t>
            </w:r>
          </w:p>
        </w:tc>
        <w:tc>
          <w:tcPr>
            <w:tcW w:w="2988"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69FD387B"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3 548 843 </w:t>
            </w:r>
          </w:p>
        </w:tc>
        <w:tc>
          <w:tcPr>
            <w:tcW w:w="3278"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326CC025"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5 241 992 </w:t>
            </w:r>
          </w:p>
        </w:tc>
        <w:tc>
          <w:tcPr>
            <w:tcW w:w="3331"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11140FC7"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3 760 505 </w:t>
            </w:r>
          </w:p>
        </w:tc>
        <w:tc>
          <w:tcPr>
            <w:tcW w:w="3454"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49AE11F2"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7 870 172 </w:t>
            </w:r>
          </w:p>
        </w:tc>
        <w:tc>
          <w:tcPr>
            <w:tcW w:w="1388" w:type="dxa"/>
            <w:tcBorders>
              <w:top w:val="nil"/>
              <w:left w:val="nil"/>
              <w:bottom w:val="single" w:sz="4" w:space="0" w:color="auto"/>
              <w:right w:val="single" w:sz="8" w:space="0" w:color="auto"/>
            </w:tcBorders>
            <w:shd w:val="clear" w:color="auto" w:fill="auto"/>
            <w:noWrap/>
            <w:vAlign w:val="center"/>
            <w:hideMark/>
          </w:tcPr>
          <w:p w14:paraId="35F343C9"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cs="Calibri"/>
                <w:b/>
                <w:bCs/>
                <w:color w:val="000000"/>
                <w:sz w:val="20"/>
                <w:lang w:eastAsia="en-GB"/>
              </w:rPr>
              <w:t xml:space="preserve">20 421 513 </w:t>
            </w:r>
          </w:p>
        </w:tc>
      </w:tr>
      <w:tr w:rsidR="002B7ABA" w:rsidRPr="00DD0DAD" w14:paraId="1A5B0EC6" w14:textId="77777777" w:rsidTr="00D318A7">
        <w:trPr>
          <w:trHeight w:val="300"/>
          <w:jc w:val="center"/>
        </w:trPr>
        <w:tc>
          <w:tcPr>
            <w:tcW w:w="931" w:type="dxa"/>
            <w:tcBorders>
              <w:top w:val="nil"/>
              <w:left w:val="single" w:sz="8" w:space="0" w:color="auto"/>
              <w:bottom w:val="single" w:sz="4" w:space="0" w:color="auto"/>
              <w:right w:val="single" w:sz="4" w:space="0" w:color="auto"/>
            </w:tcBorders>
            <w:shd w:val="clear" w:color="auto" w:fill="auto"/>
            <w:noWrap/>
            <w:vAlign w:val="center"/>
            <w:hideMark/>
          </w:tcPr>
          <w:p w14:paraId="4B754394" w14:textId="77777777" w:rsidR="002B7ABA" w:rsidRPr="00DD0DAD" w:rsidRDefault="002B7ABA" w:rsidP="004E6DE8">
            <w:pPr>
              <w:pStyle w:val="Tabletext"/>
              <w:jc w:val="center"/>
              <w:rPr>
                <w:rFonts w:asciiTheme="minorHAnsi" w:hAnsiTheme="minorHAnsi" w:cs="Calibri"/>
                <w:b/>
                <w:bCs/>
                <w:color w:val="000000"/>
                <w:sz w:val="20"/>
                <w:lang w:eastAsia="en-GB"/>
              </w:rPr>
            </w:pPr>
            <w:r w:rsidRPr="00DD0DAD">
              <w:rPr>
                <w:rFonts w:asciiTheme="minorHAnsi" w:hAnsiTheme="minorHAnsi" w:cs="Calibri"/>
                <w:b/>
                <w:bCs/>
                <w:color w:val="000000"/>
                <w:sz w:val="20"/>
                <w:lang w:eastAsia="en-GB"/>
              </w:rPr>
              <w:t>2024</w:t>
            </w:r>
          </w:p>
        </w:tc>
        <w:tc>
          <w:tcPr>
            <w:tcW w:w="2988"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6CAE5683"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9 294 525 </w:t>
            </w:r>
          </w:p>
        </w:tc>
        <w:tc>
          <w:tcPr>
            <w:tcW w:w="3278"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7739BFF2"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9 294 525 </w:t>
            </w:r>
          </w:p>
        </w:tc>
        <w:tc>
          <w:tcPr>
            <w:tcW w:w="3331"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7D859787"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9 294 525 </w:t>
            </w:r>
          </w:p>
        </w:tc>
        <w:tc>
          <w:tcPr>
            <w:tcW w:w="3454"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0913168C"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9 705 935 </w:t>
            </w:r>
          </w:p>
        </w:tc>
        <w:tc>
          <w:tcPr>
            <w:tcW w:w="1388" w:type="dxa"/>
            <w:tcBorders>
              <w:top w:val="nil"/>
              <w:left w:val="nil"/>
              <w:bottom w:val="single" w:sz="4" w:space="0" w:color="auto"/>
              <w:right w:val="single" w:sz="8" w:space="0" w:color="auto"/>
            </w:tcBorders>
            <w:shd w:val="clear" w:color="auto" w:fill="auto"/>
            <w:noWrap/>
            <w:vAlign w:val="center"/>
            <w:hideMark/>
          </w:tcPr>
          <w:p w14:paraId="3C54C01E"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cs="Calibri"/>
                <w:b/>
                <w:bCs/>
                <w:color w:val="000000"/>
                <w:sz w:val="20"/>
                <w:lang w:eastAsia="en-GB"/>
              </w:rPr>
              <w:t xml:space="preserve">37 589 510 </w:t>
            </w:r>
          </w:p>
        </w:tc>
      </w:tr>
      <w:tr w:rsidR="002B7ABA" w:rsidRPr="00DD0DAD" w14:paraId="4466B123" w14:textId="77777777" w:rsidTr="00D318A7">
        <w:trPr>
          <w:trHeight w:val="300"/>
          <w:jc w:val="center"/>
        </w:trPr>
        <w:tc>
          <w:tcPr>
            <w:tcW w:w="931" w:type="dxa"/>
            <w:tcBorders>
              <w:top w:val="nil"/>
              <w:left w:val="single" w:sz="8" w:space="0" w:color="auto"/>
              <w:bottom w:val="single" w:sz="4" w:space="0" w:color="auto"/>
              <w:right w:val="single" w:sz="4" w:space="0" w:color="auto"/>
            </w:tcBorders>
            <w:shd w:val="clear" w:color="auto" w:fill="auto"/>
            <w:noWrap/>
            <w:vAlign w:val="center"/>
            <w:hideMark/>
          </w:tcPr>
          <w:p w14:paraId="32528D89" w14:textId="77777777" w:rsidR="002B7ABA" w:rsidRPr="00DD0DAD" w:rsidRDefault="002B7ABA" w:rsidP="004E6DE8">
            <w:pPr>
              <w:pStyle w:val="Tabletext"/>
              <w:jc w:val="center"/>
              <w:rPr>
                <w:rFonts w:asciiTheme="minorHAnsi" w:hAnsiTheme="minorHAnsi" w:cs="Calibri"/>
                <w:b/>
                <w:bCs/>
                <w:color w:val="000000"/>
                <w:sz w:val="20"/>
                <w:lang w:eastAsia="en-GB"/>
              </w:rPr>
            </w:pPr>
            <w:r w:rsidRPr="00DD0DAD">
              <w:rPr>
                <w:rFonts w:asciiTheme="minorHAnsi" w:hAnsiTheme="minorHAnsi" w:cs="Calibri"/>
                <w:b/>
                <w:bCs/>
                <w:color w:val="000000"/>
                <w:sz w:val="20"/>
                <w:lang w:eastAsia="en-GB"/>
              </w:rPr>
              <w:t>2025</w:t>
            </w:r>
          </w:p>
        </w:tc>
        <w:tc>
          <w:tcPr>
            <w:tcW w:w="2988"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240C7ED0"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9 729 400 </w:t>
            </w:r>
          </w:p>
        </w:tc>
        <w:tc>
          <w:tcPr>
            <w:tcW w:w="3278"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0E69B454"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9 633 340 </w:t>
            </w:r>
          </w:p>
        </w:tc>
        <w:tc>
          <w:tcPr>
            <w:tcW w:w="3331"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0837A7ED"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13 799 597 </w:t>
            </w:r>
          </w:p>
        </w:tc>
        <w:tc>
          <w:tcPr>
            <w:tcW w:w="3454"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5A31E56B"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10 479 529 </w:t>
            </w:r>
          </w:p>
        </w:tc>
        <w:tc>
          <w:tcPr>
            <w:tcW w:w="1388" w:type="dxa"/>
            <w:tcBorders>
              <w:top w:val="nil"/>
              <w:left w:val="nil"/>
              <w:bottom w:val="single" w:sz="4" w:space="0" w:color="auto"/>
              <w:right w:val="single" w:sz="8" w:space="0" w:color="auto"/>
            </w:tcBorders>
            <w:shd w:val="clear" w:color="auto" w:fill="auto"/>
            <w:noWrap/>
            <w:vAlign w:val="center"/>
            <w:hideMark/>
          </w:tcPr>
          <w:p w14:paraId="473B2E29"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cs="Calibri"/>
                <w:b/>
                <w:bCs/>
                <w:color w:val="000000"/>
                <w:sz w:val="20"/>
                <w:lang w:eastAsia="en-GB"/>
              </w:rPr>
              <w:t xml:space="preserve">43 641 866 </w:t>
            </w:r>
          </w:p>
        </w:tc>
      </w:tr>
      <w:tr w:rsidR="002B7ABA" w:rsidRPr="00DD0DAD" w14:paraId="0F329886" w14:textId="77777777" w:rsidTr="00D318A7">
        <w:trPr>
          <w:trHeight w:val="300"/>
          <w:jc w:val="center"/>
        </w:trPr>
        <w:tc>
          <w:tcPr>
            <w:tcW w:w="931" w:type="dxa"/>
            <w:tcBorders>
              <w:top w:val="nil"/>
              <w:left w:val="single" w:sz="8" w:space="0" w:color="auto"/>
              <w:bottom w:val="single" w:sz="4" w:space="0" w:color="auto"/>
              <w:right w:val="single" w:sz="4" w:space="0" w:color="auto"/>
            </w:tcBorders>
            <w:shd w:val="clear" w:color="auto" w:fill="auto"/>
            <w:noWrap/>
            <w:vAlign w:val="center"/>
            <w:hideMark/>
          </w:tcPr>
          <w:p w14:paraId="32A6682D" w14:textId="77777777" w:rsidR="002B7ABA" w:rsidRPr="00DD0DAD" w:rsidRDefault="002B7ABA" w:rsidP="004E6DE8">
            <w:pPr>
              <w:pStyle w:val="Tabletext"/>
              <w:jc w:val="center"/>
              <w:rPr>
                <w:rFonts w:asciiTheme="minorHAnsi" w:hAnsiTheme="minorHAnsi" w:cs="Calibri"/>
                <w:b/>
                <w:bCs/>
                <w:color w:val="000000"/>
                <w:sz w:val="20"/>
                <w:lang w:eastAsia="en-GB"/>
              </w:rPr>
            </w:pPr>
            <w:r w:rsidRPr="00DD0DAD">
              <w:rPr>
                <w:rFonts w:asciiTheme="minorHAnsi" w:hAnsiTheme="minorHAnsi" w:cs="Calibri"/>
                <w:b/>
                <w:bCs/>
                <w:color w:val="000000"/>
                <w:sz w:val="20"/>
                <w:lang w:eastAsia="en-GB"/>
              </w:rPr>
              <w:t>2026</w:t>
            </w:r>
          </w:p>
        </w:tc>
        <w:tc>
          <w:tcPr>
            <w:tcW w:w="2988"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34F765BB"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10 768 311 </w:t>
            </w:r>
          </w:p>
        </w:tc>
        <w:tc>
          <w:tcPr>
            <w:tcW w:w="3278"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1206998B"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5 893 860 </w:t>
            </w:r>
          </w:p>
        </w:tc>
        <w:tc>
          <w:tcPr>
            <w:tcW w:w="3331"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223D1E79"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3 457 268 </w:t>
            </w:r>
          </w:p>
        </w:tc>
        <w:tc>
          <w:tcPr>
            <w:tcW w:w="3454"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1DC6CB8B"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1 737 467 </w:t>
            </w:r>
          </w:p>
        </w:tc>
        <w:tc>
          <w:tcPr>
            <w:tcW w:w="1388" w:type="dxa"/>
            <w:tcBorders>
              <w:top w:val="nil"/>
              <w:left w:val="nil"/>
              <w:bottom w:val="single" w:sz="4" w:space="0" w:color="auto"/>
              <w:right w:val="single" w:sz="8" w:space="0" w:color="auto"/>
            </w:tcBorders>
            <w:shd w:val="clear" w:color="auto" w:fill="auto"/>
            <w:noWrap/>
            <w:vAlign w:val="center"/>
            <w:hideMark/>
          </w:tcPr>
          <w:p w14:paraId="6E7B6730"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cs="Calibri"/>
                <w:b/>
                <w:bCs/>
                <w:color w:val="000000"/>
                <w:sz w:val="20"/>
                <w:lang w:eastAsia="en-GB"/>
              </w:rPr>
              <w:t xml:space="preserve">21 856 906 </w:t>
            </w:r>
          </w:p>
        </w:tc>
      </w:tr>
      <w:tr w:rsidR="002B7ABA" w:rsidRPr="00DD0DAD" w14:paraId="2D0F7C17" w14:textId="77777777" w:rsidTr="001D1A6D">
        <w:trPr>
          <w:trHeight w:val="315"/>
          <w:jc w:val="center"/>
        </w:trPr>
        <w:tc>
          <w:tcPr>
            <w:tcW w:w="931" w:type="dxa"/>
            <w:tcBorders>
              <w:top w:val="nil"/>
              <w:left w:val="single" w:sz="8" w:space="0" w:color="auto"/>
              <w:bottom w:val="single" w:sz="8" w:space="0" w:color="auto"/>
              <w:right w:val="single" w:sz="4" w:space="0" w:color="auto"/>
            </w:tcBorders>
            <w:shd w:val="clear" w:color="auto" w:fill="auto"/>
            <w:noWrap/>
            <w:vAlign w:val="center"/>
            <w:hideMark/>
          </w:tcPr>
          <w:p w14:paraId="2311F85D" w14:textId="77777777" w:rsidR="002B7ABA" w:rsidRPr="00DD0DAD" w:rsidRDefault="002B7ABA" w:rsidP="004E6DE8">
            <w:pPr>
              <w:pStyle w:val="Tabletext"/>
              <w:jc w:val="center"/>
              <w:rPr>
                <w:rFonts w:asciiTheme="minorHAnsi" w:hAnsiTheme="minorHAnsi" w:cs="Calibri"/>
                <w:b/>
                <w:bCs/>
                <w:color w:val="000000"/>
                <w:sz w:val="20"/>
                <w:lang w:eastAsia="en-GB"/>
              </w:rPr>
            </w:pPr>
            <w:r w:rsidRPr="00DD0DAD">
              <w:rPr>
                <w:rFonts w:asciiTheme="minorHAnsi" w:hAnsiTheme="minorHAnsi" w:cs="Calibri"/>
                <w:b/>
                <w:bCs/>
                <w:color w:val="000000"/>
                <w:sz w:val="20"/>
                <w:lang w:eastAsia="en-GB"/>
              </w:rPr>
              <w:t>2027</w:t>
            </w:r>
          </w:p>
        </w:tc>
        <w:tc>
          <w:tcPr>
            <w:tcW w:w="2988" w:type="dxa"/>
            <w:gridSpan w:val="3"/>
            <w:tcBorders>
              <w:top w:val="single" w:sz="4" w:space="0" w:color="auto"/>
              <w:left w:val="nil"/>
              <w:bottom w:val="single" w:sz="8" w:space="0" w:color="auto"/>
              <w:right w:val="single" w:sz="4" w:space="0" w:color="000000"/>
            </w:tcBorders>
            <w:shd w:val="clear" w:color="000000" w:fill="EAEAEA"/>
            <w:noWrap/>
            <w:vAlign w:val="center"/>
            <w:hideMark/>
          </w:tcPr>
          <w:p w14:paraId="0371DDA8"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7 018 675 </w:t>
            </w:r>
          </w:p>
        </w:tc>
        <w:tc>
          <w:tcPr>
            <w:tcW w:w="3278" w:type="dxa"/>
            <w:gridSpan w:val="3"/>
            <w:tcBorders>
              <w:top w:val="single" w:sz="4" w:space="0" w:color="auto"/>
              <w:left w:val="nil"/>
              <w:bottom w:val="single" w:sz="8" w:space="0" w:color="auto"/>
              <w:right w:val="single" w:sz="4" w:space="0" w:color="000000"/>
            </w:tcBorders>
            <w:shd w:val="clear" w:color="000000" w:fill="EAEAEA"/>
            <w:noWrap/>
            <w:vAlign w:val="center"/>
            <w:hideMark/>
          </w:tcPr>
          <w:p w14:paraId="42512FA7"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0 </w:t>
            </w:r>
          </w:p>
        </w:tc>
        <w:tc>
          <w:tcPr>
            <w:tcW w:w="3331" w:type="dxa"/>
            <w:gridSpan w:val="3"/>
            <w:tcBorders>
              <w:top w:val="single" w:sz="4" w:space="0" w:color="auto"/>
              <w:left w:val="nil"/>
              <w:bottom w:val="single" w:sz="8" w:space="0" w:color="auto"/>
              <w:right w:val="single" w:sz="4" w:space="0" w:color="000000"/>
            </w:tcBorders>
            <w:shd w:val="clear" w:color="000000" w:fill="EAEAEA"/>
            <w:noWrap/>
            <w:vAlign w:val="center"/>
            <w:hideMark/>
          </w:tcPr>
          <w:p w14:paraId="3F9DE74B"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0 </w:t>
            </w:r>
          </w:p>
        </w:tc>
        <w:tc>
          <w:tcPr>
            <w:tcW w:w="3454" w:type="dxa"/>
            <w:gridSpan w:val="3"/>
            <w:tcBorders>
              <w:top w:val="single" w:sz="4" w:space="0" w:color="auto"/>
              <w:left w:val="nil"/>
              <w:bottom w:val="single" w:sz="4" w:space="0" w:color="auto"/>
              <w:right w:val="single" w:sz="4" w:space="0" w:color="000000"/>
            </w:tcBorders>
            <w:shd w:val="clear" w:color="000000" w:fill="EAEAEA"/>
            <w:noWrap/>
            <w:vAlign w:val="center"/>
            <w:hideMark/>
          </w:tcPr>
          <w:p w14:paraId="27BF08FB" w14:textId="77777777" w:rsidR="002B7ABA" w:rsidRPr="00DD0DAD" w:rsidRDefault="002B7ABA" w:rsidP="004E6DE8">
            <w:pPr>
              <w:pStyle w:val="Tabletext"/>
              <w:jc w:val="center"/>
              <w:rPr>
                <w:rFonts w:asciiTheme="minorHAnsi" w:hAnsiTheme="minorHAnsi"/>
                <w:sz w:val="20"/>
              </w:rPr>
            </w:pPr>
            <w:r w:rsidRPr="00DD0DAD">
              <w:rPr>
                <w:rFonts w:asciiTheme="minorHAnsi" w:hAnsiTheme="minorHAnsi" w:cs="Calibri"/>
                <w:color w:val="000000"/>
                <w:sz w:val="20"/>
                <w:lang w:eastAsia="en-GB"/>
              </w:rPr>
              <w:t xml:space="preserve">0 </w:t>
            </w:r>
          </w:p>
        </w:tc>
        <w:tc>
          <w:tcPr>
            <w:tcW w:w="1388" w:type="dxa"/>
            <w:tcBorders>
              <w:top w:val="nil"/>
              <w:left w:val="nil"/>
              <w:bottom w:val="single" w:sz="8" w:space="0" w:color="auto"/>
              <w:right w:val="single" w:sz="8" w:space="0" w:color="auto"/>
            </w:tcBorders>
            <w:shd w:val="clear" w:color="auto" w:fill="auto"/>
            <w:noWrap/>
            <w:vAlign w:val="center"/>
            <w:hideMark/>
          </w:tcPr>
          <w:p w14:paraId="66C84BC4" w14:textId="77777777" w:rsidR="002B7ABA" w:rsidRPr="00DD0DAD" w:rsidRDefault="002B7ABA" w:rsidP="001D1A6D">
            <w:pPr>
              <w:pStyle w:val="Tabletext"/>
              <w:jc w:val="right"/>
              <w:rPr>
                <w:rFonts w:asciiTheme="minorHAnsi" w:hAnsiTheme="minorHAnsi"/>
                <w:b/>
                <w:bCs/>
                <w:sz w:val="20"/>
              </w:rPr>
            </w:pPr>
            <w:r w:rsidRPr="00DD0DAD">
              <w:rPr>
                <w:rFonts w:asciiTheme="minorHAnsi" w:hAnsiTheme="minorHAnsi" w:cs="Calibri"/>
                <w:b/>
                <w:bCs/>
                <w:color w:val="000000"/>
                <w:sz w:val="20"/>
                <w:lang w:eastAsia="en-GB"/>
              </w:rPr>
              <w:t xml:space="preserve">7 018 675 </w:t>
            </w:r>
          </w:p>
        </w:tc>
      </w:tr>
      <w:tr w:rsidR="001D1A6D" w:rsidRPr="00DD0DAD" w14:paraId="703864CD" w14:textId="77777777" w:rsidTr="0038112A">
        <w:trPr>
          <w:trHeight w:val="315"/>
          <w:jc w:val="center"/>
        </w:trPr>
        <w:tc>
          <w:tcPr>
            <w:tcW w:w="931" w:type="dxa"/>
            <w:tcBorders>
              <w:top w:val="nil"/>
              <w:left w:val="nil"/>
              <w:bottom w:val="nil"/>
              <w:right w:val="nil"/>
            </w:tcBorders>
            <w:shd w:val="clear" w:color="auto" w:fill="auto"/>
            <w:noWrap/>
            <w:vAlign w:val="center"/>
            <w:hideMark/>
          </w:tcPr>
          <w:p w14:paraId="461848AF" w14:textId="77777777" w:rsidR="001D1A6D" w:rsidRPr="00DD0DAD" w:rsidRDefault="001D1A6D" w:rsidP="004E6DE8">
            <w:pPr>
              <w:pStyle w:val="Tabletext"/>
              <w:jc w:val="center"/>
              <w:rPr>
                <w:rFonts w:asciiTheme="minorHAnsi" w:hAnsiTheme="minorHAnsi" w:cs="Calibri"/>
                <w:b/>
                <w:bCs/>
                <w:color w:val="000000"/>
                <w:sz w:val="20"/>
                <w:lang w:eastAsia="en-GB"/>
              </w:rPr>
            </w:pPr>
          </w:p>
        </w:tc>
        <w:tc>
          <w:tcPr>
            <w:tcW w:w="1088" w:type="dxa"/>
            <w:tcBorders>
              <w:top w:val="nil"/>
              <w:left w:val="nil"/>
              <w:bottom w:val="nil"/>
              <w:right w:val="nil"/>
            </w:tcBorders>
            <w:shd w:val="clear" w:color="auto" w:fill="auto"/>
            <w:noWrap/>
            <w:vAlign w:val="center"/>
            <w:hideMark/>
          </w:tcPr>
          <w:p w14:paraId="2CA9429C" w14:textId="77777777" w:rsidR="001D1A6D" w:rsidRPr="00DD0DAD" w:rsidRDefault="001D1A6D" w:rsidP="004E6DE8">
            <w:pPr>
              <w:pStyle w:val="Tabletext"/>
              <w:jc w:val="center"/>
              <w:rPr>
                <w:rFonts w:asciiTheme="minorHAnsi" w:hAnsiTheme="minorHAnsi"/>
                <w:sz w:val="20"/>
              </w:rPr>
            </w:pPr>
          </w:p>
        </w:tc>
        <w:tc>
          <w:tcPr>
            <w:tcW w:w="1040" w:type="dxa"/>
            <w:tcBorders>
              <w:top w:val="nil"/>
              <w:left w:val="nil"/>
              <w:bottom w:val="nil"/>
              <w:right w:val="nil"/>
            </w:tcBorders>
            <w:shd w:val="clear" w:color="auto" w:fill="auto"/>
            <w:noWrap/>
            <w:vAlign w:val="center"/>
            <w:hideMark/>
          </w:tcPr>
          <w:p w14:paraId="746D16C3" w14:textId="77777777" w:rsidR="001D1A6D" w:rsidRPr="00DD0DAD" w:rsidRDefault="001D1A6D" w:rsidP="004E6DE8">
            <w:pPr>
              <w:pStyle w:val="Tabletext"/>
              <w:jc w:val="center"/>
              <w:rPr>
                <w:rFonts w:asciiTheme="minorHAnsi" w:hAnsiTheme="minorHAnsi"/>
                <w:sz w:val="20"/>
              </w:rPr>
            </w:pPr>
          </w:p>
        </w:tc>
        <w:tc>
          <w:tcPr>
            <w:tcW w:w="860" w:type="dxa"/>
            <w:tcBorders>
              <w:top w:val="nil"/>
              <w:left w:val="nil"/>
              <w:bottom w:val="nil"/>
              <w:right w:val="nil"/>
            </w:tcBorders>
            <w:shd w:val="clear" w:color="auto" w:fill="auto"/>
            <w:noWrap/>
            <w:vAlign w:val="center"/>
            <w:hideMark/>
          </w:tcPr>
          <w:p w14:paraId="180F2A9B" w14:textId="77777777" w:rsidR="001D1A6D" w:rsidRPr="00DD0DAD" w:rsidRDefault="001D1A6D" w:rsidP="004E6DE8">
            <w:pPr>
              <w:pStyle w:val="Tabletext"/>
              <w:jc w:val="center"/>
              <w:rPr>
                <w:rFonts w:asciiTheme="minorHAnsi" w:hAnsiTheme="minorHAnsi"/>
                <w:sz w:val="20"/>
              </w:rPr>
            </w:pPr>
          </w:p>
        </w:tc>
        <w:tc>
          <w:tcPr>
            <w:tcW w:w="1103" w:type="dxa"/>
            <w:tcBorders>
              <w:top w:val="nil"/>
              <w:left w:val="nil"/>
              <w:bottom w:val="nil"/>
              <w:right w:val="nil"/>
            </w:tcBorders>
            <w:shd w:val="clear" w:color="auto" w:fill="auto"/>
            <w:noWrap/>
            <w:vAlign w:val="center"/>
          </w:tcPr>
          <w:p w14:paraId="18E24837" w14:textId="77777777" w:rsidR="001D1A6D" w:rsidRPr="00DD0DAD" w:rsidRDefault="001D1A6D" w:rsidP="004E6DE8">
            <w:pPr>
              <w:pStyle w:val="Tabletext"/>
              <w:jc w:val="center"/>
              <w:rPr>
                <w:rFonts w:asciiTheme="minorHAnsi" w:hAnsiTheme="minorHAnsi"/>
                <w:sz w:val="20"/>
              </w:rPr>
            </w:pPr>
          </w:p>
        </w:tc>
        <w:tc>
          <w:tcPr>
            <w:tcW w:w="1060" w:type="dxa"/>
            <w:tcBorders>
              <w:top w:val="nil"/>
              <w:left w:val="nil"/>
              <w:bottom w:val="nil"/>
              <w:right w:val="nil"/>
            </w:tcBorders>
            <w:shd w:val="clear" w:color="auto" w:fill="auto"/>
            <w:noWrap/>
            <w:vAlign w:val="center"/>
          </w:tcPr>
          <w:p w14:paraId="3BF91988" w14:textId="77777777" w:rsidR="001D1A6D" w:rsidRPr="00DD0DAD" w:rsidRDefault="001D1A6D" w:rsidP="004E6DE8">
            <w:pPr>
              <w:pStyle w:val="Tabletext"/>
              <w:jc w:val="center"/>
              <w:rPr>
                <w:rFonts w:asciiTheme="minorHAnsi" w:hAnsiTheme="minorHAnsi"/>
                <w:sz w:val="20"/>
              </w:rPr>
            </w:pPr>
          </w:p>
        </w:tc>
        <w:tc>
          <w:tcPr>
            <w:tcW w:w="1115" w:type="dxa"/>
            <w:tcBorders>
              <w:top w:val="nil"/>
              <w:left w:val="nil"/>
              <w:bottom w:val="nil"/>
              <w:right w:val="nil"/>
            </w:tcBorders>
            <w:shd w:val="clear" w:color="auto" w:fill="auto"/>
            <w:noWrap/>
            <w:vAlign w:val="center"/>
            <w:hideMark/>
          </w:tcPr>
          <w:p w14:paraId="5E554F0B" w14:textId="77777777" w:rsidR="001D1A6D" w:rsidRPr="00DD0DAD" w:rsidRDefault="001D1A6D" w:rsidP="004E6DE8">
            <w:pPr>
              <w:pStyle w:val="Tabletext"/>
              <w:jc w:val="center"/>
              <w:rPr>
                <w:rFonts w:asciiTheme="minorHAnsi" w:hAnsiTheme="minorHAnsi"/>
                <w:sz w:val="20"/>
              </w:rPr>
            </w:pPr>
          </w:p>
        </w:tc>
        <w:tc>
          <w:tcPr>
            <w:tcW w:w="1009" w:type="dxa"/>
            <w:tcBorders>
              <w:top w:val="nil"/>
              <w:left w:val="nil"/>
              <w:bottom w:val="nil"/>
              <w:right w:val="nil"/>
            </w:tcBorders>
            <w:shd w:val="clear" w:color="auto" w:fill="auto"/>
            <w:noWrap/>
            <w:vAlign w:val="center"/>
            <w:hideMark/>
          </w:tcPr>
          <w:p w14:paraId="09C654A2" w14:textId="77777777" w:rsidR="001D1A6D" w:rsidRPr="00DD0DAD" w:rsidRDefault="001D1A6D" w:rsidP="004E6DE8">
            <w:pPr>
              <w:pStyle w:val="Tabletext"/>
              <w:jc w:val="center"/>
              <w:rPr>
                <w:rFonts w:asciiTheme="minorHAnsi" w:hAnsiTheme="minorHAnsi"/>
                <w:sz w:val="20"/>
              </w:rPr>
            </w:pPr>
          </w:p>
        </w:tc>
        <w:tc>
          <w:tcPr>
            <w:tcW w:w="1009" w:type="dxa"/>
            <w:tcBorders>
              <w:top w:val="nil"/>
              <w:left w:val="nil"/>
              <w:bottom w:val="nil"/>
              <w:right w:val="nil"/>
            </w:tcBorders>
            <w:shd w:val="clear" w:color="auto" w:fill="auto"/>
            <w:noWrap/>
            <w:vAlign w:val="center"/>
            <w:hideMark/>
          </w:tcPr>
          <w:p w14:paraId="18A97317" w14:textId="77777777" w:rsidR="001D1A6D" w:rsidRPr="00DD0DAD" w:rsidRDefault="001D1A6D" w:rsidP="004E6DE8">
            <w:pPr>
              <w:pStyle w:val="Tabletext"/>
              <w:jc w:val="center"/>
              <w:rPr>
                <w:rFonts w:asciiTheme="minorHAnsi" w:hAnsiTheme="minorHAnsi"/>
                <w:sz w:val="20"/>
              </w:rPr>
            </w:pPr>
          </w:p>
        </w:tc>
        <w:tc>
          <w:tcPr>
            <w:tcW w:w="1313" w:type="dxa"/>
            <w:tcBorders>
              <w:top w:val="nil"/>
              <w:left w:val="nil"/>
              <w:bottom w:val="nil"/>
              <w:right w:val="single" w:sz="4" w:space="0" w:color="auto"/>
            </w:tcBorders>
            <w:shd w:val="clear" w:color="auto" w:fill="auto"/>
            <w:noWrap/>
            <w:vAlign w:val="center"/>
            <w:hideMark/>
          </w:tcPr>
          <w:p w14:paraId="37B10196" w14:textId="77777777" w:rsidR="001D1A6D" w:rsidRPr="00DD0DAD" w:rsidRDefault="001D1A6D" w:rsidP="004E6DE8">
            <w:pPr>
              <w:pStyle w:val="Tabletext"/>
              <w:jc w:val="center"/>
              <w:rPr>
                <w:rFonts w:asciiTheme="minorHAnsi" w:hAnsiTheme="minorHAnsi"/>
                <w:sz w:val="20"/>
              </w:rPr>
            </w:pPr>
          </w:p>
        </w:tc>
        <w:tc>
          <w:tcPr>
            <w:tcW w:w="3454"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CB354D3" w14:textId="77777777" w:rsidR="001D1A6D" w:rsidRPr="00DD0DAD" w:rsidRDefault="001D1A6D" w:rsidP="001D1A6D">
            <w:pPr>
              <w:pStyle w:val="Tabletext"/>
              <w:rPr>
                <w:rFonts w:asciiTheme="minorHAnsi" w:hAnsiTheme="minorHAnsi"/>
                <w:b/>
                <w:bCs/>
                <w:sz w:val="20"/>
              </w:rPr>
            </w:pPr>
            <w:r w:rsidRPr="00DD0DAD">
              <w:rPr>
                <w:rFonts w:asciiTheme="minorHAnsi" w:hAnsiTheme="minorHAnsi"/>
                <w:b/>
                <w:bCs/>
                <w:sz w:val="20"/>
              </w:rPr>
              <w:t>TOTAL DES DÉPENSES</w:t>
            </w:r>
          </w:p>
        </w:tc>
        <w:tc>
          <w:tcPr>
            <w:tcW w:w="1388" w:type="dxa"/>
            <w:tcBorders>
              <w:top w:val="nil"/>
              <w:left w:val="nil"/>
              <w:bottom w:val="single" w:sz="4" w:space="0" w:color="auto"/>
              <w:right w:val="single" w:sz="8" w:space="0" w:color="auto"/>
            </w:tcBorders>
            <w:shd w:val="clear" w:color="auto" w:fill="auto"/>
            <w:noWrap/>
            <w:vAlign w:val="center"/>
            <w:hideMark/>
          </w:tcPr>
          <w:p w14:paraId="66CA0BED" w14:textId="77777777" w:rsidR="001D1A6D" w:rsidRPr="00DD0DAD" w:rsidRDefault="001D1A6D" w:rsidP="001D1A6D">
            <w:pPr>
              <w:pStyle w:val="Tabletext"/>
              <w:jc w:val="right"/>
              <w:rPr>
                <w:rFonts w:asciiTheme="minorHAnsi" w:hAnsiTheme="minorHAnsi"/>
                <w:b/>
                <w:bCs/>
                <w:sz w:val="20"/>
              </w:rPr>
            </w:pPr>
            <w:r w:rsidRPr="00DD0DAD">
              <w:rPr>
                <w:rFonts w:asciiTheme="minorHAnsi" w:hAnsiTheme="minorHAnsi"/>
                <w:b/>
                <w:bCs/>
                <w:sz w:val="20"/>
              </w:rPr>
              <w:t xml:space="preserve">138 000 000 </w:t>
            </w:r>
          </w:p>
        </w:tc>
      </w:tr>
      <w:tr w:rsidR="001D1A6D" w:rsidRPr="00DD0DAD" w14:paraId="44135107" w14:textId="77777777" w:rsidTr="0038112A">
        <w:trPr>
          <w:trHeight w:val="315"/>
          <w:jc w:val="center"/>
        </w:trPr>
        <w:tc>
          <w:tcPr>
            <w:tcW w:w="931" w:type="dxa"/>
            <w:tcBorders>
              <w:top w:val="nil"/>
              <w:left w:val="nil"/>
              <w:bottom w:val="nil"/>
              <w:right w:val="nil"/>
            </w:tcBorders>
            <w:shd w:val="clear" w:color="auto" w:fill="auto"/>
            <w:noWrap/>
            <w:vAlign w:val="center"/>
          </w:tcPr>
          <w:p w14:paraId="4C22E3C2" w14:textId="77777777" w:rsidR="001D1A6D" w:rsidRPr="00DD0DAD" w:rsidRDefault="001D1A6D" w:rsidP="004E6DE8">
            <w:pPr>
              <w:pStyle w:val="Tabletext"/>
              <w:jc w:val="center"/>
              <w:rPr>
                <w:rFonts w:asciiTheme="minorHAnsi" w:hAnsiTheme="minorHAnsi" w:cs="Calibri"/>
                <w:b/>
                <w:bCs/>
                <w:color w:val="000000"/>
                <w:sz w:val="20"/>
                <w:lang w:eastAsia="en-GB"/>
              </w:rPr>
            </w:pPr>
          </w:p>
        </w:tc>
        <w:tc>
          <w:tcPr>
            <w:tcW w:w="1088" w:type="dxa"/>
            <w:tcBorders>
              <w:top w:val="nil"/>
              <w:left w:val="nil"/>
              <w:bottom w:val="nil"/>
              <w:right w:val="nil"/>
            </w:tcBorders>
            <w:shd w:val="clear" w:color="auto" w:fill="auto"/>
            <w:noWrap/>
            <w:vAlign w:val="center"/>
          </w:tcPr>
          <w:p w14:paraId="71886B55" w14:textId="77777777" w:rsidR="001D1A6D" w:rsidRPr="00DD0DAD" w:rsidRDefault="001D1A6D" w:rsidP="004E6DE8">
            <w:pPr>
              <w:pStyle w:val="Tabletext"/>
              <w:jc w:val="center"/>
              <w:rPr>
                <w:rFonts w:asciiTheme="minorHAnsi" w:hAnsiTheme="minorHAnsi"/>
                <w:sz w:val="20"/>
              </w:rPr>
            </w:pPr>
          </w:p>
        </w:tc>
        <w:tc>
          <w:tcPr>
            <w:tcW w:w="1040" w:type="dxa"/>
            <w:tcBorders>
              <w:top w:val="nil"/>
              <w:left w:val="nil"/>
              <w:bottom w:val="nil"/>
              <w:right w:val="nil"/>
            </w:tcBorders>
            <w:shd w:val="clear" w:color="auto" w:fill="auto"/>
            <w:noWrap/>
            <w:vAlign w:val="center"/>
          </w:tcPr>
          <w:p w14:paraId="198A7E43" w14:textId="77777777" w:rsidR="001D1A6D" w:rsidRPr="00DD0DAD" w:rsidRDefault="001D1A6D" w:rsidP="004E6DE8">
            <w:pPr>
              <w:pStyle w:val="Tabletext"/>
              <w:jc w:val="center"/>
              <w:rPr>
                <w:rFonts w:asciiTheme="minorHAnsi" w:hAnsiTheme="minorHAnsi"/>
                <w:sz w:val="20"/>
              </w:rPr>
            </w:pPr>
          </w:p>
        </w:tc>
        <w:tc>
          <w:tcPr>
            <w:tcW w:w="860" w:type="dxa"/>
            <w:tcBorders>
              <w:top w:val="nil"/>
              <w:left w:val="nil"/>
              <w:bottom w:val="nil"/>
              <w:right w:val="nil"/>
            </w:tcBorders>
            <w:shd w:val="clear" w:color="auto" w:fill="auto"/>
            <w:noWrap/>
            <w:vAlign w:val="center"/>
          </w:tcPr>
          <w:p w14:paraId="711A96D8" w14:textId="77777777" w:rsidR="001D1A6D" w:rsidRPr="00DD0DAD" w:rsidRDefault="001D1A6D" w:rsidP="004E6DE8">
            <w:pPr>
              <w:pStyle w:val="Tabletext"/>
              <w:jc w:val="center"/>
              <w:rPr>
                <w:rFonts w:asciiTheme="minorHAnsi" w:hAnsiTheme="minorHAnsi"/>
                <w:sz w:val="20"/>
              </w:rPr>
            </w:pPr>
          </w:p>
        </w:tc>
        <w:tc>
          <w:tcPr>
            <w:tcW w:w="1103" w:type="dxa"/>
            <w:tcBorders>
              <w:top w:val="nil"/>
              <w:left w:val="nil"/>
              <w:bottom w:val="nil"/>
              <w:right w:val="nil"/>
            </w:tcBorders>
            <w:shd w:val="clear" w:color="auto" w:fill="auto"/>
            <w:noWrap/>
            <w:vAlign w:val="center"/>
          </w:tcPr>
          <w:p w14:paraId="2419D9C0" w14:textId="77777777" w:rsidR="001D1A6D" w:rsidRPr="00DD0DAD" w:rsidRDefault="001D1A6D" w:rsidP="004E6DE8">
            <w:pPr>
              <w:pStyle w:val="Tabletext"/>
              <w:jc w:val="center"/>
              <w:rPr>
                <w:rFonts w:asciiTheme="minorHAnsi" w:hAnsiTheme="minorHAnsi"/>
                <w:sz w:val="20"/>
              </w:rPr>
            </w:pPr>
          </w:p>
        </w:tc>
        <w:tc>
          <w:tcPr>
            <w:tcW w:w="1060" w:type="dxa"/>
            <w:tcBorders>
              <w:top w:val="nil"/>
              <w:left w:val="nil"/>
              <w:bottom w:val="nil"/>
              <w:right w:val="nil"/>
            </w:tcBorders>
            <w:shd w:val="clear" w:color="auto" w:fill="auto"/>
            <w:noWrap/>
            <w:vAlign w:val="center"/>
          </w:tcPr>
          <w:p w14:paraId="0EC36934" w14:textId="77777777" w:rsidR="001D1A6D" w:rsidRPr="00DD0DAD" w:rsidRDefault="001D1A6D" w:rsidP="004E6DE8">
            <w:pPr>
              <w:pStyle w:val="Tabletext"/>
              <w:jc w:val="center"/>
              <w:rPr>
                <w:rFonts w:asciiTheme="minorHAnsi" w:hAnsiTheme="minorHAnsi"/>
                <w:sz w:val="20"/>
              </w:rPr>
            </w:pPr>
          </w:p>
        </w:tc>
        <w:tc>
          <w:tcPr>
            <w:tcW w:w="1115" w:type="dxa"/>
            <w:tcBorders>
              <w:top w:val="nil"/>
              <w:left w:val="nil"/>
              <w:bottom w:val="nil"/>
              <w:right w:val="nil"/>
            </w:tcBorders>
            <w:shd w:val="clear" w:color="auto" w:fill="auto"/>
            <w:noWrap/>
            <w:vAlign w:val="center"/>
          </w:tcPr>
          <w:p w14:paraId="79A7AA2F" w14:textId="77777777" w:rsidR="001D1A6D" w:rsidRPr="00DD0DAD" w:rsidRDefault="001D1A6D" w:rsidP="004E6DE8">
            <w:pPr>
              <w:pStyle w:val="Tabletext"/>
              <w:jc w:val="center"/>
              <w:rPr>
                <w:rFonts w:asciiTheme="minorHAnsi" w:hAnsiTheme="minorHAnsi"/>
                <w:sz w:val="20"/>
              </w:rPr>
            </w:pPr>
          </w:p>
        </w:tc>
        <w:tc>
          <w:tcPr>
            <w:tcW w:w="1009" w:type="dxa"/>
            <w:tcBorders>
              <w:top w:val="nil"/>
              <w:left w:val="nil"/>
              <w:bottom w:val="nil"/>
              <w:right w:val="nil"/>
            </w:tcBorders>
            <w:shd w:val="clear" w:color="auto" w:fill="auto"/>
            <w:noWrap/>
            <w:vAlign w:val="center"/>
          </w:tcPr>
          <w:p w14:paraId="3038B30E" w14:textId="77777777" w:rsidR="001D1A6D" w:rsidRPr="00DD0DAD" w:rsidRDefault="001D1A6D" w:rsidP="004E6DE8">
            <w:pPr>
              <w:pStyle w:val="Tabletext"/>
              <w:jc w:val="center"/>
              <w:rPr>
                <w:rFonts w:asciiTheme="minorHAnsi" w:hAnsiTheme="minorHAnsi"/>
                <w:sz w:val="20"/>
              </w:rPr>
            </w:pPr>
          </w:p>
        </w:tc>
        <w:tc>
          <w:tcPr>
            <w:tcW w:w="1009" w:type="dxa"/>
            <w:tcBorders>
              <w:top w:val="nil"/>
              <w:left w:val="nil"/>
              <w:bottom w:val="nil"/>
              <w:right w:val="nil"/>
            </w:tcBorders>
            <w:shd w:val="clear" w:color="auto" w:fill="auto"/>
            <w:noWrap/>
            <w:vAlign w:val="center"/>
          </w:tcPr>
          <w:p w14:paraId="0A39DBCF" w14:textId="77777777" w:rsidR="001D1A6D" w:rsidRPr="00DD0DAD" w:rsidRDefault="001D1A6D" w:rsidP="004E6DE8">
            <w:pPr>
              <w:pStyle w:val="Tabletext"/>
              <w:jc w:val="center"/>
              <w:rPr>
                <w:rFonts w:asciiTheme="minorHAnsi" w:hAnsiTheme="minorHAnsi"/>
                <w:sz w:val="20"/>
              </w:rPr>
            </w:pPr>
          </w:p>
        </w:tc>
        <w:tc>
          <w:tcPr>
            <w:tcW w:w="1313" w:type="dxa"/>
            <w:tcBorders>
              <w:top w:val="nil"/>
              <w:left w:val="nil"/>
              <w:bottom w:val="nil"/>
              <w:right w:val="single" w:sz="4" w:space="0" w:color="auto"/>
            </w:tcBorders>
            <w:shd w:val="clear" w:color="auto" w:fill="auto"/>
            <w:noWrap/>
            <w:vAlign w:val="center"/>
          </w:tcPr>
          <w:p w14:paraId="68B23EC2" w14:textId="77777777" w:rsidR="001D1A6D" w:rsidRPr="00DD0DAD" w:rsidRDefault="001D1A6D" w:rsidP="004E6DE8">
            <w:pPr>
              <w:pStyle w:val="Tabletext"/>
              <w:jc w:val="center"/>
              <w:rPr>
                <w:rFonts w:asciiTheme="minorHAnsi" w:hAnsiTheme="minorHAnsi"/>
                <w:sz w:val="20"/>
              </w:rPr>
            </w:pPr>
          </w:p>
        </w:tc>
        <w:tc>
          <w:tcPr>
            <w:tcW w:w="3454"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14:paraId="411153B8" w14:textId="0A35FEBB" w:rsidR="001D1A6D" w:rsidRPr="00DD0DAD" w:rsidRDefault="001D1A6D" w:rsidP="001D1A6D">
            <w:pPr>
              <w:pStyle w:val="Tabletext"/>
              <w:rPr>
                <w:rFonts w:asciiTheme="minorHAnsi" w:hAnsiTheme="minorHAnsi"/>
                <w:b/>
                <w:bCs/>
                <w:sz w:val="20"/>
              </w:rPr>
            </w:pPr>
            <w:r w:rsidRPr="00DD0DAD">
              <w:rPr>
                <w:rFonts w:asciiTheme="minorHAnsi" w:hAnsiTheme="minorHAnsi"/>
                <w:b/>
                <w:bCs/>
                <w:sz w:val="20"/>
              </w:rPr>
              <w:t>Bilan à la fin du 1er trimestre de 2027</w:t>
            </w:r>
          </w:p>
        </w:tc>
        <w:tc>
          <w:tcPr>
            <w:tcW w:w="1388" w:type="dxa"/>
            <w:tcBorders>
              <w:top w:val="single" w:sz="4" w:space="0" w:color="auto"/>
              <w:left w:val="nil"/>
              <w:bottom w:val="single" w:sz="8" w:space="0" w:color="auto"/>
              <w:right w:val="single" w:sz="8" w:space="0" w:color="auto"/>
            </w:tcBorders>
            <w:shd w:val="clear" w:color="auto" w:fill="auto"/>
            <w:noWrap/>
            <w:vAlign w:val="center"/>
          </w:tcPr>
          <w:p w14:paraId="50C581D9" w14:textId="77777777" w:rsidR="001D1A6D" w:rsidRPr="00DD0DAD" w:rsidRDefault="001D1A6D" w:rsidP="001D1A6D">
            <w:pPr>
              <w:pStyle w:val="Tabletext"/>
              <w:jc w:val="right"/>
              <w:rPr>
                <w:rFonts w:asciiTheme="minorHAnsi" w:hAnsiTheme="minorHAnsi"/>
                <w:b/>
                <w:bCs/>
                <w:sz w:val="20"/>
              </w:rPr>
            </w:pPr>
            <w:r w:rsidRPr="00DD0DAD">
              <w:rPr>
                <w:rFonts w:asciiTheme="minorHAnsi" w:hAnsiTheme="minorHAnsi"/>
                <w:b/>
                <w:bCs/>
                <w:sz w:val="20"/>
              </w:rPr>
              <w:t>0</w:t>
            </w:r>
          </w:p>
        </w:tc>
      </w:tr>
    </w:tbl>
    <w:p w14:paraId="3418424D" w14:textId="77777777" w:rsidR="002B7ABA" w:rsidRPr="00DD0DAD" w:rsidRDefault="002B7ABA" w:rsidP="004E6DE8">
      <w:pPr>
        <w:pStyle w:val="AnnexNo"/>
      </w:pPr>
      <w:bookmarkStart w:id="10" w:name="AnnexD"/>
      <w:r w:rsidRPr="00DD0DAD">
        <w:br w:type="page"/>
      </w:r>
    </w:p>
    <w:p w14:paraId="21B445C3" w14:textId="090B0695" w:rsidR="002B7ABA" w:rsidRPr="00DD0DAD" w:rsidRDefault="002B7ABA" w:rsidP="004E6DE8">
      <w:pPr>
        <w:pStyle w:val="AnnexNo"/>
        <w:spacing w:before="600"/>
      </w:pPr>
      <w:bookmarkStart w:id="11" w:name="AnnexeC"/>
      <w:r w:rsidRPr="00DD0DAD">
        <w:lastRenderedPageBreak/>
        <w:t xml:space="preserve">Annexe </w:t>
      </w:r>
      <w:bookmarkEnd w:id="10"/>
      <w:r w:rsidR="00A1205E">
        <w:t>C</w:t>
      </w:r>
      <w:bookmarkEnd w:id="11"/>
    </w:p>
    <w:p w14:paraId="1BE50FC0" w14:textId="5333DA55" w:rsidR="002B7ABA" w:rsidRDefault="002B7ABA" w:rsidP="00340A9A">
      <w:pPr>
        <w:pStyle w:val="Annextitle"/>
        <w:spacing w:before="120" w:after="360"/>
      </w:pPr>
      <w:r w:rsidRPr="00DD0DAD">
        <w:t>Engagements réels par rapport aux engagements prévus</w:t>
      </w:r>
    </w:p>
    <w:bookmarkStart w:id="12" w:name="_MON_1723031738"/>
    <w:bookmarkEnd w:id="12"/>
    <w:p w14:paraId="5757139A" w14:textId="6E5D7FB8" w:rsidR="005A487F" w:rsidRDefault="00340A9A" w:rsidP="00340A9A">
      <w:pPr>
        <w:jc w:val="both"/>
      </w:pPr>
      <w:r>
        <w:object w:dxaOrig="28236" w:dyaOrig="11614" w14:anchorId="697EF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25pt;height:302.25pt" o:ole="">
            <v:imagedata r:id="rId46" o:title=""/>
          </v:shape>
          <o:OLEObject Type="Embed" ProgID="Excel.Sheet.12" ShapeID="_x0000_i1025" DrawAspect="Content" ObjectID="_1725900585" r:id="rId47"/>
        </w:object>
      </w:r>
    </w:p>
    <w:p w14:paraId="13F9A6D7" w14:textId="77777777" w:rsidR="00340A9A" w:rsidRPr="00340A9A" w:rsidRDefault="00340A9A" w:rsidP="00340A9A">
      <w:pPr>
        <w:rPr>
          <w:sz w:val="2"/>
          <w:szCs w:val="2"/>
        </w:rPr>
      </w:pPr>
    </w:p>
    <w:p w14:paraId="2CDB583E" w14:textId="6333DAA0" w:rsidR="00A1205E" w:rsidRDefault="00A1205E" w:rsidP="00340A9A">
      <w:pPr>
        <w:spacing w:before="360"/>
        <w:jc w:val="center"/>
      </w:pPr>
      <w:r>
        <w:t>______________</w:t>
      </w:r>
    </w:p>
    <w:sectPr w:rsidR="00A1205E" w:rsidSect="00340A9A">
      <w:headerReference w:type="default" r:id="rId48"/>
      <w:footerReference w:type="first" r:id="rId49"/>
      <w:pgSz w:w="16834" w:h="11913" w:orient="landscape" w:code="9"/>
      <w:pgMar w:top="1134" w:right="1418" w:bottom="1134" w:left="1418" w:header="720" w:footer="720" w:gutter="0"/>
      <w:paperSrc w:first="7" w:other="7"/>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589B" w14:textId="77777777" w:rsidR="004E6DE8" w:rsidRDefault="004E6DE8">
      <w:r>
        <w:separator/>
      </w:r>
    </w:p>
  </w:endnote>
  <w:endnote w:type="continuationSeparator" w:id="0">
    <w:p w14:paraId="34BE1979" w14:textId="77777777" w:rsidR="004E6DE8" w:rsidRDefault="004E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A6FC" w14:textId="307912C4" w:rsidR="004E6DE8" w:rsidRPr="00172FB9" w:rsidRDefault="00A47DDA" w:rsidP="004E6DE8">
    <w:pPr>
      <w:pStyle w:val="Footer"/>
      <w:rPr>
        <w:lang w:val="en-GB"/>
      </w:rPr>
    </w:pPr>
    <w:r w:rsidRPr="00A47DDA">
      <w:rPr>
        <w:color w:val="F2F2F2" w:themeColor="background1" w:themeShade="F2"/>
      </w:rPr>
      <w:fldChar w:fldCharType="begin"/>
    </w:r>
    <w:r w:rsidRPr="00A47DDA">
      <w:rPr>
        <w:color w:val="F2F2F2" w:themeColor="background1" w:themeShade="F2"/>
      </w:rPr>
      <w:instrText xml:space="preserve"> FILENAME \p  \* MERGEFORMAT </w:instrText>
    </w:r>
    <w:r w:rsidRPr="00A47DDA">
      <w:rPr>
        <w:color w:val="F2F2F2" w:themeColor="background1" w:themeShade="F2"/>
      </w:rPr>
      <w:fldChar w:fldCharType="separate"/>
    </w:r>
    <w:r w:rsidR="0038112A" w:rsidRPr="00A47DDA">
      <w:rPr>
        <w:color w:val="F2F2F2" w:themeColor="background1" w:themeShade="F2"/>
      </w:rPr>
      <w:t>P:\FRA\SG\CONF-SG\PP22\000\062F.docx</w:t>
    </w:r>
    <w:r w:rsidRPr="00A47DDA">
      <w:rPr>
        <w:color w:val="F2F2F2" w:themeColor="background1" w:themeShade="F2"/>
      </w:rPr>
      <w:fldChar w:fldCharType="end"/>
    </w:r>
    <w:r w:rsidR="004E6DE8" w:rsidRPr="00A47DDA">
      <w:rPr>
        <w:color w:val="F2F2F2" w:themeColor="background1" w:themeShade="F2"/>
      </w:rPr>
      <w:t xml:space="preserve"> </w:t>
    </w:r>
    <w:r w:rsidR="004E6DE8" w:rsidRPr="00A47DDA">
      <w:rPr>
        <w:color w:val="F2F2F2" w:themeColor="background1" w:themeShade="F2"/>
        <w:lang w:val="en-GB"/>
      </w:rPr>
      <w:t>(509851)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F697" w14:textId="77777777" w:rsidR="004E6DE8" w:rsidRDefault="004E6DE8" w:rsidP="001F3917">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0993" w14:textId="1B5FC3C0" w:rsidR="004E6DE8" w:rsidRPr="00172FB9" w:rsidRDefault="00A47DDA" w:rsidP="00963A54">
    <w:pPr>
      <w:pStyle w:val="Footer"/>
      <w:rPr>
        <w:lang w:val="en-GB"/>
      </w:rPr>
    </w:pPr>
    <w:r w:rsidRPr="00A47DDA">
      <w:rPr>
        <w:color w:val="F2F2F2" w:themeColor="background1" w:themeShade="F2"/>
      </w:rPr>
      <w:fldChar w:fldCharType="begin"/>
    </w:r>
    <w:r w:rsidRPr="00A47DDA">
      <w:rPr>
        <w:color w:val="F2F2F2" w:themeColor="background1" w:themeShade="F2"/>
      </w:rPr>
      <w:instrText xml:space="preserve"> FILENAME \p  \* MERGEFORMAT </w:instrText>
    </w:r>
    <w:r w:rsidRPr="00A47DDA">
      <w:rPr>
        <w:color w:val="F2F2F2" w:themeColor="background1" w:themeShade="F2"/>
      </w:rPr>
      <w:fldChar w:fldCharType="separate"/>
    </w:r>
    <w:r w:rsidR="0038112A" w:rsidRPr="00A47DDA">
      <w:rPr>
        <w:color w:val="F2F2F2" w:themeColor="background1" w:themeShade="F2"/>
      </w:rPr>
      <w:t>P:\FRA\SG\CONF-SG\PP22\000\062F.docx</w:t>
    </w:r>
    <w:r w:rsidRPr="00A47DDA">
      <w:rPr>
        <w:color w:val="F2F2F2" w:themeColor="background1" w:themeShade="F2"/>
      </w:rPr>
      <w:fldChar w:fldCharType="end"/>
    </w:r>
    <w:r w:rsidR="004E6DE8" w:rsidRPr="00A47DDA">
      <w:rPr>
        <w:color w:val="F2F2F2" w:themeColor="background1" w:themeShade="F2"/>
        <w:lang w:val="en-GB"/>
      </w:rPr>
      <w:t xml:space="preserve"> (509851)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B3B9" w14:textId="522091C3" w:rsidR="004E6DE8" w:rsidRPr="00172FB9" w:rsidRDefault="004E6DE8" w:rsidP="001F3917">
    <w:pPr>
      <w:pStyle w:val="Footer"/>
      <w:rPr>
        <w:lang w:val="en-GB"/>
      </w:rPr>
    </w:pPr>
    <w:r w:rsidRPr="00A47DDA">
      <w:rPr>
        <w:color w:val="F2F2F2" w:themeColor="background1" w:themeShade="F2"/>
      </w:rPr>
      <w:fldChar w:fldCharType="begin"/>
    </w:r>
    <w:r w:rsidRPr="00A47DDA">
      <w:rPr>
        <w:color w:val="F2F2F2" w:themeColor="background1" w:themeShade="F2"/>
        <w:lang w:val="en-GB"/>
      </w:rPr>
      <w:instrText xml:space="preserve"> FILENAME \p  \* MERGEFORMAT </w:instrText>
    </w:r>
    <w:r w:rsidRPr="00A47DDA">
      <w:rPr>
        <w:color w:val="F2F2F2" w:themeColor="background1" w:themeShade="F2"/>
      </w:rPr>
      <w:fldChar w:fldCharType="separate"/>
    </w:r>
    <w:r w:rsidR="0038112A" w:rsidRPr="00A47DDA">
      <w:rPr>
        <w:color w:val="F2F2F2" w:themeColor="background1" w:themeShade="F2"/>
        <w:lang w:val="en-GB"/>
      </w:rPr>
      <w:t>P:\FRA\SG\CONF-SG\PP22\000\062F.docx</w:t>
    </w:r>
    <w:r w:rsidRPr="00A47DDA">
      <w:rPr>
        <w:color w:val="F2F2F2" w:themeColor="background1" w:themeShade="F2"/>
      </w:rPr>
      <w:fldChar w:fldCharType="end"/>
    </w:r>
    <w:r w:rsidRPr="00A47DDA">
      <w:rPr>
        <w:color w:val="F2F2F2" w:themeColor="background1" w:themeShade="F2"/>
        <w:lang w:val="en-GB"/>
      </w:rPr>
      <w:t xml:space="preserve"> (509851)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4E6DE8" w:rsidRDefault="004E6DE8"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FABF" w14:textId="77777777" w:rsidR="004E6DE8" w:rsidRDefault="004E6DE8">
      <w:r>
        <w:t>____________________</w:t>
      </w:r>
    </w:p>
  </w:footnote>
  <w:footnote w:type="continuationSeparator" w:id="0">
    <w:p w14:paraId="04797D6A" w14:textId="77777777" w:rsidR="004E6DE8" w:rsidRDefault="004E6DE8">
      <w:r>
        <w:continuationSeparator/>
      </w:r>
    </w:p>
  </w:footnote>
  <w:footnote w:id="1">
    <w:p w14:paraId="4ED9CD31" w14:textId="429477AA" w:rsidR="004E6DE8" w:rsidRPr="00722AFC" w:rsidRDefault="004E6DE8" w:rsidP="000461C2">
      <w:pPr>
        <w:pStyle w:val="FootnoteText"/>
        <w:rPr>
          <w:lang w:val="fr-CH"/>
        </w:rPr>
      </w:pPr>
      <w:r>
        <w:rPr>
          <w:rStyle w:val="FootnoteReference"/>
        </w:rPr>
        <w:footnoteRef/>
      </w:r>
      <w:r>
        <w:tab/>
      </w:r>
      <w:r w:rsidRPr="00722AFC">
        <w:t>SIA</w:t>
      </w:r>
      <w:r>
        <w:t>:</w:t>
      </w:r>
      <w:r w:rsidRPr="00722AFC">
        <w:t xml:space="preserve"> Société suisse des ingénieurs et des architectes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1F23" w14:textId="10069B97" w:rsidR="004E6DE8" w:rsidRDefault="004E6DE8" w:rsidP="004E6DE8">
    <w:pPr>
      <w:pStyle w:val="Header"/>
    </w:pPr>
    <w:r>
      <w:fldChar w:fldCharType="begin"/>
    </w:r>
    <w:r>
      <w:instrText>PAGE</w:instrText>
    </w:r>
    <w:r>
      <w:fldChar w:fldCharType="separate"/>
    </w:r>
    <w:r w:rsidR="00395C64">
      <w:rPr>
        <w:noProof/>
      </w:rPr>
      <w:t>10</w:t>
    </w:r>
    <w:r>
      <w:rPr>
        <w:noProof/>
      </w:rPr>
      <w:fldChar w:fldCharType="end"/>
    </w:r>
  </w:p>
  <w:p w14:paraId="78383EA1" w14:textId="67063A31" w:rsidR="004E6DE8" w:rsidRDefault="004E6DE8" w:rsidP="004E6DE8">
    <w:pPr>
      <w:pStyle w:val="Header"/>
    </w:pPr>
    <w:r>
      <w:t>PP22/62</w:t>
    </w:r>
    <w:r w:rsidRPr="00946460">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FE6A" w14:textId="0B8F7CE8" w:rsidR="004E6DE8" w:rsidRDefault="004E6DE8" w:rsidP="001F3917">
    <w:pPr>
      <w:pStyle w:val="Header"/>
    </w:pPr>
    <w:r>
      <w:fldChar w:fldCharType="begin"/>
    </w:r>
    <w:r>
      <w:instrText>PAGE</w:instrText>
    </w:r>
    <w:r>
      <w:fldChar w:fldCharType="separate"/>
    </w:r>
    <w:r w:rsidR="00395C64">
      <w:rPr>
        <w:noProof/>
      </w:rPr>
      <w:t>14</w:t>
    </w:r>
    <w:r>
      <w:rPr>
        <w:noProof/>
      </w:rPr>
      <w:fldChar w:fldCharType="end"/>
    </w:r>
  </w:p>
  <w:p w14:paraId="08FAEC52" w14:textId="77777777" w:rsidR="004E6DE8" w:rsidRDefault="004E6DE8" w:rsidP="001F3917">
    <w:pPr>
      <w:pStyle w:val="Header"/>
    </w:pPr>
    <w:r>
      <w:t>PP22/62</w:t>
    </w:r>
    <w:r w:rsidRPr="00946460">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81F0" w14:textId="17A89509" w:rsidR="004E6DE8" w:rsidRDefault="004E6DE8" w:rsidP="001F3917">
    <w:pPr>
      <w:pStyle w:val="Header"/>
    </w:pPr>
    <w:r>
      <w:fldChar w:fldCharType="begin"/>
    </w:r>
    <w:r>
      <w:instrText>PAGE</w:instrText>
    </w:r>
    <w:r>
      <w:fldChar w:fldCharType="separate"/>
    </w:r>
    <w:r w:rsidR="00395C64">
      <w:rPr>
        <w:noProof/>
      </w:rPr>
      <w:t>11</w:t>
    </w:r>
    <w:r>
      <w:rPr>
        <w:noProof/>
      </w:rPr>
      <w:fldChar w:fldCharType="end"/>
    </w:r>
  </w:p>
  <w:p w14:paraId="17358591" w14:textId="77777777" w:rsidR="004E6DE8" w:rsidRDefault="004E6DE8" w:rsidP="001F3917">
    <w:pPr>
      <w:pStyle w:val="Header"/>
    </w:pPr>
    <w:r>
      <w:t>PP22/62</w:t>
    </w:r>
    <w:r w:rsidRPr="00946460">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1F0299CF" w:rsidR="004E6DE8" w:rsidRDefault="004E6DE8" w:rsidP="00BD1614">
    <w:pPr>
      <w:pStyle w:val="Header"/>
    </w:pPr>
    <w:r>
      <w:fldChar w:fldCharType="begin"/>
    </w:r>
    <w:r>
      <w:instrText xml:space="preserve"> PAGE </w:instrText>
    </w:r>
    <w:r>
      <w:fldChar w:fldCharType="separate"/>
    </w:r>
    <w:r w:rsidR="00395C64">
      <w:rPr>
        <w:noProof/>
      </w:rPr>
      <w:t>18</w:t>
    </w:r>
    <w:r>
      <w:fldChar w:fldCharType="end"/>
    </w:r>
  </w:p>
  <w:p w14:paraId="650D8FD2" w14:textId="66CC5041" w:rsidR="004E6DE8" w:rsidRDefault="004E6DE8" w:rsidP="00DB6D40">
    <w:pPr>
      <w:pStyle w:val="Header"/>
      <w:spacing w:after="120"/>
    </w:pPr>
    <w:r>
      <w:t>PP22/62-F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4FEA67"/>
    <w:multiLevelType w:val="hybridMultilevel"/>
    <w:tmpl w:val="2242687A"/>
    <w:lvl w:ilvl="0" w:tplc="9BAEEEF0">
      <w:start w:val="1"/>
      <w:numFmt w:val="ideographDigital"/>
      <w:lvlText w:val=""/>
      <w:lvlJc w:val="left"/>
    </w:lvl>
    <w:lvl w:ilvl="1" w:tplc="06C61302">
      <w:numFmt w:val="decimal"/>
      <w:lvlText w:val=""/>
      <w:lvlJc w:val="left"/>
    </w:lvl>
    <w:lvl w:ilvl="2" w:tplc="AACE4D9C">
      <w:numFmt w:val="decimal"/>
      <w:lvlText w:val=""/>
      <w:lvlJc w:val="left"/>
    </w:lvl>
    <w:lvl w:ilvl="3" w:tplc="B37420FE">
      <w:numFmt w:val="decimal"/>
      <w:lvlText w:val=""/>
      <w:lvlJc w:val="left"/>
    </w:lvl>
    <w:lvl w:ilvl="4" w:tplc="08C6176C">
      <w:numFmt w:val="decimal"/>
      <w:lvlText w:val=""/>
      <w:lvlJc w:val="left"/>
    </w:lvl>
    <w:lvl w:ilvl="5" w:tplc="E20C8776">
      <w:numFmt w:val="decimal"/>
      <w:lvlText w:val=""/>
      <w:lvlJc w:val="left"/>
    </w:lvl>
    <w:lvl w:ilvl="6" w:tplc="5C360250">
      <w:numFmt w:val="decimal"/>
      <w:lvlText w:val=""/>
      <w:lvlJc w:val="left"/>
    </w:lvl>
    <w:lvl w:ilvl="7" w:tplc="2BAA6C44">
      <w:numFmt w:val="decimal"/>
      <w:lvlText w:val=""/>
      <w:lvlJc w:val="left"/>
    </w:lvl>
    <w:lvl w:ilvl="8" w:tplc="01D6DE44">
      <w:numFmt w:val="decimal"/>
      <w:lvlText w:val=""/>
      <w:lvlJc w:val="left"/>
    </w:lvl>
  </w:abstractNum>
  <w:abstractNum w:abstractNumId="1" w15:restartNumberingAfterBreak="0">
    <w:nsid w:val="FFFFFF7C"/>
    <w:multiLevelType w:val="singleLevel"/>
    <w:tmpl w:val="C7A6CB3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D4E9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AF6D0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A22A6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C3AC8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9A57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3C633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566D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FF63C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AB662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C12C52"/>
    <w:multiLevelType w:val="hybridMultilevel"/>
    <w:tmpl w:val="F5544E66"/>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12" w15:restartNumberingAfterBreak="0">
    <w:nsid w:val="17DE5BE8"/>
    <w:multiLevelType w:val="hybridMultilevel"/>
    <w:tmpl w:val="397A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36C60"/>
    <w:multiLevelType w:val="hybridMultilevel"/>
    <w:tmpl w:val="5A387F8E"/>
    <w:lvl w:ilvl="0" w:tplc="111A7864">
      <w:numFmt w:val="bullet"/>
      <w:lvlText w:val="-"/>
      <w:lvlJc w:val="left"/>
      <w:pPr>
        <w:ind w:left="1069" w:hanging="360"/>
      </w:pPr>
      <w:rPr>
        <w:rFonts w:ascii="Calibri" w:eastAsia="SimSun" w:hAnsi="Calibri" w:cs="Calibri" w:hint="default"/>
      </w:rPr>
    </w:lvl>
    <w:lvl w:ilvl="1" w:tplc="32E6063E">
      <w:start w:val="1"/>
      <w:numFmt w:val="bullet"/>
      <w:lvlText w:val=""/>
      <w:lvlJc w:val="left"/>
      <w:pPr>
        <w:ind w:left="1789" w:hanging="360"/>
      </w:pPr>
      <w:rPr>
        <w:rFonts w:ascii="Symbol" w:hAnsi="Symbol" w:hint="default"/>
      </w:rPr>
    </w:lvl>
    <w:lvl w:ilvl="2" w:tplc="E404EAA4" w:tentative="1">
      <w:start w:val="1"/>
      <w:numFmt w:val="bullet"/>
      <w:lvlText w:val=""/>
      <w:lvlJc w:val="left"/>
      <w:pPr>
        <w:ind w:left="2509" w:hanging="360"/>
      </w:pPr>
      <w:rPr>
        <w:rFonts w:ascii="Wingdings" w:hAnsi="Wingdings" w:hint="default"/>
      </w:rPr>
    </w:lvl>
    <w:lvl w:ilvl="3" w:tplc="304EA1D8" w:tentative="1">
      <w:start w:val="1"/>
      <w:numFmt w:val="bullet"/>
      <w:lvlText w:val=""/>
      <w:lvlJc w:val="left"/>
      <w:pPr>
        <w:ind w:left="3229" w:hanging="360"/>
      </w:pPr>
      <w:rPr>
        <w:rFonts w:ascii="Symbol" w:hAnsi="Symbol" w:hint="default"/>
      </w:rPr>
    </w:lvl>
    <w:lvl w:ilvl="4" w:tplc="65BC596A" w:tentative="1">
      <w:start w:val="1"/>
      <w:numFmt w:val="bullet"/>
      <w:lvlText w:val="o"/>
      <w:lvlJc w:val="left"/>
      <w:pPr>
        <w:ind w:left="3949" w:hanging="360"/>
      </w:pPr>
      <w:rPr>
        <w:rFonts w:ascii="Courier New" w:hAnsi="Courier New" w:cs="Courier New" w:hint="default"/>
      </w:rPr>
    </w:lvl>
    <w:lvl w:ilvl="5" w:tplc="BB7E3FB4" w:tentative="1">
      <w:start w:val="1"/>
      <w:numFmt w:val="bullet"/>
      <w:lvlText w:val=""/>
      <w:lvlJc w:val="left"/>
      <w:pPr>
        <w:ind w:left="4669" w:hanging="360"/>
      </w:pPr>
      <w:rPr>
        <w:rFonts w:ascii="Wingdings" w:hAnsi="Wingdings" w:hint="default"/>
      </w:rPr>
    </w:lvl>
    <w:lvl w:ilvl="6" w:tplc="4CF6CEBC" w:tentative="1">
      <w:start w:val="1"/>
      <w:numFmt w:val="bullet"/>
      <w:lvlText w:val=""/>
      <w:lvlJc w:val="left"/>
      <w:pPr>
        <w:ind w:left="5389" w:hanging="360"/>
      </w:pPr>
      <w:rPr>
        <w:rFonts w:ascii="Symbol" w:hAnsi="Symbol" w:hint="default"/>
      </w:rPr>
    </w:lvl>
    <w:lvl w:ilvl="7" w:tplc="935810DE" w:tentative="1">
      <w:start w:val="1"/>
      <w:numFmt w:val="bullet"/>
      <w:lvlText w:val="o"/>
      <w:lvlJc w:val="left"/>
      <w:pPr>
        <w:ind w:left="6109" w:hanging="360"/>
      </w:pPr>
      <w:rPr>
        <w:rFonts w:ascii="Courier New" w:hAnsi="Courier New" w:cs="Courier New" w:hint="default"/>
      </w:rPr>
    </w:lvl>
    <w:lvl w:ilvl="8" w:tplc="565A23C6" w:tentative="1">
      <w:start w:val="1"/>
      <w:numFmt w:val="bullet"/>
      <w:lvlText w:val=""/>
      <w:lvlJc w:val="left"/>
      <w:pPr>
        <w:ind w:left="6829" w:hanging="360"/>
      </w:pPr>
      <w:rPr>
        <w:rFonts w:ascii="Wingdings" w:hAnsi="Wingdings" w:hint="default"/>
      </w:rPr>
    </w:lvl>
  </w:abstractNum>
  <w:abstractNum w:abstractNumId="14" w15:restartNumberingAfterBreak="0">
    <w:nsid w:val="2E407C2F"/>
    <w:multiLevelType w:val="hybridMultilevel"/>
    <w:tmpl w:val="ECA87CF4"/>
    <w:lvl w:ilvl="0" w:tplc="25B86B6E">
      <w:start w:val="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884509"/>
    <w:multiLevelType w:val="hybridMultilevel"/>
    <w:tmpl w:val="E16A43E0"/>
    <w:lvl w:ilvl="0" w:tplc="988EFAEC">
      <w:start w:val="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C7A03"/>
    <w:multiLevelType w:val="hybridMultilevel"/>
    <w:tmpl w:val="30D48D94"/>
    <w:lvl w:ilvl="0" w:tplc="5100D286">
      <w:start w:val="1"/>
      <w:numFmt w:val="bullet"/>
      <w:lvlText w:val=""/>
      <w:lvlJc w:val="left"/>
      <w:pPr>
        <w:ind w:left="720" w:hanging="360"/>
      </w:pPr>
      <w:rPr>
        <w:rFonts w:ascii="Symbol" w:hAnsi="Symbol" w:hint="default"/>
      </w:rPr>
    </w:lvl>
    <w:lvl w:ilvl="1" w:tplc="02BE709C">
      <w:start w:val="1"/>
      <w:numFmt w:val="bullet"/>
      <w:lvlText w:val="o"/>
      <w:lvlJc w:val="left"/>
      <w:pPr>
        <w:ind w:left="1440" w:hanging="360"/>
      </w:pPr>
      <w:rPr>
        <w:rFonts w:ascii="Courier New" w:hAnsi="Courier New" w:cs="Courier New" w:hint="default"/>
      </w:rPr>
    </w:lvl>
    <w:lvl w:ilvl="2" w:tplc="B4E2CF10">
      <w:start w:val="1"/>
      <w:numFmt w:val="bullet"/>
      <w:lvlText w:val=""/>
      <w:lvlJc w:val="left"/>
      <w:pPr>
        <w:ind w:left="2160" w:hanging="360"/>
      </w:pPr>
      <w:rPr>
        <w:rFonts w:ascii="Wingdings" w:hAnsi="Wingdings" w:hint="default"/>
      </w:rPr>
    </w:lvl>
    <w:lvl w:ilvl="3" w:tplc="4D8A3EEC">
      <w:start w:val="1"/>
      <w:numFmt w:val="bullet"/>
      <w:lvlText w:val=""/>
      <w:lvlJc w:val="left"/>
      <w:pPr>
        <w:ind w:left="2880" w:hanging="360"/>
      </w:pPr>
      <w:rPr>
        <w:rFonts w:ascii="Symbol" w:hAnsi="Symbol" w:hint="default"/>
      </w:rPr>
    </w:lvl>
    <w:lvl w:ilvl="4" w:tplc="52166904">
      <w:start w:val="1"/>
      <w:numFmt w:val="bullet"/>
      <w:lvlText w:val="o"/>
      <w:lvlJc w:val="left"/>
      <w:pPr>
        <w:ind w:left="3600" w:hanging="360"/>
      </w:pPr>
      <w:rPr>
        <w:rFonts w:ascii="Courier New" w:hAnsi="Courier New" w:cs="Courier New" w:hint="default"/>
      </w:rPr>
    </w:lvl>
    <w:lvl w:ilvl="5" w:tplc="319EC21A">
      <w:start w:val="1"/>
      <w:numFmt w:val="bullet"/>
      <w:lvlText w:val=""/>
      <w:lvlJc w:val="left"/>
      <w:pPr>
        <w:ind w:left="4320" w:hanging="360"/>
      </w:pPr>
      <w:rPr>
        <w:rFonts w:ascii="Wingdings" w:hAnsi="Wingdings" w:hint="default"/>
      </w:rPr>
    </w:lvl>
    <w:lvl w:ilvl="6" w:tplc="0F546C2C">
      <w:start w:val="1"/>
      <w:numFmt w:val="bullet"/>
      <w:lvlText w:val=""/>
      <w:lvlJc w:val="left"/>
      <w:pPr>
        <w:ind w:left="5040" w:hanging="360"/>
      </w:pPr>
      <w:rPr>
        <w:rFonts w:ascii="Symbol" w:hAnsi="Symbol" w:hint="default"/>
      </w:rPr>
    </w:lvl>
    <w:lvl w:ilvl="7" w:tplc="6D7822FC">
      <w:start w:val="1"/>
      <w:numFmt w:val="bullet"/>
      <w:lvlText w:val="o"/>
      <w:lvlJc w:val="left"/>
      <w:pPr>
        <w:ind w:left="5760" w:hanging="360"/>
      </w:pPr>
      <w:rPr>
        <w:rFonts w:ascii="Courier New" w:hAnsi="Courier New" w:cs="Courier New" w:hint="default"/>
      </w:rPr>
    </w:lvl>
    <w:lvl w:ilvl="8" w:tplc="794268BC">
      <w:start w:val="1"/>
      <w:numFmt w:val="bullet"/>
      <w:lvlText w:val=""/>
      <w:lvlJc w:val="left"/>
      <w:pPr>
        <w:ind w:left="6480" w:hanging="360"/>
      </w:pPr>
      <w:rPr>
        <w:rFonts w:ascii="Wingdings" w:hAnsi="Wingdings" w:hint="default"/>
      </w:rPr>
    </w:lvl>
  </w:abstractNum>
  <w:abstractNum w:abstractNumId="17" w15:restartNumberingAfterBreak="0">
    <w:nsid w:val="337C6677"/>
    <w:multiLevelType w:val="hybridMultilevel"/>
    <w:tmpl w:val="84C059B8"/>
    <w:lvl w:ilvl="0" w:tplc="928219AE">
      <w:start w:val="1"/>
      <w:numFmt w:val="bullet"/>
      <w:lvlText w:val=""/>
      <w:lvlJc w:val="left"/>
      <w:pPr>
        <w:ind w:left="720" w:hanging="360"/>
      </w:pPr>
      <w:rPr>
        <w:rFonts w:ascii="Symbol" w:hAnsi="Symbol" w:hint="default"/>
      </w:rPr>
    </w:lvl>
    <w:lvl w:ilvl="1" w:tplc="A5CACF04" w:tentative="1">
      <w:start w:val="1"/>
      <w:numFmt w:val="bullet"/>
      <w:lvlText w:val="o"/>
      <w:lvlJc w:val="left"/>
      <w:pPr>
        <w:ind w:left="1440" w:hanging="360"/>
      </w:pPr>
      <w:rPr>
        <w:rFonts w:ascii="Courier New" w:hAnsi="Courier New" w:cs="Courier New" w:hint="default"/>
      </w:rPr>
    </w:lvl>
    <w:lvl w:ilvl="2" w:tplc="76CA890E" w:tentative="1">
      <w:start w:val="1"/>
      <w:numFmt w:val="bullet"/>
      <w:lvlText w:val=""/>
      <w:lvlJc w:val="left"/>
      <w:pPr>
        <w:ind w:left="2160" w:hanging="360"/>
      </w:pPr>
      <w:rPr>
        <w:rFonts w:ascii="Wingdings" w:hAnsi="Wingdings" w:hint="default"/>
      </w:rPr>
    </w:lvl>
    <w:lvl w:ilvl="3" w:tplc="6F0C8422" w:tentative="1">
      <w:start w:val="1"/>
      <w:numFmt w:val="bullet"/>
      <w:lvlText w:val=""/>
      <w:lvlJc w:val="left"/>
      <w:pPr>
        <w:ind w:left="2880" w:hanging="360"/>
      </w:pPr>
      <w:rPr>
        <w:rFonts w:ascii="Symbol" w:hAnsi="Symbol" w:hint="default"/>
      </w:rPr>
    </w:lvl>
    <w:lvl w:ilvl="4" w:tplc="8E32A564" w:tentative="1">
      <w:start w:val="1"/>
      <w:numFmt w:val="bullet"/>
      <w:lvlText w:val="o"/>
      <w:lvlJc w:val="left"/>
      <w:pPr>
        <w:ind w:left="3600" w:hanging="360"/>
      </w:pPr>
      <w:rPr>
        <w:rFonts w:ascii="Courier New" w:hAnsi="Courier New" w:cs="Courier New" w:hint="default"/>
      </w:rPr>
    </w:lvl>
    <w:lvl w:ilvl="5" w:tplc="9970E628" w:tentative="1">
      <w:start w:val="1"/>
      <w:numFmt w:val="bullet"/>
      <w:lvlText w:val=""/>
      <w:lvlJc w:val="left"/>
      <w:pPr>
        <w:ind w:left="4320" w:hanging="360"/>
      </w:pPr>
      <w:rPr>
        <w:rFonts w:ascii="Wingdings" w:hAnsi="Wingdings" w:hint="default"/>
      </w:rPr>
    </w:lvl>
    <w:lvl w:ilvl="6" w:tplc="509AB064" w:tentative="1">
      <w:start w:val="1"/>
      <w:numFmt w:val="bullet"/>
      <w:lvlText w:val=""/>
      <w:lvlJc w:val="left"/>
      <w:pPr>
        <w:ind w:left="5040" w:hanging="360"/>
      </w:pPr>
      <w:rPr>
        <w:rFonts w:ascii="Symbol" w:hAnsi="Symbol" w:hint="default"/>
      </w:rPr>
    </w:lvl>
    <w:lvl w:ilvl="7" w:tplc="663C85F6" w:tentative="1">
      <w:start w:val="1"/>
      <w:numFmt w:val="bullet"/>
      <w:lvlText w:val="o"/>
      <w:lvlJc w:val="left"/>
      <w:pPr>
        <w:ind w:left="5760" w:hanging="360"/>
      </w:pPr>
      <w:rPr>
        <w:rFonts w:ascii="Courier New" w:hAnsi="Courier New" w:cs="Courier New" w:hint="default"/>
      </w:rPr>
    </w:lvl>
    <w:lvl w:ilvl="8" w:tplc="C7AE1B50" w:tentative="1">
      <w:start w:val="1"/>
      <w:numFmt w:val="bullet"/>
      <w:lvlText w:val=""/>
      <w:lvlJc w:val="left"/>
      <w:pPr>
        <w:ind w:left="6480" w:hanging="360"/>
      </w:pPr>
      <w:rPr>
        <w:rFonts w:ascii="Wingdings" w:hAnsi="Wingdings" w:hint="default"/>
      </w:rPr>
    </w:lvl>
  </w:abstractNum>
  <w:abstractNum w:abstractNumId="18" w15:restartNumberingAfterBreak="0">
    <w:nsid w:val="35D456B4"/>
    <w:multiLevelType w:val="hybridMultilevel"/>
    <w:tmpl w:val="DDACB454"/>
    <w:lvl w:ilvl="0" w:tplc="FC026F9E">
      <w:start w:val="1"/>
      <w:numFmt w:val="bullet"/>
      <w:lvlText w:val=""/>
      <w:lvlJc w:val="left"/>
      <w:pPr>
        <w:ind w:left="720" w:hanging="360"/>
      </w:pPr>
      <w:rPr>
        <w:rFonts w:ascii="Symbol" w:hAnsi="Symbol" w:cs="Symbol" w:hint="default"/>
      </w:rPr>
    </w:lvl>
    <w:lvl w:ilvl="1" w:tplc="9FF88D68" w:tentative="1">
      <w:start w:val="1"/>
      <w:numFmt w:val="bullet"/>
      <w:lvlText w:val="o"/>
      <w:lvlJc w:val="left"/>
      <w:pPr>
        <w:ind w:left="1440" w:hanging="360"/>
      </w:pPr>
      <w:rPr>
        <w:rFonts w:ascii="Courier New" w:hAnsi="Courier New" w:cs="Courier New" w:hint="default"/>
      </w:rPr>
    </w:lvl>
    <w:lvl w:ilvl="2" w:tplc="6798BD8A" w:tentative="1">
      <w:start w:val="1"/>
      <w:numFmt w:val="bullet"/>
      <w:lvlText w:val=""/>
      <w:lvlJc w:val="left"/>
      <w:pPr>
        <w:ind w:left="2160" w:hanging="360"/>
      </w:pPr>
      <w:rPr>
        <w:rFonts w:ascii="Wingdings" w:hAnsi="Wingdings" w:cs="Wingdings" w:hint="default"/>
      </w:rPr>
    </w:lvl>
    <w:lvl w:ilvl="3" w:tplc="FFEA4A16" w:tentative="1">
      <w:start w:val="1"/>
      <w:numFmt w:val="bullet"/>
      <w:lvlText w:val=""/>
      <w:lvlJc w:val="left"/>
      <w:pPr>
        <w:ind w:left="2880" w:hanging="360"/>
      </w:pPr>
      <w:rPr>
        <w:rFonts w:ascii="Symbol" w:hAnsi="Symbol" w:cs="Symbol" w:hint="default"/>
      </w:rPr>
    </w:lvl>
    <w:lvl w:ilvl="4" w:tplc="B61009DA" w:tentative="1">
      <w:start w:val="1"/>
      <w:numFmt w:val="bullet"/>
      <w:lvlText w:val="o"/>
      <w:lvlJc w:val="left"/>
      <w:pPr>
        <w:ind w:left="3600" w:hanging="360"/>
      </w:pPr>
      <w:rPr>
        <w:rFonts w:ascii="Courier New" w:hAnsi="Courier New" w:cs="Courier New" w:hint="default"/>
      </w:rPr>
    </w:lvl>
    <w:lvl w:ilvl="5" w:tplc="59D48564" w:tentative="1">
      <w:start w:val="1"/>
      <w:numFmt w:val="bullet"/>
      <w:lvlText w:val=""/>
      <w:lvlJc w:val="left"/>
      <w:pPr>
        <w:ind w:left="4320" w:hanging="360"/>
      </w:pPr>
      <w:rPr>
        <w:rFonts w:ascii="Wingdings" w:hAnsi="Wingdings" w:cs="Wingdings" w:hint="default"/>
      </w:rPr>
    </w:lvl>
    <w:lvl w:ilvl="6" w:tplc="F670E9D4" w:tentative="1">
      <w:start w:val="1"/>
      <w:numFmt w:val="bullet"/>
      <w:lvlText w:val=""/>
      <w:lvlJc w:val="left"/>
      <w:pPr>
        <w:ind w:left="5040" w:hanging="360"/>
      </w:pPr>
      <w:rPr>
        <w:rFonts w:ascii="Symbol" w:hAnsi="Symbol" w:cs="Symbol" w:hint="default"/>
      </w:rPr>
    </w:lvl>
    <w:lvl w:ilvl="7" w:tplc="180605F6" w:tentative="1">
      <w:start w:val="1"/>
      <w:numFmt w:val="bullet"/>
      <w:lvlText w:val="o"/>
      <w:lvlJc w:val="left"/>
      <w:pPr>
        <w:ind w:left="5760" w:hanging="360"/>
      </w:pPr>
      <w:rPr>
        <w:rFonts w:ascii="Courier New" w:hAnsi="Courier New" w:cs="Courier New" w:hint="default"/>
      </w:rPr>
    </w:lvl>
    <w:lvl w:ilvl="8" w:tplc="2B001BD4" w:tentative="1">
      <w:start w:val="1"/>
      <w:numFmt w:val="bullet"/>
      <w:lvlText w:val=""/>
      <w:lvlJc w:val="left"/>
      <w:pPr>
        <w:ind w:left="6480" w:hanging="360"/>
      </w:pPr>
      <w:rPr>
        <w:rFonts w:ascii="Wingdings" w:hAnsi="Wingdings" w:cs="Wingdings" w:hint="default"/>
      </w:rPr>
    </w:lvl>
  </w:abstractNum>
  <w:abstractNum w:abstractNumId="19" w15:restartNumberingAfterBreak="0">
    <w:nsid w:val="407336C6"/>
    <w:multiLevelType w:val="hybridMultilevel"/>
    <w:tmpl w:val="F2346D10"/>
    <w:lvl w:ilvl="0" w:tplc="0409000F">
      <w:start w:val="1"/>
      <w:numFmt w:val="decimal"/>
      <w:lvlText w:val="%1."/>
      <w:lvlJc w:val="left"/>
      <w:pPr>
        <w:ind w:left="720" w:hanging="360"/>
      </w:pPr>
    </w:lvl>
    <w:lvl w:ilvl="1" w:tplc="977AD050">
      <w:numFmt w:val="bullet"/>
      <w:lvlText w:val="•"/>
      <w:lvlJc w:val="left"/>
      <w:pPr>
        <w:ind w:left="1650" w:hanging="57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F6354"/>
    <w:multiLevelType w:val="hybridMultilevel"/>
    <w:tmpl w:val="D1F2E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F24289"/>
    <w:multiLevelType w:val="hybridMultilevel"/>
    <w:tmpl w:val="6E5094BA"/>
    <w:lvl w:ilvl="0" w:tplc="D8408D20">
      <w:start w:val="5"/>
      <w:numFmt w:val="bullet"/>
      <w:lvlText w:val="•"/>
      <w:lvlJc w:val="left"/>
      <w:pPr>
        <w:ind w:left="1080" w:hanging="360"/>
      </w:pPr>
      <w:rPr>
        <w:rFonts w:ascii="Calibri" w:eastAsia="Calibri" w:hAnsi="Calibri" w:cs="Calibri" w:hint="default"/>
      </w:rPr>
    </w:lvl>
    <w:lvl w:ilvl="1" w:tplc="D8408D20">
      <w:start w:val="5"/>
      <w:numFmt w:val="bullet"/>
      <w:lvlText w:val="•"/>
      <w:lvlJc w:val="left"/>
      <w:pPr>
        <w:ind w:left="1800" w:hanging="360"/>
      </w:pPr>
      <w:rPr>
        <w:rFonts w:ascii="Calibri" w:eastAsia="Calibri" w:hAnsi="Calibri" w:cs="Calibri"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586E4A73"/>
    <w:multiLevelType w:val="hybridMultilevel"/>
    <w:tmpl w:val="B01248F4"/>
    <w:lvl w:ilvl="0" w:tplc="AC8C0BBC">
      <w:start w:val="1"/>
      <w:numFmt w:val="bullet"/>
      <w:lvlText w:val=""/>
      <w:lvlJc w:val="left"/>
      <w:pPr>
        <w:ind w:left="720" w:hanging="360"/>
      </w:pPr>
      <w:rPr>
        <w:rFonts w:ascii="Symbol" w:hAnsi="Symbol" w:hint="default"/>
      </w:rPr>
    </w:lvl>
    <w:lvl w:ilvl="1" w:tplc="9FC00E54">
      <w:start w:val="1"/>
      <w:numFmt w:val="bullet"/>
      <w:lvlText w:val="o"/>
      <w:lvlJc w:val="left"/>
      <w:pPr>
        <w:ind w:left="1440" w:hanging="360"/>
      </w:pPr>
      <w:rPr>
        <w:rFonts w:ascii="Courier New" w:hAnsi="Courier New" w:cs="Courier New" w:hint="default"/>
      </w:rPr>
    </w:lvl>
    <w:lvl w:ilvl="2" w:tplc="14F8CEC0">
      <w:start w:val="1"/>
      <w:numFmt w:val="bullet"/>
      <w:lvlText w:val=""/>
      <w:lvlJc w:val="left"/>
      <w:pPr>
        <w:ind w:left="2160" w:hanging="360"/>
      </w:pPr>
      <w:rPr>
        <w:rFonts w:ascii="Wingdings" w:hAnsi="Wingdings" w:hint="default"/>
      </w:rPr>
    </w:lvl>
    <w:lvl w:ilvl="3" w:tplc="3A9E4C8A">
      <w:start w:val="1"/>
      <w:numFmt w:val="bullet"/>
      <w:lvlText w:val=""/>
      <w:lvlJc w:val="left"/>
      <w:pPr>
        <w:ind w:left="2880" w:hanging="360"/>
      </w:pPr>
      <w:rPr>
        <w:rFonts w:ascii="Symbol" w:hAnsi="Symbol" w:hint="default"/>
      </w:rPr>
    </w:lvl>
    <w:lvl w:ilvl="4" w:tplc="AB0211F8">
      <w:start w:val="1"/>
      <w:numFmt w:val="bullet"/>
      <w:lvlText w:val="o"/>
      <w:lvlJc w:val="left"/>
      <w:pPr>
        <w:ind w:left="3600" w:hanging="360"/>
      </w:pPr>
      <w:rPr>
        <w:rFonts w:ascii="Courier New" w:hAnsi="Courier New" w:cs="Courier New" w:hint="default"/>
      </w:rPr>
    </w:lvl>
    <w:lvl w:ilvl="5" w:tplc="B4C22C02">
      <w:start w:val="1"/>
      <w:numFmt w:val="bullet"/>
      <w:lvlText w:val=""/>
      <w:lvlJc w:val="left"/>
      <w:pPr>
        <w:ind w:left="4320" w:hanging="360"/>
      </w:pPr>
      <w:rPr>
        <w:rFonts w:ascii="Wingdings" w:hAnsi="Wingdings" w:hint="default"/>
      </w:rPr>
    </w:lvl>
    <w:lvl w:ilvl="6" w:tplc="964C6472">
      <w:start w:val="1"/>
      <w:numFmt w:val="bullet"/>
      <w:lvlText w:val=""/>
      <w:lvlJc w:val="left"/>
      <w:pPr>
        <w:ind w:left="5040" w:hanging="360"/>
      </w:pPr>
      <w:rPr>
        <w:rFonts w:ascii="Symbol" w:hAnsi="Symbol" w:hint="default"/>
      </w:rPr>
    </w:lvl>
    <w:lvl w:ilvl="7" w:tplc="D8CC8ADE">
      <w:start w:val="1"/>
      <w:numFmt w:val="bullet"/>
      <w:lvlText w:val="o"/>
      <w:lvlJc w:val="left"/>
      <w:pPr>
        <w:ind w:left="5760" w:hanging="360"/>
      </w:pPr>
      <w:rPr>
        <w:rFonts w:ascii="Courier New" w:hAnsi="Courier New" w:cs="Courier New" w:hint="default"/>
      </w:rPr>
    </w:lvl>
    <w:lvl w:ilvl="8" w:tplc="0AE434C2">
      <w:start w:val="1"/>
      <w:numFmt w:val="bullet"/>
      <w:lvlText w:val=""/>
      <w:lvlJc w:val="left"/>
      <w:pPr>
        <w:ind w:left="6480" w:hanging="360"/>
      </w:pPr>
      <w:rPr>
        <w:rFonts w:ascii="Wingdings" w:hAnsi="Wingdings" w:hint="default"/>
      </w:rPr>
    </w:lvl>
  </w:abstractNum>
  <w:abstractNum w:abstractNumId="23" w15:restartNumberingAfterBreak="0">
    <w:nsid w:val="58E20CF5"/>
    <w:multiLevelType w:val="hybridMultilevel"/>
    <w:tmpl w:val="9AD088CC"/>
    <w:lvl w:ilvl="0" w:tplc="7032BDCA">
      <w:start w:val="1"/>
      <w:numFmt w:val="bullet"/>
      <w:lvlText w:val=""/>
      <w:lvlJc w:val="left"/>
      <w:pPr>
        <w:ind w:left="1069" w:hanging="360"/>
      </w:pPr>
      <w:rPr>
        <w:rFonts w:ascii="Symbol" w:hAnsi="Symbol" w:hint="default"/>
      </w:rPr>
    </w:lvl>
    <w:lvl w:ilvl="1" w:tplc="5EEACC78">
      <w:start w:val="1"/>
      <w:numFmt w:val="bullet"/>
      <w:lvlText w:val=""/>
      <w:lvlJc w:val="left"/>
      <w:pPr>
        <w:ind w:left="1789" w:hanging="360"/>
      </w:pPr>
      <w:rPr>
        <w:rFonts w:ascii="Symbol" w:hAnsi="Symbol" w:hint="default"/>
      </w:rPr>
    </w:lvl>
    <w:lvl w:ilvl="2" w:tplc="9A4E3988" w:tentative="1">
      <w:start w:val="1"/>
      <w:numFmt w:val="bullet"/>
      <w:lvlText w:val=""/>
      <w:lvlJc w:val="left"/>
      <w:pPr>
        <w:ind w:left="2509" w:hanging="360"/>
      </w:pPr>
      <w:rPr>
        <w:rFonts w:ascii="Wingdings" w:hAnsi="Wingdings" w:hint="default"/>
      </w:rPr>
    </w:lvl>
    <w:lvl w:ilvl="3" w:tplc="64F21C22" w:tentative="1">
      <w:start w:val="1"/>
      <w:numFmt w:val="bullet"/>
      <w:lvlText w:val=""/>
      <w:lvlJc w:val="left"/>
      <w:pPr>
        <w:ind w:left="3229" w:hanging="360"/>
      </w:pPr>
      <w:rPr>
        <w:rFonts w:ascii="Symbol" w:hAnsi="Symbol" w:hint="default"/>
      </w:rPr>
    </w:lvl>
    <w:lvl w:ilvl="4" w:tplc="AF8C3C1E" w:tentative="1">
      <w:start w:val="1"/>
      <w:numFmt w:val="bullet"/>
      <w:lvlText w:val="o"/>
      <w:lvlJc w:val="left"/>
      <w:pPr>
        <w:ind w:left="3949" w:hanging="360"/>
      </w:pPr>
      <w:rPr>
        <w:rFonts w:ascii="Courier New" w:hAnsi="Courier New" w:cs="Courier New" w:hint="default"/>
      </w:rPr>
    </w:lvl>
    <w:lvl w:ilvl="5" w:tplc="AADC3BD6" w:tentative="1">
      <w:start w:val="1"/>
      <w:numFmt w:val="bullet"/>
      <w:lvlText w:val=""/>
      <w:lvlJc w:val="left"/>
      <w:pPr>
        <w:ind w:left="4669" w:hanging="360"/>
      </w:pPr>
      <w:rPr>
        <w:rFonts w:ascii="Wingdings" w:hAnsi="Wingdings" w:hint="default"/>
      </w:rPr>
    </w:lvl>
    <w:lvl w:ilvl="6" w:tplc="CBE6B5F6" w:tentative="1">
      <w:start w:val="1"/>
      <w:numFmt w:val="bullet"/>
      <w:lvlText w:val=""/>
      <w:lvlJc w:val="left"/>
      <w:pPr>
        <w:ind w:left="5389" w:hanging="360"/>
      </w:pPr>
      <w:rPr>
        <w:rFonts w:ascii="Symbol" w:hAnsi="Symbol" w:hint="default"/>
      </w:rPr>
    </w:lvl>
    <w:lvl w:ilvl="7" w:tplc="405C7CA4" w:tentative="1">
      <w:start w:val="1"/>
      <w:numFmt w:val="bullet"/>
      <w:lvlText w:val="o"/>
      <w:lvlJc w:val="left"/>
      <w:pPr>
        <w:ind w:left="6109" w:hanging="360"/>
      </w:pPr>
      <w:rPr>
        <w:rFonts w:ascii="Courier New" w:hAnsi="Courier New" w:cs="Courier New" w:hint="default"/>
      </w:rPr>
    </w:lvl>
    <w:lvl w:ilvl="8" w:tplc="21D43686" w:tentative="1">
      <w:start w:val="1"/>
      <w:numFmt w:val="bullet"/>
      <w:lvlText w:val=""/>
      <w:lvlJc w:val="left"/>
      <w:pPr>
        <w:ind w:left="6829" w:hanging="360"/>
      </w:pPr>
      <w:rPr>
        <w:rFonts w:ascii="Wingdings" w:hAnsi="Wingdings" w:hint="default"/>
      </w:rPr>
    </w:lvl>
  </w:abstractNum>
  <w:abstractNum w:abstractNumId="24" w15:restartNumberingAfterBreak="0">
    <w:nsid w:val="61751DCE"/>
    <w:multiLevelType w:val="hybridMultilevel"/>
    <w:tmpl w:val="BF5CAA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994AB7"/>
    <w:multiLevelType w:val="hybridMultilevel"/>
    <w:tmpl w:val="0608C92E"/>
    <w:lvl w:ilvl="0" w:tplc="A03E093C">
      <w:start w:val="5"/>
      <w:numFmt w:val="decimal"/>
      <w:lvlText w:val="%1"/>
      <w:lvlJc w:val="left"/>
      <w:pPr>
        <w:ind w:left="720" w:hanging="360"/>
      </w:pPr>
      <w:rPr>
        <w:rFonts w:hint="default"/>
      </w:rPr>
    </w:lvl>
    <w:lvl w:ilvl="1" w:tplc="993AE088" w:tentative="1">
      <w:start w:val="1"/>
      <w:numFmt w:val="lowerLetter"/>
      <w:lvlText w:val="%2."/>
      <w:lvlJc w:val="left"/>
      <w:pPr>
        <w:ind w:left="1440" w:hanging="360"/>
      </w:pPr>
    </w:lvl>
    <w:lvl w:ilvl="2" w:tplc="5C20914A" w:tentative="1">
      <w:start w:val="1"/>
      <w:numFmt w:val="lowerRoman"/>
      <w:lvlText w:val="%3."/>
      <w:lvlJc w:val="right"/>
      <w:pPr>
        <w:ind w:left="2160" w:hanging="180"/>
      </w:pPr>
    </w:lvl>
    <w:lvl w:ilvl="3" w:tplc="27903726" w:tentative="1">
      <w:start w:val="1"/>
      <w:numFmt w:val="decimal"/>
      <w:lvlText w:val="%4."/>
      <w:lvlJc w:val="left"/>
      <w:pPr>
        <w:ind w:left="2880" w:hanging="360"/>
      </w:pPr>
    </w:lvl>
    <w:lvl w:ilvl="4" w:tplc="FA1A5288" w:tentative="1">
      <w:start w:val="1"/>
      <w:numFmt w:val="lowerLetter"/>
      <w:lvlText w:val="%5."/>
      <w:lvlJc w:val="left"/>
      <w:pPr>
        <w:ind w:left="3600" w:hanging="360"/>
      </w:pPr>
    </w:lvl>
    <w:lvl w:ilvl="5" w:tplc="C054C746" w:tentative="1">
      <w:start w:val="1"/>
      <w:numFmt w:val="lowerRoman"/>
      <w:lvlText w:val="%6."/>
      <w:lvlJc w:val="right"/>
      <w:pPr>
        <w:ind w:left="4320" w:hanging="180"/>
      </w:pPr>
    </w:lvl>
    <w:lvl w:ilvl="6" w:tplc="42AAF160" w:tentative="1">
      <w:start w:val="1"/>
      <w:numFmt w:val="decimal"/>
      <w:lvlText w:val="%7."/>
      <w:lvlJc w:val="left"/>
      <w:pPr>
        <w:ind w:left="5040" w:hanging="360"/>
      </w:pPr>
    </w:lvl>
    <w:lvl w:ilvl="7" w:tplc="8D741634" w:tentative="1">
      <w:start w:val="1"/>
      <w:numFmt w:val="lowerLetter"/>
      <w:lvlText w:val="%8."/>
      <w:lvlJc w:val="left"/>
      <w:pPr>
        <w:ind w:left="5760" w:hanging="360"/>
      </w:pPr>
    </w:lvl>
    <w:lvl w:ilvl="8" w:tplc="38D24F5E" w:tentative="1">
      <w:start w:val="1"/>
      <w:numFmt w:val="lowerRoman"/>
      <w:lvlText w:val="%9."/>
      <w:lvlJc w:val="right"/>
      <w:pPr>
        <w:ind w:left="6480" w:hanging="180"/>
      </w:pPr>
    </w:lvl>
  </w:abstractNum>
  <w:abstractNum w:abstractNumId="26" w15:restartNumberingAfterBreak="0">
    <w:nsid w:val="64FE38B1"/>
    <w:multiLevelType w:val="multilevel"/>
    <w:tmpl w:val="0D70FFFA"/>
    <w:lvl w:ilvl="0">
      <w:start w:val="1"/>
      <w:numFmt w:val="decimal"/>
      <w:lvlText w:val="%1."/>
      <w:lvlJc w:val="left"/>
      <w:pPr>
        <w:ind w:left="360" w:hanging="360"/>
      </w:pPr>
    </w:lvl>
    <w:lvl w:ilvl="1">
      <w:start w:val="2"/>
      <w:numFmt w:val="decimal"/>
      <w:isLgl/>
      <w:lvlText w:val="%1.%2"/>
      <w:lvlJc w:val="left"/>
      <w:pPr>
        <w:ind w:left="708" w:hanging="708"/>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71E072BF"/>
    <w:multiLevelType w:val="hybridMultilevel"/>
    <w:tmpl w:val="8F7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703986">
    <w:abstractNumId w:val="10"/>
  </w:num>
  <w:num w:numId="2" w16cid:durableId="387070323">
    <w:abstractNumId w:val="8"/>
  </w:num>
  <w:num w:numId="3" w16cid:durableId="1698698901">
    <w:abstractNumId w:val="7"/>
  </w:num>
  <w:num w:numId="4" w16cid:durableId="2097550813">
    <w:abstractNumId w:val="6"/>
  </w:num>
  <w:num w:numId="5" w16cid:durableId="1561624533">
    <w:abstractNumId w:val="5"/>
  </w:num>
  <w:num w:numId="6" w16cid:durableId="1345355420">
    <w:abstractNumId w:val="9"/>
  </w:num>
  <w:num w:numId="7" w16cid:durableId="1967273359">
    <w:abstractNumId w:val="4"/>
  </w:num>
  <w:num w:numId="8" w16cid:durableId="534732483">
    <w:abstractNumId w:val="3"/>
  </w:num>
  <w:num w:numId="9" w16cid:durableId="31543075">
    <w:abstractNumId w:val="2"/>
  </w:num>
  <w:num w:numId="10" w16cid:durableId="464398474">
    <w:abstractNumId w:val="1"/>
  </w:num>
  <w:num w:numId="11" w16cid:durableId="49345225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7636187">
    <w:abstractNumId w:val="16"/>
  </w:num>
  <w:num w:numId="13" w16cid:durableId="290014372">
    <w:abstractNumId w:val="22"/>
  </w:num>
  <w:num w:numId="14" w16cid:durableId="2056731478">
    <w:abstractNumId w:val="17"/>
  </w:num>
  <w:num w:numId="15" w16cid:durableId="2113283511">
    <w:abstractNumId w:val="13"/>
  </w:num>
  <w:num w:numId="16" w16cid:durableId="1219168390">
    <w:abstractNumId w:val="18"/>
  </w:num>
  <w:num w:numId="17" w16cid:durableId="1067656327">
    <w:abstractNumId w:val="23"/>
  </w:num>
  <w:num w:numId="18" w16cid:durableId="1686246852">
    <w:abstractNumId w:val="0"/>
  </w:num>
  <w:num w:numId="19" w16cid:durableId="1993831370">
    <w:abstractNumId w:val="25"/>
  </w:num>
  <w:num w:numId="20" w16cid:durableId="1081678931">
    <w:abstractNumId w:val="24"/>
  </w:num>
  <w:num w:numId="21" w16cid:durableId="1208491225">
    <w:abstractNumId w:val="19"/>
  </w:num>
  <w:num w:numId="22" w16cid:durableId="2077970850">
    <w:abstractNumId w:val="27"/>
  </w:num>
  <w:num w:numId="23" w16cid:durableId="2100248162">
    <w:abstractNumId w:val="12"/>
  </w:num>
  <w:num w:numId="24" w16cid:durableId="235630996">
    <w:abstractNumId w:val="11"/>
  </w:num>
  <w:num w:numId="25" w16cid:durableId="1700932732">
    <w:abstractNumId w:val="21"/>
  </w:num>
  <w:num w:numId="26" w16cid:durableId="1123500710">
    <w:abstractNumId w:val="20"/>
  </w:num>
  <w:num w:numId="27" w16cid:durableId="30421298">
    <w:abstractNumId w:val="14"/>
  </w:num>
  <w:num w:numId="28" w16cid:durableId="1701200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42062"/>
    <w:rsid w:val="000461C2"/>
    <w:rsid w:val="00060D74"/>
    <w:rsid w:val="00072D5C"/>
    <w:rsid w:val="0008398C"/>
    <w:rsid w:val="00084308"/>
    <w:rsid w:val="00086955"/>
    <w:rsid w:val="000B14B6"/>
    <w:rsid w:val="000C467B"/>
    <w:rsid w:val="000D0ABB"/>
    <w:rsid w:val="000D15FB"/>
    <w:rsid w:val="000E4B24"/>
    <w:rsid w:val="000F58F7"/>
    <w:rsid w:val="001051E4"/>
    <w:rsid w:val="001354EA"/>
    <w:rsid w:val="00136FCE"/>
    <w:rsid w:val="00153BA4"/>
    <w:rsid w:val="00172FB9"/>
    <w:rsid w:val="001941AD"/>
    <w:rsid w:val="0019732C"/>
    <w:rsid w:val="001A0682"/>
    <w:rsid w:val="001B4D8D"/>
    <w:rsid w:val="001C69FC"/>
    <w:rsid w:val="001D1A6D"/>
    <w:rsid w:val="001D31B2"/>
    <w:rsid w:val="001D51E3"/>
    <w:rsid w:val="001E08EC"/>
    <w:rsid w:val="001E1B9B"/>
    <w:rsid w:val="001E2226"/>
    <w:rsid w:val="001F3917"/>
    <w:rsid w:val="001F6233"/>
    <w:rsid w:val="002355CD"/>
    <w:rsid w:val="00262D0E"/>
    <w:rsid w:val="00270B2F"/>
    <w:rsid w:val="002764B7"/>
    <w:rsid w:val="00277BA8"/>
    <w:rsid w:val="002A0E1B"/>
    <w:rsid w:val="002A38BA"/>
    <w:rsid w:val="002A7A1D"/>
    <w:rsid w:val="002B6477"/>
    <w:rsid w:val="002B7ABA"/>
    <w:rsid w:val="002C1059"/>
    <w:rsid w:val="002C2F9C"/>
    <w:rsid w:val="002E03D7"/>
    <w:rsid w:val="00322DEA"/>
    <w:rsid w:val="003320D3"/>
    <w:rsid w:val="00340A9A"/>
    <w:rsid w:val="00355FBD"/>
    <w:rsid w:val="0038112A"/>
    <w:rsid w:val="00381461"/>
    <w:rsid w:val="00386042"/>
    <w:rsid w:val="00391C12"/>
    <w:rsid w:val="00395C64"/>
    <w:rsid w:val="003A0B7D"/>
    <w:rsid w:val="003A45C2"/>
    <w:rsid w:val="003C1877"/>
    <w:rsid w:val="003C4825"/>
    <w:rsid w:val="003C4BE2"/>
    <w:rsid w:val="003D147D"/>
    <w:rsid w:val="003D2AED"/>
    <w:rsid w:val="003D637A"/>
    <w:rsid w:val="00411BD5"/>
    <w:rsid w:val="00420EF8"/>
    <w:rsid w:val="00430015"/>
    <w:rsid w:val="00466D4B"/>
    <w:rsid w:val="004678D0"/>
    <w:rsid w:val="00472730"/>
    <w:rsid w:val="00473D14"/>
    <w:rsid w:val="00473EA3"/>
    <w:rsid w:val="00482954"/>
    <w:rsid w:val="004951C0"/>
    <w:rsid w:val="004C7646"/>
    <w:rsid w:val="004D1CEC"/>
    <w:rsid w:val="004E656F"/>
    <w:rsid w:val="004E6DE8"/>
    <w:rsid w:val="00524001"/>
    <w:rsid w:val="0053006A"/>
    <w:rsid w:val="00532F52"/>
    <w:rsid w:val="00540133"/>
    <w:rsid w:val="005525D4"/>
    <w:rsid w:val="00564B63"/>
    <w:rsid w:val="00575DC7"/>
    <w:rsid w:val="005836C2"/>
    <w:rsid w:val="005A487F"/>
    <w:rsid w:val="005A4EFD"/>
    <w:rsid w:val="005A5ABE"/>
    <w:rsid w:val="005C29A2"/>
    <w:rsid w:val="005C2ECC"/>
    <w:rsid w:val="005C6744"/>
    <w:rsid w:val="005D0FDA"/>
    <w:rsid w:val="005E419E"/>
    <w:rsid w:val="005F63BD"/>
    <w:rsid w:val="00604396"/>
    <w:rsid w:val="00611CF1"/>
    <w:rsid w:val="006201D9"/>
    <w:rsid w:val="006277DB"/>
    <w:rsid w:val="00631B30"/>
    <w:rsid w:val="00635B7B"/>
    <w:rsid w:val="00655B98"/>
    <w:rsid w:val="006710E6"/>
    <w:rsid w:val="00686973"/>
    <w:rsid w:val="00696B2D"/>
    <w:rsid w:val="006A2656"/>
    <w:rsid w:val="006A3475"/>
    <w:rsid w:val="006A6342"/>
    <w:rsid w:val="006B67A1"/>
    <w:rsid w:val="006B6C9C"/>
    <w:rsid w:val="006C6F15"/>
    <w:rsid w:val="006C7AE3"/>
    <w:rsid w:val="006D55E8"/>
    <w:rsid w:val="006E1921"/>
    <w:rsid w:val="006F36F9"/>
    <w:rsid w:val="00704184"/>
    <w:rsid w:val="0070576B"/>
    <w:rsid w:val="00713335"/>
    <w:rsid w:val="00713EC4"/>
    <w:rsid w:val="00722AFC"/>
    <w:rsid w:val="00727C2F"/>
    <w:rsid w:val="00735F13"/>
    <w:rsid w:val="007717F2"/>
    <w:rsid w:val="00772E3B"/>
    <w:rsid w:val="0078134C"/>
    <w:rsid w:val="007815B5"/>
    <w:rsid w:val="007A5830"/>
    <w:rsid w:val="007B55B5"/>
    <w:rsid w:val="007B6472"/>
    <w:rsid w:val="007C29A8"/>
    <w:rsid w:val="007D21FB"/>
    <w:rsid w:val="007D24A8"/>
    <w:rsid w:val="00801256"/>
    <w:rsid w:val="00826FED"/>
    <w:rsid w:val="00837A44"/>
    <w:rsid w:val="008528A0"/>
    <w:rsid w:val="008703CB"/>
    <w:rsid w:val="008B61AF"/>
    <w:rsid w:val="008B7CD2"/>
    <w:rsid w:val="008C33C2"/>
    <w:rsid w:val="008C6137"/>
    <w:rsid w:val="008E2DB4"/>
    <w:rsid w:val="00901DD5"/>
    <w:rsid w:val="0090735B"/>
    <w:rsid w:val="00912D5E"/>
    <w:rsid w:val="0091703F"/>
    <w:rsid w:val="00934340"/>
    <w:rsid w:val="00935615"/>
    <w:rsid w:val="009538F2"/>
    <w:rsid w:val="00956DC7"/>
    <w:rsid w:val="00963A54"/>
    <w:rsid w:val="00966CD3"/>
    <w:rsid w:val="00983EFF"/>
    <w:rsid w:val="00987A20"/>
    <w:rsid w:val="009A0E15"/>
    <w:rsid w:val="009D4037"/>
    <w:rsid w:val="009F0592"/>
    <w:rsid w:val="00A1205E"/>
    <w:rsid w:val="00A20E72"/>
    <w:rsid w:val="00A22B1A"/>
    <w:rsid w:val="00A246DC"/>
    <w:rsid w:val="00A47BAF"/>
    <w:rsid w:val="00A47DDA"/>
    <w:rsid w:val="00A542D3"/>
    <w:rsid w:val="00A5784F"/>
    <w:rsid w:val="00A83E0C"/>
    <w:rsid w:val="00A8436E"/>
    <w:rsid w:val="00A95B66"/>
    <w:rsid w:val="00AB7B04"/>
    <w:rsid w:val="00AD499B"/>
    <w:rsid w:val="00AE0667"/>
    <w:rsid w:val="00AF5848"/>
    <w:rsid w:val="00B248EE"/>
    <w:rsid w:val="00B342D3"/>
    <w:rsid w:val="00B41E0A"/>
    <w:rsid w:val="00B45FC7"/>
    <w:rsid w:val="00B56DE0"/>
    <w:rsid w:val="00B71F12"/>
    <w:rsid w:val="00B72FB1"/>
    <w:rsid w:val="00B76FEC"/>
    <w:rsid w:val="00B87169"/>
    <w:rsid w:val="00B96B1E"/>
    <w:rsid w:val="00BA53CA"/>
    <w:rsid w:val="00BB2A6F"/>
    <w:rsid w:val="00BD1614"/>
    <w:rsid w:val="00BD382C"/>
    <w:rsid w:val="00BD5DA6"/>
    <w:rsid w:val="00BE0A91"/>
    <w:rsid w:val="00BE3702"/>
    <w:rsid w:val="00BF7D25"/>
    <w:rsid w:val="00C010C0"/>
    <w:rsid w:val="00C40CB5"/>
    <w:rsid w:val="00C4352F"/>
    <w:rsid w:val="00C455F0"/>
    <w:rsid w:val="00C54CE6"/>
    <w:rsid w:val="00C575E2"/>
    <w:rsid w:val="00C7368B"/>
    <w:rsid w:val="00C91452"/>
    <w:rsid w:val="00C92746"/>
    <w:rsid w:val="00CB5B09"/>
    <w:rsid w:val="00CC1AAA"/>
    <w:rsid w:val="00CC48CB"/>
    <w:rsid w:val="00CC4DC5"/>
    <w:rsid w:val="00CE1A7C"/>
    <w:rsid w:val="00D023E7"/>
    <w:rsid w:val="00D0464B"/>
    <w:rsid w:val="00D112ED"/>
    <w:rsid w:val="00D12C74"/>
    <w:rsid w:val="00D2263F"/>
    <w:rsid w:val="00D318A7"/>
    <w:rsid w:val="00D379AE"/>
    <w:rsid w:val="00D56483"/>
    <w:rsid w:val="00D5658F"/>
    <w:rsid w:val="00D56AD6"/>
    <w:rsid w:val="00D70019"/>
    <w:rsid w:val="00D74B58"/>
    <w:rsid w:val="00D82ABE"/>
    <w:rsid w:val="00DA4ABA"/>
    <w:rsid w:val="00DA685B"/>
    <w:rsid w:val="00DA742B"/>
    <w:rsid w:val="00DB6D40"/>
    <w:rsid w:val="00DC1630"/>
    <w:rsid w:val="00DE5ADB"/>
    <w:rsid w:val="00DE71BE"/>
    <w:rsid w:val="00DF16B5"/>
    <w:rsid w:val="00DF25C1"/>
    <w:rsid w:val="00DF48F7"/>
    <w:rsid w:val="00DF4964"/>
    <w:rsid w:val="00DF4D73"/>
    <w:rsid w:val="00DF79B0"/>
    <w:rsid w:val="00E1047D"/>
    <w:rsid w:val="00E121DD"/>
    <w:rsid w:val="00E1706E"/>
    <w:rsid w:val="00E225FB"/>
    <w:rsid w:val="00E443FA"/>
    <w:rsid w:val="00E530C8"/>
    <w:rsid w:val="00E54FCE"/>
    <w:rsid w:val="00E60DA1"/>
    <w:rsid w:val="00E72D59"/>
    <w:rsid w:val="00E93D35"/>
    <w:rsid w:val="00E945F4"/>
    <w:rsid w:val="00EA06B6"/>
    <w:rsid w:val="00EA45DB"/>
    <w:rsid w:val="00ED2CD9"/>
    <w:rsid w:val="00ED5D6E"/>
    <w:rsid w:val="00EE2AE5"/>
    <w:rsid w:val="00F07DA7"/>
    <w:rsid w:val="00F355EF"/>
    <w:rsid w:val="00F564C1"/>
    <w:rsid w:val="00F77FA2"/>
    <w:rsid w:val="00F8357A"/>
    <w:rsid w:val="00F955AF"/>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Table">
    <w:name w:val="Table_#"/>
    <w:basedOn w:val="Normal"/>
    <w:next w:val="Normal"/>
    <w:rsid w:val="00262D0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Index7">
    <w:name w:val="index 7"/>
    <w:basedOn w:val="Normal"/>
    <w:next w:val="Normal"/>
    <w:rsid w:val="002B7ABA"/>
    <w:pPr>
      <w:ind w:left="1698"/>
    </w:pPr>
  </w:style>
  <w:style w:type="paragraph" w:styleId="Index6">
    <w:name w:val="index 6"/>
    <w:basedOn w:val="Normal"/>
    <w:next w:val="Normal"/>
    <w:rsid w:val="002B7ABA"/>
    <w:pPr>
      <w:ind w:left="1415"/>
    </w:pPr>
  </w:style>
  <w:style w:type="paragraph" w:styleId="Index5">
    <w:name w:val="index 5"/>
    <w:basedOn w:val="Normal"/>
    <w:next w:val="Normal"/>
    <w:rsid w:val="002B7ABA"/>
    <w:pPr>
      <w:ind w:left="1132"/>
    </w:pPr>
  </w:style>
  <w:style w:type="paragraph" w:styleId="Index4">
    <w:name w:val="index 4"/>
    <w:basedOn w:val="Normal"/>
    <w:next w:val="Normal"/>
    <w:rsid w:val="002B7ABA"/>
    <w:pPr>
      <w:ind w:left="849"/>
    </w:pPr>
  </w:style>
  <w:style w:type="paragraph" w:styleId="Index3">
    <w:name w:val="index 3"/>
    <w:basedOn w:val="Normal"/>
    <w:next w:val="Normal"/>
    <w:rsid w:val="002B7ABA"/>
    <w:pPr>
      <w:ind w:left="566"/>
    </w:pPr>
  </w:style>
  <w:style w:type="paragraph" w:styleId="Index2">
    <w:name w:val="index 2"/>
    <w:basedOn w:val="Normal"/>
    <w:next w:val="Normal"/>
    <w:rsid w:val="002B7ABA"/>
    <w:pPr>
      <w:ind w:left="283"/>
    </w:pPr>
  </w:style>
  <w:style w:type="paragraph" w:styleId="Index1">
    <w:name w:val="index 1"/>
    <w:basedOn w:val="Normal"/>
    <w:next w:val="Normal"/>
    <w:rsid w:val="002B7ABA"/>
  </w:style>
  <w:style w:type="character" w:styleId="LineNumber">
    <w:name w:val="line number"/>
    <w:basedOn w:val="DefaultParagraphFont"/>
    <w:rsid w:val="002B7ABA"/>
  </w:style>
  <w:style w:type="paragraph" w:styleId="IndexHeading">
    <w:name w:val="index heading"/>
    <w:basedOn w:val="Normal"/>
    <w:next w:val="Index1"/>
    <w:rsid w:val="002B7ABA"/>
  </w:style>
  <w:style w:type="paragraph" w:customStyle="1" w:styleId="Equation">
    <w:name w:val="Equation"/>
    <w:basedOn w:val="Normal"/>
    <w:rsid w:val="002B7ABA"/>
    <w:pPr>
      <w:tabs>
        <w:tab w:val="center" w:pos="4820"/>
        <w:tab w:val="right" w:pos="9639"/>
      </w:tabs>
    </w:pPr>
  </w:style>
  <w:style w:type="paragraph" w:customStyle="1" w:styleId="Head">
    <w:name w:val="Head"/>
    <w:basedOn w:val="Normal"/>
    <w:rsid w:val="002B7ABA"/>
    <w:pPr>
      <w:tabs>
        <w:tab w:val="left" w:pos="6663"/>
      </w:tabs>
      <w:overflowPunct/>
      <w:autoSpaceDE/>
      <w:autoSpaceDN/>
      <w:adjustRightInd/>
      <w:spacing w:before="0"/>
      <w:textAlignment w:val="auto"/>
    </w:pPr>
  </w:style>
  <w:style w:type="paragraph" w:styleId="List">
    <w:name w:val="List"/>
    <w:basedOn w:val="Normal"/>
    <w:rsid w:val="002B7ABA"/>
    <w:pPr>
      <w:tabs>
        <w:tab w:val="left" w:pos="2127"/>
      </w:tabs>
      <w:ind w:left="2127" w:hanging="2127"/>
    </w:pPr>
  </w:style>
  <w:style w:type="paragraph" w:customStyle="1" w:styleId="meeting">
    <w:name w:val="meeting"/>
    <w:basedOn w:val="Head"/>
    <w:next w:val="Head"/>
    <w:rsid w:val="002B7ABA"/>
    <w:pPr>
      <w:tabs>
        <w:tab w:val="left" w:pos="7371"/>
      </w:tabs>
      <w:spacing w:after="567"/>
    </w:pPr>
  </w:style>
  <w:style w:type="paragraph" w:customStyle="1" w:styleId="Subject">
    <w:name w:val="Subject"/>
    <w:basedOn w:val="Normal"/>
    <w:next w:val="Source"/>
    <w:rsid w:val="002B7ABA"/>
    <w:pPr>
      <w:tabs>
        <w:tab w:val="left" w:pos="709"/>
      </w:tabs>
      <w:spacing w:before="0"/>
      <w:ind w:left="709" w:hanging="709"/>
    </w:pPr>
  </w:style>
  <w:style w:type="paragraph" w:customStyle="1" w:styleId="Object">
    <w:name w:val="Object"/>
    <w:basedOn w:val="Subject"/>
    <w:next w:val="Subject"/>
    <w:rsid w:val="002B7ABA"/>
  </w:style>
  <w:style w:type="paragraph" w:customStyle="1" w:styleId="Data">
    <w:name w:val="Data"/>
    <w:basedOn w:val="Subject"/>
    <w:next w:val="Subject"/>
    <w:rsid w:val="002B7ABA"/>
  </w:style>
  <w:style w:type="paragraph" w:customStyle="1" w:styleId="dnum">
    <w:name w:val="dnum"/>
    <w:basedOn w:val="Normal"/>
    <w:rsid w:val="002B7ABA"/>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2B7ABA"/>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B7ABA"/>
    <w:pPr>
      <w:framePr w:hSpace="181" w:wrap="notBeside" w:vAnchor="page" w:hAnchor="margin" w:x="1" w:y="852"/>
      <w:shd w:val="solid" w:color="FFFFFF" w:fill="FFFFFF"/>
      <w:tabs>
        <w:tab w:val="left" w:pos="1871"/>
      </w:tabs>
      <w:spacing w:before="0"/>
    </w:pPr>
    <w:rPr>
      <w:b/>
      <w:bCs/>
    </w:rPr>
  </w:style>
  <w:style w:type="character" w:styleId="FollowedHyperlink">
    <w:name w:val="FollowedHyperlink"/>
    <w:basedOn w:val="DefaultParagraphFont"/>
    <w:rsid w:val="002B7ABA"/>
    <w:rPr>
      <w:color w:val="800080"/>
      <w:u w:val="single"/>
    </w:rPr>
  </w:style>
  <w:style w:type="paragraph" w:customStyle="1" w:styleId="Equationlegend">
    <w:name w:val="Equation_legend"/>
    <w:basedOn w:val="NormalIndent"/>
    <w:rsid w:val="002B7ABA"/>
    <w:pPr>
      <w:tabs>
        <w:tab w:val="right" w:pos="1531"/>
      </w:tabs>
      <w:spacing w:before="80"/>
      <w:ind w:left="1701" w:hanging="1701"/>
    </w:pPr>
  </w:style>
  <w:style w:type="paragraph" w:customStyle="1" w:styleId="Figure">
    <w:name w:val="Figure"/>
    <w:basedOn w:val="Normal"/>
    <w:next w:val="Figuretitle"/>
    <w:rsid w:val="002B7ABA"/>
    <w:pPr>
      <w:keepNext/>
      <w:keepLines/>
      <w:spacing w:after="120"/>
      <w:jc w:val="center"/>
    </w:pPr>
  </w:style>
  <w:style w:type="paragraph" w:customStyle="1" w:styleId="Figurelegend">
    <w:name w:val="Figure_legend"/>
    <w:basedOn w:val="Normal"/>
    <w:rsid w:val="002B7ABA"/>
    <w:pPr>
      <w:spacing w:before="20" w:after="20"/>
    </w:pPr>
    <w:rPr>
      <w:sz w:val="18"/>
    </w:rPr>
  </w:style>
  <w:style w:type="paragraph" w:customStyle="1" w:styleId="Figuretitle">
    <w:name w:val="Figure_title"/>
    <w:basedOn w:val="Tabletitle"/>
    <w:next w:val="Normalaftertitle"/>
    <w:rsid w:val="002B7ABA"/>
    <w:pPr>
      <w:spacing w:before="240" w:after="480"/>
    </w:pPr>
  </w:style>
  <w:style w:type="paragraph" w:customStyle="1" w:styleId="Figurewithouttitle">
    <w:name w:val="Figure_without_title"/>
    <w:basedOn w:val="Figure"/>
    <w:next w:val="Normalaftertitle"/>
    <w:rsid w:val="002B7ABA"/>
    <w:pPr>
      <w:keepNext w:val="0"/>
      <w:spacing w:after="240"/>
    </w:pPr>
  </w:style>
  <w:style w:type="paragraph" w:customStyle="1" w:styleId="PartNo">
    <w:name w:val="Part_No"/>
    <w:basedOn w:val="AnnexNo"/>
    <w:next w:val="Parttitle"/>
    <w:rsid w:val="002B7ABA"/>
  </w:style>
  <w:style w:type="paragraph" w:customStyle="1" w:styleId="Partref">
    <w:name w:val="Part_ref"/>
    <w:basedOn w:val="Annexref"/>
    <w:next w:val="Normalaftertitle"/>
    <w:rsid w:val="002B7ABA"/>
  </w:style>
  <w:style w:type="paragraph" w:customStyle="1" w:styleId="Parttitle">
    <w:name w:val="Part_title"/>
    <w:basedOn w:val="Annextitle"/>
    <w:next w:val="Partref"/>
    <w:rsid w:val="002B7ABA"/>
  </w:style>
  <w:style w:type="paragraph" w:customStyle="1" w:styleId="Recref">
    <w:name w:val="Rec_ref"/>
    <w:basedOn w:val="Rectitle"/>
    <w:next w:val="Recdate"/>
    <w:rsid w:val="002B7ABA"/>
    <w:pPr>
      <w:spacing w:before="120"/>
    </w:pPr>
    <w:rPr>
      <w:rFonts w:ascii="Times New Roman" w:hAnsi="Times New Roman"/>
      <w:b w:val="0"/>
      <w:sz w:val="24"/>
    </w:rPr>
  </w:style>
  <w:style w:type="paragraph" w:customStyle="1" w:styleId="Recdate">
    <w:name w:val="Rec_date"/>
    <w:basedOn w:val="Recref"/>
    <w:next w:val="Normalaftertitle"/>
    <w:rsid w:val="002B7ABA"/>
    <w:pPr>
      <w:jc w:val="right"/>
    </w:pPr>
    <w:rPr>
      <w:sz w:val="22"/>
    </w:rPr>
  </w:style>
  <w:style w:type="paragraph" w:customStyle="1" w:styleId="Questiondate">
    <w:name w:val="Question_date"/>
    <w:basedOn w:val="Recdate"/>
    <w:next w:val="Normalaftertitle"/>
    <w:rsid w:val="002B7ABA"/>
  </w:style>
  <w:style w:type="paragraph" w:customStyle="1" w:styleId="QuestionNo">
    <w:name w:val="Question_No"/>
    <w:basedOn w:val="RecNo"/>
    <w:next w:val="Questiontitle"/>
    <w:rsid w:val="002B7ABA"/>
  </w:style>
  <w:style w:type="paragraph" w:customStyle="1" w:styleId="Questionref">
    <w:name w:val="Question_ref"/>
    <w:basedOn w:val="Recref"/>
    <w:next w:val="Questiondate"/>
    <w:rsid w:val="002B7ABA"/>
  </w:style>
  <w:style w:type="paragraph" w:customStyle="1" w:styleId="Questiontitle">
    <w:name w:val="Question_title"/>
    <w:basedOn w:val="Rectitle"/>
    <w:next w:val="Questionref"/>
    <w:rsid w:val="002B7ABA"/>
  </w:style>
  <w:style w:type="paragraph" w:customStyle="1" w:styleId="Repdate">
    <w:name w:val="Rep_date"/>
    <w:basedOn w:val="Recdate"/>
    <w:next w:val="Normalaftertitle"/>
    <w:rsid w:val="002B7ABA"/>
  </w:style>
  <w:style w:type="paragraph" w:customStyle="1" w:styleId="RepNo">
    <w:name w:val="Rep_No"/>
    <w:basedOn w:val="RecNo"/>
    <w:next w:val="Reptitle"/>
    <w:rsid w:val="002B7ABA"/>
  </w:style>
  <w:style w:type="paragraph" w:customStyle="1" w:styleId="Repref">
    <w:name w:val="Rep_ref"/>
    <w:basedOn w:val="Recref"/>
    <w:next w:val="Repdate"/>
    <w:rsid w:val="002B7ABA"/>
  </w:style>
  <w:style w:type="paragraph" w:customStyle="1" w:styleId="Reptitle">
    <w:name w:val="Rep_title"/>
    <w:basedOn w:val="Rectitle"/>
    <w:next w:val="Repref"/>
    <w:rsid w:val="002B7ABA"/>
  </w:style>
  <w:style w:type="paragraph" w:customStyle="1" w:styleId="Resdate">
    <w:name w:val="Res_date"/>
    <w:basedOn w:val="Recdate"/>
    <w:next w:val="Normalaftertitle"/>
    <w:rsid w:val="002B7ABA"/>
  </w:style>
  <w:style w:type="paragraph" w:customStyle="1" w:styleId="Resref">
    <w:name w:val="Res_ref"/>
    <w:basedOn w:val="Recref"/>
    <w:next w:val="Resdate"/>
    <w:rsid w:val="002B7ABA"/>
  </w:style>
  <w:style w:type="paragraph" w:customStyle="1" w:styleId="SpecialFooter">
    <w:name w:val="Special Footer"/>
    <w:basedOn w:val="Footer"/>
    <w:rsid w:val="002B7ABA"/>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2B7ABA"/>
    <w:pPr>
      <w:keepNext/>
      <w:spacing w:before="567"/>
      <w:jc w:val="center"/>
    </w:pPr>
  </w:style>
  <w:style w:type="paragraph" w:customStyle="1" w:styleId="Title4">
    <w:name w:val="Title 4"/>
    <w:basedOn w:val="Title3"/>
    <w:next w:val="Heading1"/>
    <w:rsid w:val="002B7ABA"/>
    <w:rPr>
      <w:b/>
    </w:rPr>
  </w:style>
  <w:style w:type="paragraph" w:customStyle="1" w:styleId="FigureNo">
    <w:name w:val="Figure_No"/>
    <w:basedOn w:val="Normal"/>
    <w:next w:val="Figuretitle"/>
    <w:rsid w:val="002B7ABA"/>
    <w:pPr>
      <w:keepNext/>
      <w:keepLines/>
      <w:spacing w:before="240" w:after="120"/>
      <w:jc w:val="center"/>
    </w:pPr>
    <w:rPr>
      <w:caps/>
    </w:rPr>
  </w:style>
  <w:style w:type="character" w:customStyle="1" w:styleId="FootnoteTextChar">
    <w:name w:val="Footnote Text Char"/>
    <w:basedOn w:val="DefaultParagraphFont"/>
    <w:link w:val="FootnoteText"/>
    <w:rsid w:val="002B7ABA"/>
    <w:rPr>
      <w:rFonts w:ascii="Calibri" w:hAnsi="Calibri"/>
      <w:sz w:val="24"/>
      <w:lang w:val="fr-FR" w:eastAsia="en-US"/>
    </w:rPr>
  </w:style>
  <w:style w:type="character" w:customStyle="1" w:styleId="ListParagraphChar">
    <w:name w:val="List Paragraph Char"/>
    <w:aliases w:val="titre Char"/>
    <w:basedOn w:val="DefaultParagraphFont"/>
    <w:link w:val="ListParagraph"/>
    <w:uiPriority w:val="34"/>
    <w:locked/>
    <w:rsid w:val="002B7ABA"/>
    <w:rPr>
      <w:rFonts w:ascii="Arial" w:eastAsia="SimSun" w:hAnsi="Arial" w:cs="Arial"/>
      <w:sz w:val="22"/>
      <w:szCs w:val="24"/>
    </w:rPr>
  </w:style>
  <w:style w:type="paragraph" w:styleId="ListParagraph">
    <w:name w:val="List Paragraph"/>
    <w:aliases w:val="titre"/>
    <w:basedOn w:val="Normal"/>
    <w:link w:val="ListParagraphChar"/>
    <w:uiPriority w:val="34"/>
    <w:qFormat/>
    <w:rsid w:val="002B7ABA"/>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cs="Arial"/>
      <w:sz w:val="22"/>
      <w:szCs w:val="24"/>
      <w:lang w:val="en-US" w:eastAsia="zh-CN"/>
    </w:rPr>
  </w:style>
  <w:style w:type="paragraph" w:styleId="HTMLPreformatted">
    <w:name w:val="HTML Preformatted"/>
    <w:basedOn w:val="Normal"/>
    <w:link w:val="HTMLPreformattedChar"/>
    <w:uiPriority w:val="99"/>
    <w:unhideWhenUsed/>
    <w:rsid w:val="002B7ABA"/>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2B7ABA"/>
    <w:rPr>
      <w:rFonts w:ascii="Courier New" w:hAnsi="Courier New" w:cs="Courier New"/>
      <w:lang w:val="en-GB" w:eastAsia="en-GB"/>
    </w:rPr>
  </w:style>
  <w:style w:type="character" w:customStyle="1" w:styleId="normaltextrun">
    <w:name w:val="normaltextrun"/>
    <w:basedOn w:val="DefaultParagraphFont"/>
    <w:rsid w:val="002B7ABA"/>
  </w:style>
  <w:style w:type="table" w:styleId="TableGrid">
    <w:name w:val="Table Grid"/>
    <w:basedOn w:val="TableNormal"/>
    <w:uiPriority w:val="59"/>
    <w:rsid w:val="002B7AB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1pt">
    <w:name w:val="Footnote Text 11 pt"/>
    <w:basedOn w:val="FootnoteText"/>
    <w:rsid w:val="002B7ABA"/>
    <w:rPr>
      <w:sz w:val="22"/>
      <w:szCs w:val="22"/>
      <w:lang w:val="en-GB"/>
    </w:rPr>
  </w:style>
  <w:style w:type="character" w:customStyle="1" w:styleId="UnresolvedMention1">
    <w:name w:val="Unresolved Mention1"/>
    <w:basedOn w:val="DefaultParagraphFont"/>
    <w:uiPriority w:val="99"/>
    <w:semiHidden/>
    <w:unhideWhenUsed/>
    <w:rsid w:val="002B7ABA"/>
    <w:rPr>
      <w:color w:val="605E5C"/>
      <w:shd w:val="clear" w:color="auto" w:fill="E1DFDD"/>
    </w:rPr>
  </w:style>
  <w:style w:type="character" w:styleId="CommentReference">
    <w:name w:val="annotation reference"/>
    <w:basedOn w:val="DefaultParagraphFont"/>
    <w:semiHidden/>
    <w:unhideWhenUsed/>
    <w:rsid w:val="002B7ABA"/>
    <w:rPr>
      <w:sz w:val="16"/>
      <w:szCs w:val="16"/>
    </w:rPr>
  </w:style>
  <w:style w:type="paragraph" w:styleId="CommentText">
    <w:name w:val="annotation text"/>
    <w:basedOn w:val="Normal"/>
    <w:link w:val="CommentTextChar"/>
    <w:semiHidden/>
    <w:unhideWhenUsed/>
    <w:rsid w:val="002B7ABA"/>
    <w:rPr>
      <w:sz w:val="20"/>
    </w:rPr>
  </w:style>
  <w:style w:type="character" w:customStyle="1" w:styleId="CommentTextChar">
    <w:name w:val="Comment Text Char"/>
    <w:basedOn w:val="DefaultParagraphFont"/>
    <w:link w:val="CommentText"/>
    <w:semiHidden/>
    <w:rsid w:val="002B7ABA"/>
    <w:rPr>
      <w:rFonts w:ascii="Calibri" w:hAnsi="Calibri"/>
      <w:lang w:val="fr-FR" w:eastAsia="en-US"/>
    </w:rPr>
  </w:style>
  <w:style w:type="paragraph" w:styleId="CommentSubject">
    <w:name w:val="annotation subject"/>
    <w:basedOn w:val="CommentText"/>
    <w:next w:val="CommentText"/>
    <w:link w:val="CommentSubjectChar"/>
    <w:semiHidden/>
    <w:unhideWhenUsed/>
    <w:rsid w:val="002B7ABA"/>
    <w:rPr>
      <w:b/>
      <w:bCs/>
    </w:rPr>
  </w:style>
  <w:style w:type="character" w:customStyle="1" w:styleId="CommentSubjectChar">
    <w:name w:val="Comment Subject Char"/>
    <w:basedOn w:val="CommentTextChar"/>
    <w:link w:val="CommentSubject"/>
    <w:semiHidden/>
    <w:rsid w:val="002B7ABA"/>
    <w:rPr>
      <w:rFonts w:ascii="Calibri" w:hAnsi="Calibri"/>
      <w:b/>
      <w:bCs/>
      <w:lang w:val="fr-FR" w:eastAsia="en-US"/>
    </w:rPr>
  </w:style>
  <w:style w:type="paragraph" w:styleId="Revision">
    <w:name w:val="Revision"/>
    <w:hidden/>
    <w:uiPriority w:val="99"/>
    <w:semiHidden/>
    <w:rsid w:val="002B7ABA"/>
    <w:rPr>
      <w:rFonts w:ascii="Calibri" w:hAnsi="Calibri"/>
      <w:sz w:val="24"/>
      <w:lang w:val="fr-FR" w:eastAsia="en-US"/>
    </w:rPr>
  </w:style>
  <w:style w:type="character" w:customStyle="1" w:styleId="UnresolvedMention2">
    <w:name w:val="Unresolved Mention2"/>
    <w:basedOn w:val="DefaultParagraphFont"/>
    <w:rsid w:val="002B7ABA"/>
    <w:rPr>
      <w:color w:val="605E5C"/>
      <w:shd w:val="clear" w:color="auto" w:fill="E1DFDD"/>
    </w:rPr>
  </w:style>
  <w:style w:type="character" w:styleId="PlaceholderText">
    <w:name w:val="Placeholder Text"/>
    <w:basedOn w:val="DefaultParagraphFont"/>
    <w:uiPriority w:val="99"/>
    <w:semiHidden/>
    <w:rsid w:val="002B7ABA"/>
    <w:rPr>
      <w:color w:val="808080"/>
    </w:rPr>
  </w:style>
  <w:style w:type="paragraph" w:styleId="NormalWeb">
    <w:name w:val="Normal (Web)"/>
    <w:basedOn w:val="Normal"/>
    <w:uiPriority w:val="99"/>
    <w:unhideWhenUsed/>
    <w:rsid w:val="002B7AB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xmsonormal">
    <w:name w:val="x_msonormal"/>
    <w:basedOn w:val="Normal"/>
    <w:rsid w:val="002B7ABA"/>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val="en-GB" w:eastAsia="en-GB"/>
    </w:rPr>
  </w:style>
  <w:style w:type="paragraph" w:customStyle="1" w:styleId="xmsolistparagraph">
    <w:name w:val="x_msolistparagraph"/>
    <w:basedOn w:val="Normal"/>
    <w:rsid w:val="002B7ABA"/>
    <w:pPr>
      <w:tabs>
        <w:tab w:val="clear" w:pos="567"/>
        <w:tab w:val="clear" w:pos="1134"/>
        <w:tab w:val="clear" w:pos="1701"/>
        <w:tab w:val="clear" w:pos="2268"/>
        <w:tab w:val="clear" w:pos="2835"/>
      </w:tabs>
      <w:overflowPunct/>
      <w:adjustRightInd/>
      <w:ind w:left="720"/>
      <w:textAlignment w:val="auto"/>
    </w:pPr>
    <w:rPr>
      <w:rFonts w:eastAsiaTheme="minorHAnsi" w:cs="Calibri"/>
      <w:szCs w:val="24"/>
      <w:lang w:val="en-GB" w:eastAsia="en-GB"/>
    </w:rPr>
  </w:style>
  <w:style w:type="character" w:customStyle="1" w:styleId="UnresolvedMention3">
    <w:name w:val="Unresolved Mention3"/>
    <w:basedOn w:val="DefaultParagraphFont"/>
    <w:uiPriority w:val="99"/>
    <w:semiHidden/>
    <w:unhideWhenUsed/>
    <w:rsid w:val="002B7ABA"/>
    <w:rPr>
      <w:color w:val="605E5C"/>
      <w:shd w:val="clear" w:color="auto" w:fill="E1DFDD"/>
    </w:rPr>
  </w:style>
  <w:style w:type="character" w:customStyle="1" w:styleId="UnresolvedMention4">
    <w:name w:val="Unresolved Mention4"/>
    <w:basedOn w:val="DefaultParagraphFont"/>
    <w:uiPriority w:val="99"/>
    <w:semiHidden/>
    <w:unhideWhenUsed/>
    <w:rsid w:val="002B7ABA"/>
    <w:rPr>
      <w:color w:val="605E5C"/>
      <w:shd w:val="clear" w:color="auto" w:fill="E1DFDD"/>
    </w:rPr>
  </w:style>
  <w:style w:type="character" w:customStyle="1" w:styleId="UnresolvedMention5">
    <w:name w:val="Unresolved Mention5"/>
    <w:basedOn w:val="DefaultParagraphFont"/>
    <w:uiPriority w:val="99"/>
    <w:semiHidden/>
    <w:unhideWhenUsed/>
    <w:rsid w:val="002B7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18-CL-C-0123/en" TargetMode="External"/><Relationship Id="rId18" Type="http://schemas.openxmlformats.org/officeDocument/2006/relationships/hyperlink" Target="https://www.itu.int/md/S19-CLADD-C-0005/en" TargetMode="External"/><Relationship Id="rId26" Type="http://schemas.openxmlformats.org/officeDocument/2006/relationships/hyperlink" Target="https://www.itu.int/md/S21-CL-C-0099/en" TargetMode="External"/><Relationship Id="rId39" Type="http://schemas.openxmlformats.org/officeDocument/2006/relationships/header" Target="header1.xml"/><Relationship Id="rId21" Type="http://schemas.openxmlformats.org/officeDocument/2006/relationships/hyperlink" Target="https://www.itu.int/md/S20-CL-C-0037/en" TargetMode="External"/><Relationship Id="rId34" Type="http://schemas.openxmlformats.org/officeDocument/2006/relationships/hyperlink" Target="https://www.itu.int/en/council/ties/Documents/2022/10.3_Schedule-of-expenses.pdf" TargetMode="External"/><Relationship Id="rId42" Type="http://schemas.openxmlformats.org/officeDocument/2006/relationships/header" Target="header2.xml"/><Relationship Id="rId47" Type="http://schemas.openxmlformats.org/officeDocument/2006/relationships/package" Target="embeddings/Microsoft_Excel_Worksheet.xlsx"/><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itu.int/md/S19-CL-C-0120/en" TargetMode="External"/><Relationship Id="rId29" Type="http://schemas.openxmlformats.org/officeDocument/2006/relationships/image" Target="media/image2.png"/><Relationship Id="rId11" Type="http://schemas.openxmlformats.org/officeDocument/2006/relationships/hyperlink" Target="https://www.itu.int/md/S16-CL-C-0124/en" TargetMode="External"/><Relationship Id="rId24" Type="http://schemas.openxmlformats.org/officeDocument/2006/relationships/hyperlink" Target="https://www.itu.int/md/S21-CWGFHR12-C-0005/fr" TargetMode="External"/><Relationship Id="rId32" Type="http://schemas.openxmlformats.org/officeDocument/2006/relationships/hyperlink" Target="https://www.itu.int/md/S20-CL-C-0007/en" TargetMode="External"/><Relationship Id="rId37" Type="http://schemas.openxmlformats.org/officeDocument/2006/relationships/hyperlink" Target="https://www.itu.int/md/S20-CLVC-C-0013/en" TargetMode="External"/><Relationship Id="rId40" Type="http://schemas.openxmlformats.org/officeDocument/2006/relationships/footer" Target="footer1.xm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itu.int/md/S19-CL-190610-DL-0012/en" TargetMode="External"/><Relationship Id="rId23" Type="http://schemas.openxmlformats.org/officeDocument/2006/relationships/hyperlink" Target="https://www.itu.int/md/S20-CL-C-0007/en" TargetMode="External"/><Relationship Id="rId28" Type="http://schemas.openxmlformats.org/officeDocument/2006/relationships/hyperlink" Target="https://www.itu.int/en/council/ties/Documents/2022/7_ITU-HQP-Full-Risk-register.pdf" TargetMode="External"/><Relationship Id="rId36" Type="http://schemas.openxmlformats.org/officeDocument/2006/relationships/hyperlink" Target="https://www.itu.int/md/S20-CL-C-0007/en" TargetMode="External"/><Relationship Id="rId49" Type="http://schemas.openxmlformats.org/officeDocument/2006/relationships/footer" Target="footer5.xml"/><Relationship Id="rId10" Type="http://schemas.openxmlformats.org/officeDocument/2006/relationships/hyperlink" Target="https://www.itu.int/md/S16-CL-C-0007/en" TargetMode="External"/><Relationship Id="rId19" Type="http://schemas.openxmlformats.org/officeDocument/2006/relationships/hyperlink" Target="https://www.itu.int/md/S20-CL-C-0015/en" TargetMode="External"/><Relationship Id="rId31" Type="http://schemas.openxmlformats.org/officeDocument/2006/relationships/hyperlink" Target="https://www.itu.int/md/S16-CL-C-0124/en" TargetMode="External"/><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S19-CL-190610-DL-0012/en" TargetMode="External"/><Relationship Id="rId22" Type="http://schemas.openxmlformats.org/officeDocument/2006/relationships/hyperlink" Target="https://www.itu.int/md/S20-CL-C-0053/en" TargetMode="External"/><Relationship Id="rId27" Type="http://schemas.openxmlformats.org/officeDocument/2006/relationships/hyperlink" Target="https://www.itu.int/en/council/Pages/form-internal-audit.aspx" TargetMode="External"/><Relationship Id="rId30" Type="http://schemas.openxmlformats.org/officeDocument/2006/relationships/hyperlink" Target="https://www.itu.int/en/council/ties/Documents/2022/8_HQP-General-Summarized-Schedule.pdf" TargetMode="External"/><Relationship Id="rId35" Type="http://schemas.openxmlformats.org/officeDocument/2006/relationships/hyperlink" Target="https://www.itu.int/md/S20-CL-C-0007/en" TargetMode="External"/><Relationship Id="rId43" Type="http://schemas.openxmlformats.org/officeDocument/2006/relationships/footer" Target="footer3.xm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itu.int/en/council/Documents/basic-texts/RES-212-F.pdf" TargetMode="External"/><Relationship Id="rId17" Type="http://schemas.openxmlformats.org/officeDocument/2006/relationships/hyperlink" Target="https://www.itu.int/md/S19-CLADD-C-0002/en" TargetMode="External"/><Relationship Id="rId25" Type="http://schemas.openxmlformats.org/officeDocument/2006/relationships/hyperlink" Target="https://www.itu.int/md/S21-CL-C-0007/en" TargetMode="External"/><Relationship Id="rId33" Type="http://schemas.openxmlformats.org/officeDocument/2006/relationships/hyperlink" Target="https://www.itu.int/md/S20-CL-C-0007/en" TargetMode="External"/><Relationship Id="rId38" Type="http://schemas.openxmlformats.org/officeDocument/2006/relationships/hyperlink" Target="https://www.itu.int/md/S20-CL-INF-0022/en" TargetMode="External"/><Relationship Id="rId46" Type="http://schemas.openxmlformats.org/officeDocument/2006/relationships/image" Target="media/image3.emf"/><Relationship Id="rId20" Type="http://schemas.openxmlformats.org/officeDocument/2006/relationships/hyperlink" Target="https://www.itu.int/md/S20-CL-C-0029/en" TargetMode="External"/><Relationship Id="rId41"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59896-E177-4958-A6C1-1E985743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5512</Words>
  <Characters>31211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36650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progrès réalisés concernant le projet de locaux du siège de l'Union</dc:title>
  <dc:subject>Plenipotentiary Conference (PP-22)</dc:subject>
  <dc:creator>Manias, Michel</dc:creator>
  <cp:keywords>PP22, PP-22</cp:keywords>
  <dc:description/>
  <cp:lastModifiedBy>Xue, Kun</cp:lastModifiedBy>
  <cp:revision>2</cp:revision>
  <dcterms:created xsi:type="dcterms:W3CDTF">2022-09-28T17:02:00Z</dcterms:created>
  <dcterms:modified xsi:type="dcterms:W3CDTF">2022-09-28T17:02:00Z</dcterms:modified>
  <cp:category>Conference document</cp:category>
</cp:coreProperties>
</file>