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6529C7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6529C7" w:rsidRDefault="00BD1614" w:rsidP="008E6C36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6529C7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6529C7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6529C7">
              <w:rPr>
                <w:b/>
                <w:smallCaps/>
                <w:sz w:val="30"/>
                <w:szCs w:val="30"/>
              </w:rPr>
              <w:t>22</w:t>
            </w:r>
            <w:r w:rsidRPr="006529C7">
              <w:rPr>
                <w:b/>
                <w:smallCaps/>
                <w:sz w:val="30"/>
                <w:szCs w:val="30"/>
              </w:rPr>
              <w:t>)</w:t>
            </w:r>
            <w:r w:rsidRPr="006529C7">
              <w:rPr>
                <w:b/>
                <w:smallCaps/>
                <w:sz w:val="36"/>
              </w:rPr>
              <w:br/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Bucarest</w:t>
            </w:r>
            <w:r w:rsidRPr="006529C7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6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septembre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6529C7">
              <w:rPr>
                <w:rFonts w:cs="Times New Roman Bold"/>
                <w:b/>
                <w:bCs/>
                <w:szCs w:val="24"/>
              </w:rPr>
              <w:t>–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6529C7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4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octobre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6529C7" w:rsidRDefault="002A7A1D" w:rsidP="008E6C36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6529C7"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6529C7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6529C7" w:rsidRDefault="00BD1614" w:rsidP="008E6C3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6529C7" w:rsidRDefault="00BD1614" w:rsidP="008E6C3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6529C7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6529C7" w:rsidRDefault="00BD1614" w:rsidP="008E6C36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6529C7" w:rsidRDefault="00BD1614" w:rsidP="008E6C36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6529C7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6529C7" w:rsidRDefault="00420EF8" w:rsidP="008E6C3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6529C7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592D9335" w:rsidR="00BD1614" w:rsidRPr="006529C7" w:rsidRDefault="00917D44" w:rsidP="008E6C36">
            <w:pPr>
              <w:spacing w:before="0"/>
              <w:rPr>
                <w:rFonts w:cstheme="minorHAnsi"/>
                <w:szCs w:val="24"/>
              </w:rPr>
            </w:pPr>
            <w:r w:rsidRPr="006529C7">
              <w:rPr>
                <w:rFonts w:cstheme="minorHAnsi"/>
                <w:b/>
                <w:szCs w:val="24"/>
              </w:rPr>
              <w:t>Révision 1 du</w:t>
            </w:r>
            <w:r w:rsidRPr="006529C7">
              <w:rPr>
                <w:rFonts w:cstheme="minorHAnsi"/>
                <w:b/>
                <w:szCs w:val="24"/>
              </w:rPr>
              <w:br/>
            </w:r>
            <w:r w:rsidR="00420EF8" w:rsidRPr="006529C7">
              <w:rPr>
                <w:rFonts w:cstheme="minorHAnsi"/>
                <w:b/>
                <w:szCs w:val="24"/>
              </w:rPr>
              <w:t xml:space="preserve">Document </w:t>
            </w:r>
            <w:r w:rsidR="00BF28B1" w:rsidRPr="006529C7">
              <w:rPr>
                <w:rFonts w:cstheme="minorHAnsi"/>
                <w:b/>
                <w:szCs w:val="24"/>
              </w:rPr>
              <w:t>44</w:t>
            </w:r>
            <w:r w:rsidR="00420EF8" w:rsidRPr="006529C7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6529C7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6529C7" w:rsidRDefault="00BD1614" w:rsidP="008E6C3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045D4822" w:rsidR="00BD1614" w:rsidRPr="006529C7" w:rsidRDefault="00917D44" w:rsidP="008E6C36">
            <w:pPr>
              <w:spacing w:before="0"/>
              <w:rPr>
                <w:rFonts w:cstheme="minorHAnsi"/>
                <w:b/>
                <w:szCs w:val="24"/>
              </w:rPr>
            </w:pPr>
            <w:r w:rsidRPr="006529C7">
              <w:rPr>
                <w:rFonts w:cstheme="minorHAnsi"/>
                <w:b/>
                <w:szCs w:val="24"/>
              </w:rPr>
              <w:t>1</w:t>
            </w:r>
            <w:r w:rsidR="003F3AC7" w:rsidRPr="006529C7">
              <w:rPr>
                <w:rFonts w:cstheme="minorHAnsi"/>
                <w:b/>
                <w:szCs w:val="24"/>
              </w:rPr>
              <w:t>er</w:t>
            </w:r>
            <w:r w:rsidRPr="006529C7">
              <w:rPr>
                <w:rFonts w:cstheme="minorHAnsi"/>
                <w:b/>
                <w:szCs w:val="24"/>
              </w:rPr>
              <w:t xml:space="preserve"> septembre</w:t>
            </w:r>
            <w:r w:rsidR="00BF28B1" w:rsidRPr="006529C7">
              <w:rPr>
                <w:rFonts w:cstheme="minorHAnsi"/>
                <w:b/>
                <w:szCs w:val="24"/>
              </w:rPr>
              <w:t xml:space="preserve"> 2022</w:t>
            </w:r>
          </w:p>
        </w:tc>
      </w:tr>
      <w:tr w:rsidR="00BD1614" w:rsidRPr="006529C7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6529C7" w:rsidRDefault="00BD1614" w:rsidP="008E6C36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6529C7" w:rsidRDefault="00420EF8" w:rsidP="008E6C36">
            <w:pPr>
              <w:spacing w:before="0"/>
              <w:rPr>
                <w:rFonts w:cstheme="minorHAnsi"/>
                <w:b/>
                <w:szCs w:val="24"/>
              </w:rPr>
            </w:pPr>
            <w:r w:rsidRPr="006529C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6529C7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6529C7" w:rsidRDefault="00BD1614" w:rsidP="008E6C3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6529C7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447E22CF" w:rsidR="00BD1614" w:rsidRPr="006529C7" w:rsidRDefault="00B345D8" w:rsidP="008E6C36">
            <w:pPr>
              <w:pStyle w:val="Source"/>
            </w:pPr>
            <w:bookmarkStart w:id="4" w:name="dsource" w:colFirst="0" w:colLast="0"/>
            <w:bookmarkEnd w:id="3"/>
            <w:r w:rsidRPr="006529C7">
              <w:t>États Membres de la Conférence européenne des administrations des postes</w:t>
            </w:r>
            <w:r w:rsidR="004B3A0B" w:rsidRPr="006529C7">
              <w:br/>
            </w:r>
            <w:r w:rsidRPr="006529C7">
              <w:t xml:space="preserve">et télécommunications </w:t>
            </w:r>
            <w:r w:rsidR="00BF28B1" w:rsidRPr="006529C7">
              <w:t>(CEPT)</w:t>
            </w:r>
          </w:p>
        </w:tc>
      </w:tr>
      <w:tr w:rsidR="00BD1614" w:rsidRPr="006529C7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574AF96D" w:rsidR="00BD1614" w:rsidRPr="006529C7" w:rsidRDefault="00B345D8" w:rsidP="008E6C36">
            <w:pPr>
              <w:pStyle w:val="Title1"/>
            </w:pPr>
            <w:bookmarkStart w:id="5" w:name="dtitle1" w:colFirst="0" w:colLast="0"/>
            <w:bookmarkEnd w:id="4"/>
            <w:r w:rsidRPr="006529C7">
              <w:t>PROPOSITIONS POUR LES TRAVAUX DE LA CONFÉRENCE</w:t>
            </w:r>
          </w:p>
        </w:tc>
      </w:tr>
      <w:tr w:rsidR="00BD1614" w:rsidRPr="006529C7" w14:paraId="37DA32CE" w14:textId="77777777" w:rsidTr="006A046E">
        <w:trPr>
          <w:cantSplit/>
        </w:trPr>
        <w:tc>
          <w:tcPr>
            <w:tcW w:w="10031" w:type="dxa"/>
            <w:gridSpan w:val="2"/>
          </w:tcPr>
          <w:p w14:paraId="1574AB3E" w14:textId="75370215" w:rsidR="00BD1614" w:rsidRPr="006529C7" w:rsidRDefault="00BD1614" w:rsidP="008E6C3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6529C7" w14:paraId="3488B00F" w14:textId="77777777" w:rsidTr="006A046E">
        <w:trPr>
          <w:cantSplit/>
        </w:trPr>
        <w:tc>
          <w:tcPr>
            <w:tcW w:w="10031" w:type="dxa"/>
            <w:gridSpan w:val="2"/>
          </w:tcPr>
          <w:p w14:paraId="48DBD50A" w14:textId="2612F372" w:rsidR="00BD1614" w:rsidRPr="006529C7" w:rsidRDefault="00BD1614" w:rsidP="008E6C36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AD6F79A" w14:textId="2A5F38E1" w:rsidR="000D15FB" w:rsidRPr="006529C7" w:rsidRDefault="000D15FB" w:rsidP="008E6C36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BF28B1" w:rsidRPr="006529C7" w14:paraId="30AC062A" w14:textId="77777777" w:rsidTr="00BF28B1">
        <w:trPr>
          <w:tblHeader/>
        </w:trPr>
        <w:tc>
          <w:tcPr>
            <w:tcW w:w="1134" w:type="dxa"/>
            <w:shd w:val="clear" w:color="auto" w:fill="D9D9D9" w:themeFill="background1" w:themeFillShade="D9"/>
          </w:tcPr>
          <w:p w14:paraId="3ABAA673" w14:textId="1AD9E2F7" w:rsidR="00BF28B1" w:rsidRPr="006529C7" w:rsidRDefault="00B345D8" w:rsidP="008E6C36">
            <w:pPr>
              <w:pStyle w:val="Tablehead"/>
            </w:pPr>
            <w:r w:rsidRPr="006529C7">
              <w:t>N° ECP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25906CD6" w14:textId="4846E119" w:rsidR="00BF28B1" w:rsidRPr="006529C7" w:rsidRDefault="006A4C19" w:rsidP="008E6C36">
            <w:pPr>
              <w:pStyle w:val="Tablehead"/>
            </w:pPr>
            <w:r w:rsidRPr="006529C7">
              <w:t>Objet</w:t>
            </w:r>
          </w:p>
        </w:tc>
      </w:tr>
      <w:tr w:rsidR="00BF28B1" w:rsidRPr="006529C7" w14:paraId="2551AF14" w14:textId="77777777" w:rsidTr="00BF28B1">
        <w:tc>
          <w:tcPr>
            <w:tcW w:w="1134" w:type="dxa"/>
          </w:tcPr>
          <w:p w14:paraId="52754A7B" w14:textId="77777777" w:rsidR="00BF28B1" w:rsidRPr="006529C7" w:rsidRDefault="00BF28B1" w:rsidP="008E6C36">
            <w:pPr>
              <w:pStyle w:val="Tabletext"/>
              <w:rPr>
                <w:lang w:eastAsia="sv-SE"/>
              </w:rPr>
            </w:pPr>
            <w:r w:rsidRPr="006529C7">
              <w:rPr>
                <w:lang w:eastAsia="sv-SE"/>
              </w:rPr>
              <w:t>ECP 1</w:t>
            </w:r>
          </w:p>
        </w:tc>
        <w:tc>
          <w:tcPr>
            <w:tcW w:w="8931" w:type="dxa"/>
          </w:tcPr>
          <w:p w14:paraId="78B726A0" w14:textId="32043735" w:rsidR="00BF28B1" w:rsidRPr="006529C7" w:rsidRDefault="00BF28B1" w:rsidP="008E6C36">
            <w:pPr>
              <w:pStyle w:val="Tabletext"/>
              <w:rPr>
                <w:b/>
                <w:bCs/>
                <w:szCs w:val="22"/>
              </w:rPr>
            </w:pPr>
            <w:r w:rsidRPr="006529C7">
              <w:rPr>
                <w:b/>
                <w:bCs/>
                <w:szCs w:val="22"/>
              </w:rPr>
              <w:t>VISION</w:t>
            </w:r>
            <w:r w:rsidR="0007233A" w:rsidRPr="006529C7">
              <w:rPr>
                <w:b/>
                <w:bCs/>
                <w:szCs w:val="22"/>
              </w:rPr>
              <w:t xml:space="preserve"> DE LA</w:t>
            </w:r>
            <w:r w:rsidRPr="006529C7">
              <w:rPr>
                <w:b/>
                <w:bCs/>
                <w:szCs w:val="22"/>
              </w:rPr>
              <w:t xml:space="preserve"> </w:t>
            </w:r>
            <w:r w:rsidR="0007233A" w:rsidRPr="006529C7">
              <w:rPr>
                <w:b/>
                <w:bCs/>
                <w:szCs w:val="22"/>
              </w:rPr>
              <w:t>CEPT POUR L</w:t>
            </w:r>
            <w:r w:rsidR="004B3A0B" w:rsidRPr="006529C7">
              <w:rPr>
                <w:b/>
                <w:bCs/>
                <w:szCs w:val="22"/>
              </w:rPr>
              <w:t>'</w:t>
            </w:r>
            <w:r w:rsidR="0007233A" w:rsidRPr="006529C7">
              <w:rPr>
                <w:b/>
                <w:bCs/>
                <w:szCs w:val="22"/>
              </w:rPr>
              <w:t>UIT</w:t>
            </w:r>
          </w:p>
        </w:tc>
      </w:tr>
      <w:tr w:rsidR="00BF28B1" w:rsidRPr="006529C7" w14:paraId="079B04B2" w14:textId="77777777" w:rsidTr="00BF28B1">
        <w:tc>
          <w:tcPr>
            <w:tcW w:w="1134" w:type="dxa"/>
          </w:tcPr>
          <w:p w14:paraId="49B65BEB" w14:textId="77777777" w:rsidR="00BF28B1" w:rsidRPr="006529C7" w:rsidRDefault="00BF28B1" w:rsidP="008E6C36">
            <w:pPr>
              <w:pStyle w:val="Tabletext"/>
            </w:pPr>
            <w:r w:rsidRPr="006529C7">
              <w:t>ECP 2</w:t>
            </w:r>
          </w:p>
        </w:tc>
        <w:tc>
          <w:tcPr>
            <w:tcW w:w="8931" w:type="dxa"/>
          </w:tcPr>
          <w:p w14:paraId="73F13569" w14:textId="06B9330B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70</w:t>
            </w:r>
            <w:r w:rsidRPr="006529C7">
              <w:t xml:space="preserve">: </w:t>
            </w:r>
            <w:bookmarkStart w:id="8" w:name="_Toc407016203"/>
            <w:bookmarkStart w:id="9" w:name="_Toc536017940"/>
            <w:r w:rsidRPr="006529C7">
              <w:t xml:space="preserve">Intégration du principe de l'égalité hommes/femmes à l'UIT, promotion de l'égalité hommes/femmes et autonomisation </w:t>
            </w:r>
            <w:r w:rsidR="0007233A" w:rsidRPr="006529C7">
              <w:t xml:space="preserve">de toutes les </w:t>
            </w:r>
            <w:r w:rsidRPr="006529C7">
              <w:t>femmes</w:t>
            </w:r>
            <w:r w:rsidR="0007233A" w:rsidRPr="006529C7">
              <w:t xml:space="preserve"> et de toutes les jeunes filles</w:t>
            </w:r>
            <w:r w:rsidRPr="006529C7">
              <w:t xml:space="preserve"> grâce aux technologies de l'information et de la communication</w:t>
            </w:r>
            <w:bookmarkEnd w:id="8"/>
            <w:bookmarkEnd w:id="9"/>
          </w:p>
        </w:tc>
      </w:tr>
      <w:tr w:rsidR="00BF28B1" w:rsidRPr="006529C7" w14:paraId="3FF9D41A" w14:textId="77777777" w:rsidTr="00BF28B1">
        <w:tc>
          <w:tcPr>
            <w:tcW w:w="1134" w:type="dxa"/>
          </w:tcPr>
          <w:p w14:paraId="610FC467" w14:textId="77777777" w:rsidR="00BF28B1" w:rsidRPr="006529C7" w:rsidRDefault="00BF28B1" w:rsidP="008E6C36">
            <w:pPr>
              <w:pStyle w:val="Tabletext"/>
            </w:pPr>
            <w:r w:rsidRPr="006529C7">
              <w:t>ECP 3</w:t>
            </w:r>
          </w:p>
        </w:tc>
        <w:tc>
          <w:tcPr>
            <w:tcW w:w="8931" w:type="dxa"/>
          </w:tcPr>
          <w:p w14:paraId="34EE95E9" w14:textId="6E413920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101</w:t>
            </w:r>
            <w:r w:rsidRPr="006529C7">
              <w:t xml:space="preserve">: </w:t>
            </w:r>
            <w:bookmarkStart w:id="10" w:name="_Toc165351472"/>
            <w:bookmarkStart w:id="11" w:name="_Toc407016215"/>
            <w:bookmarkStart w:id="12" w:name="_Toc536017950"/>
            <w:r w:rsidRPr="006529C7">
              <w:t>Réseaux fondés sur le protocole Internet</w:t>
            </w:r>
            <w:bookmarkEnd w:id="10"/>
            <w:bookmarkEnd w:id="11"/>
            <w:bookmarkEnd w:id="12"/>
          </w:p>
        </w:tc>
      </w:tr>
      <w:tr w:rsidR="00BF28B1" w:rsidRPr="006529C7" w14:paraId="4962E80E" w14:textId="77777777" w:rsidTr="00BF28B1">
        <w:tc>
          <w:tcPr>
            <w:tcW w:w="1134" w:type="dxa"/>
          </w:tcPr>
          <w:p w14:paraId="6E4AB5B8" w14:textId="77777777" w:rsidR="00BF28B1" w:rsidRPr="006529C7" w:rsidRDefault="00BF28B1" w:rsidP="008E6C36">
            <w:pPr>
              <w:pStyle w:val="Tabletext"/>
            </w:pPr>
            <w:r w:rsidRPr="006529C7">
              <w:t>ECP 4</w:t>
            </w:r>
          </w:p>
        </w:tc>
        <w:tc>
          <w:tcPr>
            <w:tcW w:w="8931" w:type="dxa"/>
          </w:tcPr>
          <w:p w14:paraId="432A5099" w14:textId="573339FE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102</w:t>
            </w:r>
            <w:r w:rsidRPr="006529C7">
              <w:t xml:space="preserve">: </w:t>
            </w:r>
            <w:bookmarkStart w:id="13" w:name="_Toc407016217"/>
            <w:bookmarkStart w:id="14" w:name="_Toc536017952"/>
            <w:r w:rsidRPr="006529C7">
              <w:t>Rôle de l'UIT concernant les questions de politiques publiques internationales ayant trait à l'Internet et à la gestion des ressources de l'Internet, y compris les noms de domaine et les adresses</w:t>
            </w:r>
            <w:bookmarkEnd w:id="13"/>
            <w:bookmarkEnd w:id="14"/>
          </w:p>
        </w:tc>
      </w:tr>
      <w:tr w:rsidR="00BF28B1" w:rsidRPr="006529C7" w14:paraId="77995DCC" w14:textId="77777777" w:rsidTr="00BF28B1">
        <w:tc>
          <w:tcPr>
            <w:tcW w:w="1134" w:type="dxa"/>
          </w:tcPr>
          <w:p w14:paraId="726D3F31" w14:textId="77777777" w:rsidR="00BF28B1" w:rsidRPr="006529C7" w:rsidRDefault="00BF28B1" w:rsidP="008E6C36">
            <w:pPr>
              <w:pStyle w:val="Tabletext"/>
            </w:pPr>
            <w:r w:rsidRPr="006529C7">
              <w:t>ECP 5</w:t>
            </w:r>
          </w:p>
        </w:tc>
        <w:tc>
          <w:tcPr>
            <w:tcW w:w="8931" w:type="dxa"/>
          </w:tcPr>
          <w:p w14:paraId="641E4065" w14:textId="37D04479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133</w:t>
            </w:r>
            <w:r w:rsidRPr="006529C7">
              <w:t xml:space="preserve">: </w:t>
            </w:r>
            <w:bookmarkStart w:id="15" w:name="_Toc165351510"/>
            <w:bookmarkStart w:id="16" w:name="_Toc407016229"/>
            <w:bookmarkStart w:id="17" w:name="_Toc536017962"/>
            <w:r w:rsidRPr="006529C7">
              <w:t>Rôle des Administrations des États Membres dans la gestion de noms de domaine (multilingues) internationalisés</w:t>
            </w:r>
            <w:bookmarkEnd w:id="15"/>
            <w:bookmarkEnd w:id="16"/>
            <w:bookmarkEnd w:id="17"/>
          </w:p>
        </w:tc>
      </w:tr>
      <w:tr w:rsidR="00BF28B1" w:rsidRPr="006529C7" w14:paraId="5FEE8406" w14:textId="77777777" w:rsidTr="00BF28B1">
        <w:tc>
          <w:tcPr>
            <w:tcW w:w="1134" w:type="dxa"/>
          </w:tcPr>
          <w:p w14:paraId="51B045A8" w14:textId="77777777" w:rsidR="00BF28B1" w:rsidRPr="006529C7" w:rsidRDefault="00BF28B1" w:rsidP="008E6C36">
            <w:pPr>
              <w:pStyle w:val="Tabletext"/>
            </w:pPr>
            <w:r w:rsidRPr="006529C7">
              <w:t>ECP 6</w:t>
            </w:r>
          </w:p>
        </w:tc>
        <w:tc>
          <w:tcPr>
            <w:tcW w:w="8931" w:type="dxa"/>
          </w:tcPr>
          <w:p w14:paraId="726D2342" w14:textId="4A90A649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180</w:t>
            </w:r>
            <w:r w:rsidRPr="006529C7">
              <w:t xml:space="preserve">: </w:t>
            </w:r>
            <w:bookmarkStart w:id="18" w:name="_Toc407016279"/>
            <w:bookmarkStart w:id="19" w:name="_Toc536018000"/>
            <w:r w:rsidRPr="006529C7">
              <w:t>Promouvoir le déploiement et l'adoption du protocole IPv6 pour faciliter le passage du protocole IPv4 au protocole IPv6</w:t>
            </w:r>
            <w:bookmarkEnd w:id="18"/>
            <w:bookmarkEnd w:id="19"/>
          </w:p>
        </w:tc>
      </w:tr>
      <w:tr w:rsidR="00BF28B1" w:rsidRPr="006529C7" w14:paraId="0F6C38A1" w14:textId="77777777" w:rsidTr="00BF28B1">
        <w:tc>
          <w:tcPr>
            <w:tcW w:w="1134" w:type="dxa"/>
          </w:tcPr>
          <w:p w14:paraId="5C4BCD7E" w14:textId="77777777" w:rsidR="00BF28B1" w:rsidRPr="006529C7" w:rsidRDefault="00BF28B1" w:rsidP="008E6C36">
            <w:pPr>
              <w:pStyle w:val="Tabletext"/>
            </w:pPr>
            <w:r w:rsidRPr="006529C7">
              <w:t>ECP 7</w:t>
            </w:r>
          </w:p>
        </w:tc>
        <w:tc>
          <w:tcPr>
            <w:tcW w:w="8931" w:type="dxa"/>
          </w:tcPr>
          <w:p w14:paraId="63174984" w14:textId="701DDBC5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130</w:t>
            </w:r>
            <w:r w:rsidRPr="006529C7">
              <w:t xml:space="preserve">: </w:t>
            </w:r>
            <w:bookmarkStart w:id="20" w:name="_Toc165351506"/>
            <w:bookmarkStart w:id="21" w:name="_Toc407016225"/>
            <w:bookmarkStart w:id="22" w:name="_Toc536017958"/>
            <w:r w:rsidRPr="006529C7">
              <w:t>Renforcement du rôle de l'UIT dans l'instauration de la confiance et de la sécurité dans l'utilisation des technologies de l'information et de la communication</w:t>
            </w:r>
            <w:bookmarkEnd w:id="20"/>
            <w:bookmarkEnd w:id="21"/>
            <w:bookmarkEnd w:id="22"/>
          </w:p>
        </w:tc>
      </w:tr>
      <w:tr w:rsidR="00171FF0" w:rsidRPr="006529C7" w14:paraId="20937BDA" w14:textId="77777777" w:rsidTr="00BF28B1">
        <w:tc>
          <w:tcPr>
            <w:tcW w:w="1134" w:type="dxa"/>
          </w:tcPr>
          <w:p w14:paraId="5380619F" w14:textId="2AD69B88" w:rsidR="00171FF0" w:rsidRPr="006529C7" w:rsidRDefault="00171FF0" w:rsidP="008E6C36">
            <w:pPr>
              <w:pStyle w:val="Tabletext"/>
            </w:pPr>
            <w:r w:rsidRPr="006529C7">
              <w:t>ECP 8</w:t>
            </w:r>
          </w:p>
        </w:tc>
        <w:tc>
          <w:tcPr>
            <w:tcW w:w="8931" w:type="dxa"/>
          </w:tcPr>
          <w:p w14:paraId="7F2DF16A" w14:textId="0A7CBA03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162 (RÉV. BUSAN, 2014)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Comité consultatif indépendant pour les questions de gestion</w:t>
            </w:r>
          </w:p>
        </w:tc>
      </w:tr>
      <w:tr w:rsidR="00171FF0" w:rsidRPr="006529C7" w14:paraId="367C1CBF" w14:textId="77777777" w:rsidTr="00BF28B1">
        <w:tc>
          <w:tcPr>
            <w:tcW w:w="1134" w:type="dxa"/>
          </w:tcPr>
          <w:p w14:paraId="4D6CA9D4" w14:textId="1AAE9D85" w:rsidR="00171FF0" w:rsidRPr="006529C7" w:rsidRDefault="00171FF0" w:rsidP="008E6C36">
            <w:pPr>
              <w:pStyle w:val="Tabletext"/>
            </w:pPr>
            <w:r w:rsidRPr="006529C7">
              <w:t>ECP 9</w:t>
            </w:r>
          </w:p>
        </w:tc>
        <w:tc>
          <w:tcPr>
            <w:tcW w:w="8931" w:type="dxa"/>
          </w:tcPr>
          <w:p w14:paraId="5CBC14F0" w14:textId="275B79DC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167 (RÉV. DUBAÏ, 2018)</w:t>
            </w:r>
            <w:r w:rsidR="004B7514" w:rsidRPr="006529C7">
              <w:rPr>
                <w:b/>
                <w:bCs/>
              </w:rPr>
              <w:t xml:space="preserve">: </w:t>
            </w:r>
            <w:r w:rsidRPr="006529C7">
              <w:t>Renforcement et développement des capacités de l'UIT pour</w:t>
            </w:r>
            <w:r w:rsidR="004B7514" w:rsidRPr="006529C7">
              <w:t xml:space="preserve"> </w:t>
            </w:r>
            <w:r w:rsidRPr="006529C7">
              <w:t>les réunions électroniques et des moyens permettant</w:t>
            </w:r>
            <w:r w:rsidR="004B7514" w:rsidRPr="006529C7">
              <w:t xml:space="preserve"> </w:t>
            </w:r>
            <w:r w:rsidRPr="006529C7">
              <w:t>de faire avancer les travaux de l'Union</w:t>
            </w:r>
          </w:p>
        </w:tc>
      </w:tr>
      <w:tr w:rsidR="00171FF0" w:rsidRPr="006529C7" w14:paraId="05DF1C59" w14:textId="77777777" w:rsidTr="00BF28B1">
        <w:tc>
          <w:tcPr>
            <w:tcW w:w="1134" w:type="dxa"/>
          </w:tcPr>
          <w:p w14:paraId="1D52FFFB" w14:textId="31EB26EB" w:rsidR="00171FF0" w:rsidRPr="006529C7" w:rsidRDefault="00171FF0" w:rsidP="008E6C36">
            <w:pPr>
              <w:pStyle w:val="Tabletext"/>
            </w:pPr>
            <w:r w:rsidRPr="006529C7">
              <w:t>ECP 10</w:t>
            </w:r>
          </w:p>
        </w:tc>
        <w:tc>
          <w:tcPr>
            <w:tcW w:w="8931" w:type="dxa"/>
          </w:tcPr>
          <w:p w14:paraId="14330F50" w14:textId="7A9ABF6F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177 (RÉV. DUBAÏ, 2018)</w:t>
            </w:r>
            <w:r w:rsidR="004B7514" w:rsidRPr="008A76E4">
              <w:rPr>
                <w:bCs/>
              </w:rPr>
              <w:t xml:space="preserve">: </w:t>
            </w:r>
            <w:r w:rsidRPr="006529C7">
              <w:t>Conformité et interopérabilité</w:t>
            </w:r>
          </w:p>
        </w:tc>
      </w:tr>
      <w:tr w:rsidR="00171FF0" w:rsidRPr="006529C7" w14:paraId="3F154D79" w14:textId="77777777" w:rsidTr="00BF28B1">
        <w:tc>
          <w:tcPr>
            <w:tcW w:w="1134" w:type="dxa"/>
          </w:tcPr>
          <w:p w14:paraId="2D1578B8" w14:textId="5B60976A" w:rsidR="00171FF0" w:rsidRPr="006529C7" w:rsidRDefault="00171FF0" w:rsidP="008E6C36">
            <w:pPr>
              <w:pStyle w:val="Tabletext"/>
            </w:pPr>
            <w:r w:rsidRPr="006529C7">
              <w:t>ECP 13</w:t>
            </w:r>
          </w:p>
        </w:tc>
        <w:tc>
          <w:tcPr>
            <w:tcW w:w="8931" w:type="dxa"/>
          </w:tcPr>
          <w:p w14:paraId="2BC4FC71" w14:textId="60510852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119 (RÉV. ANTALYA, 2006)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Méthodes visant à accroître l'efficacité et l'efficience du Comité du Règlement des radiocommunications</w:t>
            </w:r>
          </w:p>
        </w:tc>
      </w:tr>
      <w:tr w:rsidR="00171FF0" w:rsidRPr="006529C7" w14:paraId="6EC5FD11" w14:textId="77777777" w:rsidTr="00BF28B1">
        <w:tc>
          <w:tcPr>
            <w:tcW w:w="1134" w:type="dxa"/>
          </w:tcPr>
          <w:p w14:paraId="1BE6B889" w14:textId="2C08B17E" w:rsidR="00171FF0" w:rsidRPr="006529C7" w:rsidRDefault="00171FF0" w:rsidP="008E6C36">
            <w:pPr>
              <w:pStyle w:val="Tabletext"/>
            </w:pPr>
            <w:r w:rsidRPr="006529C7">
              <w:lastRenderedPageBreak/>
              <w:t>ECP 14</w:t>
            </w:r>
          </w:p>
        </w:tc>
        <w:tc>
          <w:tcPr>
            <w:tcW w:w="8931" w:type="dxa"/>
          </w:tcPr>
          <w:p w14:paraId="7D422D04" w14:textId="112C8B59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136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Utilisation des télécommunications/technologies de l'information et de la communication pour l'aide humanitaire, pour le contrôle et la gestion des situations d'urgence et de catastrophe, y compris des urgences sanitaires, et pour l'alerte avancée, la prévention, l'atténuation des effets des catastrophes et les opérations de secours</w:t>
            </w:r>
          </w:p>
        </w:tc>
      </w:tr>
      <w:tr w:rsidR="00171FF0" w:rsidRPr="006529C7" w14:paraId="509D574E" w14:textId="77777777" w:rsidTr="00BF28B1">
        <w:tc>
          <w:tcPr>
            <w:tcW w:w="1134" w:type="dxa"/>
          </w:tcPr>
          <w:p w14:paraId="2FCD1432" w14:textId="2A0959C4" w:rsidR="00171FF0" w:rsidRPr="006529C7" w:rsidRDefault="00171FF0" w:rsidP="008E6C36">
            <w:pPr>
              <w:pStyle w:val="Tabletext"/>
            </w:pPr>
            <w:r w:rsidRPr="006529C7">
              <w:t>ECP 15</w:t>
            </w:r>
          </w:p>
        </w:tc>
        <w:tc>
          <w:tcPr>
            <w:tcW w:w="8931" w:type="dxa"/>
          </w:tcPr>
          <w:p w14:paraId="698C90D6" w14:textId="31290536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137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Déploiement de réseaux futurs dans les pays en développement</w:t>
            </w:r>
          </w:p>
        </w:tc>
      </w:tr>
      <w:tr w:rsidR="00171FF0" w:rsidRPr="006529C7" w14:paraId="43ECB949" w14:textId="77777777" w:rsidTr="00BF28B1">
        <w:tc>
          <w:tcPr>
            <w:tcW w:w="1134" w:type="dxa"/>
          </w:tcPr>
          <w:p w14:paraId="198770AB" w14:textId="507267AC" w:rsidR="00171FF0" w:rsidRPr="006529C7" w:rsidRDefault="00171FF0" w:rsidP="008E6C36">
            <w:pPr>
              <w:pStyle w:val="Tabletext"/>
            </w:pPr>
            <w:r w:rsidRPr="006529C7">
              <w:t>ECP 16</w:t>
            </w:r>
          </w:p>
        </w:tc>
        <w:tc>
          <w:tcPr>
            <w:tcW w:w="8931" w:type="dxa"/>
          </w:tcPr>
          <w:p w14:paraId="7BFA1461" w14:textId="07D8D112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139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Utilisation des télécommunications et des technologies de l'information et de la communication pour réduire la fracture numérique et édifier une société de l'information inclusive</w:t>
            </w:r>
          </w:p>
        </w:tc>
      </w:tr>
      <w:tr w:rsidR="00171FF0" w:rsidRPr="006529C7" w14:paraId="4DD7FBD4" w14:textId="77777777" w:rsidTr="00BF28B1">
        <w:tc>
          <w:tcPr>
            <w:tcW w:w="1134" w:type="dxa"/>
          </w:tcPr>
          <w:p w14:paraId="0721873F" w14:textId="5775DD3C" w:rsidR="00171FF0" w:rsidRPr="006529C7" w:rsidRDefault="00171FF0" w:rsidP="008E6C36">
            <w:pPr>
              <w:pStyle w:val="Tabletext"/>
            </w:pPr>
            <w:r w:rsidRPr="006529C7">
              <w:t>ECP 17</w:t>
            </w:r>
          </w:p>
        </w:tc>
        <w:tc>
          <w:tcPr>
            <w:tcW w:w="8931" w:type="dxa"/>
          </w:tcPr>
          <w:p w14:paraId="2C4E2B18" w14:textId="236442E5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140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Rôle de l'UIT dans la mise en œuvre des résultats du Sommet mondial sur la société de l'information et du Programme de développement durable à l'horizon 2030 ainsi que dans les processus de suivi et d'examen associés</w:t>
            </w:r>
          </w:p>
        </w:tc>
      </w:tr>
      <w:tr w:rsidR="00171FF0" w:rsidRPr="006529C7" w14:paraId="5308F62E" w14:textId="77777777" w:rsidTr="00BF28B1">
        <w:tc>
          <w:tcPr>
            <w:tcW w:w="1134" w:type="dxa"/>
          </w:tcPr>
          <w:p w14:paraId="1E1A3158" w14:textId="5077E6FD" w:rsidR="00171FF0" w:rsidRPr="006529C7" w:rsidRDefault="00171FF0" w:rsidP="008E6C36">
            <w:pPr>
              <w:pStyle w:val="Tabletext"/>
            </w:pPr>
            <w:r w:rsidRPr="006529C7">
              <w:t>ECP 18</w:t>
            </w:r>
          </w:p>
        </w:tc>
        <w:tc>
          <w:tcPr>
            <w:tcW w:w="8931" w:type="dxa"/>
          </w:tcPr>
          <w:p w14:paraId="6DE3B0F7" w14:textId="0BFF60A2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146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Examen et révision périodiques du Règlement des télécommunications internationales</w:t>
            </w:r>
          </w:p>
        </w:tc>
      </w:tr>
      <w:tr w:rsidR="00171FF0" w:rsidRPr="006529C7" w14:paraId="02E2E403" w14:textId="77777777" w:rsidTr="00BF28B1">
        <w:tc>
          <w:tcPr>
            <w:tcW w:w="1134" w:type="dxa"/>
          </w:tcPr>
          <w:p w14:paraId="6F562839" w14:textId="1C2F85F0" w:rsidR="00171FF0" w:rsidRPr="006529C7" w:rsidRDefault="00171FF0" w:rsidP="008E6C36">
            <w:pPr>
              <w:pStyle w:val="Tabletext"/>
            </w:pPr>
            <w:r w:rsidRPr="006529C7">
              <w:t>ECP 19</w:t>
            </w:r>
          </w:p>
        </w:tc>
        <w:tc>
          <w:tcPr>
            <w:tcW w:w="8931" w:type="dxa"/>
          </w:tcPr>
          <w:p w14:paraId="57521455" w14:textId="153A26C3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175 (RÉV. DUBAÏ, 2018)</w:t>
            </w:r>
            <w:r w:rsidRPr="008A76E4">
              <w:rPr>
                <w:bCs/>
              </w:rPr>
              <w:t xml:space="preserve">: </w:t>
            </w:r>
            <w:r w:rsidRPr="006529C7">
              <w:t>Accessibilité des télécommunications/technologies de l'information et de la communication pour les personnes handicapées et les personnes ayant des besoins particuliers</w:t>
            </w:r>
          </w:p>
        </w:tc>
      </w:tr>
      <w:tr w:rsidR="00171FF0" w:rsidRPr="006529C7" w14:paraId="631C9330" w14:textId="77777777" w:rsidTr="00BF28B1">
        <w:tc>
          <w:tcPr>
            <w:tcW w:w="1134" w:type="dxa"/>
          </w:tcPr>
          <w:p w14:paraId="5A425E5B" w14:textId="7F6680E0" w:rsidR="00171FF0" w:rsidRPr="006529C7" w:rsidRDefault="00171FF0" w:rsidP="008E6C36">
            <w:pPr>
              <w:pStyle w:val="Tabletext"/>
            </w:pPr>
            <w:r w:rsidRPr="006529C7">
              <w:t>ECP 20</w:t>
            </w:r>
          </w:p>
        </w:tc>
        <w:tc>
          <w:tcPr>
            <w:tcW w:w="8931" w:type="dxa"/>
          </w:tcPr>
          <w:p w14:paraId="3F2AAC30" w14:textId="259E60C3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179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Rôle de l'UIT dans la protection en ligne des enfants</w:t>
            </w:r>
          </w:p>
        </w:tc>
      </w:tr>
      <w:tr w:rsidR="00171FF0" w:rsidRPr="006529C7" w14:paraId="1CC1AC7A" w14:textId="77777777" w:rsidTr="00BF28B1">
        <w:tc>
          <w:tcPr>
            <w:tcW w:w="1134" w:type="dxa"/>
          </w:tcPr>
          <w:p w14:paraId="7A05479F" w14:textId="64A54878" w:rsidR="00171FF0" w:rsidRPr="006529C7" w:rsidRDefault="00171FF0" w:rsidP="008E6C36">
            <w:pPr>
              <w:pStyle w:val="Tabletext"/>
            </w:pPr>
            <w:r w:rsidRPr="006529C7">
              <w:t>ECP 21</w:t>
            </w:r>
          </w:p>
        </w:tc>
        <w:tc>
          <w:tcPr>
            <w:tcW w:w="8931" w:type="dxa"/>
          </w:tcPr>
          <w:p w14:paraId="3799A7A8" w14:textId="50788048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182 (RÉV. BUSAN, 2014)</w:t>
            </w:r>
            <w:r w:rsidRPr="008A76E4">
              <w:rPr>
                <w:bCs/>
              </w:rPr>
              <w:t xml:space="preserve">: </w:t>
            </w:r>
            <w:r w:rsidRPr="006529C7">
              <w:t>Rôle des télécommunications/technologies de l'information et de la communication en ce qui concerne les changements climatiques et la protection de l'environnement</w:t>
            </w:r>
          </w:p>
        </w:tc>
      </w:tr>
      <w:tr w:rsidR="00171FF0" w:rsidRPr="006529C7" w14:paraId="543272F5" w14:textId="77777777" w:rsidTr="00BF28B1">
        <w:tc>
          <w:tcPr>
            <w:tcW w:w="1134" w:type="dxa"/>
          </w:tcPr>
          <w:p w14:paraId="1601E9C7" w14:textId="6EEE2E7A" w:rsidR="00171FF0" w:rsidRPr="006529C7" w:rsidRDefault="00171FF0" w:rsidP="008E6C36">
            <w:pPr>
              <w:pStyle w:val="Tabletext"/>
            </w:pPr>
            <w:r w:rsidRPr="006529C7">
              <w:t>ECP 22</w:t>
            </w:r>
          </w:p>
        </w:tc>
        <w:tc>
          <w:tcPr>
            <w:tcW w:w="8931" w:type="dxa"/>
          </w:tcPr>
          <w:p w14:paraId="627240F2" w14:textId="19CFE28B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188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Lutter contre la contrefaçon de dispositifs de télécommunication/fondés sur les technologies de l'information et de la communication</w:t>
            </w:r>
          </w:p>
        </w:tc>
      </w:tr>
      <w:tr w:rsidR="00171FF0" w:rsidRPr="006529C7" w14:paraId="6EE16456" w14:textId="77777777" w:rsidTr="00BF28B1">
        <w:tc>
          <w:tcPr>
            <w:tcW w:w="1134" w:type="dxa"/>
          </w:tcPr>
          <w:p w14:paraId="34F45CB1" w14:textId="1E8C1300" w:rsidR="00171FF0" w:rsidRPr="006529C7" w:rsidRDefault="00171FF0" w:rsidP="008E6C36">
            <w:pPr>
              <w:pStyle w:val="Tabletext"/>
            </w:pPr>
            <w:r w:rsidRPr="006529C7">
              <w:t>ECP 23</w:t>
            </w:r>
          </w:p>
        </w:tc>
        <w:tc>
          <w:tcPr>
            <w:tcW w:w="8931" w:type="dxa"/>
          </w:tcPr>
          <w:p w14:paraId="1D94C1F4" w14:textId="505C5283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189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Aider les États Membres à lutter contre le vol de dispositifs mobiles et à prévenir ce phénomène</w:t>
            </w:r>
          </w:p>
        </w:tc>
      </w:tr>
      <w:tr w:rsidR="00171FF0" w:rsidRPr="006529C7" w14:paraId="1C12A886" w14:textId="77777777" w:rsidTr="00BF28B1">
        <w:tc>
          <w:tcPr>
            <w:tcW w:w="1134" w:type="dxa"/>
          </w:tcPr>
          <w:p w14:paraId="4BB4D912" w14:textId="5DF71982" w:rsidR="00171FF0" w:rsidRPr="006529C7" w:rsidRDefault="00171FF0" w:rsidP="008E6C36">
            <w:pPr>
              <w:pStyle w:val="Tabletext"/>
            </w:pPr>
            <w:r w:rsidRPr="006529C7">
              <w:t>ECP 24</w:t>
            </w:r>
          </w:p>
        </w:tc>
        <w:tc>
          <w:tcPr>
            <w:tcW w:w="8931" w:type="dxa"/>
          </w:tcPr>
          <w:p w14:paraId="73F86A4B" w14:textId="36C8036B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196 (RÉV. DUBAÏ, 2018)</w:t>
            </w:r>
            <w:r w:rsidRPr="008A76E4">
              <w:rPr>
                <w:bCs/>
              </w:rPr>
              <w:t xml:space="preserve">: </w:t>
            </w:r>
            <w:r w:rsidRPr="006529C7">
              <w:t>Protection des utilisateurs/consommateurs de services de télécommunication</w:t>
            </w:r>
          </w:p>
        </w:tc>
      </w:tr>
      <w:tr w:rsidR="00171FF0" w:rsidRPr="006529C7" w14:paraId="1232689A" w14:textId="77777777" w:rsidTr="00BF28B1">
        <w:tc>
          <w:tcPr>
            <w:tcW w:w="1134" w:type="dxa"/>
          </w:tcPr>
          <w:p w14:paraId="28A729C0" w14:textId="35B4387C" w:rsidR="00171FF0" w:rsidRPr="006529C7" w:rsidRDefault="00171FF0" w:rsidP="008E6C36">
            <w:pPr>
              <w:pStyle w:val="Tabletext"/>
            </w:pPr>
            <w:r w:rsidRPr="006529C7">
              <w:t>ECP 25</w:t>
            </w:r>
          </w:p>
        </w:tc>
        <w:tc>
          <w:tcPr>
            <w:tcW w:w="8931" w:type="dxa"/>
          </w:tcPr>
          <w:p w14:paraId="2FF98364" w14:textId="283CFAB6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197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Faciliter l'avènement de l'Internet des objets et des villes et communautés intelligentes et durables</w:t>
            </w:r>
          </w:p>
        </w:tc>
      </w:tr>
      <w:tr w:rsidR="00171FF0" w:rsidRPr="006529C7" w14:paraId="219CE48B" w14:textId="77777777" w:rsidTr="00BF28B1">
        <w:tc>
          <w:tcPr>
            <w:tcW w:w="1134" w:type="dxa"/>
          </w:tcPr>
          <w:p w14:paraId="3E52EBAA" w14:textId="32DDBABC" w:rsidR="00171FF0" w:rsidRPr="006529C7" w:rsidRDefault="00171FF0" w:rsidP="008E6C36">
            <w:pPr>
              <w:pStyle w:val="Tabletext"/>
            </w:pPr>
            <w:r w:rsidRPr="006529C7">
              <w:t>ECP 26</w:t>
            </w:r>
          </w:p>
        </w:tc>
        <w:tc>
          <w:tcPr>
            <w:tcW w:w="8931" w:type="dxa"/>
          </w:tcPr>
          <w:p w14:paraId="0E27A2CA" w14:textId="0EC8A194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205 (DUBAÏ,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Rôle de l'UIT dans la promotion d'une innovation centrée sur les télécommunications/technologies de l'information et de la communication pour appuyer l'économie et la société numériques</w:t>
            </w:r>
          </w:p>
        </w:tc>
      </w:tr>
      <w:tr w:rsidR="00171FF0" w:rsidRPr="006529C7" w14:paraId="2A8A2711" w14:textId="77777777" w:rsidTr="00BF28B1">
        <w:tc>
          <w:tcPr>
            <w:tcW w:w="1134" w:type="dxa"/>
          </w:tcPr>
          <w:p w14:paraId="1C911FE5" w14:textId="19A0EF08" w:rsidR="00171FF0" w:rsidRPr="006529C7" w:rsidRDefault="00171FF0" w:rsidP="008E6C36">
            <w:pPr>
              <w:pStyle w:val="Tabletext"/>
            </w:pPr>
            <w:r w:rsidRPr="006529C7">
              <w:t>ECP 27</w:t>
            </w:r>
          </w:p>
        </w:tc>
        <w:tc>
          <w:tcPr>
            <w:tcW w:w="8931" w:type="dxa"/>
          </w:tcPr>
          <w:p w14:paraId="06815442" w14:textId="528F3C23" w:rsidR="00171FF0" w:rsidRPr="006529C7" w:rsidRDefault="004B7514">
            <w:pPr>
              <w:pStyle w:val="Tabletext"/>
              <w:rPr>
                <w:b/>
                <w:bCs/>
              </w:rPr>
              <w:pPrChange w:id="23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6529C7">
              <w:rPr>
                <w:b/>
                <w:bCs/>
              </w:rPr>
              <w:t>Projet de nouvelle Résolution [</w:t>
            </w:r>
            <w:r w:rsidR="0097313D" w:rsidRPr="006529C7">
              <w:rPr>
                <w:b/>
                <w:bCs/>
              </w:rPr>
              <w:t>ECP</w:t>
            </w:r>
            <w:r w:rsidRPr="006529C7">
              <w:rPr>
                <w:b/>
                <w:bCs/>
              </w:rPr>
              <w:t>-1] (Bucarest, 2022) "</w:t>
            </w:r>
            <w:r w:rsidR="0097313D" w:rsidRPr="006529C7">
              <w:rPr>
                <w:b/>
                <w:bCs/>
              </w:rPr>
              <w:t>PARTICIPATION DU SECTEUR PRIVÉ</w:t>
            </w:r>
            <w:r w:rsidRPr="006529C7">
              <w:rPr>
                <w:b/>
                <w:bCs/>
              </w:rPr>
              <w:t>"</w:t>
            </w:r>
            <w:r w:rsidRPr="008A76E4">
              <w:rPr>
                <w:bCs/>
              </w:rPr>
              <w:t xml:space="preserve">: </w:t>
            </w:r>
            <w:r w:rsidRPr="006529C7">
              <w:t>Encourager la participation du secteur privé aux travaux de l'Union</w:t>
            </w:r>
          </w:p>
        </w:tc>
      </w:tr>
      <w:tr w:rsidR="00171FF0" w:rsidRPr="006529C7" w14:paraId="06B63219" w14:textId="77777777" w:rsidTr="00BF28B1">
        <w:tc>
          <w:tcPr>
            <w:tcW w:w="1134" w:type="dxa"/>
          </w:tcPr>
          <w:p w14:paraId="78B4B540" w14:textId="4250FCCC" w:rsidR="00171FF0" w:rsidRPr="006529C7" w:rsidRDefault="00171FF0" w:rsidP="008E6C36">
            <w:pPr>
              <w:pStyle w:val="Tabletext"/>
            </w:pPr>
            <w:r w:rsidRPr="006529C7">
              <w:t>ECP 28</w:t>
            </w:r>
          </w:p>
        </w:tc>
        <w:tc>
          <w:tcPr>
            <w:tcW w:w="8931" w:type="dxa"/>
          </w:tcPr>
          <w:p w14:paraId="479A54DB" w14:textId="5D900DFB" w:rsidR="00171FF0" w:rsidRPr="006529C7" w:rsidRDefault="001730DF">
            <w:pPr>
              <w:pStyle w:val="Tabletext"/>
              <w:rPr>
                <w:b/>
                <w:bCs/>
              </w:rPr>
              <w:pPrChange w:id="24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6529C7">
              <w:rPr>
                <w:b/>
                <w:bCs/>
              </w:rPr>
              <w:t>Projet de nouvelle Résolution [</w:t>
            </w:r>
            <w:r w:rsidR="0097313D" w:rsidRPr="006529C7">
              <w:rPr>
                <w:b/>
                <w:bCs/>
              </w:rPr>
              <w:t>ECP</w:t>
            </w:r>
            <w:r w:rsidRPr="006529C7">
              <w:rPr>
                <w:b/>
                <w:bCs/>
              </w:rPr>
              <w:t>-2] (Bucarest, 2022)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Les technologies fondées sur l'intelligence artificielle au service des télécommunications/technologies de l'information et de la communication et du Programme de développement durable à l'horizon 2030</w:t>
            </w:r>
          </w:p>
        </w:tc>
      </w:tr>
      <w:tr w:rsidR="00171FF0" w:rsidRPr="006529C7" w14:paraId="275321A9" w14:textId="77777777" w:rsidTr="00BF28B1">
        <w:tc>
          <w:tcPr>
            <w:tcW w:w="1134" w:type="dxa"/>
          </w:tcPr>
          <w:p w14:paraId="16763B81" w14:textId="4A7B2275" w:rsidR="00171FF0" w:rsidRPr="006529C7" w:rsidRDefault="00171FF0" w:rsidP="008E6C36">
            <w:pPr>
              <w:pStyle w:val="Tabletext"/>
            </w:pPr>
            <w:r w:rsidRPr="006529C7">
              <w:t>ECP 29</w:t>
            </w:r>
          </w:p>
        </w:tc>
        <w:tc>
          <w:tcPr>
            <w:tcW w:w="8931" w:type="dxa"/>
          </w:tcPr>
          <w:p w14:paraId="50D570BF" w14:textId="0F492F84" w:rsidR="00171FF0" w:rsidRPr="006529C7" w:rsidRDefault="001730DF">
            <w:pPr>
              <w:pStyle w:val="Tabletext"/>
              <w:rPr>
                <w:b/>
                <w:bCs/>
              </w:rPr>
              <w:pPrChange w:id="25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6529C7">
              <w:rPr>
                <w:b/>
                <w:bCs/>
              </w:rPr>
              <w:t>Projet de nouvelle Résolution [</w:t>
            </w:r>
            <w:r w:rsidR="0097313D" w:rsidRPr="006529C7">
              <w:rPr>
                <w:b/>
                <w:bCs/>
              </w:rPr>
              <w:t>ECP</w:t>
            </w:r>
            <w:r w:rsidRPr="006529C7">
              <w:rPr>
                <w:b/>
                <w:bCs/>
              </w:rPr>
              <w:t>-3] (Bucarest, 2022)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="003F3AC7" w:rsidRPr="006529C7">
              <w:t xml:space="preserve">Précisions </w:t>
            </w:r>
            <w:r w:rsidR="0097313D" w:rsidRPr="006529C7">
              <w:t>sur l'i</w:t>
            </w:r>
            <w:r w:rsidRPr="006529C7">
              <w:t>nvocation de l'article 48 de la Constitution de l'UIT en ce qui concerne le Règlement des radiocommunications</w:t>
            </w:r>
          </w:p>
        </w:tc>
      </w:tr>
    </w:tbl>
    <w:p w14:paraId="66EC89C6" w14:textId="6542975A" w:rsidR="001730DF" w:rsidRPr="006529C7" w:rsidRDefault="001730DF" w:rsidP="008E6C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1730DF" w:rsidRPr="006529C7" w:rsidSect="003A0B7D">
          <w:headerReference w:type="default" r:id="rId10"/>
          <w:footerReference w:type="default" r:id="rId11"/>
          <w:footerReference w:type="first" r:id="rId12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1D2DBEE" w14:textId="2285F370" w:rsidR="00BD1614" w:rsidRDefault="00216670" w:rsidP="008E6C36">
      <w:pPr>
        <w:pStyle w:val="Annextitle"/>
      </w:pPr>
      <w:r w:rsidRPr="006529C7">
        <w:lastRenderedPageBreak/>
        <w:t>Liste des cosignataires des propositions européennes commun</w:t>
      </w:r>
      <w:bookmarkStart w:id="27" w:name="_GoBack"/>
      <w:bookmarkEnd w:id="27"/>
      <w:r w:rsidRPr="006529C7">
        <w:t>es (ECP)</w:t>
      </w:r>
    </w:p>
    <w:tbl>
      <w:tblPr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DC22DB" w14:paraId="0A4A4C36" w14:textId="77777777" w:rsidTr="001C70D1">
        <w:trPr>
          <w:tblHeader/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2D67390" w14:textId="70453DF1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  <w:r w:rsidRPr="00DC22DB">
              <w:rPr>
                <w:rFonts w:eastAsia="Times" w:cstheme="minorHAnsi"/>
                <w:b/>
                <w:caps/>
                <w:sz w:val="20"/>
                <w:lang w:val="en-US"/>
              </w:rPr>
              <w:t>é</w:t>
            </w:r>
            <w:r w:rsidR="001C70D1">
              <w:rPr>
                <w:rFonts w:eastAsia="Times" w:cstheme="minorHAnsi"/>
                <w:b/>
                <w:sz w:val="20"/>
                <w:lang w:val="en-US"/>
              </w:rPr>
              <w:t>tat</w:t>
            </w:r>
            <w:r>
              <w:rPr>
                <w:rFonts w:eastAsia="Times" w:cstheme="minorHAnsi"/>
                <w:b/>
                <w:sz w:val="20"/>
                <w:lang w:val="en-US"/>
              </w:rPr>
              <w:t xml:space="preserve"> </w:t>
            </w:r>
            <w:r w:rsidRPr="00DC22DB">
              <w:rPr>
                <w:rFonts w:eastAsia="Times" w:cstheme="minorHAnsi"/>
                <w:b/>
                <w:caps/>
                <w:sz w:val="20"/>
                <w:lang w:val="en-US"/>
              </w:rPr>
              <w:t>m</w:t>
            </w:r>
            <w:r>
              <w:rPr>
                <w:rFonts w:eastAsia="Times" w:cstheme="minorHAnsi"/>
                <w:b/>
                <w:sz w:val="20"/>
                <w:lang w:val="en-US"/>
              </w:rPr>
              <w:t>embre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181C21D3" w14:textId="634BF510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N° ECP</w:t>
            </w:r>
          </w:p>
        </w:tc>
      </w:tr>
      <w:tr w:rsidR="00DC22DB" w14:paraId="742AB0BA" w14:textId="77777777" w:rsidTr="001C70D1">
        <w:trPr>
          <w:tblHeader/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A5BB4" w14:textId="77777777" w:rsidR="00DC22DB" w:rsidRDefault="00DC22DB" w:rsidP="001F1337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87CE90D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B055756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6F4603F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81D4135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55B4C85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A9361FC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322C7F4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5DB973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A05A8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BCC5BB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FA599E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4CF59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757632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F4430AE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0C7F37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79526C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5BD33A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C3115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7C2194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20D361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59F4F3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16D769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529569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3AB4D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3756F8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01045E7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8A4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29</w:t>
            </w:r>
          </w:p>
        </w:tc>
      </w:tr>
      <w:tr w:rsidR="00DC22DB" w14:paraId="6C25B79A" w14:textId="77777777" w:rsidTr="001F1337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AD8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2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10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B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2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86C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BA3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6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B3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32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9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C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BB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07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C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80C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342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9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A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0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2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6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5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6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8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8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22DB" w14:paraId="5FA664B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182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C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D80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78B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3A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37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45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AA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91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D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D2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19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8A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AB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24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2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09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83D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3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4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B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A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8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F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7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D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C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22DB" w14:paraId="6F5B7571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72F7F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BCF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C96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ECA9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E4E3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BF9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FB54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7E04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148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8FB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625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A5CB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9E4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BB3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A86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7EDF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02D6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08CB5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1BD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C29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C32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1D6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701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084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B28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A40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8AB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5C9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DC22DB" w14:paraId="012A21BA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B55D7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FBF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DA5A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91F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139" w14:textId="77777777" w:rsidR="00DC22DB" w:rsidRPr="009C1462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C1462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E3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1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363E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BD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83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4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21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C1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3B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C3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64A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54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0BF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4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D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1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7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A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D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C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B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C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7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0F5EB5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5C9F2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3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1B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10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F6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A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F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5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473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0A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45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78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9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8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71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0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0B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658D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4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5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A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15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6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D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0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D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9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E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22DB" w14:paraId="0CD8EB63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51E430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C3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87E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78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592" w14:textId="77777777" w:rsidR="00DC22DB" w:rsidRPr="00B2410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2410B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8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E3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0D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60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122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0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82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D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1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0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A4B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D4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BB8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C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E5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6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D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3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1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B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4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0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18D58D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CADF2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A7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BB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E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1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77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3B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0D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0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0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E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88F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60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B5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55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00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48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0B8C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2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2A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6D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8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0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C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8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C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1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B88BA3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6B768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F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96C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C2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5E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EA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46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69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43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06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D5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B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D3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FA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10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EA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5F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FC3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7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E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0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4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3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63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8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B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7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0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F8D5F3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5D55DA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86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A1B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EE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1F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D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9CD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F5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07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0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FD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84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A4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AB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3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CB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A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E697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6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1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1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7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1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A1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5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67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A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B6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A5CC9B1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8AC169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99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EB3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7E0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5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9C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7C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BD1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7C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1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1E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7D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3E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10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05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7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9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631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F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7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8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A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B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6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82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7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6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8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5CFC4EF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B258B4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D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0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53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5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A4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6E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DE0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0DD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7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E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63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A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6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8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E0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3DE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AB0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F7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02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E3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C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5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A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C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1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E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E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BAA6A43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C2D72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E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5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10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C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CD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D76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5B0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9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1E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37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3C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8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1F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6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1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36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A7A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B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0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8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2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4D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2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F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6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B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4D64F42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B6B81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DB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DA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3C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97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92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33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370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C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0A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6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21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75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71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C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91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1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6C8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7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D4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A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B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FE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BB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5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7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4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C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9AABD00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B904A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1D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28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C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7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7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D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60F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E6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9A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8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3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71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508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B2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D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D70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27C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3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C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B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4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3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8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7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B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AA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2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7ED75D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16E62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7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6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3A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5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A0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95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A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66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D1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1F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49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78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9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3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2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AE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1627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2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9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D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4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8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9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8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B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A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6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5493BB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CEE5A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0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3E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0A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B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3F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C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4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5F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91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1C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94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F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67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30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71A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31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8373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9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B2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D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C4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5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2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CC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2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C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4B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CDAFCD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658D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AC4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53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B3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088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D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A86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80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1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3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80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B8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8C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32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37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6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6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C57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3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8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D2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E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0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4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1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0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3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7D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E8A475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2646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81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8D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C5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83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DE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9E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B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C4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20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14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61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65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A5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67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0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86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406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6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3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7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1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A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8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E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0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69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4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2341790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0463F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7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B4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6E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09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AC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6A4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1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2C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D76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C4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43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DC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4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B0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A3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8A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679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F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5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3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D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4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D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B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8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C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E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285612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CD8A0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2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55F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D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E0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3D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7C9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9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8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2A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3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6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11D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A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6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110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E3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AFA4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0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B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F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C0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A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1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9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6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6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3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4C302C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C93A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F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76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F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B6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1A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03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D7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8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64E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6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9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9B8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2B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85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CE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76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C4E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7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0E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A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0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0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B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5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7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8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9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3C86996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4EEC2D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70A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D5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5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D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0A1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75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BA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9F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E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E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6F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A4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E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D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97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0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EE46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A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12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4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7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77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04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7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1B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BD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5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283A3D6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877CC8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BD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98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6B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43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BA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78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6E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15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C90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BB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784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26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02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B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9A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5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404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72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4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9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AC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5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3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DC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2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5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0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5F576E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0F4E0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0E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3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34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2E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61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EA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CA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E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35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0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42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7E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4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0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A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EC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362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C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F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B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9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9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5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B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1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7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F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DC22DB" w14:paraId="75ED6D8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FFD7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E3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37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E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B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03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9B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F5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D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7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26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5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43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9B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D6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F5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02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004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4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3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7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6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52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87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F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B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5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F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2F0FCAA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900A92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48C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98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BB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DD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2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2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A0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9D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45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25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83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7E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21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CE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8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FF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8FA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2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AF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B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F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1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9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6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1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D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E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9CC41BE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DE35C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9C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6D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5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E4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91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C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55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FE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C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0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36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39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A6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D2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F4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35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302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71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2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E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F6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6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D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9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C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A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2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26DF1E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2FA47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0F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89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1F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FD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A49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1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DC5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1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C7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C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3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DF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C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1D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70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FCA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2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9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4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D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FE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4D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6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ADE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D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F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052F554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E6C301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FC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BB9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6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44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68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E7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B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3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2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E6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D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95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E3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F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8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3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E07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3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3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C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2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2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A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C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0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5C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F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9EA03A1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A69CA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E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5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5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7EB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54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A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35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96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A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3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4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20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81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81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D6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42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48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6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6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F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D1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3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1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B4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E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D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D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4351527E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9A1EB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1E0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6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46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2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4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3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D5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A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3A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D9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80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4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7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C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5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7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9C96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4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9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9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4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7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3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C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E5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0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7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4A93FF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694E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F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BF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69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E2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44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C4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62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2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B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0C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6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1F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B0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E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01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1D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EFF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8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6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F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B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6B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0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9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3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3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C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129B0F88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07BC38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BA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B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E2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78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B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1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7A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8EA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7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EC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F3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B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B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58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F6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A0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3E36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99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8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9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7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A6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3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2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7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0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D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18A0AAF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F9CD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69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E8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B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BB8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E7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18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3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40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3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E6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0D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D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4D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E6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8D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DD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C7FE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0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4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E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A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3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83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8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7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C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0725114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A4B5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lastRenderedPageBreak/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20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01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9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4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78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D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3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E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F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9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42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1D4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AC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15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3C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A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AE2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9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F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9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B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F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D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2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7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8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D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E2A9EF4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1530F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D2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C60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DC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37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0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70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4D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F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A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D1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AF2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09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76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B6C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D2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3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67D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A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F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1F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A9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3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4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43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14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7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DC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4531D464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0C850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E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F6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F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4C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E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3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9B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1D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18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A8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6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77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1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8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13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55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03D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C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B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96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0A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8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3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E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D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99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1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E7B29A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ADC90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2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DE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80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11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93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63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A8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8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31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F57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0D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B9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F5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06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77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1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56F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DE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D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3F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8C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7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A6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F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5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08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6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6B9CEA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9B385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FC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4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363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7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2D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7B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E7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C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AA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5B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A0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7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E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BC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BB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C7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D1E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4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A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0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B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3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6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9D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E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C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0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B3ACAC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39E21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B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CB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0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1F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9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07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5B7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F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FE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53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F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E0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23C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4F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C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0D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B6A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1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F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C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2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E7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5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D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B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B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6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6F780B13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81DBA1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974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5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3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0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2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CE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E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8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3B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934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B2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23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D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EA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0E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89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E0B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A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C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9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4D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D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B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8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74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2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0F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0682402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4DBC3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05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29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A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5E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C86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3B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8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5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BD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B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33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6FE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2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38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4E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24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4C72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5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B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C1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5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3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50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1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B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76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A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7E7A251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E46F5D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0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0D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A8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8A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7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0CD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B9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82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6F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B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17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FA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52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82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70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DE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4C1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E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7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D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0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B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2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6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D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7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F2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06DCFE0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EDE6D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310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DE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98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3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F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B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00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A5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4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A7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C5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16A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51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B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0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4C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601B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4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0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C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8C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3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0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7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9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91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E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232690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A537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F9C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AA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3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F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0E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E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9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08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20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02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3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2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1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76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D7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50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636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D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3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1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97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5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A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3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45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40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2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F897A2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3BAC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B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C4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EA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AE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A9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6E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608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01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4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8E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AE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B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5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7C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B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F1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B9B5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B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3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7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C9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C6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E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D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5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2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0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9F3D1F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6820BE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B27F1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603A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4C2C71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F5D4B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928138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82CC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1DA37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B903F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7E40A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26BF7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2FA27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C64E4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FB592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3B722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B045E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C7773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3DA576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B9241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AA93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FF6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E3290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967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02EC1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2827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20101" w14:textId="77777777" w:rsidR="00DC22DB" w:rsidRPr="0025730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D47C6" w14:textId="77777777" w:rsidR="00DC22DB" w:rsidRPr="0025730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74A8D" w14:textId="77777777" w:rsidR="00DC22DB" w:rsidRPr="0025730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7D8C56A" w14:textId="06E68686" w:rsidR="00DC22DB" w:rsidRDefault="00DC22DB" w:rsidP="00DC22DB"/>
    <w:p w14:paraId="6B8AD217" w14:textId="6BBF44C8" w:rsidR="002D1577" w:rsidRPr="006529C7" w:rsidRDefault="002D1577" w:rsidP="008E6C36">
      <w:pPr>
        <w:spacing w:before="360"/>
        <w:jc w:val="center"/>
      </w:pPr>
      <w:r w:rsidRPr="006529C7">
        <w:t>______________</w:t>
      </w:r>
    </w:p>
    <w:sectPr w:rsidR="002D1577" w:rsidRPr="006529C7" w:rsidSect="001730DF">
      <w:headerReference w:type="default" r:id="rId13"/>
      <w:footerReference w:type="default" r:id="rId14"/>
      <w:headerReference w:type="first" r:id="rId15"/>
      <w:footerReference w:type="first" r:id="rId16"/>
      <w:type w:val="oddPage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6" w:name="_Hlk114146359"/>
  <w:p w14:paraId="01CA37B8" w14:textId="3C503ECE" w:rsidR="00216670" w:rsidRPr="00216670" w:rsidRDefault="00216670" w:rsidP="00216670">
    <w:pPr>
      <w:pStyle w:val="Footer"/>
      <w:rPr>
        <w:lang w:val="en-US"/>
      </w:rPr>
    </w:pPr>
    <w:r>
      <w:fldChar w:fldCharType="begin"/>
    </w:r>
    <w:r w:rsidRPr="00216670">
      <w:rPr>
        <w:lang w:val="en-US"/>
      </w:rPr>
      <w:instrText xml:space="preserve"> FILENAME \p  \* MERGEFORMAT </w:instrText>
    </w:r>
    <w:r>
      <w:fldChar w:fldCharType="separate"/>
    </w:r>
    <w:r w:rsidR="006529C7">
      <w:rPr>
        <w:lang w:val="en-US"/>
      </w:rPr>
      <w:t>P:\FRA\SG\CONF-SG\PP22\000\044REV1F.docx</w:t>
    </w:r>
    <w:r>
      <w:fldChar w:fldCharType="end"/>
    </w:r>
    <w:r w:rsidRPr="00216670">
      <w:rPr>
        <w:lang w:val="en-US"/>
      </w:rPr>
      <w:t xml:space="preserve"> (</w:t>
    </w:r>
    <w:r>
      <w:rPr>
        <w:lang w:val="en-US"/>
      </w:rPr>
      <w:t>5</w:t>
    </w:r>
    <w:r w:rsidR="00171FF0">
      <w:rPr>
        <w:lang w:val="en-US"/>
      </w:rPr>
      <w:t>11364</w:t>
    </w:r>
    <w:r w:rsidRPr="00216670">
      <w:rPr>
        <w:lang w:val="en-US"/>
      </w:rPr>
      <w:t>)</w:t>
    </w:r>
    <w:bookmarkEnd w:id="2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0E860" w14:textId="72DE2E2D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8E6C36" w:rsidRPr="008E6C36">
        <w:rPr>
          <w:rStyle w:val="Hyperlink"/>
          <w:sz w:val="22"/>
          <w:szCs w:val="22"/>
          <w:lang w:val="en-GB"/>
        </w:rPr>
        <w:t>www.itu.int/plenipotentiary/</w:t>
      </w:r>
    </w:hyperlink>
    <w:r w:rsidR="008E6C36" w:rsidRPr="008E6C36">
      <w:rPr>
        <w:color w:val="0000FF"/>
        <w:sz w:val="22"/>
        <w:szCs w:val="22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5210" w14:textId="4E734ECF" w:rsidR="00282663" w:rsidRPr="00216670" w:rsidRDefault="00282663" w:rsidP="00216670">
    <w:pPr>
      <w:pStyle w:val="Footer"/>
      <w:rPr>
        <w:lang w:val="en-US"/>
      </w:rPr>
    </w:pPr>
    <w:r>
      <w:fldChar w:fldCharType="begin"/>
    </w:r>
    <w:r w:rsidRPr="00216670">
      <w:rPr>
        <w:lang w:val="en-US"/>
      </w:rPr>
      <w:instrText xml:space="preserve"> FILENAME \p  \* MERGEFORMAT </w:instrText>
    </w:r>
    <w:r>
      <w:fldChar w:fldCharType="separate"/>
    </w:r>
    <w:r w:rsidR="006529C7">
      <w:rPr>
        <w:lang w:val="en-US"/>
      </w:rPr>
      <w:t>P:\FRA\SG\CONF-SG\PP22\000\044REV1F.docx</w:t>
    </w:r>
    <w:r>
      <w:fldChar w:fldCharType="end"/>
    </w:r>
    <w:r w:rsidRPr="00216670">
      <w:rPr>
        <w:lang w:val="en-US"/>
      </w:rPr>
      <w:t xml:space="preserve"> (</w:t>
    </w:r>
    <w:r>
      <w:rPr>
        <w:lang w:val="en-US"/>
      </w:rPr>
      <w:t>511364</w:t>
    </w:r>
    <w:r w:rsidRPr="00216670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5A31" w14:textId="68E30A8B" w:rsidR="00282663" w:rsidRPr="00282663" w:rsidRDefault="00282663" w:rsidP="00282663">
    <w:pPr>
      <w:pStyle w:val="Footer"/>
    </w:pPr>
    <w:r>
      <w:fldChar w:fldCharType="begin"/>
    </w:r>
    <w:r w:rsidRPr="00216670">
      <w:rPr>
        <w:lang w:val="en-US"/>
      </w:rPr>
      <w:instrText xml:space="preserve"> FILENAME \p  \* MERGEFORMAT </w:instrText>
    </w:r>
    <w:r>
      <w:fldChar w:fldCharType="separate"/>
    </w:r>
    <w:r w:rsidR="006529C7">
      <w:rPr>
        <w:lang w:val="en-US"/>
      </w:rPr>
      <w:t>P:\FRA\SG\CONF-SG\PP22\000\044REV1F.docx</w:t>
    </w:r>
    <w:r>
      <w:fldChar w:fldCharType="end"/>
    </w:r>
    <w:r w:rsidRPr="00216670">
      <w:rPr>
        <w:lang w:val="en-US"/>
      </w:rPr>
      <w:t xml:space="preserve"> (</w:t>
    </w:r>
    <w:r>
      <w:rPr>
        <w:lang w:val="en-US"/>
      </w:rPr>
      <w:t>511364</w:t>
    </w:r>
    <w:r w:rsidRPr="0021667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D6A7" w14:textId="3DC32CF9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FE0">
      <w:rPr>
        <w:noProof/>
      </w:rPr>
      <w:t>2</w:t>
    </w:r>
    <w:r>
      <w:fldChar w:fldCharType="end"/>
    </w:r>
  </w:p>
  <w:p w14:paraId="650D8FD2" w14:textId="1A58178C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216670">
      <w:t>44</w:t>
    </w:r>
    <w:r w:rsidR="008E6C36">
      <w:t>(Rév.1)</w:t>
    </w:r>
    <w:r w:rsidR="00420EF8">
      <w:t>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BB87" w14:textId="7CB3D3CD" w:rsidR="00282663" w:rsidRDefault="00282663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FE0">
      <w:rPr>
        <w:noProof/>
      </w:rPr>
      <w:t>4</w:t>
    </w:r>
    <w:r>
      <w:fldChar w:fldCharType="end"/>
    </w:r>
  </w:p>
  <w:p w14:paraId="5450E995" w14:textId="77777777" w:rsidR="00282663" w:rsidRDefault="00282663" w:rsidP="008A76E4">
    <w:pPr>
      <w:pStyle w:val="Header"/>
      <w:spacing w:after="240"/>
    </w:pPr>
    <w:r>
      <w:t>PP22/44(Rév.1)-F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5D21" w14:textId="29EA2144" w:rsidR="00282663" w:rsidRDefault="00282663" w:rsidP="0028266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FE0">
      <w:rPr>
        <w:noProof/>
      </w:rPr>
      <w:t>3</w:t>
    </w:r>
    <w:r>
      <w:fldChar w:fldCharType="end"/>
    </w:r>
  </w:p>
  <w:p w14:paraId="7E40565B" w14:textId="29ABAAA2" w:rsidR="00282663" w:rsidRDefault="00282663" w:rsidP="00282663">
    <w:pPr>
      <w:pStyle w:val="Header"/>
    </w:pPr>
    <w:r>
      <w:t>PP22/44(Rév.1)-F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22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26F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7C4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028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3EC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E3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C3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AC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88B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C3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33A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71FF0"/>
    <w:rsid w:val="001730DF"/>
    <w:rsid w:val="001941AD"/>
    <w:rsid w:val="0019732C"/>
    <w:rsid w:val="001A0682"/>
    <w:rsid w:val="001B4D8D"/>
    <w:rsid w:val="001C70D1"/>
    <w:rsid w:val="001D31B2"/>
    <w:rsid w:val="001E1B9B"/>
    <w:rsid w:val="001E2226"/>
    <w:rsid w:val="001F6233"/>
    <w:rsid w:val="00216670"/>
    <w:rsid w:val="002355CD"/>
    <w:rsid w:val="002505C4"/>
    <w:rsid w:val="00270B2F"/>
    <w:rsid w:val="00282663"/>
    <w:rsid w:val="002A0E1B"/>
    <w:rsid w:val="002A7A1D"/>
    <w:rsid w:val="002C1059"/>
    <w:rsid w:val="002C2F9C"/>
    <w:rsid w:val="002D1577"/>
    <w:rsid w:val="002D525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3F3AC7"/>
    <w:rsid w:val="00420EF8"/>
    <w:rsid w:val="00430015"/>
    <w:rsid w:val="004678D0"/>
    <w:rsid w:val="00482954"/>
    <w:rsid w:val="004951C0"/>
    <w:rsid w:val="004B3A0B"/>
    <w:rsid w:val="004B7514"/>
    <w:rsid w:val="004C7646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29C7"/>
    <w:rsid w:val="00655B98"/>
    <w:rsid w:val="006710E6"/>
    <w:rsid w:val="00686973"/>
    <w:rsid w:val="00696B2D"/>
    <w:rsid w:val="006A2656"/>
    <w:rsid w:val="006A3475"/>
    <w:rsid w:val="006A4C19"/>
    <w:rsid w:val="006A6342"/>
    <w:rsid w:val="006B6C9C"/>
    <w:rsid w:val="006C7AE3"/>
    <w:rsid w:val="006D55E8"/>
    <w:rsid w:val="006E1921"/>
    <w:rsid w:val="006E42F3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A76E4"/>
    <w:rsid w:val="008B61AF"/>
    <w:rsid w:val="008C33C2"/>
    <w:rsid w:val="008C6137"/>
    <w:rsid w:val="008D7940"/>
    <w:rsid w:val="008E2DB4"/>
    <w:rsid w:val="008E6C36"/>
    <w:rsid w:val="00901DD5"/>
    <w:rsid w:val="0090735B"/>
    <w:rsid w:val="00912D5E"/>
    <w:rsid w:val="00917D44"/>
    <w:rsid w:val="00934340"/>
    <w:rsid w:val="00956DC7"/>
    <w:rsid w:val="00966CD3"/>
    <w:rsid w:val="0097313D"/>
    <w:rsid w:val="00987A20"/>
    <w:rsid w:val="009A0E15"/>
    <w:rsid w:val="009B0F3C"/>
    <w:rsid w:val="009D4037"/>
    <w:rsid w:val="009F0592"/>
    <w:rsid w:val="00A10FE0"/>
    <w:rsid w:val="00A20E72"/>
    <w:rsid w:val="00A246DC"/>
    <w:rsid w:val="00A47BAF"/>
    <w:rsid w:val="00A542D3"/>
    <w:rsid w:val="00A5784F"/>
    <w:rsid w:val="00A8436E"/>
    <w:rsid w:val="00A95B66"/>
    <w:rsid w:val="00AE0667"/>
    <w:rsid w:val="00B345D8"/>
    <w:rsid w:val="00B41E0A"/>
    <w:rsid w:val="00B5191F"/>
    <w:rsid w:val="00B56DE0"/>
    <w:rsid w:val="00B71F12"/>
    <w:rsid w:val="00B76FEC"/>
    <w:rsid w:val="00B96B1E"/>
    <w:rsid w:val="00BB2A6F"/>
    <w:rsid w:val="00BD1614"/>
    <w:rsid w:val="00BD382C"/>
    <w:rsid w:val="00BD5DA6"/>
    <w:rsid w:val="00BF28B1"/>
    <w:rsid w:val="00BF7D25"/>
    <w:rsid w:val="00C010C0"/>
    <w:rsid w:val="00C40CB5"/>
    <w:rsid w:val="00C54CE6"/>
    <w:rsid w:val="00C575E2"/>
    <w:rsid w:val="00C634F6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22D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6710E6"/>
    <w:rPr>
      <w:color w:val="auto"/>
    </w:rPr>
  </w:style>
  <w:style w:type="paragraph" w:customStyle="1" w:styleId="Tablehead0">
    <w:name w:val="Table head"/>
    <w:basedOn w:val="Normal"/>
    <w:uiPriority w:val="99"/>
    <w:rsid w:val="00BF28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Revision">
    <w:name w:val="Revision"/>
    <w:hidden/>
    <w:uiPriority w:val="99"/>
    <w:semiHidden/>
    <w:rsid w:val="00B345D8"/>
    <w:rPr>
      <w:rFonts w:ascii="Calibri" w:hAnsi="Calibri"/>
      <w:sz w:val="24"/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8E6C36"/>
    <w:rPr>
      <w:color w:val="800080" w:themeColor="followedHyperlink"/>
      <w:u w:val="single"/>
    </w:rPr>
  </w:style>
  <w:style w:type="paragraph" w:customStyle="1" w:styleId="SpecialFooter">
    <w:name w:val="Special Footer"/>
    <w:basedOn w:val="Footer"/>
    <w:rsid w:val="00DC22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SimSun" w:hAnsi="Times New Roman"/>
      <w:caps w:val="0"/>
      <w:noProof w:val="0"/>
      <w:lang w:val="en-GB"/>
    </w:rPr>
  </w:style>
  <w:style w:type="paragraph" w:customStyle="1" w:styleId="VolumeTitleS2">
    <w:name w:val="VolumeTitle_S2"/>
    <w:basedOn w:val="VolumeTitle"/>
    <w:next w:val="Normal"/>
    <w:qFormat/>
    <w:rsid w:val="00DC22DB"/>
  </w:style>
  <w:style w:type="paragraph" w:customStyle="1" w:styleId="StyleCommitteeAfter0ptLinespacingsingle">
    <w:name w:val="Style Committee + After:  0 pt Line spacing:  single"/>
    <w:basedOn w:val="Committee"/>
    <w:rsid w:val="00DC22DB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C22DB"/>
    <w:pPr>
      <w:ind w:left="720"/>
      <w:contextualSpacing/>
    </w:pPr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9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F640-303F-4352-8439-3A0BC584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1757</Words>
  <Characters>6372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Royer, Veronique</cp:lastModifiedBy>
  <cp:revision>8</cp:revision>
  <dcterms:created xsi:type="dcterms:W3CDTF">2022-09-21T13:10:00Z</dcterms:created>
  <dcterms:modified xsi:type="dcterms:W3CDTF">2022-09-21T13:51:00Z</dcterms:modified>
  <cp:category>Conference document</cp:category>
</cp:coreProperties>
</file>