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F09D3" w14:paraId="1A06B784" w14:textId="77777777" w:rsidTr="00682B62">
        <w:trPr>
          <w:cantSplit/>
        </w:trPr>
        <w:tc>
          <w:tcPr>
            <w:tcW w:w="6911" w:type="dxa"/>
          </w:tcPr>
          <w:p w14:paraId="689FB160" w14:textId="77777777" w:rsidR="00255FA1" w:rsidRPr="003F09D3" w:rsidRDefault="00255FA1" w:rsidP="009D1BE0">
            <w:pPr>
              <w:rPr>
                <w:b/>
                <w:bCs/>
                <w:szCs w:val="22"/>
                <w:lang w:val="es-ES"/>
              </w:rPr>
            </w:pPr>
            <w:bookmarkStart w:id="0" w:name="dbreak"/>
            <w:bookmarkStart w:id="1" w:name="dpp"/>
            <w:bookmarkEnd w:id="0"/>
            <w:bookmarkEnd w:id="1"/>
            <w:r w:rsidRPr="003F09D3">
              <w:rPr>
                <w:rStyle w:val="PageNumber"/>
                <w:rFonts w:cs="Times"/>
                <w:b/>
                <w:sz w:val="30"/>
                <w:szCs w:val="30"/>
                <w:lang w:val="es-ES"/>
              </w:rPr>
              <w:t>Conferencia de Plenipotenciarios (PP-</w:t>
            </w:r>
            <w:r w:rsidR="009D1BE0" w:rsidRPr="003F09D3">
              <w:rPr>
                <w:rStyle w:val="PageNumber"/>
                <w:rFonts w:cs="Times"/>
                <w:b/>
                <w:sz w:val="30"/>
                <w:szCs w:val="30"/>
                <w:lang w:val="es-ES"/>
              </w:rPr>
              <w:t>22</w:t>
            </w:r>
            <w:r w:rsidRPr="003F09D3">
              <w:rPr>
                <w:rStyle w:val="PageNumber"/>
                <w:rFonts w:cs="Times"/>
                <w:b/>
                <w:sz w:val="30"/>
                <w:szCs w:val="30"/>
                <w:lang w:val="es-ES"/>
              </w:rPr>
              <w:t>)</w:t>
            </w:r>
            <w:r w:rsidRPr="003F09D3">
              <w:rPr>
                <w:rStyle w:val="PageNumber"/>
                <w:rFonts w:cs="Times"/>
                <w:sz w:val="26"/>
                <w:szCs w:val="26"/>
                <w:lang w:val="es-ES"/>
              </w:rPr>
              <w:br/>
            </w:r>
            <w:r w:rsidR="009D1BE0" w:rsidRPr="003F09D3">
              <w:rPr>
                <w:b/>
                <w:bCs/>
                <w:szCs w:val="24"/>
                <w:lang w:val="es-ES"/>
              </w:rPr>
              <w:t>Bucarest</w:t>
            </w:r>
            <w:r w:rsidRPr="003F09D3">
              <w:rPr>
                <w:rStyle w:val="PageNumber"/>
                <w:b/>
                <w:bCs/>
                <w:szCs w:val="24"/>
                <w:lang w:val="es-ES"/>
              </w:rPr>
              <w:t xml:space="preserve">, </w:t>
            </w:r>
            <w:r w:rsidRPr="003F09D3">
              <w:rPr>
                <w:rStyle w:val="PageNumber"/>
                <w:b/>
                <w:szCs w:val="24"/>
                <w:lang w:val="es-ES"/>
              </w:rPr>
              <w:t>2</w:t>
            </w:r>
            <w:r w:rsidR="009D1BE0" w:rsidRPr="003F09D3">
              <w:rPr>
                <w:rStyle w:val="PageNumber"/>
                <w:b/>
                <w:szCs w:val="24"/>
                <w:lang w:val="es-ES"/>
              </w:rPr>
              <w:t>6</w:t>
            </w:r>
            <w:r w:rsidRPr="003F09D3">
              <w:rPr>
                <w:rStyle w:val="PageNumber"/>
                <w:b/>
                <w:szCs w:val="24"/>
                <w:lang w:val="es-ES"/>
              </w:rPr>
              <w:t xml:space="preserve"> de </w:t>
            </w:r>
            <w:r w:rsidR="009D1BE0" w:rsidRPr="003F09D3">
              <w:rPr>
                <w:rStyle w:val="PageNumber"/>
                <w:b/>
                <w:szCs w:val="24"/>
                <w:lang w:val="es-ES"/>
              </w:rPr>
              <w:t>septiembre</w:t>
            </w:r>
            <w:r w:rsidRPr="003F09D3">
              <w:rPr>
                <w:rStyle w:val="PageNumber"/>
                <w:b/>
                <w:szCs w:val="24"/>
                <w:lang w:val="es-ES"/>
              </w:rPr>
              <w:t xml:space="preserve"> </w:t>
            </w:r>
            <w:r w:rsidR="00491A25" w:rsidRPr="003F09D3">
              <w:rPr>
                <w:rStyle w:val="PageNumber"/>
                <w:b/>
                <w:szCs w:val="24"/>
                <w:lang w:val="es-ES"/>
              </w:rPr>
              <w:t>–</w:t>
            </w:r>
            <w:r w:rsidRPr="003F09D3">
              <w:rPr>
                <w:rStyle w:val="PageNumber"/>
                <w:b/>
                <w:szCs w:val="24"/>
                <w:lang w:val="es-ES"/>
              </w:rPr>
              <w:t xml:space="preserve"> </w:t>
            </w:r>
            <w:r w:rsidR="00C43474" w:rsidRPr="003F09D3">
              <w:rPr>
                <w:rStyle w:val="PageNumber"/>
                <w:b/>
                <w:szCs w:val="24"/>
                <w:lang w:val="es-ES"/>
              </w:rPr>
              <w:t>1</w:t>
            </w:r>
            <w:r w:rsidR="009D1BE0" w:rsidRPr="003F09D3">
              <w:rPr>
                <w:rStyle w:val="PageNumber"/>
                <w:b/>
                <w:szCs w:val="24"/>
                <w:lang w:val="es-ES"/>
              </w:rPr>
              <w:t>4</w:t>
            </w:r>
            <w:r w:rsidRPr="003F09D3">
              <w:rPr>
                <w:rStyle w:val="PageNumber"/>
                <w:b/>
                <w:szCs w:val="24"/>
                <w:lang w:val="es-ES"/>
              </w:rPr>
              <w:t xml:space="preserve"> de </w:t>
            </w:r>
            <w:r w:rsidR="009D1BE0" w:rsidRPr="003F09D3">
              <w:rPr>
                <w:rStyle w:val="PageNumber"/>
                <w:b/>
                <w:szCs w:val="24"/>
                <w:lang w:val="es-ES"/>
              </w:rPr>
              <w:t>octubre</w:t>
            </w:r>
            <w:r w:rsidRPr="003F09D3">
              <w:rPr>
                <w:rStyle w:val="PageNumber"/>
                <w:b/>
                <w:szCs w:val="24"/>
                <w:lang w:val="es-ES"/>
              </w:rPr>
              <w:t xml:space="preserve"> de 2</w:t>
            </w:r>
            <w:r w:rsidR="009D1BE0" w:rsidRPr="003F09D3">
              <w:rPr>
                <w:rStyle w:val="PageNumber"/>
                <w:b/>
                <w:szCs w:val="24"/>
                <w:lang w:val="es-ES"/>
              </w:rPr>
              <w:t>022</w:t>
            </w:r>
          </w:p>
        </w:tc>
        <w:tc>
          <w:tcPr>
            <w:tcW w:w="3120" w:type="dxa"/>
          </w:tcPr>
          <w:p w14:paraId="51649075" w14:textId="77777777" w:rsidR="00255FA1" w:rsidRPr="003F09D3" w:rsidRDefault="009D1BE0" w:rsidP="00682B62">
            <w:pPr>
              <w:spacing w:before="0" w:line="240" w:lineRule="atLeast"/>
              <w:rPr>
                <w:rFonts w:cstheme="minorHAnsi"/>
                <w:lang w:val="es-ES"/>
              </w:rPr>
            </w:pPr>
            <w:bookmarkStart w:id="2" w:name="ditulogo"/>
            <w:bookmarkEnd w:id="2"/>
            <w:r w:rsidRPr="003F09D3">
              <w:rPr>
                <w:noProof/>
                <w:lang w:eastAsia="es-ES_tradnl"/>
              </w:rPr>
              <w:drawing>
                <wp:inline distT="0" distB="0" distL="0" distR="0" wp14:anchorId="6C51BBC2" wp14:editId="169CE1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3F09D3" w14:paraId="15BD1550" w14:textId="77777777" w:rsidTr="00682B62">
        <w:trPr>
          <w:cantSplit/>
        </w:trPr>
        <w:tc>
          <w:tcPr>
            <w:tcW w:w="6911" w:type="dxa"/>
            <w:tcBorders>
              <w:bottom w:val="single" w:sz="12" w:space="0" w:color="auto"/>
            </w:tcBorders>
          </w:tcPr>
          <w:p w14:paraId="0EBB02B8" w14:textId="77777777" w:rsidR="00255FA1" w:rsidRPr="003F09D3"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3764166D" w14:textId="77777777" w:rsidR="00255FA1" w:rsidRPr="003F09D3" w:rsidRDefault="00255FA1" w:rsidP="00930E84">
            <w:pPr>
              <w:spacing w:before="0" w:after="48" w:line="240" w:lineRule="atLeast"/>
              <w:rPr>
                <w:rFonts w:cstheme="minorHAnsi"/>
                <w:b/>
                <w:smallCaps/>
                <w:szCs w:val="24"/>
                <w:lang w:val="es-ES"/>
              </w:rPr>
            </w:pPr>
          </w:p>
        </w:tc>
      </w:tr>
      <w:tr w:rsidR="00255FA1" w:rsidRPr="003F09D3" w14:paraId="1BB1BD80" w14:textId="77777777" w:rsidTr="00682B62">
        <w:trPr>
          <w:cantSplit/>
        </w:trPr>
        <w:tc>
          <w:tcPr>
            <w:tcW w:w="6911" w:type="dxa"/>
            <w:tcBorders>
              <w:top w:val="single" w:sz="12" w:space="0" w:color="auto"/>
            </w:tcBorders>
          </w:tcPr>
          <w:p w14:paraId="11E75D01" w14:textId="77777777" w:rsidR="00255FA1" w:rsidRPr="003F09D3"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73E7B904" w14:textId="77777777" w:rsidR="00255FA1" w:rsidRPr="003F09D3" w:rsidRDefault="00255FA1" w:rsidP="004F4BB1">
            <w:pPr>
              <w:spacing w:before="0"/>
              <w:rPr>
                <w:rFonts w:cstheme="minorHAnsi"/>
                <w:szCs w:val="24"/>
                <w:lang w:val="es-ES"/>
              </w:rPr>
            </w:pPr>
          </w:p>
        </w:tc>
      </w:tr>
      <w:tr w:rsidR="00255FA1" w:rsidRPr="003F09D3" w14:paraId="67DA9A3A" w14:textId="77777777" w:rsidTr="00682B62">
        <w:trPr>
          <w:cantSplit/>
        </w:trPr>
        <w:tc>
          <w:tcPr>
            <w:tcW w:w="6911" w:type="dxa"/>
          </w:tcPr>
          <w:p w14:paraId="0CBF9279" w14:textId="77777777" w:rsidR="00255FA1" w:rsidRPr="003F09D3" w:rsidRDefault="00255FA1" w:rsidP="004F4BB1">
            <w:pPr>
              <w:pStyle w:val="Committee"/>
              <w:framePr w:hSpace="0" w:wrap="auto" w:hAnchor="text" w:yAlign="inline"/>
              <w:spacing w:after="0" w:line="240" w:lineRule="auto"/>
              <w:rPr>
                <w:lang w:val="es-ES"/>
              </w:rPr>
            </w:pPr>
            <w:r w:rsidRPr="003F09D3">
              <w:rPr>
                <w:lang w:val="es-ES"/>
              </w:rPr>
              <w:t>SESIÓN PLENARIA</w:t>
            </w:r>
          </w:p>
        </w:tc>
        <w:tc>
          <w:tcPr>
            <w:tcW w:w="3120" w:type="dxa"/>
          </w:tcPr>
          <w:p w14:paraId="2C62DD90" w14:textId="77777777" w:rsidR="00255FA1" w:rsidRPr="003F09D3" w:rsidRDefault="00255FA1" w:rsidP="004F4BB1">
            <w:pPr>
              <w:spacing w:before="0"/>
              <w:rPr>
                <w:rFonts w:cstheme="minorHAnsi"/>
                <w:szCs w:val="24"/>
                <w:lang w:val="es-ES"/>
              </w:rPr>
            </w:pPr>
            <w:proofErr w:type="spellStart"/>
            <w:r w:rsidRPr="003F09D3">
              <w:rPr>
                <w:rFonts w:cstheme="minorHAnsi"/>
                <w:b/>
                <w:szCs w:val="24"/>
                <w:lang w:val="es-ES"/>
              </w:rPr>
              <w:t>Addéndum</w:t>
            </w:r>
            <w:proofErr w:type="spellEnd"/>
            <w:r w:rsidRPr="003F09D3">
              <w:rPr>
                <w:rFonts w:cstheme="minorHAnsi"/>
                <w:b/>
                <w:szCs w:val="24"/>
                <w:lang w:val="es-ES"/>
              </w:rPr>
              <w:t xml:space="preserve"> 24 al</w:t>
            </w:r>
            <w:r w:rsidRPr="003F09D3">
              <w:rPr>
                <w:rFonts w:cstheme="minorHAnsi"/>
                <w:b/>
                <w:szCs w:val="24"/>
                <w:lang w:val="es-ES"/>
              </w:rPr>
              <w:br/>
              <w:t>Documento 44</w:t>
            </w:r>
            <w:r w:rsidR="00262FF4" w:rsidRPr="003F09D3">
              <w:rPr>
                <w:rFonts w:cstheme="minorHAnsi"/>
                <w:b/>
                <w:szCs w:val="24"/>
                <w:lang w:val="es-ES"/>
              </w:rPr>
              <w:t>-S</w:t>
            </w:r>
          </w:p>
        </w:tc>
      </w:tr>
      <w:tr w:rsidR="00255FA1" w:rsidRPr="003F09D3" w14:paraId="0C9D5919" w14:textId="77777777" w:rsidTr="00682B62">
        <w:trPr>
          <w:cantSplit/>
        </w:trPr>
        <w:tc>
          <w:tcPr>
            <w:tcW w:w="6911" w:type="dxa"/>
          </w:tcPr>
          <w:p w14:paraId="485B96C2" w14:textId="77777777" w:rsidR="00255FA1" w:rsidRPr="003F09D3" w:rsidRDefault="00255FA1" w:rsidP="004F4BB1">
            <w:pPr>
              <w:spacing w:before="0"/>
              <w:rPr>
                <w:rFonts w:cstheme="minorHAnsi"/>
                <w:b/>
                <w:szCs w:val="24"/>
                <w:lang w:val="es-ES"/>
              </w:rPr>
            </w:pPr>
          </w:p>
        </w:tc>
        <w:tc>
          <w:tcPr>
            <w:tcW w:w="3120" w:type="dxa"/>
          </w:tcPr>
          <w:p w14:paraId="7CB37BB2" w14:textId="77777777" w:rsidR="00255FA1" w:rsidRPr="003F09D3" w:rsidRDefault="00255FA1" w:rsidP="004F4BB1">
            <w:pPr>
              <w:spacing w:before="0"/>
              <w:rPr>
                <w:rFonts w:cstheme="minorHAnsi"/>
                <w:b/>
                <w:szCs w:val="24"/>
                <w:lang w:val="es-ES"/>
              </w:rPr>
            </w:pPr>
            <w:r w:rsidRPr="003F09D3">
              <w:rPr>
                <w:rFonts w:cstheme="minorHAnsi"/>
                <w:b/>
                <w:szCs w:val="24"/>
                <w:lang w:val="es-ES"/>
              </w:rPr>
              <w:t>9 de agosto de 2022</w:t>
            </w:r>
          </w:p>
        </w:tc>
      </w:tr>
      <w:tr w:rsidR="00255FA1" w:rsidRPr="003F09D3" w14:paraId="0784B338" w14:textId="77777777" w:rsidTr="00682B62">
        <w:trPr>
          <w:cantSplit/>
        </w:trPr>
        <w:tc>
          <w:tcPr>
            <w:tcW w:w="6911" w:type="dxa"/>
          </w:tcPr>
          <w:p w14:paraId="0B6FCA42" w14:textId="77777777" w:rsidR="00255FA1" w:rsidRPr="003F09D3" w:rsidRDefault="00255FA1" w:rsidP="004F4BB1">
            <w:pPr>
              <w:spacing w:before="0"/>
              <w:rPr>
                <w:rFonts w:cstheme="minorHAnsi"/>
                <w:b/>
                <w:smallCaps/>
                <w:szCs w:val="24"/>
                <w:lang w:val="es-ES"/>
              </w:rPr>
            </w:pPr>
          </w:p>
        </w:tc>
        <w:tc>
          <w:tcPr>
            <w:tcW w:w="3120" w:type="dxa"/>
          </w:tcPr>
          <w:p w14:paraId="5AAF05F7" w14:textId="77777777" w:rsidR="00255FA1" w:rsidRPr="003F09D3" w:rsidRDefault="00255FA1" w:rsidP="004F4BB1">
            <w:pPr>
              <w:spacing w:before="0"/>
              <w:rPr>
                <w:rFonts w:cstheme="minorHAnsi"/>
                <w:b/>
                <w:szCs w:val="24"/>
                <w:lang w:val="es-ES"/>
              </w:rPr>
            </w:pPr>
            <w:r w:rsidRPr="003F09D3">
              <w:rPr>
                <w:rFonts w:cstheme="minorHAnsi"/>
                <w:b/>
                <w:szCs w:val="24"/>
                <w:lang w:val="es-ES"/>
              </w:rPr>
              <w:t>Original: inglés</w:t>
            </w:r>
          </w:p>
        </w:tc>
      </w:tr>
      <w:tr w:rsidR="00255FA1" w:rsidRPr="003F09D3" w14:paraId="7FDF0CB9" w14:textId="77777777" w:rsidTr="00682B62">
        <w:trPr>
          <w:cantSplit/>
        </w:trPr>
        <w:tc>
          <w:tcPr>
            <w:tcW w:w="10031" w:type="dxa"/>
            <w:gridSpan w:val="2"/>
          </w:tcPr>
          <w:p w14:paraId="08DC20B2" w14:textId="77777777" w:rsidR="00255FA1" w:rsidRPr="003F09D3" w:rsidRDefault="00255FA1" w:rsidP="00682B62">
            <w:pPr>
              <w:spacing w:before="0" w:line="240" w:lineRule="atLeast"/>
              <w:rPr>
                <w:rFonts w:cstheme="minorHAnsi"/>
                <w:b/>
                <w:szCs w:val="24"/>
                <w:lang w:val="es-ES"/>
              </w:rPr>
            </w:pPr>
          </w:p>
        </w:tc>
      </w:tr>
      <w:tr w:rsidR="00255FA1" w:rsidRPr="003F09D3" w14:paraId="0C17BAED" w14:textId="77777777" w:rsidTr="00682B62">
        <w:trPr>
          <w:cantSplit/>
        </w:trPr>
        <w:tc>
          <w:tcPr>
            <w:tcW w:w="10031" w:type="dxa"/>
            <w:gridSpan w:val="2"/>
          </w:tcPr>
          <w:p w14:paraId="2AF82106" w14:textId="4064C225" w:rsidR="00255FA1" w:rsidRPr="003F09D3" w:rsidRDefault="00255FA1" w:rsidP="00682B62">
            <w:pPr>
              <w:pStyle w:val="Source"/>
              <w:rPr>
                <w:lang w:val="es-ES"/>
              </w:rPr>
            </w:pPr>
            <w:bookmarkStart w:id="4" w:name="dsource" w:colFirst="0" w:colLast="0"/>
            <w:bookmarkEnd w:id="3"/>
            <w:r w:rsidRPr="003F09D3">
              <w:rPr>
                <w:lang w:val="es-ES"/>
              </w:rPr>
              <w:t>Estados Mie</w:t>
            </w:r>
            <w:r w:rsidR="007C4C52">
              <w:rPr>
                <w:lang w:val="es-ES"/>
              </w:rPr>
              <w:t>mbros de la Conferencia Europea</w:t>
            </w:r>
            <w:r w:rsidR="007C4C52">
              <w:rPr>
                <w:lang w:val="es-ES"/>
              </w:rPr>
              <w:br/>
            </w:r>
            <w:r w:rsidRPr="003F09D3">
              <w:rPr>
                <w:lang w:val="es-ES"/>
              </w:rPr>
              <w:t>de Administraciones de Correos y Telecomunicaciones (CEPT)</w:t>
            </w:r>
          </w:p>
        </w:tc>
      </w:tr>
      <w:tr w:rsidR="00255FA1" w:rsidRPr="003F09D3" w14:paraId="6B0C11DC" w14:textId="77777777" w:rsidTr="00682B62">
        <w:trPr>
          <w:cantSplit/>
        </w:trPr>
        <w:tc>
          <w:tcPr>
            <w:tcW w:w="10031" w:type="dxa"/>
            <w:gridSpan w:val="2"/>
          </w:tcPr>
          <w:p w14:paraId="056ABE1D" w14:textId="6760CB29" w:rsidR="00255FA1" w:rsidRPr="003F09D3" w:rsidRDefault="001F582E" w:rsidP="00682B62">
            <w:pPr>
              <w:pStyle w:val="Title1"/>
              <w:rPr>
                <w:lang w:val="es-ES"/>
              </w:rPr>
            </w:pPr>
            <w:bookmarkStart w:id="5" w:name="dtitle1" w:colFirst="0" w:colLast="0"/>
            <w:bookmarkEnd w:id="4"/>
            <w:r w:rsidRPr="003F09D3">
              <w:rPr>
                <w:lang w:val="es-ES"/>
              </w:rPr>
              <w:t>ECP</w:t>
            </w:r>
            <w:r w:rsidR="00255FA1" w:rsidRPr="003F09D3">
              <w:rPr>
                <w:lang w:val="es-ES"/>
              </w:rPr>
              <w:t xml:space="preserve"> 27 </w:t>
            </w:r>
            <w:r w:rsidR="00DD7A7B" w:rsidRPr="003F09D3">
              <w:rPr>
                <w:lang w:val="es-ES"/>
              </w:rPr>
              <w:t>–</w:t>
            </w:r>
            <w:r w:rsidR="00255FA1" w:rsidRPr="003F09D3">
              <w:rPr>
                <w:lang w:val="es-ES"/>
              </w:rPr>
              <w:t xml:space="preserve"> </w:t>
            </w:r>
            <w:r w:rsidR="00DD7A7B" w:rsidRPr="003F09D3">
              <w:rPr>
                <w:lang w:val="es-ES"/>
              </w:rPr>
              <w:t>PROYECTO DE NUEVA RESOLUCIÓN</w:t>
            </w:r>
            <w:r w:rsidR="00255FA1" w:rsidRPr="003F09D3">
              <w:rPr>
                <w:lang w:val="es-ES"/>
              </w:rPr>
              <w:t xml:space="preserve"> [EUR-1]:</w:t>
            </w:r>
          </w:p>
        </w:tc>
      </w:tr>
      <w:tr w:rsidR="00255FA1" w:rsidRPr="003F09D3" w14:paraId="6E4B1472" w14:textId="77777777" w:rsidTr="00682B62">
        <w:trPr>
          <w:cantSplit/>
        </w:trPr>
        <w:tc>
          <w:tcPr>
            <w:tcW w:w="10031" w:type="dxa"/>
            <w:gridSpan w:val="2"/>
          </w:tcPr>
          <w:p w14:paraId="49160F05" w14:textId="0F3F8087" w:rsidR="00255FA1" w:rsidRPr="003F09D3" w:rsidRDefault="00824A04" w:rsidP="00682B62">
            <w:pPr>
              <w:pStyle w:val="Title2"/>
              <w:rPr>
                <w:lang w:val="es-ES"/>
              </w:rPr>
            </w:pPr>
            <w:bookmarkStart w:id="6" w:name="dtitle2" w:colFirst="0" w:colLast="0"/>
            <w:bookmarkEnd w:id="5"/>
            <w:r w:rsidRPr="003F09D3">
              <w:rPr>
                <w:lang w:val="es-ES"/>
              </w:rPr>
              <w:t>FOMENTO DE</w:t>
            </w:r>
            <w:r w:rsidR="00DD7A7B" w:rsidRPr="003F09D3">
              <w:rPr>
                <w:lang w:val="es-ES"/>
              </w:rPr>
              <w:t xml:space="preserve"> LA PARTICIPACIÓN DE LA INDUSTRIA EN L</w:t>
            </w:r>
            <w:r w:rsidRPr="003F09D3">
              <w:rPr>
                <w:lang w:val="es-ES"/>
              </w:rPr>
              <w:t xml:space="preserve">OS TRABAJOS </w:t>
            </w:r>
            <w:r w:rsidR="00DD7A7B" w:rsidRPr="003F09D3">
              <w:rPr>
                <w:lang w:val="es-ES"/>
              </w:rPr>
              <w:t xml:space="preserve">DE LA </w:t>
            </w:r>
            <w:r w:rsidRPr="003F09D3">
              <w:rPr>
                <w:lang w:val="es-ES"/>
              </w:rPr>
              <w:t>UNIÓN</w:t>
            </w:r>
          </w:p>
        </w:tc>
      </w:tr>
      <w:tr w:rsidR="00255FA1" w:rsidRPr="003F09D3" w14:paraId="5D0C898F" w14:textId="77777777" w:rsidTr="00682B62">
        <w:trPr>
          <w:cantSplit/>
        </w:trPr>
        <w:tc>
          <w:tcPr>
            <w:tcW w:w="10031" w:type="dxa"/>
            <w:gridSpan w:val="2"/>
          </w:tcPr>
          <w:p w14:paraId="515C4D41" w14:textId="77777777" w:rsidR="00255FA1" w:rsidRPr="003F09D3" w:rsidRDefault="00255FA1" w:rsidP="00682B62">
            <w:pPr>
              <w:pStyle w:val="Agendaitem"/>
              <w:rPr>
                <w:lang w:val="es-ES"/>
              </w:rPr>
            </w:pPr>
            <w:bookmarkStart w:id="7" w:name="dtitle3" w:colFirst="0" w:colLast="0"/>
            <w:bookmarkEnd w:id="6"/>
          </w:p>
        </w:tc>
      </w:tr>
      <w:bookmarkEnd w:id="7"/>
    </w:tbl>
    <w:p w14:paraId="45060FB6" w14:textId="77777777" w:rsidR="00504FD4" w:rsidRPr="003F09D3" w:rsidRDefault="00504FD4" w:rsidP="00930E84">
      <w:pPr>
        <w:rPr>
          <w:lang w:val="es-ES"/>
        </w:rPr>
      </w:pPr>
    </w:p>
    <w:p w14:paraId="14958E04" w14:textId="77777777" w:rsidR="00255FA1" w:rsidRPr="003F09D3"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3F09D3">
        <w:rPr>
          <w:rStyle w:val="PageNumber"/>
          <w:lang w:val="es-ES"/>
        </w:rPr>
        <w:br w:type="page"/>
      </w:r>
    </w:p>
    <w:p w14:paraId="4875DB36" w14:textId="77777777" w:rsidR="004666D4" w:rsidRPr="003F09D3" w:rsidRDefault="00A07E34">
      <w:pPr>
        <w:pStyle w:val="Proposal"/>
        <w:rPr>
          <w:lang w:val="es-ES"/>
        </w:rPr>
      </w:pPr>
      <w:r w:rsidRPr="003F09D3">
        <w:rPr>
          <w:lang w:val="es-ES"/>
        </w:rPr>
        <w:lastRenderedPageBreak/>
        <w:t>ADD</w:t>
      </w:r>
      <w:r w:rsidRPr="003F09D3">
        <w:rPr>
          <w:lang w:val="es-ES"/>
        </w:rPr>
        <w:tab/>
        <w:t>EUR/44A24/1</w:t>
      </w:r>
    </w:p>
    <w:p w14:paraId="6C678373" w14:textId="2F2560B9" w:rsidR="004666D4" w:rsidRPr="003F09D3" w:rsidRDefault="00A07E34">
      <w:pPr>
        <w:pStyle w:val="ResNo"/>
        <w:rPr>
          <w:lang w:val="es-ES"/>
        </w:rPr>
      </w:pPr>
      <w:r w:rsidRPr="003F09D3">
        <w:rPr>
          <w:lang w:val="es-ES"/>
        </w:rPr>
        <w:t>Proyecto de nueva Resolución [EUR-</w:t>
      </w:r>
      <w:r w:rsidR="00DD7A7B" w:rsidRPr="003F09D3">
        <w:rPr>
          <w:lang w:val="es-ES"/>
        </w:rPr>
        <w:t>1</w:t>
      </w:r>
      <w:r w:rsidRPr="003F09D3">
        <w:rPr>
          <w:lang w:val="es-ES"/>
        </w:rPr>
        <w:t>]</w:t>
      </w:r>
    </w:p>
    <w:p w14:paraId="5A2AD500" w14:textId="609FF0DA" w:rsidR="004666D4" w:rsidRPr="003F09D3" w:rsidRDefault="00E75B30">
      <w:pPr>
        <w:pStyle w:val="Restitle"/>
        <w:rPr>
          <w:lang w:val="es-ES"/>
        </w:rPr>
      </w:pPr>
      <w:r w:rsidRPr="003F09D3">
        <w:rPr>
          <w:lang w:val="es-ES"/>
        </w:rPr>
        <w:t>Fomento de</w:t>
      </w:r>
      <w:r w:rsidR="00033ECC" w:rsidRPr="003F09D3">
        <w:rPr>
          <w:lang w:val="es-ES"/>
        </w:rPr>
        <w:t xml:space="preserve"> la participación de la industria en </w:t>
      </w:r>
      <w:r w:rsidR="00824A04" w:rsidRPr="003F09D3">
        <w:rPr>
          <w:lang w:val="es-ES"/>
        </w:rPr>
        <w:t>los trabajos</w:t>
      </w:r>
      <w:r w:rsidR="00033ECC" w:rsidRPr="003F09D3">
        <w:rPr>
          <w:lang w:val="es-ES"/>
        </w:rPr>
        <w:t xml:space="preserve"> de la </w:t>
      </w:r>
      <w:r w:rsidR="00BF1C04" w:rsidRPr="003F09D3">
        <w:rPr>
          <w:lang w:val="es-ES"/>
        </w:rPr>
        <w:t>Unión</w:t>
      </w:r>
    </w:p>
    <w:p w14:paraId="39F7A572" w14:textId="43E4E306" w:rsidR="008019F3" w:rsidRPr="003F09D3" w:rsidRDefault="00E75B30" w:rsidP="008019F3">
      <w:pPr>
        <w:pStyle w:val="Normalaftertitle"/>
        <w:rPr>
          <w:rFonts w:asciiTheme="minorHAnsi" w:hAnsiTheme="minorHAnsi" w:cstheme="minorHAnsi"/>
          <w:szCs w:val="24"/>
          <w:lang w:val="es-ES" w:eastAsia="en-GB"/>
        </w:rPr>
      </w:pPr>
      <w:r w:rsidRPr="003F09D3">
        <w:rPr>
          <w:lang w:val="es-ES" w:eastAsia="en-GB"/>
        </w:rPr>
        <w:t>La Conferencia de Plenipotenciarios de la Unión Internacional d</w:t>
      </w:r>
      <w:r w:rsidR="00EA070D">
        <w:rPr>
          <w:lang w:val="es-ES" w:eastAsia="en-GB"/>
        </w:rPr>
        <w:t>e Telecomunicaciones (Bucarest, </w:t>
      </w:r>
      <w:r w:rsidRPr="003F09D3">
        <w:rPr>
          <w:lang w:val="es-ES" w:eastAsia="en-GB"/>
        </w:rPr>
        <w:t>2022),</w:t>
      </w:r>
    </w:p>
    <w:p w14:paraId="6C92CB7F" w14:textId="64B8F203" w:rsidR="008019F3" w:rsidRPr="003F09D3" w:rsidRDefault="008019F3" w:rsidP="008019F3">
      <w:pPr>
        <w:pStyle w:val="Call"/>
        <w:rPr>
          <w:lang w:val="es-ES" w:eastAsia="en-GB"/>
        </w:rPr>
      </w:pPr>
      <w:r w:rsidRPr="003F09D3">
        <w:rPr>
          <w:lang w:val="es-ES" w:eastAsia="en-GB"/>
        </w:rPr>
        <w:t>r</w:t>
      </w:r>
      <w:r w:rsidR="00E75B30" w:rsidRPr="003F09D3">
        <w:rPr>
          <w:lang w:val="es-ES" w:eastAsia="en-GB"/>
        </w:rPr>
        <w:t>ecordando</w:t>
      </w:r>
    </w:p>
    <w:p w14:paraId="5695B31B" w14:textId="50C483D1" w:rsidR="008019F3" w:rsidRPr="003F09D3" w:rsidRDefault="008019F3" w:rsidP="008019F3">
      <w:pPr>
        <w:pStyle w:val="Normalaftertitle"/>
        <w:rPr>
          <w:lang w:val="es-ES"/>
        </w:rPr>
      </w:pPr>
      <w:r w:rsidRPr="003F09D3">
        <w:rPr>
          <w:i/>
          <w:iCs/>
          <w:lang w:val="es-ES"/>
        </w:rPr>
        <w:t>a)</w:t>
      </w:r>
      <w:r w:rsidRPr="003F09D3">
        <w:rPr>
          <w:lang w:val="es-ES"/>
        </w:rPr>
        <w:tab/>
      </w:r>
      <w:r w:rsidR="00E75B30" w:rsidRPr="003F09D3">
        <w:rPr>
          <w:lang w:val="es-ES"/>
        </w:rPr>
        <w:t xml:space="preserve">el Artículo 1 de la Constitución de la UIT </w:t>
      </w:r>
      <w:r w:rsidR="00603995" w:rsidRPr="003F09D3">
        <w:rPr>
          <w:lang w:val="es-ES"/>
        </w:rPr>
        <w:t>sobre el</w:t>
      </w:r>
      <w:r w:rsidR="00E75B30" w:rsidRPr="003F09D3">
        <w:rPr>
          <w:lang w:val="es-ES"/>
        </w:rPr>
        <w:t xml:space="preserve"> </w:t>
      </w:r>
      <w:r w:rsidR="00E60AE6" w:rsidRPr="003F09D3">
        <w:rPr>
          <w:lang w:val="es-ES"/>
        </w:rPr>
        <w:t>"</w:t>
      </w:r>
      <w:r w:rsidR="00E75B30" w:rsidRPr="003F09D3">
        <w:rPr>
          <w:lang w:val="es-ES"/>
        </w:rPr>
        <w:t>Objeto de la Unión</w:t>
      </w:r>
      <w:r w:rsidR="00E60AE6" w:rsidRPr="003F09D3">
        <w:rPr>
          <w:lang w:val="es-ES"/>
        </w:rPr>
        <w:t>"</w:t>
      </w:r>
      <w:r w:rsidR="00676A16" w:rsidRPr="003F09D3">
        <w:rPr>
          <w:lang w:val="es-ES"/>
        </w:rPr>
        <w:t>,</w:t>
      </w:r>
      <w:r w:rsidR="00603995" w:rsidRPr="003F09D3">
        <w:rPr>
          <w:lang w:val="es-ES"/>
        </w:rPr>
        <w:t xml:space="preserve"> en el que se establece que la Unión tendrá por objeto </w:t>
      </w:r>
      <w:r w:rsidR="00E60AE6" w:rsidRPr="003F09D3">
        <w:rPr>
          <w:lang w:val="es-ES"/>
        </w:rPr>
        <w:t>"</w:t>
      </w:r>
      <w:r w:rsidR="00603995" w:rsidRPr="003F09D3">
        <w:rPr>
          <w:lang w:val="es-ES"/>
        </w:rPr>
        <w:t>alentar y mejorar la participación de entidades y organizaciones en las actividades de la Unión y favorecer la cooperación fructífera y la asociación entre ellas y los Estados Miembros para la consecución de los fines de la Unión</w:t>
      </w:r>
      <w:r w:rsidR="00E60AE6" w:rsidRPr="003F09D3">
        <w:rPr>
          <w:lang w:val="es-ES"/>
        </w:rPr>
        <w:t>"</w:t>
      </w:r>
      <w:r w:rsidRPr="003F09D3">
        <w:rPr>
          <w:lang w:val="es-ES"/>
        </w:rPr>
        <w:t>;</w:t>
      </w:r>
    </w:p>
    <w:p w14:paraId="48050945" w14:textId="2F788740" w:rsidR="008019F3" w:rsidRPr="003F09D3" w:rsidRDefault="008019F3" w:rsidP="008019F3">
      <w:pPr>
        <w:rPr>
          <w:lang w:val="es-ES"/>
        </w:rPr>
      </w:pPr>
      <w:r w:rsidRPr="003F09D3">
        <w:rPr>
          <w:i/>
          <w:iCs/>
          <w:lang w:val="es-ES"/>
        </w:rPr>
        <w:t>b)</w:t>
      </w:r>
      <w:r w:rsidRPr="003F09D3">
        <w:rPr>
          <w:lang w:val="es-ES"/>
        </w:rPr>
        <w:tab/>
      </w:r>
      <w:r w:rsidR="00603995" w:rsidRPr="003F09D3">
        <w:rPr>
          <w:lang w:val="es-ES"/>
        </w:rPr>
        <w:t xml:space="preserve">el </w:t>
      </w:r>
      <w:r w:rsidRPr="003F09D3">
        <w:rPr>
          <w:lang w:val="es-ES"/>
        </w:rPr>
        <w:t>Art</w:t>
      </w:r>
      <w:r w:rsidR="00603995" w:rsidRPr="003F09D3">
        <w:rPr>
          <w:lang w:val="es-ES"/>
        </w:rPr>
        <w:t xml:space="preserve">ículo </w:t>
      </w:r>
      <w:r w:rsidRPr="003F09D3">
        <w:rPr>
          <w:lang w:val="es-ES"/>
        </w:rPr>
        <w:t>3</w:t>
      </w:r>
      <w:r w:rsidR="00603995" w:rsidRPr="003F09D3">
        <w:rPr>
          <w:lang w:val="es-ES"/>
        </w:rPr>
        <w:t xml:space="preserve"> de la Constitución de la UIT sobre</w:t>
      </w:r>
      <w:r w:rsidR="00676A16" w:rsidRPr="003F09D3">
        <w:rPr>
          <w:lang w:val="es-ES"/>
        </w:rPr>
        <w:t xml:space="preserve"> los</w:t>
      </w:r>
      <w:r w:rsidR="00603995" w:rsidRPr="003F09D3">
        <w:rPr>
          <w:lang w:val="es-ES"/>
        </w:rPr>
        <w:t xml:space="preserve"> </w:t>
      </w:r>
      <w:r w:rsidR="00E60AE6" w:rsidRPr="003F09D3">
        <w:rPr>
          <w:lang w:val="es-ES"/>
        </w:rPr>
        <w:t>"</w:t>
      </w:r>
      <w:r w:rsidR="00603995" w:rsidRPr="003F09D3">
        <w:rPr>
          <w:lang w:val="es-ES"/>
        </w:rPr>
        <w:t>Derechos y obligaciones de los Estados Miemb</w:t>
      </w:r>
      <w:r w:rsidR="0065472B" w:rsidRPr="003F09D3">
        <w:rPr>
          <w:lang w:val="es-ES"/>
        </w:rPr>
        <w:t>r</w:t>
      </w:r>
      <w:r w:rsidR="00603995" w:rsidRPr="003F09D3">
        <w:rPr>
          <w:lang w:val="es-ES"/>
        </w:rPr>
        <w:t>os y Miembros de los Sectores</w:t>
      </w:r>
      <w:r w:rsidR="00E60AE6" w:rsidRPr="003F09D3">
        <w:rPr>
          <w:lang w:val="es-ES"/>
        </w:rPr>
        <w:t>"</w:t>
      </w:r>
      <w:r w:rsidR="00603995" w:rsidRPr="003F09D3">
        <w:rPr>
          <w:lang w:val="es-ES"/>
        </w:rPr>
        <w:t xml:space="preserve">, en cuyo número 28A se </w:t>
      </w:r>
      <w:r w:rsidR="00676A16" w:rsidRPr="003F09D3">
        <w:rPr>
          <w:lang w:val="es-ES"/>
        </w:rPr>
        <w:t>dispone</w:t>
      </w:r>
      <w:r w:rsidR="00603995" w:rsidRPr="003F09D3">
        <w:rPr>
          <w:lang w:val="es-ES"/>
        </w:rPr>
        <w:t xml:space="preserve"> que </w:t>
      </w:r>
      <w:r w:rsidR="00E60AE6" w:rsidRPr="003F09D3">
        <w:rPr>
          <w:lang w:val="es-ES"/>
        </w:rPr>
        <w:t>"</w:t>
      </w:r>
      <w:r w:rsidR="00603995" w:rsidRPr="003F09D3">
        <w:rPr>
          <w:lang w:val="es-ES"/>
        </w:rPr>
        <w:t>[…] los Miembros de los Sectores tendrán […] derecho a participar plenamente en las actividades del Sector de que sean miembros</w:t>
      </w:r>
      <w:r w:rsidR="00E60AE6" w:rsidRPr="003F09D3">
        <w:rPr>
          <w:lang w:val="es-ES"/>
        </w:rPr>
        <w:t>"</w:t>
      </w:r>
      <w:r w:rsidRPr="003F09D3">
        <w:rPr>
          <w:lang w:val="es-ES"/>
        </w:rPr>
        <w:t>;</w:t>
      </w:r>
    </w:p>
    <w:p w14:paraId="04417C94" w14:textId="219D377B" w:rsidR="008019F3" w:rsidRPr="003F09D3" w:rsidRDefault="008019F3" w:rsidP="008019F3">
      <w:pPr>
        <w:rPr>
          <w:lang w:val="es-ES"/>
        </w:rPr>
      </w:pPr>
      <w:r w:rsidRPr="003F09D3">
        <w:rPr>
          <w:i/>
          <w:iCs/>
          <w:lang w:val="es-ES"/>
        </w:rPr>
        <w:t>c)</w:t>
      </w:r>
      <w:r w:rsidRPr="003F09D3">
        <w:rPr>
          <w:lang w:val="es-ES"/>
        </w:rPr>
        <w:tab/>
      </w:r>
      <w:r w:rsidR="00066F75" w:rsidRPr="003F09D3">
        <w:rPr>
          <w:lang w:val="es-ES"/>
        </w:rPr>
        <w:t>el Artículo 21, párrafo 2 f) (</w:t>
      </w:r>
      <w:r w:rsidR="00F10E36" w:rsidRPr="003F09D3">
        <w:rPr>
          <w:lang w:val="es-ES"/>
        </w:rPr>
        <w:t>c</w:t>
      </w:r>
      <w:r w:rsidR="00066F75" w:rsidRPr="003F09D3">
        <w:rPr>
          <w:lang w:val="es-ES"/>
        </w:rPr>
        <w:t xml:space="preserve">láusula número 126), de la Constitución de la UIT, en virtud del cual </w:t>
      </w:r>
      <w:r w:rsidR="008E36D9" w:rsidRPr="003F09D3">
        <w:rPr>
          <w:lang w:val="es-ES"/>
        </w:rPr>
        <w:t xml:space="preserve">el </w:t>
      </w:r>
      <w:r w:rsidR="00E60AE6" w:rsidRPr="003F09D3">
        <w:rPr>
          <w:lang w:val="es-ES"/>
        </w:rPr>
        <w:t>"</w:t>
      </w:r>
      <w:r w:rsidR="008E36D9" w:rsidRPr="003F09D3">
        <w:rPr>
          <w:lang w:val="es-ES"/>
        </w:rPr>
        <w:t>Sector de Desarrollo de las Telecomunicaciones tendrá las funciones</w:t>
      </w:r>
      <w:r w:rsidR="00E60AE6" w:rsidRPr="003F09D3">
        <w:rPr>
          <w:lang w:val="es-ES"/>
        </w:rPr>
        <w:t>"</w:t>
      </w:r>
      <w:r w:rsidR="008E36D9" w:rsidRPr="003F09D3">
        <w:rPr>
          <w:lang w:val="es-ES"/>
        </w:rPr>
        <w:t>, entre otras, de</w:t>
      </w:r>
      <w:r w:rsidR="0065472B" w:rsidRPr="003F09D3">
        <w:rPr>
          <w:lang w:val="es-ES"/>
        </w:rPr>
        <w:t xml:space="preserve"> </w:t>
      </w:r>
      <w:r w:rsidR="00E60AE6" w:rsidRPr="003F09D3">
        <w:rPr>
          <w:lang w:val="es-ES"/>
        </w:rPr>
        <w:t>"</w:t>
      </w:r>
      <w:r w:rsidR="0065472B" w:rsidRPr="003F09D3">
        <w:rPr>
          <w:lang w:val="es-ES"/>
        </w:rPr>
        <w:t>alentar la participación de la industria en el desarrollo de las telecomunicaciones</w:t>
      </w:r>
      <w:r w:rsidR="007C4C52">
        <w:rPr>
          <w:lang w:val="es-ES"/>
        </w:rPr>
        <w:t xml:space="preserve"> en los países en desarrollo</w:t>
      </w:r>
      <w:r w:rsidR="00E60AE6" w:rsidRPr="003F09D3">
        <w:rPr>
          <w:lang w:val="es-ES"/>
        </w:rPr>
        <w:t>"</w:t>
      </w:r>
      <w:r w:rsidRPr="003F09D3">
        <w:rPr>
          <w:lang w:val="es-ES"/>
        </w:rPr>
        <w:t>;</w:t>
      </w:r>
    </w:p>
    <w:p w14:paraId="5F54EB71" w14:textId="31778586" w:rsidR="008019F3" w:rsidRPr="003F09D3" w:rsidRDefault="008019F3" w:rsidP="00466A34">
      <w:pPr>
        <w:rPr>
          <w:lang w:val="es-ES"/>
        </w:rPr>
      </w:pPr>
      <w:r w:rsidRPr="003F09D3">
        <w:rPr>
          <w:i/>
          <w:iCs/>
          <w:lang w:val="es-ES"/>
        </w:rPr>
        <w:t>d)</w:t>
      </w:r>
      <w:r w:rsidRPr="003F09D3">
        <w:rPr>
          <w:lang w:val="es-ES"/>
        </w:rPr>
        <w:tab/>
      </w:r>
      <w:r w:rsidR="0065472B" w:rsidRPr="003F09D3">
        <w:rPr>
          <w:lang w:val="es-ES"/>
        </w:rPr>
        <w:t xml:space="preserve">el Artículo 19 de las Actas Finales de la Conferencia de Plenipotenciarios </w:t>
      </w:r>
      <w:r w:rsidR="00FF6CF8" w:rsidRPr="003F09D3">
        <w:rPr>
          <w:lang w:val="es-ES"/>
        </w:rPr>
        <w:t>(</w:t>
      </w:r>
      <w:r w:rsidR="0065472B" w:rsidRPr="003F09D3">
        <w:rPr>
          <w:lang w:val="es-ES"/>
        </w:rPr>
        <w:t>Antalya, 2006</w:t>
      </w:r>
      <w:r w:rsidR="00FF6CF8" w:rsidRPr="003F09D3">
        <w:rPr>
          <w:lang w:val="es-ES"/>
        </w:rPr>
        <w:t>)</w:t>
      </w:r>
      <w:r w:rsidR="0065472B" w:rsidRPr="003F09D3">
        <w:rPr>
          <w:lang w:val="es-ES"/>
        </w:rPr>
        <w:t xml:space="preserve">, </w:t>
      </w:r>
      <w:r w:rsidR="00466A34" w:rsidRPr="003F09D3">
        <w:rPr>
          <w:lang w:val="es-ES"/>
        </w:rPr>
        <w:t xml:space="preserve">relativo a la </w:t>
      </w:r>
      <w:r w:rsidR="00E60AE6" w:rsidRPr="003F09D3">
        <w:rPr>
          <w:lang w:val="es-ES"/>
        </w:rPr>
        <w:t>"</w:t>
      </w:r>
      <w:r w:rsidR="00466A34" w:rsidRPr="003F09D3">
        <w:rPr>
          <w:lang w:val="es-ES"/>
        </w:rPr>
        <w:t>Participación de entidades y organizaciones distintas de las administraciones en las actividades de la Unión</w:t>
      </w:r>
      <w:r w:rsidR="00E60AE6" w:rsidRPr="003F09D3">
        <w:rPr>
          <w:lang w:val="es-ES"/>
        </w:rPr>
        <w:t>"</w:t>
      </w:r>
      <w:r w:rsidRPr="003F09D3">
        <w:rPr>
          <w:lang w:val="es-ES"/>
        </w:rPr>
        <w:t>;</w:t>
      </w:r>
    </w:p>
    <w:p w14:paraId="57D9384C" w14:textId="500C4260" w:rsidR="008019F3" w:rsidRPr="003F09D3" w:rsidRDefault="008019F3" w:rsidP="00FF6CF8">
      <w:pPr>
        <w:rPr>
          <w:lang w:val="es-ES"/>
        </w:rPr>
      </w:pPr>
      <w:r w:rsidRPr="003F09D3">
        <w:rPr>
          <w:i/>
          <w:iCs/>
          <w:lang w:val="es-ES"/>
        </w:rPr>
        <w:t>e)</w:t>
      </w:r>
      <w:r w:rsidRPr="003F09D3">
        <w:rPr>
          <w:lang w:val="es-ES"/>
        </w:rPr>
        <w:tab/>
      </w:r>
      <w:bookmarkStart w:id="8" w:name="_Hlk112935930"/>
      <w:r w:rsidR="00BF6F04" w:rsidRPr="003F09D3">
        <w:rPr>
          <w:lang w:val="es-ES"/>
        </w:rPr>
        <w:t>l</w:t>
      </w:r>
      <w:r w:rsidR="00FF6CF8" w:rsidRPr="003F09D3">
        <w:rPr>
          <w:lang w:val="es-ES"/>
        </w:rPr>
        <w:t xml:space="preserve">a </w:t>
      </w:r>
      <w:r w:rsidRPr="003F09D3">
        <w:rPr>
          <w:lang w:val="es-ES"/>
        </w:rPr>
        <w:t>Resolu</w:t>
      </w:r>
      <w:r w:rsidR="00FF6CF8" w:rsidRPr="003F09D3">
        <w:rPr>
          <w:lang w:val="es-ES"/>
        </w:rPr>
        <w:t>ción</w:t>
      </w:r>
      <w:r w:rsidRPr="003F09D3">
        <w:rPr>
          <w:lang w:val="es-ES"/>
        </w:rPr>
        <w:t xml:space="preserve"> 14 (Rev. Antalya, 2006)</w:t>
      </w:r>
      <w:r w:rsidR="00FF6CF8" w:rsidRPr="003F09D3">
        <w:rPr>
          <w:lang w:val="es-ES"/>
        </w:rPr>
        <w:t xml:space="preserve">, Reconocimiento de los derechos y obligaciones de todos los Miembros de Sector de la Unión, de la Conferencia de Plenipotenciarios, en la que se </w:t>
      </w:r>
      <w:r w:rsidR="00ED78E4" w:rsidRPr="003F09D3">
        <w:rPr>
          <w:lang w:val="es-ES"/>
        </w:rPr>
        <w:t>brinda</w:t>
      </w:r>
      <w:r w:rsidR="00FF6CF8" w:rsidRPr="003F09D3">
        <w:rPr>
          <w:lang w:val="es-ES"/>
        </w:rPr>
        <w:t xml:space="preserve"> información adicional sobre los derechos y obligaciones de los Miembros de Sector</w:t>
      </w:r>
      <w:r w:rsidR="00ED78E4" w:rsidRPr="003F09D3">
        <w:rPr>
          <w:lang w:val="es-ES"/>
        </w:rPr>
        <w:t xml:space="preserve">, </w:t>
      </w:r>
      <w:r w:rsidR="00BF6F04" w:rsidRPr="003F09D3">
        <w:rPr>
          <w:lang w:val="es-ES"/>
        </w:rPr>
        <w:t>señalado</w:t>
      </w:r>
      <w:r w:rsidR="008E36D9" w:rsidRPr="003F09D3">
        <w:rPr>
          <w:lang w:val="es-ES"/>
        </w:rPr>
        <w:t xml:space="preserve"> </w:t>
      </w:r>
      <w:r w:rsidR="00ED78E4" w:rsidRPr="003F09D3">
        <w:rPr>
          <w:lang w:val="es-ES"/>
        </w:rPr>
        <w:t xml:space="preserve">que estas entidades </w:t>
      </w:r>
      <w:r w:rsidR="00E60AE6" w:rsidRPr="003F09D3">
        <w:rPr>
          <w:lang w:val="es-ES"/>
        </w:rPr>
        <w:t>"</w:t>
      </w:r>
      <w:r w:rsidR="00ED78E4" w:rsidRPr="003F09D3">
        <w:rPr>
          <w:lang w:val="es-ES"/>
        </w:rPr>
        <w:t xml:space="preserve">pueden participar en todas las actividades del Sector en cuestión, con excepción de las votaciones formales y de algunas conferencias </w:t>
      </w:r>
      <w:r w:rsidR="007C4C52">
        <w:rPr>
          <w:lang w:val="es-ES"/>
        </w:rPr>
        <w:t>en que se concluyen tratados</w:t>
      </w:r>
      <w:r w:rsidR="00E60AE6" w:rsidRPr="003F09D3">
        <w:rPr>
          <w:lang w:val="es-ES"/>
        </w:rPr>
        <w:t>"</w:t>
      </w:r>
      <w:bookmarkEnd w:id="8"/>
      <w:r w:rsidRPr="003F09D3">
        <w:rPr>
          <w:lang w:val="es-ES"/>
        </w:rPr>
        <w:t>;</w:t>
      </w:r>
    </w:p>
    <w:p w14:paraId="4351AB2D" w14:textId="427F32B9" w:rsidR="008019F3" w:rsidRPr="003F09D3" w:rsidRDefault="008019F3" w:rsidP="00BF6F04">
      <w:pPr>
        <w:rPr>
          <w:lang w:val="es-ES"/>
        </w:rPr>
      </w:pPr>
      <w:r w:rsidRPr="003F09D3">
        <w:rPr>
          <w:i/>
          <w:iCs/>
          <w:lang w:val="es-ES"/>
        </w:rPr>
        <w:t>f)</w:t>
      </w:r>
      <w:r w:rsidRPr="003F09D3">
        <w:rPr>
          <w:lang w:val="es-ES"/>
        </w:rPr>
        <w:tab/>
      </w:r>
      <w:r w:rsidR="00BF6F04" w:rsidRPr="003F09D3">
        <w:rPr>
          <w:lang w:val="es-ES"/>
        </w:rPr>
        <w:t>la Resolución</w:t>
      </w:r>
      <w:r w:rsidRPr="003F09D3">
        <w:rPr>
          <w:lang w:val="es-ES"/>
        </w:rPr>
        <w:t xml:space="preserve"> </w:t>
      </w:r>
      <w:r w:rsidR="000F013B" w:rsidRPr="003F09D3">
        <w:rPr>
          <w:lang w:val="es-ES"/>
        </w:rPr>
        <w:t xml:space="preserve">122 </w:t>
      </w:r>
      <w:r w:rsidRPr="003F09D3">
        <w:rPr>
          <w:lang w:val="es-ES"/>
        </w:rPr>
        <w:t>(Rev. Guadalajara, 2010)</w:t>
      </w:r>
      <w:r w:rsidR="000F013B" w:rsidRPr="003F09D3">
        <w:rPr>
          <w:lang w:val="es-ES"/>
        </w:rPr>
        <w:t>,</w:t>
      </w:r>
      <w:r w:rsidRPr="003F09D3">
        <w:rPr>
          <w:lang w:val="es-ES"/>
        </w:rPr>
        <w:t xml:space="preserve"> </w:t>
      </w:r>
      <w:r w:rsidR="00BF6F04" w:rsidRPr="003F09D3">
        <w:rPr>
          <w:lang w:val="es-ES"/>
        </w:rPr>
        <w:t>Evolución del papel de la Asamblea Mundial de Normalización de las Telecomunicaciones, de la Conferencia de Plenipotenciarios</w:t>
      </w:r>
      <w:r w:rsidR="000F013B" w:rsidRPr="003F09D3">
        <w:rPr>
          <w:lang w:val="es-ES"/>
        </w:rPr>
        <w:t xml:space="preserve">, en la que se pone de manifiesto la importancia fundamental </w:t>
      </w:r>
      <w:r w:rsidR="00E60AE6" w:rsidRPr="003F09D3">
        <w:rPr>
          <w:lang w:val="es-ES"/>
        </w:rPr>
        <w:t>"</w:t>
      </w:r>
      <w:r w:rsidR="000F013B" w:rsidRPr="003F09D3">
        <w:rPr>
          <w:lang w:val="es-ES"/>
        </w:rPr>
        <w:t>de la necesidad de que los Estados Miembros y los Miembros del UIT-T colaboren estrechamente en el UIT</w:t>
      </w:r>
      <w:r w:rsidR="008E36D9" w:rsidRPr="003F09D3">
        <w:rPr>
          <w:lang w:val="es-ES"/>
        </w:rPr>
        <w:t>-</w:t>
      </w:r>
      <w:r w:rsidR="000F013B" w:rsidRPr="003F09D3">
        <w:rPr>
          <w:lang w:val="es-ES"/>
        </w:rPr>
        <w:t>T de manera proactiva, cooperativa y previsora, habida cuenta de sus funciones y objetivos respectivos, para promover la continua evolución del Sector de Normalización</w:t>
      </w:r>
      <w:r w:rsidR="00E60AE6" w:rsidRPr="003F09D3">
        <w:rPr>
          <w:lang w:val="es-ES"/>
        </w:rPr>
        <w:t>"</w:t>
      </w:r>
      <w:r w:rsidRPr="003F09D3">
        <w:rPr>
          <w:lang w:val="es-ES"/>
        </w:rPr>
        <w:t>;</w:t>
      </w:r>
    </w:p>
    <w:p w14:paraId="2F20C8F2" w14:textId="607E1CF0" w:rsidR="008019F3" w:rsidRPr="003F09D3" w:rsidRDefault="008019F3" w:rsidP="00487FE6">
      <w:pPr>
        <w:rPr>
          <w:lang w:val="es-ES"/>
        </w:rPr>
      </w:pPr>
      <w:r w:rsidRPr="003F09D3">
        <w:rPr>
          <w:i/>
          <w:iCs/>
          <w:lang w:val="es-ES"/>
        </w:rPr>
        <w:t>g)</w:t>
      </w:r>
      <w:r w:rsidRPr="003F09D3">
        <w:rPr>
          <w:lang w:val="es-ES"/>
        </w:rPr>
        <w:tab/>
      </w:r>
      <w:r w:rsidR="00487FE6" w:rsidRPr="003F09D3">
        <w:rPr>
          <w:lang w:val="es-ES"/>
        </w:rPr>
        <w:t xml:space="preserve">la </w:t>
      </w:r>
      <w:r w:rsidRPr="003F09D3">
        <w:rPr>
          <w:lang w:val="es-ES"/>
        </w:rPr>
        <w:t>Resolu</w:t>
      </w:r>
      <w:r w:rsidR="00487FE6" w:rsidRPr="003F09D3">
        <w:rPr>
          <w:lang w:val="es-ES"/>
        </w:rPr>
        <w:t xml:space="preserve">ción </w:t>
      </w:r>
      <w:r w:rsidRPr="003F09D3">
        <w:rPr>
          <w:lang w:val="es-ES"/>
        </w:rPr>
        <w:t>209 (Dub</w:t>
      </w:r>
      <w:r w:rsidR="00487FE6" w:rsidRPr="003F09D3">
        <w:rPr>
          <w:lang w:val="es-ES"/>
        </w:rPr>
        <w:t>á</w:t>
      </w:r>
      <w:r w:rsidRPr="003F09D3">
        <w:rPr>
          <w:lang w:val="es-ES"/>
        </w:rPr>
        <w:t>i, 2018)</w:t>
      </w:r>
      <w:r w:rsidR="00487FE6" w:rsidRPr="003F09D3">
        <w:rPr>
          <w:lang w:val="es-ES"/>
        </w:rPr>
        <w:t>, Fomento de la participación de pequeñas y medianas empresas en los trabajos de la Unión, de la Conferencia de Plenipotenciarios</w:t>
      </w:r>
      <w:r w:rsidRPr="003F09D3">
        <w:rPr>
          <w:lang w:val="es-ES"/>
        </w:rPr>
        <w:t>;</w:t>
      </w:r>
    </w:p>
    <w:p w14:paraId="17C9BF76" w14:textId="18FCB373" w:rsidR="008019F3" w:rsidRPr="003F09D3" w:rsidRDefault="008019F3" w:rsidP="008019F3">
      <w:pPr>
        <w:rPr>
          <w:lang w:val="es-ES"/>
        </w:rPr>
      </w:pPr>
      <w:r w:rsidRPr="003F09D3">
        <w:rPr>
          <w:i/>
          <w:iCs/>
          <w:lang w:val="es-ES"/>
        </w:rPr>
        <w:t>h)</w:t>
      </w:r>
      <w:r w:rsidRPr="003F09D3">
        <w:rPr>
          <w:lang w:val="es-ES"/>
        </w:rPr>
        <w:tab/>
      </w:r>
      <w:r w:rsidR="00487FE6" w:rsidRPr="003F09D3">
        <w:rPr>
          <w:lang w:val="es-ES"/>
        </w:rPr>
        <w:t>la Resolución</w:t>
      </w:r>
      <w:r w:rsidRPr="003F09D3">
        <w:rPr>
          <w:lang w:val="es-ES"/>
        </w:rPr>
        <w:t xml:space="preserve"> 68 (</w:t>
      </w:r>
      <w:r w:rsidR="00E976D8" w:rsidRPr="003F09D3">
        <w:rPr>
          <w:lang w:val="es-ES"/>
        </w:rPr>
        <w:t xml:space="preserve">Rev. </w:t>
      </w:r>
      <w:proofErr w:type="spellStart"/>
      <w:r w:rsidR="00E976D8" w:rsidRPr="003F09D3">
        <w:rPr>
          <w:lang w:val="es-ES"/>
        </w:rPr>
        <w:t>Hammamet</w:t>
      </w:r>
      <w:proofErr w:type="spellEnd"/>
      <w:r w:rsidR="00E976D8" w:rsidRPr="003F09D3">
        <w:rPr>
          <w:lang w:val="es-ES"/>
        </w:rPr>
        <w:t>, 2016</w:t>
      </w:r>
      <w:r w:rsidRPr="003F09D3">
        <w:rPr>
          <w:lang w:val="es-ES"/>
        </w:rPr>
        <w:t>)</w:t>
      </w:r>
      <w:r w:rsidR="00FE0222" w:rsidRPr="003F09D3">
        <w:rPr>
          <w:lang w:val="es-ES"/>
        </w:rPr>
        <w:t>, Evolución del papel de la industria en el Sector de Normalización de las Telecomunicaciones de la UIT, de la Asamblea Mundial de Normalización de las Telecomunicaciones</w:t>
      </w:r>
      <w:r w:rsidRPr="003F09D3">
        <w:rPr>
          <w:lang w:val="es-ES"/>
        </w:rPr>
        <w:t>;</w:t>
      </w:r>
    </w:p>
    <w:p w14:paraId="31C2D9A6" w14:textId="7D55C98A" w:rsidR="008019F3" w:rsidRPr="003F09D3" w:rsidRDefault="008019F3" w:rsidP="008019F3">
      <w:pPr>
        <w:rPr>
          <w:lang w:val="es-ES"/>
        </w:rPr>
      </w:pPr>
      <w:r w:rsidRPr="003F09D3">
        <w:rPr>
          <w:i/>
          <w:iCs/>
          <w:lang w:val="es-ES"/>
        </w:rPr>
        <w:lastRenderedPageBreak/>
        <w:t>i)</w:t>
      </w:r>
      <w:r w:rsidRPr="003F09D3">
        <w:rPr>
          <w:lang w:val="es-ES"/>
        </w:rPr>
        <w:tab/>
      </w:r>
      <w:r w:rsidR="0048384E" w:rsidRPr="003F09D3">
        <w:rPr>
          <w:lang w:val="es-ES"/>
        </w:rPr>
        <w:t xml:space="preserve">la </w:t>
      </w:r>
      <w:r w:rsidRPr="003F09D3">
        <w:rPr>
          <w:lang w:val="es-ES"/>
        </w:rPr>
        <w:t>Resolu</w:t>
      </w:r>
      <w:r w:rsidR="0048384E" w:rsidRPr="003F09D3">
        <w:rPr>
          <w:lang w:val="es-ES"/>
        </w:rPr>
        <w:t xml:space="preserve">ción </w:t>
      </w:r>
      <w:r w:rsidRPr="003F09D3">
        <w:rPr>
          <w:lang w:val="es-ES"/>
        </w:rPr>
        <w:t>71 (Rev. Kigali, 2022)</w:t>
      </w:r>
      <w:r w:rsidR="003D13E8" w:rsidRPr="003F09D3">
        <w:rPr>
          <w:lang w:val="es-ES"/>
        </w:rPr>
        <w:t>,</w:t>
      </w:r>
      <w:r w:rsidRPr="003F09D3">
        <w:rPr>
          <w:lang w:val="es-ES"/>
        </w:rPr>
        <w:t xml:space="preserve"> </w:t>
      </w:r>
      <w:r w:rsidR="003D13E8" w:rsidRPr="003F09D3">
        <w:rPr>
          <w:lang w:val="es-ES"/>
        </w:rPr>
        <w:t xml:space="preserve">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 de la Conferencia Mundial de Desarrollo de las Telecomunicaciones, en la que se hizo referencia a </w:t>
      </w:r>
      <w:r w:rsidR="00E60AE6" w:rsidRPr="003F09D3">
        <w:rPr>
          <w:lang w:val="es-ES"/>
        </w:rPr>
        <w:t>"</w:t>
      </w:r>
      <w:r w:rsidR="003D13E8" w:rsidRPr="003F09D3">
        <w:rPr>
          <w:lang w:val="es-ES"/>
        </w:rPr>
        <w:t>los excelentes resultados alcanzados gracias a los debates de alto nivel sostenidos entre los Estados Miembros y los Miembros de Sector durante las reuniones de los Directores de Reglamentación (CRO) y el Debate de Líderes de la Industria (DLI)</w:t>
      </w:r>
      <w:r w:rsidR="00E60AE6" w:rsidRPr="003F09D3">
        <w:rPr>
          <w:lang w:val="es-ES"/>
        </w:rPr>
        <w:t>"</w:t>
      </w:r>
      <w:r w:rsidR="003D13E8" w:rsidRPr="003F09D3">
        <w:rPr>
          <w:lang w:val="es-ES"/>
        </w:rPr>
        <w:t xml:space="preserve"> y se </w:t>
      </w:r>
      <w:r w:rsidR="00C83365" w:rsidRPr="003F09D3">
        <w:rPr>
          <w:lang w:val="es-ES"/>
        </w:rPr>
        <w:t>hizo hincapié en</w:t>
      </w:r>
      <w:r w:rsidR="004C1CB7" w:rsidRPr="003F09D3">
        <w:rPr>
          <w:lang w:val="es-ES"/>
        </w:rPr>
        <w:t xml:space="preserve"> </w:t>
      </w:r>
      <w:r w:rsidR="00E60AE6" w:rsidRPr="003F09D3">
        <w:rPr>
          <w:lang w:val="es-ES"/>
        </w:rPr>
        <w:t>"</w:t>
      </w:r>
      <w:r w:rsidR="004C1CB7" w:rsidRPr="003F09D3">
        <w:rPr>
          <w:lang w:val="es-ES"/>
        </w:rPr>
        <w:t>que se sigan adoptando las medidas necesarias para crear un entorno favorable en los ámbitos internacional, regional y nacional a la promoción del desarrollo y la inversión en el sector de las telecomunicaciones/TIC por parte de los Miembros de Sector</w:t>
      </w:r>
      <w:r w:rsidR="00E60AE6" w:rsidRPr="003F09D3">
        <w:rPr>
          <w:lang w:val="es-ES"/>
        </w:rPr>
        <w:t>"</w:t>
      </w:r>
      <w:r w:rsidRPr="003F09D3">
        <w:rPr>
          <w:lang w:val="es-ES"/>
        </w:rPr>
        <w:t>,</w:t>
      </w:r>
    </w:p>
    <w:p w14:paraId="1B248F99" w14:textId="6342ECBC" w:rsidR="008019F3" w:rsidRPr="003F09D3" w:rsidRDefault="004C1CB7" w:rsidP="008019F3">
      <w:pPr>
        <w:pStyle w:val="Call"/>
        <w:rPr>
          <w:rFonts w:ascii="Times New Roman" w:hAnsi="Times New Roman"/>
          <w:szCs w:val="24"/>
          <w:lang w:val="es-ES" w:eastAsia="en-GB"/>
        </w:rPr>
      </w:pPr>
      <w:r w:rsidRPr="003F09D3">
        <w:rPr>
          <w:lang w:val="es-ES" w:eastAsia="en-GB"/>
        </w:rPr>
        <w:t>considerando</w:t>
      </w:r>
    </w:p>
    <w:p w14:paraId="64A58F56" w14:textId="5ECE6013" w:rsidR="008019F3" w:rsidRPr="003F09D3" w:rsidRDefault="008019F3" w:rsidP="008019F3">
      <w:pPr>
        <w:rPr>
          <w:lang w:val="es-ES" w:eastAsia="en-GB"/>
        </w:rPr>
      </w:pPr>
      <w:r w:rsidRPr="003F09D3">
        <w:rPr>
          <w:i/>
          <w:iCs/>
          <w:lang w:val="es-ES" w:eastAsia="en-GB"/>
        </w:rPr>
        <w:t>a)</w:t>
      </w:r>
      <w:r w:rsidRPr="003F09D3">
        <w:rPr>
          <w:lang w:val="es-ES" w:eastAsia="en-GB"/>
        </w:rPr>
        <w:tab/>
      </w:r>
      <w:r w:rsidR="004D42D6" w:rsidRPr="003F09D3">
        <w:rPr>
          <w:lang w:val="es-ES" w:eastAsia="en-GB"/>
        </w:rPr>
        <w:t xml:space="preserve">la </w:t>
      </w:r>
      <w:r w:rsidR="002619B7" w:rsidRPr="003F09D3">
        <w:rPr>
          <w:lang w:val="es-ES" w:eastAsia="en-GB"/>
        </w:rPr>
        <w:t>M</w:t>
      </w:r>
      <w:r w:rsidR="004D42D6" w:rsidRPr="003F09D3">
        <w:rPr>
          <w:lang w:val="es-ES" w:eastAsia="en-GB"/>
        </w:rPr>
        <w:t>eta 5</w:t>
      </w:r>
      <w:r w:rsidRPr="003F09D3">
        <w:rPr>
          <w:lang w:val="es-ES" w:eastAsia="en-GB"/>
        </w:rPr>
        <w:t xml:space="preserve"> </w:t>
      </w:r>
      <w:r w:rsidR="004D42D6" w:rsidRPr="003F09D3">
        <w:rPr>
          <w:lang w:val="es-ES" w:eastAsia="en-GB"/>
        </w:rPr>
        <w:t xml:space="preserve">del Plan Estratégico de la Unión para 2020-2023 </w:t>
      </w:r>
      <w:r w:rsidRPr="003F09D3">
        <w:rPr>
          <w:lang w:val="es-ES" w:eastAsia="en-GB"/>
        </w:rPr>
        <w:t>(Resolu</w:t>
      </w:r>
      <w:r w:rsidR="004D42D6" w:rsidRPr="003F09D3">
        <w:rPr>
          <w:lang w:val="es-ES" w:eastAsia="en-GB"/>
        </w:rPr>
        <w:t>ció</w:t>
      </w:r>
      <w:r w:rsidRPr="003F09D3">
        <w:rPr>
          <w:lang w:val="es-ES" w:eastAsia="en-GB"/>
        </w:rPr>
        <w:t>n 71</w:t>
      </w:r>
      <w:r w:rsidR="002619B7" w:rsidRPr="003F09D3">
        <w:rPr>
          <w:lang w:val="es-ES" w:eastAsia="en-GB"/>
        </w:rPr>
        <w:t xml:space="preserve"> (</w:t>
      </w:r>
      <w:r w:rsidRPr="003F09D3">
        <w:rPr>
          <w:lang w:val="es-ES" w:eastAsia="en-GB"/>
        </w:rPr>
        <w:t>Rev.</w:t>
      </w:r>
      <w:r w:rsidR="00964210" w:rsidRPr="003F09D3">
        <w:rPr>
          <w:lang w:val="es-ES" w:eastAsia="en-GB"/>
        </w:rPr>
        <w:t> </w:t>
      </w:r>
      <w:r w:rsidRPr="003F09D3">
        <w:rPr>
          <w:lang w:val="es-ES" w:eastAsia="en-GB"/>
        </w:rPr>
        <w:t>Dub</w:t>
      </w:r>
      <w:r w:rsidR="004D42D6" w:rsidRPr="003F09D3">
        <w:rPr>
          <w:lang w:val="es-ES" w:eastAsia="en-GB"/>
        </w:rPr>
        <w:t>á</w:t>
      </w:r>
      <w:r w:rsidRPr="003F09D3">
        <w:rPr>
          <w:lang w:val="es-ES" w:eastAsia="en-GB"/>
        </w:rPr>
        <w:t>i, 2018)</w:t>
      </w:r>
      <w:r w:rsidR="004D42D6" w:rsidRPr="003F09D3">
        <w:rPr>
          <w:lang w:val="es-ES" w:eastAsia="en-GB"/>
        </w:rPr>
        <w:t xml:space="preserve"> </w:t>
      </w:r>
      <w:r w:rsidR="002619B7" w:rsidRPr="003F09D3">
        <w:rPr>
          <w:lang w:val="es-ES" w:eastAsia="en-GB"/>
        </w:rPr>
        <w:t>de</w:t>
      </w:r>
      <w:r w:rsidR="004D42D6" w:rsidRPr="003F09D3">
        <w:rPr>
          <w:lang w:val="es-ES" w:eastAsia="en-GB"/>
        </w:rPr>
        <w:t xml:space="preserve"> la Conferencia de Plenipotenciarios</w:t>
      </w:r>
      <w:r w:rsidR="002619B7" w:rsidRPr="003F09D3">
        <w:rPr>
          <w:lang w:val="es-ES" w:eastAsia="en-GB"/>
        </w:rPr>
        <w:t>) sobre</w:t>
      </w:r>
      <w:r w:rsidR="004D42D6" w:rsidRPr="003F09D3">
        <w:rPr>
          <w:lang w:val="es-ES" w:eastAsia="en-GB"/>
        </w:rPr>
        <w:t xml:space="preserve"> la importancia de la </w:t>
      </w:r>
      <w:r w:rsidR="00E60AE6" w:rsidRPr="003F09D3">
        <w:rPr>
          <w:lang w:val="es-ES" w:eastAsia="en-GB"/>
        </w:rPr>
        <w:t>"</w:t>
      </w:r>
      <w:r w:rsidR="004D42D6" w:rsidRPr="003F09D3">
        <w:rPr>
          <w:lang w:val="es-ES" w:eastAsia="en-GB"/>
        </w:rPr>
        <w:t>Asociación</w:t>
      </w:r>
      <w:r w:rsidR="00E60AE6" w:rsidRPr="003F09D3">
        <w:rPr>
          <w:lang w:val="es-ES" w:eastAsia="en-GB"/>
        </w:rPr>
        <w:t>"</w:t>
      </w:r>
      <w:r w:rsidR="004D42D6" w:rsidRPr="003F09D3">
        <w:rPr>
          <w:lang w:val="es-ES" w:eastAsia="en-GB"/>
        </w:rPr>
        <w:t xml:space="preserve"> y </w:t>
      </w:r>
      <w:r w:rsidR="002619B7" w:rsidRPr="003F09D3">
        <w:rPr>
          <w:lang w:val="es-ES" w:eastAsia="en-GB"/>
        </w:rPr>
        <w:t xml:space="preserve">la </w:t>
      </w:r>
      <w:r w:rsidR="00E60AE6" w:rsidRPr="003F09D3">
        <w:rPr>
          <w:lang w:val="es-ES" w:eastAsia="en-GB"/>
        </w:rPr>
        <w:t>"</w:t>
      </w:r>
      <w:r w:rsidR="002619B7" w:rsidRPr="003F09D3">
        <w:rPr>
          <w:lang w:val="es-ES" w:eastAsia="en-GB"/>
        </w:rPr>
        <w:t>necesidad de fomentar la participación y la cooperación entre gobiernos, sector privado, sociedad civil, organizaciones intergubernamentales e internacionales y comunidades técnicas y académicas</w:t>
      </w:r>
      <w:r w:rsidR="00E60AE6" w:rsidRPr="003F09D3">
        <w:rPr>
          <w:lang w:val="es-ES" w:eastAsia="en-GB"/>
        </w:rPr>
        <w:t>"</w:t>
      </w:r>
      <w:r w:rsidRPr="003F09D3">
        <w:rPr>
          <w:lang w:val="es-ES" w:eastAsia="en-GB"/>
        </w:rPr>
        <w:t>;</w:t>
      </w:r>
    </w:p>
    <w:p w14:paraId="3E78BD45" w14:textId="42D307EA" w:rsidR="008019F3" w:rsidRPr="003F09D3" w:rsidRDefault="008019F3" w:rsidP="008019F3">
      <w:pPr>
        <w:rPr>
          <w:rFonts w:ascii="Times New Roman" w:hAnsi="Times New Roman"/>
          <w:szCs w:val="24"/>
          <w:lang w:val="es-ES" w:eastAsia="en-GB"/>
        </w:rPr>
      </w:pPr>
      <w:r w:rsidRPr="003F09D3">
        <w:rPr>
          <w:i/>
          <w:iCs/>
          <w:lang w:val="es-ES" w:eastAsia="en-GB"/>
        </w:rPr>
        <w:t>b)</w:t>
      </w:r>
      <w:r w:rsidRPr="003F09D3">
        <w:rPr>
          <w:i/>
          <w:iCs/>
          <w:lang w:val="es-ES" w:eastAsia="en-GB"/>
        </w:rPr>
        <w:tab/>
      </w:r>
      <w:r w:rsidR="00964210" w:rsidRPr="003F09D3">
        <w:rPr>
          <w:lang w:val="es-ES" w:eastAsia="en-GB"/>
        </w:rPr>
        <w:t>que la innovación y el crecimiento de la industria se posibilitan mediante la capacitación</w:t>
      </w:r>
      <w:r w:rsidR="00C83365" w:rsidRPr="003F09D3">
        <w:rPr>
          <w:lang w:val="es-ES" w:eastAsia="en-GB"/>
        </w:rPr>
        <w:t xml:space="preserve">, </w:t>
      </w:r>
      <w:r w:rsidR="00964210" w:rsidRPr="003F09D3">
        <w:rPr>
          <w:lang w:val="es-ES" w:eastAsia="en-GB"/>
        </w:rPr>
        <w:t>aprovechando las prácticas idóneas existentes y adquiriendo conocimientos sobre telecomunicaciones y TIC, incluidos los respectivos informes y las normas técnicas en materia de las TIC</w:t>
      </w:r>
      <w:r w:rsidRPr="003F09D3">
        <w:rPr>
          <w:lang w:val="es-ES" w:eastAsia="en-GB"/>
        </w:rPr>
        <w:t>,</w:t>
      </w:r>
    </w:p>
    <w:p w14:paraId="3901D08A" w14:textId="09BB6A55" w:rsidR="008019F3" w:rsidRPr="003F09D3" w:rsidRDefault="00964210" w:rsidP="008019F3">
      <w:pPr>
        <w:pStyle w:val="Call"/>
        <w:rPr>
          <w:rFonts w:ascii="Times New Roman" w:hAnsi="Times New Roman"/>
          <w:szCs w:val="24"/>
          <w:lang w:val="es-ES" w:eastAsia="en-GB"/>
        </w:rPr>
      </w:pPr>
      <w:r w:rsidRPr="003F09D3">
        <w:rPr>
          <w:lang w:val="es-ES" w:eastAsia="en-GB"/>
        </w:rPr>
        <w:t>reconociendo</w:t>
      </w:r>
    </w:p>
    <w:p w14:paraId="15AA1B1F" w14:textId="26AD9F2F" w:rsidR="008019F3" w:rsidRPr="003F09D3" w:rsidRDefault="008019F3" w:rsidP="008019F3">
      <w:pPr>
        <w:rPr>
          <w:lang w:val="es-ES" w:eastAsia="en-GB"/>
        </w:rPr>
      </w:pPr>
      <w:r w:rsidRPr="003F09D3">
        <w:rPr>
          <w:i/>
          <w:iCs/>
          <w:lang w:val="es-ES" w:eastAsia="en-GB"/>
        </w:rPr>
        <w:t>a)</w:t>
      </w:r>
      <w:r w:rsidRPr="003F09D3">
        <w:rPr>
          <w:lang w:val="es-ES" w:eastAsia="en-GB"/>
        </w:rPr>
        <w:tab/>
      </w:r>
      <w:proofErr w:type="gramStart"/>
      <w:r w:rsidR="008B0F2B" w:rsidRPr="003F09D3">
        <w:rPr>
          <w:lang w:val="es-ES" w:eastAsia="en-GB"/>
        </w:rPr>
        <w:t>que</w:t>
      </w:r>
      <w:proofErr w:type="gramEnd"/>
      <w:r w:rsidR="008B0F2B" w:rsidRPr="003F09D3">
        <w:rPr>
          <w:lang w:val="es-ES" w:eastAsia="en-GB"/>
        </w:rPr>
        <w:t xml:space="preserve"> en algunas </w:t>
      </w:r>
      <w:r w:rsidR="00575254" w:rsidRPr="003F09D3">
        <w:rPr>
          <w:lang w:val="es-ES" w:eastAsia="en-GB"/>
        </w:rPr>
        <w:t>regiones</w:t>
      </w:r>
      <w:r w:rsidR="008B0F2B" w:rsidRPr="003F09D3">
        <w:rPr>
          <w:lang w:val="es-ES" w:eastAsia="en-GB"/>
        </w:rPr>
        <w:t xml:space="preserve"> de la UIT</w:t>
      </w:r>
      <w:r w:rsidR="005B14DD" w:rsidRPr="003F09D3">
        <w:rPr>
          <w:lang w:val="es-ES" w:eastAsia="en-GB"/>
        </w:rPr>
        <w:t>,</w:t>
      </w:r>
      <w:r w:rsidR="008B0F2B" w:rsidRPr="003F09D3">
        <w:rPr>
          <w:lang w:val="es-ES" w:eastAsia="en-GB"/>
        </w:rPr>
        <w:t xml:space="preserve"> </w:t>
      </w:r>
      <w:r w:rsidR="005049FE" w:rsidRPr="003F09D3">
        <w:rPr>
          <w:lang w:val="es-ES" w:eastAsia="en-GB"/>
        </w:rPr>
        <w:t>en todos</w:t>
      </w:r>
      <w:r w:rsidR="008B0F2B" w:rsidRPr="003F09D3">
        <w:rPr>
          <w:lang w:val="es-ES" w:eastAsia="en-GB"/>
        </w:rPr>
        <w:t xml:space="preserve"> los Sectores</w:t>
      </w:r>
      <w:r w:rsidR="005049FE" w:rsidRPr="003F09D3">
        <w:rPr>
          <w:lang w:val="es-ES" w:eastAsia="en-GB"/>
        </w:rPr>
        <w:t xml:space="preserve"> de la UIT</w:t>
      </w:r>
      <w:r w:rsidR="008B0F2B" w:rsidRPr="003F09D3">
        <w:rPr>
          <w:lang w:val="es-ES" w:eastAsia="en-GB"/>
        </w:rPr>
        <w:t>, la participación de la industria en la normalización</w:t>
      </w:r>
      <w:r w:rsidR="00575254" w:rsidRPr="003F09D3">
        <w:rPr>
          <w:lang w:val="es-ES" w:eastAsia="en-GB"/>
        </w:rPr>
        <w:t xml:space="preserve"> </w:t>
      </w:r>
      <w:r w:rsidR="00A8472F" w:rsidRPr="003F09D3">
        <w:rPr>
          <w:lang w:val="es-ES" w:eastAsia="en-GB"/>
        </w:rPr>
        <w:t>ha</w:t>
      </w:r>
      <w:r w:rsidR="00575254" w:rsidRPr="003F09D3">
        <w:rPr>
          <w:lang w:val="es-ES" w:eastAsia="en-GB"/>
        </w:rPr>
        <w:t xml:space="preserve"> disminu</w:t>
      </w:r>
      <w:r w:rsidR="00A8472F" w:rsidRPr="003F09D3">
        <w:rPr>
          <w:lang w:val="es-ES" w:eastAsia="en-GB"/>
        </w:rPr>
        <w:t>ido</w:t>
      </w:r>
      <w:r w:rsidR="00575254" w:rsidRPr="003F09D3">
        <w:rPr>
          <w:lang w:val="es-ES" w:eastAsia="en-GB"/>
        </w:rPr>
        <w:t xml:space="preserve">, </w:t>
      </w:r>
      <w:r w:rsidR="00A8472F" w:rsidRPr="003F09D3">
        <w:rPr>
          <w:lang w:val="es-ES" w:eastAsia="en-GB"/>
        </w:rPr>
        <w:t>a lo que se suma una importante</w:t>
      </w:r>
      <w:r w:rsidR="00575254" w:rsidRPr="003F09D3">
        <w:rPr>
          <w:lang w:val="es-ES" w:eastAsia="en-GB"/>
        </w:rPr>
        <w:t xml:space="preserve"> reducción </w:t>
      </w:r>
      <w:r w:rsidR="00A8472F" w:rsidRPr="003F09D3">
        <w:rPr>
          <w:lang w:val="es-ES" w:eastAsia="en-GB"/>
        </w:rPr>
        <w:t>de</w:t>
      </w:r>
      <w:r w:rsidR="00575254" w:rsidRPr="003F09D3">
        <w:rPr>
          <w:lang w:val="es-ES" w:eastAsia="en-GB"/>
        </w:rPr>
        <w:t xml:space="preserve"> la sensibilización en materia de normalización</w:t>
      </w:r>
      <w:r w:rsidRPr="003F09D3">
        <w:rPr>
          <w:lang w:val="es-ES" w:eastAsia="en-GB"/>
        </w:rPr>
        <w:t>;</w:t>
      </w:r>
    </w:p>
    <w:p w14:paraId="39DF37B3" w14:textId="7058C2D2" w:rsidR="008019F3" w:rsidRPr="003F09D3" w:rsidRDefault="008019F3" w:rsidP="008019F3">
      <w:pPr>
        <w:rPr>
          <w:lang w:val="es-ES" w:eastAsia="en-GB"/>
        </w:rPr>
      </w:pPr>
      <w:r w:rsidRPr="003F09D3">
        <w:rPr>
          <w:i/>
          <w:iCs/>
          <w:lang w:val="es-ES" w:eastAsia="en-GB"/>
        </w:rPr>
        <w:t>b)</w:t>
      </w:r>
      <w:r w:rsidRPr="003F09D3">
        <w:rPr>
          <w:lang w:val="es-ES" w:eastAsia="en-GB"/>
        </w:rPr>
        <w:tab/>
      </w:r>
      <w:proofErr w:type="gramStart"/>
      <w:r w:rsidR="00575254" w:rsidRPr="003F09D3">
        <w:rPr>
          <w:lang w:val="es-ES" w:eastAsia="en-GB"/>
        </w:rPr>
        <w:t>que</w:t>
      </w:r>
      <w:proofErr w:type="gramEnd"/>
      <w:r w:rsidR="00575254" w:rsidRPr="003F09D3">
        <w:rPr>
          <w:lang w:val="es-ES" w:eastAsia="en-GB"/>
        </w:rPr>
        <w:t xml:space="preserve"> en algunas regiones, las </w:t>
      </w:r>
      <w:r w:rsidR="00A8472F" w:rsidRPr="003F09D3">
        <w:rPr>
          <w:lang w:val="es-ES" w:eastAsia="en-GB"/>
        </w:rPr>
        <w:t xml:space="preserve">nuevas </w:t>
      </w:r>
      <w:r w:rsidR="00575254" w:rsidRPr="003F09D3">
        <w:rPr>
          <w:lang w:val="es-ES" w:eastAsia="en-GB"/>
        </w:rPr>
        <w:t>generaciones de ingenieros no consideran la normalización una prioridad profesional</w:t>
      </w:r>
      <w:r w:rsidRPr="003F09D3">
        <w:rPr>
          <w:lang w:val="es-ES" w:eastAsia="en-GB"/>
        </w:rPr>
        <w:t>;</w:t>
      </w:r>
    </w:p>
    <w:p w14:paraId="436893C9" w14:textId="0E15CC30" w:rsidR="008019F3" w:rsidRPr="003F09D3" w:rsidRDefault="008019F3" w:rsidP="008019F3">
      <w:pPr>
        <w:rPr>
          <w:lang w:val="es-ES" w:eastAsia="en-GB"/>
        </w:rPr>
      </w:pPr>
      <w:r w:rsidRPr="003F09D3">
        <w:rPr>
          <w:i/>
          <w:iCs/>
          <w:lang w:val="es-ES" w:eastAsia="en-GB"/>
        </w:rPr>
        <w:t>c)</w:t>
      </w:r>
      <w:r w:rsidRPr="003F09D3">
        <w:rPr>
          <w:lang w:val="es-ES" w:eastAsia="en-GB"/>
        </w:rPr>
        <w:tab/>
      </w:r>
      <w:r w:rsidR="00575254" w:rsidRPr="003F09D3">
        <w:rPr>
          <w:lang w:val="es-ES" w:eastAsia="en-GB"/>
        </w:rPr>
        <w:t xml:space="preserve">que algunos Estados </w:t>
      </w:r>
      <w:r w:rsidR="00AF4DD6" w:rsidRPr="003F09D3">
        <w:rPr>
          <w:lang w:val="es-ES" w:eastAsia="en-GB"/>
        </w:rPr>
        <w:t>Miembros</w:t>
      </w:r>
      <w:r w:rsidR="00575254" w:rsidRPr="003F09D3">
        <w:rPr>
          <w:lang w:val="es-ES" w:eastAsia="en-GB"/>
        </w:rPr>
        <w:t xml:space="preserve"> han manifestado su deseo de que </w:t>
      </w:r>
      <w:r w:rsidR="00915D6D" w:rsidRPr="003F09D3">
        <w:rPr>
          <w:lang w:val="es-ES" w:eastAsia="en-GB"/>
        </w:rPr>
        <w:t>una proporción más amplia</w:t>
      </w:r>
      <w:r w:rsidR="00575254" w:rsidRPr="003F09D3">
        <w:rPr>
          <w:lang w:val="es-ES" w:eastAsia="en-GB"/>
        </w:rPr>
        <w:t xml:space="preserve"> </w:t>
      </w:r>
      <w:r w:rsidR="00915D6D" w:rsidRPr="003F09D3">
        <w:rPr>
          <w:lang w:val="es-ES" w:eastAsia="en-GB"/>
        </w:rPr>
        <w:t xml:space="preserve">de </w:t>
      </w:r>
      <w:r w:rsidR="00575254" w:rsidRPr="003F09D3">
        <w:rPr>
          <w:lang w:val="es-ES" w:eastAsia="en-GB"/>
        </w:rPr>
        <w:t xml:space="preserve">miembros </w:t>
      </w:r>
      <w:r w:rsidR="00915D6D" w:rsidRPr="003F09D3">
        <w:rPr>
          <w:lang w:val="es-ES" w:eastAsia="en-GB"/>
        </w:rPr>
        <w:t xml:space="preserve">de la </w:t>
      </w:r>
      <w:r w:rsidR="00575254" w:rsidRPr="003F09D3">
        <w:rPr>
          <w:lang w:val="es-ES" w:eastAsia="en-GB"/>
        </w:rPr>
        <w:t>industri</w:t>
      </w:r>
      <w:r w:rsidR="00915D6D" w:rsidRPr="003F09D3">
        <w:rPr>
          <w:lang w:val="es-ES" w:eastAsia="en-GB"/>
        </w:rPr>
        <w:t>a</w:t>
      </w:r>
      <w:r w:rsidR="00AF4DD6" w:rsidRPr="003F09D3">
        <w:rPr>
          <w:lang w:val="es-ES" w:eastAsia="en-GB"/>
        </w:rPr>
        <w:t xml:space="preserve"> (como las pymes)</w:t>
      </w:r>
      <w:r w:rsidR="00575254" w:rsidRPr="003F09D3">
        <w:rPr>
          <w:lang w:val="es-ES" w:eastAsia="en-GB"/>
        </w:rPr>
        <w:t xml:space="preserve"> </w:t>
      </w:r>
      <w:r w:rsidR="00915D6D" w:rsidRPr="003F09D3">
        <w:rPr>
          <w:lang w:val="es-ES" w:eastAsia="en-GB"/>
        </w:rPr>
        <w:t>participe en</w:t>
      </w:r>
      <w:r w:rsidR="00575254" w:rsidRPr="003F09D3">
        <w:rPr>
          <w:lang w:val="es-ES" w:eastAsia="en-GB"/>
        </w:rPr>
        <w:t xml:space="preserve"> la UIT</w:t>
      </w:r>
      <w:r w:rsidRPr="003F09D3">
        <w:rPr>
          <w:lang w:val="es-ES" w:eastAsia="en-GB"/>
        </w:rPr>
        <w:t>;</w:t>
      </w:r>
    </w:p>
    <w:p w14:paraId="1DFA63FB" w14:textId="1380797A" w:rsidR="008019F3" w:rsidRPr="003F09D3" w:rsidRDefault="008019F3" w:rsidP="008019F3">
      <w:pPr>
        <w:rPr>
          <w:lang w:val="es-ES" w:eastAsia="en-GB"/>
        </w:rPr>
      </w:pPr>
      <w:r w:rsidRPr="003F09D3">
        <w:rPr>
          <w:i/>
          <w:iCs/>
          <w:lang w:val="es-ES" w:eastAsia="en-GB"/>
        </w:rPr>
        <w:t>d)</w:t>
      </w:r>
      <w:r w:rsidRPr="003F09D3">
        <w:rPr>
          <w:lang w:val="es-ES" w:eastAsia="en-GB"/>
        </w:rPr>
        <w:tab/>
      </w:r>
      <w:r w:rsidR="00AF4DD6" w:rsidRPr="003F09D3">
        <w:rPr>
          <w:lang w:val="es-ES" w:eastAsia="en-GB"/>
        </w:rPr>
        <w:t xml:space="preserve">que la capacidad de la UIT de ofrecer una plataforma de colaboración y entendimiento mutuo entre las administraciones y la industria debería gozar de </w:t>
      </w:r>
      <w:r w:rsidR="00915D6D" w:rsidRPr="003F09D3">
        <w:rPr>
          <w:lang w:val="es-ES" w:eastAsia="en-GB"/>
        </w:rPr>
        <w:t xml:space="preserve">un </w:t>
      </w:r>
      <w:r w:rsidR="00BF1C04" w:rsidRPr="003F09D3">
        <w:rPr>
          <w:lang w:val="es-ES" w:eastAsia="en-GB"/>
        </w:rPr>
        <w:t>mayor</w:t>
      </w:r>
      <w:r w:rsidR="00AF4DD6" w:rsidRPr="003F09D3">
        <w:rPr>
          <w:lang w:val="es-ES" w:eastAsia="en-GB"/>
        </w:rPr>
        <w:t xml:space="preserve"> reconocimiento en la amplia gama de actividades de la UIT</w:t>
      </w:r>
      <w:r w:rsidRPr="003F09D3">
        <w:rPr>
          <w:lang w:val="es-ES" w:eastAsia="en-GB"/>
        </w:rPr>
        <w:t>,</w:t>
      </w:r>
    </w:p>
    <w:p w14:paraId="29DA657C" w14:textId="3BBD454B" w:rsidR="008019F3" w:rsidRPr="003F09D3" w:rsidRDefault="00AF4DD6" w:rsidP="008019F3">
      <w:pPr>
        <w:pStyle w:val="Call"/>
        <w:rPr>
          <w:rFonts w:asciiTheme="minorHAnsi" w:hAnsiTheme="minorHAnsi" w:cstheme="minorHAnsi"/>
          <w:szCs w:val="24"/>
          <w:lang w:val="es-ES" w:eastAsia="en-GB"/>
        </w:rPr>
      </w:pPr>
      <w:r w:rsidRPr="003F09D3">
        <w:rPr>
          <w:lang w:val="es-ES" w:eastAsia="en-GB"/>
        </w:rPr>
        <w:t xml:space="preserve">resuelve encargar al </w:t>
      </w:r>
      <w:proofErr w:type="gramStart"/>
      <w:r w:rsidRPr="003F09D3">
        <w:rPr>
          <w:lang w:val="es-ES" w:eastAsia="en-GB"/>
        </w:rPr>
        <w:t>Secretario General</w:t>
      </w:r>
      <w:proofErr w:type="gramEnd"/>
      <w:r w:rsidRPr="003F09D3">
        <w:rPr>
          <w:lang w:val="es-ES" w:eastAsia="en-GB"/>
        </w:rPr>
        <w:t xml:space="preserve"> y a los Directores de las Oficinas</w:t>
      </w:r>
    </w:p>
    <w:p w14:paraId="3A73FC98" w14:textId="117C75E7" w:rsidR="008019F3" w:rsidRPr="003F09D3" w:rsidRDefault="008019F3" w:rsidP="008019F3">
      <w:pPr>
        <w:rPr>
          <w:lang w:val="es-ES" w:eastAsia="en-GB"/>
        </w:rPr>
      </w:pPr>
      <w:r w:rsidRPr="003F09D3">
        <w:rPr>
          <w:lang w:val="es-ES" w:eastAsia="en-GB"/>
        </w:rPr>
        <w:t>1</w:t>
      </w:r>
      <w:r w:rsidRPr="003F09D3">
        <w:rPr>
          <w:lang w:val="es-ES" w:eastAsia="en-GB"/>
        </w:rPr>
        <w:tab/>
      </w:r>
      <w:r w:rsidR="002A0278" w:rsidRPr="003F09D3">
        <w:rPr>
          <w:lang w:val="es-ES" w:eastAsia="en-GB"/>
        </w:rPr>
        <w:t xml:space="preserve">que adopten medidas para impulsar y fortalecer las </w:t>
      </w:r>
      <w:proofErr w:type="spellStart"/>
      <w:r w:rsidR="002A0278" w:rsidRPr="003F09D3">
        <w:rPr>
          <w:lang w:val="es-ES" w:eastAsia="en-GB"/>
        </w:rPr>
        <w:t>simetrías</w:t>
      </w:r>
      <w:proofErr w:type="spellEnd"/>
      <w:r w:rsidR="002A0278" w:rsidRPr="003F09D3">
        <w:rPr>
          <w:lang w:val="es-ES" w:eastAsia="en-GB"/>
        </w:rPr>
        <w:t xml:space="preserve"> entre la industria y los Estados Miembros en relación con el cumplimiento de</w:t>
      </w:r>
      <w:r w:rsidR="00915D6D" w:rsidRPr="003F09D3">
        <w:rPr>
          <w:lang w:val="es-ES" w:eastAsia="en-GB"/>
        </w:rPr>
        <w:t xml:space="preserve">l objeto </w:t>
      </w:r>
      <w:r w:rsidR="002A0278" w:rsidRPr="003F09D3">
        <w:rPr>
          <w:lang w:val="es-ES" w:eastAsia="en-GB"/>
        </w:rPr>
        <w:t xml:space="preserve">de la Unión y las metas del Plan Estratégico, </w:t>
      </w:r>
      <w:r w:rsidR="00915D6D" w:rsidRPr="003F09D3">
        <w:rPr>
          <w:lang w:val="es-ES" w:eastAsia="en-GB"/>
        </w:rPr>
        <w:t>incluidas, entre otras,</w:t>
      </w:r>
      <w:r w:rsidR="002A0278" w:rsidRPr="003F09D3">
        <w:rPr>
          <w:lang w:val="es-ES" w:eastAsia="en-GB"/>
        </w:rPr>
        <w:t xml:space="preserve"> las siguientes</w:t>
      </w:r>
      <w:r w:rsidRPr="003F09D3">
        <w:rPr>
          <w:lang w:val="es-ES" w:eastAsia="en-GB"/>
        </w:rPr>
        <w:t>:</w:t>
      </w:r>
    </w:p>
    <w:p w14:paraId="0EAE360D" w14:textId="149A8B30" w:rsidR="008019F3" w:rsidRPr="003F09D3" w:rsidRDefault="00E60AE6" w:rsidP="00E60AE6">
      <w:pPr>
        <w:pStyle w:val="enumlev1"/>
        <w:rPr>
          <w:rFonts w:eastAsia="Calibri"/>
          <w:lang w:val="es-ES"/>
        </w:rPr>
      </w:pPr>
      <w:r w:rsidRPr="003F09D3">
        <w:rPr>
          <w:rFonts w:eastAsia="Calibri"/>
          <w:lang w:val="es-ES"/>
        </w:rPr>
        <w:t>–</w:t>
      </w:r>
      <w:r w:rsidR="004B5706" w:rsidRPr="003F09D3">
        <w:rPr>
          <w:rFonts w:eastAsia="Calibri"/>
          <w:lang w:val="es-ES"/>
        </w:rPr>
        <w:tab/>
      </w:r>
      <w:r w:rsidR="00FB43D8" w:rsidRPr="003F09D3">
        <w:rPr>
          <w:rFonts w:eastAsia="Calibri"/>
          <w:lang w:val="es-ES"/>
        </w:rPr>
        <w:t>d</w:t>
      </w:r>
      <w:r w:rsidR="00B45581" w:rsidRPr="003F09D3">
        <w:rPr>
          <w:rFonts w:eastAsia="Calibri"/>
          <w:lang w:val="es-ES"/>
        </w:rPr>
        <w:t>eterminar de qué manera la UIT</w:t>
      </w:r>
      <w:r w:rsidR="00CA0C3E" w:rsidRPr="003F09D3">
        <w:rPr>
          <w:rFonts w:eastAsia="Calibri"/>
          <w:lang w:val="es-ES"/>
        </w:rPr>
        <w:t xml:space="preserve"> </w:t>
      </w:r>
      <w:r w:rsidR="00B45581" w:rsidRPr="003F09D3">
        <w:rPr>
          <w:rFonts w:eastAsia="Calibri"/>
          <w:lang w:val="es-ES"/>
        </w:rPr>
        <w:t xml:space="preserve">puede </w:t>
      </w:r>
      <w:r w:rsidR="00477A4B" w:rsidRPr="003F09D3">
        <w:rPr>
          <w:rFonts w:eastAsia="Calibri"/>
          <w:lang w:val="es-ES"/>
        </w:rPr>
        <w:t xml:space="preserve">establecer </w:t>
      </w:r>
      <w:r w:rsidR="00B45581" w:rsidRPr="003F09D3">
        <w:rPr>
          <w:rFonts w:eastAsia="Calibri"/>
          <w:lang w:val="es-ES"/>
        </w:rPr>
        <w:t>una visión común del futuro</w:t>
      </w:r>
      <w:r w:rsidR="00CA0C3E" w:rsidRPr="003F09D3">
        <w:rPr>
          <w:rFonts w:eastAsia="Calibri"/>
          <w:lang w:val="es-ES"/>
        </w:rPr>
        <w:t xml:space="preserve"> como asociación público-privada</w:t>
      </w:r>
      <w:r w:rsidR="00B45581" w:rsidRPr="003F09D3">
        <w:rPr>
          <w:rFonts w:eastAsia="Calibri"/>
          <w:lang w:val="es-ES"/>
        </w:rPr>
        <w:t xml:space="preserve"> </w:t>
      </w:r>
      <w:r w:rsidR="00FB43D8" w:rsidRPr="003F09D3">
        <w:rPr>
          <w:rFonts w:eastAsia="Calibri"/>
          <w:lang w:val="es-ES"/>
        </w:rPr>
        <w:t>a fin de</w:t>
      </w:r>
      <w:r w:rsidR="00B45581" w:rsidRPr="003F09D3">
        <w:rPr>
          <w:rFonts w:eastAsia="Calibri"/>
          <w:lang w:val="es-ES"/>
        </w:rPr>
        <w:t xml:space="preserve"> preservar y fortalecer su credibilidad internacional </w:t>
      </w:r>
      <w:r w:rsidR="00477A4B" w:rsidRPr="003F09D3">
        <w:rPr>
          <w:rFonts w:eastAsia="Calibri"/>
          <w:lang w:val="es-ES"/>
        </w:rPr>
        <w:t>definiendo de forma más clara</w:t>
      </w:r>
      <w:r w:rsidR="00CA0C3E" w:rsidRPr="003F09D3">
        <w:rPr>
          <w:rFonts w:eastAsia="Calibri"/>
          <w:lang w:val="es-ES"/>
        </w:rPr>
        <w:t xml:space="preserve"> las</w:t>
      </w:r>
      <w:r w:rsidR="00B45581" w:rsidRPr="003F09D3">
        <w:rPr>
          <w:rFonts w:eastAsia="Calibri"/>
          <w:lang w:val="es-ES"/>
        </w:rPr>
        <w:t xml:space="preserve"> </w:t>
      </w:r>
      <w:r w:rsidR="00312AB9" w:rsidRPr="003F09D3">
        <w:rPr>
          <w:rFonts w:eastAsia="Calibri"/>
          <w:lang w:val="es-ES"/>
        </w:rPr>
        <w:t>funciones</w:t>
      </w:r>
      <w:r w:rsidR="00477A4B" w:rsidRPr="003F09D3">
        <w:rPr>
          <w:rFonts w:eastAsia="Calibri"/>
          <w:lang w:val="es-ES"/>
        </w:rPr>
        <w:t xml:space="preserve"> respectivas</w:t>
      </w:r>
      <w:r w:rsidR="00B45581" w:rsidRPr="003F09D3">
        <w:rPr>
          <w:rFonts w:eastAsia="Calibri"/>
          <w:lang w:val="es-ES"/>
        </w:rPr>
        <w:t xml:space="preserve"> de </w:t>
      </w:r>
      <w:r w:rsidR="00477A4B" w:rsidRPr="003F09D3">
        <w:rPr>
          <w:rFonts w:eastAsia="Calibri"/>
          <w:lang w:val="es-ES"/>
        </w:rPr>
        <w:t xml:space="preserve">ese tipo de </w:t>
      </w:r>
      <w:r w:rsidR="00B45581" w:rsidRPr="003F09D3">
        <w:rPr>
          <w:rFonts w:eastAsia="Calibri"/>
          <w:lang w:val="es-ES"/>
        </w:rPr>
        <w:t>asociaciones</w:t>
      </w:r>
      <w:r w:rsidR="008019F3" w:rsidRPr="003F09D3">
        <w:rPr>
          <w:rFonts w:eastAsia="Calibri"/>
          <w:lang w:val="es-ES"/>
        </w:rPr>
        <w:t>;</w:t>
      </w:r>
    </w:p>
    <w:p w14:paraId="4C5C5A9A" w14:textId="757F1A4E" w:rsidR="008019F3" w:rsidRPr="003F09D3" w:rsidRDefault="00E60AE6" w:rsidP="00E60AE6">
      <w:pPr>
        <w:pStyle w:val="enumlev1"/>
        <w:rPr>
          <w:rFonts w:eastAsia="Calibri"/>
          <w:szCs w:val="24"/>
          <w:lang w:val="es-ES"/>
        </w:rPr>
      </w:pPr>
      <w:r w:rsidRPr="003F09D3">
        <w:rPr>
          <w:rFonts w:eastAsia="Calibri"/>
          <w:lang w:val="es-ES"/>
        </w:rPr>
        <w:t>–</w:t>
      </w:r>
      <w:r w:rsidR="004B5706" w:rsidRPr="003F09D3">
        <w:rPr>
          <w:rFonts w:eastAsia="Calibri"/>
          <w:szCs w:val="24"/>
          <w:lang w:val="es-ES"/>
        </w:rPr>
        <w:tab/>
      </w:r>
      <w:r w:rsidR="00312AB9" w:rsidRPr="003F09D3">
        <w:rPr>
          <w:rFonts w:eastAsia="Calibri"/>
          <w:szCs w:val="24"/>
          <w:lang w:val="es-ES"/>
        </w:rPr>
        <w:t xml:space="preserve">determinar de qué manera el UIT-T puede aportar valor a todas las partes o mejorar la calidad mediante su proceso de normalización </w:t>
      </w:r>
      <w:r w:rsidR="003A0F6F" w:rsidRPr="003F09D3">
        <w:rPr>
          <w:rFonts w:eastAsia="Calibri"/>
          <w:szCs w:val="24"/>
          <w:lang w:val="es-ES"/>
        </w:rPr>
        <w:t>a nivel</w:t>
      </w:r>
      <w:r w:rsidR="00312AB9" w:rsidRPr="003F09D3">
        <w:rPr>
          <w:rFonts w:eastAsia="Calibri"/>
          <w:szCs w:val="24"/>
          <w:lang w:val="es-ES"/>
        </w:rPr>
        <w:t xml:space="preserve"> mundial</w:t>
      </w:r>
      <w:r w:rsidR="008019F3" w:rsidRPr="003F09D3">
        <w:rPr>
          <w:rFonts w:eastAsia="Calibri"/>
          <w:szCs w:val="24"/>
          <w:lang w:val="es-ES"/>
        </w:rPr>
        <w:t>;</w:t>
      </w:r>
    </w:p>
    <w:p w14:paraId="0E0CA389" w14:textId="18624EE3" w:rsidR="008019F3" w:rsidRPr="003F09D3" w:rsidRDefault="00E60AE6" w:rsidP="00E60AE6">
      <w:pPr>
        <w:pStyle w:val="enumlev1"/>
        <w:rPr>
          <w:rFonts w:eastAsia="Calibri"/>
          <w:szCs w:val="24"/>
          <w:lang w:val="es-ES"/>
        </w:rPr>
      </w:pPr>
      <w:r w:rsidRPr="003F09D3">
        <w:rPr>
          <w:rFonts w:eastAsia="Calibri"/>
          <w:lang w:val="es-ES"/>
        </w:rPr>
        <w:t>–</w:t>
      </w:r>
      <w:r w:rsidR="004B5706" w:rsidRPr="003F09D3">
        <w:rPr>
          <w:rFonts w:eastAsia="Calibri"/>
          <w:szCs w:val="24"/>
          <w:lang w:val="es-ES"/>
        </w:rPr>
        <w:tab/>
      </w:r>
      <w:r w:rsidR="00312AB9" w:rsidRPr="003F09D3">
        <w:rPr>
          <w:rFonts w:eastAsia="Calibri"/>
          <w:szCs w:val="24"/>
          <w:lang w:val="es-ES"/>
        </w:rPr>
        <w:t xml:space="preserve">determinar de qué manera el UIT-T puede </w:t>
      </w:r>
      <w:r w:rsidR="004B5706" w:rsidRPr="003F09D3">
        <w:rPr>
          <w:rFonts w:eastAsia="Calibri"/>
          <w:szCs w:val="24"/>
          <w:lang w:val="es-ES"/>
        </w:rPr>
        <w:t>aprovechar</w:t>
      </w:r>
      <w:r w:rsidR="00312AB9" w:rsidRPr="003F09D3">
        <w:rPr>
          <w:rFonts w:eastAsia="Calibri"/>
          <w:szCs w:val="24"/>
          <w:lang w:val="es-ES"/>
        </w:rPr>
        <w:t xml:space="preserve"> sus </w:t>
      </w:r>
      <w:r w:rsidR="004B5706" w:rsidRPr="003F09D3">
        <w:rPr>
          <w:rFonts w:eastAsia="Calibri"/>
          <w:szCs w:val="24"/>
          <w:lang w:val="es-ES"/>
        </w:rPr>
        <w:t>fortalezas</w:t>
      </w:r>
      <w:r w:rsidR="00312AB9" w:rsidRPr="003F09D3">
        <w:rPr>
          <w:rFonts w:eastAsia="Calibri"/>
          <w:szCs w:val="24"/>
          <w:lang w:val="es-ES"/>
        </w:rPr>
        <w:t xml:space="preserve"> particulares, como la transmisión óptica y la numeración</w:t>
      </w:r>
      <w:r w:rsidR="008019F3" w:rsidRPr="003F09D3">
        <w:rPr>
          <w:rFonts w:eastAsia="Calibri"/>
          <w:szCs w:val="24"/>
          <w:lang w:val="es-ES"/>
        </w:rPr>
        <w:t>;</w:t>
      </w:r>
    </w:p>
    <w:p w14:paraId="15EA6D3A" w14:textId="57F5A73E" w:rsidR="008019F3" w:rsidRPr="003F09D3" w:rsidRDefault="00E60AE6" w:rsidP="00E60AE6">
      <w:pPr>
        <w:pStyle w:val="enumlev1"/>
        <w:rPr>
          <w:rFonts w:eastAsia="Calibri"/>
          <w:szCs w:val="24"/>
          <w:lang w:val="es-ES"/>
        </w:rPr>
      </w:pPr>
      <w:r w:rsidRPr="003F09D3">
        <w:rPr>
          <w:rFonts w:eastAsia="Calibri"/>
          <w:lang w:val="es-ES"/>
        </w:rPr>
        <w:lastRenderedPageBreak/>
        <w:t>–</w:t>
      </w:r>
      <w:r w:rsidR="004B5706" w:rsidRPr="003F09D3">
        <w:rPr>
          <w:rFonts w:eastAsia="Calibri"/>
          <w:szCs w:val="24"/>
          <w:lang w:val="es-ES"/>
        </w:rPr>
        <w:tab/>
      </w:r>
      <w:r w:rsidR="00015EB0" w:rsidRPr="003F09D3">
        <w:rPr>
          <w:rFonts w:eastAsia="Calibri"/>
          <w:szCs w:val="24"/>
          <w:lang w:val="es-ES"/>
        </w:rPr>
        <w:t xml:space="preserve">explorar la posibilidad </w:t>
      </w:r>
      <w:r w:rsidR="006F6CA4" w:rsidRPr="003F09D3">
        <w:rPr>
          <w:rFonts w:eastAsia="Calibri"/>
          <w:szCs w:val="24"/>
          <w:lang w:val="es-ES"/>
        </w:rPr>
        <w:t xml:space="preserve">de que </w:t>
      </w:r>
      <w:r w:rsidR="00F800B8" w:rsidRPr="003F09D3">
        <w:rPr>
          <w:rFonts w:eastAsia="Calibri"/>
          <w:szCs w:val="24"/>
          <w:lang w:val="es-ES"/>
        </w:rPr>
        <w:t>los trabajos</w:t>
      </w:r>
      <w:r w:rsidR="006F6CA4" w:rsidRPr="003F09D3">
        <w:rPr>
          <w:rFonts w:eastAsia="Calibri"/>
          <w:szCs w:val="24"/>
          <w:lang w:val="es-ES"/>
        </w:rPr>
        <w:t xml:space="preserve"> se </w:t>
      </w:r>
      <w:r w:rsidR="00F800B8" w:rsidRPr="003F09D3">
        <w:rPr>
          <w:rFonts w:eastAsia="Calibri"/>
          <w:szCs w:val="24"/>
          <w:lang w:val="es-ES"/>
        </w:rPr>
        <w:t xml:space="preserve">basen más en </w:t>
      </w:r>
      <w:r w:rsidR="006F6CA4" w:rsidRPr="003F09D3">
        <w:rPr>
          <w:rFonts w:eastAsia="Calibri"/>
          <w:szCs w:val="24"/>
          <w:lang w:val="es-ES"/>
        </w:rPr>
        <w:t>proyectos</w:t>
      </w:r>
      <w:r w:rsidR="00015EB0" w:rsidRPr="003F09D3">
        <w:rPr>
          <w:rFonts w:eastAsia="Calibri"/>
          <w:szCs w:val="24"/>
          <w:lang w:val="es-ES"/>
        </w:rPr>
        <w:t>,</w:t>
      </w:r>
      <w:r w:rsidR="00F800B8" w:rsidRPr="003F09D3">
        <w:rPr>
          <w:rFonts w:eastAsia="Calibri"/>
          <w:szCs w:val="24"/>
          <w:lang w:val="es-ES"/>
        </w:rPr>
        <w:t xml:space="preserve"> teniendo en cuenta </w:t>
      </w:r>
      <w:r w:rsidR="00015EB0" w:rsidRPr="003F09D3">
        <w:rPr>
          <w:rFonts w:eastAsia="Calibri"/>
          <w:szCs w:val="24"/>
          <w:lang w:val="es-ES"/>
        </w:rPr>
        <w:t xml:space="preserve">los métodos de trabajo del sector privado, </w:t>
      </w:r>
      <w:r w:rsidR="00F800B8" w:rsidRPr="003F09D3">
        <w:rPr>
          <w:rFonts w:eastAsia="Calibri"/>
          <w:szCs w:val="24"/>
          <w:lang w:val="es-ES"/>
        </w:rPr>
        <w:t>para favorecer las actividades</w:t>
      </w:r>
      <w:r w:rsidR="00015EB0" w:rsidRPr="003F09D3">
        <w:rPr>
          <w:rFonts w:eastAsia="Calibri"/>
          <w:szCs w:val="24"/>
          <w:lang w:val="es-ES"/>
        </w:rPr>
        <w:t xml:space="preserve"> intersectoriales;</w:t>
      </w:r>
    </w:p>
    <w:p w14:paraId="5D6D1539" w14:textId="4778176D" w:rsidR="008019F3" w:rsidRPr="003F09D3" w:rsidRDefault="00E60AE6" w:rsidP="00E60AE6">
      <w:pPr>
        <w:pStyle w:val="enumlev1"/>
        <w:rPr>
          <w:rFonts w:eastAsia="Calibri"/>
          <w:szCs w:val="24"/>
          <w:lang w:val="es-ES"/>
        </w:rPr>
      </w:pPr>
      <w:r w:rsidRPr="003F09D3">
        <w:rPr>
          <w:rFonts w:eastAsia="Calibri"/>
          <w:lang w:val="es-ES"/>
        </w:rPr>
        <w:t>–</w:t>
      </w:r>
      <w:r w:rsidR="004B5706" w:rsidRPr="003F09D3">
        <w:rPr>
          <w:rFonts w:eastAsia="Calibri"/>
          <w:szCs w:val="24"/>
          <w:lang w:val="es-ES"/>
        </w:rPr>
        <w:tab/>
      </w:r>
      <w:r w:rsidR="00015EB0" w:rsidRPr="003F09D3">
        <w:rPr>
          <w:rFonts w:eastAsia="Calibri"/>
          <w:szCs w:val="24"/>
          <w:lang w:val="es-ES"/>
        </w:rPr>
        <w:t>explorar</w:t>
      </w:r>
      <w:r w:rsidR="005B14DD" w:rsidRPr="003F09D3">
        <w:rPr>
          <w:rFonts w:eastAsia="Calibri"/>
          <w:szCs w:val="24"/>
          <w:lang w:val="es-ES"/>
        </w:rPr>
        <w:t xml:space="preserve"> </w:t>
      </w:r>
      <w:r w:rsidR="00015EB0" w:rsidRPr="003F09D3">
        <w:rPr>
          <w:rFonts w:eastAsia="Calibri"/>
          <w:szCs w:val="24"/>
          <w:lang w:val="es-ES"/>
        </w:rPr>
        <w:t>mecanismos</w:t>
      </w:r>
      <w:r w:rsidR="005B14DD" w:rsidRPr="003F09D3">
        <w:rPr>
          <w:rFonts w:eastAsia="Calibri"/>
          <w:szCs w:val="24"/>
          <w:lang w:val="es-ES"/>
        </w:rPr>
        <w:t>, si procede,</w:t>
      </w:r>
      <w:r w:rsidR="0031196B" w:rsidRPr="003F09D3">
        <w:rPr>
          <w:rFonts w:eastAsia="Calibri"/>
          <w:szCs w:val="24"/>
          <w:lang w:val="es-ES"/>
        </w:rPr>
        <w:t xml:space="preserve"> </w:t>
      </w:r>
      <w:r w:rsidR="005B14DD" w:rsidRPr="003F09D3">
        <w:rPr>
          <w:rFonts w:eastAsia="Calibri"/>
          <w:szCs w:val="24"/>
          <w:lang w:val="es-ES"/>
        </w:rPr>
        <w:t>para</w:t>
      </w:r>
      <w:r w:rsidR="00826EEA" w:rsidRPr="003F09D3">
        <w:rPr>
          <w:rFonts w:eastAsia="Calibri"/>
          <w:szCs w:val="24"/>
          <w:lang w:val="es-ES"/>
        </w:rPr>
        <w:t xml:space="preserve"> desarrollar procesos avanzados </w:t>
      </w:r>
      <w:r w:rsidR="005B14DD" w:rsidRPr="003F09D3">
        <w:rPr>
          <w:rFonts w:eastAsia="Calibri"/>
          <w:szCs w:val="24"/>
          <w:lang w:val="es-ES"/>
        </w:rPr>
        <w:t xml:space="preserve">de establecimiento de </w:t>
      </w:r>
      <w:r w:rsidR="0031196B" w:rsidRPr="003F09D3">
        <w:rPr>
          <w:rFonts w:eastAsia="Calibri"/>
          <w:szCs w:val="24"/>
          <w:lang w:val="es-ES"/>
        </w:rPr>
        <w:t>consenso</w:t>
      </w:r>
      <w:r w:rsidR="00826EEA" w:rsidRPr="003F09D3">
        <w:rPr>
          <w:rFonts w:eastAsia="Calibri"/>
          <w:szCs w:val="24"/>
          <w:lang w:val="es-ES"/>
        </w:rPr>
        <w:t>s</w:t>
      </w:r>
      <w:r w:rsidR="0031196B" w:rsidRPr="003F09D3">
        <w:rPr>
          <w:rFonts w:eastAsia="Calibri"/>
          <w:szCs w:val="24"/>
          <w:lang w:val="es-ES"/>
        </w:rPr>
        <w:t xml:space="preserve"> entre los Miembros</w:t>
      </w:r>
      <w:r w:rsidR="003F09D3" w:rsidRPr="003F09D3">
        <w:rPr>
          <w:rFonts w:eastAsia="Calibri"/>
          <w:szCs w:val="24"/>
          <w:lang w:val="es-ES"/>
        </w:rPr>
        <w:t>;</w:t>
      </w:r>
    </w:p>
    <w:p w14:paraId="3CD40CAA" w14:textId="719A0368" w:rsidR="008019F3" w:rsidRPr="003F09D3" w:rsidRDefault="008019F3" w:rsidP="008019F3">
      <w:pPr>
        <w:rPr>
          <w:rFonts w:asciiTheme="minorHAnsi" w:hAnsiTheme="minorHAnsi" w:cstheme="minorHAnsi"/>
          <w:szCs w:val="24"/>
          <w:lang w:val="es-ES" w:eastAsia="en-GB"/>
        </w:rPr>
      </w:pPr>
      <w:r w:rsidRPr="003F09D3">
        <w:rPr>
          <w:lang w:val="es-ES" w:eastAsia="en-GB"/>
        </w:rPr>
        <w:t>2</w:t>
      </w:r>
      <w:r w:rsidRPr="003F09D3">
        <w:rPr>
          <w:lang w:val="es-ES" w:eastAsia="en-GB"/>
        </w:rPr>
        <w:tab/>
      </w:r>
      <w:r w:rsidR="00F43E08" w:rsidRPr="003F09D3">
        <w:rPr>
          <w:lang w:val="es-ES" w:eastAsia="en-GB"/>
        </w:rPr>
        <w:t xml:space="preserve">que adopten las medidas necesarias y </w:t>
      </w:r>
      <w:r w:rsidR="007E5BA9" w:rsidRPr="003F09D3">
        <w:rPr>
          <w:lang w:val="es-ES" w:eastAsia="en-GB"/>
        </w:rPr>
        <w:t>oportunas</w:t>
      </w:r>
      <w:r w:rsidR="00F43E08" w:rsidRPr="003F09D3">
        <w:rPr>
          <w:lang w:val="es-ES" w:eastAsia="en-GB"/>
        </w:rPr>
        <w:t xml:space="preserve"> para aplicar la presente Resolución, mediante</w:t>
      </w:r>
      <w:r w:rsidR="004A317B" w:rsidRPr="003F09D3">
        <w:rPr>
          <w:lang w:val="es-ES" w:eastAsia="en-GB"/>
        </w:rPr>
        <w:t>:</w:t>
      </w:r>
    </w:p>
    <w:p w14:paraId="2DF6B13F" w14:textId="72557E42" w:rsidR="008019F3" w:rsidRPr="003F09D3" w:rsidRDefault="00E60AE6" w:rsidP="00E60AE6">
      <w:pPr>
        <w:pStyle w:val="enumlev1"/>
        <w:rPr>
          <w:rFonts w:cs="Calibri"/>
          <w:szCs w:val="24"/>
          <w:lang w:val="es-ES" w:eastAsia="en-GB"/>
        </w:rPr>
      </w:pPr>
      <w:r w:rsidRPr="003F09D3">
        <w:rPr>
          <w:rFonts w:eastAsia="Calibri"/>
          <w:lang w:val="es-ES"/>
        </w:rPr>
        <w:t>–</w:t>
      </w:r>
      <w:r w:rsidR="008019F3" w:rsidRPr="003F09D3">
        <w:rPr>
          <w:rFonts w:cs="Calibri"/>
          <w:szCs w:val="24"/>
          <w:lang w:val="es-ES" w:eastAsia="en-GB"/>
        </w:rPr>
        <w:tab/>
      </w:r>
      <w:r w:rsidR="000B6361" w:rsidRPr="003F09D3">
        <w:rPr>
          <w:rFonts w:cs="Calibri"/>
          <w:szCs w:val="24"/>
          <w:lang w:val="es-ES" w:eastAsia="en-GB"/>
        </w:rPr>
        <w:t xml:space="preserve">la organización de talleres periódicos con la industria </w:t>
      </w:r>
      <w:r w:rsidR="00AA5C86" w:rsidRPr="003F09D3">
        <w:rPr>
          <w:rFonts w:cs="Calibri"/>
          <w:szCs w:val="24"/>
          <w:lang w:val="es-ES" w:eastAsia="en-GB"/>
        </w:rPr>
        <w:t>a fin de</w:t>
      </w:r>
      <w:r w:rsidR="000B6361" w:rsidRPr="003F09D3">
        <w:rPr>
          <w:rFonts w:cs="Calibri"/>
          <w:szCs w:val="24"/>
          <w:lang w:val="es-ES" w:eastAsia="en-GB"/>
        </w:rPr>
        <w:t xml:space="preserve"> recabar información sobre cómo mejorar la participación en la UIT, prestando especial atención a las generaciones más jóvenes, y </w:t>
      </w:r>
      <w:r w:rsidR="00BE15D9" w:rsidRPr="003F09D3">
        <w:rPr>
          <w:rFonts w:cs="Calibri"/>
          <w:szCs w:val="24"/>
          <w:lang w:val="es-ES" w:eastAsia="en-GB"/>
        </w:rPr>
        <w:t xml:space="preserve">la </w:t>
      </w:r>
      <w:r w:rsidR="00DF570F" w:rsidRPr="003F09D3">
        <w:rPr>
          <w:rFonts w:cs="Calibri"/>
          <w:szCs w:val="24"/>
          <w:lang w:val="es-ES" w:eastAsia="en-GB"/>
        </w:rPr>
        <w:t>presentación de</w:t>
      </w:r>
      <w:r w:rsidR="000B6361" w:rsidRPr="003F09D3">
        <w:rPr>
          <w:rFonts w:cs="Calibri"/>
          <w:szCs w:val="24"/>
          <w:lang w:val="es-ES" w:eastAsia="en-GB"/>
        </w:rPr>
        <w:t xml:space="preserve"> informes </w:t>
      </w:r>
      <w:r w:rsidR="005C1784" w:rsidRPr="003F09D3">
        <w:rPr>
          <w:rFonts w:cs="Calibri"/>
          <w:szCs w:val="24"/>
          <w:lang w:val="es-ES" w:eastAsia="en-GB"/>
        </w:rPr>
        <w:t xml:space="preserve">al respecto </w:t>
      </w:r>
      <w:r w:rsidR="000B6361" w:rsidRPr="003F09D3">
        <w:rPr>
          <w:rFonts w:cs="Calibri"/>
          <w:szCs w:val="24"/>
          <w:lang w:val="es-ES" w:eastAsia="en-GB"/>
        </w:rPr>
        <w:t xml:space="preserve">a los Grupos Asesores de cada Sector, al Consejo y a cualquier otro mecanismo </w:t>
      </w:r>
      <w:r w:rsidR="009F42C3" w:rsidRPr="003F09D3">
        <w:rPr>
          <w:rFonts w:cs="Calibri"/>
          <w:szCs w:val="24"/>
          <w:lang w:val="es-ES" w:eastAsia="en-GB"/>
        </w:rPr>
        <w:t>pertinente</w:t>
      </w:r>
      <w:r w:rsidR="000B6361" w:rsidRPr="003F09D3">
        <w:rPr>
          <w:rFonts w:cs="Calibri"/>
          <w:szCs w:val="24"/>
          <w:lang w:val="es-ES" w:eastAsia="en-GB"/>
        </w:rPr>
        <w:t>;</w:t>
      </w:r>
    </w:p>
    <w:p w14:paraId="6BFA8F68" w14:textId="3A7ACAE7" w:rsidR="008019F3" w:rsidRPr="003F09D3" w:rsidRDefault="00E60AE6" w:rsidP="00E60AE6">
      <w:pPr>
        <w:pStyle w:val="enumlev1"/>
        <w:rPr>
          <w:rFonts w:cs="Calibri"/>
          <w:szCs w:val="24"/>
          <w:lang w:val="es-ES" w:eastAsia="en-GB"/>
        </w:rPr>
      </w:pPr>
      <w:r w:rsidRPr="003F09D3">
        <w:rPr>
          <w:rFonts w:eastAsia="Calibri"/>
          <w:lang w:val="es-ES"/>
        </w:rPr>
        <w:t>–</w:t>
      </w:r>
      <w:r w:rsidR="008019F3" w:rsidRPr="003F09D3">
        <w:rPr>
          <w:rFonts w:cs="Calibri"/>
          <w:szCs w:val="24"/>
          <w:lang w:val="es-ES" w:eastAsia="en-GB"/>
        </w:rPr>
        <w:tab/>
      </w:r>
      <w:r w:rsidR="005B14DD" w:rsidRPr="003F09D3">
        <w:rPr>
          <w:rFonts w:cs="Calibri"/>
          <w:szCs w:val="24"/>
          <w:lang w:val="es-ES" w:eastAsia="en-GB"/>
        </w:rPr>
        <w:t>la ampliación de</w:t>
      </w:r>
      <w:r w:rsidR="00E76FFD" w:rsidRPr="003F09D3">
        <w:rPr>
          <w:rFonts w:cs="Calibri"/>
          <w:szCs w:val="24"/>
          <w:lang w:val="es-ES" w:eastAsia="en-GB"/>
        </w:rPr>
        <w:t xml:space="preserve"> la participación en las reuniones </w:t>
      </w:r>
      <w:r w:rsidR="00BE15D9" w:rsidRPr="003F09D3">
        <w:rPr>
          <w:rFonts w:cs="Calibri"/>
          <w:szCs w:val="24"/>
          <w:lang w:val="es-ES" w:eastAsia="en-GB"/>
        </w:rPr>
        <w:t>en</w:t>
      </w:r>
      <w:r w:rsidR="00E76FFD" w:rsidRPr="003F09D3">
        <w:rPr>
          <w:rFonts w:cs="Calibri"/>
          <w:szCs w:val="24"/>
          <w:lang w:val="es-ES" w:eastAsia="en-GB"/>
        </w:rPr>
        <w:t xml:space="preserve"> todos los Sectores de la UIT a </w:t>
      </w:r>
      <w:r w:rsidR="00BE15D9" w:rsidRPr="003F09D3">
        <w:rPr>
          <w:rFonts w:cs="Calibri"/>
          <w:szCs w:val="24"/>
          <w:lang w:val="es-ES" w:eastAsia="en-GB"/>
        </w:rPr>
        <w:t xml:space="preserve">los </w:t>
      </w:r>
      <w:r w:rsidR="00E76FFD" w:rsidRPr="003F09D3">
        <w:rPr>
          <w:rFonts w:cs="Calibri"/>
          <w:szCs w:val="24"/>
          <w:lang w:val="es-ES" w:eastAsia="en-GB"/>
        </w:rPr>
        <w:t xml:space="preserve">ejecutivos de la industria que representen </w:t>
      </w:r>
      <w:r w:rsidR="00D8039D" w:rsidRPr="003F09D3">
        <w:rPr>
          <w:rFonts w:cs="Calibri"/>
          <w:szCs w:val="24"/>
          <w:lang w:val="es-ES" w:eastAsia="en-GB"/>
        </w:rPr>
        <w:t xml:space="preserve">opiniones diversas de partes interesadas </w:t>
      </w:r>
      <w:r w:rsidR="00E76FFD" w:rsidRPr="003F09D3">
        <w:rPr>
          <w:rFonts w:cs="Calibri"/>
          <w:szCs w:val="24"/>
          <w:lang w:val="es-ES" w:eastAsia="en-GB"/>
        </w:rPr>
        <w:t xml:space="preserve">a fin de </w:t>
      </w:r>
      <w:r w:rsidR="00D8039D" w:rsidRPr="003F09D3">
        <w:rPr>
          <w:rFonts w:cs="Calibri"/>
          <w:szCs w:val="24"/>
          <w:lang w:val="es-ES" w:eastAsia="en-GB"/>
        </w:rPr>
        <w:t>contribuir al</w:t>
      </w:r>
      <w:r w:rsidR="00E76FFD" w:rsidRPr="003F09D3">
        <w:rPr>
          <w:rFonts w:cs="Calibri"/>
          <w:szCs w:val="24"/>
          <w:lang w:val="es-ES" w:eastAsia="en-GB"/>
        </w:rPr>
        <w:t xml:space="preserve"> establecimiento y</w:t>
      </w:r>
      <w:r w:rsidR="009F42C3" w:rsidRPr="003F09D3">
        <w:rPr>
          <w:rFonts w:cs="Calibri"/>
          <w:szCs w:val="24"/>
          <w:lang w:val="es-ES" w:eastAsia="en-GB"/>
        </w:rPr>
        <w:t xml:space="preserve"> la</w:t>
      </w:r>
      <w:r w:rsidR="00E76FFD" w:rsidRPr="003F09D3">
        <w:rPr>
          <w:rFonts w:cs="Calibri"/>
          <w:szCs w:val="24"/>
          <w:lang w:val="es-ES" w:eastAsia="en-GB"/>
        </w:rPr>
        <w:t xml:space="preserve"> coordinación de las prioridades y los temas de normalización</w:t>
      </w:r>
      <w:r w:rsidR="00DF570F" w:rsidRPr="003F09D3">
        <w:rPr>
          <w:rFonts w:cs="Calibri"/>
          <w:szCs w:val="24"/>
          <w:lang w:val="es-ES" w:eastAsia="en-GB"/>
        </w:rPr>
        <w:t>,</w:t>
      </w:r>
      <w:r w:rsidR="00E76FFD" w:rsidRPr="003F09D3">
        <w:rPr>
          <w:rFonts w:cs="Calibri"/>
          <w:szCs w:val="24"/>
          <w:lang w:val="es-ES" w:eastAsia="en-GB"/>
        </w:rPr>
        <w:t xml:space="preserve"> y </w:t>
      </w:r>
      <w:r w:rsidR="00BE15D9" w:rsidRPr="003F09D3">
        <w:rPr>
          <w:rFonts w:cs="Calibri"/>
          <w:szCs w:val="24"/>
          <w:lang w:val="es-ES" w:eastAsia="en-GB"/>
        </w:rPr>
        <w:t xml:space="preserve">la </w:t>
      </w:r>
      <w:r w:rsidR="00DF570F" w:rsidRPr="003F09D3">
        <w:rPr>
          <w:rFonts w:cs="Calibri"/>
          <w:szCs w:val="24"/>
          <w:lang w:val="es-ES" w:eastAsia="en-GB"/>
        </w:rPr>
        <w:t xml:space="preserve">presentación de </w:t>
      </w:r>
      <w:r w:rsidR="00E76FFD" w:rsidRPr="003F09D3">
        <w:rPr>
          <w:rFonts w:cs="Calibri"/>
          <w:szCs w:val="24"/>
          <w:lang w:val="es-ES" w:eastAsia="en-GB"/>
        </w:rPr>
        <w:t>inform</w:t>
      </w:r>
      <w:r w:rsidR="00DF570F" w:rsidRPr="003F09D3">
        <w:rPr>
          <w:rFonts w:cs="Calibri"/>
          <w:szCs w:val="24"/>
          <w:lang w:val="es-ES" w:eastAsia="en-GB"/>
        </w:rPr>
        <w:t>es</w:t>
      </w:r>
      <w:r w:rsidR="005C1784" w:rsidRPr="003F09D3">
        <w:rPr>
          <w:rFonts w:cs="Calibri"/>
          <w:szCs w:val="24"/>
          <w:lang w:val="es-ES" w:eastAsia="en-GB"/>
        </w:rPr>
        <w:t xml:space="preserve"> al respecto</w:t>
      </w:r>
      <w:r w:rsidR="00E76FFD" w:rsidRPr="003F09D3">
        <w:rPr>
          <w:rFonts w:cs="Calibri"/>
          <w:szCs w:val="24"/>
          <w:lang w:val="es-ES" w:eastAsia="en-GB"/>
        </w:rPr>
        <w:t xml:space="preserve"> </w:t>
      </w:r>
      <w:r w:rsidR="00DF570F" w:rsidRPr="003F09D3">
        <w:rPr>
          <w:rFonts w:cs="Calibri"/>
          <w:szCs w:val="24"/>
          <w:lang w:val="es-ES" w:eastAsia="en-GB"/>
        </w:rPr>
        <w:t xml:space="preserve">a los Grupos Asesores de cada Sector, al Consejo y a cualquier otro mecanismo </w:t>
      </w:r>
      <w:r w:rsidR="009F42C3" w:rsidRPr="003F09D3">
        <w:rPr>
          <w:rFonts w:cs="Calibri"/>
          <w:szCs w:val="24"/>
          <w:lang w:val="es-ES" w:eastAsia="en-GB"/>
        </w:rPr>
        <w:t>pertinente</w:t>
      </w:r>
      <w:r w:rsidR="003F09D3" w:rsidRPr="003F09D3">
        <w:rPr>
          <w:rFonts w:cs="Calibri"/>
          <w:szCs w:val="24"/>
          <w:lang w:val="es-ES" w:eastAsia="en-GB"/>
        </w:rPr>
        <w:t>;</w:t>
      </w:r>
    </w:p>
    <w:p w14:paraId="065C7A9A" w14:textId="7F96D296" w:rsidR="008019F3" w:rsidRPr="003F09D3" w:rsidRDefault="008019F3" w:rsidP="008019F3">
      <w:pPr>
        <w:rPr>
          <w:rFonts w:eastAsia="Calibri"/>
          <w:lang w:val="es-ES"/>
        </w:rPr>
      </w:pPr>
      <w:r w:rsidRPr="003F09D3">
        <w:rPr>
          <w:rFonts w:cs="Calibri"/>
          <w:szCs w:val="22"/>
          <w:lang w:val="es-ES" w:eastAsia="en-GB"/>
        </w:rPr>
        <w:t>3</w:t>
      </w:r>
      <w:r w:rsidRPr="003F09D3">
        <w:rPr>
          <w:rFonts w:cs="Calibri"/>
          <w:szCs w:val="22"/>
          <w:lang w:val="es-ES" w:eastAsia="en-GB"/>
        </w:rPr>
        <w:tab/>
      </w:r>
      <w:r w:rsidR="00A968E3" w:rsidRPr="003F09D3">
        <w:rPr>
          <w:rFonts w:cs="Calibri"/>
          <w:szCs w:val="22"/>
          <w:lang w:val="es-ES" w:eastAsia="en-GB"/>
        </w:rPr>
        <w:t xml:space="preserve">que creen un </w:t>
      </w:r>
      <w:r w:rsidR="00E60AE6" w:rsidRPr="003F09D3">
        <w:rPr>
          <w:rFonts w:cs="Calibri"/>
          <w:szCs w:val="22"/>
          <w:lang w:val="es-ES" w:eastAsia="en-GB"/>
        </w:rPr>
        <w:t>"</w:t>
      </w:r>
      <w:r w:rsidR="00D8039D" w:rsidRPr="003F09D3">
        <w:rPr>
          <w:rFonts w:cs="Calibri"/>
          <w:szCs w:val="22"/>
          <w:lang w:val="es-ES" w:eastAsia="en-GB"/>
        </w:rPr>
        <w:t>Grupo Consultivo</w:t>
      </w:r>
      <w:r w:rsidR="00A968E3" w:rsidRPr="003F09D3">
        <w:rPr>
          <w:rFonts w:cs="Calibri"/>
          <w:szCs w:val="22"/>
          <w:lang w:val="es-ES" w:eastAsia="en-GB"/>
        </w:rPr>
        <w:t xml:space="preserve"> de la Industria</w:t>
      </w:r>
      <w:r w:rsidR="00E60AE6" w:rsidRPr="003F09D3">
        <w:rPr>
          <w:rFonts w:cs="Calibri"/>
          <w:szCs w:val="22"/>
          <w:lang w:val="es-ES" w:eastAsia="en-GB"/>
        </w:rPr>
        <w:t>"</w:t>
      </w:r>
      <w:r w:rsidR="00572E75" w:rsidRPr="003F09D3">
        <w:rPr>
          <w:rFonts w:cs="Calibri"/>
          <w:szCs w:val="22"/>
          <w:lang w:val="es-ES" w:eastAsia="en-GB"/>
        </w:rPr>
        <w:t xml:space="preserve"> </w:t>
      </w:r>
      <w:r w:rsidR="00A968E3" w:rsidRPr="003F09D3">
        <w:rPr>
          <w:rFonts w:cs="Calibri"/>
          <w:szCs w:val="22"/>
          <w:lang w:val="es-ES" w:eastAsia="en-GB"/>
        </w:rPr>
        <w:t xml:space="preserve">integrado por </w:t>
      </w:r>
      <w:r w:rsidR="00D8039D" w:rsidRPr="003F09D3">
        <w:rPr>
          <w:rFonts w:cs="Calibri"/>
          <w:szCs w:val="22"/>
          <w:lang w:val="es-ES" w:eastAsia="en-GB"/>
        </w:rPr>
        <w:t xml:space="preserve">una amplia y variada gama de </w:t>
      </w:r>
      <w:r w:rsidR="00A968E3" w:rsidRPr="003F09D3">
        <w:rPr>
          <w:rFonts w:cs="Calibri"/>
          <w:szCs w:val="22"/>
          <w:lang w:val="es-ES" w:eastAsia="en-GB"/>
        </w:rPr>
        <w:t xml:space="preserve">ejecutivos </w:t>
      </w:r>
      <w:r w:rsidR="00D8039D" w:rsidRPr="003F09D3">
        <w:rPr>
          <w:rFonts w:cs="Calibri"/>
          <w:szCs w:val="22"/>
          <w:lang w:val="es-ES" w:eastAsia="en-GB"/>
        </w:rPr>
        <w:t>de l</w:t>
      </w:r>
      <w:r w:rsidR="00A968E3" w:rsidRPr="003F09D3">
        <w:rPr>
          <w:rFonts w:cs="Calibri"/>
          <w:szCs w:val="22"/>
          <w:lang w:val="es-ES" w:eastAsia="en-GB"/>
        </w:rPr>
        <w:t xml:space="preserve">a industria para </w:t>
      </w:r>
      <w:r w:rsidR="00572E75" w:rsidRPr="003F09D3">
        <w:rPr>
          <w:rFonts w:cs="Calibri"/>
          <w:szCs w:val="22"/>
          <w:lang w:val="es-ES" w:eastAsia="en-GB"/>
        </w:rPr>
        <w:t>brindar asesoramiento y orientaciones s</w:t>
      </w:r>
      <w:r w:rsidR="00A968E3" w:rsidRPr="003F09D3">
        <w:rPr>
          <w:rFonts w:cs="Calibri"/>
          <w:szCs w:val="22"/>
          <w:lang w:val="es-ES" w:eastAsia="en-GB"/>
        </w:rPr>
        <w:t xml:space="preserve">obre iniciativas destinadas a mejorar la participación de la industria en las actividades de la UIT y </w:t>
      </w:r>
      <w:r w:rsidR="00572E75" w:rsidRPr="003F09D3">
        <w:rPr>
          <w:rFonts w:cs="Calibri"/>
          <w:szCs w:val="22"/>
          <w:lang w:val="es-ES" w:eastAsia="en-GB"/>
        </w:rPr>
        <w:t>fortalecer</w:t>
      </w:r>
      <w:r w:rsidR="00A968E3" w:rsidRPr="003F09D3">
        <w:rPr>
          <w:rFonts w:cs="Calibri"/>
          <w:szCs w:val="22"/>
          <w:lang w:val="es-ES" w:eastAsia="en-GB"/>
        </w:rPr>
        <w:t xml:space="preserve"> las asociaciones entre los </w:t>
      </w:r>
      <w:r w:rsidR="00572E75" w:rsidRPr="003F09D3">
        <w:rPr>
          <w:rFonts w:cs="Calibri"/>
          <w:szCs w:val="22"/>
          <w:lang w:val="es-ES" w:eastAsia="en-GB"/>
        </w:rPr>
        <w:t>m</w:t>
      </w:r>
      <w:r w:rsidR="00A968E3" w:rsidRPr="003F09D3">
        <w:rPr>
          <w:rFonts w:cs="Calibri"/>
          <w:szCs w:val="22"/>
          <w:lang w:val="es-ES" w:eastAsia="en-GB"/>
        </w:rPr>
        <w:t xml:space="preserve">iembros de la UIT </w:t>
      </w:r>
      <w:r w:rsidR="00D8039D" w:rsidRPr="003F09D3">
        <w:rPr>
          <w:rFonts w:cs="Calibri"/>
          <w:szCs w:val="22"/>
          <w:lang w:val="es-ES" w:eastAsia="en-GB"/>
        </w:rPr>
        <w:t xml:space="preserve">procedentes de la </w:t>
      </w:r>
      <w:r w:rsidR="00A968E3" w:rsidRPr="003F09D3">
        <w:rPr>
          <w:rFonts w:cs="Calibri"/>
          <w:szCs w:val="22"/>
          <w:lang w:val="es-ES" w:eastAsia="en-GB"/>
        </w:rPr>
        <w:t xml:space="preserve">industria y los Estados Miembros, </w:t>
      </w:r>
      <w:r w:rsidR="00BA09DC" w:rsidRPr="003F09D3">
        <w:rPr>
          <w:rFonts w:cs="Calibri"/>
          <w:szCs w:val="22"/>
          <w:lang w:val="es-ES" w:eastAsia="en-GB"/>
        </w:rPr>
        <w:t>y que</w:t>
      </w:r>
      <w:r w:rsidR="00D8039D" w:rsidRPr="003F09D3">
        <w:rPr>
          <w:rFonts w:cs="Calibri"/>
          <w:szCs w:val="22"/>
          <w:lang w:val="es-ES" w:eastAsia="en-GB"/>
        </w:rPr>
        <w:t xml:space="preserve"> inform</w:t>
      </w:r>
      <w:r w:rsidR="00BA09DC" w:rsidRPr="003F09D3">
        <w:rPr>
          <w:rFonts w:cs="Calibri"/>
          <w:szCs w:val="22"/>
          <w:lang w:val="es-ES" w:eastAsia="en-GB"/>
        </w:rPr>
        <w:t>en</w:t>
      </w:r>
      <w:r w:rsidR="00D8039D" w:rsidRPr="003F09D3">
        <w:rPr>
          <w:rFonts w:cs="Calibri"/>
          <w:szCs w:val="22"/>
          <w:lang w:val="es-ES" w:eastAsia="en-GB"/>
        </w:rPr>
        <w:t xml:space="preserve"> </w:t>
      </w:r>
      <w:r w:rsidR="00A968E3" w:rsidRPr="003F09D3">
        <w:rPr>
          <w:rFonts w:cs="Calibri"/>
          <w:szCs w:val="22"/>
          <w:lang w:val="es-ES" w:eastAsia="en-GB"/>
        </w:rPr>
        <w:t>al Consejo</w:t>
      </w:r>
      <w:r w:rsidR="00BA09DC" w:rsidRPr="003F09D3">
        <w:rPr>
          <w:rFonts w:cs="Calibri"/>
          <w:szCs w:val="22"/>
          <w:lang w:val="es-ES" w:eastAsia="en-GB"/>
        </w:rPr>
        <w:t xml:space="preserve"> al respecto</w:t>
      </w:r>
      <w:r w:rsidRPr="003F09D3">
        <w:rPr>
          <w:rFonts w:eastAsia="Calibri"/>
          <w:lang w:val="es-ES"/>
        </w:rPr>
        <w:t>,</w:t>
      </w:r>
    </w:p>
    <w:p w14:paraId="24D81620" w14:textId="675E13BE" w:rsidR="008019F3" w:rsidRPr="003F09D3" w:rsidRDefault="00115C6A" w:rsidP="008019F3">
      <w:pPr>
        <w:pStyle w:val="Call"/>
        <w:rPr>
          <w:rFonts w:asciiTheme="minorHAnsi" w:hAnsiTheme="minorHAnsi" w:cstheme="minorHAnsi"/>
          <w:szCs w:val="24"/>
          <w:lang w:val="es-ES" w:eastAsia="en-GB"/>
        </w:rPr>
      </w:pPr>
      <w:r w:rsidRPr="003F09D3">
        <w:rPr>
          <w:lang w:val="es-ES" w:eastAsia="en-GB"/>
        </w:rPr>
        <w:t>invita al Consejo de la UIT</w:t>
      </w:r>
    </w:p>
    <w:p w14:paraId="10D59B9A" w14:textId="148D0518" w:rsidR="008019F3" w:rsidRPr="003F09D3" w:rsidRDefault="008019F3" w:rsidP="008019F3">
      <w:pPr>
        <w:rPr>
          <w:lang w:val="es-ES" w:eastAsia="en-GB"/>
        </w:rPr>
      </w:pPr>
      <w:r w:rsidRPr="003F09D3">
        <w:rPr>
          <w:lang w:val="es-ES" w:eastAsia="en-GB"/>
        </w:rPr>
        <w:t>1</w:t>
      </w:r>
      <w:r w:rsidRPr="003F09D3">
        <w:rPr>
          <w:lang w:val="es-ES" w:eastAsia="en-GB"/>
        </w:rPr>
        <w:tab/>
      </w:r>
      <w:r w:rsidR="004D37B5" w:rsidRPr="003F09D3">
        <w:rPr>
          <w:lang w:val="es-ES" w:eastAsia="en-GB"/>
        </w:rPr>
        <w:t>a</w:t>
      </w:r>
      <w:r w:rsidR="00A422D0" w:rsidRPr="003F09D3">
        <w:rPr>
          <w:lang w:val="es-ES" w:eastAsia="en-GB"/>
        </w:rPr>
        <w:t xml:space="preserve"> </w:t>
      </w:r>
      <w:r w:rsidR="00EB38F1" w:rsidRPr="003F09D3">
        <w:rPr>
          <w:lang w:val="es-ES" w:eastAsia="en-GB"/>
        </w:rPr>
        <w:t>que aporte las aclaraciones adicionales convenientes para apoyar la aplicación de la presente Resolución</w:t>
      </w:r>
      <w:r w:rsidRPr="003F09D3">
        <w:rPr>
          <w:lang w:val="es-ES" w:eastAsia="en-GB"/>
        </w:rPr>
        <w:t>;</w:t>
      </w:r>
    </w:p>
    <w:p w14:paraId="6DBF0B7B" w14:textId="1DACD221" w:rsidR="008019F3" w:rsidRPr="003F09D3" w:rsidRDefault="008019F3" w:rsidP="008019F3">
      <w:pPr>
        <w:rPr>
          <w:lang w:val="es-ES" w:eastAsia="en-GB"/>
        </w:rPr>
      </w:pPr>
      <w:r w:rsidRPr="003F09D3">
        <w:rPr>
          <w:lang w:val="es-ES" w:eastAsia="en-GB"/>
        </w:rPr>
        <w:t>2</w:t>
      </w:r>
      <w:r w:rsidRPr="003F09D3">
        <w:rPr>
          <w:lang w:val="es-ES" w:eastAsia="en-GB"/>
        </w:rPr>
        <w:tab/>
      </w:r>
      <w:r w:rsidR="00A422D0" w:rsidRPr="003F09D3">
        <w:rPr>
          <w:lang w:val="es-ES" w:eastAsia="en-GB"/>
        </w:rPr>
        <w:t>a que examine</w:t>
      </w:r>
      <w:r w:rsidR="00BE15D9" w:rsidRPr="003F09D3">
        <w:rPr>
          <w:lang w:val="es-ES" w:eastAsia="en-GB"/>
        </w:rPr>
        <w:t xml:space="preserve"> y tenga en cuenta </w:t>
      </w:r>
      <w:r w:rsidR="00A422D0" w:rsidRPr="003F09D3">
        <w:rPr>
          <w:lang w:val="es-ES" w:eastAsia="en-GB"/>
        </w:rPr>
        <w:t>la manera de crear un entorno estructural que mejore la participación y el involucramiento de la industria en toda la UIT</w:t>
      </w:r>
      <w:r w:rsidRPr="003F09D3">
        <w:rPr>
          <w:lang w:val="es-ES" w:eastAsia="en-GB"/>
        </w:rPr>
        <w:t>;</w:t>
      </w:r>
    </w:p>
    <w:p w14:paraId="552851C9" w14:textId="44ED9849" w:rsidR="008019F3" w:rsidRPr="003F09D3" w:rsidRDefault="008019F3" w:rsidP="008019F3">
      <w:pPr>
        <w:rPr>
          <w:lang w:val="es-ES" w:eastAsia="en-GB"/>
        </w:rPr>
      </w:pPr>
      <w:r w:rsidRPr="003F09D3">
        <w:rPr>
          <w:lang w:val="es-ES" w:eastAsia="en-GB"/>
        </w:rPr>
        <w:t>3</w:t>
      </w:r>
      <w:r w:rsidRPr="003F09D3">
        <w:rPr>
          <w:lang w:val="es-ES" w:eastAsia="en-GB"/>
        </w:rPr>
        <w:tab/>
      </w:r>
      <w:r w:rsidR="004D37B5" w:rsidRPr="003F09D3">
        <w:rPr>
          <w:lang w:val="es-ES" w:eastAsia="en-GB"/>
        </w:rPr>
        <w:t xml:space="preserve">a que tenga en cuenta los resultados del </w:t>
      </w:r>
      <w:r w:rsidR="00E60AE6" w:rsidRPr="003F09D3">
        <w:rPr>
          <w:lang w:val="es-ES" w:eastAsia="en-GB"/>
        </w:rPr>
        <w:t>"</w:t>
      </w:r>
      <w:r w:rsidR="004A317B" w:rsidRPr="003F09D3">
        <w:rPr>
          <w:lang w:val="es-ES" w:eastAsia="en-GB"/>
        </w:rPr>
        <w:t>Grupo Consultivo</w:t>
      </w:r>
      <w:r w:rsidR="004D37B5" w:rsidRPr="003F09D3">
        <w:rPr>
          <w:lang w:val="es-ES" w:eastAsia="en-GB"/>
        </w:rPr>
        <w:t xml:space="preserve"> de la Industria</w:t>
      </w:r>
      <w:r w:rsidR="00E60AE6" w:rsidRPr="003F09D3">
        <w:rPr>
          <w:lang w:val="es-ES" w:eastAsia="en-GB"/>
        </w:rPr>
        <w:t>"</w:t>
      </w:r>
      <w:r w:rsidRPr="003F09D3">
        <w:rPr>
          <w:lang w:val="es-ES" w:eastAsia="en-GB"/>
        </w:rPr>
        <w:t>,</w:t>
      </w:r>
    </w:p>
    <w:p w14:paraId="06D67FA3" w14:textId="69489687" w:rsidR="008019F3" w:rsidRPr="003F09D3" w:rsidRDefault="00E60AE6" w:rsidP="008019F3">
      <w:pPr>
        <w:pStyle w:val="Call"/>
        <w:rPr>
          <w:lang w:val="es-ES" w:eastAsia="en-GB"/>
        </w:rPr>
      </w:pPr>
      <w:r w:rsidRPr="003F09D3">
        <w:rPr>
          <w:lang w:val="es-ES" w:eastAsia="en-GB"/>
        </w:rPr>
        <w:t>i</w:t>
      </w:r>
      <w:r w:rsidR="004D37B5" w:rsidRPr="003F09D3">
        <w:rPr>
          <w:lang w:val="es-ES" w:eastAsia="en-GB"/>
        </w:rPr>
        <w:t>nvita a los Estados Miembros de la UIT, los Miembros de Sector, los Asociados (incluidas las pymes), las Instituciones Académicas y demás participantes en las labores de la UIT</w:t>
      </w:r>
    </w:p>
    <w:p w14:paraId="6DEB4E1A" w14:textId="6910CAB2" w:rsidR="008019F3" w:rsidRPr="003F09D3" w:rsidRDefault="004D37B5" w:rsidP="008019F3">
      <w:pPr>
        <w:rPr>
          <w:lang w:val="es-ES" w:eastAsia="en-GB"/>
        </w:rPr>
      </w:pPr>
      <w:r w:rsidRPr="003F09D3">
        <w:rPr>
          <w:lang w:val="es-ES" w:eastAsia="en-GB"/>
        </w:rPr>
        <w:t xml:space="preserve">a </w:t>
      </w:r>
      <w:r w:rsidR="004A317B" w:rsidRPr="003F09D3">
        <w:rPr>
          <w:lang w:val="es-ES" w:eastAsia="en-GB"/>
        </w:rPr>
        <w:t xml:space="preserve">presentar </w:t>
      </w:r>
      <w:r w:rsidRPr="003F09D3">
        <w:rPr>
          <w:lang w:val="es-ES" w:eastAsia="en-GB"/>
        </w:rPr>
        <w:t xml:space="preserve">contribuciones </w:t>
      </w:r>
      <w:r w:rsidR="00A22D24" w:rsidRPr="003F09D3">
        <w:rPr>
          <w:lang w:val="es-ES" w:eastAsia="en-GB"/>
        </w:rPr>
        <w:t>de apoyo a</w:t>
      </w:r>
      <w:r w:rsidR="00BE15D9" w:rsidRPr="003F09D3">
        <w:rPr>
          <w:lang w:val="es-ES" w:eastAsia="en-GB"/>
        </w:rPr>
        <w:t xml:space="preserve"> </w:t>
      </w:r>
      <w:r w:rsidR="00A22D24" w:rsidRPr="003F09D3">
        <w:rPr>
          <w:lang w:val="es-ES" w:eastAsia="en-GB"/>
        </w:rPr>
        <w:t>la presente</w:t>
      </w:r>
      <w:r w:rsidR="00BE15D9" w:rsidRPr="003F09D3">
        <w:rPr>
          <w:lang w:val="es-ES" w:eastAsia="en-GB"/>
        </w:rPr>
        <w:t xml:space="preserve"> </w:t>
      </w:r>
      <w:r w:rsidRPr="003F09D3">
        <w:rPr>
          <w:lang w:val="es-ES" w:eastAsia="en-GB"/>
        </w:rPr>
        <w:t>Resolución</w:t>
      </w:r>
      <w:r w:rsidR="004A317B" w:rsidRPr="003F09D3">
        <w:rPr>
          <w:lang w:val="es-ES" w:eastAsia="en-GB"/>
        </w:rPr>
        <w:t>, sobre</w:t>
      </w:r>
      <w:r w:rsidR="00905F7D" w:rsidRPr="003F09D3">
        <w:rPr>
          <w:lang w:val="es-ES" w:eastAsia="en-GB"/>
        </w:rPr>
        <w:t xml:space="preserve"> cómo </w:t>
      </w:r>
      <w:r w:rsidRPr="003F09D3">
        <w:rPr>
          <w:lang w:val="es-ES" w:eastAsia="en-GB"/>
        </w:rPr>
        <w:t>mejorar la participación y el involucramiento de la industria</w:t>
      </w:r>
      <w:r w:rsidR="00A22D24" w:rsidRPr="003F09D3">
        <w:rPr>
          <w:lang w:val="es-ES" w:eastAsia="en-GB"/>
        </w:rPr>
        <w:t>,</w:t>
      </w:r>
      <w:r w:rsidRPr="003F09D3">
        <w:rPr>
          <w:lang w:val="es-ES" w:eastAsia="en-GB"/>
        </w:rPr>
        <w:t xml:space="preserve"> a los </w:t>
      </w:r>
      <w:r w:rsidR="00A22D24" w:rsidRPr="003F09D3">
        <w:rPr>
          <w:lang w:val="es-ES" w:eastAsia="en-GB"/>
        </w:rPr>
        <w:t>G</w:t>
      </w:r>
      <w:r w:rsidRPr="003F09D3">
        <w:rPr>
          <w:lang w:val="es-ES" w:eastAsia="en-GB"/>
        </w:rPr>
        <w:t xml:space="preserve">rupos </w:t>
      </w:r>
      <w:r w:rsidR="00A22D24" w:rsidRPr="003F09D3">
        <w:rPr>
          <w:lang w:val="es-ES" w:eastAsia="en-GB"/>
        </w:rPr>
        <w:t>A</w:t>
      </w:r>
      <w:r w:rsidRPr="003F09D3">
        <w:rPr>
          <w:lang w:val="es-ES" w:eastAsia="en-GB"/>
        </w:rPr>
        <w:t>sesores de cada Sector, al Consejo y cualquier otro mecanismo apropiado</w:t>
      </w:r>
      <w:r w:rsidR="008019F3" w:rsidRPr="003F09D3">
        <w:rPr>
          <w:lang w:val="es-ES" w:eastAsia="en-GB"/>
        </w:rPr>
        <w:t>,</w:t>
      </w:r>
    </w:p>
    <w:p w14:paraId="77203CFE" w14:textId="01A9B60D" w:rsidR="008019F3" w:rsidRPr="003F09D3" w:rsidRDefault="008019F3" w:rsidP="008019F3">
      <w:pPr>
        <w:pStyle w:val="Call"/>
        <w:rPr>
          <w:rFonts w:asciiTheme="minorHAnsi" w:hAnsiTheme="minorHAnsi" w:cstheme="minorHAnsi"/>
          <w:szCs w:val="24"/>
          <w:lang w:val="es-ES" w:eastAsia="en-GB"/>
        </w:rPr>
      </w:pPr>
      <w:r w:rsidRPr="003F09D3">
        <w:rPr>
          <w:lang w:val="es-ES" w:eastAsia="en-GB"/>
        </w:rPr>
        <w:t>invit</w:t>
      </w:r>
      <w:r w:rsidR="00905F7D" w:rsidRPr="003F09D3">
        <w:rPr>
          <w:lang w:val="es-ES" w:eastAsia="en-GB"/>
        </w:rPr>
        <w:t>a a los Estados Miembros de la UIT</w:t>
      </w:r>
    </w:p>
    <w:p w14:paraId="2AD0DEBA" w14:textId="35B4087D" w:rsidR="008019F3" w:rsidRPr="003F09D3" w:rsidRDefault="00905F7D" w:rsidP="008019F3">
      <w:pPr>
        <w:rPr>
          <w:lang w:val="es-ES" w:eastAsia="en-GB"/>
        </w:rPr>
      </w:pPr>
      <w:r w:rsidRPr="003F09D3">
        <w:rPr>
          <w:lang w:val="es-ES" w:eastAsia="en-GB"/>
        </w:rPr>
        <w:t xml:space="preserve">a que informen a </w:t>
      </w:r>
      <w:r w:rsidR="00BA09DC" w:rsidRPr="003F09D3">
        <w:rPr>
          <w:lang w:val="es-ES" w:eastAsia="en-GB"/>
        </w:rPr>
        <w:t xml:space="preserve">sus </w:t>
      </w:r>
      <w:r w:rsidRPr="003F09D3">
        <w:rPr>
          <w:lang w:val="es-ES" w:eastAsia="en-GB"/>
        </w:rPr>
        <w:t>industria</w:t>
      </w:r>
      <w:r w:rsidR="004A317B" w:rsidRPr="003F09D3">
        <w:rPr>
          <w:lang w:val="es-ES" w:eastAsia="en-GB"/>
        </w:rPr>
        <w:t>s</w:t>
      </w:r>
      <w:r w:rsidRPr="003F09D3">
        <w:rPr>
          <w:lang w:val="es-ES" w:eastAsia="en-GB"/>
        </w:rPr>
        <w:t xml:space="preserve"> sobre la presente Resolución y a que las </w:t>
      </w:r>
      <w:r w:rsidR="00A22D24" w:rsidRPr="003F09D3">
        <w:rPr>
          <w:lang w:val="es-ES" w:eastAsia="en-GB"/>
        </w:rPr>
        <w:t>ayuden</w:t>
      </w:r>
      <w:r w:rsidRPr="003F09D3">
        <w:rPr>
          <w:lang w:val="es-ES" w:eastAsia="en-GB"/>
        </w:rPr>
        <w:t xml:space="preserve"> y las animen a adherirse a la UIT y </w:t>
      </w:r>
      <w:r w:rsidR="00A22D24" w:rsidRPr="003F09D3">
        <w:rPr>
          <w:lang w:val="es-ES" w:eastAsia="en-GB"/>
        </w:rPr>
        <w:t xml:space="preserve">a </w:t>
      </w:r>
      <w:r w:rsidRPr="003F09D3">
        <w:rPr>
          <w:lang w:val="es-ES" w:eastAsia="en-GB"/>
        </w:rPr>
        <w:t>participar en sus actividades</w:t>
      </w:r>
      <w:r w:rsidR="008019F3" w:rsidRPr="003F09D3">
        <w:rPr>
          <w:lang w:val="es-ES" w:eastAsia="en-GB"/>
        </w:rPr>
        <w:t>.</w:t>
      </w:r>
    </w:p>
    <w:p w14:paraId="2E7799E3" w14:textId="77777777" w:rsidR="00E60AE6" w:rsidRPr="003F09D3" w:rsidRDefault="00E60AE6" w:rsidP="00411C49">
      <w:pPr>
        <w:pStyle w:val="Reasons"/>
        <w:rPr>
          <w:lang w:val="es-ES"/>
        </w:rPr>
      </w:pPr>
    </w:p>
    <w:p w14:paraId="3D5753E9" w14:textId="77777777" w:rsidR="00E60AE6" w:rsidRPr="003F09D3" w:rsidRDefault="00E60AE6">
      <w:pPr>
        <w:jc w:val="center"/>
        <w:rPr>
          <w:lang w:val="es-ES"/>
        </w:rPr>
      </w:pPr>
      <w:r w:rsidRPr="003F09D3">
        <w:rPr>
          <w:lang w:val="es-ES"/>
        </w:rPr>
        <w:t>______________</w:t>
      </w:r>
    </w:p>
    <w:sectPr w:rsidR="00E60AE6" w:rsidRPr="003F09D3" w:rsidSect="00A70E95">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0608" w14:textId="77777777" w:rsidR="00CE1A53" w:rsidRDefault="00CE1A53">
      <w:r>
        <w:separator/>
      </w:r>
    </w:p>
  </w:endnote>
  <w:endnote w:type="continuationSeparator" w:id="0">
    <w:p w14:paraId="3AD9E09B" w14:textId="77777777" w:rsidR="00CE1A53" w:rsidRDefault="00CE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3E92" w14:textId="77777777" w:rsidR="00657826" w:rsidRDefault="00657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01E6" w14:textId="67054ED3" w:rsidR="00A07E34" w:rsidRPr="00657826" w:rsidRDefault="00A07E34" w:rsidP="00A07E34">
    <w:pPr>
      <w:pStyle w:val="Footer"/>
      <w:rPr>
        <w:color w:val="FFFFFF" w:themeColor="background1"/>
        <w:lang w:val="en-US"/>
      </w:rPr>
    </w:pPr>
    <w:r w:rsidRPr="00657826">
      <w:rPr>
        <w:color w:val="FFFFFF" w:themeColor="background1"/>
      </w:rPr>
      <w:fldChar w:fldCharType="begin"/>
    </w:r>
    <w:r w:rsidRPr="00657826">
      <w:rPr>
        <w:color w:val="FFFFFF" w:themeColor="background1"/>
        <w:lang w:val="en-US"/>
      </w:rPr>
      <w:instrText xml:space="preserve"> FILENAME \p  \* MERGEFORMAT </w:instrText>
    </w:r>
    <w:r w:rsidRPr="00657826">
      <w:rPr>
        <w:color w:val="FFFFFF" w:themeColor="background1"/>
      </w:rPr>
      <w:fldChar w:fldCharType="separate"/>
    </w:r>
    <w:r w:rsidR="00E60AE6" w:rsidRPr="00657826">
      <w:rPr>
        <w:color w:val="FFFFFF" w:themeColor="background1"/>
        <w:lang w:val="en-US"/>
      </w:rPr>
      <w:t>P:\ESP\SG\CONF-SG\PP22\000\044ADD24S.docx</w:t>
    </w:r>
    <w:r w:rsidRPr="00657826">
      <w:rPr>
        <w:color w:val="FFFFFF" w:themeColor="background1"/>
      </w:rPr>
      <w:fldChar w:fldCharType="end"/>
    </w:r>
    <w:r w:rsidRPr="00657826">
      <w:rPr>
        <w:color w:val="FFFFFF" w:themeColor="background1"/>
        <w:lang w:val="en-US"/>
      </w:rPr>
      <w:t xml:space="preserve"> (510973)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52D7" w14:textId="57EF4C32"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A8018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4381" w14:textId="77777777" w:rsidR="00CE1A53" w:rsidRDefault="00CE1A53">
      <w:r>
        <w:t>____________________</w:t>
      </w:r>
    </w:p>
  </w:footnote>
  <w:footnote w:type="continuationSeparator" w:id="0">
    <w:p w14:paraId="76A87D7B" w14:textId="77777777" w:rsidR="00CE1A53" w:rsidRDefault="00CE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8EF6" w14:textId="77777777" w:rsidR="00657826" w:rsidRDefault="00657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DC73" w14:textId="3978C20E" w:rsidR="00255FA1" w:rsidRDefault="00255FA1" w:rsidP="00255FA1">
    <w:pPr>
      <w:pStyle w:val="Header"/>
    </w:pPr>
    <w:r>
      <w:fldChar w:fldCharType="begin"/>
    </w:r>
    <w:r>
      <w:instrText xml:space="preserve"> PAGE </w:instrText>
    </w:r>
    <w:r>
      <w:fldChar w:fldCharType="separate"/>
    </w:r>
    <w:r w:rsidR="00EA070D">
      <w:rPr>
        <w:noProof/>
      </w:rPr>
      <w:t>2</w:t>
    </w:r>
    <w:r>
      <w:fldChar w:fldCharType="end"/>
    </w:r>
  </w:p>
  <w:p w14:paraId="422DD3C3" w14:textId="77777777" w:rsidR="00255FA1" w:rsidRDefault="00255FA1" w:rsidP="00C43474">
    <w:pPr>
      <w:pStyle w:val="Header"/>
    </w:pPr>
    <w:r>
      <w:rPr>
        <w:lang w:val="en-US"/>
      </w:rPr>
      <w:t>PP</w:t>
    </w:r>
    <w:r w:rsidR="009D1BE0">
      <w:rPr>
        <w:lang w:val="en-US"/>
      </w:rPr>
      <w:t>22</w:t>
    </w:r>
    <w:r>
      <w:t>/44(Add.24)-</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43A9" w14:textId="77777777" w:rsidR="00657826" w:rsidRDefault="00657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B1E92"/>
    <w:multiLevelType w:val="hybridMultilevel"/>
    <w:tmpl w:val="C6D67EB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23613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5EB0"/>
    <w:rsid w:val="00033ECC"/>
    <w:rsid w:val="000507CA"/>
    <w:rsid w:val="00066F75"/>
    <w:rsid w:val="000863AB"/>
    <w:rsid w:val="000A1523"/>
    <w:rsid w:val="000B1752"/>
    <w:rsid w:val="000B6361"/>
    <w:rsid w:val="000F013B"/>
    <w:rsid w:val="0010546D"/>
    <w:rsid w:val="00115C6A"/>
    <w:rsid w:val="00135F93"/>
    <w:rsid w:val="001632E3"/>
    <w:rsid w:val="001D4983"/>
    <w:rsid w:val="001D6EC3"/>
    <w:rsid w:val="001D787B"/>
    <w:rsid w:val="001E3D06"/>
    <w:rsid w:val="001F582E"/>
    <w:rsid w:val="00225F6B"/>
    <w:rsid w:val="00237C17"/>
    <w:rsid w:val="00242376"/>
    <w:rsid w:val="00255FA1"/>
    <w:rsid w:val="002619B7"/>
    <w:rsid w:val="00262FF4"/>
    <w:rsid w:val="002A0278"/>
    <w:rsid w:val="002C6527"/>
    <w:rsid w:val="002E44FC"/>
    <w:rsid w:val="0031196B"/>
    <w:rsid w:val="00312AB9"/>
    <w:rsid w:val="00332E7C"/>
    <w:rsid w:val="003707E5"/>
    <w:rsid w:val="00375610"/>
    <w:rsid w:val="00391611"/>
    <w:rsid w:val="003A0F6F"/>
    <w:rsid w:val="003D0027"/>
    <w:rsid w:val="003D13E8"/>
    <w:rsid w:val="003E6E73"/>
    <w:rsid w:val="003F09D3"/>
    <w:rsid w:val="004666D4"/>
    <w:rsid w:val="00466A34"/>
    <w:rsid w:val="00477A4B"/>
    <w:rsid w:val="0048384E"/>
    <w:rsid w:val="00484B72"/>
    <w:rsid w:val="00487FE6"/>
    <w:rsid w:val="00491A25"/>
    <w:rsid w:val="004A317B"/>
    <w:rsid w:val="004A346E"/>
    <w:rsid w:val="004A63A9"/>
    <w:rsid w:val="004B07DB"/>
    <w:rsid w:val="004B09D4"/>
    <w:rsid w:val="004B0BCB"/>
    <w:rsid w:val="004B5706"/>
    <w:rsid w:val="004C1CB7"/>
    <w:rsid w:val="004C27F5"/>
    <w:rsid w:val="004C39C6"/>
    <w:rsid w:val="004D23BA"/>
    <w:rsid w:val="004D37B5"/>
    <w:rsid w:val="004D42D6"/>
    <w:rsid w:val="004E069C"/>
    <w:rsid w:val="004E08E0"/>
    <w:rsid w:val="004E28FB"/>
    <w:rsid w:val="004F4BB1"/>
    <w:rsid w:val="005049FE"/>
    <w:rsid w:val="00504FD4"/>
    <w:rsid w:val="00507662"/>
    <w:rsid w:val="00523448"/>
    <w:rsid w:val="005359B6"/>
    <w:rsid w:val="005470E8"/>
    <w:rsid w:val="00550FCF"/>
    <w:rsid w:val="00556958"/>
    <w:rsid w:val="00567ED5"/>
    <w:rsid w:val="00572E75"/>
    <w:rsid w:val="00575254"/>
    <w:rsid w:val="005B14DD"/>
    <w:rsid w:val="005C1784"/>
    <w:rsid w:val="005D1164"/>
    <w:rsid w:val="005D6488"/>
    <w:rsid w:val="005F6278"/>
    <w:rsid w:val="005F746F"/>
    <w:rsid w:val="00601280"/>
    <w:rsid w:val="00603995"/>
    <w:rsid w:val="00636A1E"/>
    <w:rsid w:val="00641DBD"/>
    <w:rsid w:val="006426C0"/>
    <w:rsid w:val="006455D2"/>
    <w:rsid w:val="006537F3"/>
    <w:rsid w:val="0065472B"/>
    <w:rsid w:val="00657826"/>
    <w:rsid w:val="00676A16"/>
    <w:rsid w:val="006B5512"/>
    <w:rsid w:val="006C190D"/>
    <w:rsid w:val="006F6CA4"/>
    <w:rsid w:val="00720686"/>
    <w:rsid w:val="00737EFF"/>
    <w:rsid w:val="00750806"/>
    <w:rsid w:val="007875D2"/>
    <w:rsid w:val="007C4C52"/>
    <w:rsid w:val="007D61E2"/>
    <w:rsid w:val="007E5BA9"/>
    <w:rsid w:val="007F6EBC"/>
    <w:rsid w:val="008019F3"/>
    <w:rsid w:val="00824A04"/>
    <w:rsid w:val="00826EEA"/>
    <w:rsid w:val="00882773"/>
    <w:rsid w:val="008B0F2B"/>
    <w:rsid w:val="008B4706"/>
    <w:rsid w:val="008B6676"/>
    <w:rsid w:val="008C3FA8"/>
    <w:rsid w:val="008E36D9"/>
    <w:rsid w:val="008E51C5"/>
    <w:rsid w:val="008F7109"/>
    <w:rsid w:val="00905F7D"/>
    <w:rsid w:val="009107B0"/>
    <w:rsid w:val="00915D6D"/>
    <w:rsid w:val="009220DE"/>
    <w:rsid w:val="00930E84"/>
    <w:rsid w:val="00964210"/>
    <w:rsid w:val="00967553"/>
    <w:rsid w:val="0099270D"/>
    <w:rsid w:val="0099551E"/>
    <w:rsid w:val="009A1A86"/>
    <w:rsid w:val="009B0D18"/>
    <w:rsid w:val="009D1BE0"/>
    <w:rsid w:val="009E0C42"/>
    <w:rsid w:val="009F42C3"/>
    <w:rsid w:val="00A07E34"/>
    <w:rsid w:val="00A22D24"/>
    <w:rsid w:val="00A422D0"/>
    <w:rsid w:val="00A70E95"/>
    <w:rsid w:val="00A80180"/>
    <w:rsid w:val="00A8472F"/>
    <w:rsid w:val="00A968E3"/>
    <w:rsid w:val="00AA1F73"/>
    <w:rsid w:val="00AA5C86"/>
    <w:rsid w:val="00AB34CA"/>
    <w:rsid w:val="00AD400E"/>
    <w:rsid w:val="00AF0DC5"/>
    <w:rsid w:val="00AF4DD6"/>
    <w:rsid w:val="00B012B7"/>
    <w:rsid w:val="00B30C52"/>
    <w:rsid w:val="00B45581"/>
    <w:rsid w:val="00B501AB"/>
    <w:rsid w:val="00B65605"/>
    <w:rsid w:val="00B73978"/>
    <w:rsid w:val="00B77C4D"/>
    <w:rsid w:val="00B83022"/>
    <w:rsid w:val="00BA09DC"/>
    <w:rsid w:val="00BB13FE"/>
    <w:rsid w:val="00BC7EE2"/>
    <w:rsid w:val="00BE15D9"/>
    <w:rsid w:val="00BF1C04"/>
    <w:rsid w:val="00BF5475"/>
    <w:rsid w:val="00BF6F04"/>
    <w:rsid w:val="00C20ED7"/>
    <w:rsid w:val="00C42D2D"/>
    <w:rsid w:val="00C43474"/>
    <w:rsid w:val="00C61A48"/>
    <w:rsid w:val="00C80F8F"/>
    <w:rsid w:val="00C83365"/>
    <w:rsid w:val="00C84355"/>
    <w:rsid w:val="00C84A65"/>
    <w:rsid w:val="00CA0C3E"/>
    <w:rsid w:val="00CA3051"/>
    <w:rsid w:val="00CD20D9"/>
    <w:rsid w:val="00CD701A"/>
    <w:rsid w:val="00CE1A53"/>
    <w:rsid w:val="00D05AAE"/>
    <w:rsid w:val="00D05E6B"/>
    <w:rsid w:val="00D254A6"/>
    <w:rsid w:val="00D42B55"/>
    <w:rsid w:val="00D57D70"/>
    <w:rsid w:val="00D8039D"/>
    <w:rsid w:val="00DD7A7B"/>
    <w:rsid w:val="00DE44EE"/>
    <w:rsid w:val="00DF570F"/>
    <w:rsid w:val="00E05D81"/>
    <w:rsid w:val="00E53DFC"/>
    <w:rsid w:val="00E60AE6"/>
    <w:rsid w:val="00E66FC3"/>
    <w:rsid w:val="00E677DD"/>
    <w:rsid w:val="00E75B30"/>
    <w:rsid w:val="00E76FFD"/>
    <w:rsid w:val="00E77F17"/>
    <w:rsid w:val="00E809D8"/>
    <w:rsid w:val="00E87D80"/>
    <w:rsid w:val="00E921EC"/>
    <w:rsid w:val="00E976D8"/>
    <w:rsid w:val="00EA070D"/>
    <w:rsid w:val="00EB23D0"/>
    <w:rsid w:val="00EB38F1"/>
    <w:rsid w:val="00EC395A"/>
    <w:rsid w:val="00ED78E4"/>
    <w:rsid w:val="00F01632"/>
    <w:rsid w:val="00F04858"/>
    <w:rsid w:val="00F10E36"/>
    <w:rsid w:val="00F13AA4"/>
    <w:rsid w:val="00F3510D"/>
    <w:rsid w:val="00F43C07"/>
    <w:rsid w:val="00F43D44"/>
    <w:rsid w:val="00F43E08"/>
    <w:rsid w:val="00F800B8"/>
    <w:rsid w:val="00F80E6E"/>
    <w:rsid w:val="00FB43D8"/>
    <w:rsid w:val="00FD7A16"/>
    <w:rsid w:val="00FE0222"/>
    <w:rsid w:val="00FF6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03DE4"/>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CommentReference">
    <w:name w:val="annotation reference"/>
    <w:basedOn w:val="DefaultParagraphFont"/>
    <w:semiHidden/>
    <w:unhideWhenUsed/>
    <w:rsid w:val="00FF6CF8"/>
    <w:rPr>
      <w:sz w:val="16"/>
      <w:szCs w:val="16"/>
    </w:rPr>
  </w:style>
  <w:style w:type="paragraph" w:styleId="CommentText">
    <w:name w:val="annotation text"/>
    <w:basedOn w:val="Normal"/>
    <w:link w:val="CommentTextChar"/>
    <w:unhideWhenUsed/>
    <w:rsid w:val="00FF6CF8"/>
    <w:rPr>
      <w:sz w:val="20"/>
    </w:rPr>
  </w:style>
  <w:style w:type="character" w:customStyle="1" w:styleId="CommentTextChar">
    <w:name w:val="Comment Text Char"/>
    <w:basedOn w:val="DefaultParagraphFont"/>
    <w:link w:val="CommentText"/>
    <w:rsid w:val="00FF6CF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FF6CF8"/>
    <w:rPr>
      <w:b/>
      <w:bCs/>
    </w:rPr>
  </w:style>
  <w:style w:type="character" w:customStyle="1" w:styleId="CommentSubjectChar">
    <w:name w:val="Comment Subject Char"/>
    <w:basedOn w:val="CommentTextChar"/>
    <w:link w:val="CommentSubject"/>
    <w:semiHidden/>
    <w:rsid w:val="00FF6CF8"/>
    <w:rPr>
      <w:rFonts w:ascii="Calibri" w:hAnsi="Calibri"/>
      <w:b/>
      <w:bCs/>
      <w:lang w:val="es-ES_tradnl" w:eastAsia="en-US"/>
    </w:rPr>
  </w:style>
  <w:style w:type="character" w:customStyle="1" w:styleId="UnresolvedMention1">
    <w:name w:val="Unresolved Mention1"/>
    <w:basedOn w:val="DefaultParagraphFont"/>
    <w:uiPriority w:val="99"/>
    <w:semiHidden/>
    <w:unhideWhenUsed/>
    <w:rsid w:val="00FF6CF8"/>
    <w:rPr>
      <w:color w:val="605E5C"/>
      <w:shd w:val="clear" w:color="auto" w:fill="E1DFDD"/>
    </w:rPr>
  </w:style>
  <w:style w:type="character" w:customStyle="1" w:styleId="UnresolvedMention2">
    <w:name w:val="Unresolved Mention2"/>
    <w:basedOn w:val="DefaultParagraphFont"/>
    <w:uiPriority w:val="99"/>
    <w:semiHidden/>
    <w:unhideWhenUsed/>
    <w:rsid w:val="00A8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134f56-d2f8-435b-b957-5722da9fb0d7">DPM</DPM_x0020_Author>
    <DPM_x0020_File_x0020_name xmlns="04134f56-d2f8-435b-b957-5722da9fb0d7">S22-PP-C-0044!A24!MSW-S</DPM_x0020_File_x0020_name>
    <DPM_x0020_Version xmlns="04134f56-d2f8-435b-b957-5722da9fb0d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134f56-d2f8-435b-b957-5722da9fb0d7" targetNamespace="http://schemas.microsoft.com/office/2006/metadata/properties" ma:root="true" ma:fieldsID="d41af5c836d734370eb92e7ee5f83852" ns2:_="" ns3:_="">
    <xsd:import namespace="996b2e75-67fd-4955-a3b0-5ab9934cb50b"/>
    <xsd:import namespace="04134f56-d2f8-435b-b957-5722da9fb0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134f56-d2f8-435b-b957-5722da9fb0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4134f56-d2f8-435b-b957-5722da9fb0d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134f56-d2f8-435b-b957-5722da9fb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S22-PP-C-0044!A24!MSW-S</vt:lpstr>
    </vt:vector>
  </TitlesOfParts>
  <Manager/>
  <Company/>
  <LinksUpToDate>false</LinksUpToDate>
  <CharactersWithSpaces>8963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S22-PP-C-0044!A24!MSW-S</dc:title>
  <dc:subject>Plenipotentiary Conference (PP-18)</dc:subject>
  <dc:creator>Documents Proposals Manager (DPM)</dc:creator>
  <cp:keywords>DPM_v2022.8.31.2_prod</cp:keywords>
  <dc:description/>
  <cp:lastModifiedBy>Arnould, Carine</cp:lastModifiedBy>
  <cp:revision>6</cp:revision>
  <dcterms:created xsi:type="dcterms:W3CDTF">2022-09-02T07:56:00Z</dcterms:created>
  <dcterms:modified xsi:type="dcterms:W3CDTF">2022-09-15T09:17:00Z</dcterms:modified>
  <cp:category>Conference document</cp:category>
</cp:coreProperties>
</file>