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3A42163B" w14:textId="77777777" w:rsidTr="006A046E">
        <w:trPr>
          <w:cantSplit/>
        </w:trPr>
        <w:tc>
          <w:tcPr>
            <w:tcW w:w="6911" w:type="dxa"/>
          </w:tcPr>
          <w:p w14:paraId="7ECF7447" w14:textId="77777777" w:rsidR="00BD1614" w:rsidRPr="00960D89" w:rsidRDefault="00BD1614" w:rsidP="006F040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7ACC658" w14:textId="77777777" w:rsidR="00BD1614" w:rsidRPr="008C10D9" w:rsidRDefault="002A7A1D" w:rsidP="006F040D">
            <w:pPr>
              <w:spacing w:before="0"/>
              <w:rPr>
                <w:rFonts w:cstheme="minorHAnsi"/>
                <w:lang w:val="en-US"/>
              </w:rPr>
            </w:pPr>
            <w:bookmarkStart w:id="2" w:name="ditulogo"/>
            <w:bookmarkEnd w:id="2"/>
            <w:r>
              <w:rPr>
                <w:noProof/>
                <w:lang w:val="en-US"/>
              </w:rPr>
              <w:drawing>
                <wp:inline distT="0" distB="0" distL="0" distR="0" wp14:anchorId="74140853" wp14:editId="3F9049D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FFB66DC" w14:textId="77777777" w:rsidTr="006A046E">
        <w:trPr>
          <w:cantSplit/>
        </w:trPr>
        <w:tc>
          <w:tcPr>
            <w:tcW w:w="6911" w:type="dxa"/>
            <w:tcBorders>
              <w:bottom w:val="single" w:sz="12" w:space="0" w:color="auto"/>
            </w:tcBorders>
          </w:tcPr>
          <w:p w14:paraId="145B9D71" w14:textId="77777777" w:rsidR="00BD1614" w:rsidRPr="008C10D9" w:rsidRDefault="00BD1614" w:rsidP="006F040D">
            <w:pPr>
              <w:spacing w:before="0" w:after="48"/>
              <w:rPr>
                <w:rFonts w:cstheme="minorHAnsi"/>
                <w:b/>
                <w:smallCaps/>
                <w:szCs w:val="24"/>
                <w:lang w:val="en-US"/>
              </w:rPr>
            </w:pPr>
            <w:bookmarkStart w:id="3" w:name="dhead"/>
          </w:p>
        </w:tc>
        <w:tc>
          <w:tcPr>
            <w:tcW w:w="3120" w:type="dxa"/>
            <w:tcBorders>
              <w:bottom w:val="single" w:sz="12" w:space="0" w:color="auto"/>
            </w:tcBorders>
          </w:tcPr>
          <w:p w14:paraId="19B3C0E2" w14:textId="77777777" w:rsidR="00BD1614" w:rsidRPr="000F58F7" w:rsidRDefault="00BD1614" w:rsidP="006F040D">
            <w:pPr>
              <w:spacing w:before="0" w:after="48"/>
              <w:rPr>
                <w:rFonts w:cstheme="minorHAnsi"/>
                <w:b/>
                <w:smallCaps/>
                <w:szCs w:val="24"/>
                <w:lang w:val="en-US"/>
              </w:rPr>
            </w:pPr>
          </w:p>
        </w:tc>
      </w:tr>
      <w:tr w:rsidR="00BD1614" w:rsidRPr="002A6F8F" w14:paraId="23766D14" w14:textId="77777777" w:rsidTr="006A046E">
        <w:trPr>
          <w:cantSplit/>
        </w:trPr>
        <w:tc>
          <w:tcPr>
            <w:tcW w:w="6911" w:type="dxa"/>
            <w:tcBorders>
              <w:top w:val="single" w:sz="12" w:space="0" w:color="auto"/>
            </w:tcBorders>
          </w:tcPr>
          <w:p w14:paraId="0AA5C7B6" w14:textId="77777777" w:rsidR="00BD1614" w:rsidRPr="008C10D9" w:rsidRDefault="00BD1614" w:rsidP="006F040D">
            <w:pPr>
              <w:spacing w:before="0"/>
              <w:rPr>
                <w:rFonts w:cstheme="minorHAnsi"/>
                <w:b/>
                <w:smallCaps/>
                <w:szCs w:val="24"/>
                <w:lang w:val="en-US"/>
              </w:rPr>
            </w:pPr>
          </w:p>
        </w:tc>
        <w:tc>
          <w:tcPr>
            <w:tcW w:w="3120" w:type="dxa"/>
            <w:tcBorders>
              <w:top w:val="single" w:sz="12" w:space="0" w:color="auto"/>
            </w:tcBorders>
          </w:tcPr>
          <w:p w14:paraId="14EB5707" w14:textId="77777777" w:rsidR="00BD1614" w:rsidRPr="008C10D9" w:rsidRDefault="00BD1614" w:rsidP="006F040D">
            <w:pPr>
              <w:spacing w:before="0"/>
              <w:rPr>
                <w:rFonts w:cstheme="minorHAnsi"/>
                <w:szCs w:val="24"/>
                <w:lang w:val="en-US"/>
              </w:rPr>
            </w:pPr>
          </w:p>
        </w:tc>
      </w:tr>
      <w:tr w:rsidR="00BD1614" w:rsidRPr="002A6F8F" w14:paraId="5A8F6B90" w14:textId="77777777" w:rsidTr="006A046E">
        <w:trPr>
          <w:cantSplit/>
        </w:trPr>
        <w:tc>
          <w:tcPr>
            <w:tcW w:w="6911" w:type="dxa"/>
          </w:tcPr>
          <w:p w14:paraId="11436153" w14:textId="77777777" w:rsidR="00BD1614" w:rsidRPr="008C10D9" w:rsidRDefault="00BD1614" w:rsidP="006F040D">
            <w:pPr>
              <w:pStyle w:val="Committee"/>
              <w:framePr w:hSpace="0" w:wrap="auto" w:hAnchor="text" w:yAlign="inline"/>
              <w:spacing w:after="0" w:line="240" w:lineRule="auto"/>
            </w:pPr>
            <w:r w:rsidRPr="008C10D9">
              <w:t>SÉANCE PLÉNIÈRE</w:t>
            </w:r>
          </w:p>
        </w:tc>
        <w:tc>
          <w:tcPr>
            <w:tcW w:w="3120" w:type="dxa"/>
          </w:tcPr>
          <w:p w14:paraId="60F96473" w14:textId="77777777" w:rsidR="00BD1614" w:rsidRPr="008C10D9" w:rsidRDefault="00BD1614" w:rsidP="006F040D">
            <w:pPr>
              <w:spacing w:before="0"/>
              <w:rPr>
                <w:rFonts w:cstheme="minorHAnsi"/>
                <w:szCs w:val="24"/>
                <w:lang w:val="en-US"/>
              </w:rPr>
            </w:pPr>
            <w:r>
              <w:rPr>
                <w:rFonts w:cstheme="minorHAnsi"/>
                <w:b/>
                <w:szCs w:val="24"/>
                <w:lang w:val="en-US"/>
              </w:rPr>
              <w:t>Addendum 24 au</w:t>
            </w:r>
            <w:r>
              <w:rPr>
                <w:rFonts w:cstheme="minorHAnsi"/>
                <w:b/>
                <w:szCs w:val="24"/>
                <w:lang w:val="en-US"/>
              </w:rPr>
              <w:br/>
              <w:t>Document 44</w:t>
            </w:r>
            <w:r w:rsidR="005F63BD" w:rsidRPr="00F44B1A">
              <w:rPr>
                <w:rFonts w:cstheme="minorHAnsi"/>
                <w:b/>
                <w:szCs w:val="24"/>
              </w:rPr>
              <w:t>-F</w:t>
            </w:r>
          </w:p>
        </w:tc>
      </w:tr>
      <w:tr w:rsidR="00BD1614" w:rsidRPr="002A6F8F" w14:paraId="7077E0F5" w14:textId="77777777" w:rsidTr="006A046E">
        <w:trPr>
          <w:cantSplit/>
        </w:trPr>
        <w:tc>
          <w:tcPr>
            <w:tcW w:w="6911" w:type="dxa"/>
          </w:tcPr>
          <w:p w14:paraId="4B1E60B5" w14:textId="77777777" w:rsidR="00BD1614" w:rsidRPr="00D0464B" w:rsidRDefault="00BD1614" w:rsidP="006F040D">
            <w:pPr>
              <w:spacing w:before="0"/>
              <w:rPr>
                <w:rFonts w:cstheme="minorHAnsi"/>
                <w:b/>
                <w:szCs w:val="24"/>
                <w:lang w:val="en-US"/>
              </w:rPr>
            </w:pPr>
          </w:p>
        </w:tc>
        <w:tc>
          <w:tcPr>
            <w:tcW w:w="3120" w:type="dxa"/>
          </w:tcPr>
          <w:p w14:paraId="6770E115" w14:textId="77777777" w:rsidR="00BD1614" w:rsidRPr="008C10D9" w:rsidRDefault="00BD1614" w:rsidP="006F040D">
            <w:pPr>
              <w:spacing w:before="0"/>
              <w:rPr>
                <w:rFonts w:cstheme="minorHAnsi"/>
                <w:b/>
                <w:szCs w:val="24"/>
                <w:lang w:val="en-US"/>
              </w:rPr>
            </w:pPr>
            <w:r w:rsidRPr="008C10D9">
              <w:rPr>
                <w:rFonts w:cstheme="minorHAnsi"/>
                <w:b/>
                <w:szCs w:val="24"/>
                <w:lang w:val="en-US"/>
              </w:rPr>
              <w:t>9 août 2022</w:t>
            </w:r>
          </w:p>
        </w:tc>
      </w:tr>
      <w:tr w:rsidR="00BD1614" w:rsidRPr="002A6F8F" w14:paraId="50D91C90" w14:textId="77777777" w:rsidTr="006A046E">
        <w:trPr>
          <w:cantSplit/>
        </w:trPr>
        <w:tc>
          <w:tcPr>
            <w:tcW w:w="6911" w:type="dxa"/>
          </w:tcPr>
          <w:p w14:paraId="41FDFA49" w14:textId="77777777" w:rsidR="00BD1614" w:rsidRPr="008C10D9" w:rsidRDefault="00BD1614" w:rsidP="006F040D">
            <w:pPr>
              <w:spacing w:before="0"/>
              <w:rPr>
                <w:rFonts w:cstheme="minorHAnsi"/>
                <w:b/>
                <w:smallCaps/>
                <w:szCs w:val="24"/>
                <w:lang w:val="en-US"/>
              </w:rPr>
            </w:pPr>
          </w:p>
        </w:tc>
        <w:tc>
          <w:tcPr>
            <w:tcW w:w="3120" w:type="dxa"/>
          </w:tcPr>
          <w:p w14:paraId="47778FEC" w14:textId="77777777" w:rsidR="00BD1614" w:rsidRPr="008C10D9" w:rsidRDefault="00BD1614" w:rsidP="006F040D">
            <w:pPr>
              <w:spacing w:before="0"/>
              <w:rPr>
                <w:rFonts w:cstheme="minorHAnsi"/>
                <w:b/>
                <w:szCs w:val="24"/>
                <w:lang w:val="en-US"/>
              </w:rPr>
            </w:pPr>
            <w:r w:rsidRPr="008C10D9">
              <w:rPr>
                <w:rFonts w:cstheme="minorHAnsi"/>
                <w:b/>
                <w:szCs w:val="24"/>
                <w:lang w:val="en-US"/>
              </w:rPr>
              <w:t>Original: anglais</w:t>
            </w:r>
          </w:p>
        </w:tc>
      </w:tr>
      <w:tr w:rsidR="00BD1614" w:rsidRPr="002A6F8F" w14:paraId="3A0327BD" w14:textId="77777777" w:rsidTr="006A046E">
        <w:trPr>
          <w:cantSplit/>
        </w:trPr>
        <w:tc>
          <w:tcPr>
            <w:tcW w:w="10031" w:type="dxa"/>
            <w:gridSpan w:val="2"/>
          </w:tcPr>
          <w:p w14:paraId="34299342" w14:textId="77777777" w:rsidR="00BD1614" w:rsidRPr="008C10D9" w:rsidRDefault="00BD1614" w:rsidP="006F040D">
            <w:pPr>
              <w:spacing w:before="0"/>
              <w:rPr>
                <w:rFonts w:cstheme="minorHAnsi"/>
                <w:b/>
                <w:szCs w:val="24"/>
                <w:lang w:val="en-US"/>
              </w:rPr>
            </w:pPr>
          </w:p>
        </w:tc>
      </w:tr>
      <w:tr w:rsidR="00BD1614" w:rsidRPr="002A6F8F" w14:paraId="0E23E3B6" w14:textId="77777777" w:rsidTr="006A046E">
        <w:trPr>
          <w:cantSplit/>
        </w:trPr>
        <w:tc>
          <w:tcPr>
            <w:tcW w:w="10031" w:type="dxa"/>
            <w:gridSpan w:val="2"/>
          </w:tcPr>
          <w:p w14:paraId="2618528E" w14:textId="797A0CFD" w:rsidR="00BD1614" w:rsidRPr="00083C19" w:rsidRDefault="00083C19" w:rsidP="006F040D">
            <w:pPr>
              <w:pStyle w:val="Source"/>
            </w:pPr>
            <w:bookmarkStart w:id="4" w:name="dsource" w:colFirst="0" w:colLast="0"/>
            <w:bookmarkEnd w:id="3"/>
            <w:r w:rsidRPr="00083C19">
              <w:rPr>
                <w:caps/>
              </w:rPr>
              <w:t>é</w:t>
            </w:r>
            <w:r w:rsidR="00BD1614" w:rsidRPr="00083C19">
              <w:t xml:space="preserve">tats Membres de la Conférence européenne des </w:t>
            </w:r>
            <w:r w:rsidR="006F040D">
              <w:t>a</w:t>
            </w:r>
            <w:r w:rsidR="00BD1614" w:rsidRPr="00083C19">
              <w:t xml:space="preserve">dministrations </w:t>
            </w:r>
            <w:r>
              <w:br/>
            </w:r>
            <w:r w:rsidR="00BD1614" w:rsidRPr="00083C19">
              <w:t>des postes et télécommunications (CEPT)</w:t>
            </w:r>
          </w:p>
        </w:tc>
      </w:tr>
      <w:tr w:rsidR="00BD1614" w:rsidRPr="00083C19" w14:paraId="5DD643B7" w14:textId="77777777" w:rsidTr="006A046E">
        <w:trPr>
          <w:cantSplit/>
        </w:trPr>
        <w:tc>
          <w:tcPr>
            <w:tcW w:w="10031" w:type="dxa"/>
            <w:gridSpan w:val="2"/>
          </w:tcPr>
          <w:p w14:paraId="11E37398" w14:textId="77777777" w:rsidR="00BD1614" w:rsidRPr="00083C19" w:rsidRDefault="00BD1614" w:rsidP="006F040D">
            <w:pPr>
              <w:pStyle w:val="Title1"/>
            </w:pPr>
            <w:bookmarkStart w:id="5" w:name="dtitle1" w:colFirst="0" w:colLast="0"/>
            <w:bookmarkEnd w:id="4"/>
            <w:r w:rsidRPr="00083C19">
              <w:t xml:space="preserve">ECP 27 </w:t>
            </w:r>
            <w:r w:rsidR="00083C19" w:rsidRPr="00083C19">
              <w:t>–</w:t>
            </w:r>
            <w:r w:rsidRPr="00083C19">
              <w:t xml:space="preserve"> </w:t>
            </w:r>
            <w:r w:rsidR="00083C19" w:rsidRPr="00083C19">
              <w:t>PROJET DE NOUVELLE Ré</w:t>
            </w:r>
            <w:r w:rsidRPr="00083C19">
              <w:t>SOLUTION [EUR-1</w:t>
            </w:r>
            <w:proofErr w:type="gramStart"/>
            <w:r w:rsidRPr="00083C19">
              <w:t>]:</w:t>
            </w:r>
            <w:proofErr w:type="gramEnd"/>
          </w:p>
        </w:tc>
      </w:tr>
      <w:tr w:rsidR="00BD1614" w:rsidRPr="009A2FF0" w14:paraId="50C9B6AE" w14:textId="77777777" w:rsidTr="006A046E">
        <w:trPr>
          <w:cantSplit/>
        </w:trPr>
        <w:tc>
          <w:tcPr>
            <w:tcW w:w="10031" w:type="dxa"/>
            <w:gridSpan w:val="2"/>
          </w:tcPr>
          <w:p w14:paraId="7FF0B7D7" w14:textId="7C5D2872" w:rsidR="00BD1614" w:rsidRPr="00770A54" w:rsidRDefault="00770A54" w:rsidP="006F040D">
            <w:pPr>
              <w:pStyle w:val="Title2"/>
            </w:pPr>
            <w:bookmarkStart w:id="6" w:name="dtitle2" w:colFirst="0" w:colLast="0"/>
            <w:bookmarkEnd w:id="5"/>
            <w:r w:rsidRPr="00770A54">
              <w:t>Encourager la participation du s</w:t>
            </w:r>
            <w:r>
              <w:t xml:space="preserve">ecteur </w:t>
            </w:r>
            <w:r w:rsidR="007A2C8A">
              <w:t>priv</w:t>
            </w:r>
            <w:r w:rsidR="006F040D">
              <w:t>é</w:t>
            </w:r>
            <w:r w:rsidR="007A2C8A">
              <w:t xml:space="preserve"> </w:t>
            </w:r>
            <w:r>
              <w:t>aux travaux de l</w:t>
            </w:r>
            <w:r w:rsidR="006F040D">
              <w:t>'</w:t>
            </w:r>
            <w:r>
              <w:t>union</w:t>
            </w:r>
          </w:p>
        </w:tc>
      </w:tr>
      <w:tr w:rsidR="00BD1614" w:rsidRPr="009A2FF0" w14:paraId="62E545FB" w14:textId="77777777" w:rsidTr="006A046E">
        <w:trPr>
          <w:cantSplit/>
        </w:trPr>
        <w:tc>
          <w:tcPr>
            <w:tcW w:w="10031" w:type="dxa"/>
            <w:gridSpan w:val="2"/>
          </w:tcPr>
          <w:p w14:paraId="6572098D" w14:textId="77777777" w:rsidR="00BD1614" w:rsidRPr="00770A54" w:rsidRDefault="00BD1614" w:rsidP="006F040D">
            <w:pPr>
              <w:pStyle w:val="Agendaitem"/>
              <w:rPr>
                <w:lang w:val="fr-FR"/>
              </w:rPr>
            </w:pPr>
            <w:bookmarkStart w:id="7" w:name="dtitle3" w:colFirst="0" w:colLast="0"/>
            <w:bookmarkEnd w:id="6"/>
          </w:p>
        </w:tc>
      </w:tr>
      <w:bookmarkEnd w:id="7"/>
    </w:tbl>
    <w:p w14:paraId="10BA8D45" w14:textId="77777777" w:rsidR="000D15FB" w:rsidRPr="00770A54" w:rsidRDefault="000D15FB" w:rsidP="006F040D"/>
    <w:p w14:paraId="5FCA56CC" w14:textId="77777777" w:rsidR="00BD1614" w:rsidRPr="00770A54" w:rsidRDefault="00BD1614" w:rsidP="006F040D">
      <w:pPr>
        <w:tabs>
          <w:tab w:val="clear" w:pos="567"/>
          <w:tab w:val="clear" w:pos="1134"/>
          <w:tab w:val="clear" w:pos="1701"/>
          <w:tab w:val="clear" w:pos="2268"/>
          <w:tab w:val="clear" w:pos="2835"/>
        </w:tabs>
        <w:overflowPunct/>
        <w:autoSpaceDE/>
        <w:autoSpaceDN/>
        <w:adjustRightInd/>
        <w:spacing w:before="0"/>
        <w:textAlignment w:val="auto"/>
      </w:pPr>
      <w:r w:rsidRPr="00770A54">
        <w:br w:type="page"/>
      </w:r>
    </w:p>
    <w:p w14:paraId="7070BBEE" w14:textId="77777777" w:rsidR="00B10547" w:rsidRDefault="00083C19" w:rsidP="006F040D">
      <w:pPr>
        <w:pStyle w:val="Proposal"/>
      </w:pPr>
      <w:r>
        <w:lastRenderedPageBreak/>
        <w:t>ADD</w:t>
      </w:r>
      <w:r>
        <w:tab/>
        <w:t>EUR/44A24/1</w:t>
      </w:r>
    </w:p>
    <w:p w14:paraId="2FE681EA" w14:textId="77777777" w:rsidR="00B10547" w:rsidRDefault="00083C19" w:rsidP="006F040D">
      <w:pPr>
        <w:pStyle w:val="ResNo"/>
      </w:pPr>
      <w:r>
        <w:t>Projet de nouvelle Résolution [EUR-</w:t>
      </w:r>
      <w:r w:rsidR="00E67103">
        <w:t>1</w:t>
      </w:r>
      <w:r>
        <w:t>]</w:t>
      </w:r>
    </w:p>
    <w:p w14:paraId="3912A994" w14:textId="3C3B0156" w:rsidR="00B10547" w:rsidRPr="00770A54" w:rsidRDefault="00770A54" w:rsidP="006F040D">
      <w:pPr>
        <w:pStyle w:val="Restitle"/>
      </w:pPr>
      <w:r w:rsidRPr="00770A54">
        <w:t>Encourager la participation du secteur</w:t>
      </w:r>
      <w:r w:rsidR="006F040D">
        <w:t xml:space="preserve"> </w:t>
      </w:r>
      <w:r w:rsidR="007A2C8A">
        <w:t xml:space="preserve">privé </w:t>
      </w:r>
      <w:r w:rsidRPr="00770A54">
        <w:t>aux travaux de l</w:t>
      </w:r>
      <w:r w:rsidR="006F040D">
        <w:t>'</w:t>
      </w:r>
      <w:r>
        <w:t>Union</w:t>
      </w:r>
    </w:p>
    <w:p w14:paraId="1C0055C1" w14:textId="26CF9D27" w:rsidR="009A2FF0" w:rsidRPr="00DD14B2" w:rsidRDefault="00E67103" w:rsidP="006F040D">
      <w:pPr>
        <w:pStyle w:val="Normalaftertitle"/>
      </w:pPr>
      <w:r>
        <w:rPr>
          <w:color w:val="000000"/>
        </w:rPr>
        <w:t>La Conférence de plénipotentiaires de l</w:t>
      </w:r>
      <w:r w:rsidR="006F040D">
        <w:rPr>
          <w:color w:val="000000"/>
        </w:rPr>
        <w:t>'</w:t>
      </w:r>
      <w:r>
        <w:rPr>
          <w:color w:val="000000"/>
        </w:rPr>
        <w:t>Union internationale des télécommunications (Bucarest, 2022),</w:t>
      </w:r>
    </w:p>
    <w:p w14:paraId="53E68F6D" w14:textId="77777777" w:rsidR="009A2FF0" w:rsidRPr="00770A54" w:rsidRDefault="00E67103" w:rsidP="006F040D">
      <w:pPr>
        <w:pStyle w:val="Call"/>
      </w:pPr>
      <w:proofErr w:type="gramStart"/>
      <w:r w:rsidRPr="00770A54">
        <w:t>rappelant</w:t>
      </w:r>
      <w:proofErr w:type="gramEnd"/>
    </w:p>
    <w:p w14:paraId="4F1918EC" w14:textId="5465E834" w:rsidR="009A2FF0" w:rsidRPr="00C354A6" w:rsidRDefault="009A2FF0" w:rsidP="006F040D">
      <w:pPr>
        <w:pStyle w:val="Normalaftertitle"/>
        <w:spacing w:before="120"/>
      </w:pPr>
      <w:r w:rsidRPr="00F432EC">
        <w:rPr>
          <w:i/>
          <w:iCs/>
        </w:rPr>
        <w:t>a)</w:t>
      </w:r>
      <w:r w:rsidRPr="00F432EC">
        <w:tab/>
      </w:r>
      <w:r w:rsidR="00EC7527">
        <w:t>qu</w:t>
      </w:r>
      <w:r w:rsidR="006F040D">
        <w:t>'</w:t>
      </w:r>
      <w:r w:rsidR="00EC7527">
        <w:t xml:space="preserve">aux termes de </w:t>
      </w:r>
      <w:r w:rsidR="00F432EC">
        <w:t>l</w:t>
      </w:r>
      <w:r w:rsidR="006F040D">
        <w:t>'</w:t>
      </w:r>
      <w:r w:rsidR="00F432EC">
        <w:t>a</w:t>
      </w:r>
      <w:r w:rsidRPr="00F432EC">
        <w:t xml:space="preserve">rticle 1 </w:t>
      </w:r>
      <w:r w:rsidR="00F432EC">
        <w:t>de la</w:t>
      </w:r>
      <w:r w:rsidRPr="00F432EC">
        <w:t xml:space="preserve"> Constitution</w:t>
      </w:r>
      <w:r w:rsidR="00F432EC">
        <w:t xml:space="preserve"> de l</w:t>
      </w:r>
      <w:r w:rsidR="006F040D">
        <w:t>'</w:t>
      </w:r>
      <w:r w:rsidR="00F432EC">
        <w:t>UIT</w:t>
      </w:r>
      <w:r w:rsidR="00770A54">
        <w:t>,</w:t>
      </w:r>
      <w:r w:rsidR="006F040D">
        <w:t xml:space="preserve"> </w:t>
      </w:r>
      <w:bookmarkStart w:id="8" w:name="_Toc422623699"/>
      <w:bookmarkStart w:id="9" w:name="_Toc37575193"/>
      <w:r w:rsidR="00EC7527">
        <w:t>l</w:t>
      </w:r>
      <w:r w:rsidR="006F040D">
        <w:t>'</w:t>
      </w:r>
      <w:r w:rsidR="00EC7527">
        <w:t>o</w:t>
      </w:r>
      <w:r w:rsidR="00EC7527" w:rsidRPr="00F432EC">
        <w:t xml:space="preserve">bjet </w:t>
      </w:r>
      <w:r w:rsidR="00F432EC" w:rsidRPr="00F432EC">
        <w:t>de l</w:t>
      </w:r>
      <w:r w:rsidR="006F040D">
        <w:t>'</w:t>
      </w:r>
      <w:r w:rsidR="00F432EC" w:rsidRPr="00F432EC">
        <w:t>Union</w:t>
      </w:r>
      <w:bookmarkEnd w:id="8"/>
      <w:bookmarkEnd w:id="9"/>
      <w:r w:rsidR="006F040D">
        <w:t xml:space="preserve"> </w:t>
      </w:r>
      <w:r w:rsidR="002A054A">
        <w:t>consist</w:t>
      </w:r>
      <w:r w:rsidR="00EC7527">
        <w:t>e</w:t>
      </w:r>
      <w:r w:rsidR="006F040D">
        <w:t xml:space="preserve"> </w:t>
      </w:r>
      <w:r w:rsidR="00001D6B">
        <w:t>notamment</w:t>
      </w:r>
      <w:r w:rsidR="002A054A">
        <w:t xml:space="preserve"> </w:t>
      </w:r>
      <w:r w:rsidR="00F432EC">
        <w:t>"</w:t>
      </w:r>
      <w:r w:rsidR="00F432EC">
        <w:rPr>
          <w:color w:val="000000"/>
        </w:rPr>
        <w:t>à encourager et élargir la participation d</w:t>
      </w:r>
      <w:r w:rsidR="006F040D">
        <w:rPr>
          <w:color w:val="000000"/>
        </w:rPr>
        <w:t>'</w:t>
      </w:r>
      <w:r w:rsidR="00F432EC">
        <w:rPr>
          <w:color w:val="000000"/>
        </w:rPr>
        <w:t>entités et d</w:t>
      </w:r>
      <w:r w:rsidR="006F040D">
        <w:rPr>
          <w:color w:val="000000"/>
        </w:rPr>
        <w:t>'</w:t>
      </w:r>
      <w:r w:rsidR="00F432EC">
        <w:rPr>
          <w:color w:val="000000"/>
        </w:rPr>
        <w:t>organisations aux activités de l</w:t>
      </w:r>
      <w:r w:rsidR="006F040D">
        <w:rPr>
          <w:color w:val="000000"/>
        </w:rPr>
        <w:t>'</w:t>
      </w:r>
      <w:r w:rsidR="00F432EC">
        <w:rPr>
          <w:color w:val="000000"/>
        </w:rPr>
        <w:t>Union et à encourager une coopération et un partenariat fructueux entre elles et les États Membres en vue de répondre aux objectifs généraux énoncés dans l</w:t>
      </w:r>
      <w:r w:rsidR="006F040D">
        <w:rPr>
          <w:color w:val="000000"/>
        </w:rPr>
        <w:t>'</w:t>
      </w:r>
      <w:r w:rsidR="00F432EC">
        <w:rPr>
          <w:color w:val="000000"/>
        </w:rPr>
        <w:t>objet de l</w:t>
      </w:r>
      <w:r w:rsidR="006F040D">
        <w:rPr>
          <w:color w:val="000000"/>
        </w:rPr>
        <w:t>'</w:t>
      </w:r>
      <w:r w:rsidR="00F432EC">
        <w:rPr>
          <w:color w:val="000000"/>
        </w:rPr>
        <w:t>Union</w:t>
      </w:r>
      <w:proofErr w:type="gramStart"/>
      <w:r w:rsidR="00F432EC">
        <w:t>"</w:t>
      </w:r>
      <w:r w:rsidRPr="00F432EC">
        <w:t>;</w:t>
      </w:r>
      <w:proofErr w:type="gramEnd"/>
    </w:p>
    <w:p w14:paraId="10DDE4C9" w14:textId="3D2014D0" w:rsidR="009A2FF0" w:rsidRPr="005410EA" w:rsidRDefault="009A2FF0" w:rsidP="006F040D">
      <w:pPr>
        <w:pStyle w:val="Normalaftertitle"/>
        <w:spacing w:before="120"/>
      </w:pPr>
      <w:r w:rsidRPr="005410EA">
        <w:rPr>
          <w:i/>
          <w:iCs/>
        </w:rPr>
        <w:t>b)</w:t>
      </w:r>
      <w:r w:rsidRPr="005410EA">
        <w:tab/>
      </w:r>
      <w:r w:rsidR="005410EA" w:rsidRPr="005410EA">
        <w:t>l</w:t>
      </w:r>
      <w:r w:rsidR="006F040D">
        <w:t>'</w:t>
      </w:r>
      <w:r w:rsidR="005410EA" w:rsidRPr="005410EA">
        <w:t>article 3 de la Constitution de l</w:t>
      </w:r>
      <w:r w:rsidR="006F040D">
        <w:t>'</w:t>
      </w:r>
      <w:r w:rsidR="005410EA" w:rsidRPr="005410EA">
        <w:t>UIT</w:t>
      </w:r>
      <w:r w:rsidR="006F040D">
        <w:t xml:space="preserve"> </w:t>
      </w:r>
      <w:r w:rsidR="002A054A">
        <w:t>relatif aux</w:t>
      </w:r>
      <w:r w:rsidR="006F040D">
        <w:t xml:space="preserve"> </w:t>
      </w:r>
      <w:r w:rsidR="002E1F49">
        <w:t>d</w:t>
      </w:r>
      <w:r w:rsidR="002E1F49" w:rsidRPr="005410EA">
        <w:t xml:space="preserve">roits </w:t>
      </w:r>
      <w:r w:rsidR="005410EA" w:rsidRPr="005410EA">
        <w:t xml:space="preserve">et obligations des </w:t>
      </w:r>
      <w:r w:rsidR="005410EA">
        <w:rPr>
          <w:color w:val="000000"/>
        </w:rPr>
        <w:t>É</w:t>
      </w:r>
      <w:r w:rsidR="005410EA" w:rsidRPr="005410EA">
        <w:t>tats Membres et des Membres des Secteurs</w:t>
      </w:r>
      <w:r w:rsidR="002E1F49" w:rsidRPr="003B67CA">
        <w:t xml:space="preserve">, </w:t>
      </w:r>
      <w:r w:rsidR="002A054A" w:rsidRPr="003B67CA">
        <w:t xml:space="preserve">qui </w:t>
      </w:r>
      <w:r w:rsidR="002E1F49">
        <w:t>dispose</w:t>
      </w:r>
      <w:r w:rsidR="002A054A" w:rsidRPr="003B67CA">
        <w:t>, au numéro</w:t>
      </w:r>
      <w:r w:rsidR="002A054A">
        <w:rPr>
          <w:b/>
        </w:rPr>
        <w:t xml:space="preserve"> </w:t>
      </w:r>
      <w:r w:rsidRPr="005410EA">
        <w:t>28A</w:t>
      </w:r>
      <w:r w:rsidR="002A054A">
        <w:t>, que</w:t>
      </w:r>
      <w:r w:rsidRPr="005410EA">
        <w:t xml:space="preserve"> </w:t>
      </w:r>
      <w:r w:rsidR="00F432EC" w:rsidRPr="005410EA">
        <w:t>"</w:t>
      </w:r>
      <w:r w:rsidR="005410EA" w:rsidRPr="005410EA">
        <w:t>les Membres des Secteurs sont autorisés à participer pleinement aux activités du Secteur dont ils sont membres</w:t>
      </w:r>
      <w:proofErr w:type="gramStart"/>
      <w:r w:rsidR="003B67CA" w:rsidRPr="003B67CA">
        <w:rPr>
          <w:bCs/>
        </w:rPr>
        <w:t>";</w:t>
      </w:r>
      <w:proofErr w:type="gramEnd"/>
    </w:p>
    <w:p w14:paraId="2B9EBEB3" w14:textId="7F20C03C" w:rsidR="009A2FF0" w:rsidRPr="003B67CA" w:rsidRDefault="009A2FF0" w:rsidP="006F040D">
      <w:pPr>
        <w:pStyle w:val="Normalaftertitle"/>
        <w:spacing w:before="120"/>
      </w:pPr>
      <w:r w:rsidRPr="000826DD">
        <w:rPr>
          <w:i/>
          <w:iCs/>
        </w:rPr>
        <w:t>c)</w:t>
      </w:r>
      <w:r w:rsidRPr="000826DD">
        <w:tab/>
      </w:r>
      <w:r w:rsidR="002E1F49">
        <w:t>le numéro</w:t>
      </w:r>
      <w:r w:rsidR="002E1F49" w:rsidRPr="003B67CA">
        <w:t> 126</w:t>
      </w:r>
      <w:r w:rsidR="002E1F49">
        <w:t>,</w:t>
      </w:r>
      <w:r w:rsidR="002E1F49" w:rsidRPr="002E1F49">
        <w:t xml:space="preserve"> </w:t>
      </w:r>
      <w:r w:rsidR="002E1F49">
        <w:t>alinéa</w:t>
      </w:r>
      <w:r w:rsidR="006F040D">
        <w:t xml:space="preserve"> </w:t>
      </w:r>
      <w:r w:rsidR="002E1F49" w:rsidRPr="003B67CA">
        <w:t>2 f),</w:t>
      </w:r>
      <w:r w:rsidR="006F040D">
        <w:t xml:space="preserve"> </w:t>
      </w:r>
      <w:r w:rsidR="002E1F49">
        <w:t xml:space="preserve">de </w:t>
      </w:r>
      <w:r w:rsidR="000826DD" w:rsidRPr="000826DD">
        <w:t>l</w:t>
      </w:r>
      <w:r w:rsidR="006F040D">
        <w:t>'</w:t>
      </w:r>
      <w:r w:rsidR="000826DD" w:rsidRPr="003B67CA">
        <w:t>a</w:t>
      </w:r>
      <w:r w:rsidRPr="003B67CA">
        <w:t xml:space="preserve">rticle 21 </w:t>
      </w:r>
      <w:r w:rsidR="000826DD" w:rsidRPr="003B67CA">
        <w:t>de la</w:t>
      </w:r>
      <w:r w:rsidRPr="003B67CA">
        <w:t xml:space="preserve"> Constitution</w:t>
      </w:r>
      <w:r w:rsidR="000826DD" w:rsidRPr="003B67CA">
        <w:t xml:space="preserve"> de l</w:t>
      </w:r>
      <w:r w:rsidR="006F040D">
        <w:t>'</w:t>
      </w:r>
      <w:r w:rsidR="000826DD" w:rsidRPr="003B67CA">
        <w:t>UIT</w:t>
      </w:r>
      <w:r w:rsidRPr="003B67CA">
        <w:t xml:space="preserve">, </w:t>
      </w:r>
      <w:r w:rsidR="000E3887">
        <w:t>qui</w:t>
      </w:r>
      <w:r w:rsidR="00127ADD">
        <w:t xml:space="preserve"> stipule</w:t>
      </w:r>
      <w:r w:rsidR="0075117A">
        <w:t xml:space="preserve"> que </w:t>
      </w:r>
      <w:r w:rsidR="00394B65">
        <w:t>les</w:t>
      </w:r>
      <w:r w:rsidR="006F040D">
        <w:t xml:space="preserve"> </w:t>
      </w:r>
      <w:r w:rsidR="000826DD" w:rsidRPr="003B67CA">
        <w:t>fonctions spécifiques du Secteur du développement des télécommunications</w:t>
      </w:r>
      <w:r w:rsidR="006F040D">
        <w:t xml:space="preserve"> </w:t>
      </w:r>
      <w:r w:rsidR="0075117A">
        <w:t>consiste</w:t>
      </w:r>
      <w:r w:rsidR="00394B65">
        <w:t>nt notamment</w:t>
      </w:r>
      <w:r w:rsidR="006F040D">
        <w:t xml:space="preserve"> </w:t>
      </w:r>
      <w:r w:rsidR="0075117A">
        <w:t>à</w:t>
      </w:r>
      <w:r w:rsidR="006F040D">
        <w:t xml:space="preserve"> </w:t>
      </w:r>
      <w:r w:rsidR="00AE421A" w:rsidRPr="003B67CA">
        <w:t>encourager la participation de l</w:t>
      </w:r>
      <w:r w:rsidR="006F040D">
        <w:t>'</w:t>
      </w:r>
      <w:r w:rsidR="00AE421A" w:rsidRPr="003B67CA">
        <w:t xml:space="preserve">industrie au développement des télécommunications dans les pays en </w:t>
      </w:r>
      <w:proofErr w:type="gramStart"/>
      <w:r w:rsidR="00AE421A" w:rsidRPr="003B67CA">
        <w:t>développement</w:t>
      </w:r>
      <w:r w:rsidR="00394B65" w:rsidRPr="003B67CA">
        <w:t>;</w:t>
      </w:r>
      <w:proofErr w:type="gramEnd"/>
    </w:p>
    <w:p w14:paraId="04069E0A" w14:textId="650B2712" w:rsidR="009A2FF0" w:rsidRPr="003B67CA" w:rsidRDefault="009A2FF0" w:rsidP="006F040D">
      <w:pPr>
        <w:pStyle w:val="Normalaftertitle"/>
        <w:spacing w:before="120"/>
      </w:pPr>
      <w:r w:rsidRPr="006204B5">
        <w:rPr>
          <w:i/>
          <w:iCs/>
        </w:rPr>
        <w:t>d)</w:t>
      </w:r>
      <w:r w:rsidRPr="006204B5">
        <w:tab/>
      </w:r>
      <w:r w:rsidR="00B177AB" w:rsidRPr="006204B5">
        <w:t>l</w:t>
      </w:r>
      <w:r w:rsidR="006F040D" w:rsidRPr="006204B5">
        <w:t>'</w:t>
      </w:r>
      <w:r w:rsidR="00B177AB" w:rsidRPr="006204B5">
        <w:t xml:space="preserve">article </w:t>
      </w:r>
      <w:r w:rsidRPr="006204B5">
        <w:t xml:space="preserve">19 </w:t>
      </w:r>
      <w:r w:rsidR="007B5F57" w:rsidRPr="006204B5">
        <w:t>de la Convention de l</w:t>
      </w:r>
      <w:r w:rsidR="006F040D" w:rsidRPr="006204B5">
        <w:t>'</w:t>
      </w:r>
      <w:r w:rsidR="007B5F57" w:rsidRPr="006204B5">
        <w:t>UIT adopté par</w:t>
      </w:r>
      <w:r w:rsidR="006F040D" w:rsidRPr="006204B5">
        <w:t xml:space="preserve"> </w:t>
      </w:r>
      <w:r w:rsidR="0019260B" w:rsidRPr="006204B5">
        <w:t>la Conférence de plénipotentiaires</w:t>
      </w:r>
      <w:r w:rsidR="007F21C7">
        <w:t xml:space="preserve"> (Antalya, </w:t>
      </w:r>
      <w:r w:rsidRPr="003B67CA">
        <w:t>2006)</w:t>
      </w:r>
      <w:r w:rsidR="007B5F57">
        <w:t>,</w:t>
      </w:r>
      <w:r w:rsidR="006F040D">
        <w:t xml:space="preserve"> </w:t>
      </w:r>
      <w:r w:rsidR="00B177AB">
        <w:t>intitulé</w:t>
      </w:r>
      <w:r w:rsidR="0075117A">
        <w:t xml:space="preserve"> </w:t>
      </w:r>
      <w:r w:rsidR="00F432EC" w:rsidRPr="003B67CA">
        <w:t>"</w:t>
      </w:r>
      <w:bookmarkStart w:id="10" w:name="_Toc422623888"/>
      <w:r w:rsidR="00846BD3" w:rsidRPr="003B67CA">
        <w:t>Participation d</w:t>
      </w:r>
      <w:r w:rsidR="006F040D">
        <w:t>'</w:t>
      </w:r>
      <w:r w:rsidR="00846BD3" w:rsidRPr="003B67CA">
        <w:t>entités et organisations autres que les administrations aux activités de l</w:t>
      </w:r>
      <w:r w:rsidR="006F040D">
        <w:t>'</w:t>
      </w:r>
      <w:r w:rsidR="00846BD3" w:rsidRPr="003B67CA">
        <w:t>Union</w:t>
      </w:r>
      <w:bookmarkEnd w:id="10"/>
      <w:proofErr w:type="gramStart"/>
      <w:r w:rsidR="00F432EC" w:rsidRPr="003B67CA">
        <w:t>"</w:t>
      </w:r>
      <w:r w:rsidRPr="003B67CA">
        <w:t>;</w:t>
      </w:r>
      <w:proofErr w:type="gramEnd"/>
    </w:p>
    <w:p w14:paraId="0CE9A447" w14:textId="748D9803" w:rsidR="009A2FF0" w:rsidRPr="003B67CA" w:rsidRDefault="009A2FF0" w:rsidP="006F040D">
      <w:pPr>
        <w:pStyle w:val="Normalaftertitle"/>
        <w:spacing w:before="120"/>
      </w:pPr>
      <w:r w:rsidRPr="003B67CA">
        <w:rPr>
          <w:i/>
          <w:iCs/>
        </w:rPr>
        <w:t>e)</w:t>
      </w:r>
      <w:r w:rsidRPr="003B67CA">
        <w:tab/>
      </w:r>
      <w:r w:rsidR="00846BD3" w:rsidRPr="003B67CA">
        <w:t xml:space="preserve">la </w:t>
      </w:r>
      <w:r w:rsidRPr="003B67CA">
        <w:t>R</w:t>
      </w:r>
      <w:r w:rsidR="00846BD3" w:rsidRPr="003B67CA">
        <w:t>é</w:t>
      </w:r>
      <w:r w:rsidRPr="003B67CA">
        <w:t>solution 14 (R</w:t>
      </w:r>
      <w:r w:rsidR="00846BD3" w:rsidRPr="003B67CA">
        <w:t>é</w:t>
      </w:r>
      <w:r w:rsidRPr="003B67CA">
        <w:t xml:space="preserve">v. Antalya, 2006) </w:t>
      </w:r>
      <w:r w:rsidR="00846BD3" w:rsidRPr="003B67CA">
        <w:t>de la Conférence de plénipotentiaires</w:t>
      </w:r>
      <w:r w:rsidR="00A74AAD">
        <w:t xml:space="preserve">, intitulée </w:t>
      </w:r>
      <w:r w:rsidR="00F432EC" w:rsidRPr="003B67CA">
        <w:t>"</w:t>
      </w:r>
      <w:bookmarkStart w:id="11" w:name="_Toc422624036"/>
      <w:bookmarkStart w:id="12" w:name="_Toc165351374"/>
      <w:r w:rsidR="00846BD3" w:rsidRPr="003B67CA">
        <w:t>Reconnaissance des droits et obligations de tous les Membres des Secteurs de l</w:t>
      </w:r>
      <w:r w:rsidR="006F040D">
        <w:t>'</w:t>
      </w:r>
      <w:r w:rsidR="00846BD3" w:rsidRPr="003B67CA">
        <w:t>Union</w:t>
      </w:r>
      <w:bookmarkEnd w:id="11"/>
      <w:bookmarkEnd w:id="12"/>
      <w:r w:rsidR="00F432EC" w:rsidRPr="003B67CA">
        <w:t>"</w:t>
      </w:r>
      <w:r w:rsidR="0075117A">
        <w:t xml:space="preserve">, qui donne </w:t>
      </w:r>
      <w:r w:rsidR="00D83D69" w:rsidRPr="00D83D69">
        <w:t>des renseignements détaillés</w:t>
      </w:r>
      <w:r w:rsidR="006F040D">
        <w:t xml:space="preserve"> </w:t>
      </w:r>
      <w:r w:rsidR="0075117A">
        <w:t>sur les droits et obligations des Membres de</w:t>
      </w:r>
      <w:r w:rsidR="00D83D69">
        <w:t>s</w:t>
      </w:r>
      <w:r w:rsidR="0075117A">
        <w:t xml:space="preserve"> Secteur</w:t>
      </w:r>
      <w:r w:rsidR="00D83D69">
        <w:t>s</w:t>
      </w:r>
      <w:r w:rsidR="0075117A">
        <w:t xml:space="preserve"> et indique que ces entités </w:t>
      </w:r>
      <w:r w:rsidR="00F432EC" w:rsidRPr="003B67CA">
        <w:t>"</w:t>
      </w:r>
      <w:r w:rsidR="00846BD3" w:rsidRPr="003B67CA">
        <w:rPr>
          <w:lang w:val="fr-CH"/>
        </w:rPr>
        <w:t>peuvent participer à toutes les activités du Secteur concerné, à l</w:t>
      </w:r>
      <w:r w:rsidR="006F040D">
        <w:rPr>
          <w:lang w:val="fr-CH"/>
        </w:rPr>
        <w:t>'</w:t>
      </w:r>
      <w:r w:rsidR="00846BD3" w:rsidRPr="003B67CA">
        <w:rPr>
          <w:lang w:val="fr-CH"/>
        </w:rPr>
        <w:t>exception des votes officiels et de certaines conférences habilitées à conclure des traités</w:t>
      </w:r>
      <w:proofErr w:type="gramStart"/>
      <w:r w:rsidR="00F432EC" w:rsidRPr="003B67CA">
        <w:t>"</w:t>
      </w:r>
      <w:r w:rsidRPr="003B67CA">
        <w:t>;</w:t>
      </w:r>
      <w:proofErr w:type="gramEnd"/>
    </w:p>
    <w:p w14:paraId="7A4FE592" w14:textId="78412034" w:rsidR="009A2FF0" w:rsidRPr="003B67CA" w:rsidRDefault="009A2FF0" w:rsidP="006F040D">
      <w:pPr>
        <w:pStyle w:val="Normalaftertitle"/>
        <w:spacing w:before="120"/>
      </w:pPr>
      <w:r w:rsidRPr="003B67CA">
        <w:rPr>
          <w:i/>
          <w:iCs/>
        </w:rPr>
        <w:t>f)</w:t>
      </w:r>
      <w:r w:rsidRPr="003B67CA">
        <w:tab/>
      </w:r>
      <w:r w:rsidR="00375931" w:rsidRPr="003B67CA">
        <w:t xml:space="preserve">la </w:t>
      </w:r>
      <w:r w:rsidRPr="003B67CA">
        <w:t>R</w:t>
      </w:r>
      <w:r w:rsidR="00375931" w:rsidRPr="003B67CA">
        <w:t>é</w:t>
      </w:r>
      <w:r w:rsidRPr="003B67CA">
        <w:t>solution 122 (R</w:t>
      </w:r>
      <w:r w:rsidR="00375931" w:rsidRPr="003B67CA">
        <w:t>é</w:t>
      </w:r>
      <w:r w:rsidRPr="003B67CA">
        <w:t xml:space="preserve">v. Guadalajara, 2010) </w:t>
      </w:r>
      <w:r w:rsidR="00375931" w:rsidRPr="003B67CA">
        <w:t>de la Conférence de plénipotentiaires</w:t>
      </w:r>
      <w:r w:rsidRPr="003B67CA">
        <w:t>,</w:t>
      </w:r>
      <w:r w:rsidR="007E7B22">
        <w:t xml:space="preserve"> intitulée </w:t>
      </w:r>
      <w:r w:rsidR="00F432EC" w:rsidRPr="003B67CA">
        <w:t>"</w:t>
      </w:r>
      <w:bookmarkStart w:id="13" w:name="_Toc165351492"/>
      <w:r w:rsidR="00375931" w:rsidRPr="003B67CA">
        <w:rPr>
          <w:caps/>
        </w:rPr>
        <w:t>é</w:t>
      </w:r>
      <w:r w:rsidR="00375931" w:rsidRPr="003B67CA">
        <w:t>volution du rôle de l</w:t>
      </w:r>
      <w:r w:rsidR="006F040D">
        <w:t>'</w:t>
      </w:r>
      <w:r w:rsidR="00375931" w:rsidRPr="003B67CA">
        <w:t>Assemblée mondiale de normalisation des télécommunications</w:t>
      </w:r>
      <w:bookmarkEnd w:id="13"/>
      <w:r w:rsidR="00F432EC" w:rsidRPr="003B67CA">
        <w:t>"</w:t>
      </w:r>
      <w:r w:rsidRPr="003B67CA">
        <w:t xml:space="preserve">, </w:t>
      </w:r>
      <w:r w:rsidR="007E7B22">
        <w:t>qui</w:t>
      </w:r>
      <w:r w:rsidR="006F040D">
        <w:t xml:space="preserve"> </w:t>
      </w:r>
      <w:r w:rsidR="007E7B22">
        <w:t>souligne</w:t>
      </w:r>
      <w:r w:rsidR="006F040D">
        <w:t xml:space="preserve"> </w:t>
      </w:r>
      <w:r w:rsidR="007E7B22">
        <w:t>l</w:t>
      </w:r>
      <w:r w:rsidR="006F040D">
        <w:t>'</w:t>
      </w:r>
      <w:r w:rsidR="007E7B22">
        <w:t>importance essentielle que revêt</w:t>
      </w:r>
      <w:r w:rsidRPr="003B67CA">
        <w:t xml:space="preserve"> </w:t>
      </w:r>
      <w:r w:rsidR="00F432EC" w:rsidRPr="003B67CA">
        <w:t>"</w:t>
      </w:r>
      <w:r w:rsidR="00375931" w:rsidRPr="003B67CA">
        <w:t xml:space="preserve">la nécessité, pour les </w:t>
      </w:r>
      <w:r w:rsidR="00375931" w:rsidRPr="003B67CA">
        <w:rPr>
          <w:caps/>
        </w:rPr>
        <w:t>é</w:t>
      </w:r>
      <w:r w:rsidR="00375931" w:rsidRPr="003B67CA">
        <w:t>tats Membres et les Membres du Secteur de l</w:t>
      </w:r>
      <w:r w:rsidR="006F040D">
        <w:t>'</w:t>
      </w:r>
      <w:r w:rsidR="00375931" w:rsidRPr="003B67CA">
        <w:t>UIT</w:t>
      </w:r>
      <w:r w:rsidR="00375931" w:rsidRPr="003B67CA">
        <w:noBreakHyphen/>
        <w:t>T, de collaborer étroitement au sein de l</w:t>
      </w:r>
      <w:r w:rsidR="006F040D">
        <w:t>'</w:t>
      </w:r>
      <w:r w:rsidR="00375931" w:rsidRPr="003B67CA">
        <w:t>UIT-T, d</w:t>
      </w:r>
      <w:r w:rsidR="006F040D">
        <w:t>'</w:t>
      </w:r>
      <w:r w:rsidR="00375931" w:rsidRPr="003B67CA">
        <w:t>une manière proactive, coopérative et tournée vers l</w:t>
      </w:r>
      <w:r w:rsidR="006F040D">
        <w:t>'</w:t>
      </w:r>
      <w:r w:rsidR="00375931" w:rsidRPr="003B67CA">
        <w:t>avenir, compte tenu de leurs responsabilités et de leurs objectifs respectifs, de manière à faciliter l</w:t>
      </w:r>
      <w:r w:rsidR="006F040D">
        <w:t>'</w:t>
      </w:r>
      <w:r w:rsidR="00375931" w:rsidRPr="003B67CA">
        <w:t>évolution constante de l</w:t>
      </w:r>
      <w:r w:rsidR="006F040D">
        <w:t>'</w:t>
      </w:r>
      <w:r w:rsidR="00375931" w:rsidRPr="003B67CA">
        <w:t>UIT-T</w:t>
      </w:r>
      <w:r w:rsidR="00F432EC" w:rsidRPr="003B67CA">
        <w:t>"</w:t>
      </w:r>
      <w:r w:rsidRPr="003B67CA">
        <w:t>;</w:t>
      </w:r>
    </w:p>
    <w:p w14:paraId="66271191" w14:textId="42387C9C" w:rsidR="009A2FF0" w:rsidRPr="003B67CA" w:rsidRDefault="009A2FF0" w:rsidP="006F040D">
      <w:pPr>
        <w:pStyle w:val="Normalaftertitle"/>
        <w:spacing w:before="120"/>
      </w:pPr>
      <w:r w:rsidRPr="003B67CA">
        <w:rPr>
          <w:i/>
          <w:iCs/>
        </w:rPr>
        <w:t>g)</w:t>
      </w:r>
      <w:r w:rsidRPr="003B67CA">
        <w:tab/>
      </w:r>
      <w:r w:rsidR="00375931" w:rsidRPr="003B67CA">
        <w:t xml:space="preserve">la </w:t>
      </w:r>
      <w:r w:rsidRPr="003B67CA">
        <w:t>R</w:t>
      </w:r>
      <w:r w:rsidR="00375931" w:rsidRPr="003B67CA">
        <w:t>é</w:t>
      </w:r>
      <w:r w:rsidRPr="003B67CA">
        <w:t>solution 209 (Duba</w:t>
      </w:r>
      <w:r w:rsidR="00375931" w:rsidRPr="003B67CA">
        <w:t>ï</w:t>
      </w:r>
      <w:r w:rsidRPr="003B67CA">
        <w:t xml:space="preserve">, 2018) </w:t>
      </w:r>
      <w:r w:rsidR="00375931" w:rsidRPr="003B67CA">
        <w:t>de la Conférence de plénipotentiaires</w:t>
      </w:r>
      <w:r w:rsidRPr="003B67CA">
        <w:t xml:space="preserve">, </w:t>
      </w:r>
      <w:r w:rsidR="007E7B22">
        <w:t>intitulée</w:t>
      </w:r>
      <w:r w:rsidRPr="003B67CA">
        <w:t xml:space="preserve"> </w:t>
      </w:r>
      <w:r w:rsidR="00F432EC" w:rsidRPr="003B67CA">
        <w:t>"</w:t>
      </w:r>
      <w:bookmarkStart w:id="14" w:name="_Toc536018032"/>
      <w:r w:rsidR="00375931" w:rsidRPr="003B67CA">
        <w:t>Encourager la participation des petites et moyennes entreprises aux travaux de l</w:t>
      </w:r>
      <w:r w:rsidR="006F040D">
        <w:t>'</w:t>
      </w:r>
      <w:r w:rsidR="00375931" w:rsidRPr="003B67CA">
        <w:t>Union</w:t>
      </w:r>
      <w:bookmarkEnd w:id="14"/>
      <w:proofErr w:type="gramStart"/>
      <w:r w:rsidR="00F432EC" w:rsidRPr="003B67CA">
        <w:t>"</w:t>
      </w:r>
      <w:r w:rsidRPr="003B67CA">
        <w:t>;</w:t>
      </w:r>
      <w:proofErr w:type="gramEnd"/>
    </w:p>
    <w:p w14:paraId="03D9C783" w14:textId="25C3A8A9" w:rsidR="009A2FF0" w:rsidRPr="003B67CA" w:rsidRDefault="009A2FF0" w:rsidP="006F040D">
      <w:pPr>
        <w:pStyle w:val="Normalaftertitle"/>
        <w:spacing w:before="120"/>
      </w:pPr>
      <w:r w:rsidRPr="003B67CA">
        <w:rPr>
          <w:i/>
          <w:iCs/>
        </w:rPr>
        <w:t>h)</w:t>
      </w:r>
      <w:r w:rsidRPr="003B67CA">
        <w:tab/>
      </w:r>
      <w:r w:rsidR="00375931" w:rsidRPr="003B67CA">
        <w:t xml:space="preserve">la </w:t>
      </w:r>
      <w:r w:rsidRPr="003B67CA">
        <w:t>R</w:t>
      </w:r>
      <w:r w:rsidR="00375931" w:rsidRPr="003B67CA">
        <w:t>é</w:t>
      </w:r>
      <w:r w:rsidRPr="003B67CA">
        <w:t>solution 68 (</w:t>
      </w:r>
      <w:r w:rsidR="004500C5">
        <w:t xml:space="preserve">Rév. </w:t>
      </w:r>
      <w:r w:rsidR="00A822C2">
        <w:t>Hammamet, 2016</w:t>
      </w:r>
      <w:r w:rsidRPr="003B67CA">
        <w:t xml:space="preserve">) </w:t>
      </w:r>
      <w:r w:rsidR="00C7202F" w:rsidRPr="003B67CA">
        <w:t>de l</w:t>
      </w:r>
      <w:r w:rsidR="006F040D">
        <w:t>'</w:t>
      </w:r>
      <w:r w:rsidR="00C7202F" w:rsidRPr="003B67CA">
        <w:t>Assemblée mondiale de normalisation des télécommunications</w:t>
      </w:r>
      <w:r w:rsidR="005A5B0C">
        <w:t>,</w:t>
      </w:r>
      <w:r w:rsidRPr="003B67CA">
        <w:t xml:space="preserve"> </w:t>
      </w:r>
      <w:r w:rsidR="007E7B22">
        <w:t>relative à l</w:t>
      </w:r>
      <w:r w:rsidR="006F040D">
        <w:t>'</w:t>
      </w:r>
      <w:bookmarkStart w:id="15" w:name="_Toc111647845"/>
      <w:bookmarkStart w:id="16" w:name="_Toc111648484"/>
      <w:r w:rsidR="007E7B22">
        <w:t>é</w:t>
      </w:r>
      <w:r w:rsidR="00C7202F" w:rsidRPr="003B67CA">
        <w:t xml:space="preserve">volution du rôle du secteur privé au sein du Secteur de la normalisation des télécommunications de </w:t>
      </w:r>
      <w:proofErr w:type="gramStart"/>
      <w:r w:rsidR="00C7202F" w:rsidRPr="003B67CA">
        <w:t>l</w:t>
      </w:r>
      <w:r w:rsidR="006F040D">
        <w:t>'</w:t>
      </w:r>
      <w:r w:rsidR="00C7202F" w:rsidRPr="003B67CA">
        <w:t>UIT</w:t>
      </w:r>
      <w:bookmarkEnd w:id="15"/>
      <w:bookmarkEnd w:id="16"/>
      <w:r w:rsidRPr="003B67CA">
        <w:t>;</w:t>
      </w:r>
      <w:proofErr w:type="gramEnd"/>
    </w:p>
    <w:p w14:paraId="54C7AC47" w14:textId="462E1DF2" w:rsidR="009A2FF0" w:rsidRPr="003B67CA" w:rsidRDefault="009A2FF0" w:rsidP="006F040D">
      <w:pPr>
        <w:pStyle w:val="Normalaftertitle"/>
        <w:spacing w:before="120"/>
      </w:pPr>
      <w:r w:rsidRPr="003B67CA">
        <w:rPr>
          <w:i/>
          <w:iCs/>
        </w:rPr>
        <w:t>i)</w:t>
      </w:r>
      <w:r w:rsidRPr="003B67CA">
        <w:tab/>
      </w:r>
      <w:r w:rsidR="007A7CF3" w:rsidRPr="003B67CA">
        <w:t xml:space="preserve">la </w:t>
      </w:r>
      <w:r w:rsidRPr="003B67CA">
        <w:t>R</w:t>
      </w:r>
      <w:r w:rsidR="007A7CF3" w:rsidRPr="003B67CA">
        <w:t>é</w:t>
      </w:r>
      <w:r w:rsidRPr="003B67CA">
        <w:t>solution 71 (R</w:t>
      </w:r>
      <w:r w:rsidR="007A7CF3" w:rsidRPr="003B67CA">
        <w:t>é</w:t>
      </w:r>
      <w:r w:rsidRPr="003B67CA">
        <w:t xml:space="preserve">v. Kigali, 2022) </w:t>
      </w:r>
      <w:r w:rsidR="007A7CF3" w:rsidRPr="003B67CA">
        <w:t>de la Conférence mondiale de développement des télécommunications</w:t>
      </w:r>
      <w:r w:rsidRPr="003B67CA">
        <w:t xml:space="preserve">, </w:t>
      </w:r>
      <w:r w:rsidR="007E7B22">
        <w:t>intitulée</w:t>
      </w:r>
      <w:r w:rsidRPr="003B67CA">
        <w:t xml:space="preserve"> </w:t>
      </w:r>
      <w:r w:rsidR="00F432EC" w:rsidRPr="003B67CA">
        <w:t>"</w:t>
      </w:r>
      <w:bookmarkStart w:id="17" w:name="_Toc110264727"/>
      <w:bookmarkStart w:id="18" w:name="_Toc110335458"/>
      <w:bookmarkStart w:id="19" w:name="_Toc110335891"/>
      <w:r w:rsidR="0002573A" w:rsidRPr="003B67CA">
        <w:t xml:space="preserve">Renforcement de la coopération entre les États Membres, les Membres de Secteur, les Associés et les établissements universitaires participant aux travaux du </w:t>
      </w:r>
      <w:r w:rsidR="0002573A" w:rsidRPr="003B67CA">
        <w:lastRenderedPageBreak/>
        <w:t>Secteur du développement des télécommunications de l</w:t>
      </w:r>
      <w:r w:rsidR="006F040D">
        <w:t>'</w:t>
      </w:r>
      <w:r w:rsidR="0002573A" w:rsidRPr="003B67CA">
        <w:t>UIT et évolution du rôle du secteur privé au sein du Secteur du développement des télécommunications de l</w:t>
      </w:r>
      <w:r w:rsidR="006F040D">
        <w:t>'</w:t>
      </w:r>
      <w:r w:rsidR="0002573A" w:rsidRPr="003B67CA">
        <w:t>UIT</w:t>
      </w:r>
      <w:bookmarkEnd w:id="17"/>
      <w:bookmarkEnd w:id="18"/>
      <w:bookmarkEnd w:id="19"/>
      <w:r w:rsidR="00F432EC" w:rsidRPr="003B67CA">
        <w:t>"</w:t>
      </w:r>
      <w:r w:rsidRPr="003B67CA">
        <w:t xml:space="preserve">, </w:t>
      </w:r>
      <w:r w:rsidR="007E7B22">
        <w:t xml:space="preserve">qui fait </w:t>
      </w:r>
      <w:r w:rsidR="005A5B0C">
        <w:t>mention des</w:t>
      </w:r>
      <w:r w:rsidR="007E7B22">
        <w:t xml:space="preserve"> "</w:t>
      </w:r>
      <w:r w:rsidR="0002573A" w:rsidRPr="003B67CA">
        <w:rPr>
          <w:color w:val="000000"/>
        </w:rPr>
        <w:t>excellents résultats obtenus dans le cadre des discussions de haut niveau entre les États Membres et les Membres de Secteur pendant les réunions des responsables des questions de réglementation et le Débat de dirigeants du secteur privé (ILD)</w:t>
      </w:r>
      <w:r w:rsidR="00F432EC" w:rsidRPr="003B67CA">
        <w:t>"</w:t>
      </w:r>
      <w:r w:rsidRPr="003B67CA">
        <w:t xml:space="preserve">, </w:t>
      </w:r>
      <w:r w:rsidR="007E7B22">
        <w:t xml:space="preserve">et dans laquelle il est souligné </w:t>
      </w:r>
      <w:r w:rsidR="00F432EC" w:rsidRPr="003B67CA">
        <w:t>"</w:t>
      </w:r>
      <w:r w:rsidR="0002573A" w:rsidRPr="003B67CA">
        <w:t>qu</w:t>
      </w:r>
      <w:r w:rsidR="006F040D">
        <w:t>'</w:t>
      </w:r>
      <w:r w:rsidR="0002573A" w:rsidRPr="003B67CA">
        <w:t>il convient de continuer de prendre des mesures appropriées pour créer un environnement propice, aux niveaux international, régional et national, afin d</w:t>
      </w:r>
      <w:r w:rsidR="006F040D">
        <w:t>'</w:t>
      </w:r>
      <w:r w:rsidR="0002573A" w:rsidRPr="003B67CA">
        <w:t>encourager le développement et les investissements des Membres de Secteur dans le secteur des télécommunications/TIC</w:t>
      </w:r>
      <w:r w:rsidR="00F432EC" w:rsidRPr="003B67CA">
        <w:t>"</w:t>
      </w:r>
      <w:r w:rsidRPr="003B67CA">
        <w:t xml:space="preserve">, </w:t>
      </w:r>
    </w:p>
    <w:p w14:paraId="0B2908C5" w14:textId="77777777" w:rsidR="009A2FF0" w:rsidRPr="006F040D" w:rsidRDefault="00DD14B2" w:rsidP="006F040D">
      <w:pPr>
        <w:pStyle w:val="Call"/>
        <w:rPr>
          <w:lang w:val="fr-CH"/>
        </w:rPr>
      </w:pPr>
      <w:proofErr w:type="gramStart"/>
      <w:r w:rsidRPr="006F040D">
        <w:rPr>
          <w:lang w:val="fr-CH"/>
        </w:rPr>
        <w:t>considérant</w:t>
      </w:r>
      <w:proofErr w:type="gramEnd"/>
    </w:p>
    <w:p w14:paraId="40423366" w14:textId="043B039C" w:rsidR="009A2FF0" w:rsidRPr="003B67CA" w:rsidRDefault="009A2FF0" w:rsidP="006F040D">
      <w:pPr>
        <w:pStyle w:val="Normalaftertitle"/>
        <w:spacing w:before="120"/>
      </w:pPr>
      <w:r w:rsidRPr="00C57288">
        <w:rPr>
          <w:i/>
          <w:iCs/>
        </w:rPr>
        <w:t>a)</w:t>
      </w:r>
      <w:r w:rsidRPr="00C57288">
        <w:tab/>
      </w:r>
      <w:r w:rsidR="005A5B0C">
        <w:t>l</w:t>
      </w:r>
      <w:r w:rsidR="005A5B0C" w:rsidRPr="00C57288">
        <w:t xml:space="preserve">e </w:t>
      </w:r>
      <w:r w:rsidR="002313AD" w:rsidRPr="00C57288">
        <w:t>But 5 du Plan stratégique de l</w:t>
      </w:r>
      <w:r w:rsidR="006F040D">
        <w:t>'</w:t>
      </w:r>
      <w:r w:rsidR="002313AD" w:rsidRPr="00C57288">
        <w:t xml:space="preserve">Union pour </w:t>
      </w:r>
      <w:r w:rsidR="00C57288" w:rsidRPr="00C57288">
        <w:t>la période</w:t>
      </w:r>
      <w:r w:rsidRPr="00C57288">
        <w:t xml:space="preserve"> 2020-2023 (R</w:t>
      </w:r>
      <w:r w:rsidR="00A474E6" w:rsidRPr="00C57288">
        <w:t>é</w:t>
      </w:r>
      <w:r w:rsidRPr="00C57288">
        <w:t>solution 71, R</w:t>
      </w:r>
      <w:r w:rsidR="00A474E6" w:rsidRPr="00C57288">
        <w:t>é</w:t>
      </w:r>
      <w:r w:rsidR="00FE2F90">
        <w:t>v. </w:t>
      </w:r>
      <w:r w:rsidRPr="003B67CA">
        <w:t>Duba</w:t>
      </w:r>
      <w:r w:rsidR="00A474E6" w:rsidRPr="003B67CA">
        <w:t>ï</w:t>
      </w:r>
      <w:r w:rsidR="00FE2F90">
        <w:t>, </w:t>
      </w:r>
      <w:r w:rsidRPr="003B67CA">
        <w:t xml:space="preserve">2018) </w:t>
      </w:r>
      <w:r w:rsidR="00A474E6" w:rsidRPr="003B67CA">
        <w:t>de la Conférence de plénipotentiaires</w:t>
      </w:r>
      <w:r w:rsidR="006F040D">
        <w:t xml:space="preserve"> </w:t>
      </w:r>
      <w:r w:rsidR="00C57288">
        <w:t>sur l</w:t>
      </w:r>
      <w:r w:rsidR="006F040D">
        <w:t>'</w:t>
      </w:r>
      <w:r w:rsidR="00C57288">
        <w:t>im</w:t>
      </w:r>
      <w:r w:rsidRPr="003B67CA">
        <w:t xml:space="preserve">portance </w:t>
      </w:r>
      <w:r w:rsidR="00C57288">
        <w:t>des</w:t>
      </w:r>
      <w:r w:rsidR="006F040D">
        <w:t xml:space="preserve"> </w:t>
      </w:r>
      <w:r w:rsidR="005A5B0C">
        <w:rPr>
          <w:color w:val="000000"/>
        </w:rPr>
        <w:t>p</w:t>
      </w:r>
      <w:r w:rsidR="005A5B0C" w:rsidRPr="003B67CA">
        <w:rPr>
          <w:color w:val="000000"/>
        </w:rPr>
        <w:t>artenariats</w:t>
      </w:r>
      <w:r w:rsidR="006F040D">
        <w:t xml:space="preserve"> </w:t>
      </w:r>
      <w:r w:rsidR="00C57288">
        <w:t xml:space="preserve">et </w:t>
      </w:r>
      <w:r w:rsidR="005A5B0C">
        <w:t>la nécessité</w:t>
      </w:r>
      <w:r w:rsidR="00F94E13" w:rsidRPr="003B67CA">
        <w:t xml:space="preserve"> d</w:t>
      </w:r>
      <w:r w:rsidR="006F040D">
        <w:t>'</w:t>
      </w:r>
      <w:r w:rsidR="00F94E13" w:rsidRPr="003B67CA">
        <w:t>encourager la participation des gouvernements, du secteur privé, de la société civile, des organisations intergouvernementales</w:t>
      </w:r>
      <w:r w:rsidR="006F040D">
        <w:t xml:space="preserve"> </w:t>
      </w:r>
      <w:r w:rsidR="005A5B0C">
        <w:t>ou</w:t>
      </w:r>
      <w:r w:rsidR="006F040D">
        <w:t xml:space="preserve"> </w:t>
      </w:r>
      <w:r w:rsidR="00F94E13" w:rsidRPr="003B67CA">
        <w:t>internationales et des milieux techniques et universitaires</w:t>
      </w:r>
      <w:r w:rsidR="005A5B0C" w:rsidRPr="005A5B0C">
        <w:t xml:space="preserve">, ainsi que la coopération entre ces </w:t>
      </w:r>
      <w:proofErr w:type="gramStart"/>
      <w:r w:rsidR="005A5B0C" w:rsidRPr="005A5B0C">
        <w:t>entités</w:t>
      </w:r>
      <w:r w:rsidR="00C57288">
        <w:t>;</w:t>
      </w:r>
      <w:proofErr w:type="gramEnd"/>
    </w:p>
    <w:p w14:paraId="46BAB4FC" w14:textId="7AFD548A" w:rsidR="009A2FF0" w:rsidRPr="003B67CA" w:rsidRDefault="009A2FF0" w:rsidP="006F040D">
      <w:pPr>
        <w:pStyle w:val="Normalaftertitle"/>
        <w:spacing w:before="120"/>
      </w:pPr>
      <w:r w:rsidRPr="003B67CA">
        <w:rPr>
          <w:i/>
          <w:iCs/>
        </w:rPr>
        <w:t>b)</w:t>
      </w:r>
      <w:r w:rsidRPr="003B67CA">
        <w:rPr>
          <w:i/>
          <w:iCs/>
        </w:rPr>
        <w:tab/>
      </w:r>
      <w:r w:rsidR="00F94E13" w:rsidRPr="003B67CA">
        <w:t>que l</w:t>
      </w:r>
      <w:r w:rsidR="006F040D">
        <w:t>'</w:t>
      </w:r>
      <w:r w:rsidR="00F94E13" w:rsidRPr="003B67CA">
        <w:t>innovation et la croissance d</w:t>
      </w:r>
      <w:r w:rsidR="00C57288">
        <w:t xml:space="preserve">u secteur privé </w:t>
      </w:r>
      <w:r w:rsidR="00F94E13" w:rsidRPr="003B67CA">
        <w:t>sont favorisées par le renforcement des capacités, la mise à profit des bonnes pratiques existantes et l</w:t>
      </w:r>
      <w:r w:rsidR="006F040D">
        <w:t>'</w:t>
      </w:r>
      <w:r w:rsidR="00F94E13" w:rsidRPr="003B67CA">
        <w:t>acquisition de connaissances en matière de télécommunications et de TIC, y compris en ce qui concerne les normes et les rapports techniques pertinents sur les TIC</w:t>
      </w:r>
      <w:r w:rsidRPr="003B67CA">
        <w:t xml:space="preserve">, </w:t>
      </w:r>
    </w:p>
    <w:p w14:paraId="03BDF4BA" w14:textId="77777777" w:rsidR="009A2FF0" w:rsidRPr="006F040D" w:rsidRDefault="00DD14B2" w:rsidP="006F040D">
      <w:pPr>
        <w:pStyle w:val="Call"/>
        <w:rPr>
          <w:lang w:val="fr-CH"/>
        </w:rPr>
      </w:pPr>
      <w:proofErr w:type="gramStart"/>
      <w:r w:rsidRPr="006F040D">
        <w:rPr>
          <w:lang w:val="fr-CH"/>
        </w:rPr>
        <w:t>reconnaissant</w:t>
      </w:r>
      <w:proofErr w:type="gramEnd"/>
    </w:p>
    <w:p w14:paraId="29623A7F" w14:textId="52405C73" w:rsidR="009A2FF0" w:rsidRPr="006F040D" w:rsidRDefault="009A2FF0" w:rsidP="006F040D">
      <w:pPr>
        <w:pStyle w:val="Normalaftertitle"/>
        <w:spacing w:before="120"/>
        <w:rPr>
          <w:lang w:val="fr-CH"/>
        </w:rPr>
      </w:pPr>
      <w:r w:rsidRPr="00A61BD4">
        <w:rPr>
          <w:i/>
          <w:iCs/>
        </w:rPr>
        <w:t>a)</w:t>
      </w:r>
      <w:r w:rsidRPr="00A61BD4">
        <w:tab/>
      </w:r>
      <w:r w:rsidR="00A61BD4" w:rsidRPr="00A61BD4">
        <w:t>que dans certaines r</w:t>
      </w:r>
      <w:r w:rsidR="00A61BD4">
        <w:t>égions de l</w:t>
      </w:r>
      <w:r w:rsidR="006F040D">
        <w:t>'</w:t>
      </w:r>
      <w:r w:rsidR="00A61BD4">
        <w:t>UIT</w:t>
      </w:r>
      <w:r w:rsidR="00154190">
        <w:t>,</w:t>
      </w:r>
      <w:r w:rsidR="006F040D">
        <w:t xml:space="preserve"> </w:t>
      </w:r>
      <w:r w:rsidR="00A61BD4">
        <w:t>tous</w:t>
      </w:r>
      <w:r w:rsidR="006F040D">
        <w:t xml:space="preserve"> </w:t>
      </w:r>
      <w:r w:rsidR="00A61BD4">
        <w:t>Secteurs de l</w:t>
      </w:r>
      <w:r w:rsidR="006F040D">
        <w:t>'</w:t>
      </w:r>
      <w:r w:rsidR="00A61BD4">
        <w:t>UIT</w:t>
      </w:r>
      <w:r w:rsidR="00B94DF3">
        <w:t xml:space="preserve"> confondus</w:t>
      </w:r>
      <w:r w:rsidR="00A61BD4">
        <w:t xml:space="preserve">, la participation du secteur privé aux travaux de normalisation </w:t>
      </w:r>
      <w:r w:rsidR="00B94DF3">
        <w:t xml:space="preserve">est en baisse </w:t>
      </w:r>
      <w:r w:rsidR="00A61BD4">
        <w:t>et s</w:t>
      </w:r>
      <w:r w:rsidR="006F040D">
        <w:t>'</w:t>
      </w:r>
      <w:r w:rsidR="00A61BD4">
        <w:t>accompagne d</w:t>
      </w:r>
      <w:r w:rsidR="006F040D">
        <w:t>'</w:t>
      </w:r>
      <w:r w:rsidR="00A61BD4">
        <w:t>un</w:t>
      </w:r>
      <w:r w:rsidR="009A3EC8">
        <w:t xml:space="preserve"> net recul de l</w:t>
      </w:r>
      <w:r w:rsidR="006F040D">
        <w:t>'</w:t>
      </w:r>
      <w:r w:rsidR="009A3EC8">
        <w:t>attention portée à</w:t>
      </w:r>
      <w:r w:rsidR="006F040D">
        <w:t xml:space="preserve"> </w:t>
      </w:r>
      <w:r w:rsidR="00A61BD4">
        <w:t xml:space="preserve">la </w:t>
      </w:r>
      <w:proofErr w:type="gramStart"/>
      <w:r w:rsidR="00A61BD4">
        <w:t>normalisation;</w:t>
      </w:r>
      <w:proofErr w:type="gramEnd"/>
    </w:p>
    <w:p w14:paraId="386AD315" w14:textId="05BC75EA" w:rsidR="009A2FF0" w:rsidRPr="005706A7" w:rsidRDefault="009A2FF0" w:rsidP="006F040D">
      <w:pPr>
        <w:pStyle w:val="Normalaftertitle"/>
        <w:spacing w:before="120"/>
      </w:pPr>
      <w:r w:rsidRPr="005706A7">
        <w:rPr>
          <w:i/>
          <w:iCs/>
        </w:rPr>
        <w:t>b)</w:t>
      </w:r>
      <w:r w:rsidRPr="005706A7">
        <w:tab/>
      </w:r>
      <w:r w:rsidR="00A61BD4" w:rsidRPr="005706A7">
        <w:t>que dans certaines régions de l</w:t>
      </w:r>
      <w:r w:rsidR="006F040D">
        <w:t>'</w:t>
      </w:r>
      <w:r w:rsidR="00A61BD4" w:rsidRPr="005706A7">
        <w:t xml:space="preserve">UIT, </w:t>
      </w:r>
      <w:r w:rsidR="005706A7" w:rsidRPr="005706A7">
        <w:t xml:space="preserve">les ingénieurs issus de la jeune génération </w:t>
      </w:r>
      <w:r w:rsidR="005706A7">
        <w:t xml:space="preserve">ne considèrent pas la normalisation comme </w:t>
      </w:r>
      <w:r w:rsidR="00445FA8">
        <w:t>un</w:t>
      </w:r>
      <w:r w:rsidR="006F040D">
        <w:t xml:space="preserve"> </w:t>
      </w:r>
      <w:r w:rsidR="00445FA8">
        <w:t xml:space="preserve">choix </w:t>
      </w:r>
      <w:r w:rsidR="005706A7">
        <w:t xml:space="preserve">de carrière </w:t>
      </w:r>
      <w:proofErr w:type="gramStart"/>
      <w:r w:rsidR="005706A7">
        <w:t>prioritaire</w:t>
      </w:r>
      <w:r w:rsidRPr="005706A7">
        <w:t>;</w:t>
      </w:r>
      <w:proofErr w:type="gramEnd"/>
    </w:p>
    <w:p w14:paraId="7530A843" w14:textId="3C92457E" w:rsidR="009A2FF0" w:rsidRPr="002C5BDF" w:rsidRDefault="009A2FF0" w:rsidP="006F040D">
      <w:pPr>
        <w:pStyle w:val="Normalaftertitle"/>
        <w:spacing w:before="120"/>
      </w:pPr>
      <w:r w:rsidRPr="005706A7">
        <w:rPr>
          <w:i/>
          <w:iCs/>
        </w:rPr>
        <w:t>c)</w:t>
      </w:r>
      <w:r w:rsidRPr="005706A7">
        <w:tab/>
      </w:r>
      <w:r w:rsidR="005706A7" w:rsidRPr="005706A7">
        <w:t>que certains États Me</w:t>
      </w:r>
      <w:r w:rsidR="005706A7">
        <w:t>mbres ont exprimé le souhait</w:t>
      </w:r>
      <w:r w:rsidR="006F040D">
        <w:t xml:space="preserve"> </w:t>
      </w:r>
      <w:r w:rsidR="00445FA8">
        <w:t>qu</w:t>
      </w:r>
      <w:r w:rsidR="006F040D">
        <w:t>'</w:t>
      </w:r>
      <w:r w:rsidR="002C5BDF">
        <w:t xml:space="preserve">un </w:t>
      </w:r>
      <w:r w:rsidR="00445FA8">
        <w:t xml:space="preserve">plus </w:t>
      </w:r>
      <w:r w:rsidR="00AD0B69">
        <w:t>large éventail</w:t>
      </w:r>
      <w:r w:rsidR="002C5BDF">
        <w:t xml:space="preserve"> de membres du secteur privé (</w:t>
      </w:r>
      <w:r w:rsidR="00154190">
        <w:t>y compris les</w:t>
      </w:r>
      <w:r w:rsidR="002C5BDF">
        <w:t xml:space="preserve"> petites et moyennes entreprises (PME)) participe</w:t>
      </w:r>
      <w:r w:rsidR="00445FA8">
        <w:t>nt</w:t>
      </w:r>
      <w:r w:rsidR="006F040D">
        <w:t xml:space="preserve"> </w:t>
      </w:r>
      <w:r w:rsidR="002C5BDF">
        <w:t xml:space="preserve">davantage aux travaux de </w:t>
      </w:r>
      <w:proofErr w:type="gramStart"/>
      <w:r w:rsidR="002C5BDF">
        <w:t>l</w:t>
      </w:r>
      <w:r w:rsidR="006F040D">
        <w:t>'</w:t>
      </w:r>
      <w:r w:rsidR="002C5BDF">
        <w:t>UIT</w:t>
      </w:r>
      <w:r w:rsidRPr="002C5BDF">
        <w:t>;</w:t>
      </w:r>
      <w:proofErr w:type="gramEnd"/>
    </w:p>
    <w:p w14:paraId="66B41829" w14:textId="38891A44" w:rsidR="009A2FF0" w:rsidRPr="002C5BDF" w:rsidRDefault="009A2FF0" w:rsidP="006F040D">
      <w:pPr>
        <w:pStyle w:val="Normalaftertitle"/>
        <w:spacing w:before="120"/>
      </w:pPr>
      <w:r w:rsidRPr="002C5BDF">
        <w:rPr>
          <w:i/>
          <w:iCs/>
        </w:rPr>
        <w:t>d)</w:t>
      </w:r>
      <w:r w:rsidRPr="002C5BDF">
        <w:tab/>
      </w:r>
      <w:r w:rsidR="007E1E89" w:rsidRPr="002C5BDF">
        <w:t>qu</w:t>
      </w:r>
      <w:r w:rsidR="006F040D">
        <w:t>'</w:t>
      </w:r>
      <w:r w:rsidR="007E1E89">
        <w:t xml:space="preserve">il conviendrait de </w:t>
      </w:r>
      <w:r w:rsidR="00920678">
        <w:t>mieux tenir compte</w:t>
      </w:r>
      <w:r w:rsidR="00743D45">
        <w:t>,</w:t>
      </w:r>
      <w:r w:rsidR="00743D45" w:rsidRPr="00743D45">
        <w:t xml:space="preserve"> </w:t>
      </w:r>
      <w:r w:rsidR="00743D45">
        <w:t>dans l</w:t>
      </w:r>
      <w:r w:rsidR="006F040D">
        <w:t>'</w:t>
      </w:r>
      <w:r w:rsidR="00743D45">
        <w:t>éventail des activités de l</w:t>
      </w:r>
      <w:r w:rsidR="006F040D">
        <w:t>'</w:t>
      </w:r>
      <w:r w:rsidR="00743D45">
        <w:t>UIT</w:t>
      </w:r>
      <w:r w:rsidR="00743D45" w:rsidRPr="002C5BDF">
        <w:t>,</w:t>
      </w:r>
      <w:r w:rsidR="006F040D">
        <w:t xml:space="preserve"> </w:t>
      </w:r>
      <w:r w:rsidR="00920678">
        <w:t>du fait que la force</w:t>
      </w:r>
      <w:r w:rsidR="006F040D">
        <w:t xml:space="preserve"> </w:t>
      </w:r>
      <w:r w:rsidR="002C5BDF" w:rsidRPr="002C5BDF">
        <w:t>de l</w:t>
      </w:r>
      <w:r w:rsidR="006F040D">
        <w:t>'</w:t>
      </w:r>
      <w:r w:rsidR="002C5BDF" w:rsidRPr="002C5BDF">
        <w:t>UIT</w:t>
      </w:r>
      <w:r w:rsidR="006F040D">
        <w:t xml:space="preserve"> </w:t>
      </w:r>
      <w:r w:rsidR="00920678">
        <w:t>réside dans sa capacité à</w:t>
      </w:r>
      <w:r w:rsidR="00FE2F90">
        <w:t xml:space="preserve"> </w:t>
      </w:r>
      <w:r w:rsidR="00920678">
        <w:t>offrir</w:t>
      </w:r>
      <w:r w:rsidR="006F040D">
        <w:t xml:space="preserve"> </w:t>
      </w:r>
      <w:r w:rsidR="002C5BDF" w:rsidRPr="002C5BDF">
        <w:t>un cadre de collaboration et de compréhension mutuelle entre les administratio</w:t>
      </w:r>
      <w:r w:rsidR="002C5BDF">
        <w:t>ns et le secteur privé,</w:t>
      </w:r>
      <w:r w:rsidR="006F040D">
        <w:t xml:space="preserve"> </w:t>
      </w:r>
    </w:p>
    <w:p w14:paraId="260FC69F" w14:textId="77777777" w:rsidR="009A2FF0" w:rsidRPr="003B67CA" w:rsidRDefault="00C354A6" w:rsidP="006F040D">
      <w:pPr>
        <w:pStyle w:val="Call"/>
      </w:pPr>
      <w:proofErr w:type="gramStart"/>
      <w:r w:rsidRPr="003B67CA">
        <w:rPr>
          <w:color w:val="000000"/>
        </w:rPr>
        <w:t>décide</w:t>
      </w:r>
      <w:proofErr w:type="gramEnd"/>
      <w:r w:rsidRPr="003B67CA">
        <w:rPr>
          <w:color w:val="000000"/>
        </w:rPr>
        <w:t xml:space="preserve"> de charger le Secrétaire général et les Directeurs des Bureaux</w:t>
      </w:r>
    </w:p>
    <w:p w14:paraId="4643808D" w14:textId="710D74F9" w:rsidR="009A2FF0" w:rsidRPr="00413D8E" w:rsidRDefault="009A2FF0" w:rsidP="006F040D">
      <w:pPr>
        <w:pStyle w:val="Normalaftertitle"/>
        <w:spacing w:before="120"/>
      </w:pPr>
      <w:r w:rsidRPr="00413D8E">
        <w:t>1</w:t>
      </w:r>
      <w:r w:rsidRPr="00413D8E">
        <w:tab/>
      </w:r>
      <w:r w:rsidR="00413D8E" w:rsidRPr="00413D8E">
        <w:t>de prendre des mesures p</w:t>
      </w:r>
      <w:r w:rsidR="00413D8E">
        <w:t xml:space="preserve">our </w:t>
      </w:r>
      <w:r w:rsidR="00920678">
        <w:t xml:space="preserve">promouvoir </w:t>
      </w:r>
      <w:r w:rsidR="00413D8E">
        <w:t>et renforcer les symétries entre le secteur privé et les États Membres</w:t>
      </w:r>
      <w:r w:rsidR="00154190">
        <w:t>,</w:t>
      </w:r>
      <w:r w:rsidR="00413D8E">
        <w:t xml:space="preserve"> en vue de répondre à l</w:t>
      </w:r>
      <w:r w:rsidR="006F040D">
        <w:t>'</w:t>
      </w:r>
      <w:r w:rsidR="00413D8E">
        <w:t>objet de l</w:t>
      </w:r>
      <w:r w:rsidR="006F040D">
        <w:t>'</w:t>
      </w:r>
      <w:r w:rsidR="00413D8E">
        <w:t>Union et d</w:t>
      </w:r>
      <w:r w:rsidR="006F040D">
        <w:t>'</w:t>
      </w:r>
      <w:r w:rsidR="00413D8E">
        <w:t xml:space="preserve">atteindre les objectifs du Plan stratégique, notamment, mais non </w:t>
      </w:r>
      <w:proofErr w:type="gramStart"/>
      <w:r w:rsidR="00413D8E">
        <w:t>exclusivement</w:t>
      </w:r>
      <w:r w:rsidRPr="00413D8E">
        <w:t>:</w:t>
      </w:r>
      <w:proofErr w:type="gramEnd"/>
    </w:p>
    <w:p w14:paraId="26A7834E" w14:textId="4B821D6D" w:rsidR="009A2FF0" w:rsidRPr="00FE2F90" w:rsidRDefault="00FE2F90" w:rsidP="00FE2F90">
      <w:pPr>
        <w:pStyle w:val="enumlev1"/>
      </w:pPr>
      <w:r>
        <w:t>–</w:t>
      </w:r>
      <w:r>
        <w:tab/>
      </w:r>
      <w:r w:rsidR="00413D8E" w:rsidRPr="00FE2F90">
        <w:t>en déterminant comment l</w:t>
      </w:r>
      <w:r w:rsidR="006F040D" w:rsidRPr="00FE2F90">
        <w:t>'</w:t>
      </w:r>
      <w:r w:rsidR="00413D8E" w:rsidRPr="00FE2F90">
        <w:t xml:space="preserve">UIT peut </w:t>
      </w:r>
      <w:r w:rsidR="006021BF" w:rsidRPr="00FE2F90">
        <w:t xml:space="preserve">parvenir à </w:t>
      </w:r>
      <w:r w:rsidR="00413D8E" w:rsidRPr="00FE2F90">
        <w:t>une vision commune de l</w:t>
      </w:r>
      <w:r w:rsidR="006F040D" w:rsidRPr="00FE2F90">
        <w:t>'</w:t>
      </w:r>
      <w:r w:rsidR="00413D8E" w:rsidRPr="00FE2F90">
        <w:t xml:space="preserve">avenir sous </w:t>
      </w:r>
      <w:r w:rsidR="006021BF" w:rsidRPr="00FE2F90">
        <w:t>la forme de</w:t>
      </w:r>
      <w:r w:rsidR="006F040D" w:rsidRPr="00FE2F90">
        <w:t xml:space="preserve"> </w:t>
      </w:r>
      <w:r w:rsidR="00413D8E" w:rsidRPr="00FE2F90">
        <w:t>partenariats public</w:t>
      </w:r>
      <w:r w:rsidR="00313345" w:rsidRPr="00FE2F90">
        <w:t>-</w:t>
      </w:r>
      <w:r w:rsidR="00413D8E" w:rsidRPr="00FE2F90">
        <w:t xml:space="preserve">privé, afin de préserver et de renforcer sa crédibilité au niveau national en définissant plus précisément les rôles </w:t>
      </w:r>
      <w:r w:rsidR="006021BF" w:rsidRPr="00FE2F90">
        <w:t>de</w:t>
      </w:r>
      <w:r w:rsidR="006F040D" w:rsidRPr="00FE2F90">
        <w:t xml:space="preserve"> </w:t>
      </w:r>
      <w:r w:rsidR="00413D8E" w:rsidRPr="00FE2F90">
        <w:t xml:space="preserve">chacun dans le cadre de ces </w:t>
      </w:r>
      <w:proofErr w:type="gramStart"/>
      <w:r w:rsidR="00413D8E" w:rsidRPr="00FE2F90">
        <w:t>partenariats</w:t>
      </w:r>
      <w:r w:rsidR="009A2FF0" w:rsidRPr="00FE2F90">
        <w:t>;</w:t>
      </w:r>
      <w:proofErr w:type="gramEnd"/>
    </w:p>
    <w:p w14:paraId="03651843" w14:textId="77040C33" w:rsidR="009A2FF0" w:rsidRPr="00FE2F90" w:rsidRDefault="00FE2F90" w:rsidP="00FE2F90">
      <w:pPr>
        <w:pStyle w:val="enumlev1"/>
      </w:pPr>
      <w:r>
        <w:t>–</w:t>
      </w:r>
      <w:r w:rsidR="00E67103" w:rsidRPr="00FE2F90">
        <w:tab/>
      </w:r>
      <w:r w:rsidR="00413D8E" w:rsidRPr="00FE2F90">
        <w:t>en déterminant comment l</w:t>
      </w:r>
      <w:r w:rsidR="006F040D" w:rsidRPr="00FE2F90">
        <w:t>'</w:t>
      </w:r>
      <w:r w:rsidR="00413D8E" w:rsidRPr="00FE2F90">
        <w:t xml:space="preserve">UIT-T peut créer davantage de valeur au profit de toutes les parties ou améliorer la qualité de ses travaux dans le cadre </w:t>
      </w:r>
      <w:r w:rsidR="00D4687F" w:rsidRPr="00FE2F90">
        <w:t xml:space="preserve">de son processus de normalisation </w:t>
      </w:r>
      <w:r w:rsidR="006021BF" w:rsidRPr="00FE2F90">
        <w:t>à l</w:t>
      </w:r>
      <w:r w:rsidR="006F040D" w:rsidRPr="00FE2F90">
        <w:t>'</w:t>
      </w:r>
      <w:r w:rsidR="006021BF" w:rsidRPr="00FE2F90">
        <w:t xml:space="preserve">échelle </w:t>
      </w:r>
      <w:proofErr w:type="gramStart"/>
      <w:r w:rsidR="006021BF" w:rsidRPr="00FE2F90">
        <w:t>mondiale</w:t>
      </w:r>
      <w:r w:rsidR="009A2FF0" w:rsidRPr="00FE2F90">
        <w:t>;</w:t>
      </w:r>
      <w:proofErr w:type="gramEnd"/>
    </w:p>
    <w:p w14:paraId="58607C68" w14:textId="459C8A5A" w:rsidR="009A2FF0" w:rsidRPr="00FE2F90" w:rsidRDefault="00FE2F90" w:rsidP="00FE2F90">
      <w:pPr>
        <w:pStyle w:val="enumlev1"/>
      </w:pPr>
      <w:r>
        <w:lastRenderedPageBreak/>
        <w:t>–</w:t>
      </w:r>
      <w:r w:rsidR="00E67103" w:rsidRPr="00FE2F90">
        <w:tab/>
      </w:r>
      <w:r w:rsidR="00D4687F" w:rsidRPr="00FE2F90">
        <w:t>en déterminant comment l</w:t>
      </w:r>
      <w:r w:rsidR="006F040D" w:rsidRPr="00FE2F90">
        <w:t>'</w:t>
      </w:r>
      <w:r w:rsidR="00D4687F" w:rsidRPr="00FE2F90">
        <w:t xml:space="preserve">UIT-T peut tirer parti de ses atouts, tels que la transmission par fibres optiques et le </w:t>
      </w:r>
      <w:proofErr w:type="gramStart"/>
      <w:r w:rsidR="00D4687F" w:rsidRPr="00FE2F90">
        <w:t>numérotage</w:t>
      </w:r>
      <w:r w:rsidR="009A2FF0" w:rsidRPr="00FE2F90">
        <w:t>;</w:t>
      </w:r>
      <w:proofErr w:type="gramEnd"/>
    </w:p>
    <w:p w14:paraId="08919938" w14:textId="480A80DE" w:rsidR="009A2FF0" w:rsidRPr="00FE2F90" w:rsidRDefault="00FE2F90" w:rsidP="00FE2F90">
      <w:pPr>
        <w:pStyle w:val="enumlev1"/>
      </w:pPr>
      <w:r>
        <w:t>–</w:t>
      </w:r>
      <w:r w:rsidR="00E67103" w:rsidRPr="00FE2F90">
        <w:tab/>
      </w:r>
      <w:r w:rsidR="00D4687F" w:rsidRPr="00FE2F90">
        <w:t xml:space="preserve">en étudiant </w:t>
      </w:r>
      <w:r w:rsidR="006021BF" w:rsidRPr="00FE2F90">
        <w:t>la possibilité</w:t>
      </w:r>
      <w:r w:rsidR="006F040D" w:rsidRPr="00FE2F90">
        <w:t xml:space="preserve"> </w:t>
      </w:r>
      <w:r w:rsidR="00D4687F" w:rsidRPr="00FE2F90">
        <w:t>de mener à bien les travaux selon une approche dav</w:t>
      </w:r>
      <w:r>
        <w:t>antage axée sur les projets, en</w:t>
      </w:r>
      <w:r w:rsidR="00203C91" w:rsidRPr="00FE2F90">
        <w:t xml:space="preserve"> s</w:t>
      </w:r>
      <w:r w:rsidR="006F040D" w:rsidRPr="00FE2F90">
        <w:t>'</w:t>
      </w:r>
      <w:r w:rsidR="00203C91" w:rsidRPr="00FE2F90">
        <w:t>appuyant sur</w:t>
      </w:r>
      <w:r w:rsidR="00203C91" w:rsidRPr="00FE2F90" w:rsidDel="00203C91">
        <w:t xml:space="preserve"> </w:t>
      </w:r>
      <w:r w:rsidR="00203C91" w:rsidRPr="00FE2F90">
        <w:t xml:space="preserve">les </w:t>
      </w:r>
      <w:r w:rsidR="00D4687F" w:rsidRPr="00FE2F90">
        <w:t>méthodes de travail du secteur privé</w:t>
      </w:r>
      <w:r w:rsidR="00203C91" w:rsidRPr="00FE2F90">
        <w:t>,</w:t>
      </w:r>
      <w:r w:rsidR="006F040D" w:rsidRPr="00FE2F90">
        <w:t xml:space="preserve"> </w:t>
      </w:r>
      <w:r w:rsidR="00D4687F" w:rsidRPr="00FE2F90">
        <w:t>dans l</w:t>
      </w:r>
      <w:r w:rsidR="006F040D" w:rsidRPr="00FE2F90">
        <w:t>'</w:t>
      </w:r>
      <w:r w:rsidR="00D4687F" w:rsidRPr="00FE2F90">
        <w:t xml:space="preserve">intérêt de la collaboration </w:t>
      </w:r>
      <w:proofErr w:type="gramStart"/>
      <w:r w:rsidR="00D4687F" w:rsidRPr="00FE2F90">
        <w:t>intersectorielle</w:t>
      </w:r>
      <w:r w:rsidR="009A2FF0" w:rsidRPr="00FE2F90">
        <w:t>;</w:t>
      </w:r>
      <w:proofErr w:type="gramEnd"/>
    </w:p>
    <w:p w14:paraId="54AFC159" w14:textId="4FB20F03" w:rsidR="009A2FF0" w:rsidRPr="00FE2F90" w:rsidRDefault="00FE2F90" w:rsidP="00FE2F90">
      <w:pPr>
        <w:pStyle w:val="enumlev1"/>
      </w:pPr>
      <w:r>
        <w:t>–</w:t>
      </w:r>
      <w:r w:rsidR="00E67103" w:rsidRPr="00FE2F90">
        <w:tab/>
      </w:r>
      <w:r w:rsidR="00053BFC" w:rsidRPr="00FE2F90">
        <w:t xml:space="preserve">en examinant les éventuels mécanismes permettant de </w:t>
      </w:r>
      <w:r w:rsidR="0072789C" w:rsidRPr="00FE2F90">
        <w:t>promouvoir la recherche d</w:t>
      </w:r>
      <w:r w:rsidR="006F040D" w:rsidRPr="00FE2F90">
        <w:t>'</w:t>
      </w:r>
      <w:r w:rsidR="0072789C" w:rsidRPr="00FE2F90">
        <w:t>un consensus</w:t>
      </w:r>
      <w:r w:rsidR="006F040D" w:rsidRPr="00FE2F90">
        <w:t xml:space="preserve"> </w:t>
      </w:r>
      <w:r w:rsidR="00053BFC" w:rsidRPr="00FE2F90">
        <w:t xml:space="preserve">entre les </w:t>
      </w:r>
      <w:proofErr w:type="gramStart"/>
      <w:r w:rsidR="00053BFC" w:rsidRPr="00FE2F90">
        <w:t>membres</w:t>
      </w:r>
      <w:r w:rsidR="009A2FF0" w:rsidRPr="00FE2F90">
        <w:t>;</w:t>
      </w:r>
      <w:proofErr w:type="gramEnd"/>
    </w:p>
    <w:p w14:paraId="75996286" w14:textId="7176620A" w:rsidR="009A2FF0" w:rsidRPr="003B67CA" w:rsidRDefault="009A2FF0" w:rsidP="006F040D">
      <w:pPr>
        <w:pStyle w:val="Normalaftertitle"/>
        <w:spacing w:before="120"/>
      </w:pPr>
      <w:r w:rsidRPr="003B67CA">
        <w:t>2</w:t>
      </w:r>
      <w:r w:rsidRPr="003B67CA">
        <w:tab/>
      </w:r>
      <w:r w:rsidR="00C354A6" w:rsidRPr="003B67CA">
        <w:rPr>
          <w:lang w:val="fr-CH"/>
        </w:rPr>
        <w:t xml:space="preserve">de prendre les mesures nécessaires et appropriées pour mettre en </w:t>
      </w:r>
      <w:r w:rsidR="00044BEA" w:rsidRPr="003B67CA">
        <w:rPr>
          <w:lang w:val="fr-CH"/>
        </w:rPr>
        <w:t>œuvre</w:t>
      </w:r>
      <w:r w:rsidR="00C354A6" w:rsidRPr="003B67CA">
        <w:rPr>
          <w:lang w:val="fr-CH"/>
        </w:rPr>
        <w:t xml:space="preserve"> la présente </w:t>
      </w:r>
      <w:r w:rsidR="0072789C">
        <w:rPr>
          <w:lang w:val="fr-CH"/>
        </w:rPr>
        <w:t>R</w:t>
      </w:r>
      <w:r w:rsidR="0072789C" w:rsidRPr="003B67CA">
        <w:rPr>
          <w:lang w:val="fr-CH"/>
        </w:rPr>
        <w:t>ésolution</w:t>
      </w:r>
      <w:r w:rsidRPr="003B67CA">
        <w:t xml:space="preserve">, </w:t>
      </w:r>
    </w:p>
    <w:p w14:paraId="18659DCD" w14:textId="7033DA36" w:rsidR="009A2FF0" w:rsidRPr="00E72B95" w:rsidRDefault="00E67103" w:rsidP="006F040D">
      <w:pPr>
        <w:pStyle w:val="enumlev1"/>
      </w:pPr>
      <w:r w:rsidRPr="00053BFC">
        <w:t>–</w:t>
      </w:r>
      <w:r w:rsidR="009A2FF0" w:rsidRPr="00053BFC">
        <w:tab/>
      </w:r>
      <w:r w:rsidR="00053BFC" w:rsidRPr="00053BFC">
        <w:t>en organisant</w:t>
      </w:r>
      <w:r w:rsidR="0072789C" w:rsidRPr="0072789C">
        <w:t xml:space="preserve"> </w:t>
      </w:r>
      <w:r w:rsidR="0072789C">
        <w:t xml:space="preserve">à intervalles </w:t>
      </w:r>
      <w:r w:rsidR="0072789C" w:rsidRPr="00053BFC">
        <w:t>r</w:t>
      </w:r>
      <w:r w:rsidR="0072789C">
        <w:t>éguliers</w:t>
      </w:r>
      <w:r w:rsidR="00053BFC" w:rsidRPr="00053BFC">
        <w:t xml:space="preserve"> des ateliers </w:t>
      </w:r>
      <w:r w:rsidR="00053BFC">
        <w:t xml:space="preserve">avec le secteur privé, afin </w:t>
      </w:r>
      <w:r w:rsidR="0072789C">
        <w:t>de</w:t>
      </w:r>
      <w:r w:rsidR="00154190" w:rsidRPr="00154190">
        <w:t xml:space="preserve"> recueillir des observations</w:t>
      </w:r>
      <w:r w:rsidR="006F040D">
        <w:t xml:space="preserve"> </w:t>
      </w:r>
      <w:r w:rsidR="00053BFC">
        <w:t>sur la manière de renforcer la participation aux travaux de l</w:t>
      </w:r>
      <w:r w:rsidR="006F040D">
        <w:t>'</w:t>
      </w:r>
      <w:r w:rsidR="00053BFC">
        <w:t xml:space="preserve">UIT, </w:t>
      </w:r>
      <w:r w:rsidR="00154190">
        <w:t>l</w:t>
      </w:r>
      <w:r w:rsidR="006F040D">
        <w:t>'</w:t>
      </w:r>
      <w:r w:rsidR="00154190">
        <w:t>accent</w:t>
      </w:r>
      <w:r w:rsidR="00154190" w:rsidDel="00154190">
        <w:t xml:space="preserve"> </w:t>
      </w:r>
      <w:r w:rsidR="00154190">
        <w:t xml:space="preserve">étant mis en </w:t>
      </w:r>
      <w:r w:rsidR="00E72B95">
        <w:t>particuli</w:t>
      </w:r>
      <w:r w:rsidR="00154190">
        <w:t>er</w:t>
      </w:r>
      <w:r w:rsidR="006F040D">
        <w:t xml:space="preserve"> </w:t>
      </w:r>
      <w:r w:rsidR="00E72B95">
        <w:t xml:space="preserve">sur les jeunes générations, et en </w:t>
      </w:r>
      <w:r w:rsidR="003B59F7">
        <w:t>faisant rapport</w:t>
      </w:r>
      <w:r w:rsidR="00E72B95">
        <w:t xml:space="preserve"> à chaque </w:t>
      </w:r>
      <w:r w:rsidR="0072789C">
        <w:t xml:space="preserve">groupe </w:t>
      </w:r>
      <w:r w:rsidR="00E72B95">
        <w:t>consultatif des Secteurs, au Conseil et</w:t>
      </w:r>
      <w:r w:rsidR="006F040D">
        <w:t xml:space="preserve"> </w:t>
      </w:r>
      <w:r w:rsidR="0072789C">
        <w:t xml:space="preserve">par </w:t>
      </w:r>
      <w:r w:rsidR="00E72B95">
        <w:t xml:space="preserve">tout autre mécanisme </w:t>
      </w:r>
      <w:proofErr w:type="gramStart"/>
      <w:r w:rsidR="00E72B95">
        <w:t>approprié</w:t>
      </w:r>
      <w:r w:rsidR="00FE2F90">
        <w:t>;</w:t>
      </w:r>
      <w:proofErr w:type="gramEnd"/>
    </w:p>
    <w:p w14:paraId="0D638357" w14:textId="656DBFC8" w:rsidR="009A2FF0" w:rsidRPr="00E72B95" w:rsidRDefault="00E67103" w:rsidP="006F040D">
      <w:pPr>
        <w:pStyle w:val="enumlev1"/>
      </w:pPr>
      <w:r w:rsidRPr="00E72B95">
        <w:t>–</w:t>
      </w:r>
      <w:r w:rsidR="009A2FF0" w:rsidRPr="00E72B95">
        <w:tab/>
      </w:r>
      <w:r w:rsidR="00E72B95">
        <w:t>en ouvrant</w:t>
      </w:r>
      <w:r w:rsidR="00E72B95" w:rsidRPr="00E72B95">
        <w:t xml:space="preserve"> la participation a</w:t>
      </w:r>
      <w:r w:rsidR="00E72B95">
        <w:t>ux réunions de tous les Secteurs de l</w:t>
      </w:r>
      <w:r w:rsidR="006F040D">
        <w:t>'</w:t>
      </w:r>
      <w:r w:rsidR="00E72B95">
        <w:t xml:space="preserve">UIT aux dirigeants du secteur privé </w:t>
      </w:r>
      <w:r w:rsidR="00E72B95" w:rsidRPr="00E72B95">
        <w:t>qui représentent la diversité des vues des parties prenantes</w:t>
      </w:r>
      <w:r w:rsidR="00E72B95">
        <w:t xml:space="preserve">, </w:t>
      </w:r>
      <w:r w:rsidR="00E72B95" w:rsidRPr="00E72B95">
        <w:t xml:space="preserve">afin de contribuer à la définition et à la coordination des priorités et des questions de normalisation, et </w:t>
      </w:r>
      <w:r w:rsidR="00E72B95">
        <w:t xml:space="preserve">en faisant rapport </w:t>
      </w:r>
      <w:r w:rsidR="00E72B95" w:rsidRPr="00E72B95">
        <w:t xml:space="preserve">à chaque </w:t>
      </w:r>
      <w:r w:rsidR="002E1C2A">
        <w:t>g</w:t>
      </w:r>
      <w:r w:rsidR="002E1C2A" w:rsidRPr="00E72B95">
        <w:t xml:space="preserve">roupe </w:t>
      </w:r>
      <w:r w:rsidR="00E72B95" w:rsidRPr="00E72B95">
        <w:t>consultatif des Secteurs, au Conseil et</w:t>
      </w:r>
      <w:r w:rsidR="002E1C2A">
        <w:t xml:space="preserve"> par</w:t>
      </w:r>
      <w:r w:rsidR="00E72B95" w:rsidRPr="00E72B95">
        <w:t xml:space="preserve"> tout autre mécanisme approprié</w:t>
      </w:r>
      <w:r w:rsidR="009A2FF0" w:rsidRPr="00E72B95">
        <w:t>.</w:t>
      </w:r>
    </w:p>
    <w:p w14:paraId="3DB2471E" w14:textId="2DD15B67" w:rsidR="009A2FF0" w:rsidRPr="005D3879" w:rsidRDefault="009A2FF0" w:rsidP="006F040D">
      <w:pPr>
        <w:pStyle w:val="Normalaftertitle"/>
        <w:spacing w:before="120"/>
      </w:pPr>
      <w:r w:rsidRPr="00E72B95">
        <w:t>3</w:t>
      </w:r>
      <w:r w:rsidRPr="00E72B95">
        <w:tab/>
      </w:r>
      <w:r w:rsidR="00E72B95" w:rsidRPr="00E72B95">
        <w:t xml:space="preserve">de créer un </w:t>
      </w:r>
      <w:r w:rsidR="00E72B95">
        <w:t>"</w:t>
      </w:r>
      <w:r w:rsidR="00E72B95" w:rsidRPr="00E72B95">
        <w:t>Groupe c</w:t>
      </w:r>
      <w:r w:rsidR="00E72B95">
        <w:t>onsultatif du secteur privé", constitué de dirigeants du secteur venant d</w:t>
      </w:r>
      <w:r w:rsidR="006F040D">
        <w:t>'</w:t>
      </w:r>
      <w:r w:rsidR="00E72B95">
        <w:t>horizons variés, afin de fournir des avis et des orientations sur les initiatives propres à renforcer la participation du secteur privé aux activités de l</w:t>
      </w:r>
      <w:r w:rsidR="006F040D">
        <w:t>'</w:t>
      </w:r>
      <w:r w:rsidR="00E72B95">
        <w:t>UIT et à renforcer les partenariats entre les membres de l</w:t>
      </w:r>
      <w:r w:rsidR="006F040D">
        <w:t>'</w:t>
      </w:r>
      <w:r w:rsidR="00E72B95">
        <w:t xml:space="preserve">UIT </w:t>
      </w:r>
      <w:r w:rsidR="005D3879">
        <w:t>issus du secteur privé et les États Membres, et de faire rapport au Conseil à ce sujet</w:t>
      </w:r>
      <w:r w:rsidRPr="005D3879">
        <w:t>,</w:t>
      </w:r>
    </w:p>
    <w:p w14:paraId="7B5F31AC" w14:textId="12B7B0B3" w:rsidR="009A2FF0" w:rsidRPr="003B67CA" w:rsidRDefault="009A2FF0" w:rsidP="006F040D">
      <w:pPr>
        <w:pStyle w:val="Call"/>
      </w:pPr>
      <w:proofErr w:type="gramStart"/>
      <w:r w:rsidRPr="003B67CA">
        <w:rPr>
          <w:color w:val="000000"/>
        </w:rPr>
        <w:t>invite</w:t>
      </w:r>
      <w:proofErr w:type="gramEnd"/>
      <w:r w:rsidRPr="003B67CA">
        <w:rPr>
          <w:color w:val="000000"/>
        </w:rPr>
        <w:t xml:space="preserve"> le Conseil de l</w:t>
      </w:r>
      <w:r w:rsidR="006F040D">
        <w:rPr>
          <w:color w:val="000000"/>
        </w:rPr>
        <w:t>'</w:t>
      </w:r>
      <w:r w:rsidRPr="003B67CA">
        <w:rPr>
          <w:color w:val="000000"/>
        </w:rPr>
        <w:t>UIT</w:t>
      </w:r>
    </w:p>
    <w:p w14:paraId="0E018348" w14:textId="761B9DF0" w:rsidR="009A2FF0" w:rsidRPr="003B67CA" w:rsidRDefault="009A2FF0" w:rsidP="006F040D">
      <w:pPr>
        <w:pStyle w:val="Normalaftertitle"/>
        <w:spacing w:before="120"/>
      </w:pPr>
      <w:r w:rsidRPr="003B67CA">
        <w:t>1</w:t>
      </w:r>
      <w:r w:rsidRPr="003B67CA">
        <w:tab/>
      </w:r>
      <w:r w:rsidR="005D3879">
        <w:rPr>
          <w:color w:val="000000"/>
        </w:rPr>
        <w:t xml:space="preserve">à </w:t>
      </w:r>
      <w:r w:rsidR="00C354A6" w:rsidRPr="003B67CA">
        <w:rPr>
          <w:color w:val="000000"/>
        </w:rPr>
        <w:t>apporter toute autre précision appropriée afin d</w:t>
      </w:r>
      <w:r w:rsidR="006F040D">
        <w:rPr>
          <w:color w:val="000000"/>
        </w:rPr>
        <w:t>'</w:t>
      </w:r>
      <w:r w:rsidR="00C354A6" w:rsidRPr="003B67CA">
        <w:rPr>
          <w:color w:val="000000"/>
        </w:rPr>
        <w:t xml:space="preserve">appuyer la mise en </w:t>
      </w:r>
      <w:r w:rsidR="00044BEA" w:rsidRPr="003B67CA">
        <w:rPr>
          <w:color w:val="000000"/>
        </w:rPr>
        <w:t>œuvre</w:t>
      </w:r>
      <w:r w:rsidR="00C354A6" w:rsidRPr="003B67CA">
        <w:rPr>
          <w:color w:val="000000"/>
        </w:rPr>
        <w:t xml:space="preserve"> de la présente </w:t>
      </w:r>
      <w:proofErr w:type="gramStart"/>
      <w:r w:rsidR="00941C4A">
        <w:rPr>
          <w:color w:val="000000"/>
        </w:rPr>
        <w:t>R</w:t>
      </w:r>
      <w:r w:rsidR="00941C4A" w:rsidRPr="003B67CA">
        <w:rPr>
          <w:color w:val="000000"/>
        </w:rPr>
        <w:t>ésolution</w:t>
      </w:r>
      <w:r w:rsidRPr="003B67CA">
        <w:t>;</w:t>
      </w:r>
      <w:proofErr w:type="gramEnd"/>
      <w:r w:rsidRPr="003B67CA">
        <w:t xml:space="preserve"> </w:t>
      </w:r>
    </w:p>
    <w:p w14:paraId="6B1614EE" w14:textId="23B7BAD0" w:rsidR="009A2FF0" w:rsidRPr="005D3879" w:rsidRDefault="009A2FF0" w:rsidP="006F040D">
      <w:pPr>
        <w:pStyle w:val="Normalaftertitle"/>
        <w:spacing w:before="120"/>
      </w:pPr>
      <w:r w:rsidRPr="005D3879">
        <w:t>2</w:t>
      </w:r>
      <w:r w:rsidRPr="005D3879">
        <w:tab/>
      </w:r>
      <w:r w:rsidR="005D3879">
        <w:t xml:space="preserve">à </w:t>
      </w:r>
      <w:r w:rsidR="005D3879" w:rsidRPr="005D3879">
        <w:t xml:space="preserve">étudier </w:t>
      </w:r>
      <w:r w:rsidR="005D3879">
        <w:t xml:space="preserve">et examiner </w:t>
      </w:r>
      <w:r w:rsidR="005D3879" w:rsidRPr="005D3879">
        <w:t>la façon d</w:t>
      </w:r>
      <w:r w:rsidR="006F040D">
        <w:t>'</w:t>
      </w:r>
      <w:r w:rsidR="005D3879" w:rsidRPr="005D3879">
        <w:t>instaurer un environnement structurel propre à améliorer la contribution</w:t>
      </w:r>
      <w:r w:rsidR="005D3879">
        <w:t xml:space="preserve"> et la</w:t>
      </w:r>
      <w:r w:rsidR="005D3879" w:rsidRPr="005D3879">
        <w:t xml:space="preserve"> participation</w:t>
      </w:r>
      <w:r w:rsidR="005D3879">
        <w:t xml:space="preserve"> </w:t>
      </w:r>
      <w:r w:rsidR="005D3879" w:rsidRPr="005D3879">
        <w:t>du secteur privé</w:t>
      </w:r>
      <w:r w:rsidR="005D3879">
        <w:t xml:space="preserve"> </w:t>
      </w:r>
      <w:r w:rsidR="00941C4A">
        <w:t>aux</w:t>
      </w:r>
      <w:r w:rsidR="005D3879">
        <w:t xml:space="preserve"> travaux de </w:t>
      </w:r>
      <w:proofErr w:type="gramStart"/>
      <w:r w:rsidR="005D3879">
        <w:t>l</w:t>
      </w:r>
      <w:r w:rsidR="006F040D">
        <w:t>'</w:t>
      </w:r>
      <w:r w:rsidR="005D3879">
        <w:t>UIT;</w:t>
      </w:r>
      <w:proofErr w:type="gramEnd"/>
    </w:p>
    <w:p w14:paraId="492DDC02" w14:textId="6D6CAF38" w:rsidR="009A2FF0" w:rsidRPr="005D3879" w:rsidRDefault="009A2FF0" w:rsidP="006F040D">
      <w:pPr>
        <w:pStyle w:val="Normalaftertitle"/>
        <w:spacing w:before="120"/>
      </w:pPr>
      <w:r w:rsidRPr="005D3879">
        <w:t>3</w:t>
      </w:r>
      <w:r w:rsidRPr="005D3879">
        <w:tab/>
      </w:r>
      <w:r w:rsidR="005D3879" w:rsidRPr="005D3879">
        <w:t xml:space="preserve">à examiner les résultats </w:t>
      </w:r>
      <w:r w:rsidR="00941C4A">
        <w:t xml:space="preserve">des travaux </w:t>
      </w:r>
      <w:r w:rsidR="005D3879" w:rsidRPr="005D3879">
        <w:t>du "Groupe consultatif du secteur privé"</w:t>
      </w:r>
      <w:r w:rsidRPr="005D3879">
        <w:t>,</w:t>
      </w:r>
    </w:p>
    <w:p w14:paraId="7F5E01C7" w14:textId="5245858E" w:rsidR="00E67103" w:rsidRPr="003B67CA" w:rsidRDefault="00E67103" w:rsidP="006F040D">
      <w:pPr>
        <w:pStyle w:val="Call"/>
      </w:pPr>
      <w:proofErr w:type="gramStart"/>
      <w:r w:rsidRPr="003B67CA">
        <w:t>invite</w:t>
      </w:r>
      <w:proofErr w:type="gramEnd"/>
      <w:r w:rsidRPr="003B67CA">
        <w:t xml:space="preserve"> les </w:t>
      </w:r>
      <w:r w:rsidRPr="003B67CA">
        <w:rPr>
          <w:caps/>
        </w:rPr>
        <w:t>é</w:t>
      </w:r>
      <w:r w:rsidRPr="003B67CA">
        <w:t>tats Membres de l</w:t>
      </w:r>
      <w:r w:rsidR="006F040D">
        <w:t>'</w:t>
      </w:r>
      <w:r w:rsidRPr="003B67CA">
        <w:t>UIT, les Membres de Secteur, les Associés (</w:t>
      </w:r>
      <w:r w:rsidR="003B59F7">
        <w:t>y compris les PME</w:t>
      </w:r>
      <w:r w:rsidRPr="003B67CA">
        <w:t xml:space="preserve">), les établissements universitaires </w:t>
      </w:r>
      <w:r w:rsidRPr="003B67CA">
        <w:rPr>
          <w:color w:val="000000"/>
        </w:rPr>
        <w:t>et d</w:t>
      </w:r>
      <w:r w:rsidR="006F040D">
        <w:rPr>
          <w:color w:val="000000"/>
        </w:rPr>
        <w:t>'</w:t>
      </w:r>
      <w:r w:rsidRPr="003B67CA">
        <w:rPr>
          <w:color w:val="000000"/>
        </w:rPr>
        <w:t>autres participants aux travaux de l</w:t>
      </w:r>
      <w:r w:rsidR="006F040D">
        <w:rPr>
          <w:color w:val="000000"/>
        </w:rPr>
        <w:t>'</w:t>
      </w:r>
      <w:r w:rsidRPr="003B67CA">
        <w:rPr>
          <w:color w:val="000000"/>
        </w:rPr>
        <w:t>UIT</w:t>
      </w:r>
    </w:p>
    <w:p w14:paraId="54773351" w14:textId="620C4340" w:rsidR="009A2FF0" w:rsidRPr="00E218FB" w:rsidRDefault="005D3879" w:rsidP="006F040D">
      <w:pPr>
        <w:pStyle w:val="Normalaftertitle"/>
        <w:spacing w:before="120"/>
      </w:pPr>
      <w:proofErr w:type="gramStart"/>
      <w:r w:rsidRPr="00E218FB">
        <w:t>à</w:t>
      </w:r>
      <w:proofErr w:type="gramEnd"/>
      <w:r w:rsidRPr="00E218FB">
        <w:t xml:space="preserve"> soumettre des contributions</w:t>
      </w:r>
      <w:r w:rsidR="00E218FB" w:rsidRPr="00E218FB">
        <w:t xml:space="preserve"> </w:t>
      </w:r>
      <w:r w:rsidR="00941C4A">
        <w:t>au titre</w:t>
      </w:r>
      <w:r w:rsidR="00E218FB" w:rsidRPr="00E218FB">
        <w:t xml:space="preserve"> de la présente </w:t>
      </w:r>
      <w:r w:rsidR="00941C4A">
        <w:t>R</w:t>
      </w:r>
      <w:r w:rsidR="00941C4A" w:rsidRPr="00E218FB">
        <w:t>ésolutio</w:t>
      </w:r>
      <w:r w:rsidR="00941C4A">
        <w:t xml:space="preserve">n </w:t>
      </w:r>
      <w:r w:rsidR="00E218FB">
        <w:t>sur la façon d</w:t>
      </w:r>
      <w:r w:rsidR="006F040D">
        <w:t>'</w:t>
      </w:r>
      <w:r w:rsidR="00E218FB">
        <w:t xml:space="preserve">améliorer la contribution et la participation du secteur privé à chaque </w:t>
      </w:r>
      <w:r w:rsidR="001205F2">
        <w:t xml:space="preserve">groupe </w:t>
      </w:r>
      <w:r w:rsidR="00E218FB">
        <w:t>consultatif des Secteurs, au Conseil et</w:t>
      </w:r>
      <w:r w:rsidR="006F040D">
        <w:t xml:space="preserve"> </w:t>
      </w:r>
      <w:r w:rsidR="001205F2">
        <w:t xml:space="preserve">par </w:t>
      </w:r>
      <w:r w:rsidR="00E218FB">
        <w:t>tout autre mécanisme approprié</w:t>
      </w:r>
      <w:r w:rsidR="009A2FF0" w:rsidRPr="00E218FB">
        <w:t>,</w:t>
      </w:r>
    </w:p>
    <w:p w14:paraId="7BF8865C" w14:textId="3B1FA3BE" w:rsidR="009A2FF0" w:rsidRPr="003B67CA" w:rsidRDefault="009A2FF0" w:rsidP="006F040D">
      <w:pPr>
        <w:pStyle w:val="Call"/>
        <w:rPr>
          <w:rFonts w:asciiTheme="minorHAnsi" w:hAnsiTheme="minorHAnsi" w:cstheme="minorHAnsi"/>
          <w:szCs w:val="24"/>
          <w:lang w:eastAsia="en-GB"/>
        </w:rPr>
      </w:pPr>
      <w:proofErr w:type="gramStart"/>
      <w:r w:rsidRPr="003B67CA">
        <w:rPr>
          <w:color w:val="000000"/>
        </w:rPr>
        <w:t>invite</w:t>
      </w:r>
      <w:proofErr w:type="gramEnd"/>
      <w:r w:rsidRPr="003B67CA">
        <w:rPr>
          <w:color w:val="000000"/>
        </w:rPr>
        <w:t xml:space="preserve"> les États Membres de l</w:t>
      </w:r>
      <w:r w:rsidR="006F040D">
        <w:rPr>
          <w:color w:val="000000"/>
        </w:rPr>
        <w:t>'</w:t>
      </w:r>
      <w:r w:rsidRPr="003B67CA">
        <w:rPr>
          <w:color w:val="000000"/>
        </w:rPr>
        <w:t>UIT</w:t>
      </w:r>
    </w:p>
    <w:p w14:paraId="084772C2" w14:textId="4ECCB83D" w:rsidR="00B10547" w:rsidRPr="00E218FB" w:rsidRDefault="00E218FB" w:rsidP="006F040D">
      <w:pPr>
        <w:pStyle w:val="Normalaftertitle"/>
        <w:spacing w:before="120"/>
      </w:pPr>
      <w:proofErr w:type="gramStart"/>
      <w:r w:rsidRPr="00E218FB">
        <w:t>à</w:t>
      </w:r>
      <w:proofErr w:type="gramEnd"/>
      <w:r w:rsidRPr="00E218FB">
        <w:t xml:space="preserve"> informer</w:t>
      </w:r>
      <w:r w:rsidR="006F040D">
        <w:t xml:space="preserve"> </w:t>
      </w:r>
      <w:r w:rsidRPr="00E218FB">
        <w:t>d</w:t>
      </w:r>
      <w:r>
        <w:t>e la présente Résolution</w:t>
      </w:r>
      <w:r w:rsidR="00154190" w:rsidRPr="00154190">
        <w:t xml:space="preserve"> </w:t>
      </w:r>
      <w:r w:rsidR="00154190" w:rsidRPr="00E218FB">
        <w:t xml:space="preserve">les </w:t>
      </w:r>
      <w:r w:rsidR="00154190" w:rsidRPr="000F67AE">
        <w:t>professionnels d</w:t>
      </w:r>
      <w:r w:rsidR="00154190">
        <w:t>e leur</w:t>
      </w:r>
      <w:r w:rsidR="00154190" w:rsidRPr="000F67AE">
        <w:t xml:space="preserve"> secteur</w:t>
      </w:r>
      <w:r>
        <w:t xml:space="preserve"> et à les aider et à les encourager à adhérer à l</w:t>
      </w:r>
      <w:r w:rsidR="006F040D">
        <w:t>'</w:t>
      </w:r>
      <w:r>
        <w:t>UIT et à participer à ses travaux</w:t>
      </w:r>
      <w:r w:rsidR="009A2FF0" w:rsidRPr="00E218FB">
        <w:t>.</w:t>
      </w:r>
    </w:p>
    <w:p w14:paraId="380A2F5B" w14:textId="77777777" w:rsidR="009A2FF0" w:rsidRPr="00E218FB" w:rsidRDefault="009A2FF0" w:rsidP="006F040D">
      <w:pPr>
        <w:pStyle w:val="Reasons"/>
      </w:pPr>
    </w:p>
    <w:p w14:paraId="79C77658" w14:textId="77777777" w:rsidR="00B10547" w:rsidRPr="003B67CA" w:rsidRDefault="009A2FF0" w:rsidP="006F040D">
      <w:pPr>
        <w:jc w:val="center"/>
      </w:pPr>
      <w:r w:rsidRPr="003B67CA">
        <w:t>______________</w:t>
      </w:r>
    </w:p>
    <w:sectPr w:rsidR="00B10547" w:rsidRPr="003B67CA"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72FE" w14:textId="77777777" w:rsidR="00C457BD" w:rsidRDefault="00C457BD">
      <w:r>
        <w:separator/>
      </w:r>
    </w:p>
  </w:endnote>
  <w:endnote w:type="continuationSeparator" w:id="0">
    <w:p w14:paraId="139F3701" w14:textId="77777777" w:rsidR="00C457BD" w:rsidRDefault="00C4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FBBA" w14:textId="77777777" w:rsidR="005E78FA" w:rsidRDefault="005E7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B4E3" w14:textId="0F47A3AB" w:rsidR="009A2FF0" w:rsidRPr="005E78FA" w:rsidRDefault="006F040D" w:rsidP="006F040D">
    <w:pPr>
      <w:pStyle w:val="Footer"/>
      <w:rPr>
        <w:color w:val="FFFFFF" w:themeColor="background1"/>
        <w:lang w:val="en-US"/>
      </w:rPr>
    </w:pPr>
    <w:r w:rsidRPr="005E78FA">
      <w:rPr>
        <w:color w:val="FFFFFF" w:themeColor="background1"/>
      </w:rPr>
      <w:fldChar w:fldCharType="begin"/>
    </w:r>
    <w:r w:rsidRPr="005E78FA">
      <w:rPr>
        <w:color w:val="FFFFFF" w:themeColor="background1"/>
      </w:rPr>
      <w:instrText xml:space="preserve"> FILENAME \p  \* MERGEFORMAT </w:instrText>
    </w:r>
    <w:r w:rsidRPr="005E78FA">
      <w:rPr>
        <w:color w:val="FFFFFF" w:themeColor="background1"/>
      </w:rPr>
      <w:fldChar w:fldCharType="separate"/>
    </w:r>
    <w:r w:rsidR="006204B5" w:rsidRPr="005E78FA">
      <w:rPr>
        <w:color w:val="FFFFFF" w:themeColor="background1"/>
      </w:rPr>
      <w:t>P:\FRA\SG\CONF-SG\PP22\000\044ADD24F.docx</w:t>
    </w:r>
    <w:r w:rsidRPr="005E78FA">
      <w:rPr>
        <w:color w:val="FFFFFF" w:themeColor="background1"/>
      </w:rPr>
      <w:fldChar w:fldCharType="end"/>
    </w:r>
    <w:r w:rsidR="009A2FF0" w:rsidRPr="005E78FA">
      <w:rPr>
        <w:color w:val="FFFFFF" w:themeColor="background1"/>
        <w:lang w:val="en-US"/>
      </w:rPr>
      <w:t xml:space="preserve"> (510973)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7D3B" w14:textId="77777777" w:rsidR="000C467B" w:rsidRDefault="000D15FB" w:rsidP="00083C19">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EF69" w14:textId="77777777" w:rsidR="00C457BD" w:rsidRDefault="00C457BD">
      <w:r>
        <w:t>____________________</w:t>
      </w:r>
    </w:p>
  </w:footnote>
  <w:footnote w:type="continuationSeparator" w:id="0">
    <w:p w14:paraId="46E77F5C" w14:textId="77777777" w:rsidR="00C457BD" w:rsidRDefault="00C4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7529" w14:textId="77777777" w:rsidR="005E78FA" w:rsidRDefault="005E7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B5A8" w14:textId="1CA37F5D" w:rsidR="00BD1614" w:rsidRDefault="00BD1614" w:rsidP="00BD1614">
    <w:pPr>
      <w:pStyle w:val="Header"/>
    </w:pPr>
    <w:r>
      <w:fldChar w:fldCharType="begin"/>
    </w:r>
    <w:r>
      <w:instrText xml:space="preserve"> PAGE </w:instrText>
    </w:r>
    <w:r>
      <w:fldChar w:fldCharType="separate"/>
    </w:r>
    <w:r w:rsidR="006204B5">
      <w:rPr>
        <w:noProof/>
      </w:rPr>
      <w:t>2</w:t>
    </w:r>
    <w:r>
      <w:fldChar w:fldCharType="end"/>
    </w:r>
  </w:p>
  <w:p w14:paraId="5FC7E278" w14:textId="77777777" w:rsidR="00BD1614" w:rsidRDefault="00BD1614" w:rsidP="001E2226">
    <w:pPr>
      <w:pStyle w:val="Header"/>
    </w:pPr>
    <w:r>
      <w:t>PP</w:t>
    </w:r>
    <w:r w:rsidR="002A7A1D">
      <w:t>22</w:t>
    </w:r>
    <w:r>
      <w:t>/44(Add.</w:t>
    </w:r>
    <w:proofErr w:type="gramStart"/>
    <w:r>
      <w:t>24)-</w:t>
    </w:r>
    <w:proofErr w:type="gramEnd"/>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D4AC" w14:textId="77777777" w:rsidR="005E78FA" w:rsidRDefault="005E7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042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E1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628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4C8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908F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0C4F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7801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ADD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88FB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FAE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0B1E92"/>
    <w:multiLevelType w:val="hybridMultilevel"/>
    <w:tmpl w:val="C6D6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222454">
    <w:abstractNumId w:val="9"/>
  </w:num>
  <w:num w:numId="2" w16cid:durableId="1468931529">
    <w:abstractNumId w:val="7"/>
  </w:num>
  <w:num w:numId="3" w16cid:durableId="1761750235">
    <w:abstractNumId w:val="6"/>
  </w:num>
  <w:num w:numId="4" w16cid:durableId="1783642937">
    <w:abstractNumId w:val="5"/>
  </w:num>
  <w:num w:numId="5" w16cid:durableId="1496216117">
    <w:abstractNumId w:val="4"/>
  </w:num>
  <w:num w:numId="6" w16cid:durableId="409890398">
    <w:abstractNumId w:val="8"/>
  </w:num>
  <w:num w:numId="7" w16cid:durableId="1292133569">
    <w:abstractNumId w:val="3"/>
  </w:num>
  <w:num w:numId="8" w16cid:durableId="1205364229">
    <w:abstractNumId w:val="2"/>
  </w:num>
  <w:num w:numId="9" w16cid:durableId="304627619">
    <w:abstractNumId w:val="1"/>
  </w:num>
  <w:num w:numId="10" w16cid:durableId="1584796592">
    <w:abstractNumId w:val="0"/>
  </w:num>
  <w:num w:numId="11" w16cid:durableId="1178228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1D6B"/>
    <w:rsid w:val="000054D8"/>
    <w:rsid w:val="0002573A"/>
    <w:rsid w:val="00044BEA"/>
    <w:rsid w:val="00053BFC"/>
    <w:rsid w:val="00060D74"/>
    <w:rsid w:val="00072D5C"/>
    <w:rsid w:val="000826DD"/>
    <w:rsid w:val="0008398C"/>
    <w:rsid w:val="00083C19"/>
    <w:rsid w:val="00084308"/>
    <w:rsid w:val="000B14B6"/>
    <w:rsid w:val="000C467B"/>
    <w:rsid w:val="000D15FB"/>
    <w:rsid w:val="000E3887"/>
    <w:rsid w:val="000F58F7"/>
    <w:rsid w:val="000F67AE"/>
    <w:rsid w:val="001051E4"/>
    <w:rsid w:val="001205F2"/>
    <w:rsid w:val="00127ADD"/>
    <w:rsid w:val="001354EA"/>
    <w:rsid w:val="00136FCE"/>
    <w:rsid w:val="00153BA4"/>
    <w:rsid w:val="00154190"/>
    <w:rsid w:val="0019260B"/>
    <w:rsid w:val="001941AD"/>
    <w:rsid w:val="0019732C"/>
    <w:rsid w:val="001A0682"/>
    <w:rsid w:val="001B4D8D"/>
    <w:rsid w:val="001D31B2"/>
    <w:rsid w:val="001E1B9B"/>
    <w:rsid w:val="001E2226"/>
    <w:rsid w:val="001F15E7"/>
    <w:rsid w:val="001F6233"/>
    <w:rsid w:val="00203C91"/>
    <w:rsid w:val="002313AD"/>
    <w:rsid w:val="002355CD"/>
    <w:rsid w:val="00270B2F"/>
    <w:rsid w:val="002A054A"/>
    <w:rsid w:val="002A0E1B"/>
    <w:rsid w:val="002A7A1D"/>
    <w:rsid w:val="002C1059"/>
    <w:rsid w:val="002C2F9C"/>
    <w:rsid w:val="002C327B"/>
    <w:rsid w:val="002C5BDF"/>
    <w:rsid w:val="002E1C2A"/>
    <w:rsid w:val="002E1F49"/>
    <w:rsid w:val="00313345"/>
    <w:rsid w:val="00322DEA"/>
    <w:rsid w:val="00350784"/>
    <w:rsid w:val="00355FBD"/>
    <w:rsid w:val="00375931"/>
    <w:rsid w:val="00381461"/>
    <w:rsid w:val="00391C12"/>
    <w:rsid w:val="00394B65"/>
    <w:rsid w:val="003A0B7D"/>
    <w:rsid w:val="003A45C2"/>
    <w:rsid w:val="003B59F7"/>
    <w:rsid w:val="003B67CA"/>
    <w:rsid w:val="003C4BE2"/>
    <w:rsid w:val="003D147D"/>
    <w:rsid w:val="003D637A"/>
    <w:rsid w:val="00413D8E"/>
    <w:rsid w:val="00430015"/>
    <w:rsid w:val="00445FA8"/>
    <w:rsid w:val="004500C5"/>
    <w:rsid w:val="004678D0"/>
    <w:rsid w:val="00482954"/>
    <w:rsid w:val="004951C0"/>
    <w:rsid w:val="00496EB5"/>
    <w:rsid w:val="004C7646"/>
    <w:rsid w:val="00524001"/>
    <w:rsid w:val="005410EA"/>
    <w:rsid w:val="00564B63"/>
    <w:rsid w:val="005706A7"/>
    <w:rsid w:val="00575DC7"/>
    <w:rsid w:val="005836C2"/>
    <w:rsid w:val="005A4EFD"/>
    <w:rsid w:val="005A5ABE"/>
    <w:rsid w:val="005A5B0C"/>
    <w:rsid w:val="005C2ECC"/>
    <w:rsid w:val="005C6744"/>
    <w:rsid w:val="005D3879"/>
    <w:rsid w:val="005E419E"/>
    <w:rsid w:val="005E78FA"/>
    <w:rsid w:val="005F63BD"/>
    <w:rsid w:val="006021BF"/>
    <w:rsid w:val="00611CF1"/>
    <w:rsid w:val="006201D9"/>
    <w:rsid w:val="006204B5"/>
    <w:rsid w:val="006277DB"/>
    <w:rsid w:val="00635B7B"/>
    <w:rsid w:val="00655B98"/>
    <w:rsid w:val="006710E6"/>
    <w:rsid w:val="00686973"/>
    <w:rsid w:val="00696B2D"/>
    <w:rsid w:val="006A2656"/>
    <w:rsid w:val="006A3475"/>
    <w:rsid w:val="006A6342"/>
    <w:rsid w:val="006B6C9C"/>
    <w:rsid w:val="006C6F19"/>
    <w:rsid w:val="006C7AE3"/>
    <w:rsid w:val="006D55E8"/>
    <w:rsid w:val="006E1921"/>
    <w:rsid w:val="006F040D"/>
    <w:rsid w:val="006F36F9"/>
    <w:rsid w:val="0070576B"/>
    <w:rsid w:val="00713335"/>
    <w:rsid w:val="0072789C"/>
    <w:rsid w:val="00727C2F"/>
    <w:rsid w:val="00735F13"/>
    <w:rsid w:val="00743D45"/>
    <w:rsid w:val="0075117A"/>
    <w:rsid w:val="00770A54"/>
    <w:rsid w:val="007717F2"/>
    <w:rsid w:val="00772E3B"/>
    <w:rsid w:val="0078134C"/>
    <w:rsid w:val="007A2C8A"/>
    <w:rsid w:val="007A5830"/>
    <w:rsid w:val="007A7CF3"/>
    <w:rsid w:val="007B5F57"/>
    <w:rsid w:val="007D21FB"/>
    <w:rsid w:val="007E1E89"/>
    <w:rsid w:val="007E7B22"/>
    <w:rsid w:val="007F21C7"/>
    <w:rsid w:val="00801256"/>
    <w:rsid w:val="00846BD3"/>
    <w:rsid w:val="008703CB"/>
    <w:rsid w:val="008B61AF"/>
    <w:rsid w:val="008C33C2"/>
    <w:rsid w:val="008C6137"/>
    <w:rsid w:val="008E2DB4"/>
    <w:rsid w:val="00901DD5"/>
    <w:rsid w:val="0090735B"/>
    <w:rsid w:val="00912D5E"/>
    <w:rsid w:val="00916013"/>
    <w:rsid w:val="00920678"/>
    <w:rsid w:val="00924813"/>
    <w:rsid w:val="00934340"/>
    <w:rsid w:val="00941C4A"/>
    <w:rsid w:val="00956DC7"/>
    <w:rsid w:val="00966CD3"/>
    <w:rsid w:val="0097242D"/>
    <w:rsid w:val="00987A20"/>
    <w:rsid w:val="009A0E15"/>
    <w:rsid w:val="009A2FF0"/>
    <w:rsid w:val="009A3EC8"/>
    <w:rsid w:val="009D4037"/>
    <w:rsid w:val="009D7B5D"/>
    <w:rsid w:val="009F0592"/>
    <w:rsid w:val="00A20E72"/>
    <w:rsid w:val="00A246DC"/>
    <w:rsid w:val="00A474E6"/>
    <w:rsid w:val="00A47BAF"/>
    <w:rsid w:val="00A542D3"/>
    <w:rsid w:val="00A5784F"/>
    <w:rsid w:val="00A61BD4"/>
    <w:rsid w:val="00A74AAD"/>
    <w:rsid w:val="00A822C2"/>
    <w:rsid w:val="00A8436E"/>
    <w:rsid w:val="00A95B66"/>
    <w:rsid w:val="00AD0B69"/>
    <w:rsid w:val="00AE0667"/>
    <w:rsid w:val="00AE421A"/>
    <w:rsid w:val="00B01A0A"/>
    <w:rsid w:val="00B10547"/>
    <w:rsid w:val="00B177AB"/>
    <w:rsid w:val="00B41E0A"/>
    <w:rsid w:val="00B56DE0"/>
    <w:rsid w:val="00B71D16"/>
    <w:rsid w:val="00B71F12"/>
    <w:rsid w:val="00B76FEC"/>
    <w:rsid w:val="00B817C1"/>
    <w:rsid w:val="00B94DF3"/>
    <w:rsid w:val="00B96B1E"/>
    <w:rsid w:val="00BB2A6F"/>
    <w:rsid w:val="00BD1614"/>
    <w:rsid w:val="00BD382C"/>
    <w:rsid w:val="00BD5DA6"/>
    <w:rsid w:val="00BF7D25"/>
    <w:rsid w:val="00C010C0"/>
    <w:rsid w:val="00C354A6"/>
    <w:rsid w:val="00C40CB5"/>
    <w:rsid w:val="00C457BD"/>
    <w:rsid w:val="00C54CE6"/>
    <w:rsid w:val="00C57288"/>
    <w:rsid w:val="00C575E2"/>
    <w:rsid w:val="00C7202F"/>
    <w:rsid w:val="00C7368B"/>
    <w:rsid w:val="00C92746"/>
    <w:rsid w:val="00CC4DC5"/>
    <w:rsid w:val="00CE1A7C"/>
    <w:rsid w:val="00D0464B"/>
    <w:rsid w:val="00D12C74"/>
    <w:rsid w:val="00D2263F"/>
    <w:rsid w:val="00D4687F"/>
    <w:rsid w:val="00D56483"/>
    <w:rsid w:val="00D5658F"/>
    <w:rsid w:val="00D56AD6"/>
    <w:rsid w:val="00D70019"/>
    <w:rsid w:val="00D74B58"/>
    <w:rsid w:val="00D82ABE"/>
    <w:rsid w:val="00D83D69"/>
    <w:rsid w:val="00D90892"/>
    <w:rsid w:val="00DA4ABA"/>
    <w:rsid w:val="00DA685B"/>
    <w:rsid w:val="00DA742B"/>
    <w:rsid w:val="00DD14B2"/>
    <w:rsid w:val="00DE2300"/>
    <w:rsid w:val="00DF25C1"/>
    <w:rsid w:val="00DF48F7"/>
    <w:rsid w:val="00DF4964"/>
    <w:rsid w:val="00DF4D73"/>
    <w:rsid w:val="00DF79B0"/>
    <w:rsid w:val="00E1047D"/>
    <w:rsid w:val="00E218FB"/>
    <w:rsid w:val="00E443FA"/>
    <w:rsid w:val="00E54FCE"/>
    <w:rsid w:val="00E60DA1"/>
    <w:rsid w:val="00E67103"/>
    <w:rsid w:val="00E72B95"/>
    <w:rsid w:val="00E93D35"/>
    <w:rsid w:val="00EA45DB"/>
    <w:rsid w:val="00EC7527"/>
    <w:rsid w:val="00ED2CD9"/>
    <w:rsid w:val="00F07DA7"/>
    <w:rsid w:val="00F432EC"/>
    <w:rsid w:val="00F564C1"/>
    <w:rsid w:val="00F77FA2"/>
    <w:rsid w:val="00F8357A"/>
    <w:rsid w:val="00F94E13"/>
    <w:rsid w:val="00FA1B77"/>
    <w:rsid w:val="00FB4B65"/>
    <w:rsid w:val="00FB74B8"/>
    <w:rsid w:val="00FC49E0"/>
    <w:rsid w:val="00FE2F9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D7B1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FollowedHyperlink">
    <w:name w:val="FollowedHyperlink"/>
    <w:basedOn w:val="DefaultParagraphFont"/>
    <w:semiHidden/>
    <w:unhideWhenUsed/>
    <w:rsid w:val="00DD14B2"/>
    <w:rPr>
      <w:color w:val="800080" w:themeColor="followedHyperlink"/>
      <w:u w:val="single"/>
    </w:rPr>
  </w:style>
  <w:style w:type="paragraph" w:styleId="Revision">
    <w:name w:val="Revision"/>
    <w:hidden/>
    <w:uiPriority w:val="99"/>
    <w:semiHidden/>
    <w:rsid w:val="007A2C8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c00356e-58fb-465f-ba7d-a35257bca7ab">DPM</DPM_x0020_Author>
    <DPM_x0020_File_x0020_name xmlns="1c00356e-58fb-465f-ba7d-a35257bca7ab">S22-PP-C-0044!A24!MSW-F</DPM_x0020_File_x0020_name>
    <DPM_x0020_Version xmlns="1c00356e-58fb-465f-ba7d-a35257bca7ab">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00356e-58fb-465f-ba7d-a35257bca7ab" targetNamespace="http://schemas.microsoft.com/office/2006/metadata/properties" ma:root="true" ma:fieldsID="d41af5c836d734370eb92e7ee5f83852" ns2:_="" ns3:_="">
    <xsd:import namespace="996b2e75-67fd-4955-a3b0-5ab9934cb50b"/>
    <xsd:import namespace="1c00356e-58fb-465f-ba7d-a35257bca7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00356e-58fb-465f-ba7d-a35257bca7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c00356e-58fb-465f-ba7d-a35257bca7ab"/>
  </ds:schemaRefs>
</ds:datastoreItem>
</file>

<file path=customXml/itemProps2.xml><?xml version="1.0" encoding="utf-8"?>
<ds:datastoreItem xmlns:ds="http://schemas.openxmlformats.org/officeDocument/2006/customXml" ds:itemID="{5AFF47A7-3AE3-483E-88E6-45AF5B3DD42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00356e-58fb-465f-ba7d-a35257bc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S22-PP-C-0044!A24!MSW-F</vt:lpstr>
    </vt:vector>
  </TitlesOfParts>
  <Manager/>
  <Company/>
  <LinksUpToDate>false</LinksUpToDate>
  <CharactersWithSpaces>9297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S22-PP-C-0044!A24!MSW-F</dc:title>
  <dc:subject>Plenipotentiary Conference (PP-18)</dc:subject>
  <dc:creator>Documents Proposals Manager (DPM)</dc:creator>
  <cp:keywords>DPM_v2022.8.26.1_prod</cp:keywords>
  <dc:description/>
  <cp:lastModifiedBy>Arnould, Carine</cp:lastModifiedBy>
  <cp:revision>5</cp:revision>
  <dcterms:created xsi:type="dcterms:W3CDTF">2022-09-02T06:44:00Z</dcterms:created>
  <dcterms:modified xsi:type="dcterms:W3CDTF">2022-09-15T09:16:00Z</dcterms:modified>
  <cp:category>Conference document</cp:category>
</cp:coreProperties>
</file>