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0898C344" w14:textId="77777777" w:rsidTr="00E63DAB">
        <w:trPr>
          <w:cantSplit/>
        </w:trPr>
        <w:tc>
          <w:tcPr>
            <w:tcW w:w="6911" w:type="dxa"/>
          </w:tcPr>
          <w:p w14:paraId="0E358403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>
              <w:rPr>
                <w:b/>
                <w:bCs/>
                <w:lang w:val="en-US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>
              <w:rPr>
                <w:b/>
                <w:bCs/>
                <w:lang w:val="en-US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>
              <w:rPr>
                <w:b/>
                <w:bCs/>
                <w:lang w:val="en-US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61617B8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FFBCA6B" wp14:editId="299157A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3D05E0E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87BDE0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D8C20BA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791F6F38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BB51ACC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DD1EA88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7EF450B9" w14:textId="77777777" w:rsidTr="00E63DAB">
        <w:trPr>
          <w:cantSplit/>
        </w:trPr>
        <w:tc>
          <w:tcPr>
            <w:tcW w:w="6911" w:type="dxa"/>
          </w:tcPr>
          <w:p w14:paraId="45FAB573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3E0FCB3A" w14:textId="77777777"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Дополнительный документ 3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  <w:t>к Документу 39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14:paraId="2DDF178D" w14:textId="77777777" w:rsidTr="00E63DAB">
        <w:trPr>
          <w:cantSplit/>
        </w:trPr>
        <w:tc>
          <w:tcPr>
            <w:tcW w:w="6911" w:type="dxa"/>
          </w:tcPr>
          <w:p w14:paraId="7DC9D58B" w14:textId="77777777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43123DF1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26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мая</w:t>
            </w:r>
            <w:proofErr w:type="spellEnd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2022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14:paraId="6A1605A0" w14:textId="77777777" w:rsidTr="00E63DAB">
        <w:trPr>
          <w:cantSplit/>
        </w:trPr>
        <w:tc>
          <w:tcPr>
            <w:tcW w:w="6911" w:type="dxa"/>
          </w:tcPr>
          <w:p w14:paraId="62973D42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F16004A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398B8AA0" w14:textId="77777777" w:rsidTr="00E63DAB">
        <w:trPr>
          <w:cantSplit/>
        </w:trPr>
        <w:tc>
          <w:tcPr>
            <w:tcW w:w="10031" w:type="dxa"/>
            <w:gridSpan w:val="2"/>
          </w:tcPr>
          <w:p w14:paraId="69E2B6CB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1502FCB0" w14:textId="77777777" w:rsidTr="00E63DAB">
        <w:trPr>
          <w:cantSplit/>
        </w:trPr>
        <w:tc>
          <w:tcPr>
            <w:tcW w:w="10031" w:type="dxa"/>
            <w:gridSpan w:val="2"/>
          </w:tcPr>
          <w:p w14:paraId="3951DFC9" w14:textId="0FDCFF10" w:rsidR="00F96AB4" w:rsidRPr="00931097" w:rsidRDefault="009B123E" w:rsidP="00E63DAB">
            <w:pPr>
              <w:pStyle w:val="Source"/>
            </w:pPr>
            <w:bookmarkStart w:id="4" w:name="dsource" w:colFirst="0" w:colLast="0"/>
            <w:proofErr w:type="spellStart"/>
            <w:r w:rsidRPr="009B123E">
              <w:t>Отчет</w:t>
            </w:r>
            <w:proofErr w:type="spellEnd"/>
            <w:r w:rsidRPr="009B123E">
              <w:t xml:space="preserve"> </w:t>
            </w:r>
            <w:proofErr w:type="spellStart"/>
            <w:r w:rsidRPr="009B123E">
              <w:t>Совета</w:t>
            </w:r>
            <w:proofErr w:type="spellEnd"/>
          </w:p>
        </w:tc>
      </w:tr>
      <w:tr w:rsidR="00F96AB4" w:rsidRPr="000A0EF3" w14:paraId="7B484567" w14:textId="77777777" w:rsidTr="00E63DAB">
        <w:trPr>
          <w:cantSplit/>
        </w:trPr>
        <w:tc>
          <w:tcPr>
            <w:tcW w:w="10031" w:type="dxa"/>
            <w:gridSpan w:val="2"/>
          </w:tcPr>
          <w:p w14:paraId="2EA4972C" w14:textId="7B0026D9" w:rsidR="00F96AB4" w:rsidRPr="00931097" w:rsidRDefault="009B123E" w:rsidP="009B123E">
            <w:pPr>
              <w:pStyle w:val="Title1"/>
            </w:pPr>
            <w:bookmarkStart w:id="5" w:name="dtitle1" w:colFirst="0" w:colLast="0"/>
            <w:bookmarkEnd w:id="4"/>
            <w:r>
              <w:t xml:space="preserve">ОТЧЕТ РАБОЧЕЙ ГРУППЫ СОВЕТА ПО РАЗРАБОТКЕ СТРАТЕГИЧЕСКОГО </w:t>
            </w:r>
            <w:r>
              <w:br/>
            </w:r>
            <w:r>
              <w:t>И ФИНАНСОВОГО ПЛАНОВ НА 2024−2027 ГОДЫ (РГС-СФП)</w:t>
            </w:r>
          </w:p>
        </w:tc>
      </w:tr>
      <w:tr w:rsidR="00F96AB4" w:rsidRPr="000A0EF3" w14:paraId="4D82B271" w14:textId="77777777" w:rsidTr="00E63DAB">
        <w:trPr>
          <w:cantSplit/>
        </w:trPr>
        <w:tc>
          <w:tcPr>
            <w:tcW w:w="10031" w:type="dxa"/>
            <w:gridSpan w:val="2"/>
          </w:tcPr>
          <w:p w14:paraId="1E9B7921" w14:textId="717F098B" w:rsidR="00F96AB4" w:rsidRPr="00931097" w:rsidRDefault="009B123E" w:rsidP="00E63DAB">
            <w:pPr>
              <w:pStyle w:val="Title2"/>
            </w:pPr>
            <w:bookmarkStart w:id="6" w:name="dtitle2" w:colFirst="0" w:colLast="0"/>
            <w:bookmarkEnd w:id="5"/>
            <w:r w:rsidRPr="009B123E">
              <w:t>ПРОЕКТ ПРИЛОЖЕНИЯ 3 К РЕЗОЛЮЦИИ 71: ГЛОССАРИЙ ТЕРМИНОВ</w:t>
            </w:r>
          </w:p>
        </w:tc>
      </w:tr>
      <w:tr w:rsidR="00F96AB4" w:rsidRPr="00344EB8" w14:paraId="07370C53" w14:textId="77777777" w:rsidTr="00E63DAB">
        <w:trPr>
          <w:cantSplit/>
        </w:trPr>
        <w:tc>
          <w:tcPr>
            <w:tcW w:w="10031" w:type="dxa"/>
            <w:gridSpan w:val="2"/>
          </w:tcPr>
          <w:p w14:paraId="2A046F85" w14:textId="77777777" w:rsidR="00F96AB4" w:rsidRPr="005651C9" w:rsidRDefault="00F96AB4" w:rsidP="00E63DAB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65E078CF" w14:textId="77777777" w:rsidR="00F96AB4" w:rsidRDefault="00F96AB4"/>
    <w:p w14:paraId="6F8780ED" w14:textId="77777777" w:rsidR="00F96AB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C69FB3C" w14:textId="77777777" w:rsidR="007E4D0F" w:rsidRPr="00071D10" w:rsidRDefault="007E4D0F"/>
    <w:p w14:paraId="48D7FF71" w14:textId="28CE4F8D" w:rsidR="00274DCE" w:rsidRPr="00E173A0" w:rsidRDefault="009B123E" w:rsidP="009B123E">
      <w:pPr>
        <w:pStyle w:val="ResNo"/>
        <w:spacing w:before="0"/>
        <w:rPr>
          <w:lang w:val="ru-RU"/>
        </w:rPr>
      </w:pPr>
      <w:r w:rsidRPr="009B123E">
        <w:rPr>
          <w:lang w:val="ru-RU"/>
        </w:rPr>
        <w:t>Проект Приложения 3 к Резолюции 71: Глоссарий терминов</w:t>
      </w:r>
    </w:p>
    <w:p w14:paraId="216F794E" w14:textId="0DCEAA18" w:rsidR="00274DCE" w:rsidRPr="00E173A0" w:rsidRDefault="002200B3" w:rsidP="002200B3">
      <w:pPr>
        <w:pStyle w:val="Restitle"/>
        <w:spacing w:before="0" w:after="0"/>
        <w:rPr>
          <w:lang w:val="ru-RU"/>
        </w:rPr>
      </w:pPr>
    </w:p>
    <w:p w14:paraId="4C8D645A" w14:textId="77777777" w:rsidR="00E87BAC" w:rsidRDefault="002200B3" w:rsidP="002200B3">
      <w:pPr>
        <w:pStyle w:val="Proposal"/>
        <w:spacing w:before="0"/>
      </w:pPr>
      <w:r>
        <w:t>MOD</w:t>
      </w:r>
      <w:r>
        <w:tab/>
        <w:t>CL/39A3/1</w:t>
      </w:r>
    </w:p>
    <w:p w14:paraId="674FA151" w14:textId="7BAF74A4" w:rsidR="008D2325" w:rsidRPr="00E173A0" w:rsidRDefault="002200B3" w:rsidP="002723A4">
      <w:pPr>
        <w:pStyle w:val="AnnexNo"/>
        <w:rPr>
          <w:lang w:val="ru-RU"/>
        </w:rPr>
      </w:pPr>
      <w:bookmarkStart w:id="8" w:name="_Toc536109916"/>
      <w:r w:rsidRPr="00E173A0">
        <w:rPr>
          <w:lang w:val="ru-RU"/>
        </w:rPr>
        <w:t xml:space="preserve">ПРИЛОЖЕНИЕ 3 К РЕЗОЛЮЦИИ </w:t>
      </w:r>
      <w:r w:rsidRPr="00E173A0">
        <w:rPr>
          <w:rStyle w:val="href"/>
        </w:rPr>
        <w:t xml:space="preserve">71 </w:t>
      </w:r>
      <w:r w:rsidRPr="00E173A0">
        <w:rPr>
          <w:lang w:val="ru-RU"/>
        </w:rPr>
        <w:t>(</w:t>
      </w:r>
      <w:r w:rsidR="009B123E" w:rsidRPr="009B123E">
        <w:rPr>
          <w:lang w:val="ru-RU"/>
        </w:rPr>
        <w:t>ПЕРЕСМ. БУХАРЕСТ, 2022 Г.</w:t>
      </w:r>
      <w:r w:rsidRPr="00E173A0">
        <w:rPr>
          <w:lang w:val="ru-RU"/>
        </w:rPr>
        <w:t>)</w:t>
      </w:r>
      <w:bookmarkEnd w:id="8"/>
    </w:p>
    <w:p w14:paraId="74EC8B58" w14:textId="6F8E3ACC" w:rsidR="008D2325" w:rsidRDefault="002200B3" w:rsidP="00581D34">
      <w:pPr>
        <w:pStyle w:val="Annextitle"/>
        <w:rPr>
          <w:lang w:val="ru-RU"/>
        </w:rPr>
      </w:pPr>
      <w:r w:rsidRPr="00E173A0">
        <w:rPr>
          <w:lang w:val="ru-RU"/>
        </w:rPr>
        <w:t>Глоссарий терминов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740"/>
      </w:tblGrid>
      <w:tr w:rsidR="002200B3" w:rsidRPr="00A96C53" w14:paraId="1903EA83" w14:textId="77777777" w:rsidTr="00090CA2">
        <w:trPr>
          <w:cantSplit/>
          <w:tblHeader/>
          <w:jc w:val="center"/>
        </w:trPr>
        <w:tc>
          <w:tcPr>
            <w:tcW w:w="1984" w:type="dxa"/>
            <w:shd w:val="clear" w:color="auto" w:fill="B8CCE4"/>
          </w:tcPr>
          <w:p w14:paraId="79E0BDB7" w14:textId="77777777" w:rsidR="002200B3" w:rsidRPr="00A96C53" w:rsidRDefault="002200B3" w:rsidP="00090CA2">
            <w:pPr>
              <w:pStyle w:val="Tablehead"/>
              <w:spacing w:before="80" w:after="80"/>
              <w:rPr>
                <w:rFonts w:cs="Arial"/>
                <w:bCs/>
                <w:i/>
                <w:iCs/>
                <w:szCs w:val="22"/>
                <w:lang w:val="ru-RU"/>
              </w:rPr>
            </w:pPr>
            <w:r w:rsidRPr="00A96C53">
              <w:rPr>
                <w:lang w:val="ru-RU"/>
              </w:rPr>
              <w:t>Термин</w:t>
            </w:r>
          </w:p>
        </w:tc>
        <w:tc>
          <w:tcPr>
            <w:tcW w:w="7740" w:type="dxa"/>
            <w:shd w:val="clear" w:color="auto" w:fill="B8CCE4"/>
          </w:tcPr>
          <w:p w14:paraId="3DDB16BB" w14:textId="77777777" w:rsidR="002200B3" w:rsidRPr="00A96C53" w:rsidRDefault="002200B3" w:rsidP="00090CA2">
            <w:pPr>
              <w:pStyle w:val="Tablehead"/>
              <w:spacing w:before="80" w:after="80"/>
              <w:rPr>
                <w:rFonts w:cs="Arial"/>
                <w:bCs/>
                <w:szCs w:val="22"/>
                <w:lang w:val="ru-RU"/>
              </w:rPr>
            </w:pPr>
            <w:r w:rsidRPr="00A96C53">
              <w:rPr>
                <w:lang w:val="ru-RU"/>
              </w:rPr>
              <w:t>Рабочая версия</w:t>
            </w:r>
          </w:p>
        </w:tc>
      </w:tr>
      <w:tr w:rsidR="002200B3" w:rsidRPr="009C35D0" w14:paraId="1B6282F1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648709E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bCs/>
                <w:szCs w:val="22"/>
                <w:lang w:val="ru-RU"/>
              </w:rPr>
            </w:pPr>
            <w:r w:rsidRPr="00A96C53">
              <w:rPr>
                <w:bCs/>
                <w:szCs w:val="24"/>
                <w:lang w:val="ru-RU"/>
              </w:rPr>
              <w:t>Виды деятельности</w:t>
            </w:r>
          </w:p>
        </w:tc>
        <w:tc>
          <w:tcPr>
            <w:tcW w:w="7740" w:type="dxa"/>
            <w:shd w:val="clear" w:color="auto" w:fill="auto"/>
          </w:tcPr>
          <w:p w14:paraId="64152CBF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Под видами деятельности понимаются различные действия/услуги по преобразованию ресурсов (исходных ресурсов) в намеченные результаты деятельности</w:t>
            </w:r>
            <w:r w:rsidRPr="00A96C53">
              <w:rPr>
                <w:rStyle w:val="FootnoteReference"/>
                <w:szCs w:val="24"/>
                <w:lang w:val="ru-RU"/>
              </w:rPr>
              <w:footnoteReference w:id="1"/>
            </w:r>
            <w:r w:rsidRPr="00A96C53">
              <w:rPr>
                <w:szCs w:val="24"/>
                <w:lang w:val="ru-RU"/>
              </w:rPr>
              <w:t>.</w:t>
            </w:r>
          </w:p>
        </w:tc>
      </w:tr>
      <w:tr w:rsidR="002200B3" w:rsidRPr="009C35D0" w14:paraId="7D0A2AD6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2D460C14" w14:textId="77777777" w:rsidR="002200B3" w:rsidRPr="00A96C53" w:rsidRDefault="002200B3" w:rsidP="00090CA2">
            <w:pPr>
              <w:pStyle w:val="Tabletext"/>
              <w:spacing w:before="40" w:after="40"/>
              <w:rPr>
                <w:bCs/>
                <w:szCs w:val="24"/>
                <w:lang w:val="ru-RU"/>
              </w:rPr>
            </w:pPr>
            <w:r w:rsidRPr="00A96C53">
              <w:rPr>
                <w:lang w:val="ru-RU"/>
              </w:rPr>
              <w:t>Средства достижения целей</w:t>
            </w:r>
          </w:p>
        </w:tc>
        <w:tc>
          <w:tcPr>
            <w:tcW w:w="7740" w:type="dxa"/>
            <w:shd w:val="clear" w:color="auto" w:fill="auto"/>
          </w:tcPr>
          <w:p w14:paraId="734A1B67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  <w:r w:rsidRPr="00A96C53">
              <w:rPr>
                <w:szCs w:val="24"/>
                <w:lang w:val="ru-RU"/>
              </w:rPr>
              <w:t>.</w:t>
            </w:r>
          </w:p>
        </w:tc>
      </w:tr>
      <w:tr w:rsidR="002200B3" w:rsidRPr="009C35D0" w14:paraId="7BF8082F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A1A4DA7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bCs/>
                <w:szCs w:val="24"/>
                <w:lang w:val="ru-RU"/>
              </w:rPr>
            </w:pPr>
            <w:r w:rsidRPr="00A96C53">
              <w:rPr>
                <w:bCs/>
                <w:szCs w:val="24"/>
                <w:lang w:val="ru-RU"/>
              </w:rPr>
              <w:t>Финансовый план</w:t>
            </w:r>
          </w:p>
        </w:tc>
        <w:tc>
          <w:tcPr>
            <w:tcW w:w="7740" w:type="dxa"/>
            <w:shd w:val="clear" w:color="auto" w:fill="auto"/>
          </w:tcPr>
          <w:p w14:paraId="2E21C787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 xml:space="preserve">Финансовый план охватывает четырехгодичный период и устанавливает финансовую базу, на основе которой разрабатываются двухгодичные бюджеты. </w:t>
            </w:r>
          </w:p>
          <w:p w14:paraId="60F040EF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szCs w:val="22"/>
                <w:lang w:val="ru-RU"/>
              </w:rPr>
            </w:pPr>
            <w:r w:rsidRPr="00A96C53">
              <w:rPr>
                <w:szCs w:val="24"/>
                <w:lang w:val="ru-RU"/>
              </w:rPr>
              <w:t xml:space="preserve">Финансовый план разрабатывается в рамках Решения 5 (Доходы и расходы Союза), которое отражает в том числе величину единицы взносов, утвержденную Полномочной конференцией. </w:t>
            </w:r>
            <w:r w:rsidRPr="00A96C53">
              <w:rPr>
                <w:rFonts w:cs="Arial"/>
                <w:szCs w:val="22"/>
                <w:lang w:val="ru-RU"/>
              </w:rPr>
              <w:t>Он увязан со Стратегическим планом, в соответствии с Резолюцией 71, путем распределения финансовых ресурсов на стратегические цели Союза.</w:t>
            </w:r>
          </w:p>
        </w:tc>
      </w:tr>
      <w:tr w:rsidR="002200B3" w:rsidRPr="009C35D0" w14:paraId="66EB10E2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55EDA79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 xml:space="preserve">Индикаторы </w:t>
            </w:r>
          </w:p>
        </w:tc>
        <w:tc>
          <w:tcPr>
            <w:tcW w:w="7740" w:type="dxa"/>
            <w:shd w:val="clear" w:color="auto" w:fill="auto"/>
          </w:tcPr>
          <w:p w14:paraId="52F04745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rFonts w:cstheme="majorBidi"/>
                <w:szCs w:val="24"/>
                <w:lang w:val="ru-RU"/>
              </w:rPr>
              <w:t xml:space="preserve">Индикаторы – это критерии, используемые для измерения достигнутых конечных результатов и целевых показателей в структуре результатов. </w:t>
            </w:r>
          </w:p>
        </w:tc>
      </w:tr>
      <w:tr w:rsidR="002200B3" w:rsidRPr="009C35D0" w14:paraId="09411FE9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2F3A0BD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bCs/>
                <w:szCs w:val="24"/>
                <w:lang w:val="ru-RU"/>
              </w:rPr>
            </w:pPr>
            <w:r w:rsidRPr="00A96C53">
              <w:rPr>
                <w:bCs/>
                <w:szCs w:val="24"/>
                <w:lang w:val="ru-RU"/>
              </w:rPr>
              <w:t>Исходные ресурсы</w:t>
            </w:r>
          </w:p>
        </w:tc>
        <w:tc>
          <w:tcPr>
            <w:tcW w:w="7740" w:type="dxa"/>
            <w:shd w:val="clear" w:color="auto" w:fill="auto"/>
          </w:tcPr>
          <w:p w14:paraId="376A6F6B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Исходные ресурсы – это ресурсы, например, финансовые, людские, материальные и технологические, используемые в рамках видов деятельности для достижения намеченных результатов деятельности.</w:t>
            </w:r>
          </w:p>
        </w:tc>
      </w:tr>
      <w:tr w:rsidR="002200B3" w:rsidRPr="009C35D0" w14:paraId="03AC4D27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2271DE6D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A96C53">
              <w:rPr>
                <w:bCs/>
                <w:szCs w:val="24"/>
                <w:lang w:val="ru-RU"/>
              </w:rPr>
              <w:t>Миссия</w:t>
            </w:r>
          </w:p>
        </w:tc>
        <w:tc>
          <w:tcPr>
            <w:tcW w:w="7740" w:type="dxa"/>
            <w:shd w:val="clear" w:color="auto" w:fill="auto"/>
          </w:tcPr>
          <w:p w14:paraId="056EB898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Под миссией понимаются основные общие целевые установки Союза, как они излагаются в основных текстах документов МСЭ.</w:t>
            </w:r>
          </w:p>
        </w:tc>
      </w:tr>
      <w:tr w:rsidR="002200B3" w:rsidRPr="00A96C53" w14:paraId="15CCBA13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41891E9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bCs/>
                <w:szCs w:val="24"/>
                <w:lang w:val="ru-RU"/>
              </w:rPr>
            </w:pPr>
            <w:r w:rsidRPr="00A96C53">
              <w:rPr>
                <w:bCs/>
                <w:szCs w:val="24"/>
                <w:lang w:val="ru-RU"/>
              </w:rPr>
              <w:t>Оперативный план</w:t>
            </w:r>
          </w:p>
        </w:tc>
        <w:tc>
          <w:tcPr>
            <w:tcW w:w="7740" w:type="dxa"/>
            <w:shd w:val="clear" w:color="auto" w:fill="auto"/>
          </w:tcPr>
          <w:p w14:paraId="3DA248B9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Оперативный план составляется на ежегодной основе каждым Бюро, по согласованию с соответствующей Консультативной группой, и Генеральным секретариатом в соответствии со стратегическим и финансовым планами. Он включает подробный план на следующий год и прогноз на последующий трехгодичный период для каждого Сектора и Генерального секретариата. Совет рассматривает и утверждает скользящие четырехгодичные оперативные планы.</w:t>
            </w:r>
          </w:p>
        </w:tc>
      </w:tr>
      <w:tr w:rsidR="002200B3" w:rsidRPr="00A96C53" w14:paraId="45523033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A0B2EB6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bCs/>
                <w:szCs w:val="24"/>
                <w:lang w:val="ru-RU"/>
              </w:rPr>
            </w:pPr>
            <w:r w:rsidRPr="00A96C53">
              <w:rPr>
                <w:bCs/>
                <w:szCs w:val="24"/>
                <w:lang w:val="ru-RU"/>
              </w:rPr>
              <w:t>Конечные результаты</w:t>
            </w:r>
          </w:p>
        </w:tc>
        <w:tc>
          <w:tcPr>
            <w:tcW w:w="7740" w:type="dxa"/>
            <w:shd w:val="clear" w:color="auto" w:fill="auto"/>
          </w:tcPr>
          <w:p w14:paraId="4A0BE4B7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Конечные результаты дают представление о том, достигаются ли ключевые результаты по тематическим приоритетам. Обычно конечные результаты частично, но не полностью, подконтрольны организации.</w:t>
            </w:r>
          </w:p>
        </w:tc>
      </w:tr>
      <w:tr w:rsidR="002200B3" w:rsidRPr="009C35D0" w14:paraId="21F94A7D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D0FE7B2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A96C53">
              <w:rPr>
                <w:bCs/>
                <w:szCs w:val="24"/>
                <w:lang w:val="ru-RU"/>
              </w:rPr>
              <w:t>Намеченные результаты деятельности</w:t>
            </w:r>
          </w:p>
        </w:tc>
        <w:tc>
          <w:tcPr>
            <w:tcW w:w="7740" w:type="dxa"/>
            <w:shd w:val="clear" w:color="auto" w:fill="auto"/>
          </w:tcPr>
          <w:p w14:paraId="66388954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Намеченные результаты деятельности – это конечные ощутимые результаты работы, продукты или услуги, обеспечиваемые Союзом при выполнении оперативных планов. Намеченные результаты деятельности – это объекты затрат, отражаемые в применяемой системе учета затрат внутренними заказами. Намеченные результаты деятельности будут определяться и измеряться в оперативных планах для каждого Сектора и Генерального секретариата</w:t>
            </w:r>
            <w:r w:rsidRPr="00A96C53">
              <w:rPr>
                <w:position w:val="6"/>
                <w:sz w:val="16"/>
                <w:szCs w:val="16"/>
                <w:lang w:val="ru-RU"/>
              </w:rPr>
              <w:t>1</w:t>
            </w:r>
            <w:r w:rsidRPr="00A96C53">
              <w:rPr>
                <w:szCs w:val="24"/>
                <w:lang w:val="ru-RU"/>
              </w:rPr>
              <w:t>.</w:t>
            </w:r>
          </w:p>
        </w:tc>
      </w:tr>
      <w:tr w:rsidR="002200B3" w:rsidRPr="009C35D0" w:rsidDel="00827DAB" w14:paraId="11CBB7A3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3AB5142" w14:textId="77777777" w:rsidR="002200B3" w:rsidRPr="00A96C53" w:rsidDel="00827DAB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lang w:val="ru-RU"/>
              </w:rPr>
              <w:lastRenderedPageBreak/>
              <w:t>Предлагаемые продукты и услуги</w:t>
            </w:r>
          </w:p>
        </w:tc>
        <w:tc>
          <w:tcPr>
            <w:tcW w:w="7740" w:type="dxa"/>
            <w:shd w:val="clear" w:color="auto" w:fill="auto"/>
          </w:tcPr>
          <w:p w14:paraId="0E59457E" w14:textId="77777777" w:rsidR="002200B3" w:rsidRPr="00A96C53" w:rsidDel="00827DAB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lang w:val="ru-RU"/>
              </w:rPr>
              <w:t>Диапазон продуктов и услуг МСЭ, которые применяются для поддержки работы Союза в рамках его тематических приоритетов</w:t>
            </w:r>
            <w:r w:rsidRPr="00A96C53">
              <w:rPr>
                <w:szCs w:val="24"/>
                <w:lang w:val="ru-RU"/>
              </w:rPr>
              <w:t>.</w:t>
            </w:r>
          </w:p>
        </w:tc>
      </w:tr>
      <w:tr w:rsidR="002200B3" w:rsidRPr="009C35D0" w14:paraId="4CF229E4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F5098EB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Составление бюджета, ориентированного на результаты (БОР)</w:t>
            </w:r>
          </w:p>
        </w:tc>
        <w:tc>
          <w:tcPr>
            <w:tcW w:w="7740" w:type="dxa"/>
            <w:shd w:val="clear" w:color="auto" w:fill="auto"/>
          </w:tcPr>
          <w:p w14:paraId="62074BC2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Составление бюджета, ориентированного на результаты (БОР) – это процесс составления бюджета по программе, в рамках которого: a) разработка программы производится для выполнения ряда заранее определенных тематических приоритетов и достижения конечных результатов; b) конечные результаты обосновывают потребности в ресурсах в рамках тематических приоритетов; с) фактическая деятельность по достижению конечных результатов измеряется с помощью показателей конечных результатов.</w:t>
            </w:r>
          </w:p>
        </w:tc>
      </w:tr>
      <w:tr w:rsidR="002200B3" w:rsidRPr="009C35D0" w14:paraId="49D86855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13DF68F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Управление, ориентированное на результаты (УОР)</w:t>
            </w:r>
          </w:p>
        </w:tc>
        <w:tc>
          <w:tcPr>
            <w:tcW w:w="7740" w:type="dxa"/>
            <w:shd w:val="clear" w:color="auto" w:fill="auto"/>
          </w:tcPr>
          <w:p w14:paraId="4128808D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Управление, ориентированное на результаты – это управленческий подход, который обеспечивает управление организационными процессами, ресурсами, продуктами и услугами для достижения измеримых результатов. Он предусматривает наличие управленческих структур и инструментов для стратегического планирования, управления рисками, контроля показателей деятельности, а также деятельности по оценке и финансированию на основе желаемых результатов.</w:t>
            </w:r>
          </w:p>
        </w:tc>
      </w:tr>
      <w:tr w:rsidR="002200B3" w:rsidRPr="00A96C53" w14:paraId="454B197E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E275248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rFonts w:cs="Segoe UI"/>
                <w:color w:val="000000"/>
                <w:szCs w:val="24"/>
                <w:lang w:val="ru-RU"/>
              </w:rPr>
              <w:t>Структура результатов</w:t>
            </w:r>
          </w:p>
        </w:tc>
        <w:tc>
          <w:tcPr>
            <w:tcW w:w="7740" w:type="dxa"/>
            <w:shd w:val="clear" w:color="auto" w:fill="auto"/>
          </w:tcPr>
          <w:p w14:paraId="158C5FFD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rFonts w:cstheme="majorBidi"/>
                <w:szCs w:val="24"/>
                <w:lang w:val="ru-RU"/>
              </w:rPr>
              <w:t xml:space="preserve">Структура результатов – это стратегическое </w:t>
            </w:r>
            <w:r w:rsidRPr="00A96C53">
              <w:rPr>
                <w:rFonts w:cs="Segoe UI"/>
                <w:color w:val="000000"/>
                <w:szCs w:val="24"/>
                <w:lang w:val="ru-RU"/>
              </w:rPr>
              <w:t>средство управления, используемое для планирования, мониторинга, оценки и отчета в рамках методики УОР</w:t>
            </w:r>
            <w:r w:rsidRPr="00A96C53">
              <w:rPr>
                <w:rFonts w:cstheme="majorBidi"/>
                <w:szCs w:val="24"/>
                <w:lang w:val="ru-RU"/>
              </w:rPr>
              <w:t xml:space="preserve">. Она обеспечивает необходимую </w:t>
            </w:r>
            <w:r w:rsidRPr="00A96C53">
              <w:rPr>
                <w:rFonts w:cs="Segoe UI"/>
                <w:color w:val="000000"/>
                <w:szCs w:val="24"/>
                <w:lang w:val="ru-RU"/>
              </w:rPr>
              <w:t>последовательность для достижения желаемых результатов</w:t>
            </w:r>
            <w:r w:rsidRPr="00A96C53">
              <w:rPr>
                <w:rFonts w:cstheme="majorBidi"/>
                <w:szCs w:val="24"/>
                <w:lang w:val="ru-RU"/>
              </w:rPr>
              <w:t xml:space="preserve"> (</w:t>
            </w:r>
            <w:r w:rsidRPr="00A96C53">
              <w:rPr>
                <w:rFonts w:cs="Segoe UI"/>
                <w:color w:val="000000"/>
                <w:szCs w:val="24"/>
                <w:lang w:val="ru-RU"/>
              </w:rPr>
              <w:t>цепочка результатов</w:t>
            </w:r>
            <w:r w:rsidRPr="00A96C53">
              <w:rPr>
                <w:rFonts w:cstheme="majorBidi"/>
                <w:szCs w:val="24"/>
                <w:lang w:val="ru-RU"/>
              </w:rPr>
              <w:t xml:space="preserve">): начиная с исходных ресурсов, переходя к реализации деятельности и получению намеченных результатов, группируемых в соответствии с предлагаемыми продуктами и услугами, и наконец добиваясь конечных результатов деятельности – на уровне тематических приоритетов, и оказывая желаемое влияние – на уровне стратегических целей и целевых показателей МСЭ. В ней объясняется, как следует добиваться результатов, а также существующие </w:t>
            </w:r>
            <w:r w:rsidRPr="00A96C53">
              <w:rPr>
                <w:rFonts w:cs="Segoe UI"/>
                <w:color w:val="000000"/>
                <w:szCs w:val="24"/>
                <w:lang w:val="ru-RU"/>
              </w:rPr>
              <w:t>причинные связи, базовые предположения</w:t>
            </w:r>
            <w:r w:rsidRPr="00A96C53">
              <w:rPr>
                <w:rFonts w:cstheme="majorBidi"/>
                <w:szCs w:val="24"/>
                <w:lang w:val="ru-RU"/>
              </w:rPr>
              <w:t xml:space="preserve"> и риски. Структура результатов отражает стратегический уровень мышления во всей организации.</w:t>
            </w:r>
          </w:p>
        </w:tc>
      </w:tr>
      <w:tr w:rsidR="002200B3" w:rsidRPr="009C35D0" w14:paraId="081E62F5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D1DD388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i/>
                <w:iCs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Стратегические цели</w:t>
            </w:r>
          </w:p>
        </w:tc>
        <w:tc>
          <w:tcPr>
            <w:tcW w:w="7740" w:type="dxa"/>
            <w:shd w:val="clear" w:color="auto" w:fill="auto"/>
          </w:tcPr>
          <w:p w14:paraId="2C4903AA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rFonts w:cstheme="majorBidi"/>
                <w:szCs w:val="24"/>
                <w:lang w:val="ru-RU"/>
              </w:rPr>
              <w:t>Цели Союза высокого уровня, которые делают возможным реализацию его миссии.</w:t>
            </w:r>
          </w:p>
        </w:tc>
      </w:tr>
      <w:tr w:rsidR="002200B3" w:rsidRPr="009C35D0" w14:paraId="79BFE3E7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0C70E73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Стратегический план</w:t>
            </w:r>
          </w:p>
        </w:tc>
        <w:tc>
          <w:tcPr>
            <w:tcW w:w="7740" w:type="dxa"/>
            <w:shd w:val="clear" w:color="auto" w:fill="auto"/>
          </w:tcPr>
          <w:p w14:paraId="3F820328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 xml:space="preserve">В Стратегическом плане определяется на четырехгодичный период стратегия Союза по выполнению его миссии. В нем определяются стратегические цели, тематические приоритеты, конечные результаты, предлагаемые продукты и услуги и </w:t>
            </w:r>
            <w:r w:rsidRPr="00A96C53">
              <w:rPr>
                <w:lang w:val="ru-RU"/>
              </w:rPr>
              <w:t>средства достижения целей, представляющие</w:t>
            </w:r>
            <w:r w:rsidRPr="00A96C53">
              <w:rPr>
                <w:szCs w:val="24"/>
                <w:lang w:val="ru-RU"/>
              </w:rPr>
              <w:t xml:space="preserve"> план Союза в данном периоде. Это основной инструмент, включающий концепцию Союза. Стратегический план следует выполнять в контексте </w:t>
            </w:r>
            <w:r w:rsidRPr="00A96C53">
              <w:rPr>
                <w:rFonts w:cs="Segoe UI"/>
                <w:color w:val="000000"/>
                <w:szCs w:val="24"/>
                <w:lang w:val="ru-RU"/>
              </w:rPr>
              <w:t>финансовых ограничений, установленных Полномочной конференцией</w:t>
            </w:r>
            <w:r w:rsidRPr="00A96C53">
              <w:rPr>
                <w:szCs w:val="24"/>
                <w:lang w:val="ru-RU"/>
              </w:rPr>
              <w:t>.</w:t>
            </w:r>
          </w:p>
        </w:tc>
      </w:tr>
      <w:tr w:rsidR="002200B3" w:rsidRPr="009C35D0" w14:paraId="70A3114D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519714F8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Стратегические риски</w:t>
            </w:r>
          </w:p>
        </w:tc>
        <w:tc>
          <w:tcPr>
            <w:tcW w:w="7740" w:type="dxa"/>
            <w:shd w:val="clear" w:color="auto" w:fill="auto"/>
          </w:tcPr>
          <w:p w14:paraId="2C0C5845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Под стратегическими рисками понимаются неопределенности и неиспользованные возможности, которые влияют на стратегию организации и реализацию этой стратегии.</w:t>
            </w:r>
          </w:p>
        </w:tc>
      </w:tr>
      <w:tr w:rsidR="002200B3" w:rsidRPr="009C35D0" w14:paraId="09A67822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3ADBA6B1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lang w:val="ru-RU"/>
              </w:rPr>
              <w:t>Управление стратегическими рисками (УСР)</w:t>
            </w:r>
          </w:p>
        </w:tc>
        <w:tc>
          <w:tcPr>
            <w:tcW w:w="7740" w:type="dxa"/>
            <w:shd w:val="clear" w:color="auto" w:fill="auto"/>
          </w:tcPr>
          <w:p w14:paraId="1796A78D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highlight w:val="yellow"/>
                <w:lang w:val="ru-RU"/>
              </w:rPr>
            </w:pPr>
            <w:r w:rsidRPr="00A96C53">
              <w:rPr>
                <w:lang w:val="ru-RU"/>
              </w:rPr>
              <w:t xml:space="preserve">Управление стратегическими рисками </w:t>
            </w:r>
            <w:r w:rsidRPr="00A96C53">
              <w:rPr>
                <w:szCs w:val="24"/>
                <w:lang w:val="ru-RU"/>
              </w:rPr>
              <w:t>– это управленческая практика, с помощью которой определяются и направляются меры в отношении неопределенностей и неиспользованных возможностей, влияющих на способность организации выполнять свою миссию.</w:t>
            </w:r>
          </w:p>
        </w:tc>
      </w:tr>
      <w:tr w:rsidR="002200B3" w:rsidRPr="009C35D0" w14:paraId="49044A01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525B74C3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lastRenderedPageBreak/>
              <w:t>Анализ сильных и слабых сторон, возможностей и угроз (SWOT)</w:t>
            </w:r>
          </w:p>
        </w:tc>
        <w:tc>
          <w:tcPr>
            <w:tcW w:w="7740" w:type="dxa"/>
            <w:shd w:val="clear" w:color="auto" w:fill="auto"/>
          </w:tcPr>
          <w:p w14:paraId="199B3076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/>
              </w:rPr>
            </w:pPr>
            <w:r w:rsidRPr="00A96C53">
              <w:rPr>
                <w:lang w:val="ru-RU"/>
              </w:rPr>
              <w:t>Исследование, проводимое организацией с целью выявления своих сильных и слабых сторон, а также проблем и возможностей, с которыми она сталкивается. Аббревиатура SWOT образована начальными буквами слов "</w:t>
            </w:r>
            <w:proofErr w:type="spellStart"/>
            <w:r w:rsidRPr="00A96C53">
              <w:rPr>
                <w:lang w:val="ru-RU"/>
              </w:rPr>
              <w:t>strengths</w:t>
            </w:r>
            <w:proofErr w:type="spellEnd"/>
            <w:r w:rsidRPr="00A96C53">
              <w:rPr>
                <w:lang w:val="ru-RU"/>
              </w:rPr>
              <w:t>" ("сильные стороны"), "</w:t>
            </w:r>
            <w:proofErr w:type="spellStart"/>
            <w:r w:rsidRPr="00A96C53">
              <w:rPr>
                <w:lang w:val="ru-RU"/>
              </w:rPr>
              <w:t>weaknesses</w:t>
            </w:r>
            <w:proofErr w:type="spellEnd"/>
            <w:r w:rsidRPr="00A96C53">
              <w:rPr>
                <w:lang w:val="ru-RU"/>
              </w:rPr>
              <w:t>" ("слабые стороны"), "</w:t>
            </w:r>
            <w:proofErr w:type="spellStart"/>
            <w:r w:rsidRPr="00A96C53">
              <w:rPr>
                <w:lang w:val="ru-RU"/>
              </w:rPr>
              <w:t>opportunities</w:t>
            </w:r>
            <w:proofErr w:type="spellEnd"/>
            <w:r w:rsidRPr="00A96C53">
              <w:rPr>
                <w:lang w:val="ru-RU"/>
              </w:rPr>
              <w:t>" ("возможности") и "</w:t>
            </w:r>
            <w:proofErr w:type="spellStart"/>
            <w:r w:rsidRPr="00A96C53">
              <w:rPr>
                <w:lang w:val="ru-RU"/>
              </w:rPr>
              <w:t>threats</w:t>
            </w:r>
            <w:proofErr w:type="spellEnd"/>
            <w:r w:rsidRPr="00A96C53">
              <w:rPr>
                <w:lang w:val="ru-RU"/>
              </w:rPr>
              <w:t>" ("угрозы").</w:t>
            </w:r>
          </w:p>
          <w:p w14:paraId="719EED9D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szCs w:val="22"/>
                <w:lang w:val="ru-RU"/>
              </w:rPr>
            </w:pPr>
            <w:r w:rsidRPr="00A96C53">
              <w:rPr>
                <w:szCs w:val="24"/>
                <w:lang w:val="ru-RU"/>
              </w:rPr>
              <w:t>Факторы внутренней среды</w:t>
            </w:r>
            <w:r w:rsidRPr="00A96C53">
              <w:rPr>
                <w:rFonts w:cs="Arial"/>
                <w:szCs w:val="22"/>
                <w:lang w:val="ru-RU"/>
              </w:rPr>
              <w:t>:</w:t>
            </w:r>
          </w:p>
          <w:p w14:paraId="790E9C90" w14:textId="77777777" w:rsidR="002200B3" w:rsidRPr="00A96C53" w:rsidRDefault="002200B3" w:rsidP="00090CA2">
            <w:pPr>
              <w:pStyle w:val="Tabletext"/>
              <w:spacing w:before="40" w:after="40"/>
              <w:ind w:left="284" w:hanging="284"/>
              <w:rPr>
                <w:rFonts w:cs="Arial"/>
                <w:szCs w:val="22"/>
                <w:lang w:val="ru-RU"/>
              </w:rPr>
            </w:pPr>
            <w:r w:rsidRPr="00A96C53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A96C53">
              <w:rPr>
                <w:rFonts w:cs="Arial"/>
                <w:i/>
                <w:iCs/>
                <w:szCs w:val="22"/>
                <w:lang w:val="ru-RU"/>
              </w:rPr>
              <w:tab/>
              <w:t xml:space="preserve">Сильные стороны </w:t>
            </w:r>
            <w:r w:rsidRPr="00A96C53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A96C53">
              <w:rPr>
                <w:rFonts w:cs="Arial"/>
                <w:szCs w:val="22"/>
                <w:lang w:val="ru-RU"/>
              </w:rPr>
              <w:t xml:space="preserve"> свойства организации, которые позволяют ей эффективно функционировать и которые необходимо использовать.</w:t>
            </w:r>
          </w:p>
          <w:p w14:paraId="40993C52" w14:textId="77777777" w:rsidR="002200B3" w:rsidRPr="00A96C53" w:rsidRDefault="002200B3" w:rsidP="00090CA2">
            <w:pPr>
              <w:pStyle w:val="Tabletext"/>
              <w:spacing w:before="40" w:after="40"/>
              <w:ind w:left="284" w:hanging="284"/>
              <w:rPr>
                <w:rFonts w:cs="Arial"/>
                <w:szCs w:val="22"/>
                <w:lang w:val="ru-RU"/>
              </w:rPr>
            </w:pPr>
            <w:r w:rsidRPr="00A96C53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A96C53">
              <w:rPr>
                <w:rFonts w:cs="Arial"/>
                <w:i/>
                <w:iCs/>
                <w:szCs w:val="22"/>
                <w:lang w:val="ru-RU"/>
              </w:rPr>
              <w:tab/>
              <w:t>Слабые стороны</w:t>
            </w:r>
            <w:r w:rsidRPr="00A96C53">
              <w:rPr>
                <w:rFonts w:cs="Arial"/>
                <w:szCs w:val="22"/>
                <w:lang w:val="ru-RU"/>
              </w:rPr>
              <w:t xml:space="preserve"> </w:t>
            </w:r>
            <w:r w:rsidRPr="00A96C53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A96C53">
              <w:rPr>
                <w:rFonts w:cs="Arial"/>
                <w:szCs w:val="22"/>
                <w:lang w:val="ru-RU"/>
              </w:rPr>
              <w:t xml:space="preserve"> свойства организации, которые сказываются на эффективном функционировании и требуют принятия мер.</w:t>
            </w:r>
          </w:p>
          <w:p w14:paraId="51ABE0F1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szCs w:val="22"/>
                <w:lang w:val="ru-RU"/>
              </w:rPr>
            </w:pPr>
            <w:r w:rsidRPr="00A96C53">
              <w:rPr>
                <w:rFonts w:cs="Arial"/>
                <w:szCs w:val="22"/>
                <w:lang w:val="ru-RU"/>
              </w:rPr>
              <w:t>Факторы внешней среды:</w:t>
            </w:r>
          </w:p>
          <w:p w14:paraId="49E15E82" w14:textId="77777777" w:rsidR="002200B3" w:rsidRPr="00A96C53" w:rsidRDefault="002200B3" w:rsidP="00090CA2">
            <w:pPr>
              <w:pStyle w:val="Tabletext"/>
              <w:spacing w:before="40" w:after="40"/>
              <w:ind w:left="284" w:hanging="284"/>
              <w:rPr>
                <w:rFonts w:cs="Arial"/>
                <w:szCs w:val="22"/>
                <w:lang w:val="ru-RU"/>
              </w:rPr>
            </w:pPr>
            <w:r w:rsidRPr="00A96C53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A96C53">
              <w:rPr>
                <w:rFonts w:cs="Arial"/>
                <w:i/>
                <w:iCs/>
                <w:szCs w:val="22"/>
                <w:lang w:val="ru-RU"/>
              </w:rPr>
              <w:tab/>
              <w:t>Возможности</w:t>
            </w:r>
            <w:r w:rsidRPr="00A96C53">
              <w:rPr>
                <w:rFonts w:cs="Arial"/>
                <w:szCs w:val="22"/>
                <w:lang w:val="ru-RU"/>
              </w:rPr>
              <w:t xml:space="preserve"> </w:t>
            </w:r>
            <w:r w:rsidRPr="00A96C53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A96C53">
              <w:rPr>
                <w:rFonts w:cs="Arial"/>
                <w:szCs w:val="22"/>
                <w:lang w:val="ru-RU"/>
              </w:rPr>
              <w:t xml:space="preserve"> тенденции, силы, события и идеи, которые организация может использовать в своих интересах.</w:t>
            </w:r>
          </w:p>
          <w:p w14:paraId="65F37CB6" w14:textId="77777777" w:rsidR="002200B3" w:rsidRPr="00A96C53" w:rsidRDefault="002200B3" w:rsidP="00090CA2">
            <w:pPr>
              <w:pStyle w:val="Tabletext"/>
              <w:spacing w:before="40" w:after="40"/>
              <w:ind w:left="284" w:hanging="284"/>
              <w:rPr>
                <w:rFonts w:cs="Arial"/>
                <w:szCs w:val="22"/>
                <w:lang w:val="ru-RU"/>
              </w:rPr>
            </w:pPr>
            <w:r w:rsidRPr="00A96C53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A96C53">
              <w:rPr>
                <w:rFonts w:cs="Arial"/>
                <w:i/>
                <w:iCs/>
                <w:szCs w:val="22"/>
                <w:lang w:val="ru-RU"/>
              </w:rPr>
              <w:tab/>
              <w:t>Угрозы</w:t>
            </w:r>
            <w:r w:rsidRPr="00A96C53">
              <w:rPr>
                <w:rFonts w:cs="Arial"/>
                <w:szCs w:val="22"/>
                <w:lang w:val="ru-RU"/>
              </w:rPr>
              <w:t xml:space="preserve"> </w:t>
            </w:r>
            <w:r w:rsidRPr="00A96C53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A96C53">
              <w:rPr>
                <w:rFonts w:cs="Arial"/>
                <w:szCs w:val="22"/>
                <w:lang w:val="ru-RU"/>
              </w:rPr>
              <w:t xml:space="preserve"> возможные события или силы, неподконтрольные организации, последствия которых организации следует смягчать.</w:t>
            </w:r>
          </w:p>
        </w:tc>
      </w:tr>
      <w:tr w:rsidR="002200B3" w:rsidRPr="009C35D0" w14:paraId="671220B1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497D3D1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rFonts w:cs="Segoe UI"/>
                <w:color w:val="000000"/>
                <w:szCs w:val="24"/>
                <w:lang w:val="ru-RU"/>
              </w:rPr>
              <w:t>Целевые показатели и индикаторы целевых показателей</w:t>
            </w:r>
          </w:p>
        </w:tc>
        <w:tc>
          <w:tcPr>
            <w:tcW w:w="7740" w:type="dxa"/>
            <w:shd w:val="clear" w:color="auto" w:fill="auto"/>
          </w:tcPr>
          <w:p w14:paraId="0FA5CF65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Целевые показатели – это желательные результаты, которых Союз намеревается достичь для реализации своих стратегических целей. Индикаторы целевых показателей служат указанием на то, достигается ли цель в период стратегического плана. Целевые показатели не всегда могут быть достигнуты по причинам, которые могут быть неподконтрольны Союзу.</w:t>
            </w:r>
          </w:p>
        </w:tc>
      </w:tr>
      <w:tr w:rsidR="002200B3" w:rsidRPr="009C35D0" w14:paraId="0EBC611D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3D7D1FAF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Тематические приоритеты</w:t>
            </w:r>
          </w:p>
        </w:tc>
        <w:tc>
          <w:tcPr>
            <w:tcW w:w="7740" w:type="dxa"/>
            <w:shd w:val="clear" w:color="auto" w:fill="auto"/>
          </w:tcPr>
          <w:p w14:paraId="0435604F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/>
              </w:rPr>
            </w:pPr>
            <w:r w:rsidRPr="00A96C53">
              <w:rPr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целей.</w:t>
            </w:r>
          </w:p>
        </w:tc>
      </w:tr>
      <w:tr w:rsidR="002200B3" w:rsidRPr="009C35D0" w14:paraId="62D38DF1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BE641AA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Ценности</w:t>
            </w:r>
          </w:p>
        </w:tc>
        <w:tc>
          <w:tcPr>
            <w:tcW w:w="7740" w:type="dxa"/>
            <w:shd w:val="clear" w:color="auto" w:fill="auto"/>
          </w:tcPr>
          <w:p w14:paraId="7B72166F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Единые и общие убеждения МСЭ, которые определяют его приоритеты и направляют все процессы принятия решений.</w:t>
            </w:r>
          </w:p>
        </w:tc>
      </w:tr>
      <w:tr w:rsidR="002200B3" w:rsidRPr="009C35D0" w14:paraId="79568DD7" w14:textId="77777777" w:rsidTr="00090CA2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8F94CDC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Концепция</w:t>
            </w:r>
          </w:p>
        </w:tc>
        <w:tc>
          <w:tcPr>
            <w:tcW w:w="7740" w:type="dxa"/>
            <w:shd w:val="clear" w:color="auto" w:fill="auto"/>
          </w:tcPr>
          <w:p w14:paraId="3F068CDB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theme="majorBidi"/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Лучший мир, который хочет увидеть МСЭ.</w:t>
            </w:r>
          </w:p>
        </w:tc>
      </w:tr>
    </w:tbl>
    <w:p w14:paraId="088C5A9C" w14:textId="77777777" w:rsidR="002200B3" w:rsidRPr="00A96C53" w:rsidRDefault="002200B3" w:rsidP="002200B3">
      <w:pPr>
        <w:pStyle w:val="Heading1"/>
        <w:spacing w:after="120"/>
        <w:rPr>
          <w:lang w:val="ru-RU"/>
        </w:rPr>
      </w:pPr>
      <w:r w:rsidRPr="00A96C53">
        <w:rPr>
          <w:lang w:val="ru-RU"/>
        </w:rPr>
        <w:t>Список терминов на всех шести официальных языках</w:t>
      </w:r>
    </w:p>
    <w:tbl>
      <w:tblPr>
        <w:tblW w:w="965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701"/>
        <w:gridCol w:w="1579"/>
      </w:tblGrid>
      <w:tr w:rsidR="002200B3" w:rsidRPr="00A96C53" w14:paraId="5B620E0E" w14:textId="77777777" w:rsidTr="00090CA2">
        <w:trPr>
          <w:tblHeader/>
        </w:trPr>
        <w:tc>
          <w:tcPr>
            <w:tcW w:w="1555" w:type="dxa"/>
            <w:shd w:val="clear" w:color="auto" w:fill="B8CCE4"/>
            <w:vAlign w:val="center"/>
          </w:tcPr>
          <w:p w14:paraId="0B7CBC8F" w14:textId="77777777" w:rsidR="002200B3" w:rsidRPr="00A96C53" w:rsidRDefault="002200B3" w:rsidP="00090CA2">
            <w:pPr>
              <w:pStyle w:val="Tablehead"/>
              <w:spacing w:before="80" w:after="80"/>
              <w:rPr>
                <w:lang w:val="ru-RU" w:bidi="ar-EG"/>
              </w:rPr>
            </w:pPr>
            <w:r w:rsidRPr="00A96C53">
              <w:rPr>
                <w:lang w:val="ru-RU" w:bidi="ar-EG"/>
              </w:rPr>
              <w:t>Английский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4B5A8208" w14:textId="77777777" w:rsidR="002200B3" w:rsidRPr="00A96C53" w:rsidRDefault="002200B3" w:rsidP="00090CA2">
            <w:pPr>
              <w:pStyle w:val="Tablehead"/>
              <w:spacing w:before="80" w:after="80"/>
              <w:rPr>
                <w:lang w:val="ru-RU" w:bidi="ar-EG"/>
              </w:rPr>
            </w:pPr>
            <w:r w:rsidRPr="00A96C53">
              <w:rPr>
                <w:lang w:val="ru-RU" w:bidi="ar-EG"/>
              </w:rPr>
              <w:t>Арабский</w:t>
            </w:r>
          </w:p>
        </w:tc>
        <w:tc>
          <w:tcPr>
            <w:tcW w:w="1701" w:type="dxa"/>
            <w:shd w:val="clear" w:color="auto" w:fill="B8CCE4"/>
            <w:vAlign w:val="center"/>
          </w:tcPr>
          <w:p w14:paraId="6A3B3CB4" w14:textId="77777777" w:rsidR="002200B3" w:rsidRPr="00A96C53" w:rsidRDefault="002200B3" w:rsidP="00090CA2">
            <w:pPr>
              <w:pStyle w:val="Tablehead"/>
              <w:spacing w:before="80" w:after="80"/>
              <w:rPr>
                <w:lang w:val="ru-RU" w:bidi="ar-EG"/>
              </w:rPr>
            </w:pPr>
            <w:r w:rsidRPr="00A96C53">
              <w:rPr>
                <w:lang w:val="ru-RU" w:bidi="ar-EG"/>
              </w:rPr>
              <w:t>Китайский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7D94B063" w14:textId="77777777" w:rsidR="002200B3" w:rsidRPr="00A96C53" w:rsidRDefault="002200B3" w:rsidP="00090CA2">
            <w:pPr>
              <w:pStyle w:val="Tablehead"/>
              <w:spacing w:before="80" w:after="80"/>
              <w:rPr>
                <w:lang w:val="ru-RU" w:bidi="ar-EG"/>
              </w:rPr>
            </w:pPr>
            <w:r w:rsidRPr="00A96C53">
              <w:rPr>
                <w:lang w:val="ru-RU" w:bidi="ar-EG"/>
              </w:rPr>
              <w:t>Французский</w:t>
            </w:r>
          </w:p>
        </w:tc>
        <w:tc>
          <w:tcPr>
            <w:tcW w:w="1701" w:type="dxa"/>
            <w:shd w:val="clear" w:color="auto" w:fill="B8CCE4"/>
            <w:vAlign w:val="center"/>
          </w:tcPr>
          <w:p w14:paraId="4C3FAE7D" w14:textId="77777777" w:rsidR="002200B3" w:rsidRPr="00A96C53" w:rsidRDefault="002200B3" w:rsidP="00090CA2">
            <w:pPr>
              <w:pStyle w:val="Tablehead"/>
              <w:spacing w:before="80" w:after="80"/>
              <w:rPr>
                <w:lang w:val="ru-RU" w:bidi="ar-EG"/>
              </w:rPr>
            </w:pPr>
            <w:r w:rsidRPr="00A96C53">
              <w:rPr>
                <w:lang w:val="ru-RU" w:bidi="ar-EG"/>
              </w:rPr>
              <w:t>Русский</w:t>
            </w:r>
          </w:p>
        </w:tc>
        <w:tc>
          <w:tcPr>
            <w:tcW w:w="1579" w:type="dxa"/>
            <w:shd w:val="clear" w:color="auto" w:fill="B8CCE4"/>
            <w:vAlign w:val="center"/>
          </w:tcPr>
          <w:p w14:paraId="4215DA3C" w14:textId="77777777" w:rsidR="002200B3" w:rsidRPr="00A96C53" w:rsidRDefault="002200B3" w:rsidP="00090CA2">
            <w:pPr>
              <w:pStyle w:val="Tablehead"/>
              <w:spacing w:before="80" w:after="80"/>
              <w:rPr>
                <w:lang w:val="ru-RU" w:bidi="ar-EG"/>
              </w:rPr>
            </w:pPr>
            <w:r w:rsidRPr="00A96C53">
              <w:rPr>
                <w:lang w:val="ru-RU" w:bidi="ar-EG"/>
              </w:rPr>
              <w:t>Испанский</w:t>
            </w:r>
          </w:p>
        </w:tc>
      </w:tr>
      <w:tr w:rsidR="002200B3" w:rsidRPr="00A96C53" w14:paraId="5311363E" w14:textId="77777777" w:rsidTr="00090CA2">
        <w:tc>
          <w:tcPr>
            <w:tcW w:w="1555" w:type="dxa"/>
            <w:shd w:val="clear" w:color="auto" w:fill="auto"/>
          </w:tcPr>
          <w:p w14:paraId="5BC21C41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9" w:name="lt_pId088"/>
            <w:proofErr w:type="spellStart"/>
            <w:r w:rsidRPr="00A96C53">
              <w:rPr>
                <w:lang w:val="ru-RU" w:bidi="ar-EG"/>
              </w:rPr>
              <w:t>Activities</w:t>
            </w:r>
            <w:bookmarkEnd w:id="9"/>
            <w:proofErr w:type="spellEnd"/>
          </w:p>
        </w:tc>
        <w:tc>
          <w:tcPr>
            <w:tcW w:w="1559" w:type="dxa"/>
            <w:shd w:val="clear" w:color="auto" w:fill="auto"/>
          </w:tcPr>
          <w:p w14:paraId="40C2DC67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rtl/>
                <w:lang w:val="ru-RU" w:bidi="ar-EG"/>
              </w:rPr>
            </w:pPr>
            <w:bookmarkStart w:id="10" w:name="lt_pId089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الأنشطة</w:t>
            </w:r>
            <w:bookmarkEnd w:id="10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E8E3FC0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活动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230648C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11" w:name="lt_pId091"/>
            <w:proofErr w:type="spellStart"/>
            <w:r w:rsidRPr="00A96C53">
              <w:rPr>
                <w:rFonts w:cs="Arial"/>
                <w:lang w:val="ru-RU" w:bidi="ar-EG"/>
              </w:rPr>
              <w:t>Activités</w:t>
            </w:r>
            <w:bookmarkEnd w:id="11"/>
            <w:proofErr w:type="spellEnd"/>
          </w:p>
        </w:tc>
        <w:tc>
          <w:tcPr>
            <w:tcW w:w="1701" w:type="dxa"/>
            <w:shd w:val="clear" w:color="auto" w:fill="auto"/>
          </w:tcPr>
          <w:p w14:paraId="158E0064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12" w:name="lt_pId092"/>
            <w:r w:rsidRPr="00A96C53">
              <w:rPr>
                <w:lang w:val="ru-RU" w:bidi="ar-EG"/>
              </w:rPr>
              <w:t>Виды деятельности</w:t>
            </w:r>
            <w:bookmarkEnd w:id="12"/>
          </w:p>
        </w:tc>
        <w:tc>
          <w:tcPr>
            <w:tcW w:w="1579" w:type="dxa"/>
            <w:shd w:val="clear" w:color="auto" w:fill="auto"/>
          </w:tcPr>
          <w:p w14:paraId="03B1B248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13" w:name="lt_pId093"/>
            <w:proofErr w:type="spellStart"/>
            <w:r w:rsidRPr="00A96C53">
              <w:rPr>
                <w:rFonts w:cs="Arial"/>
                <w:lang w:val="ru-RU" w:bidi="ar-EG"/>
              </w:rPr>
              <w:t>Actividades</w:t>
            </w:r>
            <w:bookmarkEnd w:id="13"/>
            <w:proofErr w:type="spellEnd"/>
          </w:p>
        </w:tc>
      </w:tr>
      <w:tr w:rsidR="002200B3" w:rsidRPr="00A96C53" w14:paraId="68D073E7" w14:textId="77777777" w:rsidTr="00090CA2">
        <w:tc>
          <w:tcPr>
            <w:tcW w:w="1555" w:type="dxa"/>
            <w:shd w:val="clear" w:color="auto" w:fill="auto"/>
          </w:tcPr>
          <w:p w14:paraId="565ACA4E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proofErr w:type="spellStart"/>
            <w:r w:rsidRPr="00A96C53">
              <w:rPr>
                <w:lang w:val="ru-RU" w:bidi="ar-EG"/>
              </w:rPr>
              <w:t>Enablers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0FEDBF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rtl/>
                <w:lang w:val="ru-RU" w:bidi="ar-EG"/>
              </w:rPr>
            </w:pPr>
            <w:r w:rsidRPr="00A96C53">
              <w:rPr>
                <w:position w:val="2"/>
                <w:sz w:val="18"/>
                <w:szCs w:val="18"/>
                <w:rtl/>
                <w:lang w:val="ru-RU" w:bidi="ar-EG"/>
              </w:rPr>
              <w:t>العوامل التمكينية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220A94E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Microsoft YaHei"/>
                <w:sz w:val="20"/>
                <w:lang w:val="ru-RU"/>
              </w:rPr>
            </w:pPr>
            <w:proofErr w:type="spellStart"/>
            <w:r w:rsidRPr="00A96C53">
              <w:rPr>
                <w:rFonts w:eastAsia="SimSun"/>
                <w:sz w:val="20"/>
                <w:lang w:val="ru-RU"/>
              </w:rPr>
              <w:t>推动因素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A0BE4FC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rFonts w:cs="Arial"/>
                <w:lang w:val="ru-RU" w:bidi="ar-EG"/>
              </w:rPr>
              <w:t>Catalyseurs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5C749C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r w:rsidRPr="00A96C53">
              <w:rPr>
                <w:rFonts w:cs="Traditional Arabic"/>
                <w:bCs/>
                <w:lang w:val="ru-RU" w:bidi="ar-EG"/>
              </w:rPr>
              <w:t>Средства достижения целей</w:t>
            </w:r>
          </w:p>
        </w:tc>
        <w:tc>
          <w:tcPr>
            <w:tcW w:w="1579" w:type="dxa"/>
            <w:shd w:val="clear" w:color="auto" w:fill="auto"/>
          </w:tcPr>
          <w:p w14:paraId="16F24F14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lang w:val="ru-RU"/>
              </w:rPr>
              <w:t>Factores</w:t>
            </w:r>
            <w:proofErr w:type="spellEnd"/>
            <w:r w:rsidRPr="00A96C53">
              <w:rPr>
                <w:lang w:val="ru-RU"/>
              </w:rPr>
              <w:t xml:space="preserve"> </w:t>
            </w:r>
            <w:proofErr w:type="spellStart"/>
            <w:r w:rsidRPr="00A96C53">
              <w:rPr>
                <w:lang w:val="ru-RU"/>
              </w:rPr>
              <w:t>habilitadores</w:t>
            </w:r>
            <w:proofErr w:type="spellEnd"/>
          </w:p>
        </w:tc>
      </w:tr>
      <w:tr w:rsidR="002200B3" w:rsidRPr="00A96C53" w14:paraId="7A00D275" w14:textId="77777777" w:rsidTr="00090CA2">
        <w:tc>
          <w:tcPr>
            <w:tcW w:w="1555" w:type="dxa"/>
            <w:shd w:val="clear" w:color="auto" w:fill="auto"/>
          </w:tcPr>
          <w:p w14:paraId="1FFB4341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14" w:name="lt_pId094"/>
            <w:r w:rsidRPr="00A96C53">
              <w:rPr>
                <w:lang w:val="ru-RU" w:bidi="ar-EG"/>
              </w:rPr>
              <w:t xml:space="preserve">Financial </w:t>
            </w:r>
            <w:proofErr w:type="spellStart"/>
            <w:r w:rsidRPr="00A96C53">
              <w:rPr>
                <w:lang w:val="ru-RU" w:bidi="ar-EG"/>
              </w:rPr>
              <w:t>plan</w:t>
            </w:r>
            <w:bookmarkEnd w:id="14"/>
            <w:proofErr w:type="spellEnd"/>
          </w:p>
        </w:tc>
        <w:tc>
          <w:tcPr>
            <w:tcW w:w="1559" w:type="dxa"/>
            <w:shd w:val="clear" w:color="auto" w:fill="auto"/>
          </w:tcPr>
          <w:p w14:paraId="054FE265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15" w:name="lt_pId095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الخطة المالية</w:t>
            </w:r>
            <w:bookmarkEnd w:id="15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4ACDEA2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财务规划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E5D18E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16" w:name="lt_pId097"/>
            <w:r w:rsidRPr="00A96C53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A96C53">
              <w:rPr>
                <w:rFonts w:cs="Arial"/>
                <w:lang w:val="ru-RU" w:bidi="ar-EG"/>
              </w:rPr>
              <w:t>financier</w:t>
            </w:r>
            <w:bookmarkEnd w:id="16"/>
            <w:proofErr w:type="spellEnd"/>
          </w:p>
        </w:tc>
        <w:tc>
          <w:tcPr>
            <w:tcW w:w="1701" w:type="dxa"/>
            <w:shd w:val="clear" w:color="auto" w:fill="auto"/>
          </w:tcPr>
          <w:p w14:paraId="49A51338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17" w:name="lt_pId098"/>
            <w:r w:rsidRPr="00A96C53">
              <w:rPr>
                <w:lang w:val="ru-RU" w:bidi="ar-EG"/>
              </w:rPr>
              <w:t>Финансовый план</w:t>
            </w:r>
            <w:bookmarkEnd w:id="17"/>
          </w:p>
        </w:tc>
        <w:tc>
          <w:tcPr>
            <w:tcW w:w="1579" w:type="dxa"/>
            <w:shd w:val="clear" w:color="auto" w:fill="auto"/>
          </w:tcPr>
          <w:p w14:paraId="5CDF34FE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18" w:name="lt_pId099"/>
            <w:r w:rsidRPr="00A96C53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A96C53">
              <w:rPr>
                <w:rFonts w:cs="Arial"/>
                <w:lang w:val="ru-RU" w:bidi="ar-EG"/>
              </w:rPr>
              <w:t>Financiero</w:t>
            </w:r>
            <w:bookmarkEnd w:id="18"/>
            <w:proofErr w:type="spellEnd"/>
          </w:p>
        </w:tc>
      </w:tr>
      <w:tr w:rsidR="002200B3" w:rsidRPr="00A96C53" w14:paraId="50A93653" w14:textId="77777777" w:rsidTr="00090CA2">
        <w:tc>
          <w:tcPr>
            <w:tcW w:w="1555" w:type="dxa"/>
            <w:shd w:val="clear" w:color="auto" w:fill="auto"/>
          </w:tcPr>
          <w:p w14:paraId="0C96B8B6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r w:rsidRPr="00A96C53">
              <w:rPr>
                <w:bCs/>
                <w:lang w:val="ru-RU" w:bidi="ar-EG"/>
              </w:rPr>
              <w:t>Indicators</w:t>
            </w:r>
          </w:p>
        </w:tc>
        <w:tc>
          <w:tcPr>
            <w:tcW w:w="1559" w:type="dxa"/>
            <w:shd w:val="clear" w:color="auto" w:fill="auto"/>
          </w:tcPr>
          <w:p w14:paraId="0D38C84E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rtl/>
                <w:lang w:val="ru-RU" w:bidi="ar-EG"/>
              </w:rPr>
            </w:pPr>
            <w:r w:rsidRPr="00A96C53">
              <w:rPr>
                <w:position w:val="2"/>
                <w:sz w:val="18"/>
                <w:szCs w:val="18"/>
                <w:rtl/>
                <w:lang w:val="ru-RU" w:bidi="ar-EG"/>
              </w:rPr>
              <w:t>المؤشرات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66915ED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Microsoft YaHei"/>
                <w:sz w:val="20"/>
                <w:lang w:val="ru-RU"/>
              </w:rPr>
            </w:pPr>
            <w:proofErr w:type="spellStart"/>
            <w:r w:rsidRPr="00A96C53">
              <w:rPr>
                <w:rFonts w:eastAsia="SimSun"/>
                <w:sz w:val="20"/>
                <w:lang w:val="ru-RU"/>
              </w:rPr>
              <w:t>指标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7B0AC7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rFonts w:cs="Arial"/>
                <w:lang w:val="ru-RU" w:bidi="ar-EG"/>
              </w:rPr>
              <w:t>Indicateurs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593A6D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r w:rsidRPr="00A96C53">
              <w:rPr>
                <w:lang w:val="ru-RU" w:bidi="ar-EG"/>
              </w:rPr>
              <w:t>Индикаторы</w:t>
            </w:r>
          </w:p>
        </w:tc>
        <w:tc>
          <w:tcPr>
            <w:tcW w:w="1579" w:type="dxa"/>
            <w:shd w:val="clear" w:color="auto" w:fill="auto"/>
          </w:tcPr>
          <w:p w14:paraId="51234209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rFonts w:cs="Arial"/>
                <w:lang w:val="ru-RU" w:bidi="ar-EG"/>
              </w:rPr>
              <w:t>Indicadores</w:t>
            </w:r>
            <w:proofErr w:type="spellEnd"/>
          </w:p>
        </w:tc>
      </w:tr>
      <w:tr w:rsidR="002200B3" w:rsidRPr="00A96C53" w14:paraId="47449A3F" w14:textId="77777777" w:rsidTr="00090CA2">
        <w:tc>
          <w:tcPr>
            <w:tcW w:w="1555" w:type="dxa"/>
            <w:shd w:val="clear" w:color="auto" w:fill="auto"/>
          </w:tcPr>
          <w:p w14:paraId="0695ECF1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19" w:name="lt_pId100"/>
            <w:proofErr w:type="spellStart"/>
            <w:r w:rsidRPr="00A96C53">
              <w:rPr>
                <w:lang w:val="ru-RU" w:bidi="ar-EG"/>
              </w:rPr>
              <w:t>Inputs</w:t>
            </w:r>
            <w:bookmarkEnd w:id="19"/>
            <w:proofErr w:type="spellEnd"/>
          </w:p>
        </w:tc>
        <w:tc>
          <w:tcPr>
            <w:tcW w:w="1559" w:type="dxa"/>
            <w:shd w:val="clear" w:color="auto" w:fill="auto"/>
          </w:tcPr>
          <w:p w14:paraId="40AF8469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20" w:name="lt_pId101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المدخلات</w:t>
            </w:r>
            <w:bookmarkEnd w:id="20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8778617" w14:textId="77777777" w:rsidR="002200B3" w:rsidRPr="00A96C53" w:rsidRDefault="002200B3" w:rsidP="00090CA2">
            <w:pPr>
              <w:spacing w:before="40" w:after="40"/>
              <w:rPr>
                <w:rFonts w:eastAsia="SimSun"/>
                <w:sz w:val="20"/>
                <w:lang w:val="ru-RU"/>
              </w:rPr>
            </w:pPr>
            <w:proofErr w:type="spellStart"/>
            <w:r w:rsidRPr="00A96C53">
              <w:rPr>
                <w:rFonts w:eastAsia="SimSun"/>
                <w:sz w:val="20"/>
                <w:lang w:val="ru-RU"/>
              </w:rPr>
              <w:t>投入，输入意见（取决于上下文</w:t>
            </w:r>
            <w:proofErr w:type="spellEnd"/>
            <w:r w:rsidRPr="00A96C53">
              <w:rPr>
                <w:rFonts w:eastAsia="SimSun"/>
                <w:sz w:val="20"/>
                <w:lang w:val="ru-RU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0C5FE0F2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21" w:name="lt_pId103"/>
            <w:r w:rsidRPr="00A96C53">
              <w:rPr>
                <w:rFonts w:cs="Arial"/>
                <w:lang w:val="ru-RU" w:bidi="ar-EG"/>
              </w:rPr>
              <w:t>Contributions</w:t>
            </w:r>
            <w:bookmarkEnd w:id="21"/>
          </w:p>
        </w:tc>
        <w:tc>
          <w:tcPr>
            <w:tcW w:w="1701" w:type="dxa"/>
            <w:shd w:val="clear" w:color="auto" w:fill="auto"/>
          </w:tcPr>
          <w:p w14:paraId="55456D6B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22" w:name="lt_pId104"/>
            <w:r w:rsidRPr="00A96C53">
              <w:rPr>
                <w:lang w:val="ru-RU" w:bidi="ar-EG"/>
              </w:rPr>
              <w:t>Исходные ресурсы</w:t>
            </w:r>
            <w:bookmarkEnd w:id="22"/>
          </w:p>
        </w:tc>
        <w:tc>
          <w:tcPr>
            <w:tcW w:w="1579" w:type="dxa"/>
            <w:shd w:val="clear" w:color="auto" w:fill="auto"/>
          </w:tcPr>
          <w:p w14:paraId="638382FA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23" w:name="lt_pId105"/>
            <w:proofErr w:type="spellStart"/>
            <w:r w:rsidRPr="00A96C53">
              <w:rPr>
                <w:rFonts w:cs="Arial"/>
                <w:lang w:val="ru-RU" w:bidi="ar-EG"/>
              </w:rPr>
              <w:t>Insumos</w:t>
            </w:r>
            <w:bookmarkEnd w:id="23"/>
            <w:proofErr w:type="spellEnd"/>
          </w:p>
        </w:tc>
      </w:tr>
      <w:tr w:rsidR="002200B3" w:rsidRPr="00A96C53" w14:paraId="3B963446" w14:textId="77777777" w:rsidTr="00090CA2">
        <w:tc>
          <w:tcPr>
            <w:tcW w:w="1555" w:type="dxa"/>
            <w:shd w:val="clear" w:color="auto" w:fill="auto"/>
          </w:tcPr>
          <w:p w14:paraId="2DDE2C2B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i/>
                <w:iCs/>
                <w:lang w:val="ru-RU" w:bidi="ar-EG"/>
              </w:rPr>
            </w:pPr>
            <w:bookmarkStart w:id="24" w:name="lt_pId106"/>
            <w:r w:rsidRPr="00A96C53">
              <w:rPr>
                <w:lang w:val="ru-RU" w:bidi="ar-EG"/>
              </w:rPr>
              <w:t>Mission</w:t>
            </w:r>
            <w:bookmarkEnd w:id="24"/>
          </w:p>
        </w:tc>
        <w:tc>
          <w:tcPr>
            <w:tcW w:w="1559" w:type="dxa"/>
            <w:shd w:val="clear" w:color="auto" w:fill="auto"/>
          </w:tcPr>
          <w:p w14:paraId="3F5139D3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25" w:name="lt_pId107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الرسالة</w:t>
            </w:r>
            <w:bookmarkEnd w:id="25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A242314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使命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7627E6C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26" w:name="lt_pId109"/>
            <w:r w:rsidRPr="00A96C53">
              <w:rPr>
                <w:rFonts w:cs="Arial"/>
                <w:lang w:val="ru-RU" w:bidi="ar-EG"/>
              </w:rPr>
              <w:t>Mission</w:t>
            </w:r>
            <w:bookmarkEnd w:id="26"/>
          </w:p>
        </w:tc>
        <w:tc>
          <w:tcPr>
            <w:tcW w:w="1701" w:type="dxa"/>
            <w:shd w:val="clear" w:color="auto" w:fill="auto"/>
          </w:tcPr>
          <w:p w14:paraId="2898CC01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27" w:name="lt_pId110"/>
            <w:r w:rsidRPr="00A96C53">
              <w:rPr>
                <w:lang w:val="ru-RU" w:bidi="ar-EG"/>
              </w:rPr>
              <w:t>Миссия</w:t>
            </w:r>
            <w:bookmarkEnd w:id="27"/>
          </w:p>
        </w:tc>
        <w:tc>
          <w:tcPr>
            <w:tcW w:w="1579" w:type="dxa"/>
            <w:shd w:val="clear" w:color="auto" w:fill="auto"/>
          </w:tcPr>
          <w:p w14:paraId="08D702E1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28" w:name="lt_pId111"/>
            <w:proofErr w:type="spellStart"/>
            <w:r w:rsidRPr="00A96C53">
              <w:rPr>
                <w:rFonts w:cs="Arial"/>
                <w:lang w:val="ru-RU" w:bidi="ar-EG"/>
              </w:rPr>
              <w:t>Misión</w:t>
            </w:r>
            <w:bookmarkEnd w:id="28"/>
            <w:proofErr w:type="spellEnd"/>
          </w:p>
        </w:tc>
      </w:tr>
      <w:tr w:rsidR="002200B3" w:rsidRPr="00A96C53" w14:paraId="6C8BF975" w14:textId="77777777" w:rsidTr="00090CA2">
        <w:tc>
          <w:tcPr>
            <w:tcW w:w="1555" w:type="dxa"/>
            <w:shd w:val="clear" w:color="auto" w:fill="auto"/>
          </w:tcPr>
          <w:p w14:paraId="0C6046A9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29" w:name="lt_pId118"/>
            <w:proofErr w:type="spellStart"/>
            <w:r w:rsidRPr="00A96C53">
              <w:rPr>
                <w:lang w:val="ru-RU" w:bidi="ar-EG"/>
              </w:rPr>
              <w:t>Operational</w:t>
            </w:r>
            <w:proofErr w:type="spellEnd"/>
            <w:r w:rsidRPr="00A96C53">
              <w:rPr>
                <w:lang w:val="ru-RU" w:bidi="ar-EG"/>
              </w:rPr>
              <w:t xml:space="preserve"> </w:t>
            </w:r>
            <w:proofErr w:type="spellStart"/>
            <w:r w:rsidRPr="00A96C53">
              <w:rPr>
                <w:lang w:val="ru-RU" w:bidi="ar-EG"/>
              </w:rPr>
              <w:t>plan</w:t>
            </w:r>
            <w:bookmarkEnd w:id="29"/>
            <w:proofErr w:type="spellEnd"/>
          </w:p>
        </w:tc>
        <w:tc>
          <w:tcPr>
            <w:tcW w:w="1559" w:type="dxa"/>
            <w:shd w:val="clear" w:color="auto" w:fill="auto"/>
          </w:tcPr>
          <w:p w14:paraId="64838414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30" w:name="lt_pId119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الخطة التشغيلية</w:t>
            </w:r>
            <w:bookmarkEnd w:id="30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46EE66F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运作规划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D8AEAC5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31" w:name="lt_pId121"/>
            <w:r w:rsidRPr="00A96C53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A96C53">
              <w:rPr>
                <w:rFonts w:cs="Arial"/>
                <w:lang w:val="ru-RU" w:bidi="ar-EG"/>
              </w:rPr>
              <w:t>opérationnel</w:t>
            </w:r>
            <w:bookmarkEnd w:id="31"/>
            <w:proofErr w:type="spellEnd"/>
          </w:p>
        </w:tc>
        <w:tc>
          <w:tcPr>
            <w:tcW w:w="1701" w:type="dxa"/>
            <w:shd w:val="clear" w:color="auto" w:fill="auto"/>
          </w:tcPr>
          <w:p w14:paraId="655D551E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32" w:name="lt_pId122"/>
            <w:r w:rsidRPr="00A96C53">
              <w:rPr>
                <w:lang w:val="ru-RU" w:bidi="ar-EG"/>
              </w:rPr>
              <w:t>Оперативный план</w:t>
            </w:r>
            <w:bookmarkEnd w:id="32"/>
          </w:p>
        </w:tc>
        <w:tc>
          <w:tcPr>
            <w:tcW w:w="1579" w:type="dxa"/>
            <w:shd w:val="clear" w:color="auto" w:fill="auto"/>
          </w:tcPr>
          <w:p w14:paraId="489739AA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33" w:name="lt_pId123"/>
            <w:r w:rsidRPr="00A96C53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A96C53">
              <w:rPr>
                <w:rFonts w:cs="Arial"/>
                <w:lang w:val="ru-RU" w:bidi="ar-EG"/>
              </w:rPr>
              <w:t>Operacional</w:t>
            </w:r>
            <w:bookmarkEnd w:id="33"/>
            <w:proofErr w:type="spellEnd"/>
          </w:p>
        </w:tc>
      </w:tr>
      <w:tr w:rsidR="002200B3" w:rsidRPr="00A96C53" w14:paraId="0B35A67E" w14:textId="77777777" w:rsidTr="00090CA2">
        <w:tc>
          <w:tcPr>
            <w:tcW w:w="1555" w:type="dxa"/>
            <w:shd w:val="clear" w:color="auto" w:fill="auto"/>
          </w:tcPr>
          <w:p w14:paraId="50EE0161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34" w:name="lt_pId124"/>
            <w:proofErr w:type="spellStart"/>
            <w:r w:rsidRPr="00A96C53">
              <w:rPr>
                <w:lang w:val="ru-RU" w:bidi="ar-EG"/>
              </w:rPr>
              <w:t>Outcomes</w:t>
            </w:r>
            <w:bookmarkEnd w:id="34"/>
            <w:proofErr w:type="spellEnd"/>
          </w:p>
        </w:tc>
        <w:tc>
          <w:tcPr>
            <w:tcW w:w="1559" w:type="dxa"/>
            <w:shd w:val="clear" w:color="auto" w:fill="auto"/>
          </w:tcPr>
          <w:p w14:paraId="55B7B416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35" w:name="lt_pId125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النتائج</w:t>
            </w:r>
            <w:bookmarkEnd w:id="35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384A5A2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结果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D2F213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36" w:name="lt_pId127"/>
            <w:proofErr w:type="spellStart"/>
            <w:r w:rsidRPr="00A96C53">
              <w:rPr>
                <w:rFonts w:cs="Arial"/>
                <w:lang w:val="ru-RU" w:bidi="ar-EG"/>
              </w:rPr>
              <w:t>Résultats</w:t>
            </w:r>
            <w:bookmarkEnd w:id="36"/>
            <w:proofErr w:type="spellEnd"/>
          </w:p>
        </w:tc>
        <w:tc>
          <w:tcPr>
            <w:tcW w:w="1701" w:type="dxa"/>
            <w:shd w:val="clear" w:color="auto" w:fill="auto"/>
          </w:tcPr>
          <w:p w14:paraId="419D7B8C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37" w:name="lt_pId128"/>
            <w:r w:rsidRPr="00A96C53">
              <w:rPr>
                <w:lang w:val="ru-RU" w:bidi="ar-EG"/>
              </w:rPr>
              <w:t>Конечные результаты</w:t>
            </w:r>
            <w:bookmarkEnd w:id="37"/>
          </w:p>
        </w:tc>
        <w:tc>
          <w:tcPr>
            <w:tcW w:w="1579" w:type="dxa"/>
            <w:shd w:val="clear" w:color="auto" w:fill="auto"/>
          </w:tcPr>
          <w:p w14:paraId="51998FFC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38" w:name="lt_pId129"/>
            <w:proofErr w:type="spellStart"/>
            <w:r w:rsidRPr="00A96C53">
              <w:rPr>
                <w:rFonts w:cs="Arial"/>
                <w:lang w:val="ru-RU" w:bidi="ar-EG"/>
              </w:rPr>
              <w:t>Resultados</w:t>
            </w:r>
            <w:bookmarkEnd w:id="38"/>
            <w:proofErr w:type="spellEnd"/>
          </w:p>
        </w:tc>
      </w:tr>
      <w:tr w:rsidR="002200B3" w:rsidRPr="00A96C53" w14:paraId="5876B6B6" w14:textId="77777777" w:rsidTr="00090CA2">
        <w:tc>
          <w:tcPr>
            <w:tcW w:w="1555" w:type="dxa"/>
            <w:shd w:val="clear" w:color="auto" w:fill="auto"/>
          </w:tcPr>
          <w:p w14:paraId="2440F17D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i/>
                <w:iCs/>
                <w:lang w:val="ru-RU" w:bidi="ar-EG"/>
              </w:rPr>
            </w:pPr>
            <w:bookmarkStart w:id="39" w:name="lt_pId130"/>
            <w:proofErr w:type="spellStart"/>
            <w:r w:rsidRPr="00A96C53">
              <w:rPr>
                <w:lang w:val="ru-RU" w:bidi="ar-EG"/>
              </w:rPr>
              <w:t>Outputs</w:t>
            </w:r>
            <w:bookmarkEnd w:id="39"/>
            <w:proofErr w:type="spellEnd"/>
          </w:p>
        </w:tc>
        <w:tc>
          <w:tcPr>
            <w:tcW w:w="1559" w:type="dxa"/>
            <w:shd w:val="clear" w:color="auto" w:fill="auto"/>
          </w:tcPr>
          <w:p w14:paraId="6A7D0759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40" w:name="lt_pId131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النواتج</w:t>
            </w:r>
            <w:bookmarkEnd w:id="40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98FD159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输出成果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D5F325F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41" w:name="lt_pId133"/>
            <w:proofErr w:type="spellStart"/>
            <w:r w:rsidRPr="00A96C53">
              <w:rPr>
                <w:rFonts w:cs="Arial"/>
                <w:lang w:val="ru-RU" w:bidi="ar-EG"/>
              </w:rPr>
              <w:t>Produits</w:t>
            </w:r>
            <w:bookmarkEnd w:id="41"/>
            <w:proofErr w:type="spellEnd"/>
          </w:p>
        </w:tc>
        <w:tc>
          <w:tcPr>
            <w:tcW w:w="1701" w:type="dxa"/>
            <w:shd w:val="clear" w:color="auto" w:fill="auto"/>
          </w:tcPr>
          <w:p w14:paraId="481C6E0F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42" w:name="lt_pId134"/>
            <w:r w:rsidRPr="00A96C53">
              <w:rPr>
                <w:lang w:val="ru-RU" w:bidi="ar-EG"/>
              </w:rPr>
              <w:t>Намеченные результаты деятельности</w:t>
            </w:r>
            <w:bookmarkEnd w:id="42"/>
          </w:p>
        </w:tc>
        <w:tc>
          <w:tcPr>
            <w:tcW w:w="1579" w:type="dxa"/>
            <w:shd w:val="clear" w:color="auto" w:fill="auto"/>
          </w:tcPr>
          <w:p w14:paraId="05B6FF8F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43" w:name="lt_pId135"/>
            <w:proofErr w:type="spellStart"/>
            <w:r w:rsidRPr="00A96C53">
              <w:rPr>
                <w:rFonts w:cs="Arial"/>
                <w:lang w:val="ru-RU" w:bidi="ar-EG"/>
              </w:rPr>
              <w:t>Productos</w:t>
            </w:r>
            <w:bookmarkEnd w:id="43"/>
            <w:proofErr w:type="spellEnd"/>
          </w:p>
        </w:tc>
      </w:tr>
      <w:tr w:rsidR="002200B3" w:rsidRPr="00A96C53" w14:paraId="47BF3797" w14:textId="77777777" w:rsidTr="00090CA2">
        <w:tc>
          <w:tcPr>
            <w:tcW w:w="1555" w:type="dxa"/>
            <w:shd w:val="clear" w:color="auto" w:fill="auto"/>
          </w:tcPr>
          <w:p w14:paraId="5D4C52EF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44" w:name="lt_pId136"/>
            <w:r w:rsidRPr="00A96C53">
              <w:rPr>
                <w:lang w:val="ru-RU" w:bidi="ar-EG"/>
              </w:rPr>
              <w:lastRenderedPageBreak/>
              <w:t xml:space="preserve">Performance </w:t>
            </w:r>
            <w:proofErr w:type="spellStart"/>
            <w:r w:rsidRPr="00A96C53">
              <w:rPr>
                <w:lang w:val="ru-RU" w:bidi="ar-EG"/>
              </w:rPr>
              <w:t>indicators</w:t>
            </w:r>
            <w:bookmarkEnd w:id="44"/>
            <w:proofErr w:type="spellEnd"/>
          </w:p>
        </w:tc>
        <w:tc>
          <w:tcPr>
            <w:tcW w:w="1559" w:type="dxa"/>
            <w:shd w:val="clear" w:color="auto" w:fill="auto"/>
          </w:tcPr>
          <w:p w14:paraId="54168D77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rtl/>
                <w:lang w:val="ru-RU" w:bidi="ar-EG"/>
              </w:rPr>
            </w:pPr>
            <w:bookmarkStart w:id="45" w:name="lt_pId137"/>
            <w:r w:rsidRPr="00A96C53">
              <w:rPr>
                <w:rFonts w:cs="Traditional Arabic"/>
                <w:sz w:val="20"/>
                <w:rtl/>
                <w:lang w:val="ru-RU" w:bidi="ar-EG"/>
              </w:rPr>
              <w:t>مؤشرات الأداء</w:t>
            </w:r>
            <w:bookmarkEnd w:id="45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03DE4A1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SimSun"/>
                <w:bCs/>
                <w:sz w:val="20"/>
                <w:lang w:val="ru-RU"/>
              </w:rPr>
              <w:t>绩效指标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789228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46" w:name="lt_pId139"/>
            <w:proofErr w:type="spellStart"/>
            <w:r w:rsidRPr="00A96C53">
              <w:rPr>
                <w:rFonts w:cs="Arial"/>
                <w:lang w:val="ru-RU" w:bidi="ar-EG"/>
              </w:rPr>
              <w:t>Indicateurs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A96C53">
              <w:rPr>
                <w:rFonts w:cs="Arial"/>
                <w:lang w:val="ru-RU" w:bidi="ar-EG"/>
              </w:rPr>
              <w:t>performance</w:t>
            </w:r>
            <w:bookmarkEnd w:id="46"/>
            <w:proofErr w:type="spellEnd"/>
          </w:p>
        </w:tc>
        <w:tc>
          <w:tcPr>
            <w:tcW w:w="1701" w:type="dxa"/>
            <w:shd w:val="clear" w:color="auto" w:fill="auto"/>
          </w:tcPr>
          <w:p w14:paraId="698C0609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47" w:name="lt_pId140"/>
            <w:r w:rsidRPr="00A96C53">
              <w:rPr>
                <w:rFonts w:cs="Arial"/>
                <w:lang w:val="ru-RU" w:bidi="ar-EG"/>
              </w:rPr>
              <w:t>Показатели деятельности</w:t>
            </w:r>
            <w:bookmarkEnd w:id="47"/>
          </w:p>
        </w:tc>
        <w:tc>
          <w:tcPr>
            <w:tcW w:w="1579" w:type="dxa"/>
            <w:shd w:val="clear" w:color="auto" w:fill="auto"/>
          </w:tcPr>
          <w:p w14:paraId="3BD07903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48" w:name="lt_pId141"/>
            <w:proofErr w:type="spellStart"/>
            <w:r w:rsidRPr="00A96C53">
              <w:rPr>
                <w:rFonts w:cs="Arial"/>
                <w:lang w:val="ru-RU" w:bidi="ar-EG"/>
              </w:rPr>
              <w:t>Indicadores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A96C53">
              <w:rPr>
                <w:rFonts w:cs="Arial"/>
                <w:lang w:val="ru-RU" w:bidi="ar-EG"/>
              </w:rPr>
              <w:t>Rendimiento</w:t>
            </w:r>
            <w:bookmarkEnd w:id="48"/>
            <w:proofErr w:type="spellEnd"/>
          </w:p>
        </w:tc>
      </w:tr>
      <w:tr w:rsidR="002200B3" w:rsidRPr="009C35D0" w14:paraId="6085D09D" w14:textId="77777777" w:rsidTr="00090CA2">
        <w:tc>
          <w:tcPr>
            <w:tcW w:w="1555" w:type="dxa"/>
            <w:shd w:val="clear" w:color="auto" w:fill="auto"/>
          </w:tcPr>
          <w:p w14:paraId="0DC46AFC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r w:rsidRPr="00A96C53">
              <w:rPr>
                <w:lang w:val="ru-RU" w:bidi="ar-EG"/>
              </w:rPr>
              <w:t xml:space="preserve">Product and </w:t>
            </w:r>
            <w:proofErr w:type="spellStart"/>
            <w:r w:rsidRPr="00A96C53">
              <w:rPr>
                <w:lang w:val="ru-RU" w:bidi="ar-EG"/>
              </w:rPr>
              <w:t>service</w:t>
            </w:r>
            <w:proofErr w:type="spellEnd"/>
            <w:r w:rsidRPr="00A96C53">
              <w:rPr>
                <w:lang w:val="ru-RU" w:bidi="ar-EG"/>
              </w:rPr>
              <w:t xml:space="preserve"> </w:t>
            </w:r>
            <w:proofErr w:type="spellStart"/>
            <w:r w:rsidRPr="00A96C53">
              <w:rPr>
                <w:lang w:val="ru-RU" w:bidi="ar-EG"/>
              </w:rPr>
              <w:t>offerings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348F1D4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r w:rsidRPr="00A96C53">
              <w:rPr>
                <w:sz w:val="18"/>
                <w:szCs w:val="18"/>
                <w:rtl/>
                <w:lang w:val="ru-RU" w:bidi="ar-EG"/>
              </w:rPr>
              <w:t>عروض المنتجات والخدمات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0723944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eastAsia="SimSun"/>
                <w:sz w:val="20"/>
                <w:lang w:val="ru-RU"/>
              </w:rPr>
              <w:t>产品和服务提供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0BCB15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rFonts w:cs="Arial"/>
                <w:lang w:val="ru-RU" w:bidi="ar-EG"/>
              </w:rPr>
              <w:t>Offres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A96C53">
              <w:rPr>
                <w:rFonts w:cs="Arial"/>
                <w:lang w:val="ru-RU" w:bidi="ar-EG"/>
              </w:rPr>
              <w:t>produits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et de </w:t>
            </w:r>
            <w:proofErr w:type="spellStart"/>
            <w:r w:rsidRPr="00A96C53">
              <w:rPr>
                <w:rFonts w:cs="Arial"/>
                <w:lang w:val="ru-RU" w:bidi="ar-EG"/>
              </w:rPr>
              <w:t>services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7AB540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/>
              </w:rPr>
            </w:pPr>
            <w:r w:rsidRPr="00A96C53">
              <w:rPr>
                <w:lang w:val="ru-RU"/>
              </w:rPr>
              <w:t>Предлагаемые продукты и услуги</w:t>
            </w:r>
          </w:p>
        </w:tc>
        <w:tc>
          <w:tcPr>
            <w:tcW w:w="1579" w:type="dxa"/>
            <w:shd w:val="clear" w:color="auto" w:fill="auto"/>
          </w:tcPr>
          <w:p w14:paraId="2288432D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rFonts w:cs="Arial"/>
                <w:lang w:val="ru-RU" w:bidi="ar-EG"/>
              </w:rPr>
              <w:t>Ofertas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A96C53">
              <w:rPr>
                <w:rFonts w:cs="Arial"/>
                <w:lang w:val="ru-RU" w:bidi="ar-EG"/>
              </w:rPr>
              <w:t>productos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y </w:t>
            </w:r>
            <w:proofErr w:type="spellStart"/>
            <w:r w:rsidRPr="00A96C53">
              <w:rPr>
                <w:rFonts w:cs="Arial"/>
                <w:lang w:val="ru-RU" w:bidi="ar-EG"/>
              </w:rPr>
              <w:t>servicios</w:t>
            </w:r>
            <w:proofErr w:type="spellEnd"/>
          </w:p>
        </w:tc>
      </w:tr>
      <w:tr w:rsidR="002200B3" w:rsidRPr="00A96C53" w14:paraId="2F076DC2" w14:textId="77777777" w:rsidTr="00090CA2">
        <w:tc>
          <w:tcPr>
            <w:tcW w:w="1555" w:type="dxa"/>
            <w:shd w:val="clear" w:color="auto" w:fill="auto"/>
          </w:tcPr>
          <w:p w14:paraId="08A10AE1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49" w:name="lt_pId148"/>
            <w:proofErr w:type="spellStart"/>
            <w:r w:rsidRPr="00A96C53">
              <w:rPr>
                <w:lang w:val="ru-RU" w:bidi="ar-EG"/>
              </w:rPr>
              <w:t>Results-based</w:t>
            </w:r>
            <w:proofErr w:type="spellEnd"/>
            <w:r w:rsidRPr="00A96C53">
              <w:rPr>
                <w:lang w:val="ru-RU" w:bidi="ar-EG"/>
              </w:rPr>
              <w:t xml:space="preserve"> </w:t>
            </w:r>
            <w:proofErr w:type="spellStart"/>
            <w:r w:rsidRPr="00A96C53">
              <w:rPr>
                <w:lang w:val="ru-RU" w:bidi="ar-EG"/>
              </w:rPr>
              <w:t>budgeting</w:t>
            </w:r>
            <w:bookmarkEnd w:id="49"/>
            <w:proofErr w:type="spellEnd"/>
          </w:p>
        </w:tc>
        <w:tc>
          <w:tcPr>
            <w:tcW w:w="1559" w:type="dxa"/>
            <w:shd w:val="clear" w:color="auto" w:fill="auto"/>
          </w:tcPr>
          <w:p w14:paraId="252B062C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50" w:name="lt_pId149"/>
            <w:proofErr w:type="spellStart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الميزنة</w:t>
            </w:r>
            <w:proofErr w:type="spellEnd"/>
            <w:r w:rsidRPr="00A96C53">
              <w:rPr>
                <w:rFonts w:cs="Traditional Arabic"/>
                <w:sz w:val="20"/>
                <w:rtl/>
                <w:lang w:val="ru-RU" w:bidi="ar-EG"/>
              </w:rPr>
              <w:t xml:space="preserve"> على أساس النتائج</w:t>
            </w:r>
            <w:bookmarkEnd w:id="50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E9894CE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基于结果的预算</w:t>
            </w:r>
            <w:proofErr w:type="spellEnd"/>
            <w:r w:rsidRPr="00A96C53">
              <w:rPr>
                <w:rFonts w:ascii="SimSun" w:eastAsia="SimSun" w:hAnsi="SimSun"/>
                <w:sz w:val="20"/>
                <w:lang w:val="ru-RU"/>
              </w:rPr>
              <w:br/>
            </w: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制定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E91A656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51" w:name="lt_pId151"/>
            <w:proofErr w:type="spellStart"/>
            <w:r w:rsidRPr="00A96C53">
              <w:rPr>
                <w:rFonts w:cs="Arial"/>
                <w:lang w:val="ru-RU" w:bidi="ar-EG"/>
              </w:rPr>
              <w:t>Budgétisation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axée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sur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les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résultats</w:t>
            </w:r>
            <w:bookmarkEnd w:id="51"/>
            <w:proofErr w:type="spellEnd"/>
          </w:p>
        </w:tc>
        <w:tc>
          <w:tcPr>
            <w:tcW w:w="1701" w:type="dxa"/>
            <w:shd w:val="clear" w:color="auto" w:fill="auto"/>
          </w:tcPr>
          <w:p w14:paraId="74A702B0" w14:textId="77777777" w:rsidR="002200B3" w:rsidRPr="00A96C53" w:rsidRDefault="002200B3" w:rsidP="00090CA2">
            <w:pPr>
              <w:pStyle w:val="Tabletext"/>
              <w:spacing w:before="40" w:after="40"/>
              <w:ind w:right="-113"/>
              <w:rPr>
                <w:lang w:val="ru-RU" w:bidi="ar-EG"/>
              </w:rPr>
            </w:pPr>
            <w:bookmarkStart w:id="52" w:name="lt_pId152"/>
            <w:r w:rsidRPr="00A96C53">
              <w:rPr>
                <w:lang w:val="ru-RU" w:bidi="ar-EG"/>
              </w:rPr>
              <w:t>Составление бюджета, ориентированного на результаты</w:t>
            </w:r>
            <w:bookmarkEnd w:id="52"/>
          </w:p>
        </w:tc>
        <w:tc>
          <w:tcPr>
            <w:tcW w:w="1579" w:type="dxa"/>
            <w:shd w:val="clear" w:color="auto" w:fill="auto"/>
          </w:tcPr>
          <w:p w14:paraId="461F04C9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53" w:name="lt_pId153"/>
            <w:proofErr w:type="spellStart"/>
            <w:r w:rsidRPr="00A96C53">
              <w:rPr>
                <w:rFonts w:cs="Arial"/>
                <w:lang w:val="ru-RU" w:bidi="ar-EG"/>
              </w:rPr>
              <w:t>Elaboración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del </w:t>
            </w:r>
            <w:proofErr w:type="spellStart"/>
            <w:r w:rsidRPr="00A96C53">
              <w:rPr>
                <w:rFonts w:cs="Arial"/>
                <w:lang w:val="ru-RU" w:bidi="ar-EG"/>
              </w:rPr>
              <w:t>Presupuesto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basado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en los </w:t>
            </w:r>
            <w:proofErr w:type="spellStart"/>
            <w:r w:rsidRPr="00A96C53">
              <w:rPr>
                <w:rFonts w:cs="Arial"/>
                <w:lang w:val="ru-RU" w:bidi="ar-EG"/>
              </w:rPr>
              <w:t>resultados</w:t>
            </w:r>
            <w:bookmarkEnd w:id="53"/>
            <w:proofErr w:type="spellEnd"/>
          </w:p>
        </w:tc>
      </w:tr>
      <w:tr w:rsidR="002200B3" w:rsidRPr="009C35D0" w14:paraId="2EE5DA46" w14:textId="77777777" w:rsidTr="00090CA2">
        <w:tc>
          <w:tcPr>
            <w:tcW w:w="1555" w:type="dxa"/>
            <w:shd w:val="clear" w:color="auto" w:fill="auto"/>
          </w:tcPr>
          <w:p w14:paraId="4B0A840B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54" w:name="lt_pId154"/>
            <w:proofErr w:type="spellStart"/>
            <w:r w:rsidRPr="00A96C53">
              <w:rPr>
                <w:lang w:val="ru-RU" w:bidi="ar-EG"/>
              </w:rPr>
              <w:t>Results-based</w:t>
            </w:r>
            <w:proofErr w:type="spellEnd"/>
            <w:r w:rsidRPr="00A96C53">
              <w:rPr>
                <w:lang w:val="ru-RU" w:bidi="ar-EG"/>
              </w:rPr>
              <w:t xml:space="preserve"> </w:t>
            </w:r>
            <w:proofErr w:type="spellStart"/>
            <w:r w:rsidRPr="00A96C53">
              <w:rPr>
                <w:lang w:val="ru-RU" w:bidi="ar-EG"/>
              </w:rPr>
              <w:t>management</w:t>
            </w:r>
            <w:bookmarkEnd w:id="54"/>
            <w:proofErr w:type="spellEnd"/>
            <w:r w:rsidRPr="00A96C53">
              <w:rPr>
                <w:lang w:val="ru-RU" w:bidi="ar-E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D78684B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55" w:name="lt_pId155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الإدارة على أساس النتائج</w:t>
            </w:r>
            <w:bookmarkEnd w:id="55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F45FE55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基于结果的管理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B3ACABB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56" w:name="lt_pId157"/>
            <w:proofErr w:type="spellStart"/>
            <w:r w:rsidRPr="00A96C53">
              <w:rPr>
                <w:rFonts w:cs="Arial"/>
                <w:lang w:val="ru-RU" w:bidi="ar-EG"/>
              </w:rPr>
              <w:t>Gestion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axée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sur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les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résultats</w:t>
            </w:r>
            <w:bookmarkEnd w:id="56"/>
            <w:proofErr w:type="spellEnd"/>
          </w:p>
        </w:tc>
        <w:tc>
          <w:tcPr>
            <w:tcW w:w="1701" w:type="dxa"/>
            <w:shd w:val="clear" w:color="auto" w:fill="auto"/>
          </w:tcPr>
          <w:p w14:paraId="19806F8E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57" w:name="lt_pId158"/>
            <w:r w:rsidRPr="00A96C53">
              <w:rPr>
                <w:lang w:val="ru-RU" w:bidi="ar-EG"/>
              </w:rPr>
              <w:t>Управление, ориентированное на результаты</w:t>
            </w:r>
            <w:bookmarkEnd w:id="57"/>
          </w:p>
        </w:tc>
        <w:tc>
          <w:tcPr>
            <w:tcW w:w="1579" w:type="dxa"/>
            <w:shd w:val="clear" w:color="auto" w:fill="auto"/>
          </w:tcPr>
          <w:p w14:paraId="6F446BBB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58" w:name="lt_pId159"/>
            <w:proofErr w:type="spellStart"/>
            <w:r w:rsidRPr="00A96C53">
              <w:rPr>
                <w:rFonts w:cs="Arial"/>
                <w:lang w:val="ru-RU" w:bidi="ar-EG"/>
              </w:rPr>
              <w:t>Gestión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basada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en los </w:t>
            </w:r>
            <w:proofErr w:type="spellStart"/>
            <w:r w:rsidRPr="00A96C53">
              <w:rPr>
                <w:rFonts w:cs="Arial"/>
                <w:lang w:val="ru-RU" w:bidi="ar-EG"/>
              </w:rPr>
              <w:t>resultados</w:t>
            </w:r>
            <w:bookmarkEnd w:id="58"/>
            <w:proofErr w:type="spellEnd"/>
          </w:p>
        </w:tc>
      </w:tr>
      <w:tr w:rsidR="002200B3" w:rsidRPr="00A96C53" w14:paraId="434A54BC" w14:textId="77777777" w:rsidTr="00090CA2">
        <w:tc>
          <w:tcPr>
            <w:tcW w:w="1555" w:type="dxa"/>
            <w:shd w:val="clear" w:color="auto" w:fill="auto"/>
          </w:tcPr>
          <w:p w14:paraId="42F3744A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59" w:name="lt_pId160"/>
            <w:proofErr w:type="spellStart"/>
            <w:r w:rsidRPr="00A96C53">
              <w:rPr>
                <w:lang w:val="ru-RU" w:bidi="ar-EG"/>
              </w:rPr>
              <w:t>Results</w:t>
            </w:r>
            <w:proofErr w:type="spellEnd"/>
            <w:r w:rsidRPr="00A96C53">
              <w:rPr>
                <w:lang w:val="ru-RU" w:bidi="ar-EG"/>
              </w:rPr>
              <w:t xml:space="preserve"> </w:t>
            </w:r>
            <w:proofErr w:type="spellStart"/>
            <w:r w:rsidRPr="00A96C53">
              <w:rPr>
                <w:lang w:val="ru-RU" w:bidi="ar-EG"/>
              </w:rPr>
              <w:t>framework</w:t>
            </w:r>
            <w:bookmarkEnd w:id="59"/>
            <w:proofErr w:type="spellEnd"/>
          </w:p>
        </w:tc>
        <w:tc>
          <w:tcPr>
            <w:tcW w:w="1559" w:type="dxa"/>
            <w:shd w:val="clear" w:color="auto" w:fill="auto"/>
          </w:tcPr>
          <w:p w14:paraId="10C111F4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rtl/>
                <w:lang w:val="ru-RU" w:bidi="ar-EG"/>
              </w:rPr>
            </w:pPr>
            <w:bookmarkStart w:id="60" w:name="lt_pId161"/>
            <w:r w:rsidRPr="00A96C53">
              <w:rPr>
                <w:rFonts w:cs="Traditional Arabic"/>
                <w:sz w:val="20"/>
                <w:rtl/>
                <w:lang w:val="ru-RU" w:bidi="ar-EG"/>
              </w:rPr>
              <w:t>إطار النتائج</w:t>
            </w:r>
            <w:bookmarkEnd w:id="60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9DA73AA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SimSun"/>
                <w:bCs/>
                <w:sz w:val="20"/>
                <w:lang w:val="ru-RU"/>
              </w:rPr>
              <w:t>结果框架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94192D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61" w:name="lt_pId163"/>
            <w:proofErr w:type="spellStart"/>
            <w:r w:rsidRPr="00A96C53">
              <w:rPr>
                <w:rFonts w:cs="Arial"/>
                <w:lang w:val="ru-RU" w:bidi="ar-EG"/>
              </w:rPr>
              <w:t>Cadre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A96C53">
              <w:rPr>
                <w:rFonts w:cs="Arial"/>
                <w:lang w:val="ru-RU" w:bidi="ar-EG"/>
              </w:rPr>
              <w:t>présentation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des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résultats</w:t>
            </w:r>
            <w:bookmarkEnd w:id="61"/>
            <w:proofErr w:type="spellEnd"/>
          </w:p>
        </w:tc>
        <w:tc>
          <w:tcPr>
            <w:tcW w:w="1701" w:type="dxa"/>
            <w:shd w:val="clear" w:color="auto" w:fill="auto"/>
          </w:tcPr>
          <w:p w14:paraId="489693B6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62" w:name="lt_pId164"/>
            <w:r w:rsidRPr="00A96C53">
              <w:rPr>
                <w:rFonts w:cs="Arial"/>
                <w:lang w:val="ru-RU" w:bidi="ar-EG"/>
              </w:rPr>
              <w:t>Структура результатов</w:t>
            </w:r>
            <w:bookmarkEnd w:id="62"/>
          </w:p>
        </w:tc>
        <w:tc>
          <w:tcPr>
            <w:tcW w:w="1579" w:type="dxa"/>
            <w:shd w:val="clear" w:color="auto" w:fill="auto"/>
          </w:tcPr>
          <w:p w14:paraId="53AD8814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63" w:name="lt_pId165"/>
            <w:r w:rsidRPr="00A96C53">
              <w:rPr>
                <w:rFonts w:cs="Arial"/>
                <w:lang w:val="ru-RU" w:bidi="ar-EG"/>
              </w:rPr>
              <w:t xml:space="preserve">Marco de </w:t>
            </w:r>
            <w:proofErr w:type="spellStart"/>
            <w:r w:rsidRPr="00A96C53">
              <w:rPr>
                <w:rFonts w:cs="Arial"/>
                <w:lang w:val="ru-RU" w:bidi="ar-EG"/>
              </w:rPr>
              <w:t>resultados</w:t>
            </w:r>
            <w:bookmarkEnd w:id="63"/>
            <w:proofErr w:type="spellEnd"/>
          </w:p>
        </w:tc>
      </w:tr>
      <w:tr w:rsidR="002200B3" w:rsidRPr="00A96C53" w14:paraId="708BBDA3" w14:textId="77777777" w:rsidTr="00090CA2">
        <w:tc>
          <w:tcPr>
            <w:tcW w:w="1555" w:type="dxa"/>
            <w:shd w:val="clear" w:color="auto" w:fill="auto"/>
          </w:tcPr>
          <w:p w14:paraId="15A1989A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b/>
                <w:lang w:val="ru-RU" w:bidi="ar-EG"/>
              </w:rPr>
            </w:pPr>
            <w:bookmarkStart w:id="64" w:name="lt_pId166"/>
            <w:r w:rsidRPr="00A96C53">
              <w:rPr>
                <w:lang w:val="ru-RU" w:bidi="ar-EG"/>
              </w:rPr>
              <w:t xml:space="preserve">Strategic </w:t>
            </w:r>
            <w:proofErr w:type="spellStart"/>
            <w:r w:rsidRPr="00A96C53">
              <w:rPr>
                <w:lang w:val="ru-RU" w:bidi="ar-EG"/>
              </w:rPr>
              <w:t>goals</w:t>
            </w:r>
            <w:bookmarkEnd w:id="64"/>
            <w:proofErr w:type="spellEnd"/>
          </w:p>
        </w:tc>
        <w:tc>
          <w:tcPr>
            <w:tcW w:w="1559" w:type="dxa"/>
            <w:shd w:val="clear" w:color="auto" w:fill="auto"/>
          </w:tcPr>
          <w:p w14:paraId="7367F96D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65" w:name="lt_pId167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الغايات الاستراتيجية</w:t>
            </w:r>
            <w:bookmarkEnd w:id="65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6D8AE40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总体战略目标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A1BD91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66" w:name="lt_pId169"/>
            <w:proofErr w:type="spellStart"/>
            <w:r w:rsidRPr="00A96C53">
              <w:rPr>
                <w:rFonts w:cs="Arial"/>
                <w:lang w:val="ru-RU" w:bidi="ar-EG"/>
              </w:rPr>
              <w:t>Buts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stratégiques</w:t>
            </w:r>
            <w:bookmarkEnd w:id="66"/>
            <w:proofErr w:type="spellEnd"/>
          </w:p>
        </w:tc>
        <w:tc>
          <w:tcPr>
            <w:tcW w:w="1701" w:type="dxa"/>
            <w:shd w:val="clear" w:color="auto" w:fill="auto"/>
          </w:tcPr>
          <w:p w14:paraId="64F2484D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67" w:name="lt_pId170"/>
            <w:r w:rsidRPr="00A96C53">
              <w:rPr>
                <w:lang w:val="ru-RU" w:bidi="ar-EG"/>
              </w:rPr>
              <w:t>Стратегические цели</w:t>
            </w:r>
            <w:bookmarkEnd w:id="67"/>
          </w:p>
        </w:tc>
        <w:tc>
          <w:tcPr>
            <w:tcW w:w="1579" w:type="dxa"/>
            <w:shd w:val="clear" w:color="auto" w:fill="auto"/>
          </w:tcPr>
          <w:p w14:paraId="3DCCB014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68" w:name="lt_pId171"/>
            <w:proofErr w:type="spellStart"/>
            <w:r w:rsidRPr="00A96C53">
              <w:rPr>
                <w:rFonts w:cs="Arial"/>
                <w:lang w:val="ru-RU" w:bidi="ar-EG"/>
              </w:rPr>
              <w:t>Metas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estratégicas</w:t>
            </w:r>
            <w:bookmarkEnd w:id="68"/>
            <w:proofErr w:type="spellEnd"/>
          </w:p>
        </w:tc>
      </w:tr>
      <w:tr w:rsidR="002200B3" w:rsidRPr="00A96C53" w14:paraId="0504AB1D" w14:textId="77777777" w:rsidTr="00090CA2">
        <w:tc>
          <w:tcPr>
            <w:tcW w:w="1555" w:type="dxa"/>
            <w:shd w:val="clear" w:color="auto" w:fill="auto"/>
          </w:tcPr>
          <w:p w14:paraId="3BF71645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69" w:name="lt_pId172"/>
            <w:r w:rsidRPr="00A96C53">
              <w:rPr>
                <w:lang w:val="ru-RU" w:bidi="ar-EG"/>
              </w:rPr>
              <w:t xml:space="preserve">Strategic </w:t>
            </w:r>
            <w:proofErr w:type="spellStart"/>
            <w:r w:rsidRPr="00A96C53">
              <w:rPr>
                <w:lang w:val="ru-RU" w:bidi="ar-EG"/>
              </w:rPr>
              <w:t>plan</w:t>
            </w:r>
            <w:bookmarkEnd w:id="69"/>
            <w:proofErr w:type="spellEnd"/>
          </w:p>
        </w:tc>
        <w:tc>
          <w:tcPr>
            <w:tcW w:w="1559" w:type="dxa"/>
            <w:shd w:val="clear" w:color="auto" w:fill="auto"/>
          </w:tcPr>
          <w:p w14:paraId="111E18E1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70" w:name="lt_pId173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الخطة الاستراتيجية</w:t>
            </w:r>
            <w:bookmarkEnd w:id="70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AAD31F9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战略规划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630D2C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71" w:name="lt_pId175"/>
            <w:r w:rsidRPr="00A96C53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A96C53">
              <w:rPr>
                <w:rFonts w:cs="Arial"/>
                <w:lang w:val="ru-RU" w:bidi="ar-EG"/>
              </w:rPr>
              <w:t>stratégique</w:t>
            </w:r>
            <w:bookmarkEnd w:id="71"/>
            <w:proofErr w:type="spellEnd"/>
          </w:p>
        </w:tc>
        <w:tc>
          <w:tcPr>
            <w:tcW w:w="1701" w:type="dxa"/>
            <w:shd w:val="clear" w:color="auto" w:fill="auto"/>
          </w:tcPr>
          <w:p w14:paraId="7FFD4A84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72" w:name="lt_pId176"/>
            <w:r w:rsidRPr="00A96C53">
              <w:rPr>
                <w:lang w:val="ru-RU" w:bidi="ar-EG"/>
              </w:rPr>
              <w:t>Стратегический план</w:t>
            </w:r>
            <w:bookmarkEnd w:id="72"/>
          </w:p>
        </w:tc>
        <w:tc>
          <w:tcPr>
            <w:tcW w:w="1579" w:type="dxa"/>
            <w:shd w:val="clear" w:color="auto" w:fill="auto"/>
          </w:tcPr>
          <w:p w14:paraId="33209BC5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73" w:name="lt_pId177"/>
            <w:r w:rsidRPr="00A96C53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A96C53">
              <w:rPr>
                <w:rFonts w:cs="Arial"/>
                <w:lang w:val="ru-RU" w:bidi="ar-EG"/>
              </w:rPr>
              <w:t>Estratégico</w:t>
            </w:r>
            <w:bookmarkEnd w:id="73"/>
            <w:proofErr w:type="spellEnd"/>
          </w:p>
        </w:tc>
      </w:tr>
      <w:tr w:rsidR="002200B3" w:rsidRPr="00A96C53" w14:paraId="2A72DB66" w14:textId="77777777" w:rsidTr="00090CA2">
        <w:tc>
          <w:tcPr>
            <w:tcW w:w="1555" w:type="dxa"/>
            <w:shd w:val="clear" w:color="auto" w:fill="auto"/>
          </w:tcPr>
          <w:p w14:paraId="1F252325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74" w:name="lt_pId178"/>
            <w:r w:rsidRPr="00A96C53">
              <w:rPr>
                <w:lang w:val="ru-RU" w:bidi="ar-EG"/>
              </w:rPr>
              <w:t xml:space="preserve">Strategic </w:t>
            </w:r>
            <w:proofErr w:type="spellStart"/>
            <w:r w:rsidRPr="00A96C53">
              <w:rPr>
                <w:lang w:val="ru-RU" w:bidi="ar-EG"/>
              </w:rPr>
              <w:t>risks</w:t>
            </w:r>
            <w:bookmarkEnd w:id="74"/>
            <w:proofErr w:type="spellEnd"/>
          </w:p>
        </w:tc>
        <w:tc>
          <w:tcPr>
            <w:tcW w:w="1559" w:type="dxa"/>
            <w:shd w:val="clear" w:color="auto" w:fill="auto"/>
          </w:tcPr>
          <w:p w14:paraId="6EC21157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75" w:name="lt_pId179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المخاطر الاستراتيجية</w:t>
            </w:r>
            <w:bookmarkEnd w:id="75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6201AB6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战略风险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8AD855E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76" w:name="lt_pId181"/>
            <w:proofErr w:type="spellStart"/>
            <w:r w:rsidRPr="00A96C53">
              <w:rPr>
                <w:rFonts w:cs="Arial"/>
                <w:lang w:val="ru-RU" w:bidi="ar-EG"/>
              </w:rPr>
              <w:t>Risques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stratégiques</w:t>
            </w:r>
            <w:bookmarkEnd w:id="76"/>
            <w:proofErr w:type="spellEnd"/>
          </w:p>
        </w:tc>
        <w:tc>
          <w:tcPr>
            <w:tcW w:w="1701" w:type="dxa"/>
            <w:shd w:val="clear" w:color="auto" w:fill="auto"/>
          </w:tcPr>
          <w:p w14:paraId="73E24B66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77" w:name="lt_pId182"/>
            <w:r w:rsidRPr="00A96C53">
              <w:rPr>
                <w:lang w:val="ru-RU" w:bidi="ar-EG"/>
              </w:rPr>
              <w:t>Стратегические риски</w:t>
            </w:r>
            <w:bookmarkEnd w:id="77"/>
          </w:p>
        </w:tc>
        <w:tc>
          <w:tcPr>
            <w:tcW w:w="1579" w:type="dxa"/>
            <w:shd w:val="clear" w:color="auto" w:fill="auto"/>
          </w:tcPr>
          <w:p w14:paraId="4B73899B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78" w:name="lt_pId183"/>
            <w:proofErr w:type="spellStart"/>
            <w:r w:rsidRPr="00A96C53">
              <w:rPr>
                <w:rFonts w:cs="Arial"/>
                <w:lang w:val="ru-RU" w:bidi="ar-EG"/>
              </w:rPr>
              <w:t>Riesgos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estratégicos</w:t>
            </w:r>
            <w:bookmarkEnd w:id="78"/>
            <w:proofErr w:type="spellEnd"/>
          </w:p>
        </w:tc>
      </w:tr>
      <w:tr w:rsidR="002200B3" w:rsidRPr="00A96C53" w14:paraId="3B34FB37" w14:textId="77777777" w:rsidTr="00090CA2">
        <w:tc>
          <w:tcPr>
            <w:tcW w:w="1555" w:type="dxa"/>
            <w:shd w:val="clear" w:color="auto" w:fill="auto"/>
          </w:tcPr>
          <w:p w14:paraId="1357949A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79" w:name="lt_pId184"/>
            <w:r w:rsidRPr="00A96C53">
              <w:rPr>
                <w:lang w:val="ru-RU" w:bidi="ar-EG"/>
              </w:rPr>
              <w:t xml:space="preserve">Strategic </w:t>
            </w:r>
            <w:proofErr w:type="spellStart"/>
            <w:r w:rsidRPr="00A96C53">
              <w:rPr>
                <w:lang w:val="ru-RU" w:bidi="ar-EG"/>
              </w:rPr>
              <w:t>risk</w:t>
            </w:r>
            <w:proofErr w:type="spellEnd"/>
            <w:r w:rsidRPr="00A96C53">
              <w:rPr>
                <w:lang w:val="ru-RU" w:bidi="ar-EG"/>
              </w:rPr>
              <w:t xml:space="preserve"> </w:t>
            </w:r>
            <w:proofErr w:type="spellStart"/>
            <w:r w:rsidRPr="00A96C53">
              <w:rPr>
                <w:lang w:val="ru-RU" w:bidi="ar-EG"/>
              </w:rPr>
              <w:t>management</w:t>
            </w:r>
            <w:bookmarkEnd w:id="79"/>
            <w:proofErr w:type="spellEnd"/>
            <w:r w:rsidRPr="00A96C53">
              <w:rPr>
                <w:lang w:val="ru-RU" w:bidi="ar-E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1EC826F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80" w:name="lt_pId185"/>
            <w:r w:rsidRPr="00A96C53">
              <w:rPr>
                <w:rFonts w:cs="Traditional Arabic"/>
                <w:sz w:val="20"/>
                <w:rtl/>
                <w:lang w:val="ru-RU" w:bidi="ar-EG"/>
              </w:rPr>
              <w:t>إدارة المخاطر الاستراتيجية</w:t>
            </w:r>
            <w:bookmarkEnd w:id="80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9548F6E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战略风险管理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C0F1DCB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81" w:name="lt_pId187"/>
            <w:proofErr w:type="spellStart"/>
            <w:r w:rsidRPr="00A96C53">
              <w:rPr>
                <w:rFonts w:cs="Arial"/>
                <w:lang w:val="ru-RU" w:bidi="ar-EG"/>
              </w:rPr>
              <w:t>Gestion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des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risques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stratégiques</w:t>
            </w:r>
            <w:bookmarkEnd w:id="81"/>
            <w:proofErr w:type="spellEnd"/>
          </w:p>
        </w:tc>
        <w:tc>
          <w:tcPr>
            <w:tcW w:w="1701" w:type="dxa"/>
            <w:shd w:val="clear" w:color="auto" w:fill="auto"/>
          </w:tcPr>
          <w:p w14:paraId="3AF6BC61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r w:rsidRPr="00A96C53">
              <w:rPr>
                <w:lang w:val="ru-RU"/>
              </w:rPr>
              <w:t>Управление стратегическими рисками</w:t>
            </w:r>
          </w:p>
        </w:tc>
        <w:tc>
          <w:tcPr>
            <w:tcW w:w="1579" w:type="dxa"/>
            <w:shd w:val="clear" w:color="auto" w:fill="auto"/>
          </w:tcPr>
          <w:p w14:paraId="26A5A198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82" w:name="lt_pId189"/>
            <w:proofErr w:type="spellStart"/>
            <w:r w:rsidRPr="00A96C53">
              <w:rPr>
                <w:rFonts w:cs="Arial"/>
                <w:lang w:val="ru-RU" w:bidi="ar-EG"/>
              </w:rPr>
              <w:t>Gestión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A96C53">
              <w:rPr>
                <w:rFonts w:cs="Arial"/>
                <w:lang w:val="ru-RU" w:bidi="ar-EG"/>
              </w:rPr>
              <w:t>riesgos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estratégicos</w:t>
            </w:r>
            <w:bookmarkEnd w:id="82"/>
            <w:proofErr w:type="spellEnd"/>
          </w:p>
        </w:tc>
      </w:tr>
      <w:tr w:rsidR="002200B3" w:rsidRPr="009C35D0" w14:paraId="222EC66F" w14:textId="77777777" w:rsidTr="00090CA2">
        <w:tc>
          <w:tcPr>
            <w:tcW w:w="1555" w:type="dxa"/>
            <w:shd w:val="clear" w:color="auto" w:fill="auto"/>
          </w:tcPr>
          <w:p w14:paraId="7A965341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proofErr w:type="spellStart"/>
            <w:r w:rsidRPr="00A96C53">
              <w:rPr>
                <w:lang w:val="ru-RU" w:bidi="ar-EG"/>
              </w:rPr>
              <w:t>Strengths</w:t>
            </w:r>
            <w:proofErr w:type="spellEnd"/>
            <w:r w:rsidRPr="00A96C53">
              <w:rPr>
                <w:lang w:val="ru-RU" w:bidi="ar-EG"/>
              </w:rPr>
              <w:t xml:space="preserve">, </w:t>
            </w:r>
            <w:proofErr w:type="spellStart"/>
            <w:r w:rsidRPr="00A96C53">
              <w:rPr>
                <w:lang w:val="ru-RU" w:bidi="ar-EG"/>
              </w:rPr>
              <w:t>Weakness</w:t>
            </w:r>
            <w:proofErr w:type="spellEnd"/>
            <w:r w:rsidRPr="00A96C53">
              <w:rPr>
                <w:lang w:val="ru-RU" w:bidi="ar-EG"/>
              </w:rPr>
              <w:t xml:space="preserve">, </w:t>
            </w:r>
            <w:proofErr w:type="spellStart"/>
            <w:r w:rsidRPr="00A96C53">
              <w:rPr>
                <w:lang w:val="ru-RU" w:bidi="ar-EG"/>
              </w:rPr>
              <w:t>Opportunities</w:t>
            </w:r>
            <w:proofErr w:type="spellEnd"/>
            <w:r w:rsidRPr="00A96C53">
              <w:rPr>
                <w:lang w:val="ru-RU" w:bidi="ar-EG"/>
              </w:rPr>
              <w:t xml:space="preserve"> and </w:t>
            </w:r>
            <w:proofErr w:type="spellStart"/>
            <w:r w:rsidRPr="00A96C53">
              <w:rPr>
                <w:lang w:val="ru-RU" w:bidi="ar-EG"/>
              </w:rPr>
              <w:t>Threats</w:t>
            </w:r>
            <w:proofErr w:type="spellEnd"/>
            <w:r w:rsidRPr="00A96C53">
              <w:rPr>
                <w:lang w:val="ru-RU" w:bidi="ar-EG"/>
              </w:rPr>
              <w:t xml:space="preserve"> (SWOT) </w:t>
            </w:r>
            <w:proofErr w:type="spellStart"/>
            <w:r w:rsidRPr="00A96C53">
              <w:rPr>
                <w:lang w:val="ru-RU" w:bidi="ar-EG"/>
              </w:rPr>
              <w:t>analysis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04E27D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rtl/>
                <w:lang w:val="ru-RU" w:bidi="ar-EG"/>
              </w:rPr>
            </w:pPr>
            <w:r w:rsidRPr="00A96C53">
              <w:rPr>
                <w:sz w:val="20"/>
                <w:rtl/>
                <w:lang w:val="ru-RU" w:bidi="ar-EG"/>
              </w:rPr>
              <w:t xml:space="preserve">تحليل مواطن القوة والضَعْف والفرص والمخاطر </w:t>
            </w:r>
            <w:r w:rsidRPr="00A96C53">
              <w:rPr>
                <w:sz w:val="20"/>
                <w:lang w:val="ru-RU"/>
              </w:rPr>
              <w:t>(SWOT)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A71DB9A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Microsoft YaHei"/>
                <w:sz w:val="20"/>
                <w:lang w:val="ru-RU"/>
              </w:rPr>
            </w:pPr>
            <w:r w:rsidRPr="00A96C53">
              <w:rPr>
                <w:rFonts w:ascii="SimSun" w:eastAsia="SimSun" w:hAnsi="SimSun" w:cs="Microsoft YaHei"/>
                <w:lang w:val="ru-RU" w:eastAsia="zh-CN"/>
              </w:rPr>
              <w:t>优势、劣势、机会与威胁（</w:t>
            </w:r>
            <w:r w:rsidRPr="00A96C53">
              <w:rPr>
                <w:rFonts w:ascii="SimSun" w:eastAsia="SimSun" w:hAnsi="SimSun"/>
                <w:lang w:val="ru-RU" w:eastAsia="zh-CN"/>
              </w:rPr>
              <w:t>SWOT</w:t>
            </w:r>
            <w:r w:rsidRPr="00A96C53">
              <w:rPr>
                <w:rFonts w:ascii="SimSun" w:eastAsia="SimSun" w:hAnsi="SimSun" w:cs="Microsoft YaHei"/>
                <w:lang w:val="ru-RU" w:eastAsia="zh-CN"/>
              </w:rPr>
              <w:t>）分析</w:t>
            </w:r>
          </w:p>
        </w:tc>
        <w:tc>
          <w:tcPr>
            <w:tcW w:w="1559" w:type="dxa"/>
            <w:shd w:val="clear" w:color="auto" w:fill="auto"/>
          </w:tcPr>
          <w:p w14:paraId="7D02AF6F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lang w:val="ru-RU"/>
              </w:rPr>
              <w:t>Analyse</w:t>
            </w:r>
            <w:proofErr w:type="spellEnd"/>
            <w:r w:rsidRPr="00A96C53">
              <w:rPr>
                <w:lang w:val="ru-RU"/>
              </w:rPr>
              <w:t xml:space="preserve"> </w:t>
            </w:r>
            <w:proofErr w:type="spellStart"/>
            <w:r w:rsidRPr="00A96C53">
              <w:rPr>
                <w:lang w:val="ru-RU"/>
              </w:rPr>
              <w:t>des</w:t>
            </w:r>
            <w:proofErr w:type="spellEnd"/>
            <w:r w:rsidRPr="00A96C53">
              <w:rPr>
                <w:lang w:val="ru-RU"/>
              </w:rPr>
              <w:t xml:space="preserve"> </w:t>
            </w:r>
            <w:proofErr w:type="spellStart"/>
            <w:r w:rsidRPr="00A96C53">
              <w:rPr>
                <w:lang w:val="ru-RU"/>
              </w:rPr>
              <w:t>forces</w:t>
            </w:r>
            <w:proofErr w:type="spellEnd"/>
            <w:r w:rsidRPr="00A96C53">
              <w:rPr>
                <w:lang w:val="ru-RU"/>
              </w:rPr>
              <w:t xml:space="preserve">, </w:t>
            </w:r>
            <w:proofErr w:type="spellStart"/>
            <w:r w:rsidRPr="00A96C53">
              <w:rPr>
                <w:lang w:val="ru-RU"/>
              </w:rPr>
              <w:t>faiblesses</w:t>
            </w:r>
            <w:proofErr w:type="spellEnd"/>
            <w:r w:rsidRPr="00A96C53">
              <w:rPr>
                <w:lang w:val="ru-RU"/>
              </w:rPr>
              <w:t xml:space="preserve">, </w:t>
            </w:r>
            <w:proofErr w:type="spellStart"/>
            <w:r w:rsidRPr="00A96C53">
              <w:rPr>
                <w:lang w:val="ru-RU"/>
              </w:rPr>
              <w:t>possibilités</w:t>
            </w:r>
            <w:proofErr w:type="spellEnd"/>
            <w:r w:rsidRPr="00A96C53">
              <w:rPr>
                <w:lang w:val="ru-RU"/>
              </w:rPr>
              <w:t xml:space="preserve"> et </w:t>
            </w:r>
            <w:proofErr w:type="spellStart"/>
            <w:r w:rsidRPr="00A96C53">
              <w:rPr>
                <w:lang w:val="ru-RU"/>
              </w:rPr>
              <w:t>menaces</w:t>
            </w:r>
            <w:proofErr w:type="spellEnd"/>
            <w:r w:rsidRPr="00A96C53">
              <w:rPr>
                <w:lang w:val="ru-RU"/>
              </w:rPr>
              <w:t xml:space="preserve"> (SWOT)</w:t>
            </w:r>
          </w:p>
        </w:tc>
        <w:tc>
          <w:tcPr>
            <w:tcW w:w="1701" w:type="dxa"/>
            <w:shd w:val="clear" w:color="auto" w:fill="auto"/>
          </w:tcPr>
          <w:p w14:paraId="6B112557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/>
              </w:rPr>
            </w:pPr>
            <w:r w:rsidRPr="00A96C53">
              <w:rPr>
                <w:szCs w:val="24"/>
                <w:lang w:val="ru-RU"/>
              </w:rPr>
              <w:t>Анализ сильных и слабых сторон, возможностей и угроз (SWOT)</w:t>
            </w:r>
          </w:p>
        </w:tc>
        <w:tc>
          <w:tcPr>
            <w:tcW w:w="1579" w:type="dxa"/>
            <w:shd w:val="clear" w:color="auto" w:fill="auto"/>
          </w:tcPr>
          <w:p w14:paraId="0BD269BA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lang w:val="ru-RU"/>
              </w:rPr>
              <w:t>Análisis</w:t>
            </w:r>
            <w:proofErr w:type="spellEnd"/>
            <w:r w:rsidRPr="00A96C53">
              <w:rPr>
                <w:lang w:val="ru-RU"/>
              </w:rPr>
              <w:t xml:space="preserve"> de </w:t>
            </w:r>
            <w:proofErr w:type="spellStart"/>
            <w:r w:rsidRPr="00A96C53">
              <w:rPr>
                <w:lang w:val="ru-RU"/>
              </w:rPr>
              <w:t>fortalezas</w:t>
            </w:r>
            <w:proofErr w:type="spellEnd"/>
            <w:r w:rsidRPr="00A96C53">
              <w:rPr>
                <w:lang w:val="ru-RU"/>
              </w:rPr>
              <w:t xml:space="preserve">, </w:t>
            </w:r>
            <w:proofErr w:type="spellStart"/>
            <w:r w:rsidRPr="00A96C53">
              <w:rPr>
                <w:lang w:val="ru-RU"/>
              </w:rPr>
              <w:t>debilidades</w:t>
            </w:r>
            <w:proofErr w:type="spellEnd"/>
            <w:r w:rsidRPr="00A96C53">
              <w:rPr>
                <w:lang w:val="ru-RU"/>
              </w:rPr>
              <w:t xml:space="preserve">, </w:t>
            </w:r>
            <w:proofErr w:type="spellStart"/>
            <w:r w:rsidRPr="00A96C53">
              <w:rPr>
                <w:lang w:val="ru-RU"/>
              </w:rPr>
              <w:t>oportunidades</w:t>
            </w:r>
            <w:proofErr w:type="spellEnd"/>
            <w:r w:rsidRPr="00A96C53">
              <w:rPr>
                <w:lang w:val="ru-RU"/>
              </w:rPr>
              <w:t xml:space="preserve"> y </w:t>
            </w:r>
            <w:proofErr w:type="spellStart"/>
            <w:r w:rsidRPr="00A96C53">
              <w:rPr>
                <w:lang w:val="ru-RU"/>
              </w:rPr>
              <w:t>amenazas</w:t>
            </w:r>
            <w:proofErr w:type="spellEnd"/>
            <w:r w:rsidRPr="00A96C53">
              <w:rPr>
                <w:lang w:val="ru-RU"/>
              </w:rPr>
              <w:t xml:space="preserve"> (SWOT)</w:t>
            </w:r>
          </w:p>
        </w:tc>
      </w:tr>
      <w:tr w:rsidR="002200B3" w:rsidRPr="009C35D0" w:rsidDel="00BA3D2A" w14:paraId="5A3FD332" w14:textId="77777777" w:rsidTr="00090CA2">
        <w:tc>
          <w:tcPr>
            <w:tcW w:w="1555" w:type="dxa"/>
            <w:shd w:val="clear" w:color="auto" w:fill="auto"/>
          </w:tcPr>
          <w:p w14:paraId="777F5D33" w14:textId="77777777" w:rsidR="002200B3" w:rsidRPr="00A96C53" w:rsidDel="00BA3D2A" w:rsidRDefault="002200B3" w:rsidP="00090CA2">
            <w:pPr>
              <w:pStyle w:val="Tabletext"/>
              <w:keepNext/>
              <w:keepLines/>
              <w:spacing w:before="40" w:after="40"/>
              <w:rPr>
                <w:lang w:val="ru-RU" w:bidi="ar-EG"/>
              </w:rPr>
            </w:pPr>
            <w:proofErr w:type="spellStart"/>
            <w:r w:rsidRPr="00A96C53">
              <w:rPr>
                <w:lang w:val="ru-RU" w:bidi="ar-EG"/>
              </w:rPr>
              <w:t>Targets</w:t>
            </w:r>
            <w:proofErr w:type="spellEnd"/>
            <w:r w:rsidRPr="00A96C53">
              <w:rPr>
                <w:lang w:val="ru-RU" w:bidi="ar-EG"/>
              </w:rPr>
              <w:t xml:space="preserve"> and Target Indicators</w:t>
            </w:r>
          </w:p>
        </w:tc>
        <w:tc>
          <w:tcPr>
            <w:tcW w:w="1559" w:type="dxa"/>
            <w:shd w:val="clear" w:color="auto" w:fill="auto"/>
          </w:tcPr>
          <w:p w14:paraId="6C27554D" w14:textId="77777777" w:rsidR="002200B3" w:rsidRPr="00A96C53" w:rsidDel="00BA3D2A" w:rsidRDefault="002200B3" w:rsidP="00090CA2">
            <w:pPr>
              <w:keepNext/>
              <w:keepLines/>
              <w:bidi/>
              <w:spacing w:before="40" w:after="40"/>
              <w:rPr>
                <w:rFonts w:cs="Traditional Arabic"/>
                <w:sz w:val="20"/>
                <w:rtl/>
                <w:lang w:val="ru-RU" w:bidi="ar-EG"/>
              </w:rPr>
            </w:pPr>
            <w:r w:rsidRPr="00A96C53">
              <w:rPr>
                <w:sz w:val="18"/>
                <w:szCs w:val="18"/>
                <w:rtl/>
                <w:lang w:val="ru-RU" w:bidi="ar-EG"/>
              </w:rPr>
              <w:t xml:space="preserve"> المقاصد ومؤشرات المقاصد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C005AD7" w14:textId="77777777" w:rsidR="002200B3" w:rsidRPr="00A96C53" w:rsidDel="00BA3D2A" w:rsidRDefault="002200B3" w:rsidP="00090CA2">
            <w:pPr>
              <w:keepNext/>
              <w:keepLines/>
              <w:spacing w:before="40" w:after="40"/>
              <w:rPr>
                <w:rFonts w:ascii="SimSun" w:eastAsia="SimSun" w:hAnsi="SimSun" w:cs="Microsoft YaHei"/>
                <w:sz w:val="20"/>
                <w:lang w:val="ru-RU"/>
              </w:rPr>
            </w:pPr>
            <w:proofErr w:type="spellStart"/>
            <w:r w:rsidRPr="00A96C53">
              <w:rPr>
                <w:rFonts w:ascii="SimSun" w:eastAsia="SimSun" w:hAnsi="SimSun" w:cs="Arial"/>
                <w:sz w:val="20"/>
                <w:lang w:val="ru-RU" w:bidi="ar-EG"/>
              </w:rPr>
              <w:t>具体目标和具体目标指标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A9CB49" w14:textId="77777777" w:rsidR="002200B3" w:rsidRPr="00A96C53" w:rsidDel="00BA3D2A" w:rsidRDefault="002200B3" w:rsidP="00090CA2">
            <w:pPr>
              <w:pStyle w:val="Tabletext"/>
              <w:keepNext/>
              <w:keepLines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lang w:val="ru-RU"/>
              </w:rPr>
              <w:t>Cibles</w:t>
            </w:r>
            <w:proofErr w:type="spellEnd"/>
            <w:r w:rsidRPr="00A96C53">
              <w:rPr>
                <w:lang w:val="ru-RU"/>
              </w:rPr>
              <w:t xml:space="preserve"> et </w:t>
            </w:r>
            <w:proofErr w:type="spellStart"/>
            <w:r w:rsidRPr="00A96C53">
              <w:rPr>
                <w:lang w:val="ru-RU"/>
              </w:rPr>
              <w:t>indicateurs</w:t>
            </w:r>
            <w:proofErr w:type="spellEnd"/>
            <w:r w:rsidRPr="00A96C53">
              <w:rPr>
                <w:lang w:val="ru-RU"/>
              </w:rPr>
              <w:t xml:space="preserve"> </w:t>
            </w:r>
            <w:proofErr w:type="spellStart"/>
            <w:r w:rsidRPr="00A96C53">
              <w:rPr>
                <w:lang w:val="ru-RU"/>
              </w:rPr>
              <w:t>relatifs</w:t>
            </w:r>
            <w:proofErr w:type="spellEnd"/>
            <w:r w:rsidRPr="00A96C53">
              <w:rPr>
                <w:lang w:val="ru-RU"/>
              </w:rPr>
              <w:t xml:space="preserve"> </w:t>
            </w:r>
            <w:proofErr w:type="spellStart"/>
            <w:r w:rsidRPr="00A96C53">
              <w:rPr>
                <w:lang w:val="ru-RU"/>
              </w:rPr>
              <w:t>aux</w:t>
            </w:r>
            <w:proofErr w:type="spellEnd"/>
            <w:r w:rsidRPr="00A96C53">
              <w:rPr>
                <w:lang w:val="ru-RU"/>
              </w:rPr>
              <w:t xml:space="preserve"> </w:t>
            </w:r>
            <w:proofErr w:type="spellStart"/>
            <w:r w:rsidRPr="00A96C53">
              <w:rPr>
                <w:lang w:val="ru-RU"/>
              </w:rPr>
              <w:t>cibles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E89FEA" w14:textId="77777777" w:rsidR="002200B3" w:rsidRPr="00A96C53" w:rsidDel="00BA3D2A" w:rsidRDefault="002200B3" w:rsidP="00090CA2">
            <w:pPr>
              <w:pStyle w:val="Tabletext"/>
              <w:keepNext/>
              <w:keepLines/>
              <w:spacing w:before="40" w:after="40"/>
              <w:rPr>
                <w:lang w:val="ru-RU" w:bidi="ar-EG"/>
              </w:rPr>
            </w:pPr>
            <w:r w:rsidRPr="00A96C53">
              <w:rPr>
                <w:rFonts w:cs="Segoe UI"/>
                <w:color w:val="000000"/>
                <w:szCs w:val="24"/>
                <w:lang w:val="ru-RU"/>
              </w:rPr>
              <w:t>Целевые показатели и индикаторы целевых показателей</w:t>
            </w:r>
          </w:p>
        </w:tc>
        <w:tc>
          <w:tcPr>
            <w:tcW w:w="1579" w:type="dxa"/>
            <w:shd w:val="clear" w:color="auto" w:fill="auto"/>
          </w:tcPr>
          <w:p w14:paraId="674B992A" w14:textId="77777777" w:rsidR="002200B3" w:rsidRPr="00A96C53" w:rsidDel="00BA3D2A" w:rsidRDefault="002200B3" w:rsidP="00090CA2">
            <w:pPr>
              <w:pStyle w:val="Tabletext"/>
              <w:keepNext/>
              <w:keepLines/>
              <w:spacing w:before="40" w:after="40"/>
              <w:rPr>
                <w:rFonts w:cs="Arial"/>
                <w:lang w:val="ru-RU" w:bidi="ar-EG"/>
              </w:rPr>
            </w:pPr>
            <w:proofErr w:type="spellStart"/>
            <w:r w:rsidRPr="00A96C53">
              <w:rPr>
                <w:rFonts w:cs="Arial"/>
                <w:lang w:val="ru-RU" w:bidi="ar-EG"/>
              </w:rPr>
              <w:t>Finalidades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e </w:t>
            </w:r>
            <w:proofErr w:type="spellStart"/>
            <w:r w:rsidRPr="00A96C53">
              <w:rPr>
                <w:rFonts w:cs="Arial"/>
                <w:lang w:val="ru-RU" w:bidi="ar-EG"/>
              </w:rPr>
              <w:t>indicadores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A96C53">
              <w:rPr>
                <w:rFonts w:cs="Arial"/>
                <w:lang w:val="ru-RU" w:bidi="ar-EG"/>
              </w:rPr>
              <w:t>finalidad</w:t>
            </w:r>
            <w:proofErr w:type="spellEnd"/>
          </w:p>
        </w:tc>
      </w:tr>
      <w:tr w:rsidR="002200B3" w:rsidRPr="00A96C53" w14:paraId="329B71B3" w14:textId="77777777" w:rsidTr="00090CA2">
        <w:tc>
          <w:tcPr>
            <w:tcW w:w="1555" w:type="dxa"/>
            <w:shd w:val="clear" w:color="auto" w:fill="auto"/>
          </w:tcPr>
          <w:p w14:paraId="5D96176E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proofErr w:type="spellStart"/>
            <w:r w:rsidRPr="00A96C53">
              <w:rPr>
                <w:bCs/>
                <w:lang w:val="ru-RU" w:bidi="ar-EG"/>
              </w:rPr>
              <w:t>Thematic</w:t>
            </w:r>
            <w:proofErr w:type="spellEnd"/>
            <w:r w:rsidRPr="00A96C53">
              <w:rPr>
                <w:bCs/>
                <w:lang w:val="ru-RU" w:bidi="ar-EG"/>
              </w:rPr>
              <w:t xml:space="preserve"> </w:t>
            </w:r>
            <w:proofErr w:type="spellStart"/>
            <w:r w:rsidRPr="00A96C53">
              <w:rPr>
                <w:bCs/>
                <w:lang w:val="ru-RU" w:bidi="ar-EG"/>
              </w:rPr>
              <w:t>priorities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0DB0E0" w14:textId="77777777" w:rsidR="002200B3" w:rsidRPr="00A96C53" w:rsidRDefault="002200B3" w:rsidP="00090CA2">
            <w:pPr>
              <w:overflowPunct/>
              <w:autoSpaceDE/>
              <w:autoSpaceDN/>
              <w:bidi/>
              <w:adjustRightInd/>
              <w:spacing w:before="40" w:after="40"/>
              <w:textAlignment w:val="auto"/>
              <w:rPr>
                <w:sz w:val="20"/>
                <w:rtl/>
                <w:lang w:val="ru-RU" w:bidi="ar-EG"/>
              </w:rPr>
            </w:pPr>
            <w:r w:rsidRPr="00A96C53">
              <w:rPr>
                <w:sz w:val="18"/>
                <w:szCs w:val="18"/>
                <w:rtl/>
                <w:lang w:val="ru-RU" w:bidi="ar-EG"/>
              </w:rPr>
              <w:t xml:space="preserve">الأولويات </w:t>
            </w:r>
            <w:proofErr w:type="spellStart"/>
            <w:r w:rsidRPr="00A96C53">
              <w:rPr>
                <w:sz w:val="18"/>
                <w:szCs w:val="18"/>
                <w:rtl/>
                <w:lang w:val="ru-RU" w:bidi="ar-EG"/>
              </w:rPr>
              <w:t>المواضيعية</w:t>
            </w:r>
            <w:proofErr w:type="spellEnd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2475A04" w14:textId="77777777" w:rsidR="002200B3" w:rsidRPr="00A96C53" w:rsidRDefault="002200B3" w:rsidP="00090CA2">
            <w:pPr>
              <w:pStyle w:val="Tabletext"/>
              <w:spacing w:before="40" w:after="40"/>
              <w:rPr>
                <w:rFonts w:ascii="SimSun" w:eastAsia="SimSun" w:hAnsi="SimSun" w:cs="Microsoft YaHei"/>
                <w:lang w:val="ru-RU" w:eastAsia="zh-CN"/>
              </w:rPr>
            </w:pPr>
            <w:proofErr w:type="spellStart"/>
            <w:r w:rsidRPr="00A96C53">
              <w:rPr>
                <w:rFonts w:eastAsia="SimSun"/>
                <w:lang w:val="ru-RU"/>
              </w:rPr>
              <w:t>主题重点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65520B9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/>
              </w:rPr>
            </w:pPr>
            <w:proofErr w:type="spellStart"/>
            <w:r w:rsidRPr="00A96C53">
              <w:rPr>
                <w:rFonts w:cs="Arial"/>
                <w:lang w:val="ru-RU" w:bidi="ar-EG"/>
              </w:rPr>
              <w:t>Priorités</w:t>
            </w:r>
            <w:proofErr w:type="spellEnd"/>
            <w:r w:rsidRPr="00A96C53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A96C53">
              <w:rPr>
                <w:rFonts w:cs="Arial"/>
                <w:lang w:val="ru-RU" w:bidi="ar-EG"/>
              </w:rPr>
              <w:t>thématiques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AD527CE" w14:textId="77777777" w:rsidR="002200B3" w:rsidRPr="00A96C53" w:rsidRDefault="002200B3" w:rsidP="00090CA2">
            <w:pPr>
              <w:pStyle w:val="Tabletext"/>
              <w:spacing w:before="40" w:after="40"/>
              <w:rPr>
                <w:szCs w:val="24"/>
                <w:lang w:val="ru-RU"/>
              </w:rPr>
            </w:pPr>
            <w:r w:rsidRPr="00A96C53">
              <w:rPr>
                <w:szCs w:val="24"/>
                <w:lang w:val="ru-RU"/>
              </w:rPr>
              <w:t>Тематические приоритеты</w:t>
            </w:r>
          </w:p>
        </w:tc>
        <w:tc>
          <w:tcPr>
            <w:tcW w:w="1579" w:type="dxa"/>
            <w:shd w:val="clear" w:color="auto" w:fill="auto"/>
          </w:tcPr>
          <w:p w14:paraId="6E64F86D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/>
              </w:rPr>
            </w:pPr>
            <w:proofErr w:type="spellStart"/>
            <w:r w:rsidRPr="00A96C53">
              <w:rPr>
                <w:lang w:val="ru-RU"/>
              </w:rPr>
              <w:t>Prioridades</w:t>
            </w:r>
            <w:proofErr w:type="spellEnd"/>
            <w:r w:rsidRPr="00A96C53">
              <w:rPr>
                <w:lang w:val="ru-RU"/>
              </w:rPr>
              <w:t xml:space="preserve"> </w:t>
            </w:r>
            <w:proofErr w:type="spellStart"/>
            <w:r w:rsidRPr="00A96C53">
              <w:rPr>
                <w:lang w:val="ru-RU"/>
              </w:rPr>
              <w:t>temáticas</w:t>
            </w:r>
            <w:proofErr w:type="spellEnd"/>
          </w:p>
        </w:tc>
      </w:tr>
      <w:tr w:rsidR="002200B3" w:rsidRPr="00A96C53" w14:paraId="6D565260" w14:textId="77777777" w:rsidTr="00090CA2">
        <w:tc>
          <w:tcPr>
            <w:tcW w:w="1555" w:type="dxa"/>
            <w:shd w:val="clear" w:color="auto" w:fill="auto"/>
          </w:tcPr>
          <w:p w14:paraId="10659C7F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83" w:name="lt_pId197"/>
            <w:proofErr w:type="spellStart"/>
            <w:r w:rsidRPr="00A96C53">
              <w:rPr>
                <w:lang w:val="ru-RU" w:bidi="ar-EG"/>
              </w:rPr>
              <w:t>Values</w:t>
            </w:r>
            <w:bookmarkEnd w:id="83"/>
            <w:proofErr w:type="spellEnd"/>
          </w:p>
        </w:tc>
        <w:tc>
          <w:tcPr>
            <w:tcW w:w="1559" w:type="dxa"/>
            <w:shd w:val="clear" w:color="auto" w:fill="auto"/>
          </w:tcPr>
          <w:p w14:paraId="25317E05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84" w:name="lt_pId198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القيم</w:t>
            </w:r>
            <w:bookmarkEnd w:id="84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6BC3D09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价值观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E7E7D74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85" w:name="lt_pId200"/>
            <w:proofErr w:type="spellStart"/>
            <w:r w:rsidRPr="00A96C53">
              <w:rPr>
                <w:rFonts w:cs="Arial"/>
                <w:lang w:val="ru-RU" w:bidi="ar-EG"/>
              </w:rPr>
              <w:t>Valeurs</w:t>
            </w:r>
            <w:bookmarkEnd w:id="85"/>
            <w:proofErr w:type="spellEnd"/>
          </w:p>
        </w:tc>
        <w:tc>
          <w:tcPr>
            <w:tcW w:w="1701" w:type="dxa"/>
            <w:shd w:val="clear" w:color="auto" w:fill="auto"/>
          </w:tcPr>
          <w:p w14:paraId="459F964B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86" w:name="lt_pId201"/>
            <w:r w:rsidRPr="00A96C53">
              <w:rPr>
                <w:lang w:val="ru-RU" w:bidi="ar-EG"/>
              </w:rPr>
              <w:t>Ценности</w:t>
            </w:r>
            <w:bookmarkEnd w:id="86"/>
          </w:p>
        </w:tc>
        <w:tc>
          <w:tcPr>
            <w:tcW w:w="1579" w:type="dxa"/>
            <w:shd w:val="clear" w:color="auto" w:fill="auto"/>
          </w:tcPr>
          <w:p w14:paraId="16559C35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87" w:name="lt_pId202"/>
            <w:proofErr w:type="spellStart"/>
            <w:r w:rsidRPr="00A96C53">
              <w:rPr>
                <w:rFonts w:cs="Arial"/>
                <w:lang w:val="ru-RU" w:bidi="ar-EG"/>
              </w:rPr>
              <w:t>Valores</w:t>
            </w:r>
            <w:bookmarkEnd w:id="87"/>
            <w:proofErr w:type="spellEnd"/>
          </w:p>
        </w:tc>
      </w:tr>
      <w:tr w:rsidR="002200B3" w:rsidRPr="00A96C53" w14:paraId="270DC7F2" w14:textId="77777777" w:rsidTr="00090CA2">
        <w:tc>
          <w:tcPr>
            <w:tcW w:w="1555" w:type="dxa"/>
            <w:shd w:val="clear" w:color="auto" w:fill="auto"/>
          </w:tcPr>
          <w:p w14:paraId="23A324C3" w14:textId="77777777" w:rsidR="002200B3" w:rsidRPr="00A96C53" w:rsidRDefault="002200B3" w:rsidP="00090CA2">
            <w:pPr>
              <w:pStyle w:val="Tabletext"/>
              <w:spacing w:before="40" w:after="40"/>
              <w:rPr>
                <w:b/>
                <w:lang w:val="ru-RU" w:bidi="ar-EG"/>
              </w:rPr>
            </w:pPr>
            <w:bookmarkStart w:id="88" w:name="lt_pId203"/>
            <w:r w:rsidRPr="00A96C53">
              <w:rPr>
                <w:lang w:val="ru-RU" w:bidi="ar-EG"/>
              </w:rPr>
              <w:t>Vision</w:t>
            </w:r>
            <w:bookmarkEnd w:id="88"/>
          </w:p>
        </w:tc>
        <w:tc>
          <w:tcPr>
            <w:tcW w:w="1559" w:type="dxa"/>
            <w:shd w:val="clear" w:color="auto" w:fill="auto"/>
          </w:tcPr>
          <w:p w14:paraId="44C6184B" w14:textId="77777777" w:rsidR="002200B3" w:rsidRPr="00A96C53" w:rsidRDefault="002200B3" w:rsidP="00090CA2">
            <w:pPr>
              <w:bidi/>
              <w:spacing w:before="40" w:after="40"/>
              <w:rPr>
                <w:rFonts w:cs="Traditional Arabic"/>
                <w:sz w:val="20"/>
                <w:lang w:val="ru-RU" w:bidi="ar-EG"/>
              </w:rPr>
            </w:pPr>
            <w:bookmarkStart w:id="89" w:name="lt_pId204"/>
            <w:r w:rsidRPr="00A96C53">
              <w:rPr>
                <w:rFonts w:cs="Traditional Arabic"/>
                <w:sz w:val="20"/>
                <w:rtl/>
                <w:lang w:val="ru-RU" w:bidi="ar-EG"/>
              </w:rPr>
              <w:t>الرؤية</w:t>
            </w:r>
            <w:bookmarkEnd w:id="89"/>
          </w:p>
        </w:tc>
        <w:tc>
          <w:tcPr>
            <w:tcW w:w="170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E9ECBB6" w14:textId="77777777" w:rsidR="002200B3" w:rsidRPr="00A96C53" w:rsidRDefault="002200B3" w:rsidP="00090CA2">
            <w:pPr>
              <w:spacing w:before="40" w:after="4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A96C53">
              <w:rPr>
                <w:rFonts w:ascii="SimSun" w:eastAsia="SimSun" w:hAnsi="SimSun" w:cs="Microsoft YaHei"/>
                <w:sz w:val="20"/>
                <w:lang w:val="ru-RU"/>
              </w:rPr>
              <w:t>愿景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F9F67C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90" w:name="lt_pId206"/>
            <w:r w:rsidRPr="00A96C53">
              <w:rPr>
                <w:rFonts w:cs="Arial"/>
                <w:lang w:val="ru-RU" w:bidi="ar-EG"/>
              </w:rPr>
              <w:t>Vision</w:t>
            </w:r>
            <w:bookmarkEnd w:id="90"/>
          </w:p>
        </w:tc>
        <w:tc>
          <w:tcPr>
            <w:tcW w:w="1701" w:type="dxa"/>
            <w:shd w:val="clear" w:color="auto" w:fill="auto"/>
          </w:tcPr>
          <w:p w14:paraId="0C71C625" w14:textId="77777777" w:rsidR="002200B3" w:rsidRPr="00A96C53" w:rsidRDefault="002200B3" w:rsidP="00090CA2">
            <w:pPr>
              <w:pStyle w:val="Tabletext"/>
              <w:spacing w:before="40" w:after="40"/>
              <w:rPr>
                <w:lang w:val="ru-RU" w:bidi="ar-EG"/>
              </w:rPr>
            </w:pPr>
            <w:bookmarkStart w:id="91" w:name="lt_pId207"/>
            <w:r w:rsidRPr="00A96C53">
              <w:rPr>
                <w:lang w:val="ru-RU" w:bidi="ar-EG"/>
              </w:rPr>
              <w:t>Концепция</w:t>
            </w:r>
            <w:bookmarkEnd w:id="91"/>
          </w:p>
        </w:tc>
        <w:tc>
          <w:tcPr>
            <w:tcW w:w="1579" w:type="dxa"/>
            <w:shd w:val="clear" w:color="auto" w:fill="auto"/>
          </w:tcPr>
          <w:p w14:paraId="03CB3DC8" w14:textId="77777777" w:rsidR="002200B3" w:rsidRPr="00A96C53" w:rsidRDefault="002200B3" w:rsidP="00090CA2">
            <w:pPr>
              <w:pStyle w:val="Tabletext"/>
              <w:spacing w:before="40" w:after="40"/>
              <w:rPr>
                <w:rFonts w:cs="Arial"/>
                <w:lang w:val="ru-RU" w:bidi="ar-EG"/>
              </w:rPr>
            </w:pPr>
            <w:bookmarkStart w:id="92" w:name="lt_pId208"/>
            <w:proofErr w:type="spellStart"/>
            <w:r w:rsidRPr="00A96C53">
              <w:rPr>
                <w:rFonts w:cs="Arial"/>
                <w:lang w:val="ru-RU" w:bidi="ar-EG"/>
              </w:rPr>
              <w:t>Visión</w:t>
            </w:r>
            <w:bookmarkEnd w:id="92"/>
            <w:proofErr w:type="spellEnd"/>
          </w:p>
        </w:tc>
      </w:tr>
    </w:tbl>
    <w:p w14:paraId="3E729926" w14:textId="6A0BEC83" w:rsidR="002200B3" w:rsidRDefault="002200B3" w:rsidP="002200B3">
      <w:pPr>
        <w:pStyle w:val="Reasons"/>
        <w:rPr>
          <w:lang w:val="ru-RU"/>
        </w:rPr>
      </w:pPr>
    </w:p>
    <w:p w14:paraId="667D3DF2" w14:textId="3B1144BB" w:rsidR="002200B3" w:rsidRPr="002200B3" w:rsidRDefault="002200B3" w:rsidP="002200B3">
      <w:pPr>
        <w:spacing w:before="720"/>
        <w:jc w:val="center"/>
        <w:rPr>
          <w:lang w:val="ru-RU"/>
        </w:rPr>
      </w:pPr>
      <w:r w:rsidRPr="00A96C53">
        <w:rPr>
          <w:lang w:val="ru-RU"/>
        </w:rPr>
        <w:t>______________</w:t>
      </w:r>
    </w:p>
    <w:sectPr w:rsidR="002200B3" w:rsidRPr="002200B3">
      <w:headerReference w:type="default" r:id="rId10"/>
      <w:footerReference w:type="default" r:id="rId11"/>
      <w:footerReference w:type="first" r:id="rId12"/>
      <w:pgSz w:w="11913" w:h="16834" w:code="9"/>
      <w:pgMar w:top="1418" w:right="1134" w:bottom="1134" w:left="1418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8A5C" w14:textId="77777777" w:rsidR="0062155D" w:rsidRDefault="0062155D" w:rsidP="0079159C">
      <w:r>
        <w:separator/>
      </w:r>
    </w:p>
    <w:p w14:paraId="5698C52F" w14:textId="77777777" w:rsidR="0062155D" w:rsidRDefault="0062155D" w:rsidP="0079159C"/>
    <w:p w14:paraId="3DD18D24" w14:textId="77777777" w:rsidR="0062155D" w:rsidRDefault="0062155D" w:rsidP="0079159C"/>
    <w:p w14:paraId="2B207B97" w14:textId="77777777" w:rsidR="0062155D" w:rsidRDefault="0062155D" w:rsidP="0079159C"/>
    <w:p w14:paraId="18321DB5" w14:textId="77777777" w:rsidR="0062155D" w:rsidRDefault="0062155D" w:rsidP="0079159C"/>
    <w:p w14:paraId="55AA7807" w14:textId="77777777" w:rsidR="0062155D" w:rsidRDefault="0062155D" w:rsidP="0079159C"/>
    <w:p w14:paraId="07CB8521" w14:textId="77777777" w:rsidR="0062155D" w:rsidRDefault="0062155D" w:rsidP="0079159C"/>
    <w:p w14:paraId="25BEFBA3" w14:textId="77777777" w:rsidR="0062155D" w:rsidRDefault="0062155D" w:rsidP="0079159C"/>
    <w:p w14:paraId="2AC85BFB" w14:textId="77777777" w:rsidR="0062155D" w:rsidRDefault="0062155D" w:rsidP="0079159C"/>
    <w:p w14:paraId="637D75C3" w14:textId="77777777" w:rsidR="0062155D" w:rsidRDefault="0062155D" w:rsidP="0079159C"/>
    <w:p w14:paraId="5F1BA1EA" w14:textId="77777777" w:rsidR="0062155D" w:rsidRDefault="0062155D" w:rsidP="0079159C"/>
    <w:p w14:paraId="421F7350" w14:textId="77777777" w:rsidR="0062155D" w:rsidRDefault="0062155D" w:rsidP="0079159C"/>
    <w:p w14:paraId="4B978DB7" w14:textId="77777777" w:rsidR="0062155D" w:rsidRDefault="0062155D" w:rsidP="0079159C"/>
    <w:p w14:paraId="10249487" w14:textId="77777777" w:rsidR="0062155D" w:rsidRDefault="0062155D" w:rsidP="0079159C"/>
    <w:p w14:paraId="6662B9DC" w14:textId="77777777" w:rsidR="0062155D" w:rsidRDefault="0062155D" w:rsidP="004B3A6C"/>
    <w:p w14:paraId="74811D50" w14:textId="77777777" w:rsidR="0062155D" w:rsidRDefault="0062155D" w:rsidP="004B3A6C"/>
  </w:endnote>
  <w:endnote w:type="continuationSeparator" w:id="0">
    <w:p w14:paraId="14685426" w14:textId="77777777" w:rsidR="0062155D" w:rsidRDefault="0062155D" w:rsidP="0079159C">
      <w:r>
        <w:continuationSeparator/>
      </w:r>
    </w:p>
    <w:p w14:paraId="0170E251" w14:textId="77777777" w:rsidR="0062155D" w:rsidRDefault="0062155D" w:rsidP="0079159C"/>
    <w:p w14:paraId="62A6ECDB" w14:textId="77777777" w:rsidR="0062155D" w:rsidRDefault="0062155D" w:rsidP="0079159C"/>
    <w:p w14:paraId="38D96693" w14:textId="77777777" w:rsidR="0062155D" w:rsidRDefault="0062155D" w:rsidP="0079159C"/>
    <w:p w14:paraId="0740F29E" w14:textId="77777777" w:rsidR="0062155D" w:rsidRDefault="0062155D" w:rsidP="0079159C"/>
    <w:p w14:paraId="61A84960" w14:textId="77777777" w:rsidR="0062155D" w:rsidRDefault="0062155D" w:rsidP="0079159C"/>
    <w:p w14:paraId="1013C7A3" w14:textId="77777777" w:rsidR="0062155D" w:rsidRDefault="0062155D" w:rsidP="0079159C"/>
    <w:p w14:paraId="61DE70EF" w14:textId="77777777" w:rsidR="0062155D" w:rsidRDefault="0062155D" w:rsidP="0079159C"/>
    <w:p w14:paraId="2D9F6DEC" w14:textId="77777777" w:rsidR="0062155D" w:rsidRDefault="0062155D" w:rsidP="0079159C"/>
    <w:p w14:paraId="5848BC31" w14:textId="77777777" w:rsidR="0062155D" w:rsidRDefault="0062155D" w:rsidP="0079159C"/>
    <w:p w14:paraId="79688C3F" w14:textId="77777777" w:rsidR="0062155D" w:rsidRDefault="0062155D" w:rsidP="0079159C"/>
    <w:p w14:paraId="3AD95508" w14:textId="77777777" w:rsidR="0062155D" w:rsidRDefault="0062155D" w:rsidP="0079159C"/>
    <w:p w14:paraId="3E9FEF65" w14:textId="77777777" w:rsidR="0062155D" w:rsidRDefault="0062155D" w:rsidP="0079159C"/>
    <w:p w14:paraId="18AFC737" w14:textId="77777777" w:rsidR="0062155D" w:rsidRDefault="0062155D" w:rsidP="0079159C"/>
    <w:p w14:paraId="2A7A546F" w14:textId="77777777" w:rsidR="0062155D" w:rsidRDefault="0062155D" w:rsidP="004B3A6C"/>
    <w:p w14:paraId="3205FCCB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311A" w14:textId="77777777" w:rsidR="008F5F4D" w:rsidRPr="002200B3" w:rsidRDefault="002200B3" w:rsidP="008F5F4D">
    <w:pPr>
      <w:pStyle w:val="Footer"/>
      <w:rPr>
        <w:color w:val="F2F2F2" w:themeColor="background1" w:themeShade="F2"/>
      </w:rPr>
    </w:pPr>
    <w:r w:rsidRPr="002200B3">
      <w:rPr>
        <w:color w:val="F2F2F2" w:themeColor="background1" w:themeShade="F2"/>
      </w:rPr>
      <w:fldChar w:fldCharType="begin"/>
    </w:r>
    <w:r w:rsidRPr="002200B3">
      <w:rPr>
        <w:color w:val="F2F2F2" w:themeColor="background1" w:themeShade="F2"/>
      </w:rPr>
      <w:instrText xml:space="preserve"> FILENAME \p  \* MERGEFORMAT </w:instrText>
    </w:r>
    <w:r w:rsidRPr="002200B3">
      <w:rPr>
        <w:color w:val="F2F2F2" w:themeColor="background1" w:themeShade="F2"/>
      </w:rPr>
      <w:fldChar w:fldCharType="separate"/>
    </w:r>
    <w:r w:rsidR="008F5F4D" w:rsidRPr="002200B3">
      <w:rPr>
        <w:color w:val="F2F2F2" w:themeColor="background1" w:themeShade="F2"/>
      </w:rPr>
      <w:t>Q:\TEMPLATE\ITUOffice2007\POOL\DPM templates\PP-22\PP22_R.docx</w:t>
    </w:r>
    <w:r w:rsidRPr="002200B3">
      <w:rPr>
        <w:color w:val="F2F2F2" w:themeColor="background1" w:themeShade="F2"/>
      </w:rPr>
      <w:fldChar w:fldCharType="end"/>
    </w:r>
    <w:r w:rsidR="008F5F4D" w:rsidRPr="002200B3">
      <w:rPr>
        <w:color w:val="F2F2F2" w:themeColor="background1" w:themeShade="F2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C14F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039E9EF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0B12" w14:textId="77777777" w:rsidR="0062155D" w:rsidRDefault="0062155D" w:rsidP="0079159C">
      <w:r>
        <w:t>____________________</w:t>
      </w:r>
    </w:p>
  </w:footnote>
  <w:footnote w:type="continuationSeparator" w:id="0">
    <w:p w14:paraId="101F0675" w14:textId="77777777" w:rsidR="0062155D" w:rsidRDefault="0062155D" w:rsidP="0079159C">
      <w:r>
        <w:continuationSeparator/>
      </w:r>
    </w:p>
    <w:p w14:paraId="114779A5" w14:textId="77777777" w:rsidR="0062155D" w:rsidRDefault="0062155D" w:rsidP="0079159C"/>
    <w:p w14:paraId="7E1258D3" w14:textId="77777777" w:rsidR="0062155D" w:rsidRDefault="0062155D" w:rsidP="0079159C"/>
    <w:p w14:paraId="20E68519" w14:textId="77777777" w:rsidR="0062155D" w:rsidRDefault="0062155D" w:rsidP="0079159C"/>
    <w:p w14:paraId="468CE008" w14:textId="77777777" w:rsidR="0062155D" w:rsidRDefault="0062155D" w:rsidP="0079159C"/>
    <w:p w14:paraId="257B657B" w14:textId="77777777" w:rsidR="0062155D" w:rsidRDefault="0062155D" w:rsidP="0079159C"/>
    <w:p w14:paraId="09F0D99B" w14:textId="77777777" w:rsidR="0062155D" w:rsidRDefault="0062155D" w:rsidP="0079159C"/>
    <w:p w14:paraId="77D8D271" w14:textId="77777777" w:rsidR="0062155D" w:rsidRDefault="0062155D" w:rsidP="0079159C"/>
    <w:p w14:paraId="540E2FA9" w14:textId="77777777" w:rsidR="0062155D" w:rsidRDefault="0062155D" w:rsidP="0079159C"/>
    <w:p w14:paraId="3F4754EA" w14:textId="77777777" w:rsidR="0062155D" w:rsidRDefault="0062155D" w:rsidP="0079159C"/>
    <w:p w14:paraId="2E916BC7" w14:textId="77777777" w:rsidR="0062155D" w:rsidRDefault="0062155D" w:rsidP="0079159C"/>
    <w:p w14:paraId="1BE071CF" w14:textId="77777777" w:rsidR="0062155D" w:rsidRDefault="0062155D" w:rsidP="0079159C"/>
    <w:p w14:paraId="0C7AD4BD" w14:textId="77777777" w:rsidR="0062155D" w:rsidRDefault="0062155D" w:rsidP="0079159C"/>
    <w:p w14:paraId="5F401586" w14:textId="77777777" w:rsidR="0062155D" w:rsidRDefault="0062155D" w:rsidP="0079159C"/>
    <w:p w14:paraId="38869EBB" w14:textId="77777777" w:rsidR="0062155D" w:rsidRDefault="0062155D" w:rsidP="004B3A6C"/>
    <w:p w14:paraId="1F8438BD" w14:textId="77777777" w:rsidR="0062155D" w:rsidRDefault="0062155D" w:rsidP="004B3A6C"/>
  </w:footnote>
  <w:footnote w:id="1">
    <w:p w14:paraId="140031D1" w14:textId="77777777" w:rsidR="002200B3" w:rsidRPr="00131F2E" w:rsidRDefault="002200B3" w:rsidP="002200B3">
      <w:pPr>
        <w:pStyle w:val="FootnoteText"/>
        <w:tabs>
          <w:tab w:val="clear" w:pos="256"/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131F2E">
        <w:rPr>
          <w:lang w:val="ru-RU"/>
        </w:rPr>
        <w:tab/>
      </w:r>
      <w:r w:rsidRPr="005D66D8">
        <w:rPr>
          <w:lang w:val="ru-RU"/>
        </w:rPr>
        <w:t xml:space="preserve">Виды деятельности и намеченные результаты деятельности подробно определяются в процессе оперативного </w:t>
      </w:r>
      <w:r w:rsidRPr="00533FCE">
        <w:rPr>
          <w:lang w:val="ru-RU"/>
        </w:rPr>
        <w:t>планирования</w:t>
      </w:r>
      <w:r w:rsidRPr="005D66D8">
        <w:rPr>
          <w:lang w:val="ru-RU"/>
        </w:rPr>
        <w:t>, таким образом обеспечивается прочная увязка между стратегическим и оперативным планированием.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12C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069FF34D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/39(Add.3)-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200B3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B123E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87BAC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AF3B14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2200B3"/>
    <w:rPr>
      <w:rFonts w:ascii="Calibri" w:hAnsi="Calibri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200B3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8e3b4f0-1310-4aa0-ac0c-5acd9d8f2ac1" targetNamespace="http://schemas.microsoft.com/office/2006/metadata/properties" ma:root="true" ma:fieldsID="d41af5c836d734370eb92e7ee5f83852" ns2:_="" ns3:_="">
    <xsd:import namespace="996b2e75-67fd-4955-a3b0-5ab9934cb50b"/>
    <xsd:import namespace="e8e3b4f0-1310-4aa0-ac0c-5acd9d8f2a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3b4f0-1310-4aa0-ac0c-5acd9d8f2a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8e3b4f0-1310-4aa0-ac0c-5acd9d8f2ac1">DPM</DPM_x0020_Author>
    <DPM_x0020_File_x0020_name xmlns="e8e3b4f0-1310-4aa0-ac0c-5acd9d8f2ac1">S22-PP-C-0039!A3!MSW-R</DPM_x0020_File_x0020_name>
    <DPM_x0020_Version xmlns="e8e3b4f0-1310-4aa0-ac0c-5acd9d8f2ac1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8e3b4f0-1310-4aa0-ac0c-5acd9d8f2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e8e3b4f0-1310-4aa0-ac0c-5acd9d8f2ac1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S22-PP-C-0039!A3!MSW-R</vt:lpstr>
    </vt:vector>
  </TitlesOfParts>
  <Manager/>
  <Company>ITU</Company>
  <LinksUpToDate>false</LinksUpToDate>
  <CharactersWithSpaces>10269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S22-PP-C-0039!A3!MSW-R</dc:title>
  <dc:subject>Plenipotentiary Conference (PP-22)</dc:subject>
  <dc:creator>Documents Proposals Manager (DPM)</dc:creator>
  <cp:keywords>DPM_v2022.6.11.1_prod</cp:keywords>
  <dc:description/>
  <cp:lastModifiedBy>Brouard, Ricarda</cp:lastModifiedBy>
  <cp:revision>2</cp:revision>
  <dcterms:created xsi:type="dcterms:W3CDTF">2022-06-23T13:53:00Z</dcterms:created>
  <dcterms:modified xsi:type="dcterms:W3CDTF">2022-06-23T13:53:00Z</dcterms:modified>
  <cp:category>Conference document</cp:category>
</cp:coreProperties>
</file>