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F05A8A" w14:paraId="4484B0C5" w14:textId="77777777" w:rsidTr="00142C01">
        <w:trPr>
          <w:cantSplit/>
        </w:trPr>
        <w:tc>
          <w:tcPr>
            <w:tcW w:w="6911" w:type="dxa"/>
          </w:tcPr>
          <w:p w14:paraId="706F5501" w14:textId="3E73A757" w:rsidR="00BD1614" w:rsidRPr="00F05A8A" w:rsidRDefault="00BD1614" w:rsidP="002F075E">
            <w:pPr>
              <w:rPr>
                <w:b/>
                <w:bCs/>
                <w:position w:val="6"/>
                <w:szCs w:val="24"/>
              </w:rPr>
            </w:pPr>
            <w:bookmarkStart w:id="0" w:name="dbreak"/>
            <w:bookmarkStart w:id="1" w:name="dpp"/>
            <w:bookmarkEnd w:id="0"/>
            <w:bookmarkEnd w:id="1"/>
            <w:r w:rsidRPr="00F05A8A">
              <w:rPr>
                <w:rFonts w:cs="Times"/>
                <w:b/>
                <w:sz w:val="30"/>
                <w:szCs w:val="30"/>
              </w:rPr>
              <w:t>Conférence de plénipotentiaires</w:t>
            </w:r>
            <w:r w:rsidRPr="00F05A8A">
              <w:rPr>
                <w:b/>
                <w:smallCaps/>
                <w:sz w:val="30"/>
                <w:szCs w:val="30"/>
              </w:rPr>
              <w:t xml:space="preserve"> (PP-</w:t>
            </w:r>
            <w:r w:rsidR="002A7A1D" w:rsidRPr="00F05A8A">
              <w:rPr>
                <w:b/>
                <w:smallCaps/>
                <w:sz w:val="30"/>
                <w:szCs w:val="30"/>
              </w:rPr>
              <w:t>22</w:t>
            </w:r>
            <w:r w:rsidRPr="00F05A8A">
              <w:rPr>
                <w:b/>
                <w:smallCaps/>
                <w:sz w:val="30"/>
                <w:szCs w:val="30"/>
              </w:rPr>
              <w:t>)</w:t>
            </w:r>
            <w:r w:rsidRPr="00F05A8A">
              <w:rPr>
                <w:b/>
                <w:smallCaps/>
                <w:sz w:val="36"/>
              </w:rPr>
              <w:br/>
            </w:r>
            <w:r w:rsidR="002A7A1D" w:rsidRPr="00F05A8A">
              <w:rPr>
                <w:rFonts w:cs="Times New Roman Bold"/>
                <w:b/>
                <w:bCs/>
                <w:szCs w:val="24"/>
              </w:rPr>
              <w:t>Bucarest</w:t>
            </w:r>
            <w:r w:rsidRPr="00F05A8A">
              <w:rPr>
                <w:rFonts w:cs="Times New Roman Bold"/>
                <w:b/>
                <w:bCs/>
                <w:szCs w:val="24"/>
              </w:rPr>
              <w:t>, 2</w:t>
            </w:r>
            <w:r w:rsidR="002A7A1D" w:rsidRPr="00F05A8A">
              <w:rPr>
                <w:rFonts w:cs="Times New Roman Bold"/>
                <w:b/>
                <w:bCs/>
                <w:szCs w:val="24"/>
              </w:rPr>
              <w:t>6</w:t>
            </w:r>
            <w:r w:rsidRPr="00F05A8A">
              <w:rPr>
                <w:rFonts w:cs="Times New Roman Bold"/>
                <w:b/>
                <w:bCs/>
                <w:szCs w:val="24"/>
              </w:rPr>
              <w:t xml:space="preserve"> </w:t>
            </w:r>
            <w:r w:rsidR="002A7A1D" w:rsidRPr="00F05A8A">
              <w:rPr>
                <w:rFonts w:cs="Times New Roman Bold"/>
                <w:b/>
                <w:bCs/>
                <w:szCs w:val="24"/>
              </w:rPr>
              <w:t>septembre</w:t>
            </w:r>
            <w:r w:rsidRPr="00F05A8A">
              <w:rPr>
                <w:rFonts w:cs="Times New Roman Bold"/>
                <w:b/>
                <w:bCs/>
                <w:szCs w:val="24"/>
              </w:rPr>
              <w:t xml:space="preserve"> </w:t>
            </w:r>
            <w:r w:rsidR="001E2226" w:rsidRPr="00F05A8A">
              <w:rPr>
                <w:rFonts w:cs="Times New Roman Bold"/>
                <w:b/>
                <w:bCs/>
                <w:szCs w:val="24"/>
              </w:rPr>
              <w:t>–</w:t>
            </w:r>
            <w:r w:rsidRPr="00F05A8A">
              <w:rPr>
                <w:rFonts w:cs="Times New Roman Bold"/>
                <w:b/>
                <w:bCs/>
                <w:szCs w:val="24"/>
              </w:rPr>
              <w:t xml:space="preserve"> </w:t>
            </w:r>
            <w:r w:rsidR="001E2226" w:rsidRPr="00F05A8A">
              <w:rPr>
                <w:rFonts w:cs="Times New Roman Bold"/>
                <w:b/>
                <w:bCs/>
                <w:szCs w:val="24"/>
              </w:rPr>
              <w:t>1</w:t>
            </w:r>
            <w:r w:rsidR="002A7A1D" w:rsidRPr="00F05A8A">
              <w:rPr>
                <w:rFonts w:cs="Times New Roman Bold"/>
                <w:b/>
                <w:bCs/>
                <w:szCs w:val="24"/>
              </w:rPr>
              <w:t>4</w:t>
            </w:r>
            <w:r w:rsidRPr="00F05A8A">
              <w:rPr>
                <w:rFonts w:cs="Times New Roman Bold"/>
                <w:b/>
                <w:bCs/>
                <w:szCs w:val="24"/>
              </w:rPr>
              <w:t xml:space="preserve"> </w:t>
            </w:r>
            <w:r w:rsidR="002A7A1D" w:rsidRPr="00F05A8A">
              <w:rPr>
                <w:rFonts w:cs="Times New Roman Bold"/>
                <w:b/>
                <w:bCs/>
                <w:szCs w:val="24"/>
              </w:rPr>
              <w:t>octobre</w:t>
            </w:r>
            <w:r w:rsidRPr="00F05A8A">
              <w:rPr>
                <w:rFonts w:cs="Times New Roman Bold"/>
                <w:b/>
                <w:bCs/>
                <w:szCs w:val="24"/>
              </w:rPr>
              <w:t xml:space="preserve"> 20</w:t>
            </w:r>
            <w:r w:rsidR="002A7A1D" w:rsidRPr="00F05A8A">
              <w:rPr>
                <w:rFonts w:cs="Times New Roman Bold"/>
                <w:b/>
                <w:bCs/>
                <w:szCs w:val="24"/>
              </w:rPr>
              <w:t>22</w:t>
            </w:r>
          </w:p>
        </w:tc>
        <w:tc>
          <w:tcPr>
            <w:tcW w:w="3120" w:type="dxa"/>
          </w:tcPr>
          <w:p w14:paraId="7A1CF8E0" w14:textId="6FB7D25A" w:rsidR="00BD1614" w:rsidRPr="00F05A8A" w:rsidRDefault="002A7A1D" w:rsidP="002F075E">
            <w:pPr>
              <w:spacing w:before="0"/>
              <w:rPr>
                <w:rFonts w:cstheme="minorHAnsi"/>
              </w:rPr>
            </w:pPr>
            <w:bookmarkStart w:id="2" w:name="ditulogo"/>
            <w:bookmarkEnd w:id="2"/>
            <w:r w:rsidRPr="00F05A8A">
              <w:rPr>
                <w:lang w:eastAsia="fr-FR"/>
              </w:rPr>
              <w:drawing>
                <wp:inline distT="0" distB="0" distL="0" distR="0" wp14:anchorId="7A0DC28C" wp14:editId="7CED7ECD">
                  <wp:extent cx="681990" cy="719455"/>
                  <wp:effectExtent l="0" t="0" r="381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990" cy="719455"/>
                          </a:xfrm>
                          <a:prstGeom prst="rect">
                            <a:avLst/>
                          </a:prstGeom>
                        </pic:spPr>
                      </pic:pic>
                    </a:graphicData>
                  </a:graphic>
                </wp:inline>
              </w:drawing>
            </w:r>
          </w:p>
        </w:tc>
      </w:tr>
      <w:tr w:rsidR="00BD1614" w:rsidRPr="00F05A8A" w14:paraId="3120A8D9" w14:textId="77777777" w:rsidTr="00142C01">
        <w:trPr>
          <w:cantSplit/>
        </w:trPr>
        <w:tc>
          <w:tcPr>
            <w:tcW w:w="6911" w:type="dxa"/>
            <w:tcBorders>
              <w:bottom w:val="single" w:sz="12" w:space="0" w:color="auto"/>
            </w:tcBorders>
          </w:tcPr>
          <w:p w14:paraId="317E5819" w14:textId="77777777" w:rsidR="00BD1614" w:rsidRPr="00F05A8A" w:rsidRDefault="00BD1614" w:rsidP="002F075E">
            <w:pPr>
              <w:spacing w:before="0" w:after="48"/>
              <w:rPr>
                <w:rFonts w:cstheme="minorHAnsi"/>
                <w:b/>
                <w:smallCaps/>
                <w:szCs w:val="24"/>
              </w:rPr>
            </w:pPr>
            <w:bookmarkStart w:id="3" w:name="dhead"/>
          </w:p>
        </w:tc>
        <w:tc>
          <w:tcPr>
            <w:tcW w:w="3120" w:type="dxa"/>
            <w:tcBorders>
              <w:bottom w:val="single" w:sz="12" w:space="0" w:color="auto"/>
            </w:tcBorders>
          </w:tcPr>
          <w:p w14:paraId="57068B73" w14:textId="77777777" w:rsidR="00BD1614" w:rsidRPr="00F05A8A" w:rsidRDefault="00BD1614" w:rsidP="002F075E">
            <w:pPr>
              <w:spacing w:before="0" w:after="48"/>
              <w:rPr>
                <w:rFonts w:cstheme="minorHAnsi"/>
                <w:b/>
                <w:smallCaps/>
                <w:szCs w:val="24"/>
              </w:rPr>
            </w:pPr>
          </w:p>
        </w:tc>
      </w:tr>
      <w:tr w:rsidR="00BD1614" w:rsidRPr="00F05A8A" w14:paraId="20A2296F" w14:textId="77777777" w:rsidTr="00142C01">
        <w:trPr>
          <w:cantSplit/>
        </w:trPr>
        <w:tc>
          <w:tcPr>
            <w:tcW w:w="6911" w:type="dxa"/>
            <w:tcBorders>
              <w:top w:val="single" w:sz="12" w:space="0" w:color="auto"/>
            </w:tcBorders>
          </w:tcPr>
          <w:p w14:paraId="4CFA6027" w14:textId="77777777" w:rsidR="00BD1614" w:rsidRPr="00F05A8A" w:rsidRDefault="00BD1614" w:rsidP="002F075E">
            <w:pPr>
              <w:spacing w:before="0"/>
              <w:rPr>
                <w:rFonts w:cstheme="minorHAnsi"/>
                <w:b/>
                <w:smallCaps/>
                <w:szCs w:val="24"/>
              </w:rPr>
            </w:pPr>
          </w:p>
        </w:tc>
        <w:tc>
          <w:tcPr>
            <w:tcW w:w="3120" w:type="dxa"/>
            <w:tcBorders>
              <w:top w:val="single" w:sz="12" w:space="0" w:color="auto"/>
            </w:tcBorders>
          </w:tcPr>
          <w:p w14:paraId="3C479168" w14:textId="77777777" w:rsidR="00BD1614" w:rsidRPr="00F05A8A" w:rsidRDefault="00BD1614" w:rsidP="002F075E">
            <w:pPr>
              <w:spacing w:before="0"/>
              <w:rPr>
                <w:rFonts w:cstheme="minorHAnsi"/>
                <w:szCs w:val="24"/>
              </w:rPr>
            </w:pPr>
          </w:p>
        </w:tc>
      </w:tr>
      <w:tr w:rsidR="00BD1614" w:rsidRPr="00F05A8A" w14:paraId="5EBA9561" w14:textId="77777777" w:rsidTr="00142C01">
        <w:trPr>
          <w:cantSplit/>
        </w:trPr>
        <w:tc>
          <w:tcPr>
            <w:tcW w:w="6911" w:type="dxa"/>
          </w:tcPr>
          <w:p w14:paraId="081C5B53" w14:textId="5ADEACCC" w:rsidR="00BD1614" w:rsidRPr="00F05A8A" w:rsidRDefault="00420EF8" w:rsidP="002F075E">
            <w:pPr>
              <w:pStyle w:val="Committee"/>
              <w:framePr w:hSpace="0" w:wrap="auto" w:hAnchor="text" w:yAlign="inline"/>
              <w:spacing w:after="0" w:line="240" w:lineRule="auto"/>
              <w:rPr>
                <w:lang w:val="fr-FR"/>
              </w:rPr>
            </w:pPr>
            <w:r w:rsidRPr="00F05A8A">
              <w:rPr>
                <w:lang w:val="fr-FR"/>
              </w:rPr>
              <w:t>SÉANCE PLÉNIÈRE</w:t>
            </w:r>
          </w:p>
        </w:tc>
        <w:tc>
          <w:tcPr>
            <w:tcW w:w="3120" w:type="dxa"/>
          </w:tcPr>
          <w:p w14:paraId="42E82404" w14:textId="341BAC12" w:rsidR="00BD1614" w:rsidRPr="00F05A8A" w:rsidRDefault="00420EF8" w:rsidP="002F075E">
            <w:pPr>
              <w:spacing w:before="0"/>
              <w:rPr>
                <w:rFonts w:cstheme="minorHAnsi"/>
                <w:szCs w:val="24"/>
              </w:rPr>
            </w:pPr>
            <w:r w:rsidRPr="00F05A8A">
              <w:rPr>
                <w:rFonts w:cstheme="minorHAnsi"/>
                <w:b/>
                <w:szCs w:val="24"/>
              </w:rPr>
              <w:t xml:space="preserve">Document </w:t>
            </w:r>
            <w:r w:rsidR="00D80461" w:rsidRPr="00F05A8A">
              <w:rPr>
                <w:rFonts w:cstheme="minorHAnsi"/>
                <w:b/>
                <w:szCs w:val="24"/>
              </w:rPr>
              <w:t>20</w:t>
            </w:r>
            <w:r w:rsidRPr="00F05A8A">
              <w:rPr>
                <w:rFonts w:cstheme="minorHAnsi"/>
                <w:b/>
                <w:szCs w:val="24"/>
              </w:rPr>
              <w:t>-F</w:t>
            </w:r>
          </w:p>
        </w:tc>
      </w:tr>
      <w:tr w:rsidR="00BD1614" w:rsidRPr="00F05A8A" w14:paraId="5C605E2F" w14:textId="77777777" w:rsidTr="00142C01">
        <w:trPr>
          <w:cantSplit/>
        </w:trPr>
        <w:tc>
          <w:tcPr>
            <w:tcW w:w="6911" w:type="dxa"/>
          </w:tcPr>
          <w:p w14:paraId="3701819B" w14:textId="20A8E30E" w:rsidR="00BD1614" w:rsidRPr="00F05A8A" w:rsidRDefault="00BD1614" w:rsidP="002F075E">
            <w:pPr>
              <w:spacing w:before="0"/>
              <w:rPr>
                <w:rFonts w:cstheme="minorHAnsi"/>
                <w:b/>
                <w:szCs w:val="24"/>
              </w:rPr>
            </w:pPr>
          </w:p>
        </w:tc>
        <w:tc>
          <w:tcPr>
            <w:tcW w:w="3120" w:type="dxa"/>
          </w:tcPr>
          <w:p w14:paraId="4FD5E934" w14:textId="23379DBF" w:rsidR="00BD1614" w:rsidRPr="00F05A8A" w:rsidRDefault="006411AE" w:rsidP="002F075E">
            <w:pPr>
              <w:spacing w:before="0"/>
              <w:rPr>
                <w:rFonts w:cstheme="minorHAnsi"/>
                <w:b/>
                <w:szCs w:val="24"/>
              </w:rPr>
            </w:pPr>
            <w:r w:rsidRPr="00F05A8A">
              <w:rPr>
                <w:rFonts w:cstheme="minorHAnsi"/>
                <w:b/>
                <w:szCs w:val="24"/>
              </w:rPr>
              <w:t>22 juin</w:t>
            </w:r>
            <w:r w:rsidR="00D80461" w:rsidRPr="00F05A8A">
              <w:rPr>
                <w:rFonts w:cstheme="minorHAnsi"/>
                <w:b/>
                <w:szCs w:val="24"/>
              </w:rPr>
              <w:t xml:space="preserve"> 2022</w:t>
            </w:r>
          </w:p>
        </w:tc>
      </w:tr>
      <w:tr w:rsidR="00BD1614" w:rsidRPr="00F05A8A" w14:paraId="6B2B4BC1" w14:textId="77777777" w:rsidTr="00142C01">
        <w:trPr>
          <w:cantSplit/>
        </w:trPr>
        <w:tc>
          <w:tcPr>
            <w:tcW w:w="6911" w:type="dxa"/>
          </w:tcPr>
          <w:p w14:paraId="780A194C" w14:textId="77777777" w:rsidR="00BD1614" w:rsidRPr="00F05A8A" w:rsidRDefault="00BD1614" w:rsidP="002F075E">
            <w:pPr>
              <w:spacing w:before="0"/>
              <w:rPr>
                <w:rFonts w:cstheme="minorHAnsi"/>
                <w:b/>
                <w:smallCaps/>
                <w:szCs w:val="24"/>
              </w:rPr>
            </w:pPr>
          </w:p>
        </w:tc>
        <w:tc>
          <w:tcPr>
            <w:tcW w:w="3120" w:type="dxa"/>
          </w:tcPr>
          <w:p w14:paraId="36796BDA" w14:textId="3D9C6896" w:rsidR="00BD1614" w:rsidRPr="00F05A8A" w:rsidRDefault="00420EF8" w:rsidP="002F075E">
            <w:pPr>
              <w:spacing w:before="0"/>
              <w:rPr>
                <w:rFonts w:cstheme="minorHAnsi"/>
                <w:b/>
                <w:szCs w:val="24"/>
              </w:rPr>
            </w:pPr>
            <w:r w:rsidRPr="00F05A8A">
              <w:rPr>
                <w:rFonts w:cstheme="minorHAnsi"/>
                <w:b/>
                <w:szCs w:val="24"/>
              </w:rPr>
              <w:t>Original: anglais</w:t>
            </w:r>
          </w:p>
        </w:tc>
      </w:tr>
      <w:tr w:rsidR="00BD1614" w:rsidRPr="00F05A8A" w14:paraId="4259B884" w14:textId="77777777" w:rsidTr="00142C01">
        <w:trPr>
          <w:cantSplit/>
        </w:trPr>
        <w:tc>
          <w:tcPr>
            <w:tcW w:w="10031" w:type="dxa"/>
            <w:gridSpan w:val="2"/>
          </w:tcPr>
          <w:p w14:paraId="770628D7" w14:textId="77777777" w:rsidR="00BD1614" w:rsidRPr="00F05A8A" w:rsidRDefault="00BD1614" w:rsidP="002F075E">
            <w:pPr>
              <w:spacing w:before="0"/>
              <w:rPr>
                <w:rFonts w:cstheme="minorHAnsi"/>
                <w:b/>
                <w:szCs w:val="24"/>
              </w:rPr>
            </w:pPr>
          </w:p>
        </w:tc>
      </w:tr>
      <w:tr w:rsidR="00BD1614" w:rsidRPr="00F05A8A" w14:paraId="6A9FB924" w14:textId="77777777" w:rsidTr="00142C01">
        <w:trPr>
          <w:cantSplit/>
        </w:trPr>
        <w:tc>
          <w:tcPr>
            <w:tcW w:w="10031" w:type="dxa"/>
            <w:gridSpan w:val="2"/>
          </w:tcPr>
          <w:p w14:paraId="070875E6" w14:textId="25456E06" w:rsidR="00BD1614" w:rsidRPr="00F05A8A" w:rsidRDefault="00D80461" w:rsidP="002F075E">
            <w:pPr>
              <w:pStyle w:val="Source"/>
            </w:pPr>
            <w:bookmarkStart w:id="4" w:name="dsource" w:colFirst="0" w:colLast="0"/>
            <w:bookmarkEnd w:id="3"/>
            <w:r w:rsidRPr="00F05A8A">
              <w:t>Rapport du Secrétaire général</w:t>
            </w:r>
          </w:p>
        </w:tc>
      </w:tr>
      <w:tr w:rsidR="00BD1614" w:rsidRPr="00F05A8A" w14:paraId="534EEA05" w14:textId="77777777" w:rsidTr="00142C01">
        <w:trPr>
          <w:cantSplit/>
        </w:trPr>
        <w:tc>
          <w:tcPr>
            <w:tcW w:w="10031" w:type="dxa"/>
            <w:gridSpan w:val="2"/>
          </w:tcPr>
          <w:p w14:paraId="0C8E89F3" w14:textId="51ACA4A2" w:rsidR="00BD1614" w:rsidRPr="00F05A8A" w:rsidRDefault="00D80461" w:rsidP="002F075E">
            <w:pPr>
              <w:pStyle w:val="Title1"/>
            </w:pPr>
            <w:bookmarkStart w:id="5" w:name="_Hlk73540246"/>
            <w:bookmarkStart w:id="6" w:name="_Hlk98622390"/>
            <w:bookmarkStart w:id="7" w:name="dtitle1" w:colFirst="0" w:colLast="0"/>
            <w:bookmarkEnd w:id="4"/>
            <w:r w:rsidRPr="00F05A8A">
              <w:t>Rapport sur la mise en œuvre du Plan stratÉgique et</w:t>
            </w:r>
            <w:r w:rsidRPr="00F05A8A">
              <w:br/>
              <w:t xml:space="preserve">les activitÉs de l'union, Avril 2018 – </w:t>
            </w:r>
            <w:bookmarkEnd w:id="5"/>
            <w:r w:rsidRPr="00F05A8A">
              <w:t>JUIN 2022</w:t>
            </w:r>
            <w:bookmarkEnd w:id="6"/>
          </w:p>
        </w:tc>
      </w:tr>
      <w:tr w:rsidR="00BD1614" w:rsidRPr="00F05A8A" w14:paraId="37DA32CE" w14:textId="77777777" w:rsidTr="00142C01">
        <w:trPr>
          <w:cantSplit/>
        </w:trPr>
        <w:tc>
          <w:tcPr>
            <w:tcW w:w="10031" w:type="dxa"/>
            <w:gridSpan w:val="2"/>
          </w:tcPr>
          <w:p w14:paraId="1574AB3E" w14:textId="4E6A7AD4" w:rsidR="00BD1614" w:rsidRPr="00F05A8A" w:rsidRDefault="00BD1614" w:rsidP="002F075E">
            <w:pPr>
              <w:pStyle w:val="Title2"/>
            </w:pPr>
            <w:bookmarkStart w:id="8" w:name="dtitle2" w:colFirst="0" w:colLast="0"/>
            <w:bookmarkEnd w:id="7"/>
          </w:p>
        </w:tc>
      </w:tr>
      <w:tr w:rsidR="00BD1614" w:rsidRPr="00F05A8A" w14:paraId="3488B00F" w14:textId="77777777" w:rsidTr="00142C01">
        <w:trPr>
          <w:cantSplit/>
        </w:trPr>
        <w:tc>
          <w:tcPr>
            <w:tcW w:w="10031" w:type="dxa"/>
            <w:gridSpan w:val="2"/>
          </w:tcPr>
          <w:p w14:paraId="48DBD50A" w14:textId="2612F372" w:rsidR="00BD1614" w:rsidRPr="00F05A8A" w:rsidRDefault="00BD1614" w:rsidP="002F075E">
            <w:pPr>
              <w:pStyle w:val="Agendaitem"/>
              <w:rPr>
                <w:lang w:val="fr-FR"/>
              </w:rPr>
            </w:pPr>
            <w:bookmarkStart w:id="9" w:name="dtitle3" w:colFirst="0" w:colLast="0"/>
            <w:bookmarkEnd w:id="8"/>
          </w:p>
        </w:tc>
      </w:tr>
      <w:bookmarkEnd w:id="9"/>
    </w:tbl>
    <w:p w14:paraId="7D183322" w14:textId="77777777" w:rsidR="00D80461" w:rsidRPr="00F05A8A" w:rsidRDefault="00D80461" w:rsidP="002F075E"/>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D80461" w:rsidRPr="00F05A8A" w14:paraId="727C6B82" w14:textId="77777777" w:rsidTr="00142C01">
        <w:trPr>
          <w:trHeight w:val="3372"/>
        </w:trPr>
        <w:tc>
          <w:tcPr>
            <w:tcW w:w="8080" w:type="dxa"/>
            <w:tcBorders>
              <w:top w:val="single" w:sz="12" w:space="0" w:color="auto"/>
              <w:left w:val="single" w:sz="12" w:space="0" w:color="auto"/>
              <w:bottom w:val="single" w:sz="12" w:space="0" w:color="auto"/>
              <w:right w:val="single" w:sz="12" w:space="0" w:color="auto"/>
            </w:tcBorders>
          </w:tcPr>
          <w:p w14:paraId="246E9956" w14:textId="77777777" w:rsidR="00D80461" w:rsidRPr="00F05A8A" w:rsidRDefault="00D80461" w:rsidP="002F075E">
            <w:pPr>
              <w:rPr>
                <w:b/>
                <w:bCs/>
              </w:rPr>
            </w:pPr>
            <w:bookmarkStart w:id="10" w:name="_Toc95387452"/>
            <w:r w:rsidRPr="00F05A8A">
              <w:rPr>
                <w:b/>
                <w:bCs/>
              </w:rPr>
              <w:t>Résumé</w:t>
            </w:r>
            <w:bookmarkEnd w:id="10"/>
          </w:p>
          <w:p w14:paraId="2C995471" w14:textId="71C5E359" w:rsidR="00D80461" w:rsidRPr="00F05A8A" w:rsidRDefault="00D80461" w:rsidP="002F075E">
            <w:r w:rsidRPr="00F05A8A">
              <w:t xml:space="preserve">Le présent rapport porte sur les activités menées par l'UIT durant la période allant d'avril 2018 à </w:t>
            </w:r>
            <w:r w:rsidR="004C5B6B" w:rsidRPr="00F05A8A">
              <w:t>juin</w:t>
            </w:r>
            <w:r w:rsidRPr="00F05A8A">
              <w:t xml:space="preserve"> 2022. Il fait le point </w:t>
            </w:r>
            <w:r w:rsidR="004C0D33" w:rsidRPr="00F05A8A">
              <w:t>sur les</w:t>
            </w:r>
            <w:r w:rsidR="00CF5980" w:rsidRPr="00F05A8A">
              <w:t xml:space="preserve"> </w:t>
            </w:r>
            <w:r w:rsidRPr="00F05A8A">
              <w:t xml:space="preserve">buts stratégiques et </w:t>
            </w:r>
            <w:r w:rsidR="004C0D33" w:rsidRPr="00F05A8A">
              <w:t>les</w:t>
            </w:r>
            <w:r w:rsidR="00CF5980" w:rsidRPr="00F05A8A">
              <w:t xml:space="preserve"> </w:t>
            </w:r>
            <w:r w:rsidRPr="00F05A8A">
              <w:t xml:space="preserve">cibles définis pour l'ensemble de l'UIT, et </w:t>
            </w:r>
            <w:r w:rsidR="004C0D33" w:rsidRPr="00F05A8A">
              <w:t>les</w:t>
            </w:r>
            <w:r w:rsidR="00CF5980" w:rsidRPr="00F05A8A">
              <w:t xml:space="preserve"> </w:t>
            </w:r>
            <w:r w:rsidRPr="00F05A8A">
              <w:t xml:space="preserve">objectifs sectoriels et intersectoriels. Il réunit en un seul document le </w:t>
            </w:r>
            <w:r w:rsidR="004C0D33" w:rsidRPr="00F05A8A">
              <w:t xml:space="preserve">rapport </w:t>
            </w:r>
            <w:r w:rsidRPr="00F05A8A">
              <w:t xml:space="preserve">annuel sur l'activité de l'Union (conformément au numéro 102 de la Convention) et le </w:t>
            </w:r>
            <w:r w:rsidR="004C0D33" w:rsidRPr="00F05A8A">
              <w:t xml:space="preserve">rapport </w:t>
            </w:r>
            <w:r w:rsidRPr="00F05A8A">
              <w:t>sur la mise en œuvre du Plan stratégique (conformément au numéro 61 de la Convention et à la Résolution 71 (Rév. Dubaï, 2018) de la Conférence de plénipotentiaires).</w:t>
            </w:r>
            <w:r w:rsidR="001674A2" w:rsidRPr="00F05A8A">
              <w:t xml:space="preserve"> </w:t>
            </w:r>
            <w:r w:rsidRPr="00F05A8A">
              <w:t>De nombreux efforts ont été déployés afin de faire figurer dans ce document toutes les activités pertinentes, en suivant une approche axée sur les résultats et les thèmes, et fondée sur des données factuelles, ainsi que les résultats analytiques illustrant l'ensemble des progrès accomplis dans la réalisation des cibles du Programme Connect 2030, et des informations détaillées sur les indicateurs approuvés par les membres dans les plans opérationnels des trois Secteurs et du Secrétariat général.</w:t>
            </w:r>
            <w:r w:rsidR="006411AE" w:rsidRPr="00F05A8A">
              <w:t xml:space="preserve"> Conformément à la demande formulée par le Conseil à sa session de mars 2022, le présent rapport a été établi dans sa version </w:t>
            </w:r>
            <w:r w:rsidR="0017465A" w:rsidRPr="00F05A8A">
              <w:t>finale</w:t>
            </w:r>
            <w:r w:rsidR="006411AE" w:rsidRPr="00F05A8A">
              <w:t xml:space="preserve"> sous la supervision du Président du Conseil, assisté par le Secrétariat du Conseil. </w:t>
            </w:r>
          </w:p>
          <w:p w14:paraId="1149488C" w14:textId="77777777" w:rsidR="00D80461" w:rsidRPr="00F05A8A" w:rsidRDefault="00D80461" w:rsidP="002F075E">
            <w:pPr>
              <w:rPr>
                <w:b/>
                <w:bCs/>
              </w:rPr>
            </w:pPr>
            <w:bookmarkStart w:id="11" w:name="_Toc95387453"/>
            <w:r w:rsidRPr="00F05A8A">
              <w:rPr>
                <w:b/>
                <w:bCs/>
              </w:rPr>
              <w:t>Suite à donner</w:t>
            </w:r>
            <w:bookmarkEnd w:id="11"/>
          </w:p>
          <w:p w14:paraId="4370E000" w14:textId="48832D9E" w:rsidR="00D80461" w:rsidRPr="00F05A8A" w:rsidRDefault="00AB16D3" w:rsidP="002F075E">
            <w:r w:rsidRPr="00F05A8A">
              <w:t>La Conférence de plénipotentiaires</w:t>
            </w:r>
            <w:r w:rsidR="00D80461" w:rsidRPr="00F05A8A">
              <w:t xml:space="preserve"> est invité</w:t>
            </w:r>
            <w:r w:rsidRPr="00F05A8A">
              <w:t>e</w:t>
            </w:r>
            <w:r w:rsidR="00D80461" w:rsidRPr="00F05A8A">
              <w:t xml:space="preserve"> à </w:t>
            </w:r>
            <w:r w:rsidR="00D80461" w:rsidRPr="00F05A8A">
              <w:rPr>
                <w:b/>
                <w:bCs/>
              </w:rPr>
              <w:t>approuver</w:t>
            </w:r>
            <w:r w:rsidR="00D80461" w:rsidRPr="00F05A8A">
              <w:t xml:space="preserve"> le rapport.</w:t>
            </w:r>
          </w:p>
          <w:p w14:paraId="5C4E423B" w14:textId="77777777" w:rsidR="00D80461" w:rsidRPr="00F05A8A" w:rsidRDefault="00D80461" w:rsidP="002F075E">
            <w:pPr>
              <w:pStyle w:val="Table"/>
              <w:keepNext w:val="0"/>
              <w:spacing w:before="0" w:after="0"/>
              <w:rPr>
                <w:rFonts w:ascii="Calibri" w:hAnsi="Calibri"/>
                <w:caps w:val="0"/>
                <w:sz w:val="22"/>
                <w:lang w:val="fr-FR"/>
              </w:rPr>
            </w:pPr>
            <w:r w:rsidRPr="00F05A8A">
              <w:rPr>
                <w:rFonts w:ascii="Calibri" w:hAnsi="Calibri"/>
                <w:caps w:val="0"/>
                <w:sz w:val="22"/>
                <w:lang w:val="fr-FR"/>
              </w:rPr>
              <w:t>____________</w:t>
            </w:r>
          </w:p>
          <w:p w14:paraId="414FB04B" w14:textId="77777777" w:rsidR="00D80461" w:rsidRPr="00F05A8A" w:rsidRDefault="00D80461" w:rsidP="002F075E">
            <w:pPr>
              <w:rPr>
                <w:b/>
                <w:bCs/>
              </w:rPr>
            </w:pPr>
            <w:bookmarkStart w:id="12" w:name="_Toc95387454"/>
            <w:r w:rsidRPr="00F05A8A">
              <w:rPr>
                <w:b/>
                <w:bCs/>
              </w:rPr>
              <w:t>Références</w:t>
            </w:r>
            <w:bookmarkEnd w:id="12"/>
          </w:p>
          <w:p w14:paraId="292B0570" w14:textId="77777777" w:rsidR="00D80461" w:rsidRPr="00F05A8A" w:rsidRDefault="00D80461" w:rsidP="002F075E">
            <w:pPr>
              <w:spacing w:after="120"/>
              <w:rPr>
                <w:i/>
                <w:iCs/>
              </w:rPr>
            </w:pPr>
            <w:r w:rsidRPr="00F05A8A">
              <w:rPr>
                <w:i/>
                <w:iCs/>
              </w:rPr>
              <w:t xml:space="preserve">Résolutions </w:t>
            </w:r>
            <w:hyperlink r:id="rId10" w:history="1">
              <w:r w:rsidRPr="00F05A8A">
                <w:rPr>
                  <w:rStyle w:val="Hyperlink"/>
                  <w:i/>
                  <w:iCs/>
                </w:rPr>
                <w:t>71</w:t>
              </w:r>
            </w:hyperlink>
            <w:r w:rsidRPr="00F05A8A">
              <w:rPr>
                <w:i/>
                <w:iCs/>
              </w:rPr>
              <w:t xml:space="preserve">, </w:t>
            </w:r>
            <w:hyperlink r:id="rId11" w:history="1">
              <w:r w:rsidRPr="00F05A8A">
                <w:rPr>
                  <w:rStyle w:val="Hyperlink"/>
                  <w:i/>
                  <w:iCs/>
                </w:rPr>
                <w:t>151</w:t>
              </w:r>
            </w:hyperlink>
            <w:r w:rsidRPr="00F05A8A">
              <w:rPr>
                <w:i/>
                <w:iCs/>
              </w:rPr>
              <w:t xml:space="preserve"> et </w:t>
            </w:r>
            <w:hyperlink r:id="rId12" w:history="1">
              <w:r w:rsidRPr="00F05A8A">
                <w:rPr>
                  <w:rStyle w:val="Hyperlink"/>
                  <w:i/>
                  <w:iCs/>
                </w:rPr>
                <w:t>200</w:t>
              </w:r>
            </w:hyperlink>
            <w:r w:rsidRPr="00F05A8A">
              <w:rPr>
                <w:i/>
                <w:iCs/>
              </w:rPr>
              <w:t xml:space="preserve"> de la Conférence de plénipotentiaires; numéros 61 et 102 de la Convention</w:t>
            </w:r>
          </w:p>
        </w:tc>
      </w:tr>
    </w:tbl>
    <w:p w14:paraId="2A35418E" w14:textId="77777777" w:rsidR="00D80461" w:rsidRPr="00F05A8A" w:rsidRDefault="00D80461" w:rsidP="002F075E">
      <w:pPr>
        <w:sectPr w:rsidR="00D80461" w:rsidRPr="00F05A8A" w:rsidSect="0075560B">
          <w:headerReference w:type="default" r:id="rId13"/>
          <w:footerReference w:type="default" r:id="rId14"/>
          <w:footerReference w:type="first" r:id="rId15"/>
          <w:type w:val="continuous"/>
          <w:pgSz w:w="11906" w:h="16838"/>
          <w:pgMar w:top="1440" w:right="1440" w:bottom="1440" w:left="1440" w:header="708" w:footer="708" w:gutter="0"/>
          <w:cols w:space="708"/>
          <w:titlePg/>
          <w:docGrid w:linePitch="360"/>
        </w:sectPr>
      </w:pPr>
    </w:p>
    <w:p w14:paraId="5820AAA5" w14:textId="3B718ECB" w:rsidR="00D80461" w:rsidRPr="00F05A8A" w:rsidRDefault="00D80461" w:rsidP="002F075E">
      <w:pPr>
        <w:pStyle w:val="Title4"/>
        <w:rPr>
          <w:sz w:val="24"/>
          <w:szCs w:val="24"/>
        </w:rPr>
      </w:pPr>
      <w:r w:rsidRPr="00F05A8A">
        <w:rPr>
          <w:sz w:val="24"/>
          <w:szCs w:val="24"/>
        </w:rPr>
        <w:lastRenderedPageBreak/>
        <w:t xml:space="preserve">Avant-propos du </w:t>
      </w:r>
      <w:r w:rsidR="004C0D33" w:rsidRPr="00F05A8A">
        <w:rPr>
          <w:sz w:val="24"/>
          <w:szCs w:val="24"/>
        </w:rPr>
        <w:t xml:space="preserve">rapport </w:t>
      </w:r>
      <w:r w:rsidRPr="00F05A8A">
        <w:rPr>
          <w:sz w:val="24"/>
          <w:szCs w:val="24"/>
        </w:rPr>
        <w:t>sur la mise en œuvre du Plan stratégique</w:t>
      </w:r>
      <w:r w:rsidRPr="00F05A8A">
        <w:rPr>
          <w:sz w:val="24"/>
          <w:szCs w:val="24"/>
        </w:rPr>
        <w:br/>
        <w:t>et les activités de l'Union</w:t>
      </w:r>
    </w:p>
    <w:p w14:paraId="783F4F69" w14:textId="1BE8009D" w:rsidR="00D80461" w:rsidRPr="00F05A8A" w:rsidRDefault="00D80461" w:rsidP="002F075E">
      <w:pPr>
        <w:pStyle w:val="Title4"/>
        <w:spacing w:before="120"/>
        <w:rPr>
          <w:sz w:val="24"/>
          <w:szCs w:val="24"/>
        </w:rPr>
      </w:pPr>
      <w:r w:rsidRPr="00F05A8A">
        <w:rPr>
          <w:sz w:val="24"/>
          <w:szCs w:val="24"/>
        </w:rPr>
        <w:t xml:space="preserve">Avril 2018 – </w:t>
      </w:r>
      <w:r w:rsidR="004C5B6B" w:rsidRPr="00F05A8A">
        <w:rPr>
          <w:sz w:val="24"/>
          <w:szCs w:val="24"/>
        </w:rPr>
        <w:t>Juin</w:t>
      </w:r>
      <w:r w:rsidRPr="00F05A8A">
        <w:rPr>
          <w:sz w:val="24"/>
          <w:szCs w:val="24"/>
        </w:rPr>
        <w:t xml:space="preserve"> 2022</w:t>
      </w:r>
    </w:p>
    <w:p w14:paraId="2FD65652" w14:textId="77777777" w:rsidR="00D80461" w:rsidRPr="00F05A8A" w:rsidRDefault="00D80461" w:rsidP="002F075E">
      <w:pPr>
        <w:spacing w:before="360"/>
      </w:pPr>
      <w:r w:rsidRPr="00F05A8A">
        <w:t>Chers membres de la famille de l'UIT,</w:t>
      </w:r>
    </w:p>
    <w:p w14:paraId="4CBA6646" w14:textId="77777777" w:rsidR="00D80461" w:rsidRPr="00F05A8A" w:rsidRDefault="00D80461" w:rsidP="002F075E">
      <w:pPr>
        <w:snapToGrid w:val="0"/>
        <w:spacing w:after="120"/>
        <w:rPr>
          <w:rFonts w:asciiTheme="minorHAnsi" w:hAnsiTheme="minorHAnsi" w:cstheme="minorHAnsi"/>
          <w:sz w:val="22"/>
        </w:rPr>
      </w:pPr>
      <w:r w:rsidRPr="00F05A8A">
        <w:t>Alors que la pandémie de COVID-19 continue de mettre en danger nos vies et les économies mondiales, nous sommes heureux de constater que les technologies de l'information et de la communication (TIC) jouent un rôle crucial pour aider le monde à relever "le plus grand défi qui se présente à nous depuis la création de l'ONU", selon les termes du Secrétaire général de l'ONU</w:t>
      </w:r>
      <w:r w:rsidRPr="00F05A8A">
        <w:rPr>
          <w:rFonts w:asciiTheme="minorHAnsi" w:hAnsiTheme="minorHAnsi" w:cstheme="minorHAnsi"/>
        </w:rPr>
        <w:t>.</w:t>
      </w:r>
    </w:p>
    <w:p w14:paraId="25F26725"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Les TIC ont contribué à poursuivre les activités essentielles de la vie quotidienne; en effet, nous avons pu continuer à utiliser les services de l'administration publique, à travailler, à mener des activités commerciales, à étudier, à nous soigner et à faire bien d'autres choses encore pendant la pandémie. En sa qualité d'institution spécialisée des Nations Unies pour les TIC, l'Union internationale des télécommunications (UIT) s'est montrée à la hauteur.</w:t>
      </w:r>
    </w:p>
    <w:p w14:paraId="5F6BB681"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L'UIT a continué de mener à bien ses activités avec efficacité au cours de cette période difficile. Elle a notamment poursuivi le développement des réseaux mobiles de cinquième génération (5G) et aidé les pays à renforcer leurs capacités en matière de cybersécurité. L'UIT a également mobilisé ses membres venant du secteur public et du secteur privé du monde entier et ses partenaires au sein ou en dehors du système des Nations Unies dans le cadre d'initiatives importantes, telles que la Plate-forme mondiale pour la résilience des réseaux (REG4COVID), la Coalition "Partner2Connect" pour le numérique et l'initiative "Connect2Recover".</w:t>
      </w:r>
    </w:p>
    <w:p w14:paraId="42455851"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Le présent rapport met en avant l'ampleur considérable et le caractère très poussé des travaux menés par l'UIT ces quatre dernières années. Pris dans leur ensemble, ils représentent une contribution majeure permettant de progresser sur la voie de la réalisation du double objectif, complexe mais essentiel, qui consiste à connecter ceux qui ne le sont pas encore et à favoriser le développement de technologies nouvelles et émergentes très importantes pour l'économie numérique et l'avenir numérique du monde.</w:t>
      </w:r>
    </w:p>
    <w:p w14:paraId="7959F304"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L'UIT a œuvré sur la scène internationale dans des domaines aussi divers que les villes intelligentes, l'inclusion numérique et la lutte contre le COVID-19, afin de réaliser des avancées concrètes pour mettre à profit la puissance des TIC. Ces avancées se sont accompagnées d'une forte progression mondiale de l'utilisation de l'Internet, puisqu'on estime que le nombre d'internautes a atteint les 4,9 milliards en 2021.</w:t>
      </w:r>
    </w:p>
    <w:p w14:paraId="0ACCC742"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Cependant, 2,9 milliards de personnes ne sont toujours pas connectées dans le monde, la plupart d'entre elles vivant en milieu rural. Ces nouvelles données de l'UIT montrent clairement que la capacité à se connecter demeure marquée par de profondes inégalités dans les pays et d'un pays à l'autre.</w:t>
      </w:r>
    </w:p>
    <w:p w14:paraId="6D04EA8B"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Depuis le début de la pandémie, j'appelle les responsables publics et les dirigeants du secteur privé du monde entier à mieux utiliser les ressources limitées dont nous disposons. Il n'a jamais été aussi opportun, aussi essentiel, d'encourager les investissements dans le développement des TIC, notamment pour renforcer l'infrastructure des TIC et surmonter les obstacles sur le plan de la demande, tels que le manque de moyens financiers, de maîtrise des outils numériques et de compétences numériques.</w:t>
      </w:r>
    </w:p>
    <w:p w14:paraId="70A6BFD8" w14:textId="3494ACDF" w:rsidR="00D80461" w:rsidRPr="00F05A8A" w:rsidRDefault="004C0D33" w:rsidP="002F075E">
      <w:pPr>
        <w:rPr>
          <w:rFonts w:asciiTheme="minorHAnsi" w:hAnsiTheme="minorHAnsi" w:cstheme="minorHAnsi"/>
        </w:rPr>
      </w:pPr>
      <w:r w:rsidRPr="00F05A8A">
        <w:rPr>
          <w:rFonts w:asciiTheme="minorHAnsi" w:hAnsiTheme="minorHAnsi" w:cstheme="minorHAnsi"/>
        </w:rPr>
        <w:lastRenderedPageBreak/>
        <w:t>L</w:t>
      </w:r>
      <w:r w:rsidR="00CF5980" w:rsidRPr="00F05A8A">
        <w:rPr>
          <w:rFonts w:asciiTheme="minorHAnsi" w:hAnsiTheme="minorHAnsi" w:cstheme="minorHAnsi"/>
        </w:rPr>
        <w:t>'</w:t>
      </w:r>
      <w:r w:rsidRPr="00F05A8A">
        <w:rPr>
          <w:rFonts w:asciiTheme="minorHAnsi" w:hAnsiTheme="minorHAnsi" w:cstheme="minorHAnsi"/>
        </w:rPr>
        <w:t>année 2022, au cours de laquelle doivent se tenir l</w:t>
      </w:r>
      <w:r w:rsidR="00D80461" w:rsidRPr="00F05A8A">
        <w:rPr>
          <w:rFonts w:asciiTheme="minorHAnsi" w:hAnsiTheme="minorHAnsi" w:cstheme="minorHAnsi"/>
        </w:rPr>
        <w:t>'Assemblée mondiale de normalisation des télécommunications, la Conférence mondiale du développement des télécommunications et la Conférence de plénipotentiaires de l'UIT</w:t>
      </w:r>
      <w:r w:rsidR="00CF5980" w:rsidRPr="00F05A8A">
        <w:rPr>
          <w:rFonts w:asciiTheme="minorHAnsi" w:hAnsiTheme="minorHAnsi" w:cstheme="minorHAnsi"/>
        </w:rPr>
        <w:t xml:space="preserve">, </w:t>
      </w:r>
      <w:r w:rsidRPr="00F05A8A">
        <w:rPr>
          <w:rFonts w:asciiTheme="minorHAnsi" w:hAnsiTheme="minorHAnsi" w:cstheme="minorHAnsi"/>
        </w:rPr>
        <w:t xml:space="preserve">est </w:t>
      </w:r>
      <w:r w:rsidR="00C810AB" w:rsidRPr="00F05A8A">
        <w:rPr>
          <w:rFonts w:asciiTheme="minorHAnsi" w:hAnsiTheme="minorHAnsi" w:cstheme="minorHAnsi"/>
        </w:rPr>
        <w:t xml:space="preserve">une </w:t>
      </w:r>
      <w:r w:rsidR="00EE2852" w:rsidRPr="00F05A8A">
        <w:rPr>
          <w:rFonts w:asciiTheme="minorHAnsi" w:hAnsiTheme="minorHAnsi" w:cstheme="minorHAnsi"/>
        </w:rPr>
        <w:t xml:space="preserve">année importante pour l'Union, qui </w:t>
      </w:r>
      <w:r w:rsidRPr="00F05A8A">
        <w:rPr>
          <w:rFonts w:asciiTheme="minorHAnsi" w:hAnsiTheme="minorHAnsi" w:cstheme="minorHAnsi"/>
        </w:rPr>
        <w:t>offre</w:t>
      </w:r>
      <w:r w:rsidR="00D80461" w:rsidRPr="00F05A8A">
        <w:rPr>
          <w:rFonts w:asciiTheme="minorHAnsi" w:hAnsiTheme="minorHAnsi" w:cstheme="minorHAnsi"/>
        </w:rPr>
        <w:t xml:space="preserve"> à la famille de l'UIT</w:t>
      </w:r>
      <w:r w:rsidRPr="00F05A8A">
        <w:rPr>
          <w:rFonts w:asciiTheme="minorHAnsi" w:hAnsiTheme="minorHAnsi" w:cstheme="minorHAnsi"/>
        </w:rPr>
        <w:t xml:space="preserve"> l'occasion</w:t>
      </w:r>
      <w:r w:rsidR="00CF5980" w:rsidRPr="00F05A8A">
        <w:rPr>
          <w:rFonts w:asciiTheme="minorHAnsi" w:hAnsiTheme="minorHAnsi" w:cstheme="minorHAnsi"/>
        </w:rPr>
        <w:t xml:space="preserve"> </w:t>
      </w:r>
      <w:r w:rsidR="00D80461" w:rsidRPr="00F05A8A">
        <w:rPr>
          <w:rFonts w:asciiTheme="minorHAnsi" w:hAnsiTheme="minorHAnsi" w:cstheme="minorHAnsi"/>
        </w:rPr>
        <w:t xml:space="preserve">d'accélérer les progrès sur la voie de la réalisation des Objectifs de développement durable des Nations Unies (ODD) et de la mise en œuvre des grandes orientations du SMSI, </w:t>
      </w:r>
      <w:r w:rsidR="00021BAE" w:rsidRPr="00F05A8A">
        <w:rPr>
          <w:rFonts w:asciiTheme="minorHAnsi" w:hAnsiTheme="minorHAnsi" w:cstheme="minorHAnsi"/>
        </w:rPr>
        <w:t>tout en fixant</w:t>
      </w:r>
      <w:r w:rsidR="00D80461" w:rsidRPr="00F05A8A">
        <w:rPr>
          <w:rFonts w:asciiTheme="minorHAnsi" w:hAnsiTheme="minorHAnsi" w:cstheme="minorHAnsi"/>
        </w:rPr>
        <w:t xml:space="preserve"> le cap de la transformation numérique pour les années à venir.</w:t>
      </w:r>
    </w:p>
    <w:p w14:paraId="481AAA4B" w14:textId="77777777" w:rsidR="00D80461" w:rsidRPr="00F05A8A" w:rsidRDefault="00D80461" w:rsidP="002F075E">
      <w:pPr>
        <w:rPr>
          <w:rFonts w:asciiTheme="minorHAnsi" w:hAnsiTheme="minorHAnsi" w:cstheme="minorHAnsi"/>
        </w:rPr>
      </w:pPr>
      <w:r w:rsidRPr="00F05A8A">
        <w:rPr>
          <w:rFonts w:asciiTheme="minorHAnsi" w:hAnsiTheme="minorHAnsi" w:cstheme="minorHAnsi"/>
        </w:rPr>
        <w:t>Je tiens à tous vous féliciter pour les résultats obtenus non sans difficulté ces quatre dernières années et vous encourage à redoubler d'efforts pour bâtir un avenir numérique plus équitable, durable et inclusif.</w:t>
      </w:r>
    </w:p>
    <w:p w14:paraId="4203DD95" w14:textId="77777777" w:rsidR="00D80461" w:rsidRPr="00F05A8A" w:rsidRDefault="00D80461" w:rsidP="002F075E">
      <w:pPr>
        <w:spacing w:before="840"/>
        <w:rPr>
          <w:i/>
          <w:iCs/>
        </w:rPr>
      </w:pPr>
      <w:r w:rsidRPr="00F05A8A">
        <w:t>Houlin Zhao</w:t>
      </w:r>
      <w:r w:rsidRPr="00F05A8A">
        <w:br/>
        <w:t xml:space="preserve">Secrétaire général, </w:t>
      </w:r>
      <w:r w:rsidRPr="00F05A8A">
        <w:br/>
        <w:t>Union internationale des télécommunications</w:t>
      </w:r>
    </w:p>
    <w:p w14:paraId="29586AE8" w14:textId="77777777" w:rsidR="00D80461" w:rsidRPr="00F05A8A" w:rsidRDefault="00D80461" w:rsidP="002F075E">
      <w:pPr>
        <w:spacing w:before="840"/>
      </w:pPr>
      <w:r w:rsidRPr="00F05A8A">
        <w:br w:type="page"/>
      </w:r>
    </w:p>
    <w:p w14:paraId="400A0E96" w14:textId="77777777" w:rsidR="00D80461" w:rsidRPr="00F05A8A" w:rsidRDefault="00D80461" w:rsidP="002F075E">
      <w:pPr>
        <w:pStyle w:val="Heading1"/>
      </w:pPr>
      <w:bookmarkStart w:id="13" w:name="_Toc41032038"/>
      <w:bookmarkStart w:id="14" w:name="_Toc72846572"/>
      <w:bookmarkStart w:id="15" w:name="_Toc98513598"/>
      <w:bookmarkStart w:id="16" w:name="_Toc107466560"/>
      <w:r w:rsidRPr="00F05A8A">
        <w:lastRenderedPageBreak/>
        <w:t>À propos de l'UIT</w:t>
      </w:r>
      <w:bookmarkEnd w:id="13"/>
      <w:bookmarkEnd w:id="14"/>
      <w:bookmarkEnd w:id="15"/>
      <w:bookmarkEnd w:id="16"/>
    </w:p>
    <w:p w14:paraId="5CDE7532" w14:textId="77777777" w:rsidR="00D80461" w:rsidRPr="00F05A8A" w:rsidRDefault="00D80461" w:rsidP="002F075E">
      <w:r w:rsidRPr="00F05A8A">
        <w:t xml:space="preserve">L'Union internationale des télécommunications (UIT) est l'institution spécialisée des Nations Unies pour les technologies de l'information et de la communication (TIC); elle encourage l'innovation dans le secteur des TIC, aux côtés des 193 États Membres et plus de 900 entités du secteur privé, institutions universitaires et organisations internationales et régionales qui la composent. Fondée en 1865, soit il y a 157 ans, elle est l'organisation intergouvernementale chargée de coordonner l'utilisation en partage du spectre des fréquences radioélectriques au niveau mondial, d'encourager la coopération internationale en attribuant des orbites de satellite, de renforcer l'infrastructure des communications dans les pays en développement et de définir des normes mondiales qui garantissent la parfaite interconnexion de systèmes de communication très divers. Qu'il s'agisse des réseaux large bande ou des technologies hertziennes de pointe, de la navigation aéronautique et maritime, de la radioastronomie, de l'observation des océans et de la surveillance de la Terre par satellite ou de la convergence entre téléphonie fixe et téléphonie mobile, de l'Internet ou des technologies de radiodiffusion, l'UIT s'engage à connecter le monde. Pour en savoir plus, rendez-vous sur </w:t>
      </w:r>
      <w:hyperlink r:id="rId16" w:history="1">
        <w:r w:rsidRPr="00F05A8A">
          <w:rPr>
            <w:rStyle w:val="Hyperlink"/>
          </w:rPr>
          <w:t>www.itu.int</w:t>
        </w:r>
      </w:hyperlink>
      <w:r w:rsidRPr="00F05A8A">
        <w:t>.</w:t>
      </w:r>
    </w:p>
    <w:p w14:paraId="5D42DDCC" w14:textId="77777777" w:rsidR="00D80461" w:rsidRPr="00F05A8A" w:rsidRDefault="00D80461" w:rsidP="002F075E">
      <w:r w:rsidRPr="00F05A8A">
        <w:br w:type="page"/>
      </w:r>
    </w:p>
    <w:p w14:paraId="6943C4C2" w14:textId="77777777" w:rsidR="00D80461" w:rsidRPr="00F05A8A" w:rsidRDefault="00D80461" w:rsidP="002F075E">
      <w:pPr>
        <w:pStyle w:val="Title4"/>
      </w:pPr>
      <w:bookmarkStart w:id="17" w:name="_Toc41032040"/>
      <w:r w:rsidRPr="00F05A8A">
        <w:lastRenderedPageBreak/>
        <w:t>Table des matières</w:t>
      </w:r>
    </w:p>
    <w:p w14:paraId="67E024A9" w14:textId="77777777" w:rsidR="00D80461" w:rsidRPr="00F05A8A" w:rsidRDefault="00D80461" w:rsidP="002F075E">
      <w:pPr>
        <w:jc w:val="right"/>
        <w:rPr>
          <w:sz w:val="22"/>
          <w:szCs w:val="22"/>
        </w:rPr>
      </w:pPr>
      <w:bookmarkStart w:id="18" w:name="_Toc72844999"/>
      <w:bookmarkStart w:id="19" w:name="_Toc72846350"/>
      <w:bookmarkStart w:id="20" w:name="_Toc72846573"/>
      <w:bookmarkStart w:id="21" w:name="_Toc95387456"/>
      <w:r w:rsidRPr="00F05A8A">
        <w:rPr>
          <w:sz w:val="22"/>
          <w:szCs w:val="22"/>
        </w:rPr>
        <w:t>Page</w:t>
      </w:r>
      <w:bookmarkEnd w:id="18"/>
      <w:bookmarkEnd w:id="19"/>
      <w:bookmarkEnd w:id="20"/>
      <w:bookmarkEnd w:id="21"/>
    </w:p>
    <w:p w14:paraId="6691A8C8" w14:textId="653EE8DE" w:rsidR="002F075E" w:rsidRPr="00F05A8A" w:rsidRDefault="002F075E">
      <w:pPr>
        <w:pStyle w:val="TOC1"/>
        <w:rPr>
          <w:rFonts w:asciiTheme="minorHAnsi" w:eastAsiaTheme="minorEastAsia" w:hAnsiTheme="minorHAnsi" w:cstheme="minorBidi"/>
          <w:noProof/>
          <w:sz w:val="22"/>
          <w:szCs w:val="22"/>
          <w:lang w:eastAsia="fr-FR"/>
        </w:rPr>
      </w:pPr>
      <w:r w:rsidRPr="00F05A8A">
        <w:rPr>
          <w:szCs w:val="24"/>
        </w:rPr>
        <w:fldChar w:fldCharType="begin"/>
      </w:r>
      <w:r w:rsidRPr="00F05A8A">
        <w:rPr>
          <w:szCs w:val="24"/>
        </w:rPr>
        <w:instrText xml:space="preserve"> TOC \h \z \t "Heading 1;1;Heading 2;2;Heading 3;3;Annex_No;1" </w:instrText>
      </w:r>
      <w:r w:rsidRPr="00F05A8A">
        <w:rPr>
          <w:szCs w:val="24"/>
        </w:rPr>
        <w:fldChar w:fldCharType="separate"/>
      </w:r>
      <w:hyperlink w:anchor="_Toc107466560" w:history="1">
        <w:r w:rsidRPr="00F05A8A">
          <w:rPr>
            <w:rStyle w:val="Hyperlink"/>
            <w:noProof/>
          </w:rPr>
          <w:t>À propos de l'UIT</w:t>
        </w:r>
        <w:r w:rsidRPr="00F05A8A">
          <w:rPr>
            <w:noProof/>
            <w:webHidden/>
          </w:rPr>
          <w:tab/>
        </w:r>
        <w:r w:rsidRPr="00F05A8A">
          <w:rPr>
            <w:noProof/>
            <w:webHidden/>
          </w:rPr>
          <w:tab/>
        </w:r>
        <w:r w:rsidRPr="00F05A8A">
          <w:rPr>
            <w:noProof/>
            <w:webHidden/>
          </w:rPr>
          <w:fldChar w:fldCharType="begin"/>
        </w:r>
        <w:r w:rsidRPr="00F05A8A">
          <w:rPr>
            <w:noProof/>
            <w:webHidden/>
          </w:rPr>
          <w:instrText xml:space="preserve"> PAGEREF _Toc107466560 \h </w:instrText>
        </w:r>
        <w:r w:rsidRPr="00F05A8A">
          <w:rPr>
            <w:noProof/>
            <w:webHidden/>
          </w:rPr>
        </w:r>
        <w:r w:rsidRPr="00F05A8A">
          <w:rPr>
            <w:noProof/>
            <w:webHidden/>
          </w:rPr>
          <w:fldChar w:fldCharType="separate"/>
        </w:r>
        <w:r w:rsidR="00ED2695">
          <w:rPr>
            <w:noProof/>
            <w:webHidden/>
          </w:rPr>
          <w:t>4</w:t>
        </w:r>
        <w:r w:rsidRPr="00F05A8A">
          <w:rPr>
            <w:noProof/>
            <w:webHidden/>
          </w:rPr>
          <w:fldChar w:fldCharType="end"/>
        </w:r>
      </w:hyperlink>
    </w:p>
    <w:p w14:paraId="7D04F3AB" w14:textId="374B6546" w:rsidR="002F075E" w:rsidRPr="00F05A8A" w:rsidRDefault="00ED2695">
      <w:pPr>
        <w:pStyle w:val="TOC1"/>
        <w:rPr>
          <w:rFonts w:asciiTheme="minorHAnsi" w:eastAsiaTheme="minorEastAsia" w:hAnsiTheme="minorHAnsi" w:cstheme="minorBidi"/>
          <w:noProof/>
          <w:sz w:val="22"/>
          <w:szCs w:val="22"/>
          <w:lang w:eastAsia="fr-FR"/>
        </w:rPr>
      </w:pPr>
      <w:hyperlink w:anchor="_Toc107466561" w:history="1">
        <w:r w:rsidR="002F075E" w:rsidRPr="00F05A8A">
          <w:rPr>
            <w:rStyle w:val="Hyperlink"/>
            <w:noProof/>
          </w:rPr>
          <w:t>1</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Principaux thèmes de travail</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_Toc107466561 \h </w:instrText>
        </w:r>
        <w:r w:rsidR="002F075E" w:rsidRPr="00F05A8A">
          <w:rPr>
            <w:noProof/>
            <w:webHidden/>
          </w:rPr>
        </w:r>
        <w:r w:rsidR="002F075E" w:rsidRPr="00F05A8A">
          <w:rPr>
            <w:noProof/>
            <w:webHidden/>
          </w:rPr>
          <w:fldChar w:fldCharType="separate"/>
        </w:r>
        <w:r>
          <w:rPr>
            <w:noProof/>
            <w:webHidden/>
          </w:rPr>
          <w:t>7</w:t>
        </w:r>
        <w:r w:rsidR="002F075E" w:rsidRPr="00F05A8A">
          <w:rPr>
            <w:noProof/>
            <w:webHidden/>
          </w:rPr>
          <w:fldChar w:fldCharType="end"/>
        </w:r>
      </w:hyperlink>
    </w:p>
    <w:p w14:paraId="4204E05B" w14:textId="03018B3F"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62" w:history="1">
        <w:r w:rsidR="002F075E" w:rsidRPr="00F05A8A">
          <w:rPr>
            <w:rStyle w:val="Hyperlink"/>
            <w:noProof/>
          </w:rPr>
          <w:t>1.1</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Conférences mondiales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_Toc107466562 \h </w:instrText>
        </w:r>
        <w:r w:rsidR="002F075E" w:rsidRPr="00F05A8A">
          <w:rPr>
            <w:noProof/>
            <w:webHidden/>
          </w:rPr>
        </w:r>
        <w:r w:rsidR="002F075E" w:rsidRPr="00F05A8A">
          <w:rPr>
            <w:noProof/>
            <w:webHidden/>
          </w:rPr>
          <w:fldChar w:fldCharType="separate"/>
        </w:r>
        <w:r>
          <w:rPr>
            <w:noProof/>
            <w:webHidden/>
          </w:rPr>
          <w:t>7</w:t>
        </w:r>
        <w:r w:rsidR="002F075E" w:rsidRPr="00F05A8A">
          <w:rPr>
            <w:noProof/>
            <w:webHidden/>
          </w:rPr>
          <w:fldChar w:fldCharType="end"/>
        </w:r>
      </w:hyperlink>
    </w:p>
    <w:p w14:paraId="501FD900" w14:textId="0AB997F2" w:rsidR="002F075E" w:rsidRPr="00F05A8A" w:rsidRDefault="00ED2695" w:rsidP="002F075E">
      <w:pPr>
        <w:pStyle w:val="TOC3"/>
        <w:ind w:left="2404"/>
        <w:rPr>
          <w:rFonts w:asciiTheme="minorHAnsi" w:eastAsiaTheme="minorEastAsia" w:hAnsiTheme="minorHAnsi" w:cstheme="minorBidi"/>
          <w:noProof/>
          <w:sz w:val="22"/>
          <w:szCs w:val="22"/>
          <w:lang w:eastAsia="fr-FR"/>
        </w:rPr>
      </w:pPr>
      <w:hyperlink w:anchor="_Toc107466563" w:history="1">
        <w:r w:rsidR="002F075E" w:rsidRPr="00F05A8A">
          <w:rPr>
            <w:rStyle w:val="Hyperlink"/>
            <w:noProof/>
          </w:rPr>
          <w:t>1.1.1</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CMR-19 </w:t>
        </w:r>
        <w:r w:rsidR="002F075E" w:rsidRPr="00F05A8A">
          <w:rPr>
            <w:rStyle w:val="Hyperlink"/>
            <w:noProof/>
          </w:rPr>
          <w:t>e</w:t>
        </w:r>
        <w:r w:rsidR="002F075E" w:rsidRPr="00F05A8A">
          <w:rPr>
            <w:rStyle w:val="Hyperlink"/>
            <w:noProof/>
          </w:rPr>
          <w:t>t AR-19</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_Toc107466563 \h </w:instrText>
        </w:r>
        <w:r w:rsidR="002F075E" w:rsidRPr="00F05A8A">
          <w:rPr>
            <w:noProof/>
            <w:webHidden/>
          </w:rPr>
        </w:r>
        <w:r w:rsidR="002F075E" w:rsidRPr="00F05A8A">
          <w:rPr>
            <w:noProof/>
            <w:webHidden/>
          </w:rPr>
          <w:fldChar w:fldCharType="separate"/>
        </w:r>
        <w:r>
          <w:rPr>
            <w:noProof/>
            <w:webHidden/>
          </w:rPr>
          <w:t>7</w:t>
        </w:r>
        <w:r w:rsidR="002F075E" w:rsidRPr="00F05A8A">
          <w:rPr>
            <w:noProof/>
            <w:webHidden/>
          </w:rPr>
          <w:fldChar w:fldCharType="end"/>
        </w:r>
      </w:hyperlink>
    </w:p>
    <w:p w14:paraId="70D4BBF3" w14:textId="33536C24" w:rsidR="002F075E" w:rsidRPr="00F05A8A" w:rsidRDefault="00ED2695" w:rsidP="002F075E">
      <w:pPr>
        <w:pStyle w:val="TOC3"/>
        <w:ind w:left="2404"/>
        <w:rPr>
          <w:rFonts w:asciiTheme="minorHAnsi" w:eastAsiaTheme="minorEastAsia" w:hAnsiTheme="minorHAnsi" w:cstheme="minorBidi"/>
          <w:noProof/>
          <w:sz w:val="22"/>
          <w:szCs w:val="22"/>
          <w:lang w:eastAsia="fr-FR"/>
        </w:rPr>
      </w:pPr>
      <w:hyperlink w:anchor="_Toc107466564" w:history="1">
        <w:r w:rsidR="002F075E" w:rsidRPr="00F05A8A">
          <w:rPr>
            <w:rStyle w:val="Hyperlink"/>
            <w:noProof/>
          </w:rPr>
          <w:t>1.1.2</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AMNT-20</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_Toc107466564 \h </w:instrText>
        </w:r>
        <w:r w:rsidR="002F075E" w:rsidRPr="00F05A8A">
          <w:rPr>
            <w:noProof/>
            <w:webHidden/>
          </w:rPr>
        </w:r>
        <w:r w:rsidR="002F075E" w:rsidRPr="00F05A8A">
          <w:rPr>
            <w:noProof/>
            <w:webHidden/>
          </w:rPr>
          <w:fldChar w:fldCharType="separate"/>
        </w:r>
        <w:r>
          <w:rPr>
            <w:noProof/>
            <w:webHidden/>
          </w:rPr>
          <w:t>11</w:t>
        </w:r>
        <w:r w:rsidR="002F075E" w:rsidRPr="00F05A8A">
          <w:rPr>
            <w:noProof/>
            <w:webHidden/>
          </w:rPr>
          <w:fldChar w:fldCharType="end"/>
        </w:r>
      </w:hyperlink>
    </w:p>
    <w:p w14:paraId="2C3B4926" w14:textId="6652B717" w:rsidR="002F075E" w:rsidRPr="00F05A8A" w:rsidRDefault="00B81FFD" w:rsidP="002F075E">
      <w:pPr>
        <w:pStyle w:val="TOC3"/>
        <w:ind w:left="2404"/>
        <w:rPr>
          <w:rFonts w:asciiTheme="minorHAnsi" w:eastAsiaTheme="minorEastAsia" w:hAnsiTheme="minorHAnsi" w:cstheme="minorBidi"/>
          <w:noProof/>
          <w:sz w:val="22"/>
          <w:szCs w:val="22"/>
          <w:lang w:eastAsia="fr-FR"/>
        </w:rPr>
      </w:pPr>
      <w:hyperlink w:anchor="_Toc107466565" w:history="1">
        <w:r w:rsidR="002F075E" w:rsidRPr="00F05A8A">
          <w:rPr>
            <w:rStyle w:val="Hyperlink"/>
            <w:noProof/>
          </w:rPr>
          <w:t>1.1.3</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CMDT-</w:t>
        </w:r>
        <w:r w:rsidR="005654D0" w:rsidRPr="00F05A8A">
          <w:rPr>
            <w:rStyle w:val="Hyperlink"/>
            <w:noProof/>
          </w:rPr>
          <w:t>22</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_Toc107466565 \h </w:instrText>
        </w:r>
        <w:r w:rsidR="002F075E" w:rsidRPr="00F05A8A">
          <w:rPr>
            <w:noProof/>
            <w:webHidden/>
          </w:rPr>
        </w:r>
        <w:r w:rsidR="002F075E" w:rsidRPr="00F05A8A">
          <w:rPr>
            <w:noProof/>
            <w:webHidden/>
          </w:rPr>
          <w:fldChar w:fldCharType="separate"/>
        </w:r>
        <w:r w:rsidR="00ED2695">
          <w:rPr>
            <w:noProof/>
            <w:webHidden/>
          </w:rPr>
          <w:t>14</w:t>
        </w:r>
        <w:r w:rsidR="002F075E" w:rsidRPr="00F05A8A">
          <w:rPr>
            <w:noProof/>
            <w:webHidden/>
          </w:rPr>
          <w:fldChar w:fldCharType="end"/>
        </w:r>
      </w:hyperlink>
    </w:p>
    <w:p w14:paraId="7971F19F" w14:textId="33088B9D"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66" w:history="1">
        <w:r w:rsidR="002F075E" w:rsidRPr="00F05A8A">
          <w:rPr>
            <w:rStyle w:val="Hyperlink"/>
            <w:noProof/>
          </w:rPr>
          <w:t>1.2</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Réglementation et gestion du spectre/des orbites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_Toc107466566 \h </w:instrText>
        </w:r>
        <w:r w:rsidR="002F075E" w:rsidRPr="00F05A8A">
          <w:rPr>
            <w:noProof/>
            <w:webHidden/>
          </w:rPr>
        </w:r>
        <w:r w:rsidR="002F075E" w:rsidRPr="00F05A8A">
          <w:rPr>
            <w:noProof/>
            <w:webHidden/>
          </w:rPr>
          <w:fldChar w:fldCharType="separate"/>
        </w:r>
        <w:r>
          <w:rPr>
            <w:noProof/>
            <w:webHidden/>
          </w:rPr>
          <w:t>16</w:t>
        </w:r>
        <w:r w:rsidR="002F075E" w:rsidRPr="00F05A8A">
          <w:rPr>
            <w:noProof/>
            <w:webHidden/>
          </w:rPr>
          <w:fldChar w:fldCharType="end"/>
        </w:r>
      </w:hyperlink>
    </w:p>
    <w:p w14:paraId="234F5128" w14:textId="0101A709"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67" w:history="1">
        <w:r w:rsidR="002F075E" w:rsidRPr="00F05A8A">
          <w:rPr>
            <w:rStyle w:val="Hyperlink"/>
            <w:noProof/>
          </w:rPr>
          <w:t>1.3</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Normalisation – </w:t>
        </w:r>
        <w:r w:rsidR="002F075E" w:rsidRPr="00F05A8A">
          <w:rPr>
            <w:rStyle w:val="Hyperlink"/>
            <w:noProof/>
            <w:lang w:eastAsia="en-GB"/>
          </w:rPr>
          <w:t xml:space="preserve">Les fondements des technologies d'aujourd'hui </w:t>
        </w:r>
        <w:r w:rsidR="002F075E" w:rsidRPr="00F05A8A">
          <w:rPr>
            <w:rStyle w:val="Hyperlink"/>
            <w:noProof/>
            <w:lang w:eastAsia="en-GB"/>
          </w:rPr>
          <w:br/>
          <w:t>et de demain</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_Toc107466567 \h </w:instrText>
        </w:r>
        <w:r w:rsidR="002F075E" w:rsidRPr="00F05A8A">
          <w:rPr>
            <w:noProof/>
            <w:webHidden/>
          </w:rPr>
        </w:r>
        <w:r w:rsidR="002F075E" w:rsidRPr="00F05A8A">
          <w:rPr>
            <w:noProof/>
            <w:webHidden/>
          </w:rPr>
          <w:fldChar w:fldCharType="separate"/>
        </w:r>
        <w:r>
          <w:rPr>
            <w:noProof/>
            <w:webHidden/>
          </w:rPr>
          <w:t>18</w:t>
        </w:r>
        <w:r w:rsidR="002F075E" w:rsidRPr="00F05A8A">
          <w:rPr>
            <w:noProof/>
            <w:webHidden/>
          </w:rPr>
          <w:fldChar w:fldCharType="end"/>
        </w:r>
      </w:hyperlink>
    </w:p>
    <w:p w14:paraId="34E930B1" w14:textId="20FCA3C0"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68" w:history="1">
        <w:r w:rsidR="002F075E" w:rsidRPr="00F05A8A">
          <w:rPr>
            <w:rStyle w:val="Hyperlink"/>
            <w:noProof/>
          </w:rPr>
          <w:t>1.4</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Élaboration par l'UIT de cadres de gestion du développement </w:t>
        </w:r>
        <w:r w:rsidR="002F075E" w:rsidRPr="00F05A8A">
          <w:rPr>
            <w:rStyle w:val="Hyperlink"/>
            <w:noProof/>
          </w:rPr>
          <w:br/>
          <w:t>des technologies émergentes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_Toc107466568 \h </w:instrText>
        </w:r>
        <w:r w:rsidR="002F075E" w:rsidRPr="00F05A8A">
          <w:rPr>
            <w:noProof/>
            <w:webHidden/>
          </w:rPr>
        </w:r>
        <w:r w:rsidR="002F075E" w:rsidRPr="00F05A8A">
          <w:rPr>
            <w:noProof/>
            <w:webHidden/>
          </w:rPr>
          <w:fldChar w:fldCharType="separate"/>
        </w:r>
        <w:r>
          <w:rPr>
            <w:noProof/>
            <w:webHidden/>
          </w:rPr>
          <w:t>25</w:t>
        </w:r>
        <w:r w:rsidR="002F075E" w:rsidRPr="00F05A8A">
          <w:rPr>
            <w:noProof/>
            <w:webHidden/>
          </w:rPr>
          <w:fldChar w:fldCharType="end"/>
        </w:r>
      </w:hyperlink>
    </w:p>
    <w:p w14:paraId="70FDC2E0" w14:textId="3B1A6643"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69" w:history="1">
        <w:r w:rsidR="002F075E" w:rsidRPr="00F05A8A">
          <w:rPr>
            <w:rStyle w:val="Hyperlink"/>
            <w:noProof/>
          </w:rPr>
          <w:t>1.5</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Environnement et villes et communautés intelligentes et durables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_Toc107466569 \h </w:instrText>
        </w:r>
        <w:r w:rsidR="002F075E" w:rsidRPr="00F05A8A">
          <w:rPr>
            <w:noProof/>
            <w:webHidden/>
          </w:rPr>
        </w:r>
        <w:r w:rsidR="002F075E" w:rsidRPr="00F05A8A">
          <w:rPr>
            <w:noProof/>
            <w:webHidden/>
          </w:rPr>
          <w:fldChar w:fldCharType="separate"/>
        </w:r>
        <w:r>
          <w:rPr>
            <w:noProof/>
            <w:webHidden/>
          </w:rPr>
          <w:t>27</w:t>
        </w:r>
        <w:r w:rsidR="002F075E" w:rsidRPr="00F05A8A">
          <w:rPr>
            <w:noProof/>
            <w:webHidden/>
          </w:rPr>
          <w:fldChar w:fldCharType="end"/>
        </w:r>
      </w:hyperlink>
    </w:p>
    <w:p w14:paraId="5229FDA4" w14:textId="359F153F"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0" w:history="1">
        <w:r w:rsidR="002F075E" w:rsidRPr="00F05A8A">
          <w:rPr>
            <w:rStyle w:val="Hyperlink"/>
            <w:noProof/>
          </w:rPr>
          <w:t>1.6</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Cybersécurité: instaurer la confiance et la sécurité dans l'utilisation </w:t>
        </w:r>
        <w:r w:rsidR="002F075E" w:rsidRPr="00F05A8A">
          <w:rPr>
            <w:rStyle w:val="Hyperlink"/>
            <w:noProof/>
          </w:rPr>
          <w:br/>
          <w:t>des TIC</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_Toc107466570 \h </w:instrText>
        </w:r>
        <w:r w:rsidR="002F075E" w:rsidRPr="00F05A8A">
          <w:rPr>
            <w:noProof/>
            <w:webHidden/>
          </w:rPr>
        </w:r>
        <w:r w:rsidR="002F075E" w:rsidRPr="00F05A8A">
          <w:rPr>
            <w:noProof/>
            <w:webHidden/>
          </w:rPr>
          <w:fldChar w:fldCharType="separate"/>
        </w:r>
        <w:r>
          <w:rPr>
            <w:noProof/>
            <w:webHidden/>
          </w:rPr>
          <w:t>33</w:t>
        </w:r>
        <w:r w:rsidR="002F075E" w:rsidRPr="00F05A8A">
          <w:rPr>
            <w:noProof/>
            <w:webHidden/>
          </w:rPr>
          <w:fldChar w:fldCharType="end"/>
        </w:r>
      </w:hyperlink>
    </w:p>
    <w:p w14:paraId="2FF45691" w14:textId="593FDB8B"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1" w:history="1">
        <w:r w:rsidR="002F075E" w:rsidRPr="00F05A8A">
          <w:rPr>
            <w:rStyle w:val="Hyperlink"/>
            <w:noProof/>
          </w:rPr>
          <w:t>1.7</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Inclusion numérique – </w:t>
        </w:r>
        <w:r w:rsidR="002F075E" w:rsidRPr="00F05A8A">
          <w:rPr>
            <w:rStyle w:val="Hyperlink"/>
            <w:noProof/>
            <w:lang w:eastAsia="en-GB"/>
          </w:rPr>
          <w:t xml:space="preserve">Garantir un accès et une utilisation des TIC </w:t>
        </w:r>
        <w:r w:rsidR="002F075E" w:rsidRPr="00F05A8A">
          <w:rPr>
            <w:rStyle w:val="Hyperlink"/>
            <w:noProof/>
            <w:lang w:eastAsia="en-GB"/>
          </w:rPr>
          <w:br/>
          <w:t>inclusifs et équitables pour tous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_Toc107466571 \h </w:instrText>
        </w:r>
        <w:r w:rsidR="002F075E" w:rsidRPr="00F05A8A">
          <w:rPr>
            <w:noProof/>
            <w:webHidden/>
          </w:rPr>
        </w:r>
        <w:r w:rsidR="002F075E" w:rsidRPr="00F05A8A">
          <w:rPr>
            <w:noProof/>
            <w:webHidden/>
          </w:rPr>
          <w:fldChar w:fldCharType="separate"/>
        </w:r>
        <w:r>
          <w:rPr>
            <w:noProof/>
            <w:webHidden/>
          </w:rPr>
          <w:t>36</w:t>
        </w:r>
        <w:r w:rsidR="002F075E" w:rsidRPr="00F05A8A">
          <w:rPr>
            <w:noProof/>
            <w:webHidden/>
          </w:rPr>
          <w:fldChar w:fldCharType="end"/>
        </w:r>
      </w:hyperlink>
    </w:p>
    <w:p w14:paraId="4BA9D849" w14:textId="7330C856"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2" w:history="1">
        <w:r w:rsidR="002F075E" w:rsidRPr="00F05A8A">
          <w:rPr>
            <w:rStyle w:val="Hyperlink"/>
            <w:noProof/>
          </w:rPr>
          <w:t>1.8</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Activités/mesures liées au COVID-19</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_Toc107466572 \h </w:instrText>
        </w:r>
        <w:r w:rsidR="002F075E" w:rsidRPr="00F05A8A">
          <w:rPr>
            <w:noProof/>
            <w:webHidden/>
          </w:rPr>
        </w:r>
        <w:r w:rsidR="002F075E" w:rsidRPr="00F05A8A">
          <w:rPr>
            <w:noProof/>
            <w:webHidden/>
          </w:rPr>
          <w:fldChar w:fldCharType="separate"/>
        </w:r>
        <w:r>
          <w:rPr>
            <w:noProof/>
            <w:webHidden/>
          </w:rPr>
          <w:t>43</w:t>
        </w:r>
        <w:r w:rsidR="002F075E" w:rsidRPr="00F05A8A">
          <w:rPr>
            <w:noProof/>
            <w:webHidden/>
          </w:rPr>
          <w:fldChar w:fldCharType="end"/>
        </w:r>
      </w:hyperlink>
    </w:p>
    <w:p w14:paraId="4DDB39AB" w14:textId="15D5134F"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3" w:history="1">
        <w:r w:rsidR="002F075E" w:rsidRPr="00F05A8A">
          <w:rPr>
            <w:rStyle w:val="Hyperlink"/>
            <w:noProof/>
          </w:rPr>
          <w:t>1.9</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Partenariats stratégiques en faveur de la réalisation des ODD</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_Toc107466573 \h </w:instrText>
        </w:r>
        <w:r w:rsidR="002F075E" w:rsidRPr="00F05A8A">
          <w:rPr>
            <w:noProof/>
            <w:webHidden/>
          </w:rPr>
        </w:r>
        <w:r w:rsidR="002F075E" w:rsidRPr="00F05A8A">
          <w:rPr>
            <w:noProof/>
            <w:webHidden/>
          </w:rPr>
          <w:fldChar w:fldCharType="separate"/>
        </w:r>
        <w:r>
          <w:rPr>
            <w:noProof/>
            <w:webHidden/>
          </w:rPr>
          <w:t>47</w:t>
        </w:r>
        <w:r w:rsidR="002F075E" w:rsidRPr="00F05A8A">
          <w:rPr>
            <w:noProof/>
            <w:webHidden/>
          </w:rPr>
          <w:fldChar w:fldCharType="end"/>
        </w:r>
      </w:hyperlink>
    </w:p>
    <w:p w14:paraId="6E402418" w14:textId="7666F146"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4" w:history="1">
        <w:r w:rsidR="002F075E" w:rsidRPr="00F05A8A">
          <w:rPr>
            <w:rStyle w:val="Hyperlink"/>
            <w:noProof/>
          </w:rPr>
          <w:t>1.10</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Séminaires, ateliers </w:t>
        </w:r>
        <w:r w:rsidR="002F075E" w:rsidRPr="00F05A8A">
          <w:rPr>
            <w:rStyle w:val="Hyperlink"/>
            <w:noProof/>
            <w:lang w:eastAsia="en-GB"/>
          </w:rPr>
          <w:t>et assistance</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_Toc107466574 \h </w:instrText>
        </w:r>
        <w:r w:rsidR="002F075E" w:rsidRPr="00F05A8A">
          <w:rPr>
            <w:noProof/>
            <w:webHidden/>
          </w:rPr>
        </w:r>
        <w:r w:rsidR="002F075E" w:rsidRPr="00F05A8A">
          <w:rPr>
            <w:noProof/>
            <w:webHidden/>
          </w:rPr>
          <w:fldChar w:fldCharType="separate"/>
        </w:r>
        <w:r>
          <w:rPr>
            <w:noProof/>
            <w:webHidden/>
          </w:rPr>
          <w:t>52</w:t>
        </w:r>
        <w:r w:rsidR="002F075E" w:rsidRPr="00F05A8A">
          <w:rPr>
            <w:noProof/>
            <w:webHidden/>
          </w:rPr>
          <w:fldChar w:fldCharType="end"/>
        </w:r>
      </w:hyperlink>
    </w:p>
    <w:p w14:paraId="2DB597CB" w14:textId="6B755E55"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5" w:history="1">
        <w:r w:rsidR="002F075E" w:rsidRPr="00F05A8A">
          <w:rPr>
            <w:rStyle w:val="Hyperlink"/>
            <w:noProof/>
          </w:rPr>
          <w:t>1.11</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Manifestations phares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_Toc107466575 \h </w:instrText>
        </w:r>
        <w:r w:rsidR="002F075E" w:rsidRPr="00F05A8A">
          <w:rPr>
            <w:noProof/>
            <w:webHidden/>
          </w:rPr>
        </w:r>
        <w:r w:rsidR="002F075E" w:rsidRPr="00F05A8A">
          <w:rPr>
            <w:noProof/>
            <w:webHidden/>
          </w:rPr>
          <w:fldChar w:fldCharType="separate"/>
        </w:r>
        <w:r>
          <w:rPr>
            <w:noProof/>
            <w:webHidden/>
          </w:rPr>
          <w:t>56</w:t>
        </w:r>
        <w:r w:rsidR="002F075E" w:rsidRPr="00F05A8A">
          <w:rPr>
            <w:noProof/>
            <w:webHidden/>
          </w:rPr>
          <w:fldChar w:fldCharType="end"/>
        </w:r>
      </w:hyperlink>
    </w:p>
    <w:p w14:paraId="2A8D0FF4" w14:textId="19C67381" w:rsidR="002F075E" w:rsidRPr="00F05A8A" w:rsidRDefault="00ED2695">
      <w:pPr>
        <w:pStyle w:val="TOC1"/>
        <w:rPr>
          <w:rFonts w:asciiTheme="minorHAnsi" w:eastAsiaTheme="minorEastAsia" w:hAnsiTheme="minorHAnsi" w:cstheme="minorBidi"/>
          <w:noProof/>
          <w:sz w:val="22"/>
          <w:szCs w:val="22"/>
          <w:lang w:eastAsia="fr-FR"/>
        </w:rPr>
      </w:pPr>
      <w:hyperlink w:anchor="_Toc107466576" w:history="1">
        <w:r w:rsidR="002F075E" w:rsidRPr="00F05A8A">
          <w:rPr>
            <w:rStyle w:val="Hyperlink"/>
            <w:noProof/>
          </w:rPr>
          <w:t>2</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Autres activités essentielles menées à bien par le Secrétariat afin d'appuyer </w:t>
        </w:r>
        <w:r w:rsidR="002F075E" w:rsidRPr="00F05A8A">
          <w:rPr>
            <w:rStyle w:val="Hyperlink"/>
            <w:noProof/>
          </w:rPr>
          <w:br/>
          <w:t>les Membres de l'UIT</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_Toc107466576 \h </w:instrText>
        </w:r>
        <w:r w:rsidR="002F075E" w:rsidRPr="00F05A8A">
          <w:rPr>
            <w:noProof/>
            <w:webHidden/>
          </w:rPr>
        </w:r>
        <w:r w:rsidR="002F075E" w:rsidRPr="00F05A8A">
          <w:rPr>
            <w:noProof/>
            <w:webHidden/>
          </w:rPr>
          <w:fldChar w:fldCharType="separate"/>
        </w:r>
        <w:r>
          <w:rPr>
            <w:noProof/>
            <w:webHidden/>
          </w:rPr>
          <w:t>64</w:t>
        </w:r>
        <w:r w:rsidR="002F075E" w:rsidRPr="00F05A8A">
          <w:rPr>
            <w:noProof/>
            <w:webHidden/>
          </w:rPr>
          <w:fldChar w:fldCharType="end"/>
        </w:r>
      </w:hyperlink>
    </w:p>
    <w:p w14:paraId="00A9C8E1" w14:textId="6FF8F9B5"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7" w:history="1">
        <w:r w:rsidR="002F075E" w:rsidRPr="00F05A8A">
          <w:rPr>
            <w:rStyle w:val="Hyperlink"/>
            <w:noProof/>
          </w:rPr>
          <w:t>2.1</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UIT-R: Comité du Règlement des radiocommunications (RRB), réunions, décisions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_Toc107466577 \h </w:instrText>
        </w:r>
        <w:r w:rsidR="002F075E" w:rsidRPr="00F05A8A">
          <w:rPr>
            <w:noProof/>
            <w:webHidden/>
          </w:rPr>
        </w:r>
        <w:r w:rsidR="002F075E" w:rsidRPr="00F05A8A">
          <w:rPr>
            <w:noProof/>
            <w:webHidden/>
          </w:rPr>
          <w:fldChar w:fldCharType="separate"/>
        </w:r>
        <w:r>
          <w:rPr>
            <w:noProof/>
            <w:webHidden/>
          </w:rPr>
          <w:t>65</w:t>
        </w:r>
        <w:r w:rsidR="002F075E" w:rsidRPr="00F05A8A">
          <w:rPr>
            <w:noProof/>
            <w:webHidden/>
          </w:rPr>
          <w:fldChar w:fldCharType="end"/>
        </w:r>
      </w:hyperlink>
    </w:p>
    <w:p w14:paraId="0C8C0CEC" w14:textId="2CDC2C76"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8" w:history="1">
        <w:r w:rsidR="002F075E" w:rsidRPr="00F05A8A">
          <w:rPr>
            <w:rStyle w:val="Hyperlink"/>
            <w:noProof/>
          </w:rPr>
          <w:t>2.2</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UIT-T: Amélioration de la qualité de service pour les membres de l'UIT</w:t>
        </w:r>
        <w:r w:rsidR="002F075E" w:rsidRPr="00F05A8A">
          <w:rPr>
            <w:rStyle w:val="Hyperlink"/>
            <w:noProof/>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_Toc107466578 \h </w:instrText>
        </w:r>
        <w:r w:rsidR="002F075E" w:rsidRPr="00F05A8A">
          <w:rPr>
            <w:noProof/>
            <w:webHidden/>
          </w:rPr>
        </w:r>
        <w:r w:rsidR="002F075E" w:rsidRPr="00F05A8A">
          <w:rPr>
            <w:noProof/>
            <w:webHidden/>
          </w:rPr>
          <w:fldChar w:fldCharType="separate"/>
        </w:r>
        <w:r>
          <w:rPr>
            <w:noProof/>
            <w:webHidden/>
          </w:rPr>
          <w:t>65</w:t>
        </w:r>
        <w:r w:rsidR="002F075E" w:rsidRPr="00F05A8A">
          <w:rPr>
            <w:noProof/>
            <w:webHidden/>
          </w:rPr>
          <w:fldChar w:fldCharType="end"/>
        </w:r>
      </w:hyperlink>
    </w:p>
    <w:p w14:paraId="73D88184" w14:textId="4E8D932D"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79" w:history="1">
        <w:r w:rsidR="002F075E" w:rsidRPr="00F05A8A">
          <w:rPr>
            <w:rStyle w:val="Hyperlink"/>
            <w:noProof/>
          </w:rPr>
          <w:t>2.3</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UIT-D: Processus de transformation – Un BDT en adéquation avec </w:t>
        </w:r>
        <w:r w:rsidR="002F075E" w:rsidRPr="00F05A8A">
          <w:rPr>
            <w:rStyle w:val="Hyperlink"/>
            <w:noProof/>
          </w:rPr>
          <w:br/>
          <w:t>sa mission</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_Toc107466579 \h </w:instrText>
        </w:r>
        <w:r w:rsidR="002F075E" w:rsidRPr="00F05A8A">
          <w:rPr>
            <w:noProof/>
            <w:webHidden/>
          </w:rPr>
        </w:r>
        <w:r w:rsidR="002F075E" w:rsidRPr="00F05A8A">
          <w:rPr>
            <w:noProof/>
            <w:webHidden/>
          </w:rPr>
          <w:fldChar w:fldCharType="separate"/>
        </w:r>
        <w:r>
          <w:rPr>
            <w:noProof/>
            <w:webHidden/>
          </w:rPr>
          <w:t>67</w:t>
        </w:r>
        <w:r w:rsidR="002F075E" w:rsidRPr="00F05A8A">
          <w:rPr>
            <w:noProof/>
            <w:webHidden/>
          </w:rPr>
          <w:fldChar w:fldCharType="end"/>
        </w:r>
      </w:hyperlink>
    </w:p>
    <w:p w14:paraId="53ED8ABE" w14:textId="57DF3C74"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0" w:history="1">
        <w:r w:rsidR="002F075E" w:rsidRPr="00F05A8A">
          <w:rPr>
            <w:rStyle w:val="Hyperlink"/>
            <w:noProof/>
          </w:rPr>
          <w:t>2.4</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Secrétariat général</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_Toc107466580 \h </w:instrText>
        </w:r>
        <w:r w:rsidR="002F075E" w:rsidRPr="00F05A8A">
          <w:rPr>
            <w:noProof/>
            <w:webHidden/>
          </w:rPr>
        </w:r>
        <w:r w:rsidR="002F075E" w:rsidRPr="00F05A8A">
          <w:rPr>
            <w:noProof/>
            <w:webHidden/>
          </w:rPr>
          <w:fldChar w:fldCharType="separate"/>
        </w:r>
        <w:r>
          <w:rPr>
            <w:noProof/>
            <w:webHidden/>
          </w:rPr>
          <w:t>69</w:t>
        </w:r>
        <w:r w:rsidR="002F075E" w:rsidRPr="00F05A8A">
          <w:rPr>
            <w:noProof/>
            <w:webHidden/>
          </w:rPr>
          <w:fldChar w:fldCharType="end"/>
        </w:r>
      </w:hyperlink>
    </w:p>
    <w:p w14:paraId="5AF07EE7" w14:textId="671D715C" w:rsidR="002F075E" w:rsidRPr="00F05A8A" w:rsidRDefault="00ED2695">
      <w:pPr>
        <w:pStyle w:val="TOC1"/>
        <w:rPr>
          <w:rFonts w:asciiTheme="minorHAnsi" w:eastAsiaTheme="minorEastAsia" w:hAnsiTheme="minorHAnsi" w:cstheme="minorBidi"/>
          <w:noProof/>
          <w:sz w:val="22"/>
          <w:szCs w:val="22"/>
          <w:lang w:eastAsia="fr-FR"/>
        </w:rPr>
      </w:pPr>
      <w:hyperlink w:anchor="_Toc107466581" w:history="1">
        <w:r w:rsidR="002F075E" w:rsidRPr="00F05A8A">
          <w:rPr>
            <w:rStyle w:val="Hyperlink"/>
            <w:noProof/>
          </w:rPr>
          <w:t>3</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Mise en œuvre du Plan stratégique de l'UIT: progrès accomplis en vue d'atteindre </w:t>
        </w:r>
        <w:r w:rsidR="002F075E" w:rsidRPr="00F05A8A">
          <w:rPr>
            <w:rStyle w:val="Hyperlink"/>
            <w:noProof/>
          </w:rPr>
          <w:br/>
          <w:t>les buts et objectifs stratégiques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_Toc107466581 \h </w:instrText>
        </w:r>
        <w:r w:rsidR="002F075E" w:rsidRPr="00F05A8A">
          <w:rPr>
            <w:noProof/>
            <w:webHidden/>
          </w:rPr>
        </w:r>
        <w:r w:rsidR="002F075E" w:rsidRPr="00F05A8A">
          <w:rPr>
            <w:noProof/>
            <w:webHidden/>
          </w:rPr>
          <w:fldChar w:fldCharType="separate"/>
        </w:r>
        <w:r>
          <w:rPr>
            <w:noProof/>
            <w:webHidden/>
          </w:rPr>
          <w:t>73</w:t>
        </w:r>
        <w:r w:rsidR="002F075E" w:rsidRPr="00F05A8A">
          <w:rPr>
            <w:noProof/>
            <w:webHidden/>
          </w:rPr>
          <w:fldChar w:fldCharType="end"/>
        </w:r>
      </w:hyperlink>
    </w:p>
    <w:p w14:paraId="574142A0" w14:textId="61751A8B"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2" w:history="1">
        <w:r w:rsidR="002F075E" w:rsidRPr="00F05A8A">
          <w:rPr>
            <w:rStyle w:val="Hyperlink"/>
            <w:noProof/>
          </w:rPr>
          <w:t>3.1</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 xml:space="preserve">Contribution de l'UIT à la réalisation des Objectifs de développement </w:t>
        </w:r>
        <w:r w:rsidR="002F075E" w:rsidRPr="00F05A8A">
          <w:rPr>
            <w:rStyle w:val="Hyperlink"/>
            <w:noProof/>
          </w:rPr>
          <w:br/>
          <w:t>durable et des grandes orientations du SMSI</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_Toc107466582 \h </w:instrText>
        </w:r>
        <w:r w:rsidR="002F075E" w:rsidRPr="00F05A8A">
          <w:rPr>
            <w:noProof/>
            <w:webHidden/>
          </w:rPr>
        </w:r>
        <w:r w:rsidR="002F075E" w:rsidRPr="00F05A8A">
          <w:rPr>
            <w:noProof/>
            <w:webHidden/>
          </w:rPr>
          <w:fldChar w:fldCharType="separate"/>
        </w:r>
        <w:r>
          <w:rPr>
            <w:noProof/>
            <w:webHidden/>
          </w:rPr>
          <w:t>79</w:t>
        </w:r>
        <w:r w:rsidR="002F075E" w:rsidRPr="00F05A8A">
          <w:rPr>
            <w:noProof/>
            <w:webHidden/>
          </w:rPr>
          <w:fldChar w:fldCharType="end"/>
        </w:r>
      </w:hyperlink>
    </w:p>
    <w:p w14:paraId="7DA5E4BD" w14:textId="64D0E501"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3" w:history="1">
        <w:r w:rsidR="002F075E" w:rsidRPr="00F05A8A">
          <w:rPr>
            <w:rStyle w:val="Hyperlink"/>
            <w:noProof/>
          </w:rPr>
          <w:t>3.2</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Résultats des progrès vis-à-vis des buts stratégiques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_Toc107466583 \h </w:instrText>
        </w:r>
        <w:r w:rsidR="002F075E" w:rsidRPr="00F05A8A">
          <w:rPr>
            <w:noProof/>
            <w:webHidden/>
          </w:rPr>
        </w:r>
        <w:r w:rsidR="002F075E" w:rsidRPr="00F05A8A">
          <w:rPr>
            <w:noProof/>
            <w:webHidden/>
          </w:rPr>
          <w:fldChar w:fldCharType="separate"/>
        </w:r>
        <w:r>
          <w:rPr>
            <w:noProof/>
            <w:webHidden/>
          </w:rPr>
          <w:t>82</w:t>
        </w:r>
        <w:r w:rsidR="002F075E" w:rsidRPr="00F05A8A">
          <w:rPr>
            <w:noProof/>
            <w:webHidden/>
          </w:rPr>
          <w:fldChar w:fldCharType="end"/>
        </w:r>
      </w:hyperlink>
    </w:p>
    <w:p w14:paraId="60452716" w14:textId="70326E9F"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4" w:history="1">
        <w:r w:rsidR="002F075E" w:rsidRPr="00F05A8A">
          <w:rPr>
            <w:rStyle w:val="Hyperlink"/>
            <w:noProof/>
          </w:rPr>
          <w:t>3.3</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Résultats des travaux de l'Union – Objectifs des Secteurs et objectifs intersectoriels de l'UIT</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_Toc107466584 \h </w:instrText>
        </w:r>
        <w:r w:rsidR="002F075E" w:rsidRPr="00F05A8A">
          <w:rPr>
            <w:noProof/>
            <w:webHidden/>
          </w:rPr>
        </w:r>
        <w:r w:rsidR="002F075E" w:rsidRPr="00F05A8A">
          <w:rPr>
            <w:noProof/>
            <w:webHidden/>
          </w:rPr>
          <w:fldChar w:fldCharType="separate"/>
        </w:r>
        <w:r>
          <w:rPr>
            <w:noProof/>
            <w:webHidden/>
          </w:rPr>
          <w:t>88</w:t>
        </w:r>
        <w:r w:rsidR="002F075E" w:rsidRPr="00F05A8A">
          <w:rPr>
            <w:noProof/>
            <w:webHidden/>
          </w:rPr>
          <w:fldChar w:fldCharType="end"/>
        </w:r>
      </w:hyperlink>
    </w:p>
    <w:p w14:paraId="57F95DB8" w14:textId="36F3893D"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5" w:history="1">
        <w:r w:rsidR="002F075E" w:rsidRPr="00F05A8A">
          <w:rPr>
            <w:rStyle w:val="Hyperlink"/>
            <w:noProof/>
          </w:rPr>
          <w:t>3.4</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Résultats des catalyseurs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_Toc107466585 \h </w:instrText>
        </w:r>
        <w:r w:rsidR="002F075E" w:rsidRPr="00F05A8A">
          <w:rPr>
            <w:noProof/>
            <w:webHidden/>
          </w:rPr>
        </w:r>
        <w:r w:rsidR="002F075E" w:rsidRPr="00F05A8A">
          <w:rPr>
            <w:noProof/>
            <w:webHidden/>
          </w:rPr>
          <w:fldChar w:fldCharType="separate"/>
        </w:r>
        <w:r>
          <w:rPr>
            <w:noProof/>
            <w:webHidden/>
          </w:rPr>
          <w:t>88</w:t>
        </w:r>
        <w:r w:rsidR="002F075E" w:rsidRPr="00F05A8A">
          <w:rPr>
            <w:noProof/>
            <w:webHidden/>
          </w:rPr>
          <w:fldChar w:fldCharType="end"/>
        </w:r>
      </w:hyperlink>
    </w:p>
    <w:p w14:paraId="148D36CF" w14:textId="75F57BA7"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6" w:history="1">
        <w:r w:rsidR="002F075E" w:rsidRPr="00F05A8A">
          <w:rPr>
            <w:rStyle w:val="Hyperlink"/>
            <w:noProof/>
          </w:rPr>
          <w:t>3.5</w:t>
        </w:r>
        <w:r w:rsidR="002F075E" w:rsidRPr="00F05A8A">
          <w:rPr>
            <w:rFonts w:asciiTheme="minorHAnsi" w:eastAsiaTheme="minorEastAsia" w:hAnsiTheme="minorHAnsi" w:cstheme="minorBidi"/>
            <w:noProof/>
            <w:sz w:val="22"/>
            <w:szCs w:val="22"/>
            <w:lang w:eastAsia="fr-FR"/>
          </w:rPr>
          <w:tab/>
        </w:r>
        <w:r w:rsidR="002F075E" w:rsidRPr="00F05A8A">
          <w:rPr>
            <w:rStyle w:val="Hyperlink"/>
            <w:noProof/>
          </w:rPr>
          <w:t>Priorités pour 2022-2023</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_Toc107466586 \h </w:instrText>
        </w:r>
        <w:r w:rsidR="002F075E" w:rsidRPr="00F05A8A">
          <w:rPr>
            <w:noProof/>
            <w:webHidden/>
          </w:rPr>
        </w:r>
        <w:r w:rsidR="002F075E" w:rsidRPr="00F05A8A">
          <w:rPr>
            <w:noProof/>
            <w:webHidden/>
          </w:rPr>
          <w:fldChar w:fldCharType="separate"/>
        </w:r>
        <w:r>
          <w:rPr>
            <w:noProof/>
            <w:webHidden/>
          </w:rPr>
          <w:t>88</w:t>
        </w:r>
        <w:r w:rsidR="002F075E" w:rsidRPr="00F05A8A">
          <w:rPr>
            <w:noProof/>
            <w:webHidden/>
          </w:rPr>
          <w:fldChar w:fldCharType="end"/>
        </w:r>
      </w:hyperlink>
    </w:p>
    <w:p w14:paraId="087C6A4F" w14:textId="362AC18F" w:rsidR="002F075E" w:rsidRPr="00F05A8A" w:rsidRDefault="00ED2695">
      <w:pPr>
        <w:pStyle w:val="TOC1"/>
        <w:rPr>
          <w:rFonts w:asciiTheme="minorHAnsi" w:eastAsiaTheme="minorEastAsia" w:hAnsiTheme="minorHAnsi" w:cstheme="minorBidi"/>
          <w:noProof/>
          <w:sz w:val="22"/>
          <w:szCs w:val="22"/>
          <w:lang w:eastAsia="fr-FR"/>
        </w:rPr>
      </w:pPr>
      <w:hyperlink w:anchor="_Toc107466587" w:history="1">
        <w:r w:rsidR="002F075E" w:rsidRPr="00F05A8A">
          <w:rPr>
            <w:rStyle w:val="Hyperlink"/>
            <w:noProof/>
          </w:rPr>
          <w:t>Annexe 1 – Mise en œuvre des Résolutions de la Conférence de plénipotentiaires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_Toc107466587 \h </w:instrText>
        </w:r>
        <w:r w:rsidR="002F075E" w:rsidRPr="00F05A8A">
          <w:rPr>
            <w:noProof/>
            <w:webHidden/>
          </w:rPr>
        </w:r>
        <w:r w:rsidR="002F075E" w:rsidRPr="00F05A8A">
          <w:rPr>
            <w:noProof/>
            <w:webHidden/>
          </w:rPr>
          <w:fldChar w:fldCharType="separate"/>
        </w:r>
        <w:r>
          <w:rPr>
            <w:noProof/>
            <w:webHidden/>
          </w:rPr>
          <w:t>89</w:t>
        </w:r>
        <w:r w:rsidR="002F075E" w:rsidRPr="00F05A8A">
          <w:rPr>
            <w:noProof/>
            <w:webHidden/>
          </w:rPr>
          <w:fldChar w:fldCharType="end"/>
        </w:r>
      </w:hyperlink>
    </w:p>
    <w:p w14:paraId="28071AA3" w14:textId="226CE1C3" w:rsidR="002F075E" w:rsidRPr="00F05A8A" w:rsidRDefault="00ED2695">
      <w:pPr>
        <w:pStyle w:val="TOC1"/>
        <w:rPr>
          <w:rFonts w:asciiTheme="minorHAnsi" w:eastAsiaTheme="minorEastAsia" w:hAnsiTheme="minorHAnsi" w:cstheme="minorBidi"/>
          <w:noProof/>
          <w:sz w:val="22"/>
          <w:szCs w:val="22"/>
          <w:lang w:eastAsia="fr-FR"/>
        </w:rPr>
      </w:pPr>
      <w:hyperlink w:anchor="_Toc107466588" w:history="1">
        <w:r w:rsidR="002F075E" w:rsidRPr="00F05A8A">
          <w:rPr>
            <w:rStyle w:val="Hyperlink"/>
            <w:noProof/>
          </w:rPr>
          <w:t>Annexe 2 – Résultats des travaux de l'Union/Efficacité des catalyseurs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_Toc107466588 \h </w:instrText>
        </w:r>
        <w:r w:rsidR="002F075E" w:rsidRPr="00F05A8A">
          <w:rPr>
            <w:noProof/>
            <w:webHidden/>
          </w:rPr>
        </w:r>
        <w:r w:rsidR="002F075E" w:rsidRPr="00F05A8A">
          <w:rPr>
            <w:noProof/>
            <w:webHidden/>
          </w:rPr>
          <w:fldChar w:fldCharType="separate"/>
        </w:r>
        <w:r>
          <w:rPr>
            <w:noProof/>
            <w:webHidden/>
          </w:rPr>
          <w:t>112</w:t>
        </w:r>
        <w:r w:rsidR="002F075E" w:rsidRPr="00F05A8A">
          <w:rPr>
            <w:noProof/>
            <w:webHidden/>
          </w:rPr>
          <w:fldChar w:fldCharType="end"/>
        </w:r>
      </w:hyperlink>
    </w:p>
    <w:p w14:paraId="3395B310" w14:textId="27AE7ED5"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89" w:history="1">
        <w:r w:rsidR="002F075E" w:rsidRPr="00F05A8A">
          <w:rPr>
            <w:rStyle w:val="Hyperlink"/>
            <w:noProof/>
          </w:rPr>
          <w:t>Objectifs de l'UIT-R</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_Toc107466589 \h </w:instrText>
        </w:r>
        <w:r w:rsidR="002F075E" w:rsidRPr="00F05A8A">
          <w:rPr>
            <w:noProof/>
            <w:webHidden/>
          </w:rPr>
        </w:r>
        <w:r w:rsidR="002F075E" w:rsidRPr="00F05A8A">
          <w:rPr>
            <w:noProof/>
            <w:webHidden/>
          </w:rPr>
          <w:fldChar w:fldCharType="separate"/>
        </w:r>
        <w:r>
          <w:rPr>
            <w:noProof/>
            <w:webHidden/>
          </w:rPr>
          <w:t>112</w:t>
        </w:r>
        <w:r w:rsidR="002F075E" w:rsidRPr="00F05A8A">
          <w:rPr>
            <w:noProof/>
            <w:webHidden/>
          </w:rPr>
          <w:fldChar w:fldCharType="end"/>
        </w:r>
      </w:hyperlink>
    </w:p>
    <w:p w14:paraId="11032A1B" w14:textId="73351CBD"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90" w:history="1">
        <w:r w:rsidR="002F075E" w:rsidRPr="00F05A8A">
          <w:rPr>
            <w:rStyle w:val="Hyperlink"/>
            <w:noProof/>
          </w:rPr>
          <w:t>Objectifs de l'UIT-T</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_Toc107466590 \h </w:instrText>
        </w:r>
        <w:r w:rsidR="002F075E" w:rsidRPr="00F05A8A">
          <w:rPr>
            <w:noProof/>
            <w:webHidden/>
          </w:rPr>
        </w:r>
        <w:r w:rsidR="002F075E" w:rsidRPr="00F05A8A">
          <w:rPr>
            <w:noProof/>
            <w:webHidden/>
          </w:rPr>
          <w:fldChar w:fldCharType="separate"/>
        </w:r>
        <w:r>
          <w:rPr>
            <w:noProof/>
            <w:webHidden/>
          </w:rPr>
          <w:t>117</w:t>
        </w:r>
        <w:r w:rsidR="002F075E" w:rsidRPr="00F05A8A">
          <w:rPr>
            <w:noProof/>
            <w:webHidden/>
          </w:rPr>
          <w:fldChar w:fldCharType="end"/>
        </w:r>
      </w:hyperlink>
    </w:p>
    <w:p w14:paraId="4173179D" w14:textId="2DC76F7B"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91" w:history="1">
        <w:r w:rsidR="002F075E" w:rsidRPr="00F05A8A">
          <w:rPr>
            <w:rStyle w:val="Hyperlink"/>
            <w:noProof/>
          </w:rPr>
          <w:t>Objectifs de l'UIT-D</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_Toc107466591 \h </w:instrText>
        </w:r>
        <w:r w:rsidR="002F075E" w:rsidRPr="00F05A8A">
          <w:rPr>
            <w:noProof/>
            <w:webHidden/>
          </w:rPr>
        </w:r>
        <w:r w:rsidR="002F075E" w:rsidRPr="00F05A8A">
          <w:rPr>
            <w:noProof/>
            <w:webHidden/>
          </w:rPr>
          <w:fldChar w:fldCharType="separate"/>
        </w:r>
        <w:r>
          <w:rPr>
            <w:noProof/>
            <w:webHidden/>
          </w:rPr>
          <w:t>123</w:t>
        </w:r>
        <w:r w:rsidR="002F075E" w:rsidRPr="00F05A8A">
          <w:rPr>
            <w:noProof/>
            <w:webHidden/>
          </w:rPr>
          <w:fldChar w:fldCharType="end"/>
        </w:r>
      </w:hyperlink>
    </w:p>
    <w:p w14:paraId="775DB8A6" w14:textId="6F78F1DC"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92" w:history="1">
        <w:r w:rsidR="002F075E" w:rsidRPr="00F05A8A">
          <w:rPr>
            <w:rStyle w:val="Hyperlink"/>
            <w:noProof/>
          </w:rPr>
          <w:t>Objectifs intersectoriels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_Toc107466592 \h </w:instrText>
        </w:r>
        <w:r w:rsidR="002F075E" w:rsidRPr="00F05A8A">
          <w:rPr>
            <w:noProof/>
            <w:webHidden/>
          </w:rPr>
        </w:r>
        <w:r w:rsidR="002F075E" w:rsidRPr="00F05A8A">
          <w:rPr>
            <w:noProof/>
            <w:webHidden/>
          </w:rPr>
          <w:fldChar w:fldCharType="separate"/>
        </w:r>
        <w:r>
          <w:rPr>
            <w:noProof/>
            <w:webHidden/>
          </w:rPr>
          <w:t>130</w:t>
        </w:r>
        <w:r w:rsidR="002F075E" w:rsidRPr="00F05A8A">
          <w:rPr>
            <w:noProof/>
            <w:webHidden/>
          </w:rPr>
          <w:fldChar w:fldCharType="end"/>
        </w:r>
      </w:hyperlink>
    </w:p>
    <w:p w14:paraId="6181B79B" w14:textId="6893E399" w:rsidR="002F075E" w:rsidRPr="00F05A8A" w:rsidRDefault="00ED2695" w:rsidP="002F075E">
      <w:pPr>
        <w:pStyle w:val="TOC2"/>
        <w:ind w:left="1928"/>
        <w:rPr>
          <w:rFonts w:asciiTheme="minorHAnsi" w:eastAsiaTheme="minorEastAsia" w:hAnsiTheme="minorHAnsi" w:cstheme="minorBidi"/>
          <w:noProof/>
          <w:sz w:val="22"/>
          <w:szCs w:val="22"/>
          <w:lang w:eastAsia="fr-FR"/>
        </w:rPr>
      </w:pPr>
      <w:hyperlink w:anchor="_Toc107466593" w:history="1">
        <w:r w:rsidR="002F075E" w:rsidRPr="00F05A8A">
          <w:rPr>
            <w:rStyle w:val="Hyperlink"/>
            <w:noProof/>
          </w:rPr>
          <w:t>Catalyseurs</w:t>
        </w:r>
        <w:r w:rsidR="002F075E" w:rsidRPr="00F05A8A">
          <w:rPr>
            <w:noProof/>
            <w:webHidden/>
          </w:rPr>
          <w:tab/>
        </w:r>
        <w:r w:rsidR="002F075E" w:rsidRPr="00F05A8A">
          <w:rPr>
            <w:noProof/>
            <w:webHidden/>
          </w:rPr>
          <w:tab/>
        </w:r>
        <w:r w:rsidR="002F075E" w:rsidRPr="00F05A8A">
          <w:rPr>
            <w:noProof/>
            <w:webHidden/>
          </w:rPr>
          <w:fldChar w:fldCharType="begin"/>
        </w:r>
        <w:r w:rsidR="002F075E" w:rsidRPr="00F05A8A">
          <w:rPr>
            <w:noProof/>
            <w:webHidden/>
          </w:rPr>
          <w:instrText xml:space="preserve"> PAGEREF _Toc107466593 \h </w:instrText>
        </w:r>
        <w:r w:rsidR="002F075E" w:rsidRPr="00F05A8A">
          <w:rPr>
            <w:noProof/>
            <w:webHidden/>
          </w:rPr>
        </w:r>
        <w:r w:rsidR="002F075E" w:rsidRPr="00F05A8A">
          <w:rPr>
            <w:noProof/>
            <w:webHidden/>
          </w:rPr>
          <w:fldChar w:fldCharType="separate"/>
        </w:r>
        <w:r>
          <w:rPr>
            <w:noProof/>
            <w:webHidden/>
          </w:rPr>
          <w:t>137</w:t>
        </w:r>
        <w:r w:rsidR="002F075E" w:rsidRPr="00F05A8A">
          <w:rPr>
            <w:noProof/>
            <w:webHidden/>
          </w:rPr>
          <w:fldChar w:fldCharType="end"/>
        </w:r>
      </w:hyperlink>
    </w:p>
    <w:p w14:paraId="2288C472" w14:textId="486DA686" w:rsidR="00D80461" w:rsidRPr="00F05A8A" w:rsidRDefault="002F075E" w:rsidP="002F075E">
      <w:pPr>
        <w:sectPr w:rsidR="00D80461" w:rsidRPr="00F05A8A" w:rsidSect="0075560B">
          <w:headerReference w:type="even" r:id="rId17"/>
          <w:headerReference w:type="default" r:id="rId18"/>
          <w:footerReference w:type="even" r:id="rId19"/>
          <w:footerReference w:type="default" r:id="rId20"/>
          <w:headerReference w:type="first" r:id="rId21"/>
          <w:footerReference w:type="first" r:id="rId22"/>
          <w:pgSz w:w="11907" w:h="16840" w:code="9"/>
          <w:pgMar w:top="1418" w:right="1134" w:bottom="1418" w:left="1134" w:header="720" w:footer="720" w:gutter="0"/>
          <w:paperSrc w:first="261" w:other="261"/>
          <w:cols w:space="720"/>
          <w:titlePg/>
        </w:sectPr>
      </w:pPr>
      <w:r w:rsidRPr="00F05A8A">
        <w:rPr>
          <w:szCs w:val="24"/>
        </w:rPr>
        <w:fldChar w:fldCharType="end"/>
      </w:r>
    </w:p>
    <w:p w14:paraId="73E5123E" w14:textId="5E2956C7" w:rsidR="00D80461" w:rsidRPr="00F05A8A" w:rsidRDefault="00D80461" w:rsidP="002F075E">
      <w:pPr>
        <w:pStyle w:val="Heading1"/>
      </w:pPr>
      <w:bookmarkStart w:id="22" w:name="_Toc72846574"/>
      <w:bookmarkStart w:id="23" w:name="_Toc98513599"/>
      <w:bookmarkStart w:id="24" w:name="_Toc107466561"/>
      <w:r w:rsidRPr="00F05A8A">
        <w:lastRenderedPageBreak/>
        <w:t>1</w:t>
      </w:r>
      <w:r w:rsidRPr="00F05A8A">
        <w:tab/>
        <w:t>Principaux thèmes de travail</w:t>
      </w:r>
      <w:bookmarkEnd w:id="17"/>
      <w:bookmarkEnd w:id="22"/>
      <w:bookmarkEnd w:id="23"/>
      <w:bookmarkEnd w:id="24"/>
    </w:p>
    <w:p w14:paraId="72F2FDC3" w14:textId="724CB6A1" w:rsidR="004C5B6B" w:rsidRPr="00F05A8A" w:rsidRDefault="004C5B6B" w:rsidP="002F075E">
      <w:pPr>
        <w:pStyle w:val="Heading2"/>
      </w:pPr>
      <w:bookmarkStart w:id="25" w:name="_Toc104900703"/>
      <w:bookmarkStart w:id="26" w:name="_Toc107466562"/>
      <w:r w:rsidRPr="00F05A8A">
        <w:t>1.1</w:t>
      </w:r>
      <w:r w:rsidRPr="00F05A8A">
        <w:tab/>
      </w:r>
      <w:bookmarkEnd w:id="25"/>
      <w:r w:rsidR="00AB2428" w:rsidRPr="00F05A8A">
        <w:t>Conférences</w:t>
      </w:r>
      <w:r w:rsidR="009E136A" w:rsidRPr="00F05A8A">
        <w:t xml:space="preserve"> mondiales</w:t>
      </w:r>
      <w:bookmarkEnd w:id="26"/>
    </w:p>
    <w:p w14:paraId="35F9C3A5" w14:textId="5F6A99A4" w:rsidR="00D80461" w:rsidRPr="00F05A8A" w:rsidRDefault="004C5B6B" w:rsidP="002F075E">
      <w:pPr>
        <w:pStyle w:val="Heading3"/>
      </w:pPr>
      <w:bookmarkStart w:id="27" w:name="_1.1_CMR-19_et"/>
      <w:bookmarkStart w:id="28" w:name="_Toc41032041"/>
      <w:bookmarkStart w:id="29" w:name="_Toc72846575"/>
      <w:bookmarkStart w:id="30" w:name="_Toc98513600"/>
      <w:bookmarkStart w:id="31" w:name="_Toc107466563"/>
      <w:bookmarkEnd w:id="27"/>
      <w:r w:rsidRPr="00F05A8A">
        <w:t>1.</w:t>
      </w:r>
      <w:r w:rsidR="00D80461" w:rsidRPr="00F05A8A">
        <w:t>1.1</w:t>
      </w:r>
      <w:r w:rsidR="00D80461" w:rsidRPr="00F05A8A">
        <w:tab/>
        <w:t>CMR-19 et AR-19</w:t>
      </w:r>
      <w:bookmarkEnd w:id="28"/>
      <w:bookmarkEnd w:id="29"/>
      <w:bookmarkEnd w:id="30"/>
      <w:bookmarkEnd w:id="31"/>
    </w:p>
    <w:p w14:paraId="49D352CE" w14:textId="77777777" w:rsidR="00D80461" w:rsidRPr="00F05A8A" w:rsidRDefault="00D80461" w:rsidP="002F075E">
      <w:pPr>
        <w:pStyle w:val="Headingb"/>
      </w:pPr>
      <w:bookmarkStart w:id="32" w:name="_Toc41032042"/>
      <w:bookmarkStart w:id="33" w:name="_Toc72845002"/>
      <w:bookmarkStart w:id="34" w:name="_Toc72846351"/>
      <w:bookmarkStart w:id="35" w:name="_Toc72846576"/>
      <w:bookmarkStart w:id="36" w:name="_Toc95387459"/>
      <w:r w:rsidRPr="00F05A8A">
        <w:t>Conférence mondiale des radiocommunications de 2019 (CMR-19)</w:t>
      </w:r>
      <w:bookmarkEnd w:id="32"/>
      <w:bookmarkEnd w:id="33"/>
      <w:bookmarkEnd w:id="34"/>
      <w:bookmarkEnd w:id="35"/>
      <w:bookmarkEnd w:id="36"/>
    </w:p>
    <w:p w14:paraId="4B1C75B6" w14:textId="77777777" w:rsidR="00D80461" w:rsidRPr="00F05A8A" w:rsidRDefault="00D80461" w:rsidP="002F075E">
      <w:r w:rsidRPr="00F05A8A">
        <w:t>En application de la Résolution 809 (CMR-15), et conformément à la Résolution 1380 (C16, modifiée C17) du Conseil, la Conférence mondiale des radiocommunications de 2019 (CMR</w:t>
      </w:r>
      <w:r w:rsidRPr="00F05A8A">
        <w:noBreakHyphen/>
        <w:t xml:space="preserve">19), qui s'est tenue à Charm el-Cheikh (Égypte), du 28 octobre au 22 novembre 2019, a réuni 3 420 participants représentant 163 États Membres et 129 organisations ayant le statut d'observateur. Les principaux résultats figurent dans les </w:t>
      </w:r>
      <w:hyperlink r:id="rId23" w:history="1">
        <w:r w:rsidRPr="00F05A8A">
          <w:rPr>
            <w:rStyle w:val="Hyperlink"/>
          </w:rPr>
          <w:t>Actes finals de la CMR-19</w:t>
        </w:r>
      </w:hyperlink>
      <w:r w:rsidRPr="00F05A8A">
        <w:t xml:space="preserve">. Des informations complètes sont disponibles à l'adresse </w:t>
      </w:r>
      <w:hyperlink r:id="rId24" w:history="1">
        <w:r w:rsidRPr="00F05A8A">
          <w:rPr>
            <w:rStyle w:val="Hyperlink"/>
          </w:rPr>
          <w:t>www.itu.int/go/WRC-19</w:t>
        </w:r>
      </w:hyperlink>
      <w:r w:rsidRPr="00F05A8A">
        <w:t>.</w:t>
      </w:r>
    </w:p>
    <w:p w14:paraId="1DDCAEE5" w14:textId="77777777" w:rsidR="00D80461" w:rsidRPr="00F05A8A" w:rsidRDefault="00D80461" w:rsidP="002F075E">
      <w:pPr>
        <w:rPr>
          <w:u w:val="single"/>
        </w:rPr>
      </w:pPr>
      <w:bookmarkStart w:id="37" w:name="_Toc41032043"/>
      <w:bookmarkStart w:id="38" w:name="_Toc72845003"/>
      <w:bookmarkStart w:id="39" w:name="_Toc72846352"/>
      <w:bookmarkStart w:id="40" w:name="_Toc72846577"/>
      <w:r w:rsidRPr="00F05A8A">
        <w:rPr>
          <w:u w:val="single"/>
        </w:rPr>
        <w:t>Principaux résultats de la CMR-19</w:t>
      </w:r>
      <w:bookmarkEnd w:id="37"/>
      <w:bookmarkEnd w:id="38"/>
      <w:bookmarkEnd w:id="39"/>
      <w:bookmarkEnd w:id="40"/>
    </w:p>
    <w:p w14:paraId="362E509F" w14:textId="77777777" w:rsidR="00D80461" w:rsidRPr="00F05A8A" w:rsidRDefault="00D80461" w:rsidP="002F075E">
      <w:r w:rsidRPr="00F05A8A">
        <w:t>La CMR-19 a examiné plus de 36 questions se rapportant à l'attribution de bandes de fréquences et au partage de fréquences aux fins de l'utilisation efficace des ressources que sont le spectre et les orbites. Les principaux résultats de la CMR-19 sont présentés ci-après.</w:t>
      </w:r>
    </w:p>
    <w:p w14:paraId="29D7BDE7" w14:textId="77777777" w:rsidR="00D80461" w:rsidRPr="00F05A8A" w:rsidRDefault="00D80461" w:rsidP="002F075E">
      <w:pPr>
        <w:pStyle w:val="enumlev1"/>
      </w:pPr>
      <w:r w:rsidRPr="00F05A8A">
        <w:t>•</w:t>
      </w:r>
      <w:r w:rsidRPr="00F05A8A">
        <w:tab/>
        <w:t>Communications à large bande fixes et mobiles</w:t>
      </w:r>
    </w:p>
    <w:p w14:paraId="549D0E19" w14:textId="77777777" w:rsidR="00D80461" w:rsidRPr="00F05A8A" w:rsidRDefault="00D80461" w:rsidP="002F075E">
      <w:pPr>
        <w:ind w:left="567"/>
        <w:rPr>
          <w:rFonts w:eastAsia="Arial Unicode MS"/>
          <w:szCs w:val="24"/>
        </w:rPr>
      </w:pPr>
      <w:r w:rsidRPr="00F05A8A">
        <w:rPr>
          <w:rFonts w:eastAsia="Arial Unicode MS"/>
        </w:rPr>
        <w:t>Afin de satisfaire les besoins des IMT-2020/de la 5G en matière de spectre millimétrique, la CMR</w:t>
      </w:r>
      <w:r w:rsidRPr="00F05A8A">
        <w:rPr>
          <w:rFonts w:eastAsia="Arial Unicode MS"/>
        </w:rPr>
        <w:noBreakHyphen/>
        <w:t xml:space="preserve">19 a identifié une quantité additionnelle de spectre de 17,25 GHz pour les IMT aux </w:t>
      </w:r>
      <w:r w:rsidRPr="00F05A8A">
        <w:rPr>
          <w:color w:val="000000"/>
        </w:rPr>
        <w:t xml:space="preserve">fréquences comprises entre </w:t>
      </w:r>
      <w:r w:rsidRPr="00F05A8A">
        <w:rPr>
          <w:rFonts w:eastAsia="Arial Unicode MS"/>
        </w:rPr>
        <w:t>24 GHz et 71 GHz, dont 86</w:t>
      </w:r>
      <w:bookmarkStart w:id="41" w:name="_Hlk34647018"/>
      <w:r w:rsidRPr="00F05A8A">
        <w:rPr>
          <w:rFonts w:eastAsia="Arial Unicode MS"/>
        </w:rPr>
        <w:t>% ont été harmonisés à l'échelle mondiale</w:t>
      </w:r>
      <w:bookmarkEnd w:id="41"/>
      <w:r w:rsidRPr="00F05A8A">
        <w:rPr>
          <w:rFonts w:eastAsia="Arial Unicode MS"/>
        </w:rPr>
        <w:t xml:space="preserve">. Les bandes de fréquences additionnelles </w:t>
      </w:r>
      <w:r w:rsidRPr="00F05A8A">
        <w:rPr>
          <w:rFonts w:eastAsia="Arial Unicode MS"/>
          <w:spacing w:val="8"/>
        </w:rPr>
        <w:t>24,25-27,5 GHz, 37</w:t>
      </w:r>
      <w:r w:rsidRPr="00F05A8A">
        <w:rPr>
          <w:rFonts w:eastAsia="Arial Unicode MS"/>
          <w:spacing w:val="8"/>
        </w:rPr>
        <w:noBreakHyphen/>
        <w:t>43,5 GHz et </w:t>
      </w:r>
      <w:r w:rsidRPr="00F05A8A">
        <w:rPr>
          <w:rFonts w:eastAsia="Arial Unicode MS"/>
        </w:rPr>
        <w:t>66</w:t>
      </w:r>
      <w:r w:rsidRPr="00F05A8A">
        <w:rPr>
          <w:rFonts w:eastAsia="Arial Unicode MS"/>
        </w:rPr>
        <w:noBreakHyphen/>
        <w:t xml:space="preserve">71 GHz ont été identifiées et des fréquences ont été identifiées aux niveaux régional et national dans les bandes </w:t>
      </w:r>
      <w:r w:rsidRPr="00F05A8A">
        <w:rPr>
          <w:rFonts w:eastAsia="Arial Unicode MS"/>
          <w:spacing w:val="4"/>
        </w:rPr>
        <w:t>45,5-47 GHz et</w:t>
      </w:r>
      <w:r w:rsidRPr="00F05A8A">
        <w:rPr>
          <w:rFonts w:eastAsia="Arial Unicode MS"/>
        </w:rPr>
        <w:t xml:space="preserve"> 47,2-48,2 GHz.</w:t>
      </w:r>
    </w:p>
    <w:p w14:paraId="2832C45A" w14:textId="77777777" w:rsidR="00D80461" w:rsidRPr="00F05A8A" w:rsidRDefault="00D80461" w:rsidP="002F075E">
      <w:pPr>
        <w:ind w:left="567"/>
        <w:rPr>
          <w:rFonts w:eastAsia="Arial Unicode MS"/>
          <w:szCs w:val="24"/>
        </w:rPr>
      </w:pPr>
      <w:r w:rsidRPr="00F05A8A">
        <w:rPr>
          <w:rFonts w:eastAsia="Arial Unicode MS"/>
        </w:rPr>
        <w:t>La CMR-19 a mis à jour la Résolution 750, afin de fixer des limites pour les niveaux de puissance des rayonnements non désirés produits par les systèmes IMT dans la bande de fréquences 24,25</w:t>
      </w:r>
      <w:r w:rsidRPr="00F05A8A">
        <w:rPr>
          <w:rFonts w:eastAsia="Arial Unicode MS"/>
        </w:rPr>
        <w:noBreakHyphen/>
        <w:t>27,5 GHz. La limite</w:t>
      </w:r>
      <w:r w:rsidRPr="00F05A8A">
        <w:rPr>
          <w:color w:val="000000"/>
        </w:rPr>
        <w:t xml:space="preserve"> imposée à la puissance des rayonnements non désirés</w:t>
      </w:r>
      <w:r w:rsidRPr="00F05A8A">
        <w:rPr>
          <w:rFonts w:eastAsia="Arial Unicode MS"/>
        </w:rPr>
        <w:t xml:space="preserve"> devient plus stricte pour les systèmes IMT déployés après le 1er septembre 2027.</w:t>
      </w:r>
    </w:p>
    <w:p w14:paraId="3EA3806B" w14:textId="77777777" w:rsidR="00D80461" w:rsidRPr="00F05A8A" w:rsidRDefault="00D80461" w:rsidP="002F075E">
      <w:pPr>
        <w:ind w:left="567"/>
        <w:rPr>
          <w:rFonts w:eastAsia="Arial Unicode MS"/>
          <w:szCs w:val="24"/>
        </w:rPr>
      </w:pPr>
      <w:r w:rsidRPr="00F05A8A">
        <w:rPr>
          <w:rFonts w:eastAsia="Arial Unicode MS"/>
        </w:rPr>
        <w:t xml:space="preserve">La CMR-19 a modifié les conditions réglementaires applicables aux systèmes d'accès hertzien, y compris </w:t>
      </w:r>
      <w:r w:rsidRPr="00F05A8A">
        <w:rPr>
          <w:color w:val="000000"/>
        </w:rPr>
        <w:t>aux réseaux locaux hertziens (WAS/RLAN)</w:t>
      </w:r>
      <w:r w:rsidRPr="00F05A8A">
        <w:rPr>
          <w:rFonts w:eastAsia="Arial Unicode MS"/>
        </w:rPr>
        <w:t xml:space="preserve"> dans la bande de fréquences 5 150</w:t>
      </w:r>
      <w:r w:rsidRPr="00F05A8A">
        <w:rPr>
          <w:rFonts w:eastAsia="Arial Unicode MS"/>
        </w:rPr>
        <w:noBreakHyphen/>
        <w:t xml:space="preserve">5 250 MHz, </w:t>
      </w:r>
      <w:r w:rsidRPr="00F05A8A">
        <w:rPr>
          <w:color w:val="000000"/>
        </w:rPr>
        <w:t>ce qui rend possible l'utilisation de dispositifs WiFi dans les trains et les voitures.</w:t>
      </w:r>
      <w:r w:rsidRPr="00F05A8A">
        <w:rPr>
          <w:rFonts w:eastAsia="Arial Unicode MS"/>
        </w:rPr>
        <w:t xml:space="preserve"> Elle permet le déploiement limité de dispositifs WAS/RLAN en extérieur, tout en assurant dûment la protection des services spatiaux.</w:t>
      </w:r>
    </w:p>
    <w:p w14:paraId="21826CE7" w14:textId="77777777" w:rsidR="00D80461" w:rsidRPr="00F05A8A" w:rsidRDefault="00D80461" w:rsidP="002F075E">
      <w:pPr>
        <w:ind w:left="567"/>
        <w:rPr>
          <w:rFonts w:eastAsia="Arial Unicode MS"/>
          <w:szCs w:val="24"/>
        </w:rPr>
      </w:pPr>
      <w:r w:rsidRPr="00F05A8A">
        <w:rPr>
          <w:rFonts w:eastAsia="Arial Unicode MS"/>
        </w:rPr>
        <w:t xml:space="preserve">Des bandes de fréquences pour les stations placées sur des plates-formes à haute altitude (HAPS) ont été identifiées dans le monde entier ainsi que d'autres bandes en Région 2, avec une quantité de spectre de 5,25 GHz, ce qui facilite le développement des stations HAPS grâce auxquelles il est possible d'assurer une connectivité large bande financièrement abordable dans les communautés mal desservies et dans les zones rurales et isolées, </w:t>
      </w:r>
      <w:r w:rsidRPr="00F05A8A">
        <w:rPr>
          <w:color w:val="000000"/>
        </w:rPr>
        <w:t>notamment dans les zones montagneuses et désertiques. Les stations HAPS peuvent aussi être utilisées pour assurer des communications en vue du retour à la normale après une catastrophe.</w:t>
      </w:r>
    </w:p>
    <w:p w14:paraId="2398A034" w14:textId="77777777" w:rsidR="00D80461" w:rsidRPr="00F05A8A" w:rsidRDefault="00D80461" w:rsidP="002F075E">
      <w:pPr>
        <w:keepLines/>
        <w:ind w:left="567"/>
        <w:rPr>
          <w:rFonts w:eastAsia="Arial Unicode MS"/>
          <w:szCs w:val="24"/>
        </w:rPr>
      </w:pPr>
      <w:r w:rsidRPr="00F05A8A">
        <w:rPr>
          <w:rFonts w:eastAsia="Arial Unicode MS"/>
        </w:rPr>
        <w:lastRenderedPageBreak/>
        <w:t>Des bandes comprises entre 275 et 450 GHz ont été identifiées pour les services mobile terrestre et fixe, ainsi que les conditions à appliquer pour protéger les applications du service d'exploration de la Terre par satellite (SETS) (passive). Cela permettra aux futurs systèmes fixes et mobiles d'utiliser des débits de données supérieurs à 100 Gbit/s.</w:t>
      </w:r>
    </w:p>
    <w:p w14:paraId="3146ACE7" w14:textId="77777777" w:rsidR="00D80461" w:rsidRPr="00F05A8A" w:rsidRDefault="00D80461" w:rsidP="002F075E">
      <w:pPr>
        <w:pStyle w:val="enumlev1"/>
        <w:rPr>
          <w:rFonts w:eastAsia="Arial Unicode MS"/>
        </w:rPr>
      </w:pPr>
      <w:bookmarkStart w:id="42" w:name="lt_pId250"/>
      <w:r w:rsidRPr="00F05A8A">
        <w:rPr>
          <w:rFonts w:eastAsia="Arial Unicode MS"/>
        </w:rPr>
        <w:t>•</w:t>
      </w:r>
      <w:r w:rsidRPr="00F05A8A">
        <w:rPr>
          <w:rFonts w:eastAsia="Arial Unicode MS"/>
        </w:rPr>
        <w:tab/>
        <w:t>Service de radioamateur</w:t>
      </w:r>
      <w:bookmarkEnd w:id="42"/>
    </w:p>
    <w:p w14:paraId="7F63F4BA" w14:textId="77777777" w:rsidR="00D80461" w:rsidRPr="00F05A8A" w:rsidRDefault="00D80461" w:rsidP="002F075E">
      <w:pPr>
        <w:spacing w:after="120"/>
        <w:ind w:left="567"/>
        <w:rPr>
          <w:rFonts w:eastAsia="Arial Unicode MS"/>
          <w:szCs w:val="24"/>
        </w:rPr>
      </w:pPr>
      <w:r w:rsidRPr="00F05A8A">
        <w:rPr>
          <w:rFonts w:eastAsia="Arial Unicode MS"/>
        </w:rPr>
        <w:t>La CMR-19 a fait des attributions au service d'amateur à titre secondaire dans la bande de fréquences 50-52 MHz en Région 1 et a défini les conditions permettant d'assurer la protection des services existants. Dans certains pays de la Région 1, l'attribution au service d'amateur est à titre primaire dans la totalité de la bande 50-54 MHz, ou dans des parties de cette bande, l'harmonisation du spectre dans les trois Régions ayant ainsi été menée à bien.</w:t>
      </w:r>
    </w:p>
    <w:p w14:paraId="38B08978" w14:textId="77777777" w:rsidR="00D80461" w:rsidRPr="00F05A8A" w:rsidRDefault="00D80461" w:rsidP="002F075E">
      <w:pPr>
        <w:pStyle w:val="enumlev1"/>
        <w:rPr>
          <w:rFonts w:eastAsia="Arial Unicode MS"/>
        </w:rPr>
      </w:pPr>
      <w:bookmarkStart w:id="43" w:name="lt_pId256"/>
      <w:r w:rsidRPr="00F05A8A">
        <w:rPr>
          <w:rFonts w:eastAsia="Arial Unicode MS"/>
        </w:rPr>
        <w:t>•</w:t>
      </w:r>
      <w:r w:rsidRPr="00F05A8A">
        <w:rPr>
          <w:rFonts w:eastAsia="Arial Unicode MS"/>
        </w:rPr>
        <w:tab/>
        <w:t>Technologies de radiocommunication pour les systèmes de transport</w:t>
      </w:r>
      <w:bookmarkEnd w:id="43"/>
      <w:r w:rsidRPr="00F05A8A">
        <w:rPr>
          <w:rFonts w:eastAsia="Arial Unicode MS"/>
        </w:rPr>
        <w:t xml:space="preserve"> et les systèmes de transport intelligents (ITS)</w:t>
      </w:r>
    </w:p>
    <w:p w14:paraId="67968AD8" w14:textId="77777777" w:rsidR="00D80461" w:rsidRPr="00F05A8A" w:rsidRDefault="00D80461" w:rsidP="002F075E">
      <w:pPr>
        <w:spacing w:after="120"/>
        <w:ind w:left="567"/>
        <w:rPr>
          <w:rFonts w:eastAsia="Arial Unicode MS"/>
          <w:szCs w:val="24"/>
        </w:rPr>
      </w:pPr>
      <w:r w:rsidRPr="00F05A8A">
        <w:rPr>
          <w:rFonts w:eastAsia="Arial Unicode MS"/>
        </w:rPr>
        <w:t>La CMR-19 a adopté une Résolution sur les systèmes de radiocommunication ferroviaires train/voie (RSTT). Cette Résolution contribue à</w:t>
      </w:r>
      <w:r w:rsidRPr="00F05A8A">
        <w:rPr>
          <w:color w:val="000000"/>
        </w:rPr>
        <w:t xml:space="preserve"> l'harmonisation des fréquences, à l'échelle mondiale ou régionale, pour les applications des RSTT et favorise ainsi les économies d'échelle et l'interopérabilité.</w:t>
      </w:r>
    </w:p>
    <w:p w14:paraId="155980E6" w14:textId="77777777" w:rsidR="00D80461" w:rsidRPr="00F05A8A" w:rsidRDefault="00D80461" w:rsidP="002F075E">
      <w:pPr>
        <w:spacing w:after="120"/>
        <w:ind w:left="567"/>
        <w:rPr>
          <w:color w:val="000000"/>
        </w:rPr>
      </w:pPr>
      <w:r w:rsidRPr="00F05A8A">
        <w:rPr>
          <w:rFonts w:eastAsia="Arial Unicode MS"/>
        </w:rPr>
        <w:t>La CMR-19 a adopté une nouvelle Recommandation dans laquelle elle recommande aux administrations d'envisager des bandes de fréquences harmonisées, telles qu'indiquées dans les Recommandations pertinentes (par exemple la Recommandation UIT-R M.2121), lorsqu'elles planifient et déploient des applications ITS en évolution. Cette Recommandation facilite</w:t>
      </w:r>
      <w:r w:rsidRPr="00F05A8A">
        <w:rPr>
          <w:color w:val="000000"/>
        </w:rPr>
        <w:t xml:space="preserve"> l'harmonisation des applications ITS, à l'échelle mondiale ou régionale.</w:t>
      </w:r>
    </w:p>
    <w:p w14:paraId="25B2B7C5" w14:textId="77777777" w:rsidR="00D80461" w:rsidRPr="00F05A8A" w:rsidRDefault="00D80461" w:rsidP="002F075E">
      <w:pPr>
        <w:pStyle w:val="enumlev1"/>
        <w:rPr>
          <w:rFonts w:eastAsia="Arial Unicode MS"/>
        </w:rPr>
      </w:pPr>
      <w:bookmarkStart w:id="44" w:name="lt_pId265"/>
      <w:r w:rsidRPr="00F05A8A">
        <w:rPr>
          <w:rFonts w:eastAsia="Arial Unicode MS"/>
        </w:rPr>
        <w:t>•</w:t>
      </w:r>
      <w:r w:rsidRPr="00F05A8A">
        <w:rPr>
          <w:rFonts w:eastAsia="Arial Unicode MS"/>
        </w:rPr>
        <w:tab/>
        <w:t>Systèmes et services améliorés de communication maritime</w:t>
      </w:r>
      <w:bookmarkEnd w:id="44"/>
    </w:p>
    <w:p w14:paraId="5440CD97" w14:textId="77777777" w:rsidR="00D80461" w:rsidRPr="00F05A8A" w:rsidRDefault="00D80461" w:rsidP="002F075E">
      <w:pPr>
        <w:ind w:left="567"/>
        <w:rPr>
          <w:rFonts w:eastAsia="Arial Unicode MS"/>
        </w:rPr>
      </w:pPr>
      <w:bookmarkStart w:id="45" w:name="_Hlk31362949"/>
      <w:r w:rsidRPr="00F05A8A">
        <w:rPr>
          <w:rFonts w:eastAsia="Arial Unicode MS"/>
        </w:rPr>
        <w:t>La CMR-19 a autorisé l'utilisation du système NAVDAT (données de navigation) dans certaines bandes de fréquences moyennes et élevées dans le service mobile maritime, permettant ainsi de transmettre aux navires des informations relatives à la sécurité au moyen de technologies numériques.</w:t>
      </w:r>
    </w:p>
    <w:bookmarkEnd w:id="45"/>
    <w:p w14:paraId="551C0F91" w14:textId="77777777" w:rsidR="00D80461" w:rsidRPr="00F05A8A" w:rsidRDefault="00D80461" w:rsidP="002F075E">
      <w:pPr>
        <w:ind w:left="567"/>
        <w:rPr>
          <w:rFonts w:eastAsia="Arial Unicode MS"/>
        </w:rPr>
      </w:pPr>
      <w:r w:rsidRPr="00F05A8A">
        <w:rPr>
          <w:rFonts w:eastAsia="Arial Unicode MS"/>
        </w:rPr>
        <w:t>La CMR-19 a adopté des dispositions réglementaires afin de faire d'Iridium le deuxième prestataire de services par satellite pour le Système mondial de détresse et de sécurité en mer (SMDSM). Les dispositions réglementaires ont été renforcées afin de protéger le service de radioastronomie dans la bande de fréquences adjacente inférieure et le service mobile par satellite dans la même bande et dans la bande adjacente supérieure. L'arrivée de ce deuxième prestataire de services par satellite pour le cadre du SMDSM profite à la communauté maritime, y compris dans les régions polaires, renforçant ainsi la concurrence dans le domaine des communications maritimes.</w:t>
      </w:r>
    </w:p>
    <w:p w14:paraId="308E153A" w14:textId="77777777" w:rsidR="00D80461" w:rsidRPr="00F05A8A" w:rsidRDefault="00D80461" w:rsidP="002F075E">
      <w:pPr>
        <w:ind w:left="567"/>
        <w:rPr>
          <w:rFonts w:eastAsia="Arial Unicode MS"/>
        </w:rPr>
      </w:pPr>
      <w:bookmarkStart w:id="46" w:name="_Hlk31365716"/>
      <w:r w:rsidRPr="00F05A8A">
        <w:rPr>
          <w:rFonts w:eastAsia="Arial Unicode MS"/>
        </w:rPr>
        <w:t>L'utilisation de voies pour le service maritime par les dispositifs de radiocommunication maritimes autonomes (AMRD) a été réglementée, en scindant ces voies en deux groupes (voies réservées à la sécurité et voies non liées à la sécurité) et en limitant l'accès à ces voies, ce qui a amélioré la sécurité de la navigation en mer.</w:t>
      </w:r>
    </w:p>
    <w:bookmarkEnd w:id="46"/>
    <w:p w14:paraId="55D12CF5" w14:textId="77777777" w:rsidR="00D80461" w:rsidRPr="00F05A8A" w:rsidRDefault="00D80461" w:rsidP="002F075E">
      <w:pPr>
        <w:ind w:left="567"/>
        <w:rPr>
          <w:rFonts w:eastAsia="Arial Unicode MS"/>
        </w:rPr>
      </w:pPr>
      <w:r w:rsidRPr="00F05A8A">
        <w:rPr>
          <w:rFonts w:eastAsia="Arial Unicode MS"/>
        </w:rPr>
        <w:t>Des attributions à titre secondaire au service mobile maritime par satellite ont été effectuées. En permettant la mise en œuvre de la composante satellite du système VDES, le service a été étendu au monde entier. Cette décision renforce les communications dans la bande d'ondes métriques et améliore la sécurité maritime à l'échelle mondiale.</w:t>
      </w:r>
    </w:p>
    <w:p w14:paraId="54B69981" w14:textId="77777777" w:rsidR="00D80461" w:rsidRPr="00F05A8A" w:rsidRDefault="00D80461" w:rsidP="002F075E">
      <w:pPr>
        <w:pStyle w:val="enumlev1"/>
        <w:keepNext/>
        <w:keepLines/>
        <w:rPr>
          <w:rFonts w:eastAsia="Arial Unicode MS"/>
        </w:rPr>
      </w:pPr>
      <w:bookmarkStart w:id="47" w:name="lt_pId279"/>
      <w:r w:rsidRPr="00F05A8A">
        <w:rPr>
          <w:rFonts w:eastAsia="Arial Unicode MS"/>
        </w:rPr>
        <w:lastRenderedPageBreak/>
        <w:t>•</w:t>
      </w:r>
      <w:r w:rsidRPr="00F05A8A">
        <w:rPr>
          <w:rFonts w:eastAsia="Arial Unicode MS"/>
        </w:rPr>
        <w:tab/>
        <w:t>Système mondial de détresse et de sécurité aéronautique</w:t>
      </w:r>
      <w:bookmarkEnd w:id="47"/>
    </w:p>
    <w:p w14:paraId="7C2BD648" w14:textId="77777777" w:rsidR="00D80461" w:rsidRPr="00F05A8A" w:rsidRDefault="00D80461" w:rsidP="002F075E">
      <w:pPr>
        <w:keepNext/>
        <w:keepLines/>
        <w:ind w:left="567"/>
        <w:rPr>
          <w:rFonts w:eastAsia="Arial Unicode MS"/>
        </w:rPr>
      </w:pPr>
      <w:r w:rsidRPr="00F05A8A">
        <w:rPr>
          <w:rFonts w:eastAsia="Arial Unicode MS"/>
        </w:rPr>
        <w:t>Compte tenu des études de l'UIT-R, la CMR-19 n'a apporté aucune modification d'ordre réglementaire au Règlement des radiocommunications pour tenir compte du système GADSS, étant donné que ce système est difficile à décrire avec précision sur le plan réglementaire.</w:t>
      </w:r>
    </w:p>
    <w:p w14:paraId="38C881FE" w14:textId="77777777" w:rsidR="00D80461" w:rsidRPr="00F05A8A" w:rsidRDefault="00D80461" w:rsidP="002F075E">
      <w:pPr>
        <w:pStyle w:val="enumlev1"/>
        <w:rPr>
          <w:rFonts w:eastAsia="Arial Unicode MS"/>
        </w:rPr>
      </w:pPr>
      <w:bookmarkStart w:id="48" w:name="lt_pId283"/>
      <w:r w:rsidRPr="00F05A8A">
        <w:rPr>
          <w:rFonts w:eastAsia="Arial Unicode MS"/>
        </w:rPr>
        <w:t>•</w:t>
      </w:r>
      <w:r w:rsidRPr="00F05A8A">
        <w:rPr>
          <w:rFonts w:eastAsia="Arial Unicode MS"/>
        </w:rPr>
        <w:tab/>
        <w:t>Services par satellite</w:t>
      </w:r>
      <w:bookmarkEnd w:id="48"/>
    </w:p>
    <w:p w14:paraId="7F2FAE3C" w14:textId="77777777" w:rsidR="00D80461" w:rsidRPr="00F05A8A" w:rsidRDefault="00D80461" w:rsidP="002F075E">
      <w:pPr>
        <w:spacing w:after="120"/>
        <w:ind w:left="567"/>
        <w:rPr>
          <w:rFonts w:eastAsia="Arial Unicode MS"/>
          <w:szCs w:val="24"/>
        </w:rPr>
      </w:pPr>
      <w:r w:rsidRPr="00F05A8A">
        <w:rPr>
          <w:rFonts w:eastAsia="Arial Unicode MS"/>
        </w:rPr>
        <w:t xml:space="preserve">La CMR-19 a adopté un nouveau cadre réglementaire, prévoyant l'utilisation d'une </w:t>
      </w:r>
      <w:r w:rsidRPr="00F05A8A">
        <w:rPr>
          <w:color w:val="000000"/>
        </w:rPr>
        <w:t xml:space="preserve">méthode par étape pour le déploiement de constellations de satellites </w:t>
      </w:r>
      <w:r w:rsidRPr="00F05A8A">
        <w:rPr>
          <w:rFonts w:eastAsia="Arial Unicode MS"/>
        </w:rPr>
        <w:t xml:space="preserve">non OSG </w:t>
      </w:r>
      <w:r w:rsidRPr="00F05A8A">
        <w:rPr>
          <w:color w:val="000000"/>
        </w:rPr>
        <w:t>dans certaines bandes de fréquences et certains services, ce qui garantit l'exploitation du plus grand nombre de systèmes possible. Ceci</w:t>
      </w:r>
      <w:r w:rsidRPr="00F05A8A">
        <w:rPr>
          <w:rFonts w:eastAsia="Arial Unicode MS"/>
        </w:rPr>
        <w:t xml:space="preserve"> </w:t>
      </w:r>
      <w:r w:rsidRPr="00F05A8A">
        <w:rPr>
          <w:color w:val="000000"/>
        </w:rPr>
        <w:t>contribuera à faire en sorte que le Fichier de référence international des fréquences corresponde au déploiement réel des systèmes à satellites non OSG.</w:t>
      </w:r>
    </w:p>
    <w:p w14:paraId="633C2024" w14:textId="77777777" w:rsidR="00D80461" w:rsidRPr="00F05A8A" w:rsidRDefault="00D80461" w:rsidP="002F075E">
      <w:pPr>
        <w:spacing w:after="120"/>
        <w:ind w:left="567"/>
        <w:rPr>
          <w:rFonts w:eastAsia="Arial Unicode MS"/>
          <w:szCs w:val="24"/>
        </w:rPr>
      </w:pPr>
      <w:r w:rsidRPr="00F05A8A">
        <w:rPr>
          <w:rFonts w:eastAsia="Arial Unicode MS"/>
        </w:rPr>
        <w:t>De nouveaux créneaux orbitaux ont été mis à disposition pour les satellites de radiodiffusion, permettant ainsi aux pays en développement d'accéder de nouveau aux ressources spectrales et orbitales au moyen d'un mécanisme de priorité spécialement créé à leur intention.</w:t>
      </w:r>
    </w:p>
    <w:p w14:paraId="14A9F819" w14:textId="77777777" w:rsidR="00D80461" w:rsidRPr="00F05A8A" w:rsidRDefault="00D80461" w:rsidP="002F075E">
      <w:pPr>
        <w:spacing w:after="120"/>
        <w:ind w:left="567"/>
        <w:rPr>
          <w:rFonts w:eastAsia="Arial Unicode MS"/>
          <w:szCs w:val="24"/>
        </w:rPr>
      </w:pPr>
      <w:r w:rsidRPr="00F05A8A">
        <w:rPr>
          <w:rFonts w:eastAsia="Arial Unicode MS"/>
        </w:rPr>
        <w:t xml:space="preserve">La CMR-19 a défini les conditions réglementaires, opérationnelles et techniques </w:t>
      </w:r>
      <w:r w:rsidRPr="00F05A8A">
        <w:rPr>
          <w:color w:val="000000"/>
        </w:rPr>
        <w:t xml:space="preserve">régissant l'utilisation </w:t>
      </w:r>
      <w:r w:rsidRPr="00F05A8A">
        <w:rPr>
          <w:rFonts w:eastAsia="Arial Unicode MS"/>
        </w:rPr>
        <w:t>des bandes de fréquences de la gamme de fréquences des 30/20 GHz par</w:t>
      </w:r>
      <w:r w:rsidRPr="00F05A8A">
        <w:rPr>
          <w:color w:val="000000"/>
        </w:rPr>
        <w:t xml:space="preserve"> les stations terriennes en mouvement (ESIM) qui communiquent avec des stations spatiales du service fixe par satellite utilisant l'orbite des satellites géostationnaires (OSG) dans toutes les Régions. Grâce à cette décision, il est possible de</w:t>
      </w:r>
      <w:r w:rsidRPr="00F05A8A">
        <w:rPr>
          <w:rFonts w:eastAsia="Arial Unicode MS"/>
        </w:rPr>
        <w:t xml:space="preserve"> </w:t>
      </w:r>
      <w:r w:rsidRPr="00F05A8A">
        <w:rPr>
          <w:color w:val="000000"/>
        </w:rPr>
        <w:t>connecter les personnes qui se trouvent à bord</w:t>
      </w:r>
      <w:r w:rsidRPr="00F05A8A">
        <w:rPr>
          <w:rFonts w:eastAsia="Arial Unicode MS"/>
        </w:rPr>
        <w:t xml:space="preserve"> </w:t>
      </w:r>
      <w:r w:rsidRPr="00F05A8A">
        <w:rPr>
          <w:color w:val="000000"/>
        </w:rPr>
        <w:t>de navires</w:t>
      </w:r>
      <w:r w:rsidRPr="00F05A8A">
        <w:rPr>
          <w:rFonts w:eastAsia="Arial Unicode MS"/>
        </w:rPr>
        <w:t xml:space="preserve"> (</w:t>
      </w:r>
      <w:r w:rsidRPr="00F05A8A">
        <w:rPr>
          <w:color w:val="000000"/>
        </w:rPr>
        <w:t>stations ESIM maritimes</w:t>
      </w:r>
      <w:r w:rsidRPr="00F05A8A">
        <w:rPr>
          <w:rFonts w:eastAsia="Arial Unicode MS"/>
        </w:rPr>
        <w:t>), d'aéronefs (</w:t>
      </w:r>
      <w:r w:rsidRPr="00F05A8A">
        <w:rPr>
          <w:color w:val="000000"/>
        </w:rPr>
        <w:t>stations ESIM aéronautiques</w:t>
      </w:r>
      <w:r w:rsidRPr="00F05A8A">
        <w:rPr>
          <w:rFonts w:eastAsia="Arial Unicode MS"/>
        </w:rPr>
        <w:t xml:space="preserve">) et </w:t>
      </w:r>
      <w:r w:rsidRPr="00F05A8A">
        <w:rPr>
          <w:color w:val="000000"/>
        </w:rPr>
        <w:t>de véhicules terrestres</w:t>
      </w:r>
      <w:r w:rsidRPr="00F05A8A">
        <w:rPr>
          <w:rFonts w:eastAsia="Arial Unicode MS"/>
        </w:rPr>
        <w:t xml:space="preserve"> (</w:t>
      </w:r>
      <w:r w:rsidRPr="00F05A8A">
        <w:rPr>
          <w:color w:val="000000"/>
        </w:rPr>
        <w:t>stations ESIM terrestres</w:t>
      </w:r>
      <w:r w:rsidRPr="00F05A8A">
        <w:rPr>
          <w:rFonts w:eastAsia="Arial Unicode MS"/>
        </w:rPr>
        <w:t xml:space="preserve">) et de </w:t>
      </w:r>
      <w:r w:rsidRPr="00F05A8A">
        <w:rPr>
          <w:color w:val="000000"/>
        </w:rPr>
        <w:t>garantir leur sécurité</w:t>
      </w:r>
      <w:r w:rsidRPr="00F05A8A">
        <w:rPr>
          <w:rFonts w:eastAsia="Arial Unicode MS"/>
        </w:rPr>
        <w:t>. Cette décision permettra d'accroître l'utilisation des stations ESIM, tout en assurant la protection des autres réseaux OSG, des systèmes non OSG et des services de Terre.</w:t>
      </w:r>
    </w:p>
    <w:p w14:paraId="579F8397" w14:textId="77777777" w:rsidR="00D80461" w:rsidRPr="00F05A8A" w:rsidRDefault="00D80461" w:rsidP="002F075E">
      <w:pPr>
        <w:pStyle w:val="enumlev1"/>
        <w:rPr>
          <w:rFonts w:eastAsia="Arial Unicode MS"/>
        </w:rPr>
      </w:pPr>
      <w:bookmarkStart w:id="49" w:name="lt_pId293"/>
      <w:r w:rsidRPr="00F05A8A">
        <w:rPr>
          <w:rFonts w:eastAsia="Arial Unicode MS"/>
        </w:rPr>
        <w:t>•</w:t>
      </w:r>
      <w:r w:rsidRPr="00F05A8A">
        <w:rPr>
          <w:rFonts w:eastAsia="Arial Unicode MS"/>
        </w:rPr>
        <w:tab/>
        <w:t>Appui aux services scientifiques</w:t>
      </w:r>
      <w:bookmarkEnd w:id="49"/>
    </w:p>
    <w:p w14:paraId="1D880DA7" w14:textId="77777777" w:rsidR="00D80461" w:rsidRPr="00F05A8A" w:rsidRDefault="00D80461" w:rsidP="002F075E">
      <w:pPr>
        <w:ind w:left="567"/>
        <w:rPr>
          <w:rFonts w:eastAsia="Arial Unicode MS"/>
        </w:rPr>
      </w:pPr>
      <w:bookmarkStart w:id="50" w:name="lt_pId294"/>
      <w:r w:rsidRPr="00F05A8A">
        <w:rPr>
          <w:rFonts w:eastAsia="Arial Unicode MS"/>
        </w:rPr>
        <w:t xml:space="preserve">La CMR-19 a accordé une protection au service d'exploration de la Terre par satellite (SETS) et au service de recherche spatiale dans la bande et dans les bandes adjacentes, afin de garantir le bon fonctionnement des systèmes spatiaux de surveillance de la Terre et de l'atmosphère </w:t>
      </w:r>
      <w:r w:rsidRPr="00F05A8A">
        <w:rPr>
          <w:color w:val="000000"/>
        </w:rPr>
        <w:t>terrestre.</w:t>
      </w:r>
      <w:bookmarkEnd w:id="50"/>
    </w:p>
    <w:p w14:paraId="07807253" w14:textId="77777777" w:rsidR="00D80461" w:rsidRPr="00F05A8A" w:rsidRDefault="00D80461" w:rsidP="002F075E">
      <w:pPr>
        <w:ind w:left="567"/>
        <w:rPr>
          <w:rFonts w:eastAsia="Arial Unicode MS"/>
        </w:rPr>
      </w:pPr>
      <w:bookmarkStart w:id="51" w:name="lt_pId295"/>
      <w:r w:rsidRPr="00F05A8A">
        <w:rPr>
          <w:rFonts w:eastAsia="Arial Unicode MS"/>
        </w:rPr>
        <w:t>Des mesures ont été approuvées afin de protéger le développement à long terme des plates</w:t>
      </w:r>
      <w:r w:rsidRPr="00F05A8A">
        <w:rPr>
          <w:rFonts w:eastAsia="Arial Unicode MS"/>
        </w:rPr>
        <w:noBreakHyphen/>
        <w:t>formes de collecte de données.</w:t>
      </w:r>
      <w:bookmarkEnd w:id="51"/>
      <w:r w:rsidRPr="00F05A8A">
        <w:rPr>
          <w:rFonts w:eastAsia="Arial Unicode MS"/>
        </w:rPr>
        <w:t xml:space="preserve"> </w:t>
      </w:r>
      <w:bookmarkStart w:id="52" w:name="lt_pId296"/>
      <w:r w:rsidRPr="00F05A8A">
        <w:rPr>
          <w:rFonts w:eastAsia="Arial Unicode MS"/>
        </w:rPr>
        <w:t>Des bandes de fréquences ont été attribuées au service d'exploitation spatiale et des procédures ont été définies pour les satellites associés à des missions de courte durée, tout en garantissant la protection des services de Terre.</w:t>
      </w:r>
      <w:bookmarkEnd w:id="52"/>
    </w:p>
    <w:p w14:paraId="65AE8589" w14:textId="77777777" w:rsidR="00D80461" w:rsidRPr="00F05A8A" w:rsidRDefault="00D80461" w:rsidP="002F075E">
      <w:pPr>
        <w:ind w:left="567"/>
        <w:rPr>
          <w:rFonts w:eastAsia="Arial Unicode MS"/>
          <w:szCs w:val="24"/>
        </w:rPr>
      </w:pPr>
      <w:r w:rsidRPr="00F05A8A">
        <w:rPr>
          <w:rFonts w:eastAsia="Arial Unicode MS"/>
        </w:rPr>
        <w:t>La CMR-19 a veillé à ce que les services par satellite à l'appui de la météorologie et de la climatologie, qui permettent de préserver la vie humaine et d'évaluer l'état des ressources naturelles, bénéficient d'une protection contre les brouillages radioélectriques préjudiciables, tout comme les systèmes utilisés par les radioastronomes pour l'exploration de l'espace lointain.</w:t>
      </w:r>
      <w:r w:rsidRPr="00F05A8A">
        <w:rPr>
          <w:rFonts w:eastAsia="Arial Unicode MS"/>
          <w:szCs w:val="24"/>
        </w:rPr>
        <w:t xml:space="preserve"> Les</w:t>
      </w:r>
      <w:r w:rsidRPr="00F05A8A">
        <w:rPr>
          <w:rFonts w:eastAsia="Arial Unicode MS"/>
        </w:rPr>
        <w:t xml:space="preserve"> stations de radioastronomie seront protégées contre les brouillages radioélectriques préjudiciables causés par d'autres stations spatiales ou d'autres systèmes à satellites en orbite.</w:t>
      </w:r>
    </w:p>
    <w:p w14:paraId="7345B920" w14:textId="77777777" w:rsidR="00D80461" w:rsidRPr="00F05A8A" w:rsidRDefault="00D80461" w:rsidP="002F075E">
      <w:pPr>
        <w:ind w:left="567"/>
        <w:rPr>
          <w:rFonts w:eastAsia="Arial Unicode MS"/>
        </w:rPr>
      </w:pPr>
      <w:r w:rsidRPr="00F05A8A">
        <w:rPr>
          <w:rFonts w:eastAsia="Arial Unicode MS"/>
        </w:rPr>
        <w:t>Des mesures ont été prises pour garantir un appui continu en vue de la mise en œuvre en Palestine de nouvelles technologies, y compris de réseaux et de services 4G et 5G.</w:t>
      </w:r>
    </w:p>
    <w:p w14:paraId="54DBF117" w14:textId="77777777" w:rsidR="00D80461" w:rsidRPr="00F05A8A" w:rsidRDefault="00D80461" w:rsidP="002F075E">
      <w:pPr>
        <w:pStyle w:val="enumlev1"/>
        <w:keepNext/>
        <w:keepLines/>
        <w:rPr>
          <w:rFonts w:eastAsia="Arial Unicode MS"/>
        </w:rPr>
      </w:pPr>
      <w:r w:rsidRPr="00F05A8A">
        <w:rPr>
          <w:rFonts w:eastAsia="Arial Unicode MS"/>
        </w:rPr>
        <w:lastRenderedPageBreak/>
        <w:t>•</w:t>
      </w:r>
      <w:r w:rsidRPr="00F05A8A">
        <w:rPr>
          <w:rFonts w:eastAsia="Arial Unicode MS"/>
        </w:rPr>
        <w:tab/>
        <w:t>Publications</w:t>
      </w:r>
    </w:p>
    <w:p w14:paraId="14BCF1EC" w14:textId="77777777" w:rsidR="00D80461" w:rsidRPr="00F05A8A" w:rsidRDefault="00D80461" w:rsidP="002F075E">
      <w:pPr>
        <w:keepNext/>
        <w:keepLines/>
        <w:ind w:left="567"/>
        <w:rPr>
          <w:color w:val="000000"/>
        </w:rPr>
      </w:pPr>
      <w:r w:rsidRPr="00F05A8A">
        <w:rPr>
          <w:rFonts w:eastAsia="Arial Unicode MS"/>
        </w:rPr>
        <w:t>L'</w:t>
      </w:r>
      <w:hyperlink r:id="rId25" w:history="1">
        <w:r w:rsidRPr="00F05A8A">
          <w:rPr>
            <w:rStyle w:val="Hyperlink"/>
            <w:rFonts w:eastAsia="Arial Unicode MS"/>
          </w:rPr>
          <w:t>édition de 2020 du Règlement des radiocommunications</w:t>
        </w:r>
      </w:hyperlink>
      <w:r w:rsidRPr="00F05A8A">
        <w:rPr>
          <w:rFonts w:eastAsia="Arial Unicode MS"/>
        </w:rPr>
        <w:t xml:space="preserve"> peut être téléchargée depuis le site web de l'UIT. Le </w:t>
      </w:r>
      <w:r w:rsidRPr="00F05A8A">
        <w:rPr>
          <w:color w:val="000000"/>
        </w:rPr>
        <w:t>Manuel à l'usage des services mobile maritime et mobile maritime par satellite a été mis à jour compte tenu de la nouvelle édition du Règlement des radiocommunications, et a été également publié.</w:t>
      </w:r>
      <w:bookmarkStart w:id="53" w:name="_Toc72845004"/>
      <w:bookmarkStart w:id="54" w:name="_Toc72846353"/>
      <w:bookmarkStart w:id="55" w:name="_Toc72846578"/>
    </w:p>
    <w:p w14:paraId="2F99BA29" w14:textId="77777777" w:rsidR="00D80461" w:rsidRPr="00F05A8A" w:rsidRDefault="00D80461" w:rsidP="002F075E">
      <w:pPr>
        <w:rPr>
          <w:rFonts w:eastAsia="Arial Unicode MS"/>
          <w:u w:val="single"/>
        </w:rPr>
      </w:pPr>
      <w:r w:rsidRPr="00F05A8A">
        <w:rPr>
          <w:rFonts w:eastAsia="Arial Unicode MS"/>
          <w:u w:val="single"/>
        </w:rPr>
        <w:t>Déclaration sur l'égalité hommes</w:t>
      </w:r>
      <w:r w:rsidRPr="00F05A8A">
        <w:rPr>
          <w:rFonts w:eastAsia="Arial Unicode MS"/>
          <w:u w:val="single"/>
        </w:rPr>
        <w:noBreakHyphen/>
        <w:t>femmes</w:t>
      </w:r>
      <w:bookmarkEnd w:id="53"/>
      <w:bookmarkEnd w:id="54"/>
      <w:bookmarkEnd w:id="55"/>
    </w:p>
    <w:p w14:paraId="37877F0D" w14:textId="77777777" w:rsidR="00D80461" w:rsidRPr="00F05A8A" w:rsidRDefault="00D80461" w:rsidP="002F075E">
      <w:pPr>
        <w:spacing w:after="120"/>
        <w:rPr>
          <w:rFonts w:eastAsia="Arial Unicode MS"/>
          <w:szCs w:val="24"/>
        </w:rPr>
      </w:pPr>
      <w:r w:rsidRPr="00F05A8A">
        <w:rPr>
          <w:rFonts w:eastAsia="Arial Unicode MS"/>
          <w:szCs w:val="24"/>
        </w:rPr>
        <w:t xml:space="preserve">La CMR-19 a adopté la </w:t>
      </w:r>
      <w:hyperlink r:id="rId26" w:history="1">
        <w:r w:rsidRPr="00F05A8A">
          <w:rPr>
            <w:rStyle w:val="Hyperlink"/>
            <w:rFonts w:eastAsia="Arial Unicode MS"/>
            <w:szCs w:val="24"/>
          </w:rPr>
          <w:t>Déclaration relative à la promotion de l'égalité, de l'équité et de la parité hommes</w:t>
        </w:r>
        <w:r w:rsidRPr="00F05A8A">
          <w:rPr>
            <w:rStyle w:val="Hyperlink"/>
            <w:rFonts w:eastAsia="Arial Unicode MS"/>
            <w:szCs w:val="24"/>
          </w:rPr>
          <w:noBreakHyphen/>
          <w:t>femmes dans le Secteur des radiocommunications de l'UIT</w:t>
        </w:r>
      </w:hyperlink>
      <w:r w:rsidRPr="00F05A8A">
        <w:rPr>
          <w:rFonts w:eastAsia="Arial Unicode MS"/>
          <w:szCs w:val="24"/>
        </w:rPr>
        <w:t>, afin de marquer l'engagement en faveur de l'égalité et de la parité hommes</w:t>
      </w:r>
      <w:r w:rsidRPr="00F05A8A">
        <w:rPr>
          <w:rFonts w:eastAsia="Arial Unicode MS"/>
          <w:szCs w:val="24"/>
        </w:rPr>
        <w:noBreakHyphen/>
        <w:t>femmes.</w:t>
      </w:r>
    </w:p>
    <w:p w14:paraId="6421EC7D" w14:textId="77777777" w:rsidR="00D80461" w:rsidRPr="00F05A8A" w:rsidRDefault="00D80461" w:rsidP="002F075E">
      <w:pPr>
        <w:rPr>
          <w:rFonts w:eastAsia="Arial Unicode MS"/>
          <w:u w:val="single"/>
        </w:rPr>
      </w:pPr>
      <w:bookmarkStart w:id="56" w:name="lt_pId303"/>
      <w:r w:rsidRPr="00F05A8A">
        <w:rPr>
          <w:rFonts w:eastAsia="Arial Unicode MS"/>
          <w:u w:val="single"/>
        </w:rPr>
        <w:t>Ordre du jour de la CMR-23 et ordre du jour préliminaire de la CMR-27</w:t>
      </w:r>
      <w:bookmarkEnd w:id="56"/>
    </w:p>
    <w:p w14:paraId="047A5E4A" w14:textId="77777777" w:rsidR="00D80461" w:rsidRPr="00F05A8A" w:rsidRDefault="00D80461" w:rsidP="002F075E">
      <w:pPr>
        <w:spacing w:after="120"/>
        <w:rPr>
          <w:rFonts w:eastAsia="Arial Unicode MS"/>
          <w:szCs w:val="24"/>
        </w:rPr>
      </w:pPr>
      <w:r w:rsidRPr="00F05A8A">
        <w:rPr>
          <w:rFonts w:eastAsia="Arial Unicode MS"/>
        </w:rPr>
        <w:t xml:space="preserve">La CMR-19 a adopté de nouvelles Résolutions contenant l'ordre du jour de la CMR-23 et l'ordre du jour préliminaire de la CMR-27. L'ordre du jour de la CMR-23 contient 19 points précis de l'ordre du jour sur </w:t>
      </w:r>
      <w:r w:rsidRPr="00F05A8A">
        <w:rPr>
          <w:color w:val="000000"/>
        </w:rPr>
        <w:t>l'évolution technologique et les nouveaux besoins de spectre des utilisateurs des services de Terre, aéronautiques, maritimes, par satellite et scientifiques</w:t>
      </w:r>
      <w:r w:rsidRPr="00F05A8A">
        <w:rPr>
          <w:rFonts w:eastAsia="Arial Unicode MS"/>
        </w:rPr>
        <w:t>.</w:t>
      </w:r>
    </w:p>
    <w:p w14:paraId="657FFF6B" w14:textId="77777777" w:rsidR="00D80461" w:rsidRPr="00F05A8A" w:rsidRDefault="00D80461" w:rsidP="002F075E">
      <w:pPr>
        <w:pStyle w:val="Headingb"/>
      </w:pPr>
      <w:bookmarkStart w:id="57" w:name="_Toc41032044"/>
      <w:bookmarkStart w:id="58" w:name="_Toc72845005"/>
      <w:bookmarkStart w:id="59" w:name="_Toc72846354"/>
      <w:bookmarkStart w:id="60" w:name="_Toc72846579"/>
      <w:bookmarkStart w:id="61" w:name="_Toc95387460"/>
      <w:r w:rsidRPr="00F05A8A">
        <w:t>Assemblée des radiocommunications (AR-19)</w:t>
      </w:r>
      <w:bookmarkEnd w:id="57"/>
      <w:bookmarkEnd w:id="58"/>
      <w:bookmarkEnd w:id="59"/>
      <w:bookmarkEnd w:id="60"/>
      <w:bookmarkEnd w:id="61"/>
    </w:p>
    <w:p w14:paraId="7A769119" w14:textId="77777777" w:rsidR="00D80461" w:rsidRPr="00F05A8A" w:rsidRDefault="00D80461" w:rsidP="002F075E">
      <w:bookmarkStart w:id="62" w:name="lt_pId043"/>
      <w:r w:rsidRPr="00F05A8A">
        <w:t>Conformément à la Résolution 1343 du Conseil, l'Assemblée des radiocommunications de 2019 (AR-19), qui s'est tenue à Charm el-Cheikh (Égypte), du 21 au 25 octobre 2019, a rassemblé 521 participants représentant 91 administrations, 31 Membres de Secteur et une institution spécialisée du système des Nations Unies.</w:t>
      </w:r>
      <w:bookmarkEnd w:id="62"/>
    </w:p>
    <w:p w14:paraId="31A95522" w14:textId="77777777" w:rsidR="00D80461" w:rsidRPr="00F05A8A" w:rsidRDefault="00D80461" w:rsidP="002F075E">
      <w:r w:rsidRPr="00F05A8A">
        <w:t xml:space="preserve">La Résolution UIT-R </w:t>
      </w:r>
      <w:hyperlink r:id="rId27" w:history="1">
        <w:r w:rsidRPr="00F05A8A">
          <w:rPr>
            <w:rStyle w:val="Hyperlink"/>
          </w:rPr>
          <w:t>1</w:t>
        </w:r>
      </w:hyperlink>
      <w:r w:rsidRPr="00F05A8A">
        <w:t xml:space="preserve"> (Méthodes de travail de l'Assemblée des radiocommunications, des Commissions d'études des radiocommunications, du Groupe consultatif des radiocommunications et d'autres groupes du Secteur des radiocommunications) et </w:t>
      </w:r>
      <w:r w:rsidRPr="00F05A8A">
        <w:rPr>
          <w:bCs/>
        </w:rPr>
        <w:t xml:space="preserve">la Résolution UIT-R </w:t>
      </w:r>
      <w:hyperlink r:id="rId28" w:history="1">
        <w:r w:rsidRPr="00F05A8A">
          <w:rPr>
            <w:rStyle w:val="Hyperlink"/>
          </w:rPr>
          <w:t>2</w:t>
        </w:r>
      </w:hyperlink>
      <w:r w:rsidRPr="00F05A8A">
        <w:t xml:space="preserve"> (Réunion de préparation à la Conférence) ont toutes deux été révisées.</w:t>
      </w:r>
    </w:p>
    <w:p w14:paraId="4833C64E" w14:textId="77777777" w:rsidR="00D80461" w:rsidRPr="00F05A8A" w:rsidRDefault="00D80461" w:rsidP="002F075E">
      <w:r w:rsidRPr="00F05A8A">
        <w:t>Les six commissions d'études de l'UIT-R existantes poursuivent leurs travaux durant la nouvelle période d'études (2019</w:t>
      </w:r>
      <w:r w:rsidRPr="00F05A8A">
        <w:noBreakHyphen/>
        <w:t xml:space="preserve">2023). La structure des commissions d'études des radiocommunications est indiquée dans la Résolution UIT-R </w:t>
      </w:r>
      <w:bookmarkStart w:id="63" w:name="lt_pId097_leftovers"/>
      <w:r w:rsidRPr="00F05A8A">
        <w:fldChar w:fldCharType="begin"/>
      </w:r>
      <w:r w:rsidRPr="00F05A8A">
        <w:instrText>HYPERLINK "https://www.itu.int/pub/R-RES-R.4/fr"</w:instrText>
      </w:r>
      <w:r w:rsidRPr="00F05A8A">
        <w:fldChar w:fldCharType="separate"/>
      </w:r>
      <w:r w:rsidRPr="00F05A8A">
        <w:rPr>
          <w:rStyle w:val="Hyperlink"/>
        </w:rPr>
        <w:t>4</w:t>
      </w:r>
      <w:r w:rsidRPr="00F05A8A">
        <w:fldChar w:fldCharType="end"/>
      </w:r>
      <w:bookmarkEnd w:id="63"/>
      <w:r w:rsidRPr="00F05A8A">
        <w:t>.</w:t>
      </w:r>
    </w:p>
    <w:p w14:paraId="054B66B8" w14:textId="77777777" w:rsidR="00D80461" w:rsidRPr="00F05A8A" w:rsidRDefault="00D80461" w:rsidP="002F075E">
      <w:bookmarkStart w:id="64" w:name="lt_pId098"/>
      <w:r w:rsidRPr="00F05A8A">
        <w:t xml:space="preserve">L'AR-19 a approuvé le programme de travail et les Questions confiées aux commissions d'études des radiocommunications (voir la Résolution UIT-R </w:t>
      </w:r>
      <w:hyperlink r:id="rId29" w:history="1">
        <w:r w:rsidRPr="00F05A8A">
          <w:rPr>
            <w:rStyle w:val="Hyperlink"/>
          </w:rPr>
          <w:t>5</w:t>
        </w:r>
      </w:hyperlink>
      <w:r w:rsidRPr="00F05A8A">
        <w:t>) ainsi que cinq Recommandations UIT-R.</w:t>
      </w:r>
      <w:bookmarkEnd w:id="64"/>
    </w:p>
    <w:p w14:paraId="38B06627" w14:textId="77777777" w:rsidR="00D80461" w:rsidRPr="00F05A8A" w:rsidRDefault="00D80461" w:rsidP="002F075E">
      <w:bookmarkStart w:id="65" w:name="lt_pId102"/>
      <w:r w:rsidRPr="00F05A8A">
        <w:t xml:space="preserve">La Résolution UIT-R </w:t>
      </w:r>
      <w:hyperlink r:id="rId30" w:history="1">
        <w:r w:rsidRPr="00F05A8A">
          <w:rPr>
            <w:rStyle w:val="Hyperlink"/>
            <w:bCs/>
          </w:rPr>
          <w:t>70</w:t>
        </w:r>
      </w:hyperlink>
      <w:r w:rsidRPr="00F05A8A">
        <w:t xml:space="preserve"> (Principes applicables au développement futur de la radiodiffusion</w:t>
      </w:r>
      <w:bookmarkStart w:id="66" w:name="lt_pId103"/>
      <w:bookmarkEnd w:id="65"/>
      <w:r w:rsidRPr="00F05A8A">
        <w:t xml:space="preserve">) a été approuvée, tout comme la Résolution UIT-R </w:t>
      </w:r>
      <w:hyperlink r:id="rId31" w:history="1">
        <w:r w:rsidRPr="00F05A8A">
          <w:rPr>
            <w:rStyle w:val="Hyperlink"/>
            <w:bCs/>
          </w:rPr>
          <w:t>71</w:t>
        </w:r>
      </w:hyperlink>
      <w:r w:rsidRPr="00F05A8A">
        <w:t xml:space="preserve"> (Rôle du Secteur des radiocommunications dans le développement constant de la radiodiffusion télévisuelle, sonore et multimédia</w:t>
      </w:r>
      <w:bookmarkEnd w:id="66"/>
      <w:r w:rsidRPr="00F05A8A">
        <w:t>).</w:t>
      </w:r>
    </w:p>
    <w:p w14:paraId="624BC0AE" w14:textId="77777777" w:rsidR="00D80461" w:rsidRPr="00F05A8A" w:rsidRDefault="00D80461" w:rsidP="002F075E">
      <w:bookmarkStart w:id="67" w:name="lt_pId104"/>
      <w:r w:rsidRPr="00F05A8A">
        <w:t>L'Assemblée a supprimé trois Résolutions UIT-R:</w:t>
      </w:r>
      <w:bookmarkStart w:id="68" w:name="lt_pId105"/>
      <w:bookmarkEnd w:id="67"/>
      <w:r w:rsidRPr="00F05A8A">
        <w:t xml:space="preserve"> la Résolution UIT-R </w:t>
      </w:r>
      <w:hyperlink r:id="rId32" w:history="1">
        <w:r w:rsidRPr="00F05A8A">
          <w:rPr>
            <w:rStyle w:val="Hyperlink"/>
            <w:bCs/>
          </w:rPr>
          <w:t>34</w:t>
        </w:r>
      </w:hyperlink>
      <w:r w:rsidRPr="00F05A8A">
        <w:t xml:space="preserve"> (Lignes directrices pour l'élaboration des termes et des définitions</w:t>
      </w:r>
      <w:bookmarkEnd w:id="68"/>
      <w:r w:rsidRPr="00F05A8A">
        <w:t>)</w:t>
      </w:r>
      <w:bookmarkStart w:id="69" w:name="lt_pId106"/>
      <w:r w:rsidRPr="00F05A8A">
        <w:t xml:space="preserve">, la Résolution UIT-R </w:t>
      </w:r>
      <w:hyperlink r:id="rId33" w:history="1">
        <w:r w:rsidRPr="00F05A8A">
          <w:rPr>
            <w:rStyle w:val="Hyperlink"/>
            <w:bCs/>
          </w:rPr>
          <w:t>35</w:t>
        </w:r>
      </w:hyperlink>
      <w:r w:rsidRPr="00F05A8A">
        <w:t xml:space="preserve"> (Organisation des travaux de vocabulaire concernant les termes et définitions</w:t>
      </w:r>
      <w:bookmarkEnd w:id="69"/>
      <w:r w:rsidRPr="00F05A8A">
        <w:t>)</w:t>
      </w:r>
      <w:bookmarkStart w:id="70" w:name="lt_pId107"/>
      <w:r w:rsidRPr="00F05A8A">
        <w:t xml:space="preserve"> et la Résolution UIT-R </w:t>
      </w:r>
      <w:hyperlink r:id="rId34" w:history="1">
        <w:r w:rsidRPr="00F05A8A">
          <w:rPr>
            <w:rStyle w:val="Hyperlink"/>
            <w:bCs/>
          </w:rPr>
          <w:t>43</w:t>
        </w:r>
      </w:hyperlink>
      <w:r w:rsidRPr="00F05A8A">
        <w:t xml:space="preserve"> (Droits des Associés</w:t>
      </w:r>
      <w:bookmarkEnd w:id="70"/>
      <w:r w:rsidRPr="00F05A8A">
        <w:t>).</w:t>
      </w:r>
    </w:p>
    <w:p w14:paraId="0F2BBD3D" w14:textId="77777777" w:rsidR="00D80461" w:rsidRPr="00F05A8A" w:rsidRDefault="00D80461" w:rsidP="002F075E">
      <w:pPr>
        <w:rPr>
          <w:sz w:val="22"/>
          <w:u w:val="single"/>
          <w:lang w:eastAsia="en-GB"/>
        </w:rPr>
      </w:pPr>
      <w:r w:rsidRPr="00F05A8A">
        <w:rPr>
          <w:u w:val="single"/>
          <w:lang w:eastAsia="en-GB"/>
        </w:rPr>
        <w:t>Publications</w:t>
      </w:r>
    </w:p>
    <w:p w14:paraId="1C078176" w14:textId="4EFFE88C" w:rsidR="00D80461" w:rsidRPr="00F05A8A" w:rsidRDefault="00D80461" w:rsidP="002F075E">
      <w:pPr>
        <w:rPr>
          <w:rFonts w:eastAsia="Calibri"/>
        </w:rPr>
      </w:pPr>
      <w:r w:rsidRPr="00F05A8A">
        <w:rPr>
          <w:rFonts w:eastAsia="Calibri"/>
        </w:rPr>
        <w:t xml:space="preserve">Les </w:t>
      </w:r>
      <w:hyperlink r:id="rId35" w:history="1">
        <w:r w:rsidRPr="00F05A8A">
          <w:rPr>
            <w:rStyle w:val="Hyperlink"/>
            <w:rFonts w:eastAsia="Calibri"/>
          </w:rPr>
          <w:t>Résolutions UIT-R</w:t>
        </w:r>
      </w:hyperlink>
      <w:r w:rsidRPr="00F05A8A">
        <w:rPr>
          <w:rFonts w:eastAsia="Calibri"/>
        </w:rPr>
        <w:t xml:space="preserve"> sont publiées et peuvent être téléchargées depuis le site web de l'UIT.</w:t>
      </w:r>
    </w:p>
    <w:p w14:paraId="1FD1ADCC" w14:textId="78B0C816" w:rsidR="004C5B6B" w:rsidRPr="00F05A8A" w:rsidRDefault="004C5B6B" w:rsidP="002F075E">
      <w:pPr>
        <w:pStyle w:val="Heading3"/>
      </w:pPr>
      <w:bookmarkStart w:id="71" w:name="_Toc107466564"/>
      <w:r w:rsidRPr="00F05A8A">
        <w:lastRenderedPageBreak/>
        <w:t>1.1.2</w:t>
      </w:r>
      <w:r w:rsidRPr="00F05A8A">
        <w:tab/>
        <w:t>AMNT-20</w:t>
      </w:r>
      <w:bookmarkEnd w:id="71"/>
    </w:p>
    <w:p w14:paraId="4A0528ED" w14:textId="02B3B28B" w:rsidR="004C5B6B" w:rsidRPr="00F05A8A" w:rsidRDefault="004C5B6B" w:rsidP="002F075E">
      <w:pPr>
        <w:pStyle w:val="Headingb"/>
      </w:pPr>
      <w:r w:rsidRPr="00F05A8A">
        <w:t>Aperçu</w:t>
      </w:r>
    </w:p>
    <w:p w14:paraId="42FFE051" w14:textId="5C40DCB5" w:rsidR="004C5B6B" w:rsidRPr="00F05A8A" w:rsidRDefault="004C5B6B" w:rsidP="002F075E">
      <w:pPr>
        <w:tabs>
          <w:tab w:val="clear" w:pos="567"/>
          <w:tab w:val="clear" w:pos="1134"/>
          <w:tab w:val="clear" w:pos="1701"/>
          <w:tab w:val="clear" w:pos="2268"/>
          <w:tab w:val="clear" w:pos="2835"/>
        </w:tabs>
      </w:pPr>
      <w:r w:rsidRPr="00F05A8A">
        <w:t>L'AMNT-20 s'est déroulé</w:t>
      </w:r>
      <w:r w:rsidR="004C0D33" w:rsidRPr="00F05A8A">
        <w:t>e</w:t>
      </w:r>
      <w:r w:rsidRPr="00F05A8A">
        <w:t xml:space="preserve"> du 1er au 9 mars 2022 à Genève (Suisse), sous la forme d'une manifestation physique avec participation interactive à distance. Les décisions ont été adoptées par les délégués présents sur place à Genève.</w:t>
      </w:r>
    </w:p>
    <w:p w14:paraId="6D4D638E" w14:textId="44923F73" w:rsidR="004C5B6B" w:rsidRPr="00F05A8A" w:rsidRDefault="004C5B6B" w:rsidP="002F075E">
      <w:pPr>
        <w:keepLines/>
        <w:tabs>
          <w:tab w:val="clear" w:pos="567"/>
          <w:tab w:val="clear" w:pos="1134"/>
          <w:tab w:val="clear" w:pos="1701"/>
          <w:tab w:val="clear" w:pos="2268"/>
          <w:tab w:val="clear" w:pos="2835"/>
        </w:tabs>
      </w:pPr>
      <w:r w:rsidRPr="00F05A8A">
        <w:t>L'AMNT-20 a rassemblé 1 281 délégués</w:t>
      </w:r>
      <w:r w:rsidR="00CF5980" w:rsidRPr="00F05A8A">
        <w:t xml:space="preserve"> </w:t>
      </w:r>
      <w:r w:rsidRPr="00F05A8A">
        <w:t>(870 présents sur place et 411 à distance), représentant 138 États Membres et 85 autres entités. Des représentants de 125 États Membres, 49 Membres de Secteur, six établissements universitaires participant aux travaux de l'UIT et deux institutions spécialisées des Nations Unies étaient présents sur place.</w:t>
      </w:r>
    </w:p>
    <w:p w14:paraId="4CF14083" w14:textId="6778BD0C" w:rsidR="004C5B6B" w:rsidRPr="00F05A8A" w:rsidRDefault="004C5B6B" w:rsidP="002F075E">
      <w:pPr>
        <w:tabs>
          <w:tab w:val="clear" w:pos="567"/>
          <w:tab w:val="clear" w:pos="1134"/>
          <w:tab w:val="clear" w:pos="1701"/>
          <w:tab w:val="clear" w:pos="2268"/>
          <w:tab w:val="clear" w:pos="2835"/>
        </w:tabs>
      </w:pPr>
      <w:r w:rsidRPr="00F05A8A">
        <w:t xml:space="preserve">L'AMNT-20 a approuvé les mandats des onze commissions d'études de l'UIT-T et les Questions qui leur sont confiées, et nommé les présidents et vice-présidents du GCNT, des commissions d'études de l'UIT-T et du Comité de normalisation pour le </w:t>
      </w:r>
      <w:r w:rsidR="004C0D33" w:rsidRPr="00F05A8A">
        <w:t>vocabulaire</w:t>
      </w:r>
      <w:r w:rsidRPr="00F05A8A">
        <w:t>. Elle a désigné </w:t>
      </w:r>
      <w:hyperlink r:id="rId36" w:history="1">
        <w:r w:rsidRPr="00F05A8A">
          <w:rPr>
            <w:rStyle w:val="Hyperlink"/>
          </w:rPr>
          <w:t>huit n</w:t>
        </w:r>
        <w:r w:rsidRPr="00F05A8A">
          <w:rPr>
            <w:rStyle w:val="Hyperlink"/>
          </w:rPr>
          <w:t>o</w:t>
        </w:r>
        <w:r w:rsidRPr="00F05A8A">
          <w:rPr>
            <w:rStyle w:val="Hyperlink"/>
          </w:rPr>
          <w:t>uveaux présidents de commission d'études et plus de 120 nouveaux vice</w:t>
        </w:r>
        <w:r w:rsidRPr="00F05A8A">
          <w:rPr>
            <w:rStyle w:val="Hyperlink"/>
          </w:rPr>
          <w:noBreakHyphen/>
          <w:t>présidents</w:t>
        </w:r>
      </w:hyperlink>
      <w:r w:rsidRPr="00F05A8A">
        <w:t xml:space="preserve"> venant de 37 pays, dont 27 pays en développement.</w:t>
      </w:r>
    </w:p>
    <w:p w14:paraId="5E44BA3A" w14:textId="3CC1FF76" w:rsidR="004C5B6B" w:rsidRPr="00F05A8A" w:rsidRDefault="004C5B6B" w:rsidP="002F075E">
      <w:pPr>
        <w:tabs>
          <w:tab w:val="clear" w:pos="567"/>
          <w:tab w:val="clear" w:pos="1134"/>
          <w:tab w:val="clear" w:pos="1701"/>
          <w:tab w:val="clear" w:pos="2268"/>
          <w:tab w:val="clear" w:pos="2835"/>
        </w:tabs>
        <w:rPr>
          <w:spacing w:val="-2"/>
        </w:rPr>
      </w:pPr>
      <w:r w:rsidRPr="00F05A8A">
        <w:t>L'AMNT-20 a révisé 36 Résolutions, adopté deux nouvelles Résolutions, supprimé quatre Résolutions et décidé de conserver telles quelles dix Résolutions (au total, 20 Résolutions n'ont pas été modifiées par rapport à la version adoptée à Hammamet en 2016). L'AMNT-20 a également révisé trois Recommandations UIT-T de la série A qui régissent les travaux de l'UIT-T, tandis que trois autres Recommandations de cette même série ont été conservées telles quelles. On trouvera en annexe la liste des décisions prises à l'AMNT-20 concernant les Résolutions de l'AMNT et les Recommandations UIT-T.</w:t>
      </w:r>
    </w:p>
    <w:p w14:paraId="0DA93EB5" w14:textId="68363BE6" w:rsidR="004C5B6B" w:rsidRPr="00F05A8A" w:rsidRDefault="004C5B6B" w:rsidP="002F075E">
      <w:pPr>
        <w:tabs>
          <w:tab w:val="clear" w:pos="567"/>
          <w:tab w:val="clear" w:pos="1134"/>
          <w:tab w:val="clear" w:pos="1701"/>
          <w:tab w:val="clear" w:pos="2268"/>
          <w:tab w:val="clear" w:pos="2835"/>
        </w:tabs>
      </w:pPr>
      <w:r w:rsidRPr="00F05A8A">
        <w:t>L'AMNT-20 a chargé la Commission d'études 3 de l'UIT-T d'étudier la proposition de nouvelle Question relative aux services OTT et a demandé à la Commission d'études 2 de l'UIT</w:t>
      </w:r>
      <w:r w:rsidRPr="00F05A8A">
        <w:noBreakHyphen/>
        <w:t xml:space="preserve">T de mener des recherches sur un </w:t>
      </w:r>
      <w:r w:rsidRPr="00F05A8A">
        <w:rPr>
          <w:i/>
          <w:iCs/>
        </w:rPr>
        <w:t>projet de Résolution concernant l'utilisation de la numération hexadécimale pour la définition des numéros d'abonné mobile et de l'identité internationale d'abonné mobile.</w:t>
      </w:r>
    </w:p>
    <w:p w14:paraId="30D74DFE" w14:textId="3DF27D3E" w:rsidR="004C5B6B" w:rsidRPr="00F05A8A" w:rsidRDefault="004C5B6B" w:rsidP="002F075E">
      <w:pPr>
        <w:tabs>
          <w:tab w:val="clear" w:pos="567"/>
          <w:tab w:val="clear" w:pos="1134"/>
          <w:tab w:val="clear" w:pos="1701"/>
          <w:tab w:val="clear" w:pos="2268"/>
          <w:tab w:val="clear" w:pos="2835"/>
        </w:tabs>
      </w:pPr>
      <w:r w:rsidRPr="00F05A8A">
        <w:t>L'AMNT-20 a en outre reconnu, d'une part, l'importance des câbles SMART (surveillance scientifique et télécommunications fiables) pour la surveillance des changements climatiques et des séismes, se disant largement favorable au déploiement d'activités autour de ce concept au sein du Secteur de l'UIT-T et, d'autre part, la nécessité de mener des activités de normalisation sur cette question, et a demandé aux commissions d'études de l'UIT-T concernées d'étudier cette question et au GCNT d'assurer la coordination, selon qu'il conviendra.</w:t>
      </w:r>
    </w:p>
    <w:p w14:paraId="4ED7D181" w14:textId="01CBCBA5" w:rsidR="004C5B6B" w:rsidRPr="00F05A8A" w:rsidRDefault="004C5B6B" w:rsidP="002F075E">
      <w:pPr>
        <w:tabs>
          <w:tab w:val="clear" w:pos="567"/>
          <w:tab w:val="clear" w:pos="1134"/>
          <w:tab w:val="clear" w:pos="1701"/>
          <w:tab w:val="clear" w:pos="2268"/>
          <w:tab w:val="clear" w:pos="2835"/>
        </w:tabs>
      </w:pPr>
      <w:r w:rsidRPr="00F05A8A">
        <w:t>L'AMNT-20 a examiné les aspects liés aux "éléments non radioélectriques de réseaux ouverts, y compris la normalisation des réseaux d'accès ouvert" et a invité les membres à soumettre à la CMDT des propositions sur le sujet d'importance qu'est le développement et l'adoption de réseaux ouverts, y compris les réseaux d'accès ouvert pour les systèmes IMT (par exemple le réseau d'accès radioélectrique (RAN) ouvert), dans l'objectif de promouvoir l'adoption à grande échelle de ces nouvelles technologies et solutions au niveau mondial.</w:t>
      </w:r>
    </w:p>
    <w:p w14:paraId="488D1F99" w14:textId="3D16509B" w:rsidR="004C5B6B" w:rsidRPr="00F05A8A" w:rsidRDefault="004C5B6B" w:rsidP="002F075E">
      <w:pPr>
        <w:tabs>
          <w:tab w:val="clear" w:pos="567"/>
          <w:tab w:val="clear" w:pos="1134"/>
          <w:tab w:val="clear" w:pos="1701"/>
          <w:tab w:val="clear" w:pos="2268"/>
          <w:tab w:val="clear" w:pos="2835"/>
        </w:tabs>
      </w:pPr>
      <w:r w:rsidRPr="00F05A8A">
        <w:t>L'AMNT-20 a invité le GCNT à prendre, avec le soutien et les contributions de ses membres, les mesures nécessaires pour examiner la Résolution 11 (Rév. Hammamet, 2016) et sa mise en œuvre, et à présenter une proposition concernant la marche à suivre pour sa modification</w:t>
      </w:r>
      <w:r w:rsidR="00CF5980" w:rsidRPr="00F05A8A">
        <w:t xml:space="preserve"> </w:t>
      </w:r>
      <w:r w:rsidRPr="00F05A8A">
        <w:t>ou toute autre suggestion.</w:t>
      </w:r>
    </w:p>
    <w:p w14:paraId="0532F5C5" w14:textId="77777777" w:rsidR="00CF5980" w:rsidRPr="00F05A8A" w:rsidRDefault="00CF5980" w:rsidP="002F075E">
      <w:pPr>
        <w:tabs>
          <w:tab w:val="clear" w:pos="567"/>
          <w:tab w:val="clear" w:pos="1134"/>
          <w:tab w:val="clear" w:pos="1701"/>
          <w:tab w:val="clear" w:pos="2268"/>
          <w:tab w:val="clear" w:pos="2835"/>
        </w:tabs>
      </w:pPr>
      <w:r w:rsidRPr="00F05A8A">
        <w:br w:type="page"/>
      </w:r>
    </w:p>
    <w:p w14:paraId="69021356" w14:textId="19A25F69" w:rsidR="004C5B6B" w:rsidRPr="00F05A8A" w:rsidRDefault="004C5B6B" w:rsidP="002F075E">
      <w:pPr>
        <w:tabs>
          <w:tab w:val="clear" w:pos="567"/>
          <w:tab w:val="clear" w:pos="1134"/>
          <w:tab w:val="clear" w:pos="1701"/>
          <w:tab w:val="clear" w:pos="2268"/>
          <w:tab w:val="clear" w:pos="2835"/>
        </w:tabs>
      </w:pPr>
      <w:r w:rsidRPr="00F05A8A">
        <w:lastRenderedPageBreak/>
        <w:t>L'AMNT-20 a souligné le rôle important du secteur privé</w:t>
      </w:r>
      <w:r w:rsidR="00CA146C" w:rsidRPr="00F05A8A">
        <w:t>,</w:t>
      </w:r>
      <w:r w:rsidRPr="00F05A8A">
        <w:t xml:space="preserve"> mais aussi de l'industrie</w:t>
      </w:r>
      <w:r w:rsidR="00CA146C" w:rsidRPr="00F05A8A">
        <w:t>,</w:t>
      </w:r>
      <w:r w:rsidR="00CF5980" w:rsidRPr="00F05A8A">
        <w:t xml:space="preserve"> </w:t>
      </w:r>
      <w:r w:rsidRPr="00F05A8A">
        <w:t>dans les activités de l'UIT, grâce aux activités menées, aux contributions soumises et à leur</w:t>
      </w:r>
      <w:r w:rsidR="00CF5980" w:rsidRPr="00F05A8A">
        <w:t xml:space="preserve"> </w:t>
      </w:r>
      <w:r w:rsidR="00CA146C" w:rsidRPr="00F05A8A">
        <w:t>participation</w:t>
      </w:r>
      <w:r w:rsidRPr="00F05A8A">
        <w:t>. L'AMNT-20 a invité le GCNT à étudier la question de la participation du secteur privé examinée à l'AMNT</w:t>
      </w:r>
      <w:r w:rsidRPr="00F05A8A">
        <w:noBreakHyphen/>
        <w:t>20, y compris la Résolution 68 (Rév. Hammamet, 2016).</w:t>
      </w:r>
    </w:p>
    <w:p w14:paraId="01E80E52" w14:textId="134432D6" w:rsidR="004C5B6B" w:rsidRPr="00F05A8A" w:rsidRDefault="004C5B6B" w:rsidP="002F075E">
      <w:pPr>
        <w:pStyle w:val="Headingb"/>
      </w:pPr>
      <w:r w:rsidRPr="00F05A8A">
        <w:t>Nouvelles Résolutions de l'AMNT-20</w:t>
      </w:r>
    </w:p>
    <w:p w14:paraId="3E7A1BA8" w14:textId="6F8730D2" w:rsidR="004C5B6B" w:rsidRPr="00F05A8A" w:rsidRDefault="004C5B6B" w:rsidP="002F075E">
      <w:pPr>
        <w:tabs>
          <w:tab w:val="clear" w:pos="567"/>
          <w:tab w:val="clear" w:pos="1134"/>
          <w:tab w:val="clear" w:pos="1701"/>
          <w:tab w:val="clear" w:pos="2268"/>
          <w:tab w:val="clear" w:pos="2835"/>
        </w:tabs>
      </w:pPr>
      <w:r w:rsidRPr="00F05A8A">
        <w:t xml:space="preserve">En vertu de la Résolution 99, </w:t>
      </w:r>
      <w:r w:rsidRPr="00F05A8A">
        <w:rPr>
          <w:i/>
          <w:iCs/>
        </w:rPr>
        <w:t>Examen de la réforme structurelle des commissions d'études du Secteur de la normalisation des télécommunications de l'UIT,</w:t>
      </w:r>
      <w:r w:rsidRPr="00F05A8A">
        <w:t xml:space="preserve"> il a été décidé de demander au GCNT de mettre en œuvre son plan d'action aux fins de l'analyse de la restructuration des commissions d'études de l'UIT-T et, avec l'assistance nécessaire fourni</w:t>
      </w:r>
      <w:r w:rsidR="00CA146C" w:rsidRPr="00F05A8A">
        <w:t>e</w:t>
      </w:r>
      <w:r w:rsidRPr="00F05A8A">
        <w:t xml:space="preserve"> par le Directeur du TSB, d'élaborer une proposition assortie de recommandations concernant une</w:t>
      </w:r>
      <w:r w:rsidR="00CF5980" w:rsidRPr="00F05A8A">
        <w:t xml:space="preserve"> </w:t>
      </w:r>
      <w:r w:rsidRPr="00F05A8A">
        <w:t xml:space="preserve">réforme </w:t>
      </w:r>
      <w:r w:rsidR="00CA146C" w:rsidRPr="00F05A8A">
        <w:t xml:space="preserve">éventuelle </w:t>
      </w:r>
      <w:r w:rsidRPr="00F05A8A">
        <w:t>de l'UIT</w:t>
      </w:r>
      <w:r w:rsidRPr="00F05A8A">
        <w:noBreakHyphen/>
        <w:t>T à l'intention de la prochaine Assemblée</w:t>
      </w:r>
      <w:r w:rsidR="00CA146C" w:rsidRPr="00F05A8A">
        <w:t>,</w:t>
      </w:r>
      <w:r w:rsidRPr="00F05A8A">
        <w:t xml:space="preserve"> qui se tiendra en 2024.</w:t>
      </w:r>
    </w:p>
    <w:p w14:paraId="6D83DAE4" w14:textId="1C9991B5" w:rsidR="004C5B6B" w:rsidRPr="00F05A8A" w:rsidRDefault="004C5B6B" w:rsidP="002F075E">
      <w:pPr>
        <w:tabs>
          <w:tab w:val="clear" w:pos="567"/>
          <w:tab w:val="clear" w:pos="1134"/>
          <w:tab w:val="clear" w:pos="1701"/>
          <w:tab w:val="clear" w:pos="2268"/>
          <w:tab w:val="clear" w:pos="2835"/>
        </w:tabs>
      </w:pPr>
      <w:r w:rsidRPr="00F05A8A">
        <w:t xml:space="preserve">En vertu de la Résolution 100, </w:t>
      </w:r>
      <w:r w:rsidRPr="00F05A8A">
        <w:rPr>
          <w:i/>
          <w:iCs/>
        </w:rPr>
        <w:t>Numéro d'urgence commun pour l'Afrique,</w:t>
      </w:r>
      <w:r w:rsidRPr="00F05A8A">
        <w:t xml:space="preserve"> le Directeur du TSB est chargé, en coopération avec le Directeur du BDT, de fournir une assistance technique aux États Membres d'Afrique dans le cadre de la mise en œuvre d'un numéro d'urgence commun, conformément à la Recommandation UIT-T E.161.1.</w:t>
      </w:r>
    </w:p>
    <w:p w14:paraId="76714C05" w14:textId="7595E926" w:rsidR="004C5B6B" w:rsidRPr="00F05A8A" w:rsidRDefault="004C5B6B" w:rsidP="002F075E">
      <w:pPr>
        <w:pStyle w:val="Headingb"/>
        <w:tabs>
          <w:tab w:val="clear" w:pos="567"/>
        </w:tabs>
        <w:ind w:left="0" w:firstLine="0"/>
      </w:pPr>
      <w:r w:rsidRPr="00F05A8A">
        <w:t>Projet de nouvelle Résolution [IAP-3] "Utilisation sur un pied d'égalité des modes de participation physique et virtuelle aux activités du Secteur de la normalisation des télécommunications de l'UIT"</w:t>
      </w:r>
    </w:p>
    <w:p w14:paraId="737E4AEF" w14:textId="7956D6A5" w:rsidR="004C5B6B" w:rsidRPr="00F05A8A" w:rsidRDefault="004C5B6B" w:rsidP="002F075E">
      <w:r w:rsidRPr="00F05A8A">
        <w:t xml:space="preserve">L'AMNT-20 a examiné (mais sans l'adopter) une proposition de nouvelle Résolution [IAP-3] </w:t>
      </w:r>
      <w:r w:rsidRPr="00F05A8A">
        <w:rPr>
          <w:i/>
          <w:iCs/>
        </w:rPr>
        <w:t>"Utilisation sur un pied d'égalité des modes de participation physique et virtuelle aux activités du Secteur de la normalisation des télécommunications de l'UIT".</w:t>
      </w:r>
      <w:r w:rsidRPr="00F05A8A">
        <w:t xml:space="preserve"> L'Assemblée était informée des travaux en cours et connexes au sein du Groupe ad hoc du GCDT sur la gouvernance et la gestion des réunions électroniques (AHG-GME), mais elle est également consciente des</w:t>
      </w:r>
      <w:r w:rsidR="00CF5980" w:rsidRPr="00F05A8A">
        <w:t xml:space="preserve"> </w:t>
      </w:r>
      <w:r w:rsidRPr="00F05A8A">
        <w:t>incidences</w:t>
      </w:r>
      <w:r w:rsidR="00CA146C" w:rsidRPr="00F05A8A">
        <w:t xml:space="preserve"> possibles</w:t>
      </w:r>
      <w:r w:rsidR="00CF5980" w:rsidRPr="00F05A8A">
        <w:t xml:space="preserve"> </w:t>
      </w:r>
      <w:r w:rsidRPr="00F05A8A">
        <w:t>sur des questions, par exemple de nature financière, opérationnelle et juridique, qui relèvent du Conseil et de la Conférence de plénipotentiaires pour ce qui est de la possibilité d'apporter aux Règles générales les modifications que cette proposition précise pourrait rendre nécessaires.</w:t>
      </w:r>
    </w:p>
    <w:p w14:paraId="4F0D9B0D" w14:textId="77777777" w:rsidR="004C5B6B" w:rsidRPr="00F05A8A" w:rsidRDefault="004C5B6B" w:rsidP="002F075E">
      <w:r w:rsidRPr="00F05A8A">
        <w:t>L'AMNT-20 a demandé au Directeur du TSB de porter cette proposition à l'attention du Groupe ad hoc du GCDT sur la gouvernance et la gestion des réunions électroniques, du Conseil et de la Conférence de plénipotentiaires.</w:t>
      </w:r>
    </w:p>
    <w:p w14:paraId="58020EAC" w14:textId="77777777" w:rsidR="004C5B6B" w:rsidRPr="00F05A8A" w:rsidRDefault="004C5B6B" w:rsidP="002F075E">
      <w:r w:rsidRPr="00F05A8A">
        <w:t>L'AMNT-20 a invité la Conférence de plénipotentiaires à examiner le texte de la proposition de nouvelle Résolution [IAP-3] et à prendre les mesures nécessaires sur ce sujet.</w:t>
      </w:r>
    </w:p>
    <w:p w14:paraId="61F9CB3A" w14:textId="13664846" w:rsidR="004C5B6B" w:rsidRPr="00F05A8A" w:rsidRDefault="004C5B6B" w:rsidP="002F075E">
      <w:pPr>
        <w:pStyle w:val="Headingb"/>
        <w:tabs>
          <w:tab w:val="clear" w:pos="567"/>
        </w:tabs>
        <w:ind w:left="0" w:firstLine="0"/>
      </w:pPr>
      <w:r w:rsidRPr="00F05A8A">
        <w:t>Rôle des télécommunications/technologies de l'information et de la communication dans l'atténuation des effets des pandémies mondiales</w:t>
      </w:r>
    </w:p>
    <w:p w14:paraId="46F65BBE" w14:textId="77777777" w:rsidR="004C5B6B" w:rsidRPr="00F05A8A" w:rsidRDefault="004C5B6B" w:rsidP="002F075E">
      <w:r w:rsidRPr="00F05A8A">
        <w:t xml:space="preserve">L'AMNT-20 est convenue d'inclure le texte du projet de nouvelle Résolution sur les pandémies dans les Actes de l'AMNT et a invité la </w:t>
      </w:r>
      <w:r w:rsidRPr="00F05A8A">
        <w:rPr>
          <w:szCs w:val="24"/>
        </w:rPr>
        <w:t xml:space="preserve">Conférence de plénipotentiaires </w:t>
      </w:r>
      <w:r w:rsidRPr="00F05A8A">
        <w:t>à examiner ce texte et à prendre les mesures nécessaires sur ce sujet, selon qu'il conviendra.</w:t>
      </w:r>
    </w:p>
    <w:p w14:paraId="742A6289" w14:textId="77777777" w:rsidR="004C5B6B" w:rsidRPr="00F05A8A" w:rsidRDefault="004C5B6B" w:rsidP="002F075E">
      <w:r w:rsidRPr="00F05A8A">
        <w:t>L'AMNT-20 a aussi chargé le Directeur du TSB d'informer les Directeurs des deux autres Bureaux de la demande ci-dessus adressée à la Conférence de plénipotentiaires, afin d'assurer la coordination nécessaire.</w:t>
      </w:r>
    </w:p>
    <w:p w14:paraId="19130BCC" w14:textId="059A4BA7" w:rsidR="004C5B6B" w:rsidRPr="00F05A8A" w:rsidRDefault="004C5B6B" w:rsidP="002F075E">
      <w:pPr>
        <w:pStyle w:val="Headingb"/>
      </w:pPr>
      <w:r w:rsidRPr="00F05A8A">
        <w:lastRenderedPageBreak/>
        <w:t>Manifestation WISE</w:t>
      </w:r>
    </w:p>
    <w:p w14:paraId="0AB8457D" w14:textId="6D38FB00" w:rsidR="004C5B6B" w:rsidRPr="00F05A8A" w:rsidRDefault="004C5B6B" w:rsidP="002F075E">
      <w:r w:rsidRPr="00F05A8A">
        <w:t>La deuxième manifestation du Groupe d'experts sur la place des femmes dans le domaine de la normalisation (WISE) a eu lieu le 8 mars 2022 à Genève, à l'occasion de l'Assemblée mondiale de normalisation des télécommunications (AMNT) de 2022.</w:t>
      </w:r>
    </w:p>
    <w:p w14:paraId="5A4E7E9C" w14:textId="3A9607C2" w:rsidR="004C5B6B" w:rsidRPr="00F05A8A" w:rsidRDefault="004C5B6B" w:rsidP="002F075E">
      <w:r w:rsidRPr="00F05A8A">
        <w:t>La manifestation a consisté en une cérémonie de signature d'un mémorandum d'accord conclu entre l'Australie et l'UIT, portant sur un partenariat visant à réduire la fracture numérique et à faire progresser l'autonomisation des femmes et leur rôle dans la prise des décisions à la Conférence de plénipotentiaires de l'UIT, suivie d'une cérémonie mettant à l'honneur les entités qui ont apporté une contribution exceptionnelle aux travaux de normalisation de l'UIT-T s'agissant des incidences, de la continuité des activités et des fonctions de direction, et s'est achevée avec une table ronde sur l'importance des considérations liées à l'égalité hommes/femmes dans l'établissement des normes. Les discussions ont également porté sur la façon dont des technologies de pointe</w:t>
      </w:r>
      <w:r w:rsidR="00CA146C" w:rsidRPr="00F05A8A">
        <w:t>,</w:t>
      </w:r>
      <w:r w:rsidRPr="00F05A8A">
        <w:t xml:space="preserve"> telles que l'intelligence artificielle et l'apprentissage automatique</w:t>
      </w:r>
      <w:r w:rsidR="00CA146C" w:rsidRPr="00F05A8A">
        <w:t>,</w:t>
      </w:r>
      <w:r w:rsidRPr="00F05A8A">
        <w:t xml:space="preserve"> pourraient être utilisées pour comprendre les préjugés sexistes et les questions d'équité.</w:t>
      </w:r>
    </w:p>
    <w:p w14:paraId="4A89186D" w14:textId="198F77A5" w:rsidR="004C5B6B" w:rsidRPr="00F05A8A" w:rsidRDefault="004C5B6B" w:rsidP="002F075E">
      <w:r w:rsidRPr="00F05A8A">
        <w:t xml:space="preserve">Résolution 55 de l'AMNT: L'AMNT-20 a en outre réaffirmé sa Résolution 55 relative à la promotion de l'égalité entre les femmes et les hommes dans les activités du Secteur de la normalisation des télécommunications de l'UIT, par laquelle il est demandé à l'UIT-T de continuer à prendre des mesures pour promouvoir l'égalité hommes-femmes et accroître le nombre de femmes occupant des postes à </w:t>
      </w:r>
      <w:r w:rsidR="009953C3" w:rsidRPr="00F05A8A">
        <w:t>responsabilité</w:t>
      </w:r>
      <w:r w:rsidR="00CF5980" w:rsidRPr="00F05A8A">
        <w:t xml:space="preserve"> </w:t>
      </w:r>
      <w:r w:rsidRPr="00F05A8A">
        <w:t>au sein de l'UIT-T et du TSB.</w:t>
      </w:r>
    </w:p>
    <w:p w14:paraId="74A170F0" w14:textId="520A525D" w:rsidR="009C3A42" w:rsidRPr="00F05A8A" w:rsidRDefault="009C3A42" w:rsidP="002F075E">
      <w:pPr>
        <w:pStyle w:val="Headingb"/>
      </w:pPr>
      <w:bookmarkStart w:id="72" w:name="lt_pId024"/>
      <w:r w:rsidRPr="00F05A8A">
        <w:t>Colloque mondial sur la normalisation (GSS-20)</w:t>
      </w:r>
      <w:bookmarkEnd w:id="72"/>
    </w:p>
    <w:p w14:paraId="707694E1" w14:textId="711B213F" w:rsidR="009C3A42" w:rsidRPr="00F05A8A" w:rsidRDefault="009C3A42" w:rsidP="002F075E">
      <w:pPr>
        <w:tabs>
          <w:tab w:val="clear" w:pos="567"/>
          <w:tab w:val="clear" w:pos="1134"/>
          <w:tab w:val="clear" w:pos="1701"/>
          <w:tab w:val="clear" w:pos="2268"/>
          <w:tab w:val="clear" w:pos="2835"/>
        </w:tabs>
      </w:pPr>
      <w:r w:rsidRPr="00F05A8A">
        <w:t xml:space="preserve">Le </w:t>
      </w:r>
      <w:hyperlink r:id="rId37" w:anchor="p=1" w:history="1">
        <w:r w:rsidRPr="00F05A8A">
          <w:rPr>
            <w:rStyle w:val="Hyperlink"/>
          </w:rPr>
          <w:t>quatrième Colloque mondial sur la normalisation (GSS-20)</w:t>
        </w:r>
      </w:hyperlink>
      <w:r w:rsidRPr="00F05A8A">
        <w:t>, qui s'est tenu le 28 février 2022 à Genève (Suisse), a réuni des responsables de renom des milieux de la normalisation pour débattre des normes internationales propres à favoriser la transformation numérique en vue de réaliser les Objectifs de développement durable (ODD).</w:t>
      </w:r>
    </w:p>
    <w:p w14:paraId="103A78F2" w14:textId="580C0181" w:rsidR="009C3A42" w:rsidRPr="00F05A8A" w:rsidRDefault="009C3A42" w:rsidP="002F075E">
      <w:pPr>
        <w:tabs>
          <w:tab w:val="clear" w:pos="567"/>
          <w:tab w:val="clear" w:pos="1134"/>
          <w:tab w:val="clear" w:pos="1701"/>
          <w:tab w:val="clear" w:pos="2268"/>
          <w:tab w:val="clear" w:pos="2835"/>
        </w:tabs>
      </w:pPr>
      <w:r w:rsidRPr="00F05A8A">
        <w:t xml:space="preserve">Le GSS-20 a abouti à l'élaboration d'un </w:t>
      </w:r>
      <w:hyperlink r:id="rId38" w:history="1">
        <w:r w:rsidRPr="00F05A8A">
          <w:rPr>
            <w:rStyle w:val="Hyperlink"/>
          </w:rPr>
          <w:t>document final</w:t>
        </w:r>
      </w:hyperlink>
      <w:r w:rsidRPr="00F05A8A">
        <w:t>, qui a été adopté par l'AMNT-20, montrant de quelle manière les normes peuvent changer le monde grâce à l'exploitation des technologies émergentes, de l'innovation et de l'intelligence artificielle pour appuyer des secteurs comme les soins de santé, les services financiers, la sécurité routière et l'agriculture.</w:t>
      </w:r>
    </w:p>
    <w:p w14:paraId="2E3EA379" w14:textId="32BA43A6" w:rsidR="009C3A42" w:rsidRPr="00F05A8A" w:rsidRDefault="009C3A42" w:rsidP="002F075E">
      <w:pPr>
        <w:keepLines/>
        <w:tabs>
          <w:tab w:val="clear" w:pos="567"/>
          <w:tab w:val="clear" w:pos="1134"/>
          <w:tab w:val="clear" w:pos="1701"/>
          <w:tab w:val="clear" w:pos="2268"/>
          <w:tab w:val="clear" w:pos="2835"/>
        </w:tabs>
      </w:pPr>
      <w:r w:rsidRPr="00F05A8A">
        <w:t>Le GSS-20 a défini les bases de modalités de collaboration possibles des parties prenantes pour l'élaboration de normes, de lignes directrices et de cadres internationaux à l'appui de la transformation numérique pour donner effet aux Objectifs de développement durable (ODD) définis dans le Programme de développement durable à l'horizon 2030, au Pacte de Glasgow pour le climat, à l'Accord de Paris et aux grandes orientations du Sommet mondial sur la société de l'information (SMSI).</w:t>
      </w:r>
    </w:p>
    <w:p w14:paraId="34121E57" w14:textId="11670F2B" w:rsidR="009C3A42" w:rsidRPr="00F05A8A" w:rsidRDefault="009C3A42" w:rsidP="002F075E">
      <w:pPr>
        <w:tabs>
          <w:tab w:val="clear" w:pos="567"/>
          <w:tab w:val="clear" w:pos="1134"/>
          <w:tab w:val="clear" w:pos="1701"/>
          <w:tab w:val="clear" w:pos="2268"/>
          <w:tab w:val="clear" w:pos="2835"/>
        </w:tabs>
      </w:pPr>
      <w:r w:rsidRPr="00F05A8A">
        <w:t>Le GSS-20 a rassemblé plus de 700 participants, qui ont contribué aux débats, échangé des vues sur les principaux éléments qu'ils estiment nécessaire de prendre en considération pour ces cadres, et souligné également à quels éléments la priorité devrait être accordée dans les travaux de normalisation de l'UIT au cours de la prochaine période d'études (2022</w:t>
      </w:r>
      <w:r w:rsidRPr="00F05A8A">
        <w:noBreakHyphen/>
        <w:t>2024). Parmi les sujets très divers qui ont été abordés pendant cette manifestation importante, on mentionnera les villes et les communautés intelligentes, l'agriculture numérique, l'inclusion numérique, l'intelligence artificielle au service de la sécurité routière, la conduite autonome, l'inclusion financière, la durabilité, l'accessibilité et les soins de santé, dans le contexte d'une normalisation centrée sur la technologie.</w:t>
      </w:r>
    </w:p>
    <w:p w14:paraId="3622D117" w14:textId="3FBFDD5C" w:rsidR="009C3A42" w:rsidRPr="00F05A8A" w:rsidRDefault="009C3A42" w:rsidP="002F075E">
      <w:pPr>
        <w:tabs>
          <w:tab w:val="clear" w:pos="567"/>
          <w:tab w:val="clear" w:pos="1134"/>
          <w:tab w:val="clear" w:pos="1701"/>
          <w:tab w:val="clear" w:pos="2268"/>
          <w:tab w:val="clear" w:pos="2835"/>
        </w:tabs>
      </w:pPr>
      <w:r w:rsidRPr="00F05A8A">
        <w:lastRenderedPageBreak/>
        <w:t xml:space="preserve">Le Colloque a consisté en sept séances consacrées au thème "Les normes internationales au service de la transformation numérique et de la réalisation des ODD", et une </w:t>
      </w:r>
      <w:hyperlink r:id="rId39" w:history="1">
        <w:r w:rsidRPr="00F05A8A">
          <w:rPr>
            <w:rStyle w:val="Hyperlink"/>
          </w:rPr>
          <w:t>cérémonie de l'initiative "Tous unis pour des villes intelligentes et durables (U4SSC)"</w:t>
        </w:r>
      </w:hyperlink>
      <w:r w:rsidRPr="00F05A8A">
        <w:t xml:space="preserve"> en présence de représentants des villes.</w:t>
      </w:r>
    </w:p>
    <w:p w14:paraId="377C6281" w14:textId="3E7BB085" w:rsidR="004C5B6B" w:rsidRPr="00F05A8A" w:rsidRDefault="009C3A42" w:rsidP="002F075E">
      <w:r w:rsidRPr="00F05A8A">
        <w:t>Conscient du rôle fondamental que jouent les normes pour renforcer la transformation numérique et réaliser les ODD, le GSS-20 a invité l'UIT à continuer d'appuyer les activités de l'initiative "Tous unis pour des villes intelligentes et durables" (U4SSC) pour accélérer la transformation numérique des villes; à promouvoir les activités menées au titre de l'initiative "L'intelligence artificielle au service de la sécurité routière", qui vise à aider en particulier les pays en développement à tirer pleinement parti des technologies disponibles pour améliorer la sécurité routière, notamment en appuyant la collecte de données; à soutenir les résultats de l'Initiative mondiale en faveur de l'inclusion financière et l'élaboration de normes techniques ayant pour objet de limiter le coût des TIC, d'améliorer la résilience de l'infrastructure numérique et d'assurer des niveaux élevés de sécurité pour les transactions financières; et à encourager les organismes de normalisation à collaborer pour remédier aux disparités qui existent dans la capacité des pays en développement et des pays développés à accéder et appliquer des normes et des cadres pour accélérer la transformation numérique, et participer à leur élaboration sur un pied d'égalité au moyen d'instruments comme le programme de l'UIT pour la réduction de l'écart en matière de normalisation (BSG).</w:t>
      </w:r>
    </w:p>
    <w:p w14:paraId="630C8F50" w14:textId="141CFD64" w:rsidR="009C3A42" w:rsidRPr="00F05A8A" w:rsidRDefault="009C3A42" w:rsidP="002F075E">
      <w:pPr>
        <w:pStyle w:val="Heading3"/>
      </w:pPr>
      <w:bookmarkStart w:id="73" w:name="_Toc104900706"/>
      <w:bookmarkStart w:id="74" w:name="_Toc107466565"/>
      <w:r w:rsidRPr="00F05A8A">
        <w:t>1.1.3</w:t>
      </w:r>
      <w:r w:rsidRPr="00F05A8A">
        <w:tab/>
      </w:r>
      <w:r w:rsidR="00CA366A" w:rsidRPr="00F05A8A">
        <w:t>CMDT</w:t>
      </w:r>
      <w:r w:rsidRPr="00F05A8A">
        <w:t>-</w:t>
      </w:r>
      <w:bookmarkEnd w:id="73"/>
      <w:bookmarkEnd w:id="74"/>
      <w:r w:rsidR="005654D0" w:rsidRPr="00F05A8A">
        <w:t>22</w:t>
      </w:r>
    </w:p>
    <w:p w14:paraId="20284CB3" w14:textId="57CDFD11" w:rsidR="005654D0" w:rsidRPr="00F05A8A" w:rsidRDefault="005654D0" w:rsidP="002F075E">
      <w:r w:rsidRPr="00F05A8A">
        <w:t>La huitième Conférence mondiale de développement des télécommunications (CMDT-22) s</w:t>
      </w:r>
      <w:r w:rsidR="001674A2" w:rsidRPr="00F05A8A">
        <w:t>'</w:t>
      </w:r>
      <w:r w:rsidRPr="00F05A8A">
        <w:t xml:space="preserve">est tenue avec succès à Kigali (Rwanda), du 6 au 16 juin 2022, sur le thème </w:t>
      </w:r>
      <w:r w:rsidR="001674A2" w:rsidRPr="00F05A8A">
        <w:t>"</w:t>
      </w:r>
      <w:r w:rsidRPr="00F05A8A">
        <w:t>Connecter ceux qui ne le sont pas encore</w:t>
      </w:r>
      <w:r w:rsidR="009D6382" w:rsidRPr="00F05A8A">
        <w:t xml:space="preserve"> afin de parvenir au développement durable</w:t>
      </w:r>
      <w:r w:rsidR="001674A2" w:rsidRPr="00F05A8A">
        <w:t>"</w:t>
      </w:r>
      <w:r w:rsidRPr="00F05A8A">
        <w:t xml:space="preserve">. La CMDT-22 a </w:t>
      </w:r>
      <w:r w:rsidR="00CE0859" w:rsidRPr="00F05A8A">
        <w:t>rassemblé</w:t>
      </w:r>
      <w:r w:rsidRPr="00F05A8A">
        <w:t xml:space="preserve"> 2 152</w:t>
      </w:r>
      <w:r w:rsidR="00A01826" w:rsidRPr="00F05A8A">
        <w:t> </w:t>
      </w:r>
      <w:r w:rsidRPr="00F05A8A">
        <w:t xml:space="preserve">participants (1 304 </w:t>
      </w:r>
      <w:r w:rsidR="00692D52" w:rsidRPr="00F05A8A">
        <w:t xml:space="preserve">participants </w:t>
      </w:r>
      <w:r w:rsidRPr="00F05A8A">
        <w:t>en présentiel et 848</w:t>
      </w:r>
      <w:r w:rsidR="00692D52" w:rsidRPr="00F05A8A">
        <w:t xml:space="preserve"> participants</w:t>
      </w:r>
      <w:r w:rsidRPr="00F05A8A">
        <w:t xml:space="preserve"> en ligne) </w:t>
      </w:r>
      <w:r w:rsidR="00A04629" w:rsidRPr="00F05A8A">
        <w:t>représentant</w:t>
      </w:r>
      <w:r w:rsidRPr="00F05A8A">
        <w:t xml:space="preserve"> 150</w:t>
      </w:r>
      <w:r w:rsidR="008A0709" w:rsidRPr="00F05A8A">
        <w:t> </w:t>
      </w:r>
      <w:r w:rsidRPr="00F05A8A">
        <w:t>États</w:t>
      </w:r>
      <w:r w:rsidR="008A0709" w:rsidRPr="00F05A8A">
        <w:t> </w:t>
      </w:r>
      <w:r w:rsidRPr="00F05A8A">
        <w:t xml:space="preserve">Membres (127 pays ayant pris part à la </w:t>
      </w:r>
      <w:r w:rsidR="00CE0859" w:rsidRPr="00F05A8A">
        <w:t>manifestation</w:t>
      </w:r>
      <w:r w:rsidRPr="00F05A8A">
        <w:t xml:space="preserve"> sur place et 23 pays à distance), 93</w:t>
      </w:r>
      <w:r w:rsidR="008A0709" w:rsidRPr="00F05A8A">
        <w:t> </w:t>
      </w:r>
      <w:r w:rsidRPr="00F05A8A">
        <w:t>Membres d</w:t>
      </w:r>
      <w:r w:rsidR="00A04629" w:rsidRPr="00F05A8A">
        <w:t>u</w:t>
      </w:r>
      <w:r w:rsidRPr="00F05A8A">
        <w:t xml:space="preserve"> Secteur </w:t>
      </w:r>
      <w:r w:rsidR="00A04629" w:rsidRPr="00F05A8A">
        <w:t>du développement des télécommunications de l</w:t>
      </w:r>
      <w:r w:rsidR="001674A2" w:rsidRPr="00F05A8A">
        <w:t>'</w:t>
      </w:r>
      <w:r w:rsidR="00A04629" w:rsidRPr="00F05A8A">
        <w:t>UIT (UIT-D), 37 établissements universitaires participant aux travaux de l</w:t>
      </w:r>
      <w:r w:rsidR="001674A2" w:rsidRPr="00F05A8A">
        <w:t>'</w:t>
      </w:r>
      <w:r w:rsidR="00A04629" w:rsidRPr="00F05A8A">
        <w:t xml:space="preserve">UIT, ainsi </w:t>
      </w:r>
      <w:r w:rsidR="00CE0859" w:rsidRPr="00F05A8A">
        <w:t>qu</w:t>
      </w:r>
      <w:r w:rsidR="001674A2" w:rsidRPr="00F05A8A">
        <w:t>'</w:t>
      </w:r>
      <w:r w:rsidR="00CE0859" w:rsidRPr="00F05A8A">
        <w:t>un observateur au titre de</w:t>
      </w:r>
      <w:r w:rsidR="00A04629" w:rsidRPr="00F05A8A">
        <w:t xml:space="preserve"> la Résolution 99 de la Conférence de plénipotentiaires</w:t>
      </w:r>
      <w:r w:rsidR="00CE0859" w:rsidRPr="00F05A8A">
        <w:t xml:space="preserve"> et des observateurs</w:t>
      </w:r>
      <w:r w:rsidR="00A04629" w:rsidRPr="00F05A8A">
        <w:t xml:space="preserve"> de l</w:t>
      </w:r>
      <w:r w:rsidR="001674A2" w:rsidRPr="00F05A8A">
        <w:t>'</w:t>
      </w:r>
      <w:r w:rsidR="00A04629" w:rsidRPr="00F05A8A">
        <w:t>Organisation des Nations Unies et de ses institutions spécialisées.</w:t>
      </w:r>
    </w:p>
    <w:p w14:paraId="5D92F091" w14:textId="092DE87B" w:rsidR="003C2A31" w:rsidRPr="00F05A8A" w:rsidRDefault="00CE0859" w:rsidP="002F075E">
      <w:r w:rsidRPr="00F05A8A">
        <w:t>La grande question était de savoir la mesure dans laquelle l</w:t>
      </w:r>
      <w:r w:rsidR="001674A2" w:rsidRPr="00F05A8A">
        <w:t>'</w:t>
      </w:r>
      <w:r w:rsidRPr="00F05A8A">
        <w:t>humanité est connectée aujourd</w:t>
      </w:r>
      <w:r w:rsidR="001674A2" w:rsidRPr="00F05A8A">
        <w:t>'</w:t>
      </w:r>
      <w:r w:rsidRPr="00F05A8A">
        <w:t>hui.</w:t>
      </w:r>
      <w:r w:rsidR="003C2A31" w:rsidRPr="00F05A8A">
        <w:t xml:space="preserve"> Il est ressorti du Rapport de 2022 sur la connectivité dans le monde, </w:t>
      </w:r>
      <w:r w:rsidR="008A0709" w:rsidRPr="00F05A8A">
        <w:t xml:space="preserve">qui a été élaboré et publié de façon à coïncider avec </w:t>
      </w:r>
      <w:r w:rsidR="003C2A31" w:rsidRPr="00F05A8A">
        <w:t>l</w:t>
      </w:r>
      <w:r w:rsidR="001674A2" w:rsidRPr="00F05A8A">
        <w:t>'</w:t>
      </w:r>
      <w:r w:rsidR="003C2A31" w:rsidRPr="00F05A8A">
        <w:t>ouverture de la CMDT-22, que même si le nombre d</w:t>
      </w:r>
      <w:r w:rsidR="001674A2" w:rsidRPr="00F05A8A">
        <w:t>'</w:t>
      </w:r>
      <w:r w:rsidR="003C2A31" w:rsidRPr="00F05A8A">
        <w:t xml:space="preserve">internautes a grimpé de quelques millions à peine au début des années </w:t>
      </w:r>
      <w:r w:rsidR="00783F07" w:rsidRPr="00F05A8A">
        <w:t>19</w:t>
      </w:r>
      <w:r w:rsidR="003C2A31" w:rsidRPr="00F05A8A">
        <w:t>90 à près de 5 milliards aujourd</w:t>
      </w:r>
      <w:r w:rsidR="001674A2" w:rsidRPr="00F05A8A">
        <w:t>'</w:t>
      </w:r>
      <w:r w:rsidR="003C2A31" w:rsidRPr="00F05A8A">
        <w:t>hui, force est de constater que 2,9 milliards de personnes – soit environ un tiers des habitants de la planète – ne sont toujours pas connectées, et plusieurs centaines de millions doivent se contenter d</w:t>
      </w:r>
      <w:r w:rsidR="001674A2" w:rsidRPr="00F05A8A">
        <w:t>'</w:t>
      </w:r>
      <w:r w:rsidR="003C2A31" w:rsidRPr="00F05A8A">
        <w:t>un accès coûteux et de qualité médiocre, qui ne contribue guère à améliorer concrètement leur quotidien.</w:t>
      </w:r>
    </w:p>
    <w:p w14:paraId="6D99D7DC" w14:textId="46067576" w:rsidR="00A04629" w:rsidRPr="00F05A8A" w:rsidRDefault="003C2A31" w:rsidP="002F075E">
      <w:pPr>
        <w:rPr>
          <w:color w:val="000000"/>
        </w:rPr>
      </w:pPr>
      <w:r w:rsidRPr="00F05A8A">
        <w:t>La Déclaration de Kigali et le Plan d</w:t>
      </w:r>
      <w:r w:rsidR="001674A2" w:rsidRPr="00F05A8A">
        <w:t>'</w:t>
      </w:r>
      <w:r w:rsidRPr="00F05A8A">
        <w:t>action de Kigali, adoptés par la CMDT-22, ont placé</w:t>
      </w:r>
      <w:r w:rsidRPr="00F05A8A">
        <w:rPr>
          <w:color w:val="000000"/>
        </w:rPr>
        <w:t xml:space="preserve"> au cœur du développement mondial une "connectivité universelle et efficace" – c'est-à-dire la possibilité, pour tous, d'accéder à une expérience en ligne sûre, satisfaisante, enrichissante, productive et financièrement abordable.</w:t>
      </w:r>
    </w:p>
    <w:p w14:paraId="150523E5" w14:textId="7AB4AA37" w:rsidR="003C2A31" w:rsidRPr="00F05A8A" w:rsidRDefault="008F74B1" w:rsidP="002F075E">
      <w:r w:rsidRPr="00F05A8A">
        <w:t xml:space="preserve">Les conférences mondiales de développement des télécommunications sont organisées tous les quatre ans </w:t>
      </w:r>
      <w:r w:rsidR="00783F07" w:rsidRPr="00F05A8A">
        <w:t>en vue</w:t>
      </w:r>
      <w:r w:rsidRPr="00F05A8A">
        <w:t xml:space="preserve"> </w:t>
      </w:r>
      <w:r w:rsidR="00783F07" w:rsidRPr="00F05A8A">
        <w:t>d</w:t>
      </w:r>
      <w:r w:rsidR="001674A2" w:rsidRPr="00F05A8A">
        <w:t>'</w:t>
      </w:r>
      <w:r w:rsidRPr="00F05A8A">
        <w:t>examiner les dernières tendances dans les domaines des télécommunications/TIC et</w:t>
      </w:r>
      <w:r w:rsidR="00783F07" w:rsidRPr="00F05A8A">
        <w:t xml:space="preserve"> de</w:t>
      </w:r>
      <w:r w:rsidRPr="00F05A8A">
        <w:t xml:space="preserve"> définir les priorités et les stratégies de l</w:t>
      </w:r>
      <w:r w:rsidR="001674A2" w:rsidRPr="00F05A8A">
        <w:t>'</w:t>
      </w:r>
      <w:r w:rsidRPr="00F05A8A">
        <w:t>UIT-D et du Bureau de développement des télécommunications (BDT) pour une période de quatre ans.</w:t>
      </w:r>
    </w:p>
    <w:p w14:paraId="564A09E0" w14:textId="1BDAA56D" w:rsidR="008F74B1" w:rsidRPr="00F05A8A" w:rsidRDefault="008F74B1" w:rsidP="002F075E">
      <w:pPr>
        <w:rPr>
          <w:color w:val="000000"/>
        </w:rPr>
      </w:pPr>
      <w:r w:rsidRPr="00F05A8A">
        <w:lastRenderedPageBreak/>
        <w:t xml:space="preserve">En adoptant la Déclaration de Kigali, les délégués se sont engagés à </w:t>
      </w:r>
      <w:r w:rsidRPr="00F05A8A">
        <w:rPr>
          <w:color w:val="000000"/>
        </w:rPr>
        <w:t>accélérer l'expansion et l'utilisation d'infrastructures, de services et d'applications numériques efficaces et modernes, pour édifier et développer encore l'économie numérique, notamment en mobilisant des ressources financières pour fournir, dans les plus brefs délais, une connectivité large bande universelle, sûre et financièrement abordable à ceux qui ne sont pas encore connectés.</w:t>
      </w:r>
    </w:p>
    <w:p w14:paraId="2E090098" w14:textId="26D8552F" w:rsidR="008F74B1" w:rsidRPr="00F05A8A" w:rsidRDefault="008F74B1" w:rsidP="002F075E">
      <w:pPr>
        <w:rPr>
          <w:color w:val="000000"/>
        </w:rPr>
      </w:pPr>
      <w:r w:rsidRPr="00F05A8A">
        <w:rPr>
          <w:color w:val="000000"/>
        </w:rPr>
        <w:t>Le Plan d</w:t>
      </w:r>
      <w:r w:rsidR="001674A2" w:rsidRPr="00F05A8A">
        <w:rPr>
          <w:color w:val="000000"/>
        </w:rPr>
        <w:t>'</w:t>
      </w:r>
      <w:r w:rsidRPr="00F05A8A">
        <w:rPr>
          <w:color w:val="000000"/>
        </w:rPr>
        <w:t>action de Kigali comprend:</w:t>
      </w:r>
    </w:p>
    <w:p w14:paraId="4E32AE89" w14:textId="1F32FAF5" w:rsidR="008F74B1" w:rsidRPr="00F05A8A" w:rsidRDefault="00C35C7D" w:rsidP="00C35C7D">
      <w:pPr>
        <w:pStyle w:val="enumlev1"/>
      </w:pPr>
      <w:r w:rsidRPr="00F05A8A">
        <w:t>•</w:t>
      </w:r>
      <w:r w:rsidRPr="00F05A8A">
        <w:tab/>
      </w:r>
      <w:r w:rsidR="008F74B1" w:rsidRPr="00F05A8A">
        <w:t xml:space="preserve">Cinq </w:t>
      </w:r>
      <w:r w:rsidR="00183689" w:rsidRPr="00F05A8A">
        <w:t xml:space="preserve">(5) </w:t>
      </w:r>
      <w:r w:rsidR="008F74B1" w:rsidRPr="00F05A8A">
        <w:t>priorités de l</w:t>
      </w:r>
      <w:r w:rsidR="001674A2" w:rsidRPr="00F05A8A">
        <w:t>'</w:t>
      </w:r>
      <w:r w:rsidR="008F74B1" w:rsidRPr="00F05A8A">
        <w:t>UIT-D, à savoir:</w:t>
      </w:r>
      <w:r w:rsidR="00AC5353" w:rsidRPr="00F05A8A">
        <w:t xml:space="preserve"> connectivité financièrement abordable; transformation numérique; environnement politique et réglementaire propice; </w:t>
      </w:r>
      <w:r w:rsidR="002D6665" w:rsidRPr="00F05A8A">
        <w:t>mobilisation des ressources et coopération internationale; télécommunications/TIC inclusives et sûres au service du développement durable.</w:t>
      </w:r>
    </w:p>
    <w:p w14:paraId="0F59CC8E" w14:textId="536630B5" w:rsidR="002D6665" w:rsidRPr="00F05A8A" w:rsidRDefault="00C35C7D" w:rsidP="00C35C7D">
      <w:pPr>
        <w:pStyle w:val="enumlev1"/>
      </w:pPr>
      <w:r w:rsidRPr="00F05A8A">
        <w:t>•</w:t>
      </w:r>
      <w:r w:rsidRPr="00F05A8A">
        <w:tab/>
      </w:r>
      <w:r w:rsidR="00783F07" w:rsidRPr="00F05A8A">
        <w:t>Vingt-huit</w:t>
      </w:r>
      <w:r w:rsidR="002D6665" w:rsidRPr="00F05A8A">
        <w:t xml:space="preserve"> (28) initiatives régionales: quatre pour la région Afrique, quatre pour la région </w:t>
      </w:r>
      <w:r w:rsidR="002621DF" w:rsidRPr="00F05A8A">
        <w:t xml:space="preserve">des </w:t>
      </w:r>
      <w:r w:rsidR="002D6665" w:rsidRPr="00F05A8A">
        <w:t>Amériques, cinq pour l</w:t>
      </w:r>
      <w:r w:rsidR="002621DF" w:rsidRPr="00F05A8A">
        <w:t>a région des</w:t>
      </w:r>
      <w:r w:rsidR="002D6665" w:rsidRPr="00F05A8A">
        <w:t xml:space="preserve"> États arabes, cinq pour la région Asie-Pacifique, cinq pour la Communauté des États indépendants (CEI) et cinq pour la région Europe. </w:t>
      </w:r>
      <w:r w:rsidR="002D6665" w:rsidRPr="00F05A8A">
        <w:rPr>
          <w:color w:val="000000"/>
        </w:rPr>
        <w:t xml:space="preserve">Les initiatives régionales ont pour </w:t>
      </w:r>
      <w:r w:rsidR="00BA3BC8" w:rsidRPr="00F05A8A">
        <w:rPr>
          <w:color w:val="000000"/>
        </w:rPr>
        <w:t>vocation</w:t>
      </w:r>
      <w:r w:rsidR="002D6665" w:rsidRPr="00F05A8A">
        <w:rPr>
          <w:color w:val="000000"/>
        </w:rPr>
        <w:t xml:space="preserve"> de traiter différents domaines prioritaires</w:t>
      </w:r>
      <w:r w:rsidR="00BA3BC8" w:rsidRPr="00F05A8A">
        <w:rPr>
          <w:color w:val="000000"/>
        </w:rPr>
        <w:t xml:space="preserve"> précis</w:t>
      </w:r>
      <w:r w:rsidR="002D6665" w:rsidRPr="00F05A8A">
        <w:rPr>
          <w:color w:val="000000"/>
        </w:rPr>
        <w:t xml:space="preserve"> des télécommunications/TIC par le biais de partenariats et de la mobilisation de ressources, afin d'exécuter des projets relevant du plan d'action.</w:t>
      </w:r>
    </w:p>
    <w:p w14:paraId="28D4C2EA" w14:textId="74D35DD8" w:rsidR="002D6665" w:rsidRPr="00F05A8A" w:rsidRDefault="00C35C7D" w:rsidP="00C35C7D">
      <w:pPr>
        <w:pStyle w:val="enumlev1"/>
      </w:pPr>
      <w:r w:rsidRPr="00F05A8A">
        <w:t>•</w:t>
      </w:r>
      <w:r w:rsidRPr="00F05A8A">
        <w:tab/>
      </w:r>
      <w:r w:rsidR="002D6665" w:rsidRPr="00F05A8A">
        <w:rPr>
          <w:color w:val="000000"/>
        </w:rPr>
        <w:t xml:space="preserve">Quatorze </w:t>
      </w:r>
      <w:r w:rsidR="00183689" w:rsidRPr="00F05A8A">
        <w:rPr>
          <w:color w:val="000000"/>
        </w:rPr>
        <w:t xml:space="preserve">(14) </w:t>
      </w:r>
      <w:r w:rsidR="002D6665" w:rsidRPr="00F05A8A">
        <w:rPr>
          <w:color w:val="000000"/>
        </w:rPr>
        <w:t>Questions confiées aux commissions d</w:t>
      </w:r>
      <w:r w:rsidR="001674A2" w:rsidRPr="00F05A8A">
        <w:rPr>
          <w:color w:val="000000"/>
        </w:rPr>
        <w:t>'</w:t>
      </w:r>
      <w:r w:rsidR="002D6665" w:rsidRPr="00F05A8A">
        <w:rPr>
          <w:color w:val="000000"/>
        </w:rPr>
        <w:t>études, soit sept Questions pour chaque Commission d</w:t>
      </w:r>
      <w:r w:rsidR="001674A2" w:rsidRPr="00F05A8A">
        <w:rPr>
          <w:color w:val="000000"/>
        </w:rPr>
        <w:t>'</w:t>
      </w:r>
      <w:r w:rsidR="002D6665" w:rsidRPr="00F05A8A">
        <w:rPr>
          <w:color w:val="000000"/>
        </w:rPr>
        <w:t>études de l</w:t>
      </w:r>
      <w:r w:rsidR="001674A2" w:rsidRPr="00F05A8A">
        <w:rPr>
          <w:color w:val="000000"/>
        </w:rPr>
        <w:t>'</w:t>
      </w:r>
      <w:r w:rsidR="002D6665" w:rsidRPr="00F05A8A">
        <w:rPr>
          <w:color w:val="000000"/>
        </w:rPr>
        <w:t>UIT-D</w:t>
      </w:r>
      <w:r w:rsidR="00183689" w:rsidRPr="00F05A8A">
        <w:rPr>
          <w:color w:val="000000"/>
        </w:rPr>
        <w:t>,</w:t>
      </w:r>
      <w:r w:rsidR="002D6665" w:rsidRPr="00F05A8A">
        <w:rPr>
          <w:color w:val="000000"/>
        </w:rPr>
        <w:t xml:space="preserve"> qui seront étudiées au cours de la période 2022</w:t>
      </w:r>
      <w:r w:rsidRPr="00F05A8A">
        <w:rPr>
          <w:color w:val="000000"/>
        </w:rPr>
        <w:noBreakHyphen/>
      </w:r>
      <w:r w:rsidR="002D6665" w:rsidRPr="00F05A8A">
        <w:rPr>
          <w:color w:val="000000"/>
        </w:rPr>
        <w:t>2025.</w:t>
      </w:r>
      <w:r w:rsidR="00183689" w:rsidRPr="00F05A8A">
        <w:rPr>
          <w:color w:val="000000"/>
        </w:rPr>
        <w:t xml:space="preserve"> Les Questions confiées à la Commission d</w:t>
      </w:r>
      <w:r w:rsidR="001674A2" w:rsidRPr="00F05A8A">
        <w:rPr>
          <w:color w:val="000000"/>
        </w:rPr>
        <w:t>'</w:t>
      </w:r>
      <w:r w:rsidR="00183689" w:rsidRPr="00F05A8A">
        <w:rPr>
          <w:color w:val="000000"/>
        </w:rPr>
        <w:t xml:space="preserve">études 1 relèvent du thème </w:t>
      </w:r>
      <w:r w:rsidR="001674A2" w:rsidRPr="00F05A8A">
        <w:rPr>
          <w:color w:val="000000"/>
        </w:rPr>
        <w:t>"</w:t>
      </w:r>
      <w:r w:rsidR="00183689" w:rsidRPr="00F05A8A">
        <w:rPr>
          <w:color w:val="000000"/>
        </w:rPr>
        <w:t>Environnement propice à une connectivité efficace</w:t>
      </w:r>
      <w:r w:rsidR="001674A2" w:rsidRPr="00F05A8A">
        <w:rPr>
          <w:color w:val="000000"/>
        </w:rPr>
        <w:t>"</w:t>
      </w:r>
      <w:r w:rsidR="00183689" w:rsidRPr="00F05A8A">
        <w:rPr>
          <w:color w:val="000000"/>
        </w:rPr>
        <w:t xml:space="preserve"> tandis que les Questions confiées à la Commission d</w:t>
      </w:r>
      <w:r w:rsidR="001674A2" w:rsidRPr="00F05A8A">
        <w:rPr>
          <w:color w:val="000000"/>
        </w:rPr>
        <w:t>'</w:t>
      </w:r>
      <w:r w:rsidR="00183689" w:rsidRPr="00F05A8A">
        <w:rPr>
          <w:color w:val="000000"/>
        </w:rPr>
        <w:t xml:space="preserve">études 2 </w:t>
      </w:r>
      <w:r w:rsidR="002621DF" w:rsidRPr="00F05A8A">
        <w:rPr>
          <w:color w:val="000000"/>
        </w:rPr>
        <w:t>portent sur la</w:t>
      </w:r>
      <w:r w:rsidR="00183689" w:rsidRPr="00F05A8A">
        <w:rPr>
          <w:color w:val="000000"/>
        </w:rPr>
        <w:t xml:space="preserve"> </w:t>
      </w:r>
      <w:r w:rsidR="001674A2" w:rsidRPr="00F05A8A">
        <w:rPr>
          <w:color w:val="000000"/>
        </w:rPr>
        <w:t>"</w:t>
      </w:r>
      <w:r w:rsidR="00183689" w:rsidRPr="00F05A8A">
        <w:rPr>
          <w:color w:val="000000"/>
        </w:rPr>
        <w:t>Transformation numérique</w:t>
      </w:r>
      <w:r w:rsidR="001674A2" w:rsidRPr="00F05A8A">
        <w:rPr>
          <w:color w:val="000000"/>
        </w:rPr>
        <w:t>"</w:t>
      </w:r>
      <w:r w:rsidR="00183689" w:rsidRPr="00F05A8A">
        <w:rPr>
          <w:color w:val="000000"/>
        </w:rPr>
        <w:t>.</w:t>
      </w:r>
    </w:p>
    <w:p w14:paraId="78695B0A" w14:textId="77777777" w:rsidR="00C35C7D" w:rsidRPr="00F05A8A" w:rsidRDefault="00C35C7D" w:rsidP="00C35C7D">
      <w:pPr>
        <w:pStyle w:val="enumlev1"/>
        <w:rPr>
          <w:color w:val="000000"/>
        </w:rPr>
      </w:pPr>
      <w:r w:rsidRPr="00F05A8A">
        <w:t>•</w:t>
      </w:r>
      <w:r w:rsidRPr="00F05A8A">
        <w:tab/>
      </w:r>
      <w:r w:rsidR="00183689" w:rsidRPr="00F05A8A">
        <w:rPr>
          <w:color w:val="000000"/>
        </w:rPr>
        <w:t xml:space="preserve">Quarante-cinq (45) Résolutions révisées et quatre (4) nouvelles Résolutions adoptées (qui seront </w:t>
      </w:r>
      <w:r w:rsidR="00E87AFB" w:rsidRPr="00F05A8A">
        <w:rPr>
          <w:color w:val="000000"/>
        </w:rPr>
        <w:t>renumérotées en temps voulu), citées ci-dessous:</w:t>
      </w:r>
    </w:p>
    <w:p w14:paraId="37CA3DB7" w14:textId="11DC686A" w:rsidR="00183689" w:rsidRPr="00F05A8A" w:rsidRDefault="00C35C7D" w:rsidP="00C35C7D">
      <w:pPr>
        <w:pStyle w:val="enumlev2"/>
      </w:pPr>
      <w:r w:rsidRPr="00F05A8A">
        <w:t>–</w:t>
      </w:r>
      <w:r w:rsidRPr="00F05A8A">
        <w:tab/>
      </w:r>
      <w:r w:rsidR="00E87AFB" w:rsidRPr="00F05A8A">
        <w:t>R</w:t>
      </w:r>
      <w:r w:rsidR="00BA3BC8" w:rsidRPr="00F05A8A">
        <w:t>É</w:t>
      </w:r>
      <w:r w:rsidR="00E87AFB" w:rsidRPr="00F05A8A">
        <w:t xml:space="preserve">SOLUTION PLEN-1 (Kigali, 2022): </w:t>
      </w:r>
      <w:r w:rsidR="001674A2" w:rsidRPr="00F05A8A">
        <w:t>"</w:t>
      </w:r>
      <w:r w:rsidR="00E87AFB" w:rsidRPr="00F05A8A">
        <w:t>Connecter toutes les écoles à l'Internet et tous les jeunes aux services issus des technologies de l'information et de la communication</w:t>
      </w:r>
      <w:r w:rsidR="001674A2" w:rsidRPr="00F05A8A">
        <w:t>"</w:t>
      </w:r>
      <w:r w:rsidRPr="00F05A8A">
        <w:t>.</w:t>
      </w:r>
      <w:r w:rsidR="00E87AFB" w:rsidRPr="00F05A8A">
        <w:t xml:space="preserve"> Cette Résolution vise à faire en sorte que toutes les écoles soient connectées à l</w:t>
      </w:r>
      <w:r w:rsidR="001674A2" w:rsidRPr="00F05A8A">
        <w:t>'</w:t>
      </w:r>
      <w:r w:rsidR="00E87AFB" w:rsidRPr="00F05A8A">
        <w:t>Internet dans le cadre de l</w:t>
      </w:r>
      <w:r w:rsidR="001674A2" w:rsidRPr="00F05A8A">
        <w:t>'</w:t>
      </w:r>
      <w:r w:rsidR="00E87AFB" w:rsidRPr="00F05A8A">
        <w:t>initiative Giga, lancée conjointement par l</w:t>
      </w:r>
      <w:r w:rsidR="001674A2" w:rsidRPr="00F05A8A">
        <w:t>'</w:t>
      </w:r>
      <w:r w:rsidR="00E87AFB" w:rsidRPr="00F05A8A">
        <w:t>UIT et l</w:t>
      </w:r>
      <w:r w:rsidR="001674A2" w:rsidRPr="00F05A8A">
        <w:t>'</w:t>
      </w:r>
      <w:r w:rsidR="00E87AFB" w:rsidRPr="00F05A8A">
        <w:t>UNICEF.</w:t>
      </w:r>
    </w:p>
    <w:p w14:paraId="74EA5A72" w14:textId="0CC79C46" w:rsidR="00E87AFB" w:rsidRPr="00F05A8A" w:rsidRDefault="00C35C7D" w:rsidP="00C35C7D">
      <w:pPr>
        <w:pStyle w:val="enumlev2"/>
      </w:pPr>
      <w:r w:rsidRPr="00F05A8A">
        <w:t>–</w:t>
      </w:r>
      <w:r w:rsidRPr="00F05A8A">
        <w:tab/>
      </w:r>
      <w:r w:rsidR="00E87AFB" w:rsidRPr="00F05A8A">
        <w:t>R</w:t>
      </w:r>
      <w:r w:rsidR="00BA3BC8" w:rsidRPr="00F05A8A">
        <w:t>É</w:t>
      </w:r>
      <w:r w:rsidR="00E87AFB" w:rsidRPr="00F05A8A">
        <w:t xml:space="preserve">SOLUTION PLEN-2 (Kigali, 2022): </w:t>
      </w:r>
      <w:r w:rsidR="001674A2" w:rsidRPr="00F05A8A">
        <w:t>"</w:t>
      </w:r>
      <w:r w:rsidR="00E87AFB" w:rsidRPr="00F05A8A">
        <w:t>Coalition pour le numérique Partner2Connect (P2C) de l</w:t>
      </w:r>
      <w:r w:rsidR="001674A2" w:rsidRPr="00F05A8A">
        <w:t>'</w:t>
      </w:r>
      <w:r w:rsidR="00E87AFB" w:rsidRPr="00F05A8A">
        <w:t>UIT</w:t>
      </w:r>
      <w:r w:rsidR="001674A2" w:rsidRPr="00F05A8A">
        <w:t>"</w:t>
      </w:r>
      <w:r w:rsidR="00E87AFB" w:rsidRPr="00F05A8A">
        <w:t>. Cette Résolution vise à faire de la Coalition pour le numérique Partner2Connect le principal mécanisme destiné à encourager la conclusion de nouveaux partenariats pour promouvoir une véritable connectivité et la transformation numérique à travers le monde, notamment dans les communautés les plus difficiles à connecter.</w:t>
      </w:r>
    </w:p>
    <w:p w14:paraId="04D96C69" w14:textId="6C85ED6D" w:rsidR="00E87AFB" w:rsidRPr="00F05A8A" w:rsidRDefault="00C35C7D" w:rsidP="00C35C7D">
      <w:pPr>
        <w:pStyle w:val="enumlev2"/>
      </w:pPr>
      <w:r w:rsidRPr="00F05A8A">
        <w:t>–</w:t>
      </w:r>
      <w:r w:rsidRPr="00F05A8A">
        <w:tab/>
      </w:r>
      <w:r w:rsidR="00E87AFB" w:rsidRPr="00F05A8A">
        <w:t>R</w:t>
      </w:r>
      <w:r w:rsidR="00BA3BC8" w:rsidRPr="00F05A8A">
        <w:t>É</w:t>
      </w:r>
      <w:r w:rsidR="00E87AFB" w:rsidRPr="00F05A8A">
        <w:t xml:space="preserve">SOLUTION WGPLEN/1 (Kigali, 2022): </w:t>
      </w:r>
      <w:r w:rsidR="001674A2" w:rsidRPr="00F05A8A">
        <w:t>"</w:t>
      </w:r>
      <w:r w:rsidR="00E87AFB" w:rsidRPr="00F05A8A">
        <w:t>La transformation numérique au service du développement durable</w:t>
      </w:r>
      <w:r w:rsidR="001674A2" w:rsidRPr="00F05A8A">
        <w:t>"</w:t>
      </w:r>
      <w:r w:rsidRPr="00F05A8A">
        <w:t>.</w:t>
      </w:r>
      <w:r w:rsidR="00527A8E" w:rsidRPr="00F05A8A">
        <w:t xml:space="preserve"> </w:t>
      </w:r>
      <w:r w:rsidR="005520C3" w:rsidRPr="00F05A8A">
        <w:t>Cette Résolution a pour objet d</w:t>
      </w:r>
      <w:r w:rsidR="001674A2" w:rsidRPr="00F05A8A">
        <w:t>'</w:t>
      </w:r>
      <w:r w:rsidR="005520C3" w:rsidRPr="00F05A8A">
        <w:t xml:space="preserve">encourager les efforts visant à promouvoir la transformation numérique au service du développement durable, en reconnaissant l'énorme potentiel qu'offrent les TIC comme vecteurs de changement positif, efficace et durable. </w:t>
      </w:r>
      <w:r w:rsidR="00527A8E" w:rsidRPr="00F05A8A">
        <w:t>À cet égard, l</w:t>
      </w:r>
      <w:r w:rsidR="005520C3" w:rsidRPr="00F05A8A">
        <w:t xml:space="preserve">e Directeur du Bureau des radiocommunications, le Directeur du Bureau de la normalisation des télécommunications et le Directeur du Bureau de développement des télécommunications sont invités à collaborer activement afin de répondre aux besoins énoncés dans </w:t>
      </w:r>
      <w:r w:rsidR="00527A8E" w:rsidRPr="00F05A8A">
        <w:t>cette</w:t>
      </w:r>
      <w:r w:rsidR="005520C3" w:rsidRPr="00F05A8A">
        <w:t xml:space="preserve"> Résolution, dans les domaines d'intérêt mutuel ayant trait aux technologies de transformation numérique, dans le cadre de l'approche "Une UIT unie dans l'action", et en renforçant la coordination entre les trois Secteurs.</w:t>
      </w:r>
    </w:p>
    <w:p w14:paraId="7DA0D45A" w14:textId="5CBF5238" w:rsidR="005520C3" w:rsidRPr="00F05A8A" w:rsidRDefault="00C35C7D" w:rsidP="00C35C7D">
      <w:pPr>
        <w:pStyle w:val="enumlev2"/>
      </w:pPr>
      <w:r w:rsidRPr="00F05A8A">
        <w:lastRenderedPageBreak/>
        <w:t>–</w:t>
      </w:r>
      <w:r w:rsidRPr="00F05A8A">
        <w:tab/>
      </w:r>
      <w:r w:rsidR="005520C3" w:rsidRPr="00F05A8A">
        <w:rPr>
          <w:spacing w:val="-4"/>
        </w:rPr>
        <w:t>R</w:t>
      </w:r>
      <w:r w:rsidR="00BA3BC8" w:rsidRPr="00F05A8A">
        <w:t>É</w:t>
      </w:r>
      <w:r w:rsidR="005520C3" w:rsidRPr="00F05A8A">
        <w:rPr>
          <w:spacing w:val="-4"/>
        </w:rPr>
        <w:t xml:space="preserve">SOLUTION COM3/1 (Kigali, 2022): </w:t>
      </w:r>
      <w:r w:rsidR="001674A2" w:rsidRPr="00F05A8A">
        <w:rPr>
          <w:spacing w:val="-4"/>
        </w:rPr>
        <w:t>"</w:t>
      </w:r>
      <w:r w:rsidR="005520C3" w:rsidRPr="00F05A8A">
        <w:t>Promouvoir l'entrepreneuriat centré sur les télécommunications/TIC et les écosystèmes de l'innovation numérique pour le développement durable du numérique</w:t>
      </w:r>
      <w:r w:rsidR="001674A2" w:rsidRPr="00F05A8A">
        <w:t>"</w:t>
      </w:r>
      <w:r w:rsidRPr="00F05A8A">
        <w:t>.</w:t>
      </w:r>
      <w:r w:rsidR="005520C3" w:rsidRPr="00F05A8A">
        <w:t xml:space="preserve"> Cette Résolution vise à créer un environnement propice à l'entrepreneuriat et aux écosystèmes de l'innovation numérique, pour contribuer à accélérer la réalisation des Objectifs de développement durable définis par les Nations Unies.</w:t>
      </w:r>
    </w:p>
    <w:p w14:paraId="5C682C93" w14:textId="22B6EB15" w:rsidR="00A61E38" w:rsidRPr="00F05A8A" w:rsidRDefault="00A61E38" w:rsidP="00C35C7D">
      <w:r w:rsidRPr="00F05A8A">
        <w:t>Le Plan d</w:t>
      </w:r>
      <w:r w:rsidR="001674A2" w:rsidRPr="00F05A8A">
        <w:t>'</w:t>
      </w:r>
      <w:r w:rsidRPr="00F05A8A">
        <w:t>action de Kigali est axé sur les résultats et suit la structure du Plan stratégique de l</w:t>
      </w:r>
      <w:r w:rsidR="001674A2" w:rsidRPr="00F05A8A">
        <w:t>'</w:t>
      </w:r>
      <w:r w:rsidRPr="00F05A8A">
        <w:t>UIT pour la période 2024-2027. La plan d</w:t>
      </w:r>
      <w:r w:rsidR="001674A2" w:rsidRPr="00F05A8A">
        <w:t>'</w:t>
      </w:r>
      <w:r w:rsidRPr="00F05A8A">
        <w:t>action précise également la contribution de l</w:t>
      </w:r>
      <w:r w:rsidR="001674A2" w:rsidRPr="00F05A8A">
        <w:t>'</w:t>
      </w:r>
      <w:r w:rsidRPr="00F05A8A">
        <w:t>UIT-D à la mise en œuvre des grandes orientations du Sommet mondial sur la société de l</w:t>
      </w:r>
      <w:r w:rsidR="001674A2" w:rsidRPr="00F05A8A">
        <w:t>'</w:t>
      </w:r>
      <w:r w:rsidRPr="00F05A8A">
        <w:t>information (SMSI) et à la réalisation des Objectifs de développement durable.</w:t>
      </w:r>
    </w:p>
    <w:p w14:paraId="3567462F" w14:textId="73C46855" w:rsidR="00A61E38" w:rsidRPr="00F05A8A" w:rsidRDefault="004D7740" w:rsidP="00C35C7D">
      <w:r w:rsidRPr="00F05A8A">
        <w:t>La CMDT-22 a été l</w:t>
      </w:r>
      <w:r w:rsidR="001674A2" w:rsidRPr="00F05A8A">
        <w:t>'</w:t>
      </w:r>
      <w:r w:rsidRPr="00F05A8A">
        <w:t>occasion d</w:t>
      </w:r>
      <w:r w:rsidR="00B16F8D" w:rsidRPr="00F05A8A">
        <w:t>e lancer</w:t>
      </w:r>
      <w:r w:rsidRPr="00F05A8A">
        <w:t xml:space="preserve"> des initiatives pionnières, à l</w:t>
      </w:r>
      <w:r w:rsidR="001674A2" w:rsidRPr="00F05A8A">
        <w:t>'</w:t>
      </w:r>
      <w:r w:rsidRPr="00F05A8A">
        <w:t>instar du tout premier Sommet mondial de la jeunesse</w:t>
      </w:r>
      <w:r w:rsidR="00527A8E" w:rsidRPr="00F05A8A">
        <w:t>,</w:t>
      </w:r>
      <w:r w:rsidRPr="00F05A8A">
        <w:t xml:space="preserve"> </w:t>
      </w:r>
      <w:r w:rsidR="00B16F8D" w:rsidRPr="00F05A8A">
        <w:t>organisé</w:t>
      </w:r>
      <w:r w:rsidR="002621DF" w:rsidRPr="00F05A8A">
        <w:t xml:space="preserve"> du 2 au 4 juin 2022</w:t>
      </w:r>
      <w:r w:rsidR="00527A8E" w:rsidRPr="00F05A8A">
        <w:t>,</w:t>
      </w:r>
      <w:r w:rsidR="00B16F8D" w:rsidRPr="00F05A8A">
        <w:t xml:space="preserve"> dans le cadre de l</w:t>
      </w:r>
      <w:r w:rsidR="001674A2" w:rsidRPr="00F05A8A">
        <w:t>'</w:t>
      </w:r>
      <w:r w:rsidR="00B16F8D" w:rsidRPr="00F05A8A">
        <w:t>initiative Generation Connect</w:t>
      </w:r>
      <w:r w:rsidR="00527A8E" w:rsidRPr="00F05A8A">
        <w:t>;</w:t>
      </w:r>
      <w:r w:rsidR="00B16F8D" w:rsidRPr="00F05A8A">
        <w:t xml:space="preserve"> de la </w:t>
      </w:r>
      <w:r w:rsidR="00527A8E" w:rsidRPr="00F05A8A">
        <w:t>T</w:t>
      </w:r>
      <w:r w:rsidR="00B16F8D" w:rsidRPr="00F05A8A">
        <w:t xml:space="preserve">able ronde </w:t>
      </w:r>
      <w:r w:rsidR="00527A8E" w:rsidRPr="00F05A8A">
        <w:t>Partner2Connect (P2C)</w:t>
      </w:r>
      <w:r w:rsidR="00B16F8D" w:rsidRPr="00F05A8A">
        <w:t xml:space="preserve"> pour le développement du numérique, </w:t>
      </w:r>
      <w:r w:rsidR="00527A8E" w:rsidRPr="00F05A8A">
        <w:t xml:space="preserve">faisant partie intégrante de la Conférence et </w:t>
      </w:r>
      <w:r w:rsidR="00B16F8D" w:rsidRPr="00F05A8A">
        <w:t>qui s</w:t>
      </w:r>
      <w:r w:rsidR="001674A2" w:rsidRPr="00F05A8A">
        <w:t>'</w:t>
      </w:r>
      <w:r w:rsidR="00B16F8D" w:rsidRPr="00F05A8A">
        <w:t xml:space="preserve">est </w:t>
      </w:r>
      <w:r w:rsidR="00527A8E" w:rsidRPr="00F05A8A">
        <w:t>déroulée du</w:t>
      </w:r>
      <w:r w:rsidR="00B16F8D" w:rsidRPr="00F05A8A">
        <w:t xml:space="preserve"> 7 au 9 juin</w:t>
      </w:r>
      <w:r w:rsidR="00527A8E" w:rsidRPr="00F05A8A">
        <w:t> </w:t>
      </w:r>
      <w:r w:rsidR="00B16F8D" w:rsidRPr="00F05A8A">
        <w:t>2022</w:t>
      </w:r>
      <w:r w:rsidR="00527A8E" w:rsidRPr="00F05A8A">
        <w:t>;</w:t>
      </w:r>
      <w:r w:rsidR="00B16F8D" w:rsidRPr="00F05A8A">
        <w:t xml:space="preserve"> et du nouveau programme du Réseau de femmes (NoW). Présentée en septembre 2021, la Coalition pour le numérique P2C avait, au 16 juin 2022, mobilisé 418</w:t>
      </w:r>
      <w:r w:rsidR="006F2799" w:rsidRPr="00F05A8A">
        <w:t> engagements</w:t>
      </w:r>
      <w:r w:rsidR="00B16F8D" w:rsidRPr="00F05A8A">
        <w:t xml:space="preserve"> d</w:t>
      </w:r>
      <w:r w:rsidR="001674A2" w:rsidRPr="00F05A8A">
        <w:t>'</w:t>
      </w:r>
      <w:r w:rsidR="00B16F8D" w:rsidRPr="00F05A8A">
        <w:t>une valeur estimée à 25,</w:t>
      </w:r>
      <w:r w:rsidR="000D0A4D" w:rsidRPr="00F05A8A">
        <w:t>0</w:t>
      </w:r>
      <w:r w:rsidR="00B16F8D" w:rsidRPr="00F05A8A">
        <w:t>5</w:t>
      </w:r>
      <w:r w:rsidR="00706CCE" w:rsidRPr="00F05A8A">
        <w:t> </w:t>
      </w:r>
      <w:r w:rsidR="00B16F8D" w:rsidRPr="00F05A8A">
        <w:t>milliards</w:t>
      </w:r>
      <w:r w:rsidR="002621DF" w:rsidRPr="00F05A8A">
        <w:t> </w:t>
      </w:r>
      <w:r w:rsidR="00B16F8D" w:rsidRPr="00F05A8A">
        <w:t xml:space="preserve">USD. </w:t>
      </w:r>
      <w:r w:rsidR="000D0A4D" w:rsidRPr="00F05A8A">
        <w:t xml:space="preserve">Quant au </w:t>
      </w:r>
      <w:r w:rsidR="00B16F8D" w:rsidRPr="00F05A8A">
        <w:t xml:space="preserve">programme du Réseau </w:t>
      </w:r>
      <w:r w:rsidR="000D0A4D" w:rsidRPr="00F05A8A">
        <w:t>de femmes (NoW)</w:t>
      </w:r>
      <w:r w:rsidR="00B16F8D" w:rsidRPr="00F05A8A">
        <w:t xml:space="preserve"> pour l</w:t>
      </w:r>
      <w:r w:rsidR="001674A2" w:rsidRPr="00F05A8A">
        <w:t>'</w:t>
      </w:r>
      <w:r w:rsidR="00B16F8D" w:rsidRPr="00F05A8A">
        <w:t xml:space="preserve">UIT-D, </w:t>
      </w:r>
      <w:r w:rsidR="000D0A4D" w:rsidRPr="00F05A8A">
        <w:t>il</w:t>
      </w:r>
      <w:r w:rsidR="00B16F8D" w:rsidRPr="00F05A8A">
        <w:t xml:space="preserve"> avait pour </w:t>
      </w:r>
      <w:r w:rsidR="000D0A4D" w:rsidRPr="00F05A8A">
        <w:t>vocation</w:t>
      </w:r>
      <w:r w:rsidR="00B16F8D" w:rsidRPr="00F05A8A">
        <w:t xml:space="preserve"> d</w:t>
      </w:r>
      <w:r w:rsidR="001674A2" w:rsidRPr="00F05A8A">
        <w:t>'</w:t>
      </w:r>
      <w:r w:rsidR="00B16F8D" w:rsidRPr="00F05A8A">
        <w:t xml:space="preserve">appuyer la participation des femmes et leur perfectionnement professionnel lors de la Conférence, l'objectif étant de promouvoir l'équilibre hommes-femmes dans les délégations nationales et de donner aux femmes les moyens d'assumer davantage de fonctions de direction dans les groupes de travail et les commissions. </w:t>
      </w:r>
      <w:r w:rsidR="006564C9" w:rsidRPr="00F05A8A">
        <w:t xml:space="preserve">Un déjeuner, un petit-déjeuner et un marathon à la marche intitulé </w:t>
      </w:r>
      <w:r w:rsidR="001674A2" w:rsidRPr="00F05A8A">
        <w:t>"</w:t>
      </w:r>
      <w:r w:rsidR="006564C9" w:rsidRPr="00F05A8A">
        <w:t>Walk2Connect</w:t>
      </w:r>
      <w:r w:rsidR="001674A2" w:rsidRPr="00F05A8A">
        <w:t>"</w:t>
      </w:r>
      <w:r w:rsidR="006564C9" w:rsidRPr="00F05A8A">
        <w:t xml:space="preserve"> ont été organisés dans le cadre du programme.</w:t>
      </w:r>
    </w:p>
    <w:p w14:paraId="66FE5D76" w14:textId="77777777" w:rsidR="00D80461" w:rsidRPr="00F05A8A" w:rsidRDefault="00D80461" w:rsidP="002F075E">
      <w:pPr>
        <w:pStyle w:val="Heading2"/>
      </w:pPr>
      <w:bookmarkStart w:id="75" w:name="_Toc41032045"/>
      <w:bookmarkStart w:id="76" w:name="_Toc72846580"/>
      <w:bookmarkStart w:id="77" w:name="_Toc98513601"/>
      <w:bookmarkStart w:id="78" w:name="_Toc107466566"/>
      <w:r w:rsidRPr="00F05A8A">
        <w:t>1.2</w:t>
      </w:r>
      <w:r w:rsidRPr="00F05A8A">
        <w:tab/>
      </w:r>
      <w:r w:rsidRPr="00F05A8A">
        <w:rPr>
          <w:color w:val="000000"/>
        </w:rPr>
        <w:t>Réglementation et gestion du spectre/des orbites</w:t>
      </w:r>
      <w:bookmarkEnd w:id="75"/>
      <w:bookmarkEnd w:id="76"/>
      <w:bookmarkEnd w:id="77"/>
      <w:bookmarkEnd w:id="78"/>
    </w:p>
    <w:p w14:paraId="475470A7" w14:textId="77777777" w:rsidR="00D80461" w:rsidRPr="00F05A8A" w:rsidRDefault="00D80461" w:rsidP="002F075E">
      <w:r w:rsidRPr="00F05A8A">
        <w:t xml:space="preserve">Le </w:t>
      </w:r>
      <w:hyperlink r:id="rId40" w:history="1">
        <w:r w:rsidRPr="00F05A8A">
          <w:rPr>
            <w:rStyle w:val="Hyperlink"/>
          </w:rPr>
          <w:t>Secteur des radiocommunications de l'UIT (UIT-R)</w:t>
        </w:r>
      </w:hyperlink>
      <w:r w:rsidRPr="00F05A8A">
        <w:t xml:space="preserve"> joue un rôle essentiel dans la gestion à l'échelle mondiale du spectre des fréquences radioélectriques et des orbites de satellites. Ces ressources naturelles limitées sont sollicitées par des services tels que les services fixe, mobile, de radiodiffusion, d'amateur, de recherche spatiale, les télécommunications d'urgence, la météorologie, les systèmes mondiaux de localisation, les systèmes de surveillance de l'environnement et les services de communication. L'UIT-R crée les conditions requises pour le développement harmonisé et l'exploitation efficace des systèmes de radiocommunication existants ou futurs.</w:t>
      </w:r>
    </w:p>
    <w:p w14:paraId="0D728904" w14:textId="77777777" w:rsidR="00D80461" w:rsidRPr="00F05A8A" w:rsidRDefault="00D80461" w:rsidP="002F075E">
      <w:pPr>
        <w:keepLines/>
      </w:pPr>
      <w:r w:rsidRPr="00F05A8A">
        <w:t xml:space="preserve">L'UIT fournit un appui aux pays en développement en renforçant leurs capacités relatives à la gestion des fréquences, comme l'indiquent les principaux résultats de la CMR-19 et de l'AR-19, y compris concernant l'attribution de bandes de fréquences et le partage de fréquences aux fins de l'utilisation efficace des ressources que sont le spectre et les orbites </w:t>
      </w:r>
      <w:r w:rsidRPr="00F05A8A">
        <w:rPr>
          <w:lang w:eastAsia="en-GB"/>
        </w:rPr>
        <w:t>(voir la section 1.1)</w:t>
      </w:r>
      <w:r w:rsidRPr="00F05A8A">
        <w:t>.</w:t>
      </w:r>
    </w:p>
    <w:p w14:paraId="3215CCD4" w14:textId="77777777" w:rsidR="00CF5980" w:rsidRPr="00F05A8A" w:rsidRDefault="00CF5980" w:rsidP="002F075E">
      <w:pPr>
        <w:pStyle w:val="Headingb"/>
        <w:spacing w:after="120"/>
        <w:ind w:left="0" w:firstLine="0"/>
      </w:pPr>
      <w:bookmarkStart w:id="79" w:name="_Toc41032046"/>
      <w:bookmarkStart w:id="80" w:name="_Toc72845007"/>
      <w:bookmarkStart w:id="81" w:name="_Toc72846355"/>
      <w:bookmarkStart w:id="82" w:name="_Toc72846581"/>
      <w:bookmarkStart w:id="83" w:name="_Toc95387462"/>
      <w:r w:rsidRPr="00F05A8A">
        <w:br w:type="page"/>
      </w:r>
    </w:p>
    <w:p w14:paraId="7DFF29D4" w14:textId="5038E77F" w:rsidR="00D80461" w:rsidRPr="00F05A8A" w:rsidRDefault="00D80461" w:rsidP="002F075E">
      <w:pPr>
        <w:pStyle w:val="Headingb"/>
        <w:spacing w:after="120"/>
        <w:ind w:left="0" w:firstLine="0"/>
      </w:pPr>
      <w:r w:rsidRPr="00F05A8A">
        <w:lastRenderedPageBreak/>
        <w:t>Résultats du traitement des fiches de notification (services spatiaux) et des autres activités connexes</w:t>
      </w:r>
      <w:bookmarkEnd w:id="79"/>
      <w:bookmarkEnd w:id="80"/>
      <w:bookmarkEnd w:id="81"/>
      <w:bookmarkEnd w:id="82"/>
      <w:bookmarkEnd w:id="83"/>
    </w:p>
    <w:tbl>
      <w:tblPr>
        <w:tblStyle w:val="ListTable4-Accent1"/>
        <w:tblW w:w="9503" w:type="dxa"/>
        <w:tblLook w:val="04A0" w:firstRow="1" w:lastRow="0" w:firstColumn="1" w:lastColumn="0" w:noHBand="0" w:noVBand="1"/>
      </w:tblPr>
      <w:tblGrid>
        <w:gridCol w:w="4116"/>
        <w:gridCol w:w="841"/>
        <w:gridCol w:w="850"/>
        <w:gridCol w:w="1134"/>
        <w:gridCol w:w="1276"/>
        <w:gridCol w:w="1286"/>
      </w:tblGrid>
      <w:tr w:rsidR="00D80461" w:rsidRPr="00F05A8A" w14:paraId="4C53D54E" w14:textId="77777777" w:rsidTr="00142C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6" w:type="dxa"/>
            <w:shd w:val="clear" w:color="auto" w:fill="1F497D" w:themeFill="text2"/>
            <w:hideMark/>
          </w:tcPr>
          <w:p w14:paraId="40F49FE1" w14:textId="77777777" w:rsidR="00D80461" w:rsidRPr="00F05A8A" w:rsidRDefault="00D80461" w:rsidP="002F075E">
            <w:pPr>
              <w:pStyle w:val="Tablehead"/>
              <w:rPr>
                <w:b/>
                <w:bCs w:val="0"/>
                <w:sz w:val="20"/>
                <w:lang w:eastAsia="en-GB"/>
              </w:rPr>
            </w:pPr>
          </w:p>
        </w:tc>
        <w:tc>
          <w:tcPr>
            <w:tcW w:w="841" w:type="dxa"/>
            <w:shd w:val="clear" w:color="auto" w:fill="1F497D" w:themeFill="text2"/>
            <w:noWrap/>
            <w:hideMark/>
          </w:tcPr>
          <w:p w14:paraId="03A649F1"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F05A8A">
              <w:rPr>
                <w:rFonts w:cs="Calibri"/>
                <w:sz w:val="20"/>
                <w:lang w:eastAsia="fr-FR"/>
              </w:rPr>
              <w:t>2018</w:t>
            </w:r>
          </w:p>
        </w:tc>
        <w:tc>
          <w:tcPr>
            <w:tcW w:w="850" w:type="dxa"/>
            <w:shd w:val="clear" w:color="auto" w:fill="1F497D" w:themeFill="text2"/>
            <w:noWrap/>
            <w:hideMark/>
          </w:tcPr>
          <w:p w14:paraId="1D6F55CE"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F05A8A">
              <w:rPr>
                <w:rFonts w:cs="Calibri"/>
                <w:sz w:val="20"/>
                <w:lang w:eastAsia="fr-FR"/>
              </w:rPr>
              <w:t>2019</w:t>
            </w:r>
          </w:p>
        </w:tc>
        <w:tc>
          <w:tcPr>
            <w:tcW w:w="1134" w:type="dxa"/>
            <w:shd w:val="clear" w:color="auto" w:fill="1F497D" w:themeFill="text2"/>
          </w:tcPr>
          <w:p w14:paraId="533B7C9A"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F05A8A">
              <w:rPr>
                <w:rFonts w:cs="Calibri"/>
                <w:sz w:val="20"/>
                <w:lang w:eastAsia="fr-FR"/>
              </w:rPr>
              <w:t>2020</w:t>
            </w:r>
          </w:p>
        </w:tc>
        <w:tc>
          <w:tcPr>
            <w:tcW w:w="1276" w:type="dxa"/>
            <w:shd w:val="clear" w:color="auto" w:fill="1F497D" w:themeFill="text2"/>
          </w:tcPr>
          <w:p w14:paraId="2C2805B3"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F05A8A">
              <w:rPr>
                <w:rFonts w:cs="Calibri"/>
                <w:sz w:val="20"/>
                <w:lang w:eastAsia="fr-FR"/>
              </w:rPr>
              <w:t>2021 (jusqu'au 16 novembre)</w:t>
            </w:r>
          </w:p>
        </w:tc>
        <w:tc>
          <w:tcPr>
            <w:tcW w:w="1286" w:type="dxa"/>
            <w:shd w:val="clear" w:color="auto" w:fill="1F497D" w:themeFill="text2"/>
            <w:noWrap/>
            <w:hideMark/>
          </w:tcPr>
          <w:p w14:paraId="166F7122"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bookmarkStart w:id="84" w:name="lt_pId207"/>
            <w:r w:rsidRPr="00F05A8A">
              <w:rPr>
                <w:rFonts w:cs="Calibri"/>
                <w:sz w:val="20"/>
                <w:lang w:eastAsia="fr-FR"/>
              </w:rPr>
              <w:t>Total</w:t>
            </w:r>
            <w:bookmarkEnd w:id="84"/>
            <w:r w:rsidRPr="00F05A8A">
              <w:rPr>
                <w:rFonts w:cs="Calibri"/>
                <w:sz w:val="20"/>
                <w:lang w:eastAsia="fr-FR"/>
              </w:rPr>
              <w:br/>
              <w:t>2018-2021</w:t>
            </w:r>
          </w:p>
        </w:tc>
      </w:tr>
      <w:tr w:rsidR="00D80461" w:rsidRPr="00F05A8A" w14:paraId="12D9A36A" w14:textId="77777777" w:rsidTr="00142C01">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116" w:type="dxa"/>
            <w:shd w:val="clear" w:color="auto" w:fill="8DB3E2" w:themeFill="text2" w:themeFillTint="66"/>
            <w:hideMark/>
          </w:tcPr>
          <w:p w14:paraId="472AF4C4" w14:textId="77777777" w:rsidR="00D80461" w:rsidRPr="00F05A8A" w:rsidRDefault="00D80461" w:rsidP="002F075E">
            <w:pPr>
              <w:pStyle w:val="Tabletext"/>
              <w:rPr>
                <w:b w:val="0"/>
                <w:bCs w:val="0"/>
                <w:sz w:val="20"/>
              </w:rPr>
            </w:pPr>
            <w:r w:rsidRPr="00F05A8A">
              <w:rPr>
                <w:sz w:val="20"/>
              </w:rPr>
              <w:t>Demandes de coordination et de notification</w:t>
            </w:r>
          </w:p>
        </w:tc>
        <w:tc>
          <w:tcPr>
            <w:tcW w:w="841" w:type="dxa"/>
            <w:shd w:val="clear" w:color="auto" w:fill="8DB3E2" w:themeFill="text2" w:themeFillTint="66"/>
            <w:noWrap/>
            <w:hideMark/>
          </w:tcPr>
          <w:p w14:paraId="55FCDE77"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957</w:t>
            </w:r>
          </w:p>
        </w:tc>
        <w:tc>
          <w:tcPr>
            <w:tcW w:w="850" w:type="dxa"/>
            <w:shd w:val="clear" w:color="auto" w:fill="8DB3E2" w:themeFill="text2" w:themeFillTint="66"/>
            <w:noWrap/>
            <w:hideMark/>
          </w:tcPr>
          <w:p w14:paraId="60EF5E36"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1 174</w:t>
            </w:r>
          </w:p>
        </w:tc>
        <w:tc>
          <w:tcPr>
            <w:tcW w:w="1134" w:type="dxa"/>
            <w:shd w:val="clear" w:color="auto" w:fill="8DB3E2" w:themeFill="text2" w:themeFillTint="66"/>
          </w:tcPr>
          <w:p w14:paraId="59FE156F"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886</w:t>
            </w:r>
          </w:p>
        </w:tc>
        <w:tc>
          <w:tcPr>
            <w:tcW w:w="1276" w:type="dxa"/>
            <w:shd w:val="clear" w:color="auto" w:fill="8DB3E2" w:themeFill="text2" w:themeFillTint="66"/>
          </w:tcPr>
          <w:p w14:paraId="038918AC"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1 493</w:t>
            </w:r>
          </w:p>
        </w:tc>
        <w:tc>
          <w:tcPr>
            <w:tcW w:w="1286" w:type="dxa"/>
            <w:shd w:val="clear" w:color="auto" w:fill="8DB3E2" w:themeFill="text2" w:themeFillTint="66"/>
            <w:noWrap/>
          </w:tcPr>
          <w:p w14:paraId="3D842DB1"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4 510</w:t>
            </w:r>
          </w:p>
        </w:tc>
      </w:tr>
      <w:tr w:rsidR="00D80461" w:rsidRPr="00F05A8A" w14:paraId="642C95A8" w14:textId="77777777" w:rsidTr="00142C01">
        <w:trPr>
          <w:trHeight w:val="900"/>
        </w:trPr>
        <w:tc>
          <w:tcPr>
            <w:cnfStyle w:val="001000000000" w:firstRow="0" w:lastRow="0" w:firstColumn="1" w:lastColumn="0" w:oddVBand="0" w:evenVBand="0" w:oddHBand="0" w:evenHBand="0" w:firstRowFirstColumn="0" w:firstRowLastColumn="0" w:lastRowFirstColumn="0" w:lastRowLastColumn="0"/>
            <w:tcW w:w="4116" w:type="dxa"/>
            <w:hideMark/>
          </w:tcPr>
          <w:p w14:paraId="425ED141" w14:textId="77777777" w:rsidR="00D80461" w:rsidRPr="00F05A8A" w:rsidRDefault="00D80461" w:rsidP="002F075E">
            <w:pPr>
              <w:pStyle w:val="Tabletext"/>
              <w:rPr>
                <w:b w:val="0"/>
                <w:bCs w:val="0"/>
                <w:sz w:val="20"/>
              </w:rPr>
            </w:pPr>
            <w:r w:rsidRPr="00F05A8A">
              <w:rPr>
                <w:sz w:val="20"/>
              </w:rPr>
              <w:t>Demandes concernant le Plan pour le service de radiodiffusion par satellite et le Plan associé pour les liaisons de connexion</w:t>
            </w:r>
          </w:p>
        </w:tc>
        <w:tc>
          <w:tcPr>
            <w:tcW w:w="841" w:type="dxa"/>
            <w:noWrap/>
            <w:hideMark/>
          </w:tcPr>
          <w:p w14:paraId="4A8E89D9"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F05A8A">
              <w:rPr>
                <w:sz w:val="20"/>
                <w:lang w:eastAsia="fr-FR"/>
              </w:rPr>
              <w:t>135</w:t>
            </w:r>
          </w:p>
        </w:tc>
        <w:tc>
          <w:tcPr>
            <w:tcW w:w="850" w:type="dxa"/>
            <w:noWrap/>
            <w:hideMark/>
          </w:tcPr>
          <w:p w14:paraId="594B1E80"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F05A8A">
              <w:rPr>
                <w:sz w:val="20"/>
                <w:lang w:eastAsia="fr-FR"/>
              </w:rPr>
              <w:t>73</w:t>
            </w:r>
          </w:p>
        </w:tc>
        <w:tc>
          <w:tcPr>
            <w:tcW w:w="1134" w:type="dxa"/>
          </w:tcPr>
          <w:p w14:paraId="31DDF815"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F05A8A">
              <w:rPr>
                <w:sz w:val="20"/>
                <w:lang w:eastAsia="fr-FR"/>
              </w:rPr>
              <w:t>186*</w:t>
            </w:r>
          </w:p>
        </w:tc>
        <w:tc>
          <w:tcPr>
            <w:tcW w:w="1276" w:type="dxa"/>
          </w:tcPr>
          <w:p w14:paraId="2B830077"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F05A8A">
              <w:rPr>
                <w:sz w:val="20"/>
                <w:lang w:eastAsia="fr-FR"/>
              </w:rPr>
              <w:t>63</w:t>
            </w:r>
          </w:p>
        </w:tc>
        <w:tc>
          <w:tcPr>
            <w:tcW w:w="1286" w:type="dxa"/>
            <w:noWrap/>
          </w:tcPr>
          <w:p w14:paraId="5BB5AFF8"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F05A8A">
              <w:rPr>
                <w:sz w:val="20"/>
                <w:lang w:eastAsia="fr-FR"/>
              </w:rPr>
              <w:t>457</w:t>
            </w:r>
          </w:p>
        </w:tc>
      </w:tr>
      <w:tr w:rsidR="00D80461" w:rsidRPr="00F05A8A" w14:paraId="16A1D452" w14:textId="77777777" w:rsidTr="00142C0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16" w:type="dxa"/>
            <w:shd w:val="clear" w:color="auto" w:fill="8DB3E2" w:themeFill="text2" w:themeFillTint="66"/>
            <w:hideMark/>
          </w:tcPr>
          <w:p w14:paraId="1D7642B2" w14:textId="77777777" w:rsidR="00D80461" w:rsidRPr="00F05A8A" w:rsidRDefault="00D80461" w:rsidP="002F075E">
            <w:pPr>
              <w:pStyle w:val="Tabletext"/>
              <w:rPr>
                <w:b w:val="0"/>
                <w:bCs w:val="0"/>
                <w:sz w:val="20"/>
              </w:rPr>
            </w:pPr>
            <w:r w:rsidRPr="00F05A8A">
              <w:rPr>
                <w:sz w:val="20"/>
              </w:rPr>
              <w:t>Demandes concernant le Plan pour le service fixe par satellite</w:t>
            </w:r>
          </w:p>
        </w:tc>
        <w:tc>
          <w:tcPr>
            <w:tcW w:w="841" w:type="dxa"/>
            <w:shd w:val="clear" w:color="auto" w:fill="8DB3E2" w:themeFill="text2" w:themeFillTint="66"/>
            <w:noWrap/>
            <w:hideMark/>
          </w:tcPr>
          <w:p w14:paraId="5CE97962"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89</w:t>
            </w:r>
          </w:p>
        </w:tc>
        <w:tc>
          <w:tcPr>
            <w:tcW w:w="850" w:type="dxa"/>
            <w:shd w:val="clear" w:color="auto" w:fill="8DB3E2" w:themeFill="text2" w:themeFillTint="66"/>
            <w:noWrap/>
            <w:hideMark/>
          </w:tcPr>
          <w:p w14:paraId="03E292D3"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51</w:t>
            </w:r>
          </w:p>
        </w:tc>
        <w:tc>
          <w:tcPr>
            <w:tcW w:w="1134" w:type="dxa"/>
            <w:shd w:val="clear" w:color="auto" w:fill="8DB3E2" w:themeFill="text2" w:themeFillTint="66"/>
          </w:tcPr>
          <w:p w14:paraId="2627638C"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27**</w:t>
            </w:r>
          </w:p>
        </w:tc>
        <w:tc>
          <w:tcPr>
            <w:tcW w:w="1276" w:type="dxa"/>
            <w:shd w:val="clear" w:color="auto" w:fill="8DB3E2" w:themeFill="text2" w:themeFillTint="66"/>
          </w:tcPr>
          <w:p w14:paraId="5022C2DB"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62</w:t>
            </w:r>
          </w:p>
        </w:tc>
        <w:tc>
          <w:tcPr>
            <w:tcW w:w="1286" w:type="dxa"/>
            <w:shd w:val="clear" w:color="auto" w:fill="8DB3E2" w:themeFill="text2" w:themeFillTint="66"/>
            <w:noWrap/>
          </w:tcPr>
          <w:p w14:paraId="609A32F5"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F05A8A">
              <w:rPr>
                <w:sz w:val="20"/>
                <w:lang w:eastAsia="fr-FR"/>
              </w:rPr>
              <w:t>229</w:t>
            </w:r>
          </w:p>
        </w:tc>
      </w:tr>
      <w:tr w:rsidR="00D80461" w:rsidRPr="00F05A8A" w14:paraId="22B126C3" w14:textId="77777777" w:rsidTr="00142C01">
        <w:trPr>
          <w:trHeight w:val="600"/>
        </w:trPr>
        <w:tc>
          <w:tcPr>
            <w:cnfStyle w:val="001000000000" w:firstRow="0" w:lastRow="0" w:firstColumn="1" w:lastColumn="0" w:oddVBand="0" w:evenVBand="0" w:oddHBand="0" w:evenHBand="0" w:firstRowFirstColumn="0" w:firstRowLastColumn="0" w:lastRowFirstColumn="0" w:lastRowLastColumn="0"/>
            <w:tcW w:w="9503" w:type="dxa"/>
            <w:gridSpan w:val="6"/>
          </w:tcPr>
          <w:p w14:paraId="595B162B" w14:textId="77777777" w:rsidR="00D80461" w:rsidRPr="00F05A8A" w:rsidRDefault="00D80461" w:rsidP="002F075E">
            <w:pPr>
              <w:pStyle w:val="Tablelegend10pt"/>
              <w:spacing w:after="0"/>
            </w:pPr>
            <w:r w:rsidRPr="00F05A8A">
              <w:t>*</w:t>
            </w:r>
            <w:r w:rsidRPr="00F05A8A">
              <w:tab/>
              <w:t xml:space="preserve">Dont 90 demandes au titre de la </w:t>
            </w:r>
            <w:r w:rsidRPr="00F05A8A">
              <w:rPr>
                <w:bCs/>
              </w:rPr>
              <w:t>Résolution 559 (CMR-19)</w:t>
            </w:r>
            <w:r w:rsidRPr="00F05A8A">
              <w:t>.</w:t>
            </w:r>
          </w:p>
          <w:p w14:paraId="166E5B4C" w14:textId="77777777" w:rsidR="00D80461" w:rsidRPr="00F05A8A" w:rsidRDefault="00D80461" w:rsidP="002F075E">
            <w:pPr>
              <w:pStyle w:val="Tablelegend10pt"/>
              <w:spacing w:before="60"/>
              <w:rPr>
                <w:lang w:eastAsia="fr-FR"/>
              </w:rPr>
            </w:pPr>
            <w:r w:rsidRPr="00F05A8A">
              <w:t>**</w:t>
            </w:r>
            <w:r w:rsidRPr="00F05A8A">
              <w:tab/>
              <w:t xml:space="preserve">Après réception de soumissions au titre de l'Article 7 de l'Appendice </w:t>
            </w:r>
            <w:r w:rsidRPr="00F05A8A">
              <w:rPr>
                <w:bCs/>
              </w:rPr>
              <w:t>30B</w:t>
            </w:r>
            <w:r w:rsidRPr="00F05A8A">
              <w:t>, le traitement d'autres soumissions a été reporté en vertu du § 7.3 dudit Article.</w:t>
            </w:r>
          </w:p>
        </w:tc>
      </w:tr>
    </w:tbl>
    <w:p w14:paraId="0128CA81" w14:textId="77777777" w:rsidR="00D80461" w:rsidRPr="00F05A8A" w:rsidRDefault="00D80461" w:rsidP="002F075E">
      <w:pPr>
        <w:pStyle w:val="Headingb"/>
        <w:spacing w:before="240" w:after="120"/>
        <w:ind w:left="0" w:firstLine="0"/>
      </w:pPr>
      <w:bookmarkStart w:id="85" w:name="_Toc41032047"/>
      <w:bookmarkStart w:id="86" w:name="_Toc72845008"/>
      <w:bookmarkStart w:id="87" w:name="_Toc72846356"/>
      <w:bookmarkStart w:id="88" w:name="_Toc72846582"/>
      <w:bookmarkStart w:id="89" w:name="_Toc95387463"/>
      <w:r w:rsidRPr="00F05A8A">
        <w:t>Résultats du traitement des fiches de notification (services de Terre) et des autres activités connexes</w:t>
      </w:r>
      <w:bookmarkEnd w:id="85"/>
      <w:bookmarkEnd w:id="86"/>
      <w:bookmarkEnd w:id="87"/>
      <w:bookmarkEnd w:id="88"/>
      <w:bookmarkEnd w:id="89"/>
    </w:p>
    <w:tbl>
      <w:tblPr>
        <w:tblStyle w:val="ListTable4-Accent1"/>
        <w:tblW w:w="9551" w:type="dxa"/>
        <w:tblLayout w:type="fixed"/>
        <w:tblLook w:val="04A0" w:firstRow="1" w:lastRow="0" w:firstColumn="1" w:lastColumn="0" w:noHBand="0" w:noVBand="1"/>
      </w:tblPr>
      <w:tblGrid>
        <w:gridCol w:w="4100"/>
        <w:gridCol w:w="852"/>
        <w:gridCol w:w="917"/>
        <w:gridCol w:w="1134"/>
        <w:gridCol w:w="1246"/>
        <w:gridCol w:w="1302"/>
      </w:tblGrid>
      <w:tr w:rsidR="00D80461" w:rsidRPr="00F05A8A" w14:paraId="1608B786" w14:textId="77777777" w:rsidTr="00142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1F497D" w:themeFill="text2"/>
          </w:tcPr>
          <w:p w14:paraId="14ED6B2B" w14:textId="77777777" w:rsidR="00D80461" w:rsidRPr="00F05A8A" w:rsidRDefault="00D80461" w:rsidP="002F075E">
            <w:pPr>
              <w:pStyle w:val="Tablehead"/>
              <w:rPr>
                <w:rFonts w:eastAsia="Calibri"/>
                <w:sz w:val="20"/>
              </w:rPr>
            </w:pPr>
            <w:bookmarkStart w:id="90" w:name="_Toc41032048"/>
            <w:bookmarkStart w:id="91" w:name="_Toc72845009"/>
            <w:bookmarkStart w:id="92" w:name="_Toc72846357"/>
            <w:bookmarkStart w:id="93" w:name="_Toc72846583"/>
          </w:p>
        </w:tc>
        <w:tc>
          <w:tcPr>
            <w:tcW w:w="852" w:type="dxa"/>
            <w:shd w:val="clear" w:color="auto" w:fill="1F497D" w:themeFill="text2"/>
            <w:hideMark/>
          </w:tcPr>
          <w:p w14:paraId="7334FBDA"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 xml:space="preserve">2018 </w:t>
            </w:r>
          </w:p>
        </w:tc>
        <w:tc>
          <w:tcPr>
            <w:tcW w:w="917" w:type="dxa"/>
            <w:shd w:val="clear" w:color="auto" w:fill="1F497D" w:themeFill="text2"/>
            <w:hideMark/>
          </w:tcPr>
          <w:p w14:paraId="52AEDE7B"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 xml:space="preserve">2019 </w:t>
            </w:r>
          </w:p>
        </w:tc>
        <w:tc>
          <w:tcPr>
            <w:tcW w:w="1134" w:type="dxa"/>
            <w:shd w:val="clear" w:color="auto" w:fill="1F497D" w:themeFill="text2"/>
            <w:hideMark/>
          </w:tcPr>
          <w:p w14:paraId="1999F5B8"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2020</w:t>
            </w:r>
          </w:p>
        </w:tc>
        <w:tc>
          <w:tcPr>
            <w:tcW w:w="1246" w:type="dxa"/>
            <w:shd w:val="clear" w:color="auto" w:fill="1F497D" w:themeFill="text2"/>
            <w:hideMark/>
          </w:tcPr>
          <w:p w14:paraId="42744FF0" w14:textId="77777777" w:rsidR="00D80461" w:rsidRPr="00F05A8A" w:rsidRDefault="00D80461" w:rsidP="002F075E">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2021</w:t>
            </w:r>
          </w:p>
        </w:tc>
        <w:tc>
          <w:tcPr>
            <w:tcW w:w="1302" w:type="dxa"/>
            <w:shd w:val="clear" w:color="auto" w:fill="1F497D" w:themeFill="text2"/>
            <w:hideMark/>
          </w:tcPr>
          <w:p w14:paraId="032B7798" w14:textId="77777777" w:rsidR="00D80461" w:rsidRPr="00F05A8A" w:rsidRDefault="00D80461" w:rsidP="002F075E">
            <w:pPr>
              <w:pStyle w:val="Tablehead"/>
              <w:spacing w:after="0"/>
              <w:cnfStyle w:val="100000000000" w:firstRow="1"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Total</w:t>
            </w:r>
          </w:p>
          <w:p w14:paraId="3597A7AF" w14:textId="77777777" w:rsidR="00D80461" w:rsidRPr="00F05A8A" w:rsidRDefault="00D80461" w:rsidP="002F075E">
            <w:pPr>
              <w:pStyle w:val="Tablehead"/>
              <w:spacing w:before="0"/>
              <w:cnfStyle w:val="100000000000" w:firstRow="1"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 xml:space="preserve">2018-2021 </w:t>
            </w:r>
          </w:p>
        </w:tc>
      </w:tr>
      <w:tr w:rsidR="00D80461" w:rsidRPr="00F05A8A" w14:paraId="2AAACC98"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8DB3E2" w:themeFill="text2" w:themeFillTint="66"/>
          </w:tcPr>
          <w:p w14:paraId="67755D14" w14:textId="77777777" w:rsidR="00D80461" w:rsidRPr="00F05A8A" w:rsidRDefault="00D80461" w:rsidP="002F075E">
            <w:pPr>
              <w:pStyle w:val="Tabletext"/>
              <w:rPr>
                <w:rFonts w:eastAsia="Calibri"/>
                <w:b w:val="0"/>
                <w:bCs w:val="0"/>
                <w:sz w:val="20"/>
              </w:rPr>
            </w:pPr>
            <w:r w:rsidRPr="00F05A8A">
              <w:rPr>
                <w:b w:val="0"/>
                <w:bCs w:val="0"/>
                <w:sz w:val="20"/>
              </w:rPr>
              <w:t>Fiches de notification inscrites dans le Fichier de référence ou dans les Plans</w:t>
            </w:r>
          </w:p>
        </w:tc>
        <w:tc>
          <w:tcPr>
            <w:tcW w:w="852" w:type="dxa"/>
            <w:shd w:val="clear" w:color="auto" w:fill="8DB3E2" w:themeFill="text2" w:themeFillTint="66"/>
            <w:hideMark/>
          </w:tcPr>
          <w:p w14:paraId="1C80BA75"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79 134/</w:t>
            </w:r>
            <w:r w:rsidRPr="00F05A8A">
              <w:rPr>
                <w:rFonts w:eastAsia="Calibri"/>
                <w:sz w:val="20"/>
              </w:rPr>
              <w:br/>
              <w:t>2 798</w:t>
            </w:r>
          </w:p>
        </w:tc>
        <w:tc>
          <w:tcPr>
            <w:tcW w:w="917" w:type="dxa"/>
            <w:shd w:val="clear" w:color="auto" w:fill="8DB3E2" w:themeFill="text2" w:themeFillTint="66"/>
            <w:hideMark/>
          </w:tcPr>
          <w:p w14:paraId="117DED74"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81 602/</w:t>
            </w:r>
            <w:r w:rsidRPr="00F05A8A">
              <w:rPr>
                <w:rFonts w:eastAsia="Calibri"/>
                <w:sz w:val="20"/>
              </w:rPr>
              <w:br/>
              <w:t>3 690</w:t>
            </w:r>
          </w:p>
        </w:tc>
        <w:tc>
          <w:tcPr>
            <w:tcW w:w="1134" w:type="dxa"/>
            <w:shd w:val="clear" w:color="auto" w:fill="8DB3E2" w:themeFill="text2" w:themeFillTint="66"/>
            <w:hideMark/>
          </w:tcPr>
          <w:p w14:paraId="270B318A"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252 555/5 355</w:t>
            </w:r>
          </w:p>
        </w:tc>
        <w:tc>
          <w:tcPr>
            <w:tcW w:w="1246" w:type="dxa"/>
            <w:shd w:val="clear" w:color="auto" w:fill="8DB3E2" w:themeFill="text2" w:themeFillTint="66"/>
            <w:hideMark/>
          </w:tcPr>
          <w:p w14:paraId="73785006"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73 686/</w:t>
            </w:r>
            <w:r w:rsidRPr="00F05A8A">
              <w:rPr>
                <w:rFonts w:eastAsia="Calibri"/>
                <w:sz w:val="20"/>
              </w:rPr>
              <w:br/>
              <w:t>3 824</w:t>
            </w:r>
          </w:p>
        </w:tc>
        <w:tc>
          <w:tcPr>
            <w:tcW w:w="1302" w:type="dxa"/>
            <w:shd w:val="clear" w:color="auto" w:fill="8DB3E2" w:themeFill="text2" w:themeFillTint="66"/>
            <w:hideMark/>
          </w:tcPr>
          <w:p w14:paraId="69A2EEAA"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486 977/</w:t>
            </w:r>
            <w:r w:rsidRPr="00F05A8A">
              <w:rPr>
                <w:rFonts w:eastAsia="Calibri"/>
                <w:sz w:val="20"/>
              </w:rPr>
              <w:br/>
              <w:t>15 667</w:t>
            </w:r>
          </w:p>
        </w:tc>
      </w:tr>
      <w:tr w:rsidR="00D80461" w:rsidRPr="00F05A8A" w14:paraId="1CBCCA41" w14:textId="77777777" w:rsidTr="00142C01">
        <w:tc>
          <w:tcPr>
            <w:cnfStyle w:val="001000000000" w:firstRow="0" w:lastRow="0" w:firstColumn="1" w:lastColumn="0" w:oddVBand="0" w:evenVBand="0" w:oddHBand="0" w:evenHBand="0" w:firstRowFirstColumn="0" w:firstRowLastColumn="0" w:lastRowFirstColumn="0" w:lastRowLastColumn="0"/>
            <w:tcW w:w="4100" w:type="dxa"/>
          </w:tcPr>
          <w:p w14:paraId="7577BF14" w14:textId="77777777" w:rsidR="00D80461" w:rsidRPr="00F05A8A" w:rsidRDefault="00D80461" w:rsidP="002F075E">
            <w:pPr>
              <w:pStyle w:val="Tabletext"/>
              <w:rPr>
                <w:rFonts w:eastAsia="Calibri"/>
                <w:b w:val="0"/>
                <w:bCs w:val="0"/>
                <w:sz w:val="20"/>
              </w:rPr>
            </w:pPr>
            <w:r w:rsidRPr="00F05A8A">
              <w:rPr>
                <w:b w:val="0"/>
                <w:bCs w:val="0"/>
                <w:sz w:val="20"/>
              </w:rPr>
              <w:t>Examen des conclusions relatives aux stations de Terre inscrites dans le Fichier de référence</w:t>
            </w:r>
          </w:p>
        </w:tc>
        <w:tc>
          <w:tcPr>
            <w:tcW w:w="852" w:type="dxa"/>
            <w:hideMark/>
          </w:tcPr>
          <w:p w14:paraId="0DEA56A2"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244</w:t>
            </w:r>
          </w:p>
        </w:tc>
        <w:tc>
          <w:tcPr>
            <w:tcW w:w="917" w:type="dxa"/>
            <w:hideMark/>
          </w:tcPr>
          <w:p w14:paraId="720A3BC5"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164</w:t>
            </w:r>
          </w:p>
        </w:tc>
        <w:tc>
          <w:tcPr>
            <w:tcW w:w="1134" w:type="dxa"/>
            <w:hideMark/>
          </w:tcPr>
          <w:p w14:paraId="0DA3FA3E"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5 221</w:t>
            </w:r>
          </w:p>
        </w:tc>
        <w:tc>
          <w:tcPr>
            <w:tcW w:w="1246" w:type="dxa"/>
            <w:hideMark/>
          </w:tcPr>
          <w:p w14:paraId="66C3D1CC"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51 468</w:t>
            </w:r>
          </w:p>
        </w:tc>
        <w:tc>
          <w:tcPr>
            <w:tcW w:w="1302" w:type="dxa"/>
            <w:hideMark/>
          </w:tcPr>
          <w:p w14:paraId="01545E92"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57 097</w:t>
            </w:r>
          </w:p>
        </w:tc>
      </w:tr>
      <w:tr w:rsidR="00D80461" w:rsidRPr="00F05A8A" w14:paraId="0513C05F"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8DB3E2" w:themeFill="text2" w:themeFillTint="66"/>
          </w:tcPr>
          <w:p w14:paraId="11A7D079" w14:textId="77777777" w:rsidR="00D80461" w:rsidRPr="00F05A8A" w:rsidRDefault="00D80461" w:rsidP="002F075E">
            <w:pPr>
              <w:pStyle w:val="Tabletext"/>
              <w:rPr>
                <w:rFonts w:eastAsia="Calibri"/>
                <w:b w:val="0"/>
                <w:bCs w:val="0"/>
                <w:sz w:val="20"/>
              </w:rPr>
            </w:pPr>
            <w:r w:rsidRPr="00F05A8A">
              <w:rPr>
                <w:rFonts w:cs="Verdana"/>
                <w:b w:val="0"/>
                <w:bCs w:val="0"/>
                <w:sz w:val="20"/>
              </w:rPr>
              <w:t>Notifications des stations côtières et des stations de navire pour inscription dans la base de données de l'UIT sur le service maritime</w:t>
            </w:r>
          </w:p>
        </w:tc>
        <w:tc>
          <w:tcPr>
            <w:tcW w:w="852" w:type="dxa"/>
            <w:shd w:val="clear" w:color="auto" w:fill="8DB3E2" w:themeFill="text2" w:themeFillTint="66"/>
            <w:hideMark/>
          </w:tcPr>
          <w:p w14:paraId="6DF55B0D"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2 367</w:t>
            </w:r>
          </w:p>
        </w:tc>
        <w:tc>
          <w:tcPr>
            <w:tcW w:w="917" w:type="dxa"/>
            <w:shd w:val="clear" w:color="auto" w:fill="8DB3E2" w:themeFill="text2" w:themeFillTint="66"/>
            <w:hideMark/>
          </w:tcPr>
          <w:p w14:paraId="78B306E8"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2 414</w:t>
            </w:r>
          </w:p>
        </w:tc>
        <w:tc>
          <w:tcPr>
            <w:tcW w:w="1134" w:type="dxa"/>
            <w:shd w:val="clear" w:color="auto" w:fill="8DB3E2" w:themeFill="text2" w:themeFillTint="66"/>
            <w:hideMark/>
          </w:tcPr>
          <w:p w14:paraId="071CDA36"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1 982</w:t>
            </w:r>
          </w:p>
        </w:tc>
        <w:tc>
          <w:tcPr>
            <w:tcW w:w="1246" w:type="dxa"/>
            <w:shd w:val="clear" w:color="auto" w:fill="8DB3E2" w:themeFill="text2" w:themeFillTint="66"/>
            <w:hideMark/>
          </w:tcPr>
          <w:p w14:paraId="78EBFAB1"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1 865</w:t>
            </w:r>
          </w:p>
        </w:tc>
        <w:tc>
          <w:tcPr>
            <w:tcW w:w="1302" w:type="dxa"/>
            <w:shd w:val="clear" w:color="auto" w:fill="8DB3E2" w:themeFill="text2" w:themeFillTint="66"/>
            <w:hideMark/>
          </w:tcPr>
          <w:p w14:paraId="0FFD5788"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8 628</w:t>
            </w:r>
          </w:p>
        </w:tc>
      </w:tr>
      <w:tr w:rsidR="00D80461" w:rsidRPr="00F05A8A" w14:paraId="7C4CFF87" w14:textId="77777777" w:rsidTr="00142C01">
        <w:tc>
          <w:tcPr>
            <w:cnfStyle w:val="001000000000" w:firstRow="0" w:lastRow="0" w:firstColumn="1" w:lastColumn="0" w:oddVBand="0" w:evenVBand="0" w:oddHBand="0" w:evenHBand="0" w:firstRowFirstColumn="0" w:firstRowLastColumn="0" w:lastRowFirstColumn="0" w:lastRowLastColumn="0"/>
            <w:tcW w:w="4100" w:type="dxa"/>
          </w:tcPr>
          <w:p w14:paraId="61C7A652" w14:textId="77777777" w:rsidR="00D80461" w:rsidRPr="00F05A8A" w:rsidRDefault="00D80461" w:rsidP="002F075E">
            <w:pPr>
              <w:pStyle w:val="Tabletext"/>
              <w:rPr>
                <w:rFonts w:eastAsia="Calibri"/>
                <w:b w:val="0"/>
                <w:bCs w:val="0"/>
                <w:sz w:val="20"/>
              </w:rPr>
            </w:pPr>
            <w:r w:rsidRPr="00F05A8A">
              <w:rPr>
                <w:b w:val="0"/>
                <w:bCs w:val="0"/>
                <w:sz w:val="20"/>
              </w:rPr>
              <w:t>Besoins de radiodiffusion à ondes décamétriques</w:t>
            </w:r>
          </w:p>
        </w:tc>
        <w:tc>
          <w:tcPr>
            <w:tcW w:w="852" w:type="dxa"/>
            <w:hideMark/>
          </w:tcPr>
          <w:p w14:paraId="43447F44"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31 215</w:t>
            </w:r>
          </w:p>
        </w:tc>
        <w:tc>
          <w:tcPr>
            <w:tcW w:w="917" w:type="dxa"/>
            <w:hideMark/>
          </w:tcPr>
          <w:p w14:paraId="35D327A0"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34 344</w:t>
            </w:r>
          </w:p>
        </w:tc>
        <w:tc>
          <w:tcPr>
            <w:tcW w:w="1134" w:type="dxa"/>
            <w:hideMark/>
          </w:tcPr>
          <w:p w14:paraId="00A3E964"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31 738</w:t>
            </w:r>
          </w:p>
        </w:tc>
        <w:tc>
          <w:tcPr>
            <w:tcW w:w="1246" w:type="dxa"/>
            <w:hideMark/>
          </w:tcPr>
          <w:p w14:paraId="2B3D40A6"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20 806</w:t>
            </w:r>
          </w:p>
        </w:tc>
        <w:tc>
          <w:tcPr>
            <w:tcW w:w="1302" w:type="dxa"/>
          </w:tcPr>
          <w:p w14:paraId="67E5F74C"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r>
      <w:tr w:rsidR="00D80461" w:rsidRPr="00F05A8A" w14:paraId="39F786CF"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8DB3E2" w:themeFill="text2" w:themeFillTint="66"/>
          </w:tcPr>
          <w:p w14:paraId="30F3C931" w14:textId="77777777" w:rsidR="00D80461" w:rsidRPr="00F05A8A" w:rsidRDefault="00D80461" w:rsidP="002F075E">
            <w:pPr>
              <w:pStyle w:val="Tabletext"/>
              <w:rPr>
                <w:rFonts w:eastAsia="Calibri"/>
                <w:b w:val="0"/>
                <w:bCs w:val="0"/>
                <w:sz w:val="20"/>
              </w:rPr>
            </w:pPr>
            <w:r w:rsidRPr="00F05A8A">
              <w:rPr>
                <w:b w:val="0"/>
                <w:bCs w:val="0"/>
                <w:sz w:val="20"/>
              </w:rPr>
              <w:t>Observations concernant le programme de contrôle des émissions dans les bandes 2 850</w:t>
            </w:r>
            <w:r w:rsidRPr="00F05A8A">
              <w:rPr>
                <w:b w:val="0"/>
                <w:bCs w:val="0"/>
                <w:sz w:val="20"/>
              </w:rPr>
              <w:noBreakHyphen/>
              <w:t>28 000 kHz et 406</w:t>
            </w:r>
            <w:r w:rsidRPr="00F05A8A">
              <w:rPr>
                <w:b w:val="0"/>
                <w:bCs w:val="0"/>
                <w:sz w:val="20"/>
              </w:rPr>
              <w:noBreakHyphen/>
              <w:t>406,1 MHz</w:t>
            </w:r>
          </w:p>
        </w:tc>
        <w:tc>
          <w:tcPr>
            <w:tcW w:w="852" w:type="dxa"/>
            <w:shd w:val="clear" w:color="auto" w:fill="8DB3E2" w:themeFill="text2" w:themeFillTint="66"/>
            <w:hideMark/>
          </w:tcPr>
          <w:p w14:paraId="137A2D0D"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27 908/</w:t>
            </w:r>
            <w:r w:rsidRPr="00F05A8A">
              <w:rPr>
                <w:rFonts w:eastAsia="Calibri"/>
                <w:sz w:val="20"/>
              </w:rPr>
              <w:br/>
              <w:t>222</w:t>
            </w:r>
          </w:p>
        </w:tc>
        <w:tc>
          <w:tcPr>
            <w:tcW w:w="917" w:type="dxa"/>
            <w:shd w:val="clear" w:color="auto" w:fill="8DB3E2" w:themeFill="text2" w:themeFillTint="66"/>
            <w:hideMark/>
          </w:tcPr>
          <w:p w14:paraId="511F13CE"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30 825/</w:t>
            </w:r>
            <w:r w:rsidRPr="00F05A8A">
              <w:rPr>
                <w:rFonts w:eastAsia="Calibri"/>
                <w:sz w:val="20"/>
              </w:rPr>
              <w:br/>
              <w:t>253</w:t>
            </w:r>
          </w:p>
        </w:tc>
        <w:tc>
          <w:tcPr>
            <w:tcW w:w="1134" w:type="dxa"/>
            <w:shd w:val="clear" w:color="auto" w:fill="8DB3E2" w:themeFill="text2" w:themeFillTint="66"/>
            <w:hideMark/>
          </w:tcPr>
          <w:p w14:paraId="304795A3"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25 642/</w:t>
            </w:r>
            <w:r w:rsidRPr="00F05A8A">
              <w:rPr>
                <w:rFonts w:eastAsia="Calibri"/>
                <w:sz w:val="20"/>
              </w:rPr>
              <w:br/>
              <w:t>174</w:t>
            </w:r>
          </w:p>
        </w:tc>
        <w:tc>
          <w:tcPr>
            <w:tcW w:w="1246" w:type="dxa"/>
            <w:shd w:val="clear" w:color="auto" w:fill="8DB3E2" w:themeFill="text2" w:themeFillTint="66"/>
            <w:hideMark/>
          </w:tcPr>
          <w:p w14:paraId="454452D9"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17 513/</w:t>
            </w:r>
            <w:r w:rsidRPr="00F05A8A">
              <w:rPr>
                <w:rFonts w:eastAsia="Calibri"/>
                <w:sz w:val="20"/>
              </w:rPr>
              <w:br/>
              <w:t>125</w:t>
            </w:r>
          </w:p>
        </w:tc>
        <w:tc>
          <w:tcPr>
            <w:tcW w:w="1302" w:type="dxa"/>
            <w:shd w:val="clear" w:color="auto" w:fill="8DB3E2" w:themeFill="text2" w:themeFillTint="66"/>
            <w:hideMark/>
          </w:tcPr>
          <w:p w14:paraId="692B375B" w14:textId="77777777" w:rsidR="00D80461" w:rsidRPr="00F05A8A" w:rsidRDefault="00D80461" w:rsidP="002F075E">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F05A8A">
              <w:rPr>
                <w:rFonts w:eastAsia="Calibri"/>
                <w:sz w:val="20"/>
              </w:rPr>
              <w:t>101 888/774</w:t>
            </w:r>
          </w:p>
        </w:tc>
      </w:tr>
      <w:tr w:rsidR="00D80461" w:rsidRPr="00F05A8A" w14:paraId="77F93CE6" w14:textId="77777777" w:rsidTr="00142C01">
        <w:trPr>
          <w:trHeight w:val="330"/>
        </w:trPr>
        <w:tc>
          <w:tcPr>
            <w:cnfStyle w:val="001000000000" w:firstRow="0" w:lastRow="0" w:firstColumn="1" w:lastColumn="0" w:oddVBand="0" w:evenVBand="0" w:oddHBand="0" w:evenHBand="0" w:firstRowFirstColumn="0" w:firstRowLastColumn="0" w:lastRowFirstColumn="0" w:lastRowLastColumn="0"/>
            <w:tcW w:w="4100" w:type="dxa"/>
          </w:tcPr>
          <w:p w14:paraId="67FB8A7D" w14:textId="77777777" w:rsidR="00D80461" w:rsidRPr="00F05A8A" w:rsidRDefault="00D80461" w:rsidP="002F075E">
            <w:pPr>
              <w:pStyle w:val="Tabletext"/>
              <w:rPr>
                <w:rFonts w:eastAsia="Calibri"/>
                <w:b w:val="0"/>
                <w:bCs w:val="0"/>
                <w:sz w:val="20"/>
              </w:rPr>
            </w:pPr>
            <w:r w:rsidRPr="00F05A8A">
              <w:rPr>
                <w:b w:val="0"/>
                <w:bCs w:val="0"/>
                <w:sz w:val="20"/>
              </w:rPr>
              <w:t>Rapports de brouillage préjudiciable</w:t>
            </w:r>
          </w:p>
        </w:tc>
        <w:tc>
          <w:tcPr>
            <w:tcW w:w="852" w:type="dxa"/>
            <w:hideMark/>
          </w:tcPr>
          <w:p w14:paraId="37FCCEB4"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1 096</w:t>
            </w:r>
          </w:p>
        </w:tc>
        <w:tc>
          <w:tcPr>
            <w:tcW w:w="917" w:type="dxa"/>
            <w:hideMark/>
          </w:tcPr>
          <w:p w14:paraId="78929B71"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1 088</w:t>
            </w:r>
          </w:p>
        </w:tc>
        <w:tc>
          <w:tcPr>
            <w:tcW w:w="1134" w:type="dxa"/>
            <w:hideMark/>
          </w:tcPr>
          <w:p w14:paraId="2B6225E7"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1 165</w:t>
            </w:r>
          </w:p>
        </w:tc>
        <w:tc>
          <w:tcPr>
            <w:tcW w:w="1246" w:type="dxa"/>
            <w:hideMark/>
          </w:tcPr>
          <w:p w14:paraId="6F54DF77"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1 163</w:t>
            </w:r>
          </w:p>
        </w:tc>
        <w:tc>
          <w:tcPr>
            <w:tcW w:w="1302" w:type="dxa"/>
            <w:hideMark/>
          </w:tcPr>
          <w:p w14:paraId="260DBC30" w14:textId="77777777" w:rsidR="00D80461" w:rsidRPr="00F05A8A" w:rsidRDefault="00D80461" w:rsidP="002F075E">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F05A8A">
              <w:rPr>
                <w:rFonts w:eastAsia="Calibri"/>
                <w:sz w:val="20"/>
              </w:rPr>
              <w:t>4 512</w:t>
            </w:r>
          </w:p>
        </w:tc>
      </w:tr>
    </w:tbl>
    <w:p w14:paraId="2FA23DFD" w14:textId="77777777" w:rsidR="00D80461" w:rsidRPr="00F05A8A" w:rsidRDefault="00D80461" w:rsidP="002F075E">
      <w:pPr>
        <w:pStyle w:val="Headingb"/>
      </w:pPr>
      <w:bookmarkStart w:id="94" w:name="_Toc95387464"/>
      <w:r w:rsidRPr="00F05A8A">
        <w:t>Amélioration des logiciels de l'UIT-R</w:t>
      </w:r>
      <w:bookmarkEnd w:id="90"/>
      <w:bookmarkEnd w:id="91"/>
      <w:bookmarkEnd w:id="92"/>
      <w:bookmarkEnd w:id="93"/>
      <w:bookmarkEnd w:id="94"/>
    </w:p>
    <w:p w14:paraId="7E30E541" w14:textId="77777777" w:rsidR="00D80461" w:rsidRPr="00F05A8A" w:rsidRDefault="00D80461" w:rsidP="002F075E">
      <w:r w:rsidRPr="00F05A8A">
        <w:t xml:space="preserve">Le Bureau des radiocommunications (BR) continue de produire des applications logicielles et des bases de données pour faciliter au mieux l'utilisation des produits de l'UIT-R par les membres de l'UIT. En 2020, le BR a mis à jour le logiciel qui permet aux utilisateurs de consulter et d'analyser le Tableau d'attribution des bandes de fréquences qui figure dans l'Article 5 du Règlement des radiocommunications, </w:t>
      </w:r>
      <w:r w:rsidRPr="00F05A8A">
        <w:rPr>
          <w:color w:val="000000"/>
        </w:rPr>
        <w:t>mais aussi d'avoir accès à d'autres textes, notamment les Résolutions de la CMR, les Recommandations UIT-R citées comme référence et les Règles de procédure. Cette application permet d'extraire des règlements régionaux ou nationaux en vue de la présentation de Tableaux régionaux ou nationaux d'attribution des bandes de fréquences.</w:t>
      </w:r>
    </w:p>
    <w:p w14:paraId="34D7E05B" w14:textId="77777777" w:rsidR="00D80461" w:rsidRPr="00F05A8A" w:rsidRDefault="00D80461" w:rsidP="002F075E">
      <w:r w:rsidRPr="00F05A8A">
        <w:rPr>
          <w:color w:val="000000"/>
        </w:rPr>
        <w:lastRenderedPageBreak/>
        <w:t>De plus, les bases de données et logiciels ont été mis à jour afin d'appliquer les décisions de la CMR-19 qui sont entrées en vigueur le 1er janvier 2021.</w:t>
      </w:r>
    </w:p>
    <w:p w14:paraId="58C6D2B5" w14:textId="77777777" w:rsidR="00D80461" w:rsidRPr="00F05A8A" w:rsidRDefault="00D80461" w:rsidP="002F075E">
      <w:pPr>
        <w:pStyle w:val="Headingb"/>
      </w:pPr>
      <w:bookmarkStart w:id="95" w:name="_Toc41032049"/>
      <w:bookmarkStart w:id="96" w:name="_Toc72845010"/>
      <w:bookmarkStart w:id="97" w:name="_Toc72846358"/>
      <w:bookmarkStart w:id="98" w:name="_Toc72846584"/>
      <w:bookmarkStart w:id="99" w:name="_Toc95387465"/>
      <w:r w:rsidRPr="00F05A8A">
        <w:t>Progrès accomplis concernant les services de Terre</w:t>
      </w:r>
      <w:bookmarkEnd w:id="95"/>
      <w:bookmarkEnd w:id="96"/>
      <w:bookmarkEnd w:id="97"/>
      <w:bookmarkEnd w:id="98"/>
      <w:bookmarkEnd w:id="99"/>
    </w:p>
    <w:p w14:paraId="5E8E46D0" w14:textId="77777777" w:rsidR="00D80461" w:rsidRPr="00F05A8A" w:rsidRDefault="00D80461" w:rsidP="002F075E">
      <w:r w:rsidRPr="00F05A8A">
        <w:rPr>
          <w:rFonts w:eastAsia="Calibri"/>
        </w:rPr>
        <w:t>Les progrès accomplis sont présentés ci-dessous:</w:t>
      </w:r>
    </w:p>
    <w:p w14:paraId="133F8A55" w14:textId="77777777" w:rsidR="00D80461" w:rsidRPr="00F05A8A" w:rsidRDefault="00D80461" w:rsidP="002F075E">
      <w:pPr>
        <w:pStyle w:val="enumlev1"/>
      </w:pPr>
      <w:r w:rsidRPr="00F05A8A">
        <w:t>•</w:t>
      </w:r>
      <w:r w:rsidRPr="00F05A8A">
        <w:tab/>
        <w:t>Mise en œuvre des modifications dans l'examen des fiches de notification (numéro 9.19 du Règlement des radiocommunications).</w:t>
      </w:r>
    </w:p>
    <w:p w14:paraId="07AAA085" w14:textId="77777777" w:rsidR="00D80461" w:rsidRPr="00F05A8A" w:rsidRDefault="00D80461" w:rsidP="002F075E">
      <w:pPr>
        <w:pStyle w:val="enumlev1"/>
      </w:pPr>
      <w:r w:rsidRPr="00F05A8A">
        <w:t>•</w:t>
      </w:r>
      <w:r w:rsidRPr="00F05A8A">
        <w:tab/>
        <w:t>Développement de logiciels et d'outils pour traiter les demandes de coordination (numéro 9.21 du RR).</w:t>
      </w:r>
    </w:p>
    <w:p w14:paraId="37DCC64A" w14:textId="77777777" w:rsidR="00D80461" w:rsidRPr="00F05A8A" w:rsidRDefault="00D80461" w:rsidP="002F075E">
      <w:pPr>
        <w:pStyle w:val="enumlev1"/>
      </w:pPr>
      <w:r w:rsidRPr="00F05A8A">
        <w:t>•</w:t>
      </w:r>
      <w:r w:rsidRPr="00F05A8A">
        <w:tab/>
        <w:t>Intégration du logiciel GE06 dans le système TerRaSys.</w:t>
      </w:r>
    </w:p>
    <w:p w14:paraId="2BAFD2A9" w14:textId="77777777" w:rsidR="00D80461" w:rsidRPr="00F05A8A" w:rsidRDefault="00D80461" w:rsidP="002F075E">
      <w:pPr>
        <w:pStyle w:val="enumlev1"/>
        <w:rPr>
          <w:rFonts w:eastAsiaTheme="minorEastAsia"/>
        </w:rPr>
      </w:pPr>
      <w:r w:rsidRPr="00F05A8A">
        <w:t>•</w:t>
      </w:r>
      <w:r w:rsidRPr="00F05A8A">
        <w:tab/>
        <w:t xml:space="preserve">Mise au point et amélioration de la plate-forme web eTerrestrial, qui intègre les outils </w:t>
      </w:r>
      <w:r w:rsidRPr="00F05A8A">
        <w:rPr>
          <w:rFonts w:eastAsiaTheme="minorEastAsia"/>
        </w:rPr>
        <w:t>eMIFR, eValidation et eBroadcasting (eQuery, ePub, eTools et MyAdmin).</w:t>
      </w:r>
    </w:p>
    <w:p w14:paraId="133165B4" w14:textId="77777777" w:rsidR="00D80461" w:rsidRPr="00F05A8A" w:rsidRDefault="00D80461" w:rsidP="002F075E">
      <w:pPr>
        <w:pStyle w:val="enumlev1"/>
      </w:pPr>
      <w:r w:rsidRPr="00F05A8A">
        <w:t>•</w:t>
      </w:r>
      <w:r w:rsidRPr="00F05A8A">
        <w:tab/>
        <w:t>Mise au point et amélioration de l'outil en ligne d'optimisation du Plan GE84 dans les pays africains, destinés à tous les États parties à l'Accord GE84.</w:t>
      </w:r>
    </w:p>
    <w:p w14:paraId="691768BB" w14:textId="77777777" w:rsidR="00D80461" w:rsidRPr="00F05A8A" w:rsidRDefault="00D80461" w:rsidP="002F075E">
      <w:pPr>
        <w:pStyle w:val="enumlev1"/>
      </w:pPr>
      <w:r w:rsidRPr="00F05A8A">
        <w:t>•</w:t>
      </w:r>
      <w:r w:rsidRPr="00F05A8A">
        <w:tab/>
        <w:t>Poursuite de la migration de la plate-forme Ingres vers SQL Server.</w:t>
      </w:r>
    </w:p>
    <w:p w14:paraId="4219AC91" w14:textId="77777777" w:rsidR="00D80461" w:rsidRPr="00F05A8A" w:rsidRDefault="00D80461" w:rsidP="002F075E">
      <w:pPr>
        <w:pStyle w:val="enumlev1"/>
      </w:pPr>
      <w:r w:rsidRPr="00F05A8A">
        <w:t>•</w:t>
      </w:r>
      <w:r w:rsidRPr="00F05A8A">
        <w:tab/>
        <w:t>Passage de la plate-forme Ingres à la plate-forme SQL Server et améliorations de l'interface concernant le système d'accès et de consultation de la base de données du service mobile maritime (MARS) et les stations de contrôle international.</w:t>
      </w:r>
    </w:p>
    <w:p w14:paraId="6DFE2052" w14:textId="77777777" w:rsidR="00D80461" w:rsidRPr="00F05A8A" w:rsidRDefault="00D80461" w:rsidP="002F075E">
      <w:pPr>
        <w:pStyle w:val="enumlev1"/>
      </w:pPr>
      <w:r w:rsidRPr="00F05A8A">
        <w:t>•</w:t>
      </w:r>
      <w:r w:rsidRPr="00F05A8A">
        <w:tab/>
        <w:t>Poursuite de la mise en œuvre de la nouvelle Règle de procédure relative au numéro 5.441B du RR.</w:t>
      </w:r>
    </w:p>
    <w:p w14:paraId="492AEE56" w14:textId="77777777" w:rsidR="00D80461" w:rsidRPr="00F05A8A" w:rsidRDefault="00D80461" w:rsidP="002F075E">
      <w:pPr>
        <w:pStyle w:val="Headingb"/>
        <w:ind w:left="0" w:firstLine="0"/>
      </w:pPr>
      <w:bookmarkStart w:id="100" w:name="_Toc41032050"/>
      <w:bookmarkStart w:id="101" w:name="_Toc72845011"/>
      <w:bookmarkStart w:id="102" w:name="_Toc72846359"/>
      <w:bookmarkStart w:id="103" w:name="_Toc72846585"/>
      <w:bookmarkStart w:id="104" w:name="_Toc95387466"/>
      <w:r w:rsidRPr="00F05A8A">
        <w:t>Progrès accomplis dans la mise en œuvre de la feuille de route sur les systèmes informatiques du BR pour les services spatiaux (RAG-19, 2012)</w:t>
      </w:r>
      <w:bookmarkEnd w:id="100"/>
      <w:bookmarkEnd w:id="101"/>
      <w:bookmarkEnd w:id="102"/>
      <w:bookmarkEnd w:id="103"/>
      <w:bookmarkEnd w:id="104"/>
    </w:p>
    <w:p w14:paraId="0F063F86" w14:textId="77777777" w:rsidR="00D80461" w:rsidRPr="00F05A8A" w:rsidRDefault="00D80461" w:rsidP="002F075E">
      <w:pPr>
        <w:pStyle w:val="enumlev1"/>
      </w:pPr>
      <w:r w:rsidRPr="00F05A8A">
        <w:t>•</w:t>
      </w:r>
      <w:r w:rsidRPr="00F05A8A">
        <w:tab/>
        <w:t>Continuité des activités et rétablissement après une catastrophe (pour les services spatiaux et les services de Terre).</w:t>
      </w:r>
    </w:p>
    <w:p w14:paraId="7DBFA8D4" w14:textId="77777777" w:rsidR="00D80461" w:rsidRPr="00F05A8A" w:rsidRDefault="00D80461" w:rsidP="002F075E">
      <w:pPr>
        <w:pStyle w:val="enumlev1"/>
      </w:pPr>
      <w:r w:rsidRPr="00F05A8A">
        <w:t>•</w:t>
      </w:r>
      <w:r w:rsidRPr="00F05A8A">
        <w:tab/>
        <w:t>Réécriture des logiciels existants pour les examens techniques.</w:t>
      </w:r>
    </w:p>
    <w:p w14:paraId="3CBCD336" w14:textId="77777777" w:rsidR="00D80461" w:rsidRPr="00F05A8A" w:rsidRDefault="00D80461" w:rsidP="002F075E">
      <w:pPr>
        <w:pStyle w:val="enumlev1"/>
      </w:pPr>
      <w:r w:rsidRPr="00F05A8A">
        <w:t>•</w:t>
      </w:r>
      <w:r w:rsidRPr="00F05A8A">
        <w:tab/>
        <w:t>Conception et élaboration du système d'information du BR pour les systèmes spatiaux (BR SIS).</w:t>
      </w:r>
    </w:p>
    <w:p w14:paraId="32FFA4BF" w14:textId="77777777" w:rsidR="00D80461" w:rsidRPr="00F05A8A" w:rsidRDefault="00D80461" w:rsidP="002F075E">
      <w:pPr>
        <w:pStyle w:val="Headingb"/>
        <w:ind w:left="0" w:firstLine="0"/>
      </w:pPr>
      <w:bookmarkStart w:id="105" w:name="_Toc41032051"/>
      <w:bookmarkStart w:id="106" w:name="_Toc72845012"/>
      <w:bookmarkStart w:id="107" w:name="_Toc72846360"/>
      <w:bookmarkStart w:id="108" w:name="_Toc72846586"/>
      <w:bookmarkStart w:id="109" w:name="_Toc95387467"/>
      <w:r w:rsidRPr="00F05A8A">
        <w:t>Résultats découlant des activités concernant les applications pour les services spatiaux</w:t>
      </w:r>
      <w:bookmarkEnd w:id="105"/>
      <w:bookmarkEnd w:id="106"/>
      <w:bookmarkEnd w:id="107"/>
      <w:bookmarkEnd w:id="108"/>
      <w:bookmarkEnd w:id="109"/>
    </w:p>
    <w:p w14:paraId="145FFCF8" w14:textId="77777777" w:rsidR="00D80461" w:rsidRPr="00F05A8A" w:rsidRDefault="00D80461" w:rsidP="002F075E">
      <w:pPr>
        <w:pStyle w:val="enumlev1"/>
      </w:pPr>
      <w:r w:rsidRPr="00F05A8A">
        <w:t>•</w:t>
      </w:r>
      <w:r w:rsidRPr="00F05A8A">
        <w:tab/>
        <w:t>Mise en œuvre de la Résolution 907 (Rév.CMR-15) – Utilisation de moyens modernes de communication électroniques pour la correspondance administrative concernant les réseaux à satellite.</w:t>
      </w:r>
    </w:p>
    <w:p w14:paraId="417877CE" w14:textId="77777777" w:rsidR="00D80461" w:rsidRPr="00F05A8A" w:rsidRDefault="00D80461" w:rsidP="002F075E">
      <w:pPr>
        <w:pStyle w:val="enumlev1"/>
      </w:pPr>
      <w:r w:rsidRPr="00F05A8A">
        <w:t>•</w:t>
      </w:r>
      <w:r w:rsidRPr="00F05A8A">
        <w:tab/>
        <w:t>Mise en œuvre du nouveau logiciel d'examen de la puissance surfacique pour les satellites non OSG.</w:t>
      </w:r>
    </w:p>
    <w:p w14:paraId="4598FF24" w14:textId="77777777" w:rsidR="00D80461" w:rsidRPr="00F05A8A" w:rsidRDefault="00D80461" w:rsidP="002F075E">
      <w:pPr>
        <w:pStyle w:val="Heading2"/>
      </w:pPr>
      <w:bookmarkStart w:id="110" w:name="_1.3_Normalisation"/>
      <w:bookmarkStart w:id="111" w:name="_Toc41032052"/>
      <w:bookmarkStart w:id="112" w:name="_Toc72846587"/>
      <w:bookmarkStart w:id="113" w:name="_Toc98513602"/>
      <w:bookmarkStart w:id="114" w:name="_Toc107466567"/>
      <w:bookmarkEnd w:id="110"/>
      <w:r w:rsidRPr="00F05A8A">
        <w:t>1.3</w:t>
      </w:r>
      <w:r w:rsidRPr="00F05A8A">
        <w:tab/>
        <w:t>Normalisation</w:t>
      </w:r>
      <w:bookmarkEnd w:id="111"/>
      <w:bookmarkEnd w:id="112"/>
      <w:r w:rsidRPr="00F05A8A">
        <w:t xml:space="preserve"> – </w:t>
      </w:r>
      <w:r w:rsidRPr="00F05A8A">
        <w:rPr>
          <w:lang w:eastAsia="en-GB"/>
        </w:rPr>
        <w:t>Les fondements des technologies d'aujourd'hui et de demain</w:t>
      </w:r>
      <w:bookmarkStart w:id="115" w:name="Section_1_3"/>
      <w:bookmarkEnd w:id="113"/>
      <w:bookmarkEnd w:id="114"/>
    </w:p>
    <w:bookmarkEnd w:id="115"/>
    <w:p w14:paraId="1980D1BC" w14:textId="77777777" w:rsidR="00D80461" w:rsidRPr="00F05A8A" w:rsidRDefault="00D80461" w:rsidP="002F075E">
      <w:r w:rsidRPr="00F05A8A">
        <w:t>Les travaux de normalisation de l'UIT portent sur les normes relatives aux télécommunications (Recommandations UIT-T) et les normes relatives aux radiocommunications (Recommandations UIT-R).</w:t>
      </w:r>
    </w:p>
    <w:p w14:paraId="7C32EC13" w14:textId="77777777" w:rsidR="00CF5980" w:rsidRPr="00F05A8A" w:rsidRDefault="00CF5980" w:rsidP="002F075E">
      <w:pPr>
        <w:pStyle w:val="Headingb"/>
      </w:pPr>
      <w:bookmarkStart w:id="116" w:name="_Toc41032053"/>
      <w:bookmarkStart w:id="117" w:name="_Toc72845014"/>
      <w:bookmarkStart w:id="118" w:name="_Toc72846361"/>
      <w:bookmarkStart w:id="119" w:name="_Toc72846588"/>
      <w:bookmarkStart w:id="120" w:name="_Toc95387469"/>
      <w:r w:rsidRPr="00F05A8A">
        <w:br w:type="page"/>
      </w:r>
    </w:p>
    <w:p w14:paraId="7DFAE1F9" w14:textId="35403B62" w:rsidR="00D80461" w:rsidRPr="00F05A8A" w:rsidRDefault="00D80461" w:rsidP="002F075E">
      <w:pPr>
        <w:pStyle w:val="Headingb"/>
      </w:pPr>
      <w:r w:rsidRPr="00F05A8A">
        <w:lastRenderedPageBreak/>
        <w:t>Recommandations UIT-T</w:t>
      </w:r>
      <w:bookmarkEnd w:id="116"/>
      <w:bookmarkEnd w:id="117"/>
      <w:bookmarkEnd w:id="118"/>
      <w:bookmarkEnd w:id="119"/>
      <w:bookmarkEnd w:id="120"/>
    </w:p>
    <w:p w14:paraId="1CBC1501" w14:textId="77777777" w:rsidR="00D80461" w:rsidRPr="00F05A8A" w:rsidRDefault="00D80461" w:rsidP="002F075E">
      <w:bookmarkStart w:id="121" w:name="lt_pId323"/>
      <w:r w:rsidRPr="00F05A8A">
        <w:t xml:space="preserve">Les </w:t>
      </w:r>
      <w:hyperlink r:id="rId41" w:history="1">
        <w:r w:rsidRPr="00F05A8A">
          <w:rPr>
            <w:rStyle w:val="Hyperlink"/>
          </w:rPr>
          <w:t>Recommandations UIT-T</w:t>
        </w:r>
      </w:hyperlink>
      <w:r w:rsidRPr="00F05A8A">
        <w:t xml:space="preserve"> définissent les modalités d'exploitation et d'interfonctionnement des réseaux TIC.</w:t>
      </w:r>
      <w:bookmarkEnd w:id="121"/>
      <w:r w:rsidRPr="00F05A8A">
        <w:t xml:space="preserve"> Ces Recommandations n'ont pas de caractère contraignant, sauf si elles ont été adoptées dans le droit national, mais les dispositions de ces Recommandations sont largement respectées étant donné qu'elles peuvent être appliquées au niveau international et qu'elles sont de grande qualité. Il existe plus de 4 000 Recommandations en vigueur sur des thèmes comme la définition des services, l'architecture et la sécurité des réseaux, les lignes d'abonné numérique large bande, les systèmes de transmission optique (Gbit/s), l'apprentissage automatique dans les réseaux futurs, y compris les IMT-2020, les technologies de l'information quantiques, la chaîne de blocs et les questions relatives à la qualité de fonctionnement IP. </w:t>
      </w:r>
      <w:bookmarkStart w:id="122" w:name="lt_pId326"/>
      <w:r w:rsidRPr="00F05A8A">
        <w:t>Ces thèmes sont des éléments essentiels des TIC actuelles.</w:t>
      </w:r>
      <w:bookmarkEnd w:id="122"/>
    </w:p>
    <w:p w14:paraId="767E9177" w14:textId="77777777" w:rsidR="00D80461" w:rsidRPr="00F05A8A" w:rsidRDefault="00D80461" w:rsidP="002F075E">
      <w:pPr>
        <w:rPr>
          <w:i/>
        </w:rPr>
      </w:pPr>
      <w:bookmarkStart w:id="123" w:name="lt_pId328"/>
      <w:r w:rsidRPr="00F05A8A">
        <w:t xml:space="preserve">Les résumés analytiques des réunions des commissions d'études de l'UIT-T et les résultats qu'elles ont obtenus en matière de normalisation sont disponibles sur les </w:t>
      </w:r>
      <w:hyperlink r:id="rId42" w:history="1">
        <w:r w:rsidRPr="00F05A8A">
          <w:rPr>
            <w:rStyle w:val="Hyperlink"/>
          </w:rPr>
          <w:t>pages d'accueil respectives des commissions</w:t>
        </w:r>
      </w:hyperlink>
      <w:r w:rsidRPr="00F05A8A">
        <w:t>.</w:t>
      </w:r>
      <w:bookmarkEnd w:id="123"/>
    </w:p>
    <w:p w14:paraId="709F74B8" w14:textId="77777777" w:rsidR="00D80461" w:rsidRPr="00F05A8A" w:rsidRDefault="00D80461" w:rsidP="002F075E">
      <w:pPr>
        <w:spacing w:after="120"/>
        <w:rPr>
          <w:sz w:val="22"/>
        </w:rPr>
      </w:pPr>
      <w:r w:rsidRPr="00F05A8A">
        <w:t xml:space="preserve">Le tableau suivant présente toutes les Recommandations UIT-T approuvées </w:t>
      </w:r>
      <w:r w:rsidRPr="00F05A8A">
        <w:rPr>
          <w:i/>
        </w:rPr>
        <w:t>par année</w:t>
      </w:r>
      <w:r w:rsidRPr="00F05A8A">
        <w:t xml:space="preserve"> sur la période allant de 2018 au 1er novembre 2021.</w:t>
      </w:r>
    </w:p>
    <w:tbl>
      <w:tblPr>
        <w:tblStyle w:val="GridTable4-Accent1"/>
        <w:tblW w:w="9930" w:type="dxa"/>
        <w:tblLayout w:type="fixed"/>
        <w:tblLook w:val="01E0" w:firstRow="1" w:lastRow="1" w:firstColumn="1" w:lastColumn="1" w:noHBand="0" w:noVBand="0"/>
      </w:tblPr>
      <w:tblGrid>
        <w:gridCol w:w="710"/>
        <w:gridCol w:w="9220"/>
      </w:tblGrid>
      <w:tr w:rsidR="00D80461" w:rsidRPr="00F05A8A" w14:paraId="2DD9371C" w14:textId="77777777" w:rsidTr="00142C0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4" w:type="dxa"/>
            <w:gridSpan w:val="2"/>
            <w:shd w:val="clear" w:color="auto" w:fill="1F497D" w:themeFill="text2"/>
            <w:hideMark/>
          </w:tcPr>
          <w:p w14:paraId="304DA5AA" w14:textId="77777777" w:rsidR="00D80461" w:rsidRPr="00F05A8A" w:rsidRDefault="00D80461" w:rsidP="002F075E">
            <w:pPr>
              <w:pStyle w:val="Tablehead"/>
              <w:rPr>
                <w:b/>
                <w:bCs w:val="0"/>
                <w:sz w:val="20"/>
                <w:lang w:eastAsia="ja-JP"/>
              </w:rPr>
            </w:pPr>
            <w:r w:rsidRPr="00F05A8A">
              <w:rPr>
                <w:b/>
                <w:bCs w:val="0"/>
                <w:sz w:val="20"/>
                <w:lang w:eastAsia="ja-JP"/>
              </w:rPr>
              <w:t>Recommandations UIT-T nouvelles ou révisées approuvées</w:t>
            </w:r>
          </w:p>
        </w:tc>
      </w:tr>
      <w:tr w:rsidR="00D80461" w:rsidRPr="00F05A8A" w14:paraId="5D75B617"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01240A89" w14:textId="77777777" w:rsidR="00D80461" w:rsidRPr="00F05A8A" w:rsidRDefault="00D80461" w:rsidP="002F075E">
            <w:pPr>
              <w:pStyle w:val="Tabletext"/>
              <w:rPr>
                <w:bCs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5EB4E9AF" w14:textId="77777777" w:rsidR="00D80461" w:rsidRPr="00F05A8A" w:rsidRDefault="00ED2695" w:rsidP="002F075E">
            <w:pPr>
              <w:pStyle w:val="Tabletext"/>
              <w:rPr>
                <w:bCs w:val="0"/>
                <w:sz w:val="20"/>
                <w:lang w:eastAsia="ja-JP"/>
              </w:rPr>
            </w:pPr>
            <w:hyperlink r:id="rId43" w:history="1">
              <w:r w:rsidR="00D80461" w:rsidRPr="00F05A8A">
                <w:rPr>
                  <w:rStyle w:val="Hyperlink"/>
                  <w:rFonts w:eastAsia="Calibri"/>
                  <w:bCs w:val="0"/>
                  <w:sz w:val="20"/>
                  <w:lang w:eastAsia="ja-JP"/>
                </w:rPr>
                <w:t>CE 2 – Aspects opérationnels</w:t>
              </w:r>
            </w:hyperlink>
          </w:p>
        </w:tc>
      </w:tr>
      <w:tr w:rsidR="00D80461" w:rsidRPr="00F05A8A" w14:paraId="1AC238A9"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07D77BA8"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0AF93B3" w14:textId="77777777" w:rsidR="00D80461" w:rsidRPr="00F05A8A" w:rsidRDefault="00D80461" w:rsidP="002F075E">
            <w:pPr>
              <w:pStyle w:val="Tabletext"/>
              <w:rPr>
                <w:b w:val="0"/>
                <w:sz w:val="20"/>
                <w:lang w:eastAsia="ja-JP"/>
              </w:rPr>
            </w:pPr>
            <w:r w:rsidRPr="00F05A8A">
              <w:rPr>
                <w:b w:val="0"/>
                <w:sz w:val="20"/>
                <w:lang w:eastAsia="ja-JP"/>
              </w:rPr>
              <w:t>M.1400 Amd.1, M.3071, M.3372, X.760</w:t>
            </w:r>
          </w:p>
        </w:tc>
      </w:tr>
      <w:tr w:rsidR="00D80461" w:rsidRPr="00F05A8A" w14:paraId="7361B646"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8045DF9"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A95E43C" w14:textId="77777777" w:rsidR="00D80461" w:rsidRPr="00F05A8A" w:rsidRDefault="00D80461" w:rsidP="002F075E">
            <w:pPr>
              <w:pStyle w:val="Tabletext"/>
              <w:rPr>
                <w:b w:val="0"/>
                <w:sz w:val="20"/>
                <w:lang w:eastAsia="ja-JP"/>
              </w:rPr>
            </w:pPr>
            <w:r w:rsidRPr="00F05A8A">
              <w:rPr>
                <w:b w:val="0"/>
                <w:sz w:val="20"/>
                <w:lang w:eastAsia="ja-JP"/>
              </w:rPr>
              <w:t>E.102, E.118 Amd.1, E.169.1, E.217, M.3040</w:t>
            </w:r>
          </w:p>
        </w:tc>
      </w:tr>
      <w:tr w:rsidR="00D80461" w:rsidRPr="00F05A8A" w14:paraId="54DA6A93"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069A8B87"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1E76353" w14:textId="77777777" w:rsidR="00D80461" w:rsidRPr="00F05A8A" w:rsidRDefault="00D80461" w:rsidP="002F075E">
            <w:pPr>
              <w:pStyle w:val="Tabletext"/>
              <w:rPr>
                <w:b w:val="0"/>
                <w:sz w:val="20"/>
                <w:lang w:eastAsia="ja-JP"/>
              </w:rPr>
            </w:pPr>
            <w:r w:rsidRPr="00F05A8A">
              <w:rPr>
                <w:sz w:val="20"/>
                <w:lang w:eastAsia="ja-JP"/>
              </w:rPr>
              <w:t>E.156, E.164.2, E.212 Amd.2, E.212 Amd.3, E.218 Amd.1, M.3041, M.3164, M.3362, M.3363, M.3364, M.3373</w:t>
            </w:r>
          </w:p>
        </w:tc>
      </w:tr>
      <w:tr w:rsidR="00D80461" w:rsidRPr="00F05A8A" w14:paraId="7D8FA4E0"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5A377A51"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D5C6B5E" w14:textId="77777777" w:rsidR="00D80461" w:rsidRPr="00F05A8A" w:rsidRDefault="00D80461" w:rsidP="002F075E">
            <w:pPr>
              <w:pStyle w:val="Tabletext"/>
              <w:rPr>
                <w:b w:val="0"/>
                <w:sz w:val="20"/>
                <w:lang w:eastAsia="ja-JP"/>
              </w:rPr>
            </w:pPr>
            <w:r w:rsidRPr="00F05A8A">
              <w:rPr>
                <w:sz w:val="20"/>
                <w:lang w:eastAsia="ja-JP"/>
              </w:rPr>
              <w:t>E.157, M.3080, M.3365, Q.834.1 Amd.1, Q.834.4 Amd.2, Q.838.1 Amd.1, X.785</w:t>
            </w:r>
          </w:p>
        </w:tc>
      </w:tr>
      <w:tr w:rsidR="00D80461" w:rsidRPr="00F05A8A" w14:paraId="5CB0DC96"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0AB51A44" w14:textId="77777777" w:rsidR="00D80461" w:rsidRPr="00F05A8A" w:rsidRDefault="00D80461" w:rsidP="002F075E">
            <w:pPr>
              <w:pStyle w:val="Tabletext"/>
              <w:rPr>
                <w:bCs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60BD63F7" w14:textId="77777777" w:rsidR="00D80461" w:rsidRPr="00F05A8A" w:rsidRDefault="00ED2695" w:rsidP="002F075E">
            <w:pPr>
              <w:pStyle w:val="Tabletext"/>
              <w:rPr>
                <w:bCs w:val="0"/>
                <w:sz w:val="20"/>
                <w:lang w:eastAsia="ja-JP"/>
              </w:rPr>
            </w:pPr>
            <w:hyperlink r:id="rId44" w:history="1">
              <w:r w:rsidR="00D80461" w:rsidRPr="00F05A8A">
                <w:rPr>
                  <w:rStyle w:val="Hyperlink"/>
                  <w:rFonts w:eastAsia="Calibri"/>
                  <w:bCs w:val="0"/>
                  <w:sz w:val="20"/>
                  <w:lang w:eastAsia="ja-JP"/>
                </w:rPr>
                <w:t>CE 3 – Questions de politique générale et d'économie</w:t>
              </w:r>
            </w:hyperlink>
          </w:p>
        </w:tc>
      </w:tr>
      <w:tr w:rsidR="00D80461" w:rsidRPr="00F05A8A" w14:paraId="38EEF826"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80B48E0"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3F77FCF" w14:textId="77777777" w:rsidR="00D80461" w:rsidRPr="00F05A8A" w:rsidRDefault="00D80461" w:rsidP="002F075E">
            <w:pPr>
              <w:pStyle w:val="Tabletext"/>
              <w:rPr>
                <w:b w:val="0"/>
                <w:sz w:val="20"/>
                <w:lang w:eastAsia="ja-JP"/>
              </w:rPr>
            </w:pPr>
            <w:r w:rsidRPr="00F05A8A">
              <w:rPr>
                <w:b w:val="0"/>
                <w:sz w:val="20"/>
                <w:lang w:eastAsia="ja-JP"/>
              </w:rPr>
              <w:t>D.198, D.262, D.263</w:t>
            </w:r>
          </w:p>
        </w:tc>
      </w:tr>
      <w:tr w:rsidR="00D80461" w:rsidRPr="00F05A8A" w14:paraId="1F54BB08"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42B29C60"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5925EF28" w14:textId="77777777" w:rsidR="00D80461" w:rsidRPr="00F05A8A" w:rsidRDefault="00D80461" w:rsidP="002F075E">
            <w:pPr>
              <w:pStyle w:val="Tabletext"/>
              <w:rPr>
                <w:b w:val="0"/>
                <w:sz w:val="20"/>
                <w:lang w:eastAsia="ja-JP"/>
              </w:rPr>
            </w:pPr>
            <w:r w:rsidRPr="00F05A8A">
              <w:rPr>
                <w:b w:val="0"/>
                <w:sz w:val="20"/>
                <w:lang w:eastAsia="ja-JP"/>
              </w:rPr>
              <w:t>D.264, D.265, D.266, D.267/X.1261</w:t>
            </w:r>
          </w:p>
        </w:tc>
      </w:tr>
      <w:tr w:rsidR="00D80461" w:rsidRPr="00F05A8A" w14:paraId="7D5146D5"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1097F228"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031B09D" w14:textId="77777777" w:rsidR="00D80461" w:rsidRPr="00F05A8A" w:rsidRDefault="00D80461" w:rsidP="002F075E">
            <w:pPr>
              <w:pStyle w:val="Tabletext"/>
              <w:rPr>
                <w:b w:val="0"/>
                <w:sz w:val="20"/>
                <w:lang w:eastAsia="ja-JP"/>
              </w:rPr>
            </w:pPr>
            <w:r w:rsidRPr="00F05A8A">
              <w:rPr>
                <w:b w:val="0"/>
                <w:sz w:val="20"/>
                <w:lang w:eastAsia="ja-JP"/>
              </w:rPr>
              <w:t>D.600R Amd.1, D.607R, D.1041</w:t>
            </w:r>
          </w:p>
        </w:tc>
      </w:tr>
      <w:tr w:rsidR="00D80461" w:rsidRPr="00F05A8A" w14:paraId="3EA0D4CE"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32174461" w14:textId="77777777" w:rsidR="00D80461" w:rsidRPr="00F05A8A" w:rsidRDefault="00D80461" w:rsidP="002F075E">
            <w:pPr>
              <w:pStyle w:val="Tabletext"/>
              <w:rPr>
                <w:bCs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1A6FF66" w14:textId="77777777" w:rsidR="00D80461" w:rsidRPr="00F05A8A" w:rsidRDefault="00ED2695" w:rsidP="002F075E">
            <w:pPr>
              <w:pStyle w:val="Tabletext"/>
              <w:rPr>
                <w:bCs w:val="0"/>
                <w:sz w:val="20"/>
                <w:lang w:eastAsia="ja-JP"/>
              </w:rPr>
            </w:pPr>
            <w:hyperlink r:id="rId45" w:history="1">
              <w:r w:rsidR="00D80461" w:rsidRPr="00F05A8A">
                <w:rPr>
                  <w:rStyle w:val="Hyperlink"/>
                  <w:rFonts w:eastAsia="Calibri"/>
                  <w:bCs w:val="0"/>
                  <w:sz w:val="20"/>
                  <w:lang w:eastAsia="ja-JP"/>
                </w:rPr>
                <w:t>CE 5 – Environnement et économie circulaire</w:t>
              </w:r>
            </w:hyperlink>
          </w:p>
        </w:tc>
      </w:tr>
      <w:tr w:rsidR="00D80461" w:rsidRPr="00F05A8A" w14:paraId="11FD596D"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B10BA21"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BC14EEC" w14:textId="77777777" w:rsidR="00D80461" w:rsidRPr="00F05A8A" w:rsidRDefault="00D80461" w:rsidP="002F075E">
            <w:pPr>
              <w:pStyle w:val="Tabletext"/>
              <w:rPr>
                <w:b w:val="0"/>
                <w:sz w:val="20"/>
                <w:lang w:eastAsia="ja-JP"/>
              </w:rPr>
            </w:pPr>
            <w:r w:rsidRPr="00F05A8A">
              <w:rPr>
                <w:b w:val="0"/>
                <w:sz w:val="20"/>
                <w:lang w:eastAsia="ja-JP"/>
              </w:rPr>
              <w:t>K.20, K.21, K.35, K.40, K.44, K.45, K.50, K.52, K.61, K.70, K.90, K.91, K.100, K.128, K.129, K.130, K.131, K.132, K.133, K.134, K.135, K.136, K.137, K.138, K.139, L.1020, L.1021, L.1030, L.1031, L.1207, L.1221, L.1222, L.1303, L.1332, L.1351, L.1361, L.1370, L.1450, L.1460, L.1505, L.1506</w:t>
            </w:r>
          </w:p>
        </w:tc>
      </w:tr>
      <w:tr w:rsidR="00D80461" w:rsidRPr="00F05A8A" w14:paraId="636ACA58"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F5C6C16"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57AB5864" w14:textId="77777777" w:rsidR="00D80461" w:rsidRPr="00F05A8A" w:rsidRDefault="00D80461" w:rsidP="002F075E">
            <w:pPr>
              <w:pStyle w:val="Tabletext"/>
              <w:rPr>
                <w:b w:val="0"/>
                <w:sz w:val="20"/>
                <w:lang w:eastAsia="ja-JP"/>
              </w:rPr>
            </w:pPr>
            <w:r w:rsidRPr="00F05A8A">
              <w:rPr>
                <w:b w:val="0"/>
                <w:sz w:val="20"/>
                <w:lang w:eastAsia="ja-JP"/>
              </w:rPr>
              <w:t>K.20, K.20, K.21, K.39, K.40, K.44, K.45, K.66, K.73, K.77, K.91, K.100, K.112, K.116, K.123, K.140, K.141, K.142, K.143, K.144, K.145, L.1000, L.1015, L.1022, L.1032, L.1210, L.1305, L.1316, L.1362, L.1380, L.1451, L.1507</w:t>
            </w:r>
          </w:p>
        </w:tc>
      </w:tr>
      <w:tr w:rsidR="00D80461" w:rsidRPr="00F05A8A" w14:paraId="0191E01A"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12E17FE4"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6FF41336" w14:textId="77777777" w:rsidR="00D80461" w:rsidRPr="00F05A8A" w:rsidRDefault="00D80461" w:rsidP="002F075E">
            <w:pPr>
              <w:pStyle w:val="Tabletext"/>
              <w:rPr>
                <w:b w:val="0"/>
                <w:sz w:val="20"/>
                <w:lang w:eastAsia="ja-JP"/>
              </w:rPr>
            </w:pPr>
            <w:r w:rsidRPr="00F05A8A">
              <w:rPr>
                <w:sz w:val="20"/>
                <w:lang w:eastAsia="ja-JP"/>
              </w:rPr>
              <w:t>K.21 Amd.1, K.34, K.35, K.44 Cor.1, K.45 Amd.1, K.50 Amd.1, K.50 Cor.1, K.64, K.70, K.78, K.83, K.91, K.91, K.98 Cor.2, K.145, K.146, K.147, K.148, K.149, K.150, L.1023, L.1031, L.1304, L.1310, L.1331, L.1371, L.1381, L.1382, L.1470</w:t>
            </w:r>
          </w:p>
        </w:tc>
      </w:tr>
      <w:tr w:rsidR="00D80461" w:rsidRPr="00F05A8A" w14:paraId="723F47EB"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544F050F"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681F274" w14:textId="77777777" w:rsidR="00D80461" w:rsidRPr="00F05A8A" w:rsidRDefault="00D80461" w:rsidP="002F075E">
            <w:pPr>
              <w:pStyle w:val="Tabletext"/>
              <w:rPr>
                <w:b w:val="0"/>
                <w:sz w:val="20"/>
                <w:lang w:eastAsia="ja-JP"/>
              </w:rPr>
            </w:pPr>
            <w:r w:rsidRPr="00F05A8A">
              <w:rPr>
                <w:sz w:val="20"/>
                <w:lang w:eastAsia="ja-JP"/>
              </w:rPr>
              <w:t>K.20, K.50 Cor. 2, K.52, K.56, K.100, K.112, K.147 Cor.1, L.1024, L.1033, L.1060, L.1383, L.1471</w:t>
            </w:r>
          </w:p>
        </w:tc>
      </w:tr>
      <w:tr w:rsidR="00D80461" w:rsidRPr="00F05A8A" w14:paraId="4F02DD3A"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00B70546" w14:textId="77777777" w:rsidR="00D80461" w:rsidRPr="00F05A8A" w:rsidRDefault="00D80461" w:rsidP="002F075E">
            <w:pPr>
              <w:pStyle w:val="Tabletext"/>
              <w:keepNext/>
              <w:keepLines/>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08520E7F" w14:textId="77777777" w:rsidR="00D80461" w:rsidRPr="00F05A8A" w:rsidRDefault="00ED2695" w:rsidP="002F075E">
            <w:pPr>
              <w:pStyle w:val="Tabletext"/>
              <w:keepNext/>
              <w:keepLines/>
              <w:rPr>
                <w:bCs w:val="0"/>
                <w:sz w:val="20"/>
                <w:lang w:eastAsia="ja-JP"/>
              </w:rPr>
            </w:pPr>
            <w:hyperlink r:id="rId46" w:history="1">
              <w:r w:rsidR="00D80461" w:rsidRPr="00F05A8A">
                <w:rPr>
                  <w:rStyle w:val="Hyperlink"/>
                  <w:rFonts w:eastAsia="Calibri"/>
                  <w:bCs w:val="0"/>
                  <w:sz w:val="20"/>
                  <w:lang w:eastAsia="ja-JP"/>
                </w:rPr>
                <w:t>CE 9 – Réseaux câblés à large bande et télévision</w:t>
              </w:r>
            </w:hyperlink>
          </w:p>
        </w:tc>
      </w:tr>
      <w:tr w:rsidR="00D80461" w:rsidRPr="00F05A8A" w14:paraId="53D3793F"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3BEDDD2A" w14:textId="77777777" w:rsidR="00D80461" w:rsidRPr="00F05A8A" w:rsidRDefault="00D80461" w:rsidP="002F075E">
            <w:pPr>
              <w:pStyle w:val="Tabletext"/>
              <w:keepNext/>
              <w:keepLines/>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2F4A6362" w14:textId="77777777" w:rsidR="00D80461" w:rsidRPr="00F05A8A" w:rsidRDefault="00D80461" w:rsidP="002F075E">
            <w:pPr>
              <w:pStyle w:val="Tabletext"/>
              <w:keepNext/>
              <w:keepLines/>
              <w:rPr>
                <w:b w:val="0"/>
                <w:sz w:val="20"/>
                <w:lang w:eastAsia="ja-JP"/>
              </w:rPr>
            </w:pPr>
            <w:r w:rsidRPr="00F05A8A">
              <w:rPr>
                <w:b w:val="0"/>
                <w:sz w:val="20"/>
                <w:lang w:eastAsia="ja-JP"/>
              </w:rPr>
              <w:t>J.207, J.297, J.382, J.1107</w:t>
            </w:r>
          </w:p>
        </w:tc>
      </w:tr>
      <w:tr w:rsidR="00D80461" w:rsidRPr="00F05A8A" w14:paraId="222BF26B"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72DF4D23"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B9F1D17" w14:textId="77777777" w:rsidR="00D80461" w:rsidRPr="00F05A8A" w:rsidRDefault="00D80461" w:rsidP="002F075E">
            <w:pPr>
              <w:pStyle w:val="Tabletext"/>
              <w:rPr>
                <w:b w:val="0"/>
                <w:sz w:val="20"/>
                <w:lang w:eastAsia="ja-JP"/>
              </w:rPr>
            </w:pPr>
            <w:r w:rsidRPr="00F05A8A">
              <w:rPr>
                <w:sz w:val="20"/>
                <w:lang w:eastAsia="ja-JP"/>
              </w:rPr>
              <w:t>J.1, J.207, J.216, J.224, J.288, J.298, J.302 Amd.1, J.383, J.1026, J.1027, J.1028, J.1108, J.1109, J.1201, J.1202, J.1210, J.1600</w:t>
            </w:r>
          </w:p>
        </w:tc>
      </w:tr>
      <w:tr w:rsidR="00D80461" w:rsidRPr="00F05A8A" w14:paraId="44560E8C"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AFFBE7A" w14:textId="77777777" w:rsidR="00D80461" w:rsidRPr="00F05A8A" w:rsidRDefault="00D80461" w:rsidP="002F075E">
            <w:pPr>
              <w:pStyle w:val="Tabletext"/>
              <w:rPr>
                <w:b w:val="0"/>
                <w:sz w:val="20"/>
                <w:lang w:eastAsia="ja-JP"/>
              </w:rPr>
            </w:pPr>
            <w:r w:rsidRPr="00F05A8A">
              <w:rPr>
                <w:b w:val="0"/>
                <w:sz w:val="20"/>
                <w:lang w:eastAsia="ja-JP"/>
              </w:rPr>
              <w:lastRenderedPageBreak/>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103B0C5D" w14:textId="77777777" w:rsidR="00D80461" w:rsidRPr="00F05A8A" w:rsidRDefault="00D80461" w:rsidP="002F075E">
            <w:pPr>
              <w:pStyle w:val="Tabletext"/>
              <w:rPr>
                <w:b w:val="0"/>
                <w:sz w:val="20"/>
                <w:lang w:eastAsia="ja-JP"/>
              </w:rPr>
            </w:pPr>
            <w:r w:rsidRPr="00F05A8A">
              <w:rPr>
                <w:b w:val="0"/>
                <w:sz w:val="20"/>
                <w:lang w:eastAsia="ja-JP"/>
              </w:rPr>
              <w:t>J.1, J.216, J.224, J.225, J.299, J.1012, J.1013, J.1014, J.1015, J.1015.1, J.1031, J.1032, J.1033, J.1203, J.1204, J.1211</w:t>
            </w:r>
          </w:p>
        </w:tc>
      </w:tr>
      <w:tr w:rsidR="00D80461" w:rsidRPr="00F05A8A" w14:paraId="04507947"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3478E4A1"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1CE7D12D" w14:textId="77777777" w:rsidR="00D80461" w:rsidRPr="00F05A8A" w:rsidRDefault="00D80461" w:rsidP="002F075E">
            <w:pPr>
              <w:pStyle w:val="Tabletext"/>
              <w:rPr>
                <w:b w:val="0"/>
                <w:sz w:val="20"/>
                <w:lang w:eastAsia="ja-JP"/>
              </w:rPr>
            </w:pPr>
            <w:r w:rsidRPr="00F05A8A">
              <w:rPr>
                <w:b w:val="0"/>
                <w:sz w:val="20"/>
                <w:lang w:eastAsia="ja-JP"/>
              </w:rPr>
              <w:t>J.208, J.481, J.482, J.1110, J.1301, J.1302, J.1611</w:t>
            </w:r>
          </w:p>
        </w:tc>
      </w:tr>
      <w:tr w:rsidR="00D80461" w:rsidRPr="00F05A8A" w14:paraId="4DF7854C"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1E4948AD"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C75CAF1" w14:textId="77777777" w:rsidR="00D80461" w:rsidRPr="00F05A8A" w:rsidRDefault="00ED2695" w:rsidP="002F075E">
            <w:pPr>
              <w:pStyle w:val="Tabletext"/>
              <w:rPr>
                <w:bCs w:val="0"/>
                <w:sz w:val="20"/>
                <w:lang w:eastAsia="ja-JP"/>
              </w:rPr>
            </w:pPr>
            <w:hyperlink r:id="rId47" w:history="1">
              <w:r w:rsidR="00D80461" w:rsidRPr="00F05A8A">
                <w:rPr>
                  <w:rStyle w:val="Hyperlink"/>
                  <w:bCs w:val="0"/>
                  <w:sz w:val="20"/>
                  <w:lang w:eastAsia="ja-JP"/>
                </w:rPr>
                <w:t xml:space="preserve">CE 11 – </w:t>
              </w:r>
              <w:r w:rsidR="00D80461" w:rsidRPr="00F05A8A">
                <w:rPr>
                  <w:rStyle w:val="Hyperlink"/>
                  <w:rFonts w:eastAsia="Calibri"/>
                  <w:bCs w:val="0"/>
                  <w:sz w:val="20"/>
                  <w:lang w:eastAsia="ja-JP"/>
                </w:rPr>
                <w:t>Protocoles et spécifications de test</w:t>
              </w:r>
            </w:hyperlink>
          </w:p>
        </w:tc>
      </w:tr>
      <w:tr w:rsidR="00D80461" w:rsidRPr="00F05A8A" w14:paraId="723A1B43"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BC1974B"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CD5D430" w14:textId="77777777" w:rsidR="00D80461" w:rsidRPr="00F05A8A" w:rsidRDefault="00D80461" w:rsidP="002F075E">
            <w:pPr>
              <w:pStyle w:val="Tabletext"/>
              <w:rPr>
                <w:b w:val="0"/>
                <w:sz w:val="20"/>
                <w:lang w:eastAsia="ja-JP"/>
              </w:rPr>
            </w:pPr>
            <w:r w:rsidRPr="00F05A8A">
              <w:rPr>
                <w:b w:val="0"/>
                <w:sz w:val="20"/>
                <w:lang w:eastAsia="ja-JP"/>
              </w:rPr>
              <w:t>Q.850, Q.1912.5, Q.3405, Q.3640, Q.3641, Q.3714, Q.3715, Q.3716, Q.3717, Q.3718, Q.3740, Q.3914, Q.3940, Q.3952, Q.3953, Q.4016, Q.4041.1, Q.4042.1, Q.4060, Q.5001, X.609.4, X.609.5, X.609.6, X.609.7</w:t>
            </w:r>
          </w:p>
        </w:tc>
      </w:tr>
      <w:tr w:rsidR="00D80461" w:rsidRPr="00F05A8A" w14:paraId="687BE02B"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A34D3C6"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7AD2547" w14:textId="77777777" w:rsidR="00D80461" w:rsidRPr="00F05A8A" w:rsidRDefault="00D80461" w:rsidP="002F075E">
            <w:pPr>
              <w:pStyle w:val="Tabletext"/>
              <w:rPr>
                <w:b w:val="0"/>
                <w:sz w:val="20"/>
                <w:lang w:eastAsia="ja-JP"/>
              </w:rPr>
            </w:pPr>
            <w:r w:rsidRPr="00F05A8A">
              <w:rPr>
                <w:sz w:val="20"/>
                <w:lang w:eastAsia="ja-JP"/>
              </w:rPr>
              <w:t>Q.731.3, Q.731.4, Q.731.5, Q.731.6, Q.850 Amd.1, Q.3054, Q.3055, Q.3056, Q.3642, Q.3644, Q.3719, Q.3741, Q.3916, Q.4014.1, Q.4014.2, Q.4043, Q.4061, Q.5002, Q.5020, Q.5021, Q.5050, X.609.8</w:t>
            </w:r>
          </w:p>
        </w:tc>
      </w:tr>
      <w:tr w:rsidR="00D80461" w:rsidRPr="00F05A8A" w14:paraId="7E04FDA0" w14:textId="77777777" w:rsidTr="00142C01">
        <w:trPr>
          <w:cnfStyle w:val="000000100000" w:firstRow="0" w:lastRow="0" w:firstColumn="0" w:lastColumn="0" w:oddVBand="0" w:evenVBand="0" w:oddHBand="1" w:evenHBand="0" w:firstRowFirstColumn="0" w:firstRowLastColumn="0" w:lastRowFirstColumn="0" w:lastRowLastColumn="0"/>
          <w:cantSplit/>
          <w:trHeight w:val="162"/>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7353C77B"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018AF2B" w14:textId="77777777" w:rsidR="00D80461" w:rsidRPr="00F05A8A" w:rsidRDefault="00D80461" w:rsidP="002F075E">
            <w:pPr>
              <w:pStyle w:val="Tabletext"/>
              <w:rPr>
                <w:b w:val="0"/>
                <w:sz w:val="20"/>
                <w:lang w:eastAsia="ja-JP"/>
              </w:rPr>
            </w:pPr>
            <w:r w:rsidRPr="00F05A8A">
              <w:rPr>
                <w:b w:val="0"/>
                <w:sz w:val="20"/>
                <w:lang w:eastAsia="ja-JP"/>
              </w:rPr>
              <w:t>Q.3057, Q.3058, Q.3059, Q.3060, Q.3643, Q.3645, Q.3720, Q.3745, Q.3915, Q.3961, Q.3963, Q.4062, Q.4063, Q.4064, Q.4066, Q.4100, Q.5022, Q.5051, Q.5052, X.609.5, X.609.9, X.609.10</w:t>
            </w:r>
          </w:p>
        </w:tc>
      </w:tr>
      <w:tr w:rsidR="00D80461" w:rsidRPr="00F05A8A" w14:paraId="479F6204"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082F0D1"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5A5D47FC" w14:textId="77777777" w:rsidR="00D80461" w:rsidRPr="00F05A8A" w:rsidRDefault="00D80461" w:rsidP="002F075E">
            <w:pPr>
              <w:pStyle w:val="Tabletext"/>
              <w:rPr>
                <w:b w:val="0"/>
                <w:sz w:val="20"/>
                <w:lang w:eastAsia="ja-JP"/>
              </w:rPr>
            </w:pPr>
            <w:r w:rsidRPr="00F05A8A">
              <w:rPr>
                <w:sz w:val="20"/>
                <w:lang w:eastAsia="ja-JP"/>
              </w:rPr>
              <w:t>Q.3961 Cor. 1, Q.4044, Q.4065, Q.4067, Q.4068, Q.4101, Q.5023, Q.5053</w:t>
            </w:r>
          </w:p>
        </w:tc>
      </w:tr>
      <w:tr w:rsidR="00D80461" w:rsidRPr="00F05A8A" w14:paraId="5B19FC4C"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48801AA1"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58A70E5" w14:textId="77777777" w:rsidR="00D80461" w:rsidRPr="00F05A8A" w:rsidRDefault="00ED2695" w:rsidP="002F075E">
            <w:pPr>
              <w:pStyle w:val="Tabletext"/>
              <w:rPr>
                <w:bCs w:val="0"/>
                <w:sz w:val="20"/>
                <w:lang w:eastAsia="ja-JP"/>
              </w:rPr>
            </w:pPr>
            <w:hyperlink r:id="rId48" w:history="1">
              <w:r w:rsidR="00D80461" w:rsidRPr="00F05A8A">
                <w:rPr>
                  <w:rStyle w:val="Hyperlink"/>
                  <w:rFonts w:eastAsia="Calibri"/>
                  <w:bCs w:val="0"/>
                  <w:sz w:val="20"/>
                  <w:lang w:eastAsia="ja-JP"/>
                </w:rPr>
                <w:t>CE 12 – Qualité de fonctionnement, qualité de service et qualité d'expérience</w:t>
              </w:r>
            </w:hyperlink>
          </w:p>
        </w:tc>
      </w:tr>
      <w:tr w:rsidR="00D80461" w:rsidRPr="00F05A8A" w14:paraId="5F0646AC"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EF0DA3C"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48F0F57B" w14:textId="77777777" w:rsidR="00D80461" w:rsidRPr="00F05A8A" w:rsidRDefault="00D80461" w:rsidP="002F075E">
            <w:pPr>
              <w:pStyle w:val="Tabletext"/>
              <w:rPr>
                <w:b w:val="0"/>
                <w:sz w:val="20"/>
                <w:lang w:eastAsia="ja-JP"/>
              </w:rPr>
            </w:pPr>
            <w:r w:rsidRPr="00F05A8A">
              <w:rPr>
                <w:sz w:val="20"/>
                <w:lang w:eastAsia="ja-JP"/>
              </w:rPr>
              <w:t>E.802 Amd.2, E.840, G.1070, P.501 Amd.1, P.570, P.808, P.809, P.862 Cor.2, P.863, Y.1543, Y.1546 Amd.1</w:t>
            </w:r>
          </w:p>
        </w:tc>
      </w:tr>
      <w:tr w:rsidR="00D80461" w:rsidRPr="00F05A8A" w14:paraId="7EDB7382"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ED23045"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0927D3E" w14:textId="77777777" w:rsidR="00D80461" w:rsidRPr="00F05A8A" w:rsidRDefault="00D80461" w:rsidP="002F075E">
            <w:pPr>
              <w:pStyle w:val="Tabletext"/>
              <w:rPr>
                <w:b w:val="0"/>
                <w:sz w:val="20"/>
                <w:lang w:eastAsia="ja-JP"/>
              </w:rPr>
            </w:pPr>
            <w:r w:rsidRPr="00F05A8A">
              <w:rPr>
                <w:sz w:val="20"/>
                <w:lang w:eastAsia="ja-JP"/>
              </w:rPr>
              <w:t>E.805, E.806, G.107.1, G.107.2, G.191, G.1028, G.1028.1, G.1028.2, G.1033, P.10/G.100 Amd.1, P.64, P.340 Amd.2, P.700, P.811, P.863.1, P.917, P.1100, P.1110, P.1201.2 Cor.2, P.1203.1, P.1203.3, Y.1540, Y.1550</w:t>
            </w:r>
          </w:p>
        </w:tc>
      </w:tr>
      <w:tr w:rsidR="00D80461" w:rsidRPr="00F05A8A" w14:paraId="44B97055"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43EB4713"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4127FB1" w14:textId="77777777" w:rsidR="00D80461" w:rsidRPr="00F05A8A" w:rsidRDefault="00D80461" w:rsidP="002F075E">
            <w:pPr>
              <w:pStyle w:val="Tabletext"/>
              <w:rPr>
                <w:b w:val="0"/>
                <w:sz w:val="20"/>
                <w:lang w:eastAsia="ja-JP"/>
              </w:rPr>
            </w:pPr>
            <w:r w:rsidRPr="00F05A8A">
              <w:rPr>
                <w:sz w:val="20"/>
                <w:lang w:eastAsia="ja-JP"/>
              </w:rPr>
              <w:t>E.475, E.804.1, E.812, G.107.1 Cor.1, G.1034, G.1035, G.1072, G.1072 Cor.1, P.381, P.382, P.501, P.565, P.918, P.919, P.1150, P.1203.3 Amd.1, P.1204, P.1204.3, P.1204.4, P.1204.5, P.1401, P.1502, Y.1540 Amd.1</w:t>
            </w:r>
          </w:p>
        </w:tc>
      </w:tr>
      <w:tr w:rsidR="00D80461" w:rsidRPr="00F05A8A" w14:paraId="271A4869"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19174E37"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2E204596" w14:textId="77777777" w:rsidR="00D80461" w:rsidRPr="00F05A8A" w:rsidRDefault="00D80461" w:rsidP="002F075E">
            <w:pPr>
              <w:pStyle w:val="Tabletext"/>
              <w:rPr>
                <w:b w:val="0"/>
                <w:sz w:val="20"/>
                <w:lang w:eastAsia="ja-JP"/>
              </w:rPr>
            </w:pPr>
            <w:r w:rsidRPr="00F05A8A">
              <w:rPr>
                <w:sz w:val="20"/>
                <w:lang w:eastAsia="ja-JP"/>
              </w:rPr>
              <w:t>E.805.1, P.1203.3 Cor.1, P.57, P.57, P.58, P.58, P.383, P.700, P.808, P.913, Y.1222 Cor.1, Y.1545.1 Amd.1, Y.1563 Cor.1, Y.1564 Cor.1</w:t>
            </w:r>
          </w:p>
        </w:tc>
      </w:tr>
      <w:tr w:rsidR="00D80461" w:rsidRPr="00F05A8A" w14:paraId="40D9AFFE"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3658B179"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39D33D2" w14:textId="77777777" w:rsidR="00D80461" w:rsidRPr="00F05A8A" w:rsidRDefault="00ED2695" w:rsidP="002F075E">
            <w:pPr>
              <w:pStyle w:val="Tabletext"/>
              <w:rPr>
                <w:bCs w:val="0"/>
                <w:sz w:val="20"/>
                <w:lang w:eastAsia="ja-JP"/>
              </w:rPr>
            </w:pPr>
            <w:hyperlink r:id="rId49" w:history="1">
              <w:r w:rsidR="00D80461" w:rsidRPr="00F05A8A">
                <w:rPr>
                  <w:rStyle w:val="Hyperlink"/>
                  <w:rFonts w:eastAsia="Calibri"/>
                  <w:bCs w:val="0"/>
                  <w:sz w:val="20"/>
                  <w:lang w:eastAsia="ja-JP"/>
                </w:rPr>
                <w:t>CE 13 – Réseaux futurs (et l'informatique en nuage)</w:t>
              </w:r>
            </w:hyperlink>
          </w:p>
        </w:tc>
      </w:tr>
      <w:tr w:rsidR="00D80461" w:rsidRPr="00F05A8A" w14:paraId="3B9B41ED"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7A417FA8"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DCB4ECF" w14:textId="77777777" w:rsidR="00D80461" w:rsidRPr="00F05A8A" w:rsidRDefault="00D80461" w:rsidP="002F075E">
            <w:pPr>
              <w:pStyle w:val="Tabletext"/>
              <w:rPr>
                <w:b w:val="0"/>
                <w:sz w:val="20"/>
                <w:lang w:eastAsia="ja-JP"/>
              </w:rPr>
            </w:pPr>
            <w:r w:rsidRPr="00F05A8A">
              <w:rPr>
                <w:sz w:val="20"/>
                <w:lang w:eastAsia="ja-JP"/>
              </w:rPr>
              <w:t>I.570, Y.2072, Y.2242, Y.2255, Y.2305, Y.2322, Y.2323, Y.2618, Y.2619, Y.2814, Y.2815, Y.3053 Amd.1, Y.3053, Y.3054, Y.3101, Y.3102, Y.3103, Y.3104, Y.3105, Y.3112, Y.3112, Y.3130, Y.3150, Y.3170, Y.3324, Y.3505, Y.3506, Y.3507, Y.3514 Cor.1, Y.3517, Y.3518, Y.3519, Y.3601, Y.3602, Y.3650, Y.3651</w:t>
            </w:r>
          </w:p>
        </w:tc>
      </w:tr>
      <w:tr w:rsidR="00D80461" w:rsidRPr="00F05A8A" w14:paraId="2828F7AC"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4E3CFC0F"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49EB8EC" w14:textId="77777777" w:rsidR="00D80461" w:rsidRPr="00F05A8A" w:rsidRDefault="00D80461" w:rsidP="002F075E">
            <w:pPr>
              <w:pStyle w:val="Tabletext"/>
              <w:rPr>
                <w:b w:val="0"/>
                <w:sz w:val="20"/>
                <w:lang w:eastAsia="ja-JP"/>
              </w:rPr>
            </w:pPr>
            <w:r w:rsidRPr="00F05A8A">
              <w:rPr>
                <w:b w:val="0"/>
                <w:sz w:val="20"/>
                <w:lang w:eastAsia="ja-JP"/>
              </w:rPr>
              <w:t>Y.2243, Y.2244, Y.2324, Y.2342, Y.2620, Y.2774, Y.2775, Y.3072, Y.3073, Y.3074, Y.3106, Y.3107, Y.3108, Y.3131, Y.3132, Y.3133, Y.3151, Y.3152, Y.3153, Y.3172, Y.3508, Y.3509, Y.3523, Y.3524, Y.3603, Y.3800</w:t>
            </w:r>
          </w:p>
        </w:tc>
      </w:tr>
      <w:tr w:rsidR="00D80461" w:rsidRPr="00F05A8A" w14:paraId="513670CA"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46B25554"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2805B2C" w14:textId="77777777" w:rsidR="00D80461" w:rsidRPr="00F05A8A" w:rsidRDefault="00D80461" w:rsidP="002F075E">
            <w:pPr>
              <w:pStyle w:val="Tabletext"/>
              <w:rPr>
                <w:b w:val="0"/>
                <w:sz w:val="20"/>
                <w:lang w:eastAsia="ja-JP"/>
              </w:rPr>
            </w:pPr>
            <w:r w:rsidRPr="00F05A8A">
              <w:rPr>
                <w:sz w:val="20"/>
                <w:lang w:eastAsia="ja-JP"/>
              </w:rPr>
              <w:t>Y.2029 Amd.1, Y.2245, Y.3055, Y.3075, Y.3076, Y.3134, Y.3136, Y.3150, Y.3154, Y.3155, Y.3156, Y.3173, Y.3174, Y.3175, Y.3176, Y.3525, Y.3530, Y.3531, Y.3604, Y.3605, Y.3652, Y.3800 Cor.1, Y.3801, Y.3802, Y.3803, Y.3804</w:t>
            </w:r>
          </w:p>
        </w:tc>
      </w:tr>
      <w:tr w:rsidR="00D80461" w:rsidRPr="00F05A8A" w14:paraId="51008C54"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091CC00"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644BF4F0" w14:textId="77777777" w:rsidR="00D80461" w:rsidRPr="00F05A8A" w:rsidRDefault="00D80461" w:rsidP="002F075E">
            <w:pPr>
              <w:pStyle w:val="Tabletext"/>
              <w:rPr>
                <w:b w:val="0"/>
                <w:sz w:val="20"/>
                <w:lang w:eastAsia="ja-JP"/>
              </w:rPr>
            </w:pPr>
            <w:r w:rsidRPr="00F05A8A">
              <w:rPr>
                <w:sz w:val="20"/>
                <w:lang w:eastAsia="ja-JP"/>
              </w:rPr>
              <w:t>Y.2246, Y.2343, Y.2501, Y.2623, Y.3056, Y.3077, Y.3109, Y.3113, Y.3135, Y.3157, Y.3177, Y.3178, Y.3179, Y.3527, Y.3653, Y.3802 Cor.1, Y.3806</w:t>
            </w:r>
          </w:p>
        </w:tc>
      </w:tr>
      <w:tr w:rsidR="00D80461" w:rsidRPr="00F05A8A" w14:paraId="11176BCD"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1D1456FF"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05A3E5E" w14:textId="77777777" w:rsidR="00D80461" w:rsidRPr="00F05A8A" w:rsidRDefault="00ED2695" w:rsidP="002F075E">
            <w:pPr>
              <w:pStyle w:val="Tabletext"/>
              <w:rPr>
                <w:bCs w:val="0"/>
                <w:sz w:val="20"/>
                <w:lang w:eastAsia="ja-JP"/>
              </w:rPr>
            </w:pPr>
            <w:hyperlink r:id="rId50" w:history="1">
              <w:r w:rsidR="00D80461" w:rsidRPr="00F05A8A">
                <w:rPr>
                  <w:rStyle w:val="Hyperlink"/>
                  <w:rFonts w:eastAsia="Calibri"/>
                  <w:bCs w:val="0"/>
                  <w:sz w:val="20"/>
                  <w:lang w:eastAsia="ja-JP"/>
                </w:rPr>
                <w:t>CE 15 – Transport, accès et installations domestiques</w:t>
              </w:r>
            </w:hyperlink>
          </w:p>
        </w:tc>
      </w:tr>
      <w:tr w:rsidR="00D80461" w:rsidRPr="00F05A8A" w14:paraId="5ACC95F7"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4A8F4E2C"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6B6B863" w14:textId="77777777" w:rsidR="00D80461" w:rsidRPr="00F05A8A" w:rsidRDefault="00D80461" w:rsidP="002F075E">
            <w:pPr>
              <w:pStyle w:val="Tabletext"/>
              <w:rPr>
                <w:b w:val="0"/>
                <w:sz w:val="20"/>
                <w:lang w:eastAsia="ja-JP"/>
              </w:rPr>
            </w:pPr>
            <w:r w:rsidRPr="00F05A8A">
              <w:rPr>
                <w:b w:val="0"/>
                <w:sz w:val="20"/>
                <w:lang w:eastAsia="ja-JP"/>
              </w:rPr>
              <w:t>G.650.1, G.651.1, G.672, G.695, G.698.2, G.698.4, G.698.4 Cor.1, G.709.1/Y.1331.1, G.709.2/Y.1331.2, G.709.3/Y.1331.3, G.709.3/Y.1331.3 Amd.1, G.709/Y.1331 Amd.2, G.798 Amd.1, G.798 Cor.1, G.808 Amd.1, G.875, G.959.1, G.984.5 Amd.1, G.988 Amd.1, G.989.3 Amd.2, G.993.2 Amd.3, G.993.2 Amd.4, G.993.5 Cor.2, G.994.1, G.994.1 Amd.2, G.996.2, G.996.2 Amd.6, G.996.2 Cor.1, G.998.2, G.998.2 Cor.1, G.998.4, G.7041/Y.1303 Cor.1, G.7701 Amd.1, G.7702, G.7711, G.7721, G.8011/Y.1307, G.8013/Y.1731 Cor. 1, G.8013/Y.1731 Amd.1, G.8021/Y.1341, G.8023, G.8023 Cor.1, G.8031/Y.1342 Amd.1, G.8051/Y.1345, G.8052/Y.1346, G.8121/Y.1381, G.8121.1/Y.1381.1, G.8121.2/Y.1381.2, G.8131 Amd.3, G.8151/Y.1374, G.8152/Y.1375, G.8251, G.8260 Amd.2, G.8262, G.8264/Y.1364 Amd.1, G.8266/Y.1376 Amd.1, G.8271 Amd.1, G.8271 Amd.2, G.8271.1/Y.1366.1 Amd.1, G.8271.2 Amd.2, G.8271.2/Y.1366.2 Amd.1, G.8272, G.8273.3/Y.1368.3 Amd.1, G.8273/Y.1368, G.8275.1/Y.1369.1 Amd.2, G.8275.2/Y.1369.2 Amd.2, G.8275/Y.1369 Amd.1, G.9701 Amd.5, G.9701 Cor.5, G.9803, G.9807.2 Amd.1, G.9958, G.9960, G.9960 Cor.4, G.9961, G.9961 Amd.3, G.9961 Amd.4, G.9961 Cor.5, G.9962, G.9963, G.997.1 Amd.2, G.997.1 Cor.1, G.997.2 Amd.5, G.997.2 Cor.4, G.9978, G.9978, G.9979, L.108, L.109, L.156, L.163, L.207, L.314, L.315</w:t>
            </w:r>
          </w:p>
        </w:tc>
      </w:tr>
      <w:tr w:rsidR="00D80461" w:rsidRPr="00F05A8A" w14:paraId="6C660918"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75A20310" w14:textId="77777777" w:rsidR="00D80461" w:rsidRPr="00F05A8A" w:rsidRDefault="00D80461" w:rsidP="002F075E">
            <w:pPr>
              <w:pStyle w:val="Tabletext"/>
              <w:rPr>
                <w:b w:val="0"/>
                <w:sz w:val="20"/>
                <w:lang w:eastAsia="ja-JP"/>
              </w:rPr>
            </w:pPr>
            <w:r w:rsidRPr="00F05A8A">
              <w:rPr>
                <w:b w:val="0"/>
                <w:sz w:val="20"/>
                <w:lang w:eastAsia="ja-JP"/>
              </w:rPr>
              <w:lastRenderedPageBreak/>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635C70F3" w14:textId="77777777" w:rsidR="00D80461" w:rsidRPr="00F05A8A" w:rsidRDefault="00D80461" w:rsidP="002F075E">
            <w:pPr>
              <w:pStyle w:val="Tabletext"/>
              <w:rPr>
                <w:b w:val="0"/>
                <w:sz w:val="20"/>
                <w:lang w:eastAsia="ja-JP"/>
              </w:rPr>
            </w:pPr>
            <w:r w:rsidRPr="00F05A8A">
              <w:rPr>
                <w:b w:val="0"/>
                <w:sz w:val="20"/>
                <w:lang w:eastAsia="ja-JP"/>
              </w:rPr>
              <w:t>G.671, G.709.1/Y.1331.1 Amd.1, G.709/Y.1331 Amd.3, G.709/Y.1331 Cor.2, G.798 Amd.2, G.808.2, G.872, G.984.2, G.988 Amd.2, G.989.2, G.989.2 Cor.1, G.993.2, G.993.5, G.997.1, G.997.2, G.998.4 Cor.1, G.999.1, G.7041/Y.1303 Amd.1, G.7710/Y.1701, G.7712/Y.1703, G.8013/Y.1731 Cor.2, G.8021/Y.1341 Cor.1, G.8132/Y.1383 Cor.1, G.8133, G.8261/Y.1361, G.8262.1/Y.1362.1, G.8262.1/Y.1362.1 Amd.1, G.8265.1/Y.1365.1 Amd.1, G.8271.1/Y.1366.1 Amd.2, G.8272.1/Y.1367.1 Amd.2, G.8273.2/Y.1368.2, G.8273.2/Y.1368.2 Amd.2, G.8275.1/Y.1369.1 Amd.3, G.8275.2/Y.1369.2 Amd.3, G.8275/Y.1369 Amd.2, G.9700, G.9701, G.9701 Amd.1, G.9701 Cor.1, G.9803 Amd.1, G.9804.1, G.9960 Cor.1, G.9961 Cor.1, G.9991, G.9992, L.208</w:t>
            </w:r>
          </w:p>
        </w:tc>
      </w:tr>
      <w:tr w:rsidR="00D80461" w:rsidRPr="00F05A8A" w14:paraId="5319E8B4"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2177D05C"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0C812FF8" w14:textId="77777777" w:rsidR="00D80461" w:rsidRPr="00F05A8A" w:rsidRDefault="00D80461" w:rsidP="002F075E">
            <w:pPr>
              <w:pStyle w:val="Tabletext"/>
              <w:rPr>
                <w:b w:val="0"/>
                <w:sz w:val="20"/>
                <w:lang w:eastAsia="ja-JP"/>
              </w:rPr>
            </w:pPr>
            <w:r w:rsidRPr="00F05A8A">
              <w:rPr>
                <w:b w:val="0"/>
                <w:sz w:val="20"/>
                <w:lang w:eastAsia="ja-JP"/>
              </w:rPr>
              <w:t>G.650.1, G.654, G.672, G.694.1, G.709.1 Cor.1, G.709.1/Y.1331.1 Amd.2, G.709.3/Y.1331.3, G.709.4, G.709/Y.1331, G.709/Y.1331 Amd.1, G.781, G.807, G.873.1 Cor.1, G.874, G.875, G.971, G.972, G.977.1, G.984.3 Amd.1, G.984.5 Amd.2, G.987.1 Cor.1, G.987.2 Amd.2, G.987.3 Amd.1, G.988 Amd.3, G.989.2 Amd.1, G.989.3 Amd.3, G.993.5 Cor.1, G.994.1 Amd.1, G.997.2 Cor.1, G.997.2 Amd.1, G.997.2 Amd.2, G.7701 Amd.2, G.7710/Y.1701, G.7718, G.8011/Y.1307, G.8032/Y.1344, G.8051/Y.1345, G.8110.1 Amd.1, G.8112/Y.1371, G.8151/Y.1374, G.8260, G.8261/Y.1361 Amd.1, G.8261/Y.1361 Amd.2, G.8262 Amd.1, G.8271, G.8271.1/Y.1366.1, G.8271.1/Y.1366.1 Amd.1, G.8272 Amd.1, G.8273 Amd.1, G.8273 Cor.1, G.8273.2/Y.1368.2, G.8273.2/Y.1368.2 Amd.1, G.8273.3/Y.1368.3, G.8273.4/Y.1368.4, G.8275.1/Y.1369.1, G.8275.1/Y.1369.1 Amd.1, G.8275.2/Y.1369.2, G.8275.2/Y.1369.2 Amd.1, G.8275/Y.1369, G.8300, G.8310, G.8312, G.9701 Amd.2, G.9701 Cor.2, G.9701 Amd.3, G.9710, G.9806, G.9806 Amd.1, G.9807.1 Amd.2, G.9807.1 Cor.1, G.9960 Amd.1, G.9960 Amd.2, G.9960 Cor.2, G.9961 Amd.1, G.9961 Amd.2, G.9961 Cor.2, G.9962 Cor.1, G.9962 Amd.1, G.9964 Amd.3, G.9991 Amd.1, G.9991 Cor.1, L.111, L.151, L.330</w:t>
            </w:r>
          </w:p>
        </w:tc>
      </w:tr>
      <w:tr w:rsidR="00D80461" w:rsidRPr="00F05A8A" w14:paraId="7FAA1928"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2401104B"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57DACAFC" w14:textId="77777777" w:rsidR="00D80461" w:rsidRPr="00F05A8A" w:rsidRDefault="00D80461" w:rsidP="002F075E">
            <w:pPr>
              <w:pStyle w:val="Tabletext"/>
              <w:rPr>
                <w:b w:val="0"/>
                <w:sz w:val="20"/>
                <w:lang w:eastAsia="ja-JP"/>
              </w:rPr>
            </w:pPr>
            <w:r w:rsidRPr="00F05A8A">
              <w:rPr>
                <w:b w:val="0"/>
                <w:sz w:val="20"/>
                <w:lang w:eastAsia="ja-JP"/>
              </w:rPr>
              <w:t>G.703 Amd.1, G.709 Cor.1, G.709.4 Cor.1, G.798 Cor.2, G.798 Amd.3, G.807 Amd.1, G.872 Amd.1, G.876, G.987.3 Amd.2, G.988 Amd.4, G.989.3, G.994.1, G.997.3, G.7703, G.7714.1/Y.1705.1 Amd.1, G.7719, G.8010 Amd.3, G.8052.1/Y.1346.1, G.8052.2/Y.1346.2, G.8152.1/Y.1375.1, G.8152.2/Y.1375.2, G.8265.1, G.8271.2/Y.1366.2, G.8273.4/Y.1368.4 Amd.1, G.8275.1/Y.1369.1 Amd.2, G.8275.2/Y.1369.2 Amd.2, G.8275/Y.1369 Amd.1, G.9711, G.9802.1, G.9804.1 Amd.1, G.9804.2, G.9804.3, G.9806 Amd.2, G.9903 Amd.1, G.9961 Amd.3, G.9963 Amd.1, G.9991 Amd.2, L.100/L.10, L.201</w:t>
            </w:r>
          </w:p>
        </w:tc>
      </w:tr>
      <w:tr w:rsidR="00D80461" w:rsidRPr="00F05A8A" w14:paraId="352F1607"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3B941E26"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C557325" w14:textId="77777777" w:rsidR="00D80461" w:rsidRPr="00F05A8A" w:rsidRDefault="00ED2695" w:rsidP="002F075E">
            <w:pPr>
              <w:pStyle w:val="Tabletext"/>
              <w:rPr>
                <w:bCs w:val="0"/>
                <w:sz w:val="20"/>
                <w:lang w:eastAsia="ja-JP"/>
              </w:rPr>
            </w:pPr>
            <w:hyperlink r:id="rId51" w:history="1">
              <w:r w:rsidR="00D80461" w:rsidRPr="00F05A8A">
                <w:rPr>
                  <w:rStyle w:val="Hyperlink"/>
                  <w:rFonts w:eastAsia="Calibri"/>
                  <w:bCs w:val="0"/>
                  <w:sz w:val="20"/>
                  <w:lang w:eastAsia="ja-JP"/>
                </w:rPr>
                <w:t>CE 16 – Multimédia</w:t>
              </w:r>
            </w:hyperlink>
          </w:p>
        </w:tc>
      </w:tr>
      <w:tr w:rsidR="00D80461" w:rsidRPr="00F05A8A" w14:paraId="46804CC9"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A6CDE3C"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6D969FE0" w14:textId="77777777" w:rsidR="00D80461" w:rsidRPr="00F05A8A" w:rsidRDefault="00D80461" w:rsidP="002F075E">
            <w:pPr>
              <w:pStyle w:val="Tabletext"/>
              <w:rPr>
                <w:b w:val="0"/>
                <w:sz w:val="20"/>
                <w:lang w:eastAsia="ja-JP"/>
              </w:rPr>
            </w:pPr>
            <w:r w:rsidRPr="00F05A8A">
              <w:rPr>
                <w:sz w:val="20"/>
                <w:lang w:eastAsia="ja-JP"/>
              </w:rPr>
              <w:t>F.743.5, F.743.6, F.746.7, F.746.8, F.780.1, F.791, F.921, F.930, G.722.2 Cor. 1, H.222.0, H.265, H.265.1, H.430.1, H.430.2, H.430.3, H.626.3, H.626.4, H.766, H.782, H.783, H.784, H.785.1, H.820,H.830.13, H.830.14, H.830.15, H.830.16, H.841, H.842, H.843, H.844, H.845.2, H.845.17, H.846, H.849, H.861.1, H.870, T.88</w:t>
            </w:r>
          </w:p>
        </w:tc>
      </w:tr>
      <w:tr w:rsidR="00D80461" w:rsidRPr="00F05A8A" w14:paraId="3604574B"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430E90F6"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20DC1452" w14:textId="77777777" w:rsidR="00D80461" w:rsidRPr="00F05A8A" w:rsidRDefault="00D80461" w:rsidP="002F075E">
            <w:pPr>
              <w:pStyle w:val="Tabletext"/>
              <w:rPr>
                <w:b w:val="0"/>
                <w:sz w:val="20"/>
                <w:lang w:eastAsia="ja-JP"/>
              </w:rPr>
            </w:pPr>
            <w:r w:rsidRPr="00F05A8A">
              <w:rPr>
                <w:sz w:val="20"/>
                <w:lang w:eastAsia="ja-JP"/>
              </w:rPr>
              <w:t>F.740.1, F.743, F.743.7, F.743.8, F.743.9, F.743.10, F.746.9, F.749.10, F.749.11, H.222.0 Amd.1, H.222.0 Cor.1, H.230, H.243, H.264, H.265, H.265, H.430.4, H.626, H.626.5, H.629.1, H.643.1, H.644.1, H.644.2, H.753, H.764, H.783, H.810, H.813, H.830.15, H.842, H.844, H.845.17, H.846, H.846, H.849, H.850, H.850.6, H.850.7, H.862.0, H.871, T.800, T.814, T.815, T.832, T.873</w:t>
            </w:r>
          </w:p>
        </w:tc>
      </w:tr>
      <w:tr w:rsidR="00D80461" w:rsidRPr="00F05A8A" w14:paraId="7BEFBD8A"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5F95B95A"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DF49B1F" w14:textId="77777777" w:rsidR="00D80461" w:rsidRPr="00F05A8A" w:rsidRDefault="00D80461" w:rsidP="002F075E">
            <w:pPr>
              <w:pStyle w:val="Tabletext"/>
              <w:rPr>
                <w:b w:val="0"/>
                <w:sz w:val="20"/>
                <w:lang w:eastAsia="ja-JP"/>
              </w:rPr>
            </w:pPr>
            <w:r w:rsidRPr="00F05A8A">
              <w:rPr>
                <w:b w:val="0"/>
                <w:sz w:val="20"/>
                <w:lang w:eastAsia="ja-JP"/>
              </w:rPr>
              <w:t>F.735.1, F.743.11, F.743.20, F.743.21, F.746.10, F.746.11, F.748.11, F.749.12, F.749.3, F.751.0, F.751.1, F.751.2, F.922, H.266, H.274, H.430.5, H.627, H.644.3, H.702, H.704, H.841, H.850.1, H.850.2, H.850.3, H.850.4, H.850.5, H.850.6, H.850.7, H.862.1, H.862.2, H.862.3, T.701.11</w:t>
            </w:r>
          </w:p>
        </w:tc>
      </w:tr>
      <w:tr w:rsidR="00D80461" w:rsidRPr="00F05A8A" w14:paraId="5970352B"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74749B3"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4E32787" w14:textId="77777777" w:rsidR="00D80461" w:rsidRPr="00F05A8A" w:rsidRDefault="00D80461" w:rsidP="002F075E">
            <w:pPr>
              <w:pStyle w:val="Tabletext"/>
              <w:rPr>
                <w:b w:val="0"/>
                <w:sz w:val="20"/>
                <w:lang w:eastAsia="ja-JP"/>
              </w:rPr>
            </w:pPr>
            <w:r w:rsidRPr="00F05A8A">
              <w:rPr>
                <w:sz w:val="20"/>
                <w:lang w:eastAsia="ja-JP"/>
              </w:rPr>
              <w:t>F.735.2, F.740.2, F.743.12, F.748.12, F.748.13, F.749.4, F.749.5, F.749.13, F.749.14, H.222.0, H.264, H.265, H.273, H.644.4, H.753 Cor.1, H.830.17, H.830.18, H.862.4, H.862.5, T.627, T.801, T.803, T.804, T.815, T.873</w:t>
            </w:r>
          </w:p>
        </w:tc>
      </w:tr>
      <w:tr w:rsidR="00D80461" w:rsidRPr="00F05A8A" w14:paraId="2EEC3E05"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40B48544"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686968F4" w14:textId="77777777" w:rsidR="00D80461" w:rsidRPr="00F05A8A" w:rsidRDefault="00ED2695" w:rsidP="002F075E">
            <w:pPr>
              <w:pStyle w:val="Tabletext"/>
              <w:rPr>
                <w:bCs w:val="0"/>
                <w:sz w:val="20"/>
                <w:lang w:eastAsia="ja-JP"/>
              </w:rPr>
            </w:pPr>
            <w:hyperlink r:id="rId52" w:history="1">
              <w:r w:rsidR="00D80461" w:rsidRPr="00F05A8A">
                <w:rPr>
                  <w:rStyle w:val="Hyperlink"/>
                  <w:rFonts w:eastAsia="Calibri"/>
                  <w:bCs w:val="0"/>
                  <w:sz w:val="20"/>
                </w:rPr>
                <w:t>CE 17 – Sécurité</w:t>
              </w:r>
            </w:hyperlink>
          </w:p>
        </w:tc>
      </w:tr>
      <w:tr w:rsidR="00D80461" w:rsidRPr="00F05A8A" w14:paraId="23838F3B"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38141671"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5ADB19B" w14:textId="77777777" w:rsidR="00D80461" w:rsidRPr="00F05A8A" w:rsidRDefault="00D80461" w:rsidP="002F075E">
            <w:pPr>
              <w:pStyle w:val="Tabletext"/>
              <w:rPr>
                <w:b w:val="0"/>
                <w:sz w:val="20"/>
                <w:lang w:eastAsia="ja-JP"/>
              </w:rPr>
            </w:pPr>
            <w:r w:rsidRPr="00F05A8A">
              <w:rPr>
                <w:sz w:val="20"/>
                <w:lang w:eastAsia="ja-JP"/>
              </w:rPr>
              <w:t>X.676, X.680 Amd.1, X.680 Cor.3, X.681 Cor.1, X.682 Cor.2, X.683 Cor.1, X.696 Cor.3, X.894, X.1041, X.1080.1, X.1093, X.1147, X.1214, X.1276, X.1277, X.1278, X.1331, X.1361, X.1450, X.1603, Z.100, Z.100, Z.100, Z.151, Z.161, Z.161.2, Z.161.4, Z.161.6, Z.166, Z.167, Z.169, Z.171</w:t>
            </w:r>
          </w:p>
        </w:tc>
      </w:tr>
      <w:tr w:rsidR="00D80461" w:rsidRPr="00F05A8A" w14:paraId="4ED751D3"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91A9118"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5B3D0435" w14:textId="77777777" w:rsidR="00D80461" w:rsidRPr="00F05A8A" w:rsidRDefault="00D80461" w:rsidP="002F075E">
            <w:pPr>
              <w:pStyle w:val="Tabletext"/>
              <w:rPr>
                <w:b w:val="0"/>
                <w:sz w:val="20"/>
                <w:lang w:eastAsia="ja-JP"/>
              </w:rPr>
            </w:pPr>
            <w:r w:rsidRPr="00F05A8A">
              <w:rPr>
                <w:sz w:val="20"/>
                <w:lang w:eastAsia="ja-JP"/>
              </w:rPr>
              <w:t>X.500, X.501, X.509, X.511, X.518, X.519, X.520, X.521, X.525, X.694 Cor.1, X.893 Cor.1, X.894 Cor. 1, X.1042, X.1043, X.1044, X.1045, X.1059, X.1094, X.1215, X.1232, X.1249, X.1401, X.1702, Z.100, Z.100, Z.100, Z.100, Z.101, Z.102, Z.103, Z.104, Z.105, Z.106, Z.107, Z.161, Z.161.2, Z.161.6, Z.161.7, Z.166, Z.169</w:t>
            </w:r>
          </w:p>
        </w:tc>
      </w:tr>
      <w:tr w:rsidR="00D80461" w:rsidRPr="00F05A8A" w14:paraId="62FA89C2"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356AED0F"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62153762" w14:textId="77777777" w:rsidR="00D80461" w:rsidRPr="00F05A8A" w:rsidRDefault="00D80461" w:rsidP="002F075E">
            <w:pPr>
              <w:pStyle w:val="Tabletext"/>
              <w:rPr>
                <w:b w:val="0"/>
                <w:sz w:val="20"/>
                <w:lang w:eastAsia="ja-JP"/>
              </w:rPr>
            </w:pPr>
            <w:r w:rsidRPr="00F05A8A">
              <w:rPr>
                <w:b w:val="0"/>
                <w:sz w:val="20"/>
                <w:lang w:eastAsia="ja-JP"/>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D80461" w:rsidRPr="00F05A8A" w14:paraId="5BD75834"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4083CB8A" w14:textId="77777777" w:rsidR="00D80461" w:rsidRPr="00F05A8A" w:rsidRDefault="00D80461" w:rsidP="002F075E">
            <w:pPr>
              <w:pStyle w:val="Tabletext"/>
              <w:rPr>
                <w:b w:val="0"/>
                <w:sz w:val="20"/>
                <w:lang w:eastAsia="ja-JP"/>
              </w:rPr>
            </w:pPr>
            <w:r w:rsidRPr="00F05A8A">
              <w:rPr>
                <w:b w:val="0"/>
                <w:sz w:val="20"/>
                <w:lang w:eastAsia="ja-JP"/>
              </w:rPr>
              <w:lastRenderedPageBreak/>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1B2454D6" w14:textId="77777777" w:rsidR="00D80461" w:rsidRPr="00F05A8A" w:rsidRDefault="00D80461" w:rsidP="002F075E">
            <w:pPr>
              <w:pStyle w:val="Tabletext"/>
              <w:rPr>
                <w:b w:val="0"/>
                <w:sz w:val="20"/>
                <w:lang w:eastAsia="ja-JP"/>
              </w:rPr>
            </w:pPr>
            <w:r w:rsidRPr="00F05A8A">
              <w:rPr>
                <w:sz w:val="20"/>
                <w:lang w:eastAsia="ja-JP"/>
              </w:rPr>
              <w:t>X.501 Amd.1, X.509 Cor. 1, X.680, X.681, X.682, X.683, X.690, X.691, X.692, X.693, X.694, X.695, X.696, X.697, X.894 Cor.2, X.1011, X.1047, X.1060, X.1061, X.1080.2, X.1217, X.1233, X.1252, X.1368, X.1376, X.1405, X.1406, X.1408, X.1712, X.1770, X.1811, Z.100, Z.100, Z.100, Z.101, Z.102, Z.103, Z.104, Z.105, Z.106, Z.107, Z.161, Z.161.2, Z.161.3, Z.161.4, Z.161.7, Z.167, Z.168, Z.169, Z.171</w:t>
            </w:r>
          </w:p>
        </w:tc>
      </w:tr>
      <w:tr w:rsidR="00D80461" w:rsidRPr="00F05A8A" w14:paraId="5F5C1252" w14:textId="77777777" w:rsidTr="00142C01">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6F5FA126"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2B61BFA" w14:textId="77777777" w:rsidR="00D80461" w:rsidRPr="00F05A8A" w:rsidRDefault="00ED2695" w:rsidP="002F075E">
            <w:pPr>
              <w:pStyle w:val="Tabletext"/>
              <w:rPr>
                <w:bCs w:val="0"/>
                <w:sz w:val="20"/>
                <w:lang w:eastAsia="ja-JP"/>
              </w:rPr>
            </w:pPr>
            <w:hyperlink r:id="rId53" w:history="1">
              <w:r w:rsidR="00D80461" w:rsidRPr="00F05A8A">
                <w:rPr>
                  <w:rStyle w:val="Hyperlink"/>
                  <w:rFonts w:eastAsia="Calibri"/>
                  <w:bCs w:val="0"/>
                  <w:sz w:val="20"/>
                  <w:lang w:eastAsia="ja-JP"/>
                </w:rPr>
                <w:t>CE 20 – IoT et villes et communautés intelligentes</w:t>
              </w:r>
            </w:hyperlink>
          </w:p>
        </w:tc>
      </w:tr>
      <w:tr w:rsidR="00D80461" w:rsidRPr="00F05A8A" w14:paraId="64F11DCE"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A37BF16" w14:textId="77777777" w:rsidR="00D80461" w:rsidRPr="00F05A8A" w:rsidRDefault="00D80461" w:rsidP="002F075E">
            <w:pPr>
              <w:pStyle w:val="Tabletext"/>
              <w:rPr>
                <w:b w:val="0"/>
                <w:sz w:val="20"/>
                <w:lang w:eastAsia="ja-JP"/>
              </w:rPr>
            </w:pPr>
            <w:r w:rsidRPr="00F05A8A">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7AA8D06" w14:textId="77777777" w:rsidR="00D80461" w:rsidRPr="00F05A8A" w:rsidRDefault="00D80461" w:rsidP="002F075E">
            <w:pPr>
              <w:pStyle w:val="Tabletext"/>
              <w:rPr>
                <w:b w:val="0"/>
                <w:sz w:val="20"/>
                <w:lang w:eastAsia="ja-JP"/>
              </w:rPr>
            </w:pPr>
            <w:r w:rsidRPr="00F05A8A">
              <w:rPr>
                <w:b w:val="0"/>
                <w:sz w:val="20"/>
                <w:lang w:eastAsia="ja-JP"/>
              </w:rPr>
              <w:t>Y.4003, Y.4118, Y.4119, Y.4120, Y.4121, Y.4200, Y.4201, Y.4415, Y.4416, Y.4417, Y.4418, Y.4456, Y.4457, Y.4500.1, Y.4500.2, Y.4500.4, Y.4500.5, Y.4500.6, Y.4500.8, Y.4500.9, Y.4500.10, Y.4500.11, Y.4500.12, Y.4500.13, Y.4500.14, Y.4500.15, Y.4500.20, Y.4500.22, Y.4500.23, Y.4500.32</w:t>
            </w:r>
          </w:p>
        </w:tc>
      </w:tr>
      <w:tr w:rsidR="00D80461" w:rsidRPr="00F05A8A" w14:paraId="3C77A80A"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11116724"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63AE9ADB" w14:textId="77777777" w:rsidR="00D80461" w:rsidRPr="00F05A8A" w:rsidRDefault="00D80461" w:rsidP="002F075E">
            <w:pPr>
              <w:pStyle w:val="Tabletext"/>
              <w:rPr>
                <w:b w:val="0"/>
                <w:sz w:val="20"/>
                <w:lang w:eastAsia="ja-JP"/>
              </w:rPr>
            </w:pPr>
            <w:r w:rsidRPr="00F05A8A">
              <w:rPr>
                <w:b w:val="0"/>
                <w:sz w:val="20"/>
                <w:lang w:eastAsia="ja-JP"/>
              </w:rPr>
              <w:t>Y.4051, Y.4202, Y.4203, Y.4204, Y.4205, Y.4206, Y.4207, Y.4458, Y.4460, Y.4555, Y.4556, Y.4904, Y.4905, Y.4906</w:t>
            </w:r>
          </w:p>
        </w:tc>
      </w:tr>
      <w:tr w:rsidR="00D80461" w:rsidRPr="00F05A8A" w14:paraId="4EE17B62" w14:textId="77777777" w:rsidTr="00142C01">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5576515C" w14:textId="77777777" w:rsidR="00D80461" w:rsidRPr="00F05A8A" w:rsidRDefault="00D80461" w:rsidP="002F075E">
            <w:pPr>
              <w:pStyle w:val="Tabletext"/>
              <w:rPr>
                <w:b w:val="0"/>
                <w:sz w:val="20"/>
                <w:lang w:eastAsia="ja-JP"/>
              </w:rPr>
            </w:pPr>
            <w:r w:rsidRPr="00F05A8A">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71C2C6F" w14:textId="77777777" w:rsidR="00D80461" w:rsidRPr="00F05A8A" w:rsidRDefault="00D80461" w:rsidP="002F075E">
            <w:pPr>
              <w:pStyle w:val="Tabletext"/>
              <w:rPr>
                <w:b w:val="0"/>
                <w:sz w:val="20"/>
                <w:lang w:eastAsia="ja-JP"/>
              </w:rPr>
            </w:pPr>
            <w:r w:rsidRPr="00F05A8A">
              <w:rPr>
                <w:b w:val="0"/>
                <w:sz w:val="20"/>
                <w:lang w:eastAsia="ja-JP"/>
              </w:rPr>
              <w:t>Y.4208, Y.4209, Y.4210, Y.4211, Y.4459, Y.4461, Y.4462, Y.4463, Y.4464, Y.4465, Y.4466, Y.4467, Y.4468, Y.4469, Y.4470, Y.4472, Y.4473, Y.4474, Y.4475, Y.4558, Y.4559, Y.4560, Y.4561, Y.4807, Y.4808, Y.4907, Y.4908</w:t>
            </w:r>
          </w:p>
        </w:tc>
      </w:tr>
      <w:tr w:rsidR="00D80461" w:rsidRPr="00F05A8A" w14:paraId="16E4DD24" w14:textId="77777777" w:rsidTr="00142C01">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B474F5F" w14:textId="77777777" w:rsidR="00D80461" w:rsidRPr="00F05A8A" w:rsidRDefault="00D80461" w:rsidP="002F075E">
            <w:pPr>
              <w:pStyle w:val="Tabletext"/>
              <w:rPr>
                <w:b w:val="0"/>
                <w:sz w:val="20"/>
                <w:lang w:eastAsia="ja-JP"/>
              </w:rPr>
            </w:pPr>
            <w:r w:rsidRPr="00F05A8A">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9BCB126" w14:textId="77777777" w:rsidR="00D80461" w:rsidRPr="00F05A8A" w:rsidRDefault="00D80461" w:rsidP="002F075E">
            <w:pPr>
              <w:pStyle w:val="Tabletext"/>
              <w:rPr>
                <w:b w:val="0"/>
                <w:sz w:val="20"/>
                <w:lang w:eastAsia="ja-JP"/>
              </w:rPr>
            </w:pPr>
            <w:r w:rsidRPr="00F05A8A">
              <w:rPr>
                <w:b w:val="0"/>
                <w:sz w:val="20"/>
                <w:lang w:eastAsia="ja-JP"/>
              </w:rPr>
              <w:t>Y.4122, Y.4419, Y.4420, Y.4421, Y.4471, Y.4476, Y.4809</w:t>
            </w:r>
          </w:p>
        </w:tc>
      </w:tr>
      <w:tr w:rsidR="00D80461" w:rsidRPr="00F05A8A" w14:paraId="23C82AFE" w14:textId="77777777" w:rsidTr="00142C01">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65047BDA" w14:textId="77777777" w:rsidR="00D80461" w:rsidRPr="00F05A8A" w:rsidRDefault="00D80461" w:rsidP="002F075E">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81048DC" w14:textId="77777777" w:rsidR="00D80461" w:rsidRPr="00F05A8A" w:rsidRDefault="00ED2695" w:rsidP="002F075E">
            <w:pPr>
              <w:pStyle w:val="Tabletext"/>
              <w:rPr>
                <w:bCs w:val="0"/>
                <w:sz w:val="20"/>
                <w:lang w:eastAsia="ja-JP"/>
              </w:rPr>
            </w:pPr>
            <w:hyperlink r:id="rId54" w:history="1">
              <w:r w:rsidR="00D80461" w:rsidRPr="00F05A8A">
                <w:rPr>
                  <w:rStyle w:val="Hyperlink"/>
                  <w:bCs w:val="0"/>
                  <w:sz w:val="20"/>
                  <w:lang w:eastAsia="ja-JP"/>
                </w:rPr>
                <w:t>GCNT</w:t>
              </w:r>
            </w:hyperlink>
          </w:p>
        </w:tc>
      </w:tr>
      <w:tr w:rsidR="00D80461" w:rsidRPr="00F05A8A" w14:paraId="3AC849A0" w14:textId="77777777" w:rsidTr="00142C01">
        <w:trPr>
          <w:cnfStyle w:val="010000000000" w:firstRow="0" w:lastRow="1" w:firstColumn="0" w:lastColumn="0" w:oddVBand="0" w:evenVBand="0" w:oddHBand="0"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51260A8B" w14:textId="77777777" w:rsidR="00D80461" w:rsidRPr="00F05A8A" w:rsidRDefault="00D80461" w:rsidP="002F075E">
            <w:pPr>
              <w:pStyle w:val="Tabletext"/>
              <w:rPr>
                <w:b w:val="0"/>
                <w:sz w:val="20"/>
                <w:lang w:eastAsia="ja-JP"/>
              </w:rPr>
            </w:pPr>
            <w:r w:rsidRPr="00F05A8A">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B6F6025" w14:textId="77777777" w:rsidR="00D80461" w:rsidRPr="00F05A8A" w:rsidRDefault="00D80461" w:rsidP="002F075E">
            <w:pPr>
              <w:pStyle w:val="Tabletext"/>
              <w:rPr>
                <w:b w:val="0"/>
                <w:sz w:val="20"/>
                <w:lang w:eastAsia="ja-JP"/>
              </w:rPr>
            </w:pPr>
            <w:r w:rsidRPr="00F05A8A">
              <w:rPr>
                <w:b w:val="0"/>
                <w:sz w:val="20"/>
                <w:lang w:eastAsia="ja-JP"/>
              </w:rPr>
              <w:t>A.1, A.5, A.13, A.25</w:t>
            </w:r>
          </w:p>
        </w:tc>
      </w:tr>
    </w:tbl>
    <w:p w14:paraId="30BD6554" w14:textId="77777777" w:rsidR="00D80461" w:rsidRPr="00F05A8A" w:rsidRDefault="00D80461" w:rsidP="002F075E">
      <w:pPr>
        <w:spacing w:before="240"/>
      </w:pPr>
      <w:r w:rsidRPr="00F05A8A">
        <w:t xml:space="preserve">Le </w:t>
      </w:r>
      <w:hyperlink r:id="rId55" w:history="1">
        <w:r w:rsidRPr="00F05A8A">
          <w:rPr>
            <w:rStyle w:val="Hyperlink"/>
          </w:rPr>
          <w:t>Programme</w:t>
        </w:r>
      </w:hyperlink>
      <w:r w:rsidRPr="00F05A8A">
        <w:t xml:space="preserve"> pour la réduction de l'écart en matière de normalisation de l'UIT contribue à assurer le caractère inclusif de la plate-forme de normalisation de l'Union. La Journée mondiale des télécommunications et de la société de l'information s'est tenue en 2019 sur le thème "</w:t>
      </w:r>
      <w:hyperlink r:id="rId56" w:history="1">
        <w:r w:rsidRPr="00F05A8A">
          <w:rPr>
            <w:rStyle w:val="Hyperlink"/>
          </w:rPr>
          <w:t>Réduire l'écart en matière de normalisation</w:t>
        </w:r>
      </w:hyperlink>
      <w:r w:rsidRPr="00F05A8A">
        <w:t xml:space="preserve">". À ce propos, des informations détaillées sont données dans la </w:t>
      </w:r>
      <w:hyperlink w:anchor="_1.11_Manifestations_phares" w:history="1">
        <w:r w:rsidRPr="00F05A8A">
          <w:rPr>
            <w:rStyle w:val="Hyperlink"/>
          </w:rPr>
          <w:t>section 1.11</w:t>
        </w:r>
      </w:hyperlink>
      <w:r w:rsidRPr="00F05A8A">
        <w:t>.</w:t>
      </w:r>
    </w:p>
    <w:p w14:paraId="6CE51810" w14:textId="77777777" w:rsidR="00D80461" w:rsidRPr="00F05A8A" w:rsidRDefault="00D80461" w:rsidP="002F075E">
      <w:pPr>
        <w:spacing w:before="240"/>
      </w:pPr>
      <w:r w:rsidRPr="00F05A8A">
        <w:t>Des plates</w:t>
      </w:r>
      <w:r w:rsidRPr="00F05A8A">
        <w:noBreakHyphen/>
        <w:t xml:space="preserve">formes ouvertes – par exemple les groupes spécialisés de l'UIT-T et des initiatives de collaboration comme le Sommet mondial sur l'intelligence artificielle au service du bien social (voir la </w:t>
      </w:r>
      <w:hyperlink w:anchor="lt_pId949" w:history="1">
        <w:r w:rsidRPr="00F05A8A">
          <w:rPr>
            <w:rStyle w:val="Hyperlink"/>
          </w:rPr>
          <w:t>description</w:t>
        </w:r>
      </w:hyperlink>
      <w:r w:rsidRPr="00F05A8A">
        <w:t xml:space="preserve"> dans la </w:t>
      </w:r>
      <w:hyperlink w:anchor="_1.11_Manifestations_phares" w:history="1">
        <w:r w:rsidRPr="00F05A8A">
          <w:rPr>
            <w:rStyle w:val="Hyperlink"/>
          </w:rPr>
          <w:t>section 1.11</w:t>
        </w:r>
      </w:hyperlink>
      <w:r w:rsidRPr="00F05A8A">
        <w:t>), l'Initiative mondiale en faveur de l'inclusion financière (voir l'</w:t>
      </w:r>
      <w:hyperlink w:anchor="Rés204" w:history="1">
        <w:r w:rsidRPr="00F05A8A">
          <w:rPr>
            <w:rStyle w:val="Hyperlink"/>
          </w:rPr>
          <w:t>Annexe 1, Résolution 204 de la PP</w:t>
        </w:r>
      </w:hyperlink>
      <w:r w:rsidRPr="00F05A8A">
        <w:t>), l'Initiative mondiale sur la monnaie numérique (voir l'</w:t>
      </w:r>
      <w:hyperlink w:anchor="Rés204" w:history="1">
        <w:r w:rsidRPr="00F05A8A">
          <w:rPr>
            <w:rStyle w:val="Hyperlink"/>
          </w:rPr>
          <w:t>Annexe 1, Résolution 204 de la PP</w:t>
        </w:r>
      </w:hyperlink>
      <w:r w:rsidRPr="00F05A8A">
        <w:t>) ou l'Initiative "Tous unis pour des villes intelligentes et durables" (voir la </w:t>
      </w:r>
      <w:hyperlink w:anchor="Section_1_9" w:history="1">
        <w:r w:rsidRPr="00F05A8A">
          <w:rPr>
            <w:rStyle w:val="Hyperlink"/>
          </w:rPr>
          <w:t>section 1.9</w:t>
        </w:r>
      </w:hyperlink>
      <w:r w:rsidRPr="00F05A8A">
        <w:t>) – favorisent les nouveaux partenariats dans des domaines qui se font jour en matière d'innovation dans le secteur des TIC et aident à mieux comprendre les contributions attendues des travaux de normalisation de l'UIT.</w:t>
      </w:r>
    </w:p>
    <w:p w14:paraId="2BD901C5" w14:textId="77777777" w:rsidR="00D80461" w:rsidRPr="00F05A8A" w:rsidRDefault="00D80461" w:rsidP="002F075E">
      <w:pPr>
        <w:keepNext/>
        <w:keepLines/>
        <w:spacing w:after="120"/>
        <w:jc w:val="both"/>
        <w:rPr>
          <w:rFonts w:eastAsia="Calibri"/>
          <w:sz w:val="22"/>
          <w:u w:val="single"/>
        </w:rPr>
      </w:pPr>
      <w:r w:rsidRPr="00F05A8A">
        <w:rPr>
          <w:rFonts w:eastAsia="Calibri"/>
          <w:u w:val="single"/>
        </w:rPr>
        <w:t>Activités des groupes spécialisés de l'UIT-T de 2018 à 2021</w:t>
      </w:r>
    </w:p>
    <w:p w14:paraId="3F25A208" w14:textId="77777777" w:rsidR="00D80461" w:rsidRPr="00F05A8A" w:rsidRDefault="00D80461" w:rsidP="002F075E">
      <w:pPr>
        <w:keepNext/>
        <w:keepLines/>
        <w:spacing w:after="240"/>
        <w:rPr>
          <w:rFonts w:eastAsia="Calibri"/>
        </w:rPr>
      </w:pPr>
      <w:r w:rsidRPr="00F05A8A">
        <w:rPr>
          <w:rFonts w:eastAsia="Calibri"/>
        </w:rPr>
        <w:t xml:space="preserve">Le tableau suivant contient des informations sur les groupes spécialisés de l'UIT-T en activité de 2018 à 2021. Veuillez consulter la </w:t>
      </w:r>
      <w:hyperlink r:id="rId57" w:history="1">
        <w:r w:rsidRPr="00F05A8A">
          <w:rPr>
            <w:rStyle w:val="Hyperlink"/>
            <w:rFonts w:eastAsia="Calibri"/>
          </w:rPr>
          <w:t>page d'accueil des groupes spécialisés</w:t>
        </w:r>
      </w:hyperlink>
      <w:r w:rsidRPr="00F05A8A">
        <w:rPr>
          <w:rFonts w:eastAsia="Calibri"/>
        </w:rPr>
        <w:t xml:space="preserve"> pour obtenir plus d'informations et prendre connaissance des résultats.</w:t>
      </w:r>
    </w:p>
    <w:tbl>
      <w:tblPr>
        <w:tblStyle w:val="ListTable4-Accent1"/>
        <w:tblW w:w="0" w:type="auto"/>
        <w:tblLayout w:type="fixed"/>
        <w:tblLook w:val="01E0" w:firstRow="1" w:lastRow="1" w:firstColumn="1" w:lastColumn="1" w:noHBand="0" w:noVBand="0"/>
      </w:tblPr>
      <w:tblGrid>
        <w:gridCol w:w="7220"/>
        <w:gridCol w:w="1134"/>
        <w:gridCol w:w="1134"/>
      </w:tblGrid>
      <w:tr w:rsidR="00D80461" w:rsidRPr="00F05A8A" w14:paraId="40C8D5B8" w14:textId="77777777" w:rsidTr="00142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FFFFFF" w:themeFill="background1"/>
            <w:hideMark/>
          </w:tcPr>
          <w:p w14:paraId="21C5E0FA" w14:textId="77777777" w:rsidR="00D80461" w:rsidRPr="00F05A8A" w:rsidRDefault="00D80461" w:rsidP="002F075E">
            <w:pPr>
              <w:pStyle w:val="Tablehead"/>
              <w:jc w:val="left"/>
              <w:rPr>
                <w:rFonts w:eastAsia="Calibri"/>
                <w:color w:val="auto"/>
              </w:rPr>
            </w:pPr>
            <w:r w:rsidRPr="00F05A8A">
              <w:rPr>
                <w:rFonts w:eastAsia="Calibri"/>
                <w:color w:val="auto"/>
              </w:rPr>
              <w:t>Groupe spécialisé de l'UIT-T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3F54A904" w14:textId="77777777" w:rsidR="00D80461" w:rsidRPr="00F05A8A" w:rsidRDefault="00D80461" w:rsidP="002F075E">
            <w:pPr>
              <w:pStyle w:val="Tablehead"/>
              <w:rPr>
                <w:rFonts w:eastAsia="Calibri"/>
                <w:color w:val="auto"/>
                <w:lang w:eastAsia="ja-JP"/>
              </w:rPr>
            </w:pPr>
            <w:r w:rsidRPr="00F05A8A">
              <w:rPr>
                <w:rFonts w:eastAsia="Calibri"/>
                <w:color w:val="auto"/>
                <w:lang w:eastAsia="ja-JP"/>
              </w:rPr>
              <w:t>Date de début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hideMark/>
          </w:tcPr>
          <w:p w14:paraId="2DE4E242" w14:textId="77777777" w:rsidR="00D80461" w:rsidRPr="00F05A8A" w:rsidRDefault="00D80461" w:rsidP="002F075E">
            <w:pPr>
              <w:pStyle w:val="Tablehead"/>
              <w:rPr>
                <w:rFonts w:eastAsia="Calibri"/>
                <w:color w:val="auto"/>
                <w:lang w:eastAsia="ja-JP"/>
              </w:rPr>
            </w:pPr>
            <w:r w:rsidRPr="00F05A8A">
              <w:rPr>
                <w:rFonts w:eastAsia="Calibri"/>
                <w:color w:val="auto"/>
                <w:lang w:eastAsia="ja-JP"/>
              </w:rPr>
              <w:t>Date de fin</w:t>
            </w:r>
          </w:p>
        </w:tc>
      </w:tr>
      <w:tr w:rsidR="00D80461" w:rsidRPr="00F05A8A" w14:paraId="142CE8DE"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73BBC237" w14:textId="77777777" w:rsidR="00D80461" w:rsidRPr="00F05A8A" w:rsidRDefault="00ED2695" w:rsidP="002F075E">
            <w:pPr>
              <w:pStyle w:val="Tabletext"/>
              <w:rPr>
                <w:rFonts w:eastAsia="Calibri"/>
                <w:b w:val="0"/>
              </w:rPr>
            </w:pPr>
            <w:hyperlink r:id="rId58" w:history="1">
              <w:r w:rsidR="00D80461" w:rsidRPr="00F05A8A">
                <w:rPr>
                  <w:rStyle w:val="Hyperlink"/>
                  <w:b w:val="0"/>
                </w:rPr>
                <w:t>Groupe spécialisé sur le traitement et la gestion des données à l'appui de l'Internet des objets et des villes et communautés intelligentes (FG-DPM)</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0516B809" w14:textId="77777777" w:rsidR="00D80461" w:rsidRPr="00F05A8A" w:rsidRDefault="00D80461" w:rsidP="002F075E">
            <w:pPr>
              <w:pStyle w:val="Tabletext"/>
              <w:rPr>
                <w:rFonts w:eastAsia="Calibri"/>
                <w:bCs/>
                <w:lang w:eastAsia="ja-JP"/>
              </w:rPr>
            </w:pPr>
            <w:r w:rsidRPr="00F05A8A">
              <w:rPr>
                <w:rFonts w:eastAsia="Calibri"/>
                <w:bCs/>
                <w:lang w:eastAsia="ja-JP"/>
              </w:rPr>
              <w:t>03-2017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539EF514" w14:textId="77777777" w:rsidR="00D80461" w:rsidRPr="00F05A8A" w:rsidRDefault="00D80461" w:rsidP="002F075E">
            <w:pPr>
              <w:pStyle w:val="Tabletext"/>
              <w:rPr>
                <w:rFonts w:eastAsia="Calibri"/>
                <w:b w:val="0"/>
                <w:lang w:eastAsia="ja-JP"/>
              </w:rPr>
            </w:pPr>
            <w:r w:rsidRPr="00F05A8A">
              <w:rPr>
                <w:rFonts w:eastAsia="Calibri"/>
                <w:b w:val="0"/>
                <w:lang w:eastAsia="ja-JP"/>
              </w:rPr>
              <w:t>07-2019</w:t>
            </w:r>
          </w:p>
        </w:tc>
      </w:tr>
      <w:tr w:rsidR="00D80461" w:rsidRPr="00F05A8A" w14:paraId="1758F770" w14:textId="77777777" w:rsidTr="00142C01">
        <w:tc>
          <w:tcPr>
            <w:cnfStyle w:val="001000000000" w:firstRow="0" w:lastRow="0" w:firstColumn="1" w:lastColumn="0" w:oddVBand="0" w:evenVBand="0" w:oddHBand="0" w:evenHBand="0" w:firstRowFirstColumn="0" w:firstRowLastColumn="0" w:lastRowFirstColumn="0" w:lastRowLastColumn="0"/>
            <w:tcW w:w="7220" w:type="dxa"/>
            <w:shd w:val="clear" w:color="auto" w:fill="FFFFFF" w:themeFill="background1"/>
            <w:hideMark/>
          </w:tcPr>
          <w:p w14:paraId="19EE5602" w14:textId="77777777" w:rsidR="00D80461" w:rsidRPr="00F05A8A" w:rsidRDefault="00ED2695" w:rsidP="002F075E">
            <w:pPr>
              <w:pStyle w:val="Tabletext"/>
              <w:rPr>
                <w:rFonts w:eastAsia="Calibri"/>
                <w:b w:val="0"/>
              </w:rPr>
            </w:pPr>
            <w:hyperlink r:id="rId59" w:history="1">
              <w:r w:rsidR="00D80461" w:rsidRPr="00F05A8A">
                <w:rPr>
                  <w:rStyle w:val="Hyperlink"/>
                  <w:b w:val="0"/>
                </w:rPr>
                <w:t>Groupe spécialisé sur la monnaie numérique, y compris la monnaie fiduciaire numérique (FG</w:t>
              </w:r>
              <w:r w:rsidR="00D80461" w:rsidRPr="00F05A8A">
                <w:rPr>
                  <w:rStyle w:val="Hyperlink"/>
                  <w:b w:val="0"/>
                </w:rPr>
                <w:noBreakHyphen/>
                <w:t>DFC)</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67663788" w14:textId="77777777" w:rsidR="00D80461" w:rsidRPr="00F05A8A" w:rsidRDefault="00D80461" w:rsidP="002F075E">
            <w:pPr>
              <w:pStyle w:val="Tabletext"/>
              <w:rPr>
                <w:rFonts w:eastAsia="Calibri"/>
                <w:bCs/>
                <w:lang w:eastAsia="ja-JP"/>
              </w:rPr>
            </w:pPr>
            <w:r w:rsidRPr="00F05A8A">
              <w:rPr>
                <w:rFonts w:eastAsia="Calibri"/>
                <w:bCs/>
                <w:lang w:eastAsia="ja-JP"/>
              </w:rPr>
              <w:t>05-2017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hideMark/>
          </w:tcPr>
          <w:p w14:paraId="576D4E12" w14:textId="77777777" w:rsidR="00D80461" w:rsidRPr="00F05A8A" w:rsidRDefault="00D80461" w:rsidP="002F075E">
            <w:pPr>
              <w:pStyle w:val="Tabletext"/>
              <w:rPr>
                <w:rFonts w:eastAsia="Calibri"/>
                <w:b w:val="0"/>
                <w:lang w:eastAsia="ja-JP"/>
              </w:rPr>
            </w:pPr>
            <w:r w:rsidRPr="00F05A8A">
              <w:rPr>
                <w:rFonts w:eastAsia="Calibri"/>
                <w:b w:val="0"/>
                <w:lang w:eastAsia="ja-JP"/>
              </w:rPr>
              <w:t>06-2019</w:t>
            </w:r>
          </w:p>
        </w:tc>
      </w:tr>
      <w:tr w:rsidR="00D80461" w:rsidRPr="00F05A8A" w14:paraId="4E268D94"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4B193092" w14:textId="77777777" w:rsidR="00D80461" w:rsidRPr="00F05A8A" w:rsidRDefault="00ED2695" w:rsidP="002F075E">
            <w:pPr>
              <w:pStyle w:val="Tabletext"/>
              <w:rPr>
                <w:rFonts w:eastAsia="Calibri"/>
                <w:b w:val="0"/>
              </w:rPr>
            </w:pPr>
            <w:hyperlink r:id="rId60" w:history="1">
              <w:r w:rsidR="00D80461" w:rsidRPr="00F05A8A">
                <w:rPr>
                  <w:rStyle w:val="Hyperlink"/>
                  <w:b w:val="0"/>
                </w:rPr>
                <w:t>Groupe spécialisé sur l'application de la technologie des registres distribués (FG-DLT)</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20692350" w14:textId="77777777" w:rsidR="00D80461" w:rsidRPr="00F05A8A" w:rsidRDefault="00D80461" w:rsidP="002F075E">
            <w:pPr>
              <w:pStyle w:val="Tabletext"/>
              <w:rPr>
                <w:rFonts w:eastAsia="Calibri"/>
                <w:bCs/>
                <w:lang w:eastAsia="ja-JP"/>
              </w:rPr>
            </w:pPr>
            <w:r w:rsidRPr="00F05A8A">
              <w:rPr>
                <w:rFonts w:eastAsia="Calibri"/>
                <w:bCs/>
                <w:lang w:eastAsia="ja-JP"/>
              </w:rPr>
              <w:t>05-2017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7C7C7878" w14:textId="77777777" w:rsidR="00D80461" w:rsidRPr="00F05A8A" w:rsidRDefault="00D80461" w:rsidP="002F075E">
            <w:pPr>
              <w:pStyle w:val="Tabletext"/>
              <w:rPr>
                <w:rFonts w:eastAsia="Calibri"/>
                <w:b w:val="0"/>
                <w:lang w:eastAsia="ja-JP"/>
              </w:rPr>
            </w:pPr>
            <w:r w:rsidRPr="00F05A8A">
              <w:rPr>
                <w:rFonts w:eastAsia="Calibri"/>
                <w:b w:val="0"/>
                <w:lang w:eastAsia="ja-JP"/>
              </w:rPr>
              <w:t>08-2019</w:t>
            </w:r>
          </w:p>
        </w:tc>
      </w:tr>
      <w:tr w:rsidR="00D80461" w:rsidRPr="00F05A8A" w14:paraId="4CA4389E" w14:textId="77777777" w:rsidTr="00142C01">
        <w:tc>
          <w:tcPr>
            <w:cnfStyle w:val="001000000000" w:firstRow="0" w:lastRow="0" w:firstColumn="1" w:lastColumn="0" w:oddVBand="0" w:evenVBand="0" w:oddHBand="0" w:evenHBand="0" w:firstRowFirstColumn="0" w:firstRowLastColumn="0" w:lastRowFirstColumn="0" w:lastRowLastColumn="0"/>
            <w:tcW w:w="7220" w:type="dxa"/>
            <w:hideMark/>
          </w:tcPr>
          <w:p w14:paraId="38123584" w14:textId="77777777" w:rsidR="00D80461" w:rsidRPr="00F05A8A" w:rsidRDefault="00ED2695" w:rsidP="002F075E">
            <w:pPr>
              <w:pStyle w:val="Tabletext"/>
              <w:rPr>
                <w:rFonts w:eastAsia="Calibri"/>
                <w:b w:val="0"/>
              </w:rPr>
            </w:pPr>
            <w:hyperlink r:id="rId61" w:history="1">
              <w:r w:rsidR="00D80461" w:rsidRPr="00F05A8A">
                <w:rPr>
                  <w:rStyle w:val="Hyperlink"/>
                  <w:b w:val="0"/>
                </w:rPr>
                <w:t>Groupe spécialisé sur les technologies pour le réseau 2030 (FG-NET2030)</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2D9BDF1F" w14:textId="77777777" w:rsidR="00D80461" w:rsidRPr="00F05A8A" w:rsidRDefault="00D80461" w:rsidP="002F075E">
            <w:pPr>
              <w:pStyle w:val="Tabletext"/>
              <w:rPr>
                <w:rFonts w:eastAsia="Calibri"/>
                <w:bCs/>
                <w:lang w:eastAsia="ja-JP"/>
              </w:rPr>
            </w:pPr>
            <w:r w:rsidRPr="00F05A8A">
              <w:rPr>
                <w:rFonts w:eastAsia="Calibri"/>
                <w:bCs/>
                <w:lang w:eastAsia="ja-JP"/>
              </w:rPr>
              <w:t>07-2018</w:t>
            </w:r>
          </w:p>
        </w:tc>
        <w:tc>
          <w:tcPr>
            <w:cnfStyle w:val="000100000000" w:firstRow="0" w:lastRow="0" w:firstColumn="0" w:lastColumn="1" w:oddVBand="0" w:evenVBand="0" w:oddHBand="0" w:evenHBand="0" w:firstRowFirstColumn="0" w:firstRowLastColumn="0" w:lastRowFirstColumn="0" w:lastRowLastColumn="0"/>
            <w:tcW w:w="1134" w:type="dxa"/>
            <w:hideMark/>
          </w:tcPr>
          <w:p w14:paraId="4FCB7DC1" w14:textId="77777777" w:rsidR="00D80461" w:rsidRPr="00F05A8A" w:rsidRDefault="00D80461" w:rsidP="002F075E">
            <w:pPr>
              <w:pStyle w:val="Tabletext"/>
              <w:rPr>
                <w:rFonts w:eastAsia="Calibri"/>
                <w:b w:val="0"/>
                <w:lang w:eastAsia="ja-JP"/>
              </w:rPr>
            </w:pPr>
            <w:r w:rsidRPr="00F05A8A">
              <w:rPr>
                <w:rFonts w:eastAsia="Calibri"/>
                <w:b w:val="0"/>
                <w:lang w:eastAsia="ja-JP"/>
              </w:rPr>
              <w:t>07-2020</w:t>
            </w:r>
          </w:p>
        </w:tc>
      </w:tr>
      <w:tr w:rsidR="00D80461" w:rsidRPr="00F05A8A" w14:paraId="50CF5680"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FFFFFF" w:themeFill="background1"/>
            <w:hideMark/>
          </w:tcPr>
          <w:p w14:paraId="531CE7A1" w14:textId="77777777" w:rsidR="00D80461" w:rsidRPr="00F05A8A" w:rsidRDefault="00ED2695" w:rsidP="002F075E">
            <w:pPr>
              <w:pStyle w:val="Tabletext"/>
              <w:rPr>
                <w:rFonts w:eastAsia="Calibri"/>
                <w:b w:val="0"/>
              </w:rPr>
            </w:pPr>
            <w:hyperlink r:id="rId62" w:history="1">
              <w:r w:rsidR="00D80461" w:rsidRPr="00F05A8A">
                <w:rPr>
                  <w:rStyle w:val="Hyperlink"/>
                  <w:b w:val="0"/>
                </w:rPr>
                <w:t>Groupe spécialisé sur le multimédia dans les véhicules (FG-VM)</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16EEEA5A" w14:textId="77777777" w:rsidR="00D80461" w:rsidRPr="00F05A8A" w:rsidRDefault="00D80461" w:rsidP="002F075E">
            <w:pPr>
              <w:pStyle w:val="Tabletext"/>
              <w:rPr>
                <w:rFonts w:eastAsia="Calibri"/>
                <w:bCs/>
                <w:lang w:eastAsia="ja-JP"/>
              </w:rPr>
            </w:pPr>
            <w:r w:rsidRPr="00F05A8A">
              <w:rPr>
                <w:rFonts w:eastAsia="Calibri"/>
                <w:bCs/>
                <w:lang w:eastAsia="ja-JP"/>
              </w:rPr>
              <w:t>07-2018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hideMark/>
          </w:tcPr>
          <w:p w14:paraId="66A13085"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r w:rsidR="00D80461" w:rsidRPr="00F05A8A" w14:paraId="4E8DF7CC" w14:textId="77777777" w:rsidTr="00142C01">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3D3653D4" w14:textId="77777777" w:rsidR="00D80461" w:rsidRPr="00F05A8A" w:rsidRDefault="00ED2695" w:rsidP="002F075E">
            <w:pPr>
              <w:pStyle w:val="Tabletext"/>
              <w:rPr>
                <w:rFonts w:eastAsia="Calibri"/>
                <w:b w:val="0"/>
              </w:rPr>
            </w:pPr>
            <w:hyperlink r:id="rId63" w:history="1">
              <w:r w:rsidR="00D80461" w:rsidRPr="00F05A8A">
                <w:rPr>
                  <w:rStyle w:val="Hyperlink"/>
                  <w:b w:val="0"/>
                </w:rPr>
                <w:t>Groupe spécialisé sur l'intelligence artificielle au service de la santé (FG</w:t>
              </w:r>
              <w:r w:rsidR="00D80461" w:rsidRPr="00F05A8A">
                <w:rPr>
                  <w:rStyle w:val="Hyperlink"/>
                  <w:b w:val="0"/>
                </w:rPr>
                <w:noBreakHyphen/>
                <w:t>AI4H)</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683AB1FF" w14:textId="77777777" w:rsidR="00D80461" w:rsidRPr="00F05A8A" w:rsidRDefault="00D80461" w:rsidP="002F075E">
            <w:pPr>
              <w:pStyle w:val="Tabletext"/>
              <w:rPr>
                <w:rFonts w:eastAsia="Calibri"/>
                <w:bCs/>
                <w:lang w:eastAsia="ja-JP"/>
              </w:rPr>
            </w:pPr>
            <w:r w:rsidRPr="00F05A8A">
              <w:rPr>
                <w:rFonts w:eastAsia="Calibri"/>
                <w:bCs/>
                <w:lang w:eastAsia="ja-JP"/>
              </w:rPr>
              <w:t>07-2018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2ECB7681"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r w:rsidR="00D80461" w:rsidRPr="00F05A8A" w14:paraId="009E61B5"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tcPr>
          <w:p w14:paraId="37682B25" w14:textId="77777777" w:rsidR="00D80461" w:rsidRPr="00F05A8A" w:rsidRDefault="00ED2695" w:rsidP="002F075E">
            <w:pPr>
              <w:pStyle w:val="Tabletext"/>
              <w:rPr>
                <w:b w:val="0"/>
              </w:rPr>
            </w:pPr>
            <w:hyperlink r:id="rId64" w:history="1">
              <w:r w:rsidR="00D80461" w:rsidRPr="00F05A8A">
                <w:rPr>
                  <w:rStyle w:val="Hyperlink"/>
                  <w:b w:val="0"/>
                </w:rPr>
                <w:t>Groupe spécialisé sur l'apprentissage automatique pour les réseaux futurs, y compris les réseaux 5G (FG-ML5G)</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tcPr>
          <w:p w14:paraId="324C02B5" w14:textId="77777777" w:rsidR="00D80461" w:rsidRPr="00F05A8A" w:rsidRDefault="00D80461" w:rsidP="002F075E">
            <w:pPr>
              <w:pStyle w:val="Tabletext"/>
              <w:rPr>
                <w:rFonts w:eastAsia="Calibri"/>
                <w:bCs/>
                <w:lang w:eastAsia="ja-JP"/>
              </w:rPr>
            </w:pPr>
            <w:r w:rsidRPr="00F05A8A">
              <w:rPr>
                <w:rFonts w:eastAsia="Calibri"/>
                <w:bCs/>
                <w:lang w:eastAsia="ja-JP"/>
              </w:rPr>
              <w:t>11-2018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tcPr>
          <w:p w14:paraId="2910B28C" w14:textId="77777777" w:rsidR="00D80461" w:rsidRPr="00F05A8A" w:rsidRDefault="00D80461" w:rsidP="002F075E">
            <w:pPr>
              <w:pStyle w:val="Tabletext"/>
              <w:rPr>
                <w:rFonts w:eastAsia="Calibri"/>
                <w:b w:val="0"/>
                <w:lang w:eastAsia="ja-JP"/>
              </w:rPr>
            </w:pPr>
            <w:r w:rsidRPr="00F05A8A">
              <w:rPr>
                <w:rFonts w:eastAsia="Calibri"/>
                <w:b w:val="0"/>
                <w:lang w:eastAsia="ja-JP"/>
              </w:rPr>
              <w:t>07-2020</w:t>
            </w:r>
          </w:p>
        </w:tc>
      </w:tr>
      <w:bookmarkStart w:id="124" w:name="lt_pId151"/>
      <w:bookmarkStart w:id="125" w:name="_Toc23859148"/>
      <w:tr w:rsidR="00D80461" w:rsidRPr="00F05A8A" w14:paraId="5B25FC3F" w14:textId="77777777" w:rsidTr="00142C01">
        <w:tc>
          <w:tcPr>
            <w:cnfStyle w:val="001000000000" w:firstRow="0" w:lastRow="0" w:firstColumn="1" w:lastColumn="0" w:oddVBand="0" w:evenVBand="0" w:oddHBand="0" w:evenHBand="0" w:firstRowFirstColumn="0" w:firstRowLastColumn="0" w:lastRowFirstColumn="0" w:lastRowLastColumn="0"/>
            <w:tcW w:w="7220" w:type="dxa"/>
            <w:hideMark/>
          </w:tcPr>
          <w:p w14:paraId="5716FCBF" w14:textId="77777777" w:rsidR="00D80461" w:rsidRPr="00F05A8A" w:rsidRDefault="00D80461" w:rsidP="002F075E">
            <w:pPr>
              <w:pStyle w:val="Tabletext"/>
              <w:rPr>
                <w:rFonts w:eastAsia="Calibri"/>
                <w:b w:val="0"/>
              </w:rPr>
            </w:pPr>
            <w:r w:rsidRPr="00F05A8A">
              <w:fldChar w:fldCharType="begin"/>
            </w:r>
            <w:r w:rsidRPr="00F05A8A">
              <w:rPr>
                <w:b w:val="0"/>
              </w:rPr>
              <w:instrText xml:space="preserve"> HYPERLINK "https://www.itu.int/en/ITU-T/focusgroups/ai4ee/Pages/default.aspx" </w:instrText>
            </w:r>
            <w:r w:rsidRPr="00F05A8A">
              <w:fldChar w:fldCharType="separate"/>
            </w:r>
            <w:r w:rsidRPr="00F05A8A">
              <w:rPr>
                <w:rStyle w:val="Hyperlink"/>
                <w:b w:val="0"/>
              </w:rPr>
              <w:t>Groupe spécialisé sur l'efficacité environnementale de l'intelligence artificielle et d'autres technologies émergentes (FG-AI4EE)</w:t>
            </w:r>
            <w:bookmarkEnd w:id="124"/>
            <w:bookmarkEnd w:id="125"/>
            <w:r w:rsidRPr="00F05A8A">
              <w:fldChar w:fldCharType="end"/>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27EB1ABC" w14:textId="77777777" w:rsidR="00D80461" w:rsidRPr="00F05A8A" w:rsidRDefault="00D80461" w:rsidP="002F075E">
            <w:pPr>
              <w:pStyle w:val="Tabletext"/>
              <w:rPr>
                <w:rFonts w:eastAsia="Calibri"/>
                <w:bCs/>
                <w:lang w:eastAsia="ja-JP"/>
              </w:rPr>
            </w:pPr>
            <w:r w:rsidRPr="00F05A8A">
              <w:rPr>
                <w:rFonts w:eastAsia="Calibri"/>
                <w:bCs/>
                <w:lang w:eastAsia="ja-JP"/>
              </w:rPr>
              <w:t>05-2019</w:t>
            </w:r>
          </w:p>
        </w:tc>
        <w:tc>
          <w:tcPr>
            <w:cnfStyle w:val="000100000000" w:firstRow="0" w:lastRow="0" w:firstColumn="0" w:lastColumn="1" w:oddVBand="0" w:evenVBand="0" w:oddHBand="0" w:evenHBand="0" w:firstRowFirstColumn="0" w:firstRowLastColumn="0" w:lastRowFirstColumn="0" w:lastRowLastColumn="0"/>
            <w:tcW w:w="1134" w:type="dxa"/>
            <w:hideMark/>
          </w:tcPr>
          <w:p w14:paraId="016D5A18"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bookmarkStart w:id="126" w:name="lt_pId075"/>
      <w:tr w:rsidR="00D80461" w:rsidRPr="00F05A8A" w14:paraId="1E9E5D33"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5B4AD933" w14:textId="77777777" w:rsidR="00D80461" w:rsidRPr="00F05A8A" w:rsidRDefault="00D80461" w:rsidP="002F075E">
            <w:pPr>
              <w:pStyle w:val="Tabletext"/>
              <w:rPr>
                <w:rFonts w:eastAsia="Calibri"/>
                <w:b w:val="0"/>
              </w:rPr>
            </w:pPr>
            <w:r w:rsidRPr="00F05A8A">
              <w:fldChar w:fldCharType="begin"/>
            </w:r>
            <w:r w:rsidRPr="00F05A8A">
              <w:rPr>
                <w:b w:val="0"/>
              </w:rPr>
              <w:instrText xml:space="preserve"> HYPERLINK "https://www.itu.int/en/ITU-T/focusgroups/qit4n/Pages/default.aspx" </w:instrText>
            </w:r>
            <w:r w:rsidRPr="00F05A8A">
              <w:fldChar w:fldCharType="separate"/>
            </w:r>
            <w:r w:rsidRPr="00F05A8A">
              <w:rPr>
                <w:rStyle w:val="Hyperlink"/>
                <w:b w:val="0"/>
              </w:rPr>
              <w:t>Groupe spécialisé sur l'informatique quantique pour les réseaux (FG-QIT4N)</w:t>
            </w:r>
            <w:bookmarkEnd w:id="126"/>
            <w:r w:rsidRPr="00F05A8A">
              <w:fldChar w:fldCharType="end"/>
            </w:r>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617B5670" w14:textId="77777777" w:rsidR="00D80461" w:rsidRPr="00F05A8A" w:rsidRDefault="00D80461" w:rsidP="002F075E">
            <w:pPr>
              <w:pStyle w:val="Tabletext"/>
              <w:rPr>
                <w:rFonts w:eastAsia="Calibri"/>
                <w:bCs/>
                <w:lang w:eastAsia="ja-JP"/>
              </w:rPr>
            </w:pPr>
            <w:r w:rsidRPr="00F05A8A">
              <w:rPr>
                <w:rFonts w:eastAsia="Calibri"/>
                <w:bCs/>
                <w:lang w:eastAsia="ja-JP"/>
              </w:rPr>
              <w:t>09-2019</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53AFE984" w14:textId="77777777" w:rsidR="00D80461" w:rsidRPr="00F05A8A" w:rsidRDefault="00D80461" w:rsidP="002F075E">
            <w:pPr>
              <w:pStyle w:val="Tabletext"/>
              <w:rPr>
                <w:rFonts w:eastAsia="Calibri"/>
                <w:b w:val="0"/>
                <w:lang w:eastAsia="ja-JP"/>
              </w:rPr>
            </w:pPr>
            <w:r w:rsidRPr="00F05A8A">
              <w:rPr>
                <w:rFonts w:eastAsia="Calibri"/>
                <w:b w:val="0"/>
                <w:lang w:eastAsia="ja-JP"/>
              </w:rPr>
              <w:t>11-2021</w:t>
            </w:r>
          </w:p>
        </w:tc>
      </w:tr>
      <w:tr w:rsidR="00D80461" w:rsidRPr="00F05A8A" w14:paraId="52C352C2" w14:textId="77777777" w:rsidTr="00142C01">
        <w:tc>
          <w:tcPr>
            <w:cnfStyle w:val="001000000000" w:firstRow="0" w:lastRow="0" w:firstColumn="1" w:lastColumn="0" w:oddVBand="0" w:evenVBand="0" w:oddHBand="0" w:evenHBand="0" w:firstRowFirstColumn="0" w:firstRowLastColumn="0" w:lastRowFirstColumn="0" w:lastRowLastColumn="0"/>
            <w:tcW w:w="7220" w:type="dxa"/>
            <w:hideMark/>
          </w:tcPr>
          <w:p w14:paraId="3C6A24C0" w14:textId="77777777" w:rsidR="00D80461" w:rsidRPr="00F05A8A" w:rsidRDefault="00ED2695" w:rsidP="002F075E">
            <w:pPr>
              <w:pStyle w:val="Tabletext"/>
              <w:rPr>
                <w:rFonts w:eastAsia="Calibri"/>
                <w:b w:val="0"/>
              </w:rPr>
            </w:pPr>
            <w:hyperlink r:id="rId65" w:tgtFrame="_blank" w:history="1">
              <w:r w:rsidR="00D80461" w:rsidRPr="00F05A8A">
                <w:rPr>
                  <w:rStyle w:val="Hyperlink"/>
                  <w:b w:val="0"/>
                </w:rPr>
                <w:t>Groupe spécialisé sur l'intelligence artificielle au service de la conduite autonome et de la conduite assistée (FG-AI4AD)</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4F10AE91" w14:textId="77777777" w:rsidR="00D80461" w:rsidRPr="00F05A8A" w:rsidRDefault="00D80461" w:rsidP="002F075E">
            <w:pPr>
              <w:pStyle w:val="Tabletext"/>
              <w:rPr>
                <w:rFonts w:eastAsia="Calibri"/>
                <w:bCs/>
                <w:lang w:eastAsia="ja-JP"/>
              </w:rPr>
            </w:pPr>
            <w:r w:rsidRPr="00F05A8A">
              <w:rPr>
                <w:rFonts w:eastAsia="Calibri"/>
                <w:bCs/>
                <w:lang w:eastAsia="ja-JP"/>
              </w:rPr>
              <w:t>10-2019</w:t>
            </w:r>
          </w:p>
        </w:tc>
        <w:tc>
          <w:tcPr>
            <w:cnfStyle w:val="000100000000" w:firstRow="0" w:lastRow="0" w:firstColumn="0" w:lastColumn="1" w:oddVBand="0" w:evenVBand="0" w:oddHBand="0" w:evenHBand="0" w:firstRowFirstColumn="0" w:firstRowLastColumn="0" w:lastRowFirstColumn="0" w:lastRowLastColumn="0"/>
            <w:tcW w:w="1134" w:type="dxa"/>
            <w:hideMark/>
          </w:tcPr>
          <w:p w14:paraId="4E05E231"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r w:rsidR="00D80461" w:rsidRPr="00F05A8A" w14:paraId="6163F7A4"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2A4AB7F7" w14:textId="77777777" w:rsidR="00D80461" w:rsidRPr="00F05A8A" w:rsidRDefault="00ED2695" w:rsidP="002F075E">
            <w:pPr>
              <w:pStyle w:val="Tabletext"/>
              <w:rPr>
                <w:rFonts w:eastAsia="Calibri"/>
                <w:b w:val="0"/>
              </w:rPr>
            </w:pPr>
            <w:hyperlink r:id="rId66" w:history="1">
              <w:r w:rsidR="00D80461" w:rsidRPr="00F05A8A">
                <w:rPr>
                  <w:rStyle w:val="Hyperlink"/>
                  <w:b w:val="0"/>
                </w:rPr>
                <w:t>Groupe spécialisé sur les réseaux autonomes (FG-AN)</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0F805041" w14:textId="77777777" w:rsidR="00D80461" w:rsidRPr="00F05A8A" w:rsidRDefault="00D80461" w:rsidP="002F075E">
            <w:pPr>
              <w:pStyle w:val="Tabletext"/>
              <w:rPr>
                <w:rFonts w:eastAsia="Calibri"/>
                <w:bCs/>
                <w:lang w:eastAsia="ja-JP"/>
              </w:rPr>
            </w:pPr>
            <w:r w:rsidRPr="00F05A8A">
              <w:rPr>
                <w:rFonts w:eastAsia="Calibri"/>
                <w:bCs/>
                <w:lang w:eastAsia="ja-JP"/>
              </w:rPr>
              <w:t>12-2020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48939911"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r w:rsidR="00D80461" w:rsidRPr="00F05A8A" w14:paraId="752CFD5B" w14:textId="77777777" w:rsidTr="00142C01">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53203FF2" w14:textId="77777777" w:rsidR="00D80461" w:rsidRPr="00F05A8A" w:rsidRDefault="00ED2695" w:rsidP="002F075E">
            <w:pPr>
              <w:pStyle w:val="Tabletext"/>
              <w:rPr>
                <w:rFonts w:eastAsia="Calibri"/>
                <w:b w:val="0"/>
              </w:rPr>
            </w:pPr>
            <w:hyperlink r:id="rId67" w:history="1">
              <w:r w:rsidR="00D80461" w:rsidRPr="00F05A8A">
                <w:rPr>
                  <w:rStyle w:val="Hyperlink"/>
                  <w:b w:val="0"/>
                </w:rPr>
                <w:t>Groupe spécialisé sur l'intelligence artificielle au service de la gestion des catastrophes naturelles (FG-AI4NDM)</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1741F9F0" w14:textId="77777777" w:rsidR="00D80461" w:rsidRPr="00F05A8A" w:rsidRDefault="00D80461" w:rsidP="002F075E">
            <w:pPr>
              <w:pStyle w:val="Tabletext"/>
              <w:rPr>
                <w:rFonts w:eastAsia="Calibri"/>
                <w:bCs/>
                <w:lang w:eastAsia="ja-JP"/>
              </w:rPr>
            </w:pPr>
            <w:r w:rsidRPr="00F05A8A">
              <w:rPr>
                <w:rFonts w:eastAsia="Calibri"/>
                <w:bCs/>
                <w:lang w:eastAsia="ja-JP"/>
              </w:rPr>
              <w:t>12-2020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591E298D"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r w:rsidR="00D80461" w:rsidRPr="00F05A8A" w14:paraId="700D06ED"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5A0084EB" w14:textId="77777777" w:rsidR="00D80461" w:rsidRPr="00F05A8A" w:rsidRDefault="00ED2695" w:rsidP="002F075E">
            <w:pPr>
              <w:pStyle w:val="Tabletext"/>
              <w:rPr>
                <w:rFonts w:eastAsia="Calibri"/>
                <w:b w:val="0"/>
              </w:rPr>
            </w:pPr>
            <w:hyperlink r:id="rId68" w:history="1">
              <w:r w:rsidR="00D80461" w:rsidRPr="00F05A8A">
                <w:rPr>
                  <w:rStyle w:val="Hyperlink"/>
                  <w:b w:val="0"/>
                </w:rPr>
                <w:t>Groupe spécialisé sur l'intelligence artificielle et l'Internet des objets au service de l'agriculture numérique (FG-AI4A)</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60F804C2" w14:textId="77777777" w:rsidR="00D80461" w:rsidRPr="00F05A8A" w:rsidRDefault="00D80461" w:rsidP="002F075E">
            <w:pPr>
              <w:pStyle w:val="Tabletext"/>
              <w:rPr>
                <w:rFonts w:eastAsia="Calibri"/>
                <w:bCs/>
                <w:lang w:eastAsia="ja-JP"/>
              </w:rPr>
            </w:pPr>
            <w:r w:rsidRPr="00F05A8A">
              <w:rPr>
                <w:rFonts w:eastAsia="Calibri"/>
                <w:bCs/>
                <w:lang w:eastAsia="ja-JP"/>
              </w:rPr>
              <w:t>10-2021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25DB7B11"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r w:rsidR="00D80461" w:rsidRPr="00F05A8A" w14:paraId="5F65BD5F" w14:textId="77777777" w:rsidTr="00142C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tcPr>
          <w:p w14:paraId="3ECFA470" w14:textId="77777777" w:rsidR="00D80461" w:rsidRPr="00F05A8A" w:rsidRDefault="00ED2695" w:rsidP="002F075E">
            <w:pPr>
              <w:pStyle w:val="Tabletext"/>
              <w:rPr>
                <w:b w:val="0"/>
              </w:rPr>
            </w:pPr>
            <w:hyperlink r:id="rId69" w:history="1">
              <w:r w:rsidR="00D80461" w:rsidRPr="00F05A8A">
                <w:rPr>
                  <w:rStyle w:val="Hyperlink"/>
                  <w:b w:val="0"/>
                </w:rPr>
                <w:t>Groupe spécialisé sur les fédérations de bancs d'essai pour les IMT</w:t>
              </w:r>
              <w:r w:rsidR="00D80461" w:rsidRPr="00F05A8A">
                <w:rPr>
                  <w:rStyle w:val="Hyperlink"/>
                  <w:b w:val="0"/>
                </w:rPr>
                <w:noBreakHyphen/>
                <w:t>2020 et les systèmes ultérieurs (FG-TBFxG)</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tcPr>
          <w:p w14:paraId="3EE43DB8" w14:textId="77777777" w:rsidR="00D80461" w:rsidRPr="00F05A8A" w:rsidRDefault="00D80461" w:rsidP="002F075E">
            <w:pPr>
              <w:pStyle w:val="Tabletext"/>
              <w:rPr>
                <w:rFonts w:eastAsia="Calibri"/>
                <w:b w:val="0"/>
                <w:lang w:eastAsia="ja-JP"/>
              </w:rPr>
            </w:pPr>
            <w:r w:rsidRPr="00F05A8A">
              <w:rPr>
                <w:rFonts w:eastAsia="Calibri"/>
                <w:b w:val="0"/>
                <w:lang w:eastAsia="ja-JP"/>
              </w:rPr>
              <w:t>12-2021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tcPr>
          <w:p w14:paraId="55209E4C" w14:textId="77777777" w:rsidR="00D80461" w:rsidRPr="00F05A8A" w:rsidRDefault="00D80461" w:rsidP="002F075E">
            <w:pPr>
              <w:pStyle w:val="Tabletext"/>
              <w:rPr>
                <w:rFonts w:eastAsia="Calibri"/>
                <w:b w:val="0"/>
                <w:lang w:eastAsia="ja-JP"/>
              </w:rPr>
            </w:pPr>
            <w:r w:rsidRPr="00F05A8A">
              <w:rPr>
                <w:rFonts w:eastAsia="Calibri"/>
                <w:b w:val="0"/>
                <w:lang w:eastAsia="ja-JP"/>
              </w:rPr>
              <w:t>En cours</w:t>
            </w:r>
          </w:p>
        </w:tc>
      </w:tr>
    </w:tbl>
    <w:p w14:paraId="5D1ED7B3" w14:textId="77777777" w:rsidR="00D80461" w:rsidRPr="00F05A8A" w:rsidRDefault="00D80461" w:rsidP="002F075E">
      <w:pPr>
        <w:pStyle w:val="Headingb"/>
      </w:pPr>
      <w:bookmarkStart w:id="127" w:name="_Toc41032054"/>
      <w:bookmarkStart w:id="128" w:name="_Toc72845029"/>
      <w:bookmarkStart w:id="129" w:name="_Toc72846376"/>
      <w:bookmarkStart w:id="130" w:name="_Toc72846603"/>
      <w:bookmarkStart w:id="131" w:name="_Toc95387471"/>
      <w:r w:rsidRPr="00F05A8A">
        <w:t>Recommandations UIT-R</w:t>
      </w:r>
      <w:bookmarkEnd w:id="127"/>
      <w:bookmarkEnd w:id="128"/>
      <w:bookmarkEnd w:id="129"/>
      <w:bookmarkEnd w:id="130"/>
      <w:bookmarkEnd w:id="131"/>
    </w:p>
    <w:p w14:paraId="0345E757" w14:textId="77777777" w:rsidR="00D80461" w:rsidRPr="00F05A8A" w:rsidRDefault="00D80461" w:rsidP="002F075E">
      <w:r w:rsidRPr="00F05A8A">
        <w:rPr>
          <w:color w:val="000000"/>
        </w:rPr>
        <w:t>Le Secteur des radiocommunications de l'UIT (UIT-R) joue un rôle essentiel dans la gestion à l'échelle mondiale du spectre des fréquences radioélectriques et des orbites de satellites, ressources naturelles limitées de plus en plus sollicitées par des services tels que les services fixe, mobile, de radiodiffusion, d'amateur, de recherche spatiale, les télécommunications d'urgence, la météorologie, les systèmes mondiaux de localisation, les systèmes de surveillance de l'environnement et les services de communication.</w:t>
      </w:r>
    </w:p>
    <w:p w14:paraId="2BC8AB01" w14:textId="77777777" w:rsidR="00D80461" w:rsidRPr="00F05A8A" w:rsidRDefault="00D80461" w:rsidP="002F075E">
      <w:pPr>
        <w:spacing w:after="240"/>
      </w:pPr>
      <w:bookmarkStart w:id="132" w:name="lt_pId376"/>
      <w:r w:rsidRPr="00F05A8A">
        <w:t xml:space="preserve">Les principales activités relatives à la réglementation et à la gestion du spectre et des orbites sont exposées tout au long du présent document de la manière suivante: la </w:t>
      </w:r>
      <w:bookmarkStart w:id="133" w:name="lt_pId377"/>
      <w:bookmarkEnd w:id="132"/>
      <w:r w:rsidRPr="00F05A8A">
        <w:fldChar w:fldCharType="begin"/>
      </w:r>
      <w:r w:rsidRPr="00F05A8A">
        <w:instrText xml:space="preserve"> HYPERLINK  \l "_1.1_CMR-19_et" </w:instrText>
      </w:r>
      <w:r w:rsidRPr="00F05A8A">
        <w:fldChar w:fldCharType="separate"/>
      </w:r>
      <w:r w:rsidRPr="00F05A8A">
        <w:rPr>
          <w:rStyle w:val="Hyperlink"/>
        </w:rPr>
        <w:t>section 1.1</w:t>
      </w:r>
      <w:r w:rsidRPr="00F05A8A">
        <w:fldChar w:fldCharType="end"/>
      </w:r>
      <w:r w:rsidRPr="00F05A8A">
        <w:t xml:space="preserve"> ci</w:t>
      </w:r>
      <w:r w:rsidRPr="00F05A8A">
        <w:noBreakHyphen/>
        <w:t xml:space="preserve">dessus passe en revue les principaux résultats de la CMR-19 et de l'AR-19. La présente section regroupe les résultats du traitement des </w:t>
      </w:r>
      <w:r w:rsidRPr="00F05A8A">
        <w:rPr>
          <w:color w:val="000000"/>
        </w:rPr>
        <w:t xml:space="preserve">fiches de notification de systèmes de Terre et de systèmes à satellites, les travaux relatifs à l'élaboration de logiciels ainsi que les activités de renforcement des capacités visant à fournir un appui aux pays en développement. D'autres activités de renforcement des capacités sont exposées dans la </w:t>
      </w:r>
      <w:hyperlink w:anchor="_1.10_Séminaires_et" w:history="1">
        <w:r w:rsidRPr="00F05A8A">
          <w:rPr>
            <w:rStyle w:val="Hyperlink"/>
          </w:rPr>
          <w:t>section 1.10</w:t>
        </w:r>
        <w:bookmarkStart w:id="134" w:name="lt_pId380"/>
        <w:bookmarkEnd w:id="133"/>
      </w:hyperlink>
      <w:r w:rsidRPr="00F05A8A">
        <w:rPr>
          <w:color w:val="000000"/>
        </w:rPr>
        <w:t>.</w:t>
      </w:r>
      <w:r w:rsidRPr="00F05A8A">
        <w:t xml:space="preserve"> Les résultats des travaux de normalisation menés au sein des Commissions d'études de l'UIT-R ainsi que les Recommandations UIT-R approuvées pendant la période considérée sont énumérés dans la </w:t>
      </w:r>
      <w:hyperlink w:anchor="Section_1_3" w:history="1">
        <w:r w:rsidRPr="00F05A8A">
          <w:rPr>
            <w:rStyle w:val="Hyperlink"/>
          </w:rPr>
          <w:t>section 1.3</w:t>
        </w:r>
      </w:hyperlink>
      <w:r w:rsidRPr="00F05A8A">
        <w:t>.</w:t>
      </w:r>
      <w:bookmarkEnd w:id="134"/>
      <w:r w:rsidRPr="00F05A8A">
        <w:t xml:space="preserve"> </w:t>
      </w:r>
      <w:bookmarkStart w:id="135" w:name="lt_pId381"/>
      <w:r w:rsidRPr="00F05A8A">
        <w:t xml:space="preserve">La </w:t>
      </w:r>
      <w:hyperlink w:anchor="_1.4_Technologies_émergentes" w:history="1">
        <w:r w:rsidRPr="00F05A8A">
          <w:rPr>
            <w:rStyle w:val="Hyperlink"/>
          </w:rPr>
          <w:t>section 1.4</w:t>
        </w:r>
      </w:hyperlink>
      <w:r w:rsidRPr="00F05A8A">
        <w:t xml:space="preserve"> décrit des activités menées dans le domaine de l'intelligence artificielle en lien avec les radiocommunications. La </w:t>
      </w:r>
      <w:hyperlink w:anchor="_1.9_Partenariats_stratégiques" w:history="1">
        <w:r w:rsidRPr="00F05A8A">
          <w:rPr>
            <w:rStyle w:val="Hyperlink"/>
          </w:rPr>
          <w:t>section 1.9</w:t>
        </w:r>
      </w:hyperlink>
      <w:r w:rsidRPr="00F05A8A">
        <w:t xml:space="preserve"> contient une liste de certaines des organisations partenaires de l'UIT-R. Enfin, la </w:t>
      </w:r>
      <w:hyperlink w:anchor="_2.1_UIT-R" w:history="1">
        <w:r w:rsidRPr="00F05A8A">
          <w:rPr>
            <w:rStyle w:val="Hyperlink"/>
          </w:rPr>
          <w:t>section 2.1</w:t>
        </w:r>
      </w:hyperlink>
      <w:r w:rsidRPr="00F05A8A">
        <w:t xml:space="preserve"> énumère les résultats obtenus par le Comité du Règlement des radiocommunications et les activités d'assistance technique fournies par le BR.</w:t>
      </w:r>
      <w:bookmarkEnd w:id="135"/>
    </w:p>
    <w:p w14:paraId="44585E52" w14:textId="0D274E34" w:rsidR="00CF5980" w:rsidRPr="00F05A8A" w:rsidRDefault="00D80461" w:rsidP="002F075E">
      <w:pPr>
        <w:spacing w:after="240"/>
        <w:rPr>
          <w:rFonts w:eastAsia="Calibri"/>
        </w:rPr>
      </w:pPr>
      <w:r w:rsidRPr="00F05A8A">
        <w:rPr>
          <w:rFonts w:eastAsia="Calibri"/>
        </w:rPr>
        <w:t>Le tableau suivant contient des informations sur les Recommandations UIT-R approuvées du 1er janvier 2018 au 1er novembre 2021.</w:t>
      </w:r>
    </w:p>
    <w:tbl>
      <w:tblPr>
        <w:tblStyle w:val="GridTable4-Accent1"/>
        <w:tblW w:w="9639" w:type="dxa"/>
        <w:tblLayout w:type="fixed"/>
        <w:tblLook w:val="01E0" w:firstRow="1" w:lastRow="1" w:firstColumn="1" w:lastColumn="1" w:noHBand="0" w:noVBand="0"/>
      </w:tblPr>
      <w:tblGrid>
        <w:gridCol w:w="4820"/>
        <w:gridCol w:w="4819"/>
      </w:tblGrid>
      <w:tr w:rsidR="00D80461" w:rsidRPr="00F05A8A" w14:paraId="60D7C6D1" w14:textId="77777777" w:rsidTr="00142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77DD3F19" w14:textId="77777777" w:rsidR="00D80461" w:rsidRPr="00F05A8A" w:rsidRDefault="00D80461" w:rsidP="002F075E">
            <w:pPr>
              <w:pStyle w:val="Tablehead"/>
              <w:keepNext/>
              <w:keepLines/>
              <w:jc w:val="left"/>
              <w:rPr>
                <w:szCs w:val="22"/>
              </w:rPr>
            </w:pPr>
            <w:bookmarkStart w:id="136" w:name="lt_pId382"/>
            <w:r w:rsidRPr="00F05A8A">
              <w:rPr>
                <w:szCs w:val="22"/>
              </w:rPr>
              <w:lastRenderedPageBreak/>
              <w:t>Groupes de travail (GT)</w:t>
            </w:r>
            <w:bookmarkEnd w:id="136"/>
          </w:p>
        </w:tc>
        <w:tc>
          <w:tcPr>
            <w:cnfStyle w:val="000100000000" w:firstRow="0" w:lastRow="0" w:firstColumn="0" w:lastColumn="1" w:oddVBand="0" w:evenVBand="0" w:oddHBand="0" w:evenHBand="0" w:firstRowFirstColumn="0" w:firstRowLastColumn="0" w:lastRowFirstColumn="0" w:lastRowLastColumn="0"/>
            <w:tcW w:w="4819" w:type="dxa"/>
            <w:hideMark/>
          </w:tcPr>
          <w:p w14:paraId="7DCA9C36" w14:textId="77777777" w:rsidR="00D80461" w:rsidRPr="00F05A8A" w:rsidRDefault="00D80461" w:rsidP="002F075E">
            <w:pPr>
              <w:pStyle w:val="Tablehead"/>
              <w:keepNext/>
              <w:keepLines/>
              <w:jc w:val="left"/>
              <w:rPr>
                <w:szCs w:val="22"/>
                <w:lang w:eastAsia="ja-JP"/>
              </w:rPr>
            </w:pPr>
            <w:bookmarkStart w:id="137" w:name="lt_pId383"/>
            <w:r w:rsidRPr="00F05A8A">
              <w:rPr>
                <w:szCs w:val="22"/>
                <w:lang w:eastAsia="ja-JP"/>
              </w:rPr>
              <w:t>Recommandations nouvelles</w:t>
            </w:r>
            <w:r w:rsidRPr="00F05A8A">
              <w:rPr>
                <w:szCs w:val="22"/>
                <w:lang w:eastAsia="ja-JP"/>
              </w:rPr>
              <w:br/>
              <w:t>ou révisées de l'UIT</w:t>
            </w:r>
            <w:r w:rsidRPr="00F05A8A">
              <w:rPr>
                <w:szCs w:val="22"/>
                <w:lang w:eastAsia="ja-JP"/>
              </w:rPr>
              <w:noBreakHyphen/>
              <w:t>R</w:t>
            </w:r>
            <w:bookmarkEnd w:id="137"/>
          </w:p>
        </w:tc>
      </w:tr>
      <w:tr w:rsidR="00D80461" w:rsidRPr="00F05A8A" w14:paraId="7BA910B3"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0F31BDD" w14:textId="77777777" w:rsidR="00D80461" w:rsidRPr="00F05A8A" w:rsidRDefault="00D80461" w:rsidP="002F075E">
            <w:pPr>
              <w:pStyle w:val="Tabletext"/>
              <w:keepNext/>
              <w:keepLines/>
              <w:rPr>
                <w:b w:val="0"/>
                <w:bCs w:val="0"/>
                <w:szCs w:val="22"/>
              </w:rPr>
            </w:pPr>
            <w:bookmarkStart w:id="138" w:name="lt_pId384"/>
            <w:r w:rsidRPr="00F05A8A">
              <w:rPr>
                <w:b w:val="0"/>
                <w:bCs w:val="0"/>
                <w:szCs w:val="22"/>
              </w:rPr>
              <w:t>GT 1A – Techniques d'ingénierie du spectre</w:t>
            </w:r>
            <w:bookmarkEnd w:id="138"/>
          </w:p>
        </w:tc>
        <w:tc>
          <w:tcPr>
            <w:cnfStyle w:val="000100000000" w:firstRow="0" w:lastRow="0" w:firstColumn="0" w:lastColumn="1" w:oddVBand="0" w:evenVBand="0" w:oddHBand="0" w:evenHBand="0" w:firstRowFirstColumn="0" w:firstRowLastColumn="0" w:lastRowFirstColumn="0" w:lastRowLastColumn="0"/>
            <w:tcW w:w="4819" w:type="dxa"/>
            <w:hideMark/>
          </w:tcPr>
          <w:p w14:paraId="1980C242" w14:textId="77777777" w:rsidR="00D80461" w:rsidRPr="00F05A8A" w:rsidRDefault="00D80461" w:rsidP="002F075E">
            <w:pPr>
              <w:pStyle w:val="Tabletext"/>
              <w:keepNext/>
              <w:keepLines/>
              <w:rPr>
                <w:b w:val="0"/>
                <w:bCs w:val="0"/>
                <w:szCs w:val="22"/>
              </w:rPr>
            </w:pPr>
            <w:bookmarkStart w:id="139" w:name="lt_pId385"/>
            <w:r w:rsidRPr="00F05A8A">
              <w:rPr>
                <w:b w:val="0"/>
                <w:bCs w:val="0"/>
                <w:szCs w:val="22"/>
              </w:rPr>
              <w:t>SM.1138-3, SM.1448-1, SM.2110-1, SM.2129-0</w:t>
            </w:r>
            <w:bookmarkEnd w:id="139"/>
          </w:p>
        </w:tc>
      </w:tr>
      <w:tr w:rsidR="00D80461" w:rsidRPr="00F05A8A" w14:paraId="07BE10D8" w14:textId="77777777" w:rsidTr="00142C01">
        <w:tc>
          <w:tcPr>
            <w:cnfStyle w:val="001000000000" w:firstRow="0" w:lastRow="0" w:firstColumn="1" w:lastColumn="0" w:oddVBand="0" w:evenVBand="0" w:oddHBand="0" w:evenHBand="0" w:firstRowFirstColumn="0" w:firstRowLastColumn="0" w:lastRowFirstColumn="0" w:lastRowLastColumn="0"/>
            <w:tcW w:w="4820" w:type="dxa"/>
          </w:tcPr>
          <w:p w14:paraId="1FF2A21C" w14:textId="77777777" w:rsidR="00D80461" w:rsidRPr="00F05A8A" w:rsidRDefault="00D80461" w:rsidP="002F075E">
            <w:pPr>
              <w:pStyle w:val="Tabletext"/>
              <w:rPr>
                <w:b w:val="0"/>
                <w:bCs w:val="0"/>
                <w:szCs w:val="22"/>
              </w:rPr>
            </w:pPr>
            <w:r w:rsidRPr="00F05A8A">
              <w:rPr>
                <w:b w:val="0"/>
                <w:bCs w:val="0"/>
                <w:szCs w:val="22"/>
              </w:rPr>
              <w:t xml:space="preserve">GT 1B – </w:t>
            </w:r>
            <w:r w:rsidRPr="00F05A8A">
              <w:rPr>
                <w:b w:val="0"/>
                <w:bCs w:val="0"/>
                <w:color w:val="000000"/>
                <w:szCs w:val="22"/>
                <w:lang w:eastAsia="en-GB"/>
              </w:rPr>
              <w:t>Méthodologies de gestion du spectre et stratégies économiques GT 1C – Contrôle du spectre</w:t>
            </w:r>
          </w:p>
        </w:tc>
        <w:tc>
          <w:tcPr>
            <w:cnfStyle w:val="000100000000" w:firstRow="0" w:lastRow="0" w:firstColumn="0" w:lastColumn="1" w:oddVBand="0" w:evenVBand="0" w:oddHBand="0" w:evenHBand="0" w:firstRowFirstColumn="0" w:firstRowLastColumn="0" w:lastRowFirstColumn="0" w:lastRowLastColumn="0"/>
            <w:tcW w:w="4819" w:type="dxa"/>
          </w:tcPr>
          <w:p w14:paraId="3A41C20C" w14:textId="77777777" w:rsidR="00D80461" w:rsidRPr="00F05A8A" w:rsidRDefault="00D80461" w:rsidP="002F075E">
            <w:pPr>
              <w:pStyle w:val="Tabletext"/>
              <w:rPr>
                <w:b w:val="0"/>
                <w:bCs w:val="0"/>
                <w:szCs w:val="22"/>
              </w:rPr>
            </w:pPr>
            <w:r w:rsidRPr="00F05A8A">
              <w:rPr>
                <w:b w:val="0"/>
                <w:bCs w:val="0"/>
                <w:color w:val="000000"/>
                <w:szCs w:val="22"/>
                <w:lang w:eastAsia="en-GB"/>
              </w:rPr>
              <w:t>SM.1896-1</w:t>
            </w:r>
          </w:p>
        </w:tc>
      </w:tr>
      <w:tr w:rsidR="00D80461" w:rsidRPr="00F05A8A" w14:paraId="4FF87B07"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198D0B7" w14:textId="77777777" w:rsidR="00D80461" w:rsidRPr="00F05A8A" w:rsidRDefault="00D80461" w:rsidP="002F075E">
            <w:pPr>
              <w:pStyle w:val="Tabletext"/>
              <w:rPr>
                <w:b w:val="0"/>
                <w:bCs w:val="0"/>
                <w:szCs w:val="22"/>
              </w:rPr>
            </w:pPr>
            <w:bookmarkStart w:id="140" w:name="lt_pId386"/>
            <w:r w:rsidRPr="00F05A8A">
              <w:rPr>
                <w:b w:val="0"/>
                <w:bCs w:val="0"/>
                <w:szCs w:val="22"/>
              </w:rPr>
              <w:t>GT 1C – Contrôle du spectre</w:t>
            </w:r>
            <w:bookmarkEnd w:id="140"/>
          </w:p>
        </w:tc>
        <w:tc>
          <w:tcPr>
            <w:cnfStyle w:val="000100000000" w:firstRow="0" w:lastRow="0" w:firstColumn="0" w:lastColumn="1" w:oddVBand="0" w:evenVBand="0" w:oddHBand="0" w:evenHBand="0" w:firstRowFirstColumn="0" w:firstRowLastColumn="0" w:lastRowFirstColumn="0" w:lastRowLastColumn="0"/>
            <w:tcW w:w="4819" w:type="dxa"/>
            <w:hideMark/>
          </w:tcPr>
          <w:p w14:paraId="7E8BB054" w14:textId="77777777" w:rsidR="00D80461" w:rsidRPr="00F05A8A" w:rsidRDefault="00D80461" w:rsidP="002F075E">
            <w:pPr>
              <w:pStyle w:val="Tabletext"/>
              <w:rPr>
                <w:b w:val="0"/>
                <w:bCs w:val="0"/>
                <w:szCs w:val="22"/>
              </w:rPr>
            </w:pPr>
            <w:r w:rsidRPr="00F05A8A">
              <w:rPr>
                <w:color w:val="000000"/>
                <w:szCs w:val="22"/>
                <w:lang w:eastAsia="en-GB"/>
              </w:rPr>
              <w:t>SM.575-3, SM.1051-4, SM.1054-1, SM.1268-5, SM.1392-3, SM.1875-3, SM.2117-0, SM.2138-0, SM.2139-0, SM.2140-0</w:t>
            </w:r>
          </w:p>
        </w:tc>
      </w:tr>
      <w:tr w:rsidR="00D80461" w:rsidRPr="00F05A8A" w14:paraId="24B52774"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0A94A6C5" w14:textId="77777777" w:rsidR="00D80461" w:rsidRPr="00F05A8A" w:rsidRDefault="00D80461" w:rsidP="002F075E">
            <w:pPr>
              <w:pStyle w:val="Tabletext"/>
              <w:rPr>
                <w:b w:val="0"/>
                <w:bCs w:val="0"/>
                <w:szCs w:val="22"/>
              </w:rPr>
            </w:pPr>
            <w:bookmarkStart w:id="141" w:name="lt_pId388"/>
            <w:r w:rsidRPr="00F05A8A">
              <w:rPr>
                <w:b w:val="0"/>
                <w:bCs w:val="0"/>
                <w:szCs w:val="22"/>
              </w:rPr>
              <w:t>GT 3J – Fondements de la propagation</w:t>
            </w:r>
            <w:bookmarkEnd w:id="141"/>
          </w:p>
        </w:tc>
        <w:tc>
          <w:tcPr>
            <w:cnfStyle w:val="000100000000" w:firstRow="0" w:lastRow="0" w:firstColumn="0" w:lastColumn="1" w:oddVBand="0" w:evenVBand="0" w:oddHBand="0" w:evenHBand="0" w:firstRowFirstColumn="0" w:firstRowLastColumn="0" w:lastRowFirstColumn="0" w:lastRowLastColumn="0"/>
            <w:tcW w:w="4819" w:type="dxa"/>
            <w:hideMark/>
          </w:tcPr>
          <w:p w14:paraId="03CE8446" w14:textId="77777777" w:rsidR="00D80461" w:rsidRPr="00F05A8A" w:rsidRDefault="00D80461" w:rsidP="002F075E">
            <w:pPr>
              <w:pStyle w:val="Tabletext"/>
              <w:rPr>
                <w:b w:val="0"/>
                <w:bCs w:val="0"/>
                <w:szCs w:val="22"/>
              </w:rPr>
            </w:pPr>
            <w:r w:rsidRPr="00F05A8A">
              <w:rPr>
                <w:b w:val="0"/>
                <w:bCs w:val="0"/>
                <w:color w:val="000000"/>
                <w:szCs w:val="22"/>
                <w:lang w:eastAsia="en-GB"/>
              </w:rPr>
              <w:t>P.310-10, P.311-18, P.341-7, P.453-14, P.525-4, P.526-15, P.527-6, P.676-12, P.833-10, P.840-8, P.841-6, P.1057-6, P.1144-11, P.1407-8, P.1511-2, P.1853-2, P.2040-2, P.2108-1, P.2109-1</w:t>
            </w:r>
          </w:p>
        </w:tc>
      </w:tr>
      <w:tr w:rsidR="00D80461" w:rsidRPr="00F05A8A" w14:paraId="4DE6DB06"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4B7658E" w14:textId="77777777" w:rsidR="00D80461" w:rsidRPr="00F05A8A" w:rsidRDefault="00D80461" w:rsidP="002F075E">
            <w:pPr>
              <w:pStyle w:val="Tabletext"/>
              <w:rPr>
                <w:b w:val="0"/>
                <w:bCs w:val="0"/>
                <w:szCs w:val="22"/>
              </w:rPr>
            </w:pPr>
            <w:bookmarkStart w:id="142" w:name="lt_pId390"/>
            <w:r w:rsidRPr="00F05A8A">
              <w:rPr>
                <w:b w:val="0"/>
                <w:bCs w:val="0"/>
                <w:szCs w:val="22"/>
              </w:rPr>
              <w:t xml:space="preserve">GT 3K – Propagation point à </w:t>
            </w:r>
            <w:bookmarkEnd w:id="142"/>
            <w:r w:rsidRPr="00F05A8A">
              <w:rPr>
                <w:b w:val="0"/>
                <w:bCs w:val="0"/>
                <w:szCs w:val="22"/>
              </w:rPr>
              <w:t>point</w:t>
            </w:r>
          </w:p>
        </w:tc>
        <w:tc>
          <w:tcPr>
            <w:cnfStyle w:val="000100000000" w:firstRow="0" w:lastRow="0" w:firstColumn="0" w:lastColumn="1" w:oddVBand="0" w:evenVBand="0" w:oddHBand="0" w:evenHBand="0" w:firstRowFirstColumn="0" w:firstRowLastColumn="0" w:lastRowFirstColumn="0" w:lastRowLastColumn="0"/>
            <w:tcW w:w="4819" w:type="dxa"/>
            <w:hideMark/>
          </w:tcPr>
          <w:p w14:paraId="1ABFDF51" w14:textId="77777777" w:rsidR="00D80461" w:rsidRPr="00F05A8A" w:rsidRDefault="00D80461" w:rsidP="002F075E">
            <w:pPr>
              <w:pStyle w:val="Tabletext"/>
              <w:rPr>
                <w:b w:val="0"/>
                <w:bCs w:val="0"/>
                <w:szCs w:val="22"/>
              </w:rPr>
            </w:pPr>
            <w:r w:rsidRPr="00F05A8A">
              <w:rPr>
                <w:b w:val="0"/>
                <w:bCs w:val="0"/>
                <w:color w:val="000000"/>
                <w:szCs w:val="22"/>
                <w:lang w:eastAsia="en-GB"/>
              </w:rPr>
              <w:t>P.311-18, P.528-5, P.1144-11, P.1238-11, P.1411</w:t>
            </w:r>
            <w:r w:rsidRPr="00F05A8A">
              <w:rPr>
                <w:b w:val="0"/>
                <w:bCs w:val="0"/>
                <w:color w:val="000000"/>
                <w:szCs w:val="22"/>
                <w:lang w:eastAsia="en-GB"/>
              </w:rPr>
              <w:noBreakHyphen/>
              <w:t>11, P.1546-6, P.1812-6, P.1816-4, P.2040-2, P.2108-1, P.2109-1</w:t>
            </w:r>
          </w:p>
        </w:tc>
      </w:tr>
      <w:tr w:rsidR="00D80461" w:rsidRPr="00F05A8A" w14:paraId="54C9A827"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2C6D62A7" w14:textId="77777777" w:rsidR="00D80461" w:rsidRPr="00F05A8A" w:rsidRDefault="00D80461" w:rsidP="002F075E">
            <w:pPr>
              <w:pStyle w:val="Tabletext"/>
              <w:rPr>
                <w:b w:val="0"/>
                <w:bCs w:val="0"/>
                <w:szCs w:val="22"/>
              </w:rPr>
            </w:pPr>
            <w:bookmarkStart w:id="143" w:name="lt_pId392"/>
            <w:r w:rsidRPr="00F05A8A">
              <w:rPr>
                <w:b w:val="0"/>
                <w:bCs w:val="0"/>
                <w:szCs w:val="22"/>
              </w:rPr>
              <w:t>GT 3L – Propagation ionosphérique et bruit radioélectrique</w:t>
            </w:r>
            <w:bookmarkEnd w:id="143"/>
          </w:p>
        </w:tc>
        <w:tc>
          <w:tcPr>
            <w:cnfStyle w:val="000100000000" w:firstRow="0" w:lastRow="0" w:firstColumn="0" w:lastColumn="1" w:oddVBand="0" w:evenVBand="0" w:oddHBand="0" w:evenHBand="0" w:firstRowFirstColumn="0" w:firstRowLastColumn="0" w:lastRowFirstColumn="0" w:lastRowLastColumn="0"/>
            <w:tcW w:w="4819" w:type="dxa"/>
            <w:hideMark/>
          </w:tcPr>
          <w:p w14:paraId="7B6E629A" w14:textId="77777777" w:rsidR="00D80461" w:rsidRPr="00F05A8A" w:rsidRDefault="00D80461" w:rsidP="002F075E">
            <w:pPr>
              <w:pStyle w:val="Tabletext"/>
              <w:rPr>
                <w:b w:val="0"/>
                <w:bCs w:val="0"/>
                <w:szCs w:val="22"/>
              </w:rPr>
            </w:pPr>
            <w:r w:rsidRPr="00F05A8A">
              <w:rPr>
                <w:b w:val="0"/>
                <w:bCs w:val="0"/>
                <w:color w:val="000000"/>
                <w:szCs w:val="22"/>
                <w:lang w:eastAsia="en-GB"/>
              </w:rPr>
              <w:t>P.311-18, P.372-15, P.531-14, P.533-14, P.534-6, P.1144-11</w:t>
            </w:r>
          </w:p>
        </w:tc>
      </w:tr>
      <w:tr w:rsidR="00D80461" w:rsidRPr="00F05A8A" w14:paraId="45EAAC03"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744C3E5" w14:textId="77777777" w:rsidR="00D80461" w:rsidRPr="00F05A8A" w:rsidRDefault="00D80461" w:rsidP="002F075E">
            <w:pPr>
              <w:pStyle w:val="Tabletext"/>
              <w:rPr>
                <w:b w:val="0"/>
                <w:bCs w:val="0"/>
                <w:szCs w:val="22"/>
              </w:rPr>
            </w:pPr>
            <w:bookmarkStart w:id="144" w:name="lt_pId394"/>
            <w:r w:rsidRPr="00F05A8A">
              <w:rPr>
                <w:b w:val="0"/>
                <w:bCs w:val="0"/>
                <w:szCs w:val="22"/>
              </w:rPr>
              <w:t>GT 3M – Propagation point à point et Terre vers espace</w:t>
            </w:r>
            <w:bookmarkEnd w:id="144"/>
          </w:p>
        </w:tc>
        <w:tc>
          <w:tcPr>
            <w:cnfStyle w:val="000100000000" w:firstRow="0" w:lastRow="0" w:firstColumn="0" w:lastColumn="1" w:oddVBand="0" w:evenVBand="0" w:oddHBand="0" w:evenHBand="0" w:firstRowFirstColumn="0" w:firstRowLastColumn="0" w:lastRowFirstColumn="0" w:lastRowLastColumn="0"/>
            <w:tcW w:w="4819" w:type="dxa"/>
            <w:hideMark/>
          </w:tcPr>
          <w:p w14:paraId="041C1F55" w14:textId="77777777" w:rsidR="00D80461" w:rsidRPr="00F05A8A" w:rsidRDefault="00D80461" w:rsidP="002F075E">
            <w:pPr>
              <w:pStyle w:val="Tabletext"/>
              <w:rPr>
                <w:b w:val="0"/>
                <w:bCs w:val="0"/>
                <w:szCs w:val="22"/>
              </w:rPr>
            </w:pPr>
            <w:r w:rsidRPr="00F05A8A">
              <w:rPr>
                <w:b w:val="0"/>
                <w:bCs w:val="0"/>
                <w:color w:val="000000"/>
                <w:szCs w:val="22"/>
                <w:lang w:eastAsia="en-GB"/>
              </w:rPr>
              <w:t>P.311-18, P.452-17, P.530-18, P.617-5, P.619-5, P.681-11, P.1144-11, P.1409-2, P.2001-4, P.2040-2, P.2108-1, P.2109-1</w:t>
            </w:r>
          </w:p>
        </w:tc>
      </w:tr>
      <w:tr w:rsidR="00D80461" w:rsidRPr="00F05A8A" w14:paraId="64AC2081"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56D5C867" w14:textId="77777777" w:rsidR="00D80461" w:rsidRPr="00F05A8A" w:rsidRDefault="00D80461" w:rsidP="002F075E">
            <w:pPr>
              <w:pStyle w:val="Tabletext"/>
              <w:rPr>
                <w:b w:val="0"/>
                <w:bCs w:val="0"/>
                <w:szCs w:val="22"/>
              </w:rPr>
            </w:pPr>
            <w:bookmarkStart w:id="145" w:name="lt_pId396"/>
            <w:r w:rsidRPr="00F05A8A">
              <w:rPr>
                <w:b w:val="0"/>
                <w:bCs w:val="0"/>
                <w:szCs w:val="22"/>
              </w:rPr>
              <w:t>GT 4A – Utilisation efficace des orbites/des satellites pour le SFS et le SRS</w:t>
            </w:r>
            <w:bookmarkEnd w:id="145"/>
          </w:p>
        </w:tc>
        <w:tc>
          <w:tcPr>
            <w:cnfStyle w:val="000100000000" w:firstRow="0" w:lastRow="0" w:firstColumn="0" w:lastColumn="1" w:oddVBand="0" w:evenVBand="0" w:oddHBand="0" w:evenHBand="0" w:firstRowFirstColumn="0" w:firstRowLastColumn="0" w:lastRowFirstColumn="0" w:lastRowLastColumn="0"/>
            <w:tcW w:w="4819" w:type="dxa"/>
            <w:hideMark/>
          </w:tcPr>
          <w:p w14:paraId="62760509" w14:textId="77777777" w:rsidR="00D80461" w:rsidRPr="00F05A8A" w:rsidRDefault="00D80461" w:rsidP="002F075E">
            <w:pPr>
              <w:pStyle w:val="Tabletext"/>
              <w:rPr>
                <w:b w:val="0"/>
                <w:bCs w:val="0"/>
                <w:szCs w:val="22"/>
              </w:rPr>
            </w:pPr>
            <w:r w:rsidRPr="00F05A8A">
              <w:rPr>
                <w:b w:val="0"/>
                <w:bCs w:val="0"/>
                <w:color w:val="000000"/>
                <w:szCs w:val="22"/>
                <w:lang w:eastAsia="en-GB"/>
              </w:rPr>
              <w:t>S.1503-3, S.1782-1, S.2112-0</w:t>
            </w:r>
          </w:p>
        </w:tc>
      </w:tr>
      <w:tr w:rsidR="00D80461" w:rsidRPr="00F05A8A" w14:paraId="45CDECFF"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A67E6D4" w14:textId="77777777" w:rsidR="00D80461" w:rsidRPr="00F05A8A" w:rsidRDefault="00D80461" w:rsidP="002F075E">
            <w:pPr>
              <w:pStyle w:val="Tabletext"/>
              <w:keepNext/>
              <w:keepLines/>
              <w:rPr>
                <w:b w:val="0"/>
                <w:bCs w:val="0"/>
                <w:szCs w:val="22"/>
              </w:rPr>
            </w:pPr>
            <w:bookmarkStart w:id="146" w:name="lt_pId398"/>
            <w:r w:rsidRPr="00F05A8A">
              <w:rPr>
                <w:b w:val="0"/>
                <w:bCs w:val="0"/>
                <w:szCs w:val="22"/>
              </w:rPr>
              <w:t>GT 4B – Systèmes, interfaces radioélectriques, objectifs de qualité de fonctionnement et de disponibilité pour le SFS, le SRS et le SMS (y compris les applications IP et le reportage d'actualités par satellite</w:t>
            </w:r>
            <w:bookmarkEnd w:id="146"/>
            <w:r w:rsidRPr="00F05A8A">
              <w:rPr>
                <w:b w:val="0"/>
                <w:bCs w:val="0"/>
                <w:szCs w:val="22"/>
              </w:rPr>
              <w:t>) GT 4C – Utilisation efficace des orbites/des satellites pour le SMS et le SRRS</w:t>
            </w:r>
          </w:p>
        </w:tc>
        <w:tc>
          <w:tcPr>
            <w:cnfStyle w:val="000100000000" w:firstRow="0" w:lastRow="0" w:firstColumn="0" w:lastColumn="1" w:oddVBand="0" w:evenVBand="0" w:oddHBand="0" w:evenHBand="0" w:firstRowFirstColumn="0" w:firstRowLastColumn="0" w:lastRowFirstColumn="0" w:lastRowLastColumn="0"/>
            <w:tcW w:w="4819" w:type="dxa"/>
          </w:tcPr>
          <w:p w14:paraId="3F0F376B" w14:textId="77777777" w:rsidR="00D80461" w:rsidRPr="00F05A8A" w:rsidRDefault="00D80461" w:rsidP="002F075E">
            <w:pPr>
              <w:pStyle w:val="Tabletext"/>
              <w:keepNext/>
              <w:keepLines/>
              <w:rPr>
                <w:b w:val="0"/>
                <w:bCs w:val="0"/>
                <w:szCs w:val="22"/>
              </w:rPr>
            </w:pPr>
            <w:bookmarkStart w:id="147" w:name="lt_pId399"/>
            <w:r w:rsidRPr="00F05A8A">
              <w:rPr>
                <w:b w:val="0"/>
                <w:bCs w:val="0"/>
                <w:szCs w:val="22"/>
              </w:rPr>
              <w:t>S.2131-0</w:t>
            </w:r>
            <w:bookmarkEnd w:id="147"/>
          </w:p>
        </w:tc>
      </w:tr>
      <w:tr w:rsidR="00D80461" w:rsidRPr="00F05A8A" w14:paraId="6E3AA984"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0809C669" w14:textId="77777777" w:rsidR="00D80461" w:rsidRPr="00F05A8A" w:rsidRDefault="00D80461" w:rsidP="002F075E">
            <w:pPr>
              <w:pStyle w:val="Tabletext"/>
              <w:rPr>
                <w:b w:val="0"/>
                <w:bCs w:val="0"/>
                <w:szCs w:val="22"/>
              </w:rPr>
            </w:pPr>
            <w:bookmarkStart w:id="148" w:name="lt_pId400"/>
            <w:r w:rsidRPr="00F05A8A">
              <w:rPr>
                <w:b w:val="0"/>
                <w:bCs w:val="0"/>
                <w:szCs w:val="22"/>
              </w:rPr>
              <w:t xml:space="preserve">GT 4C – Utilisation efficace des orbites/du spectre pour le SMS et le </w:t>
            </w:r>
            <w:bookmarkEnd w:id="148"/>
            <w:r w:rsidRPr="00F05A8A">
              <w:rPr>
                <w:b w:val="0"/>
                <w:bCs w:val="0"/>
                <w:szCs w:val="22"/>
              </w:rPr>
              <w:t>SRRS*</w:t>
            </w:r>
          </w:p>
        </w:tc>
        <w:tc>
          <w:tcPr>
            <w:cnfStyle w:val="000100000000" w:firstRow="0" w:lastRow="0" w:firstColumn="0" w:lastColumn="1" w:oddVBand="0" w:evenVBand="0" w:oddHBand="0" w:evenHBand="0" w:firstRowFirstColumn="0" w:firstRowLastColumn="0" w:lastRowFirstColumn="0" w:lastRowLastColumn="0"/>
            <w:tcW w:w="4819" w:type="dxa"/>
            <w:hideMark/>
          </w:tcPr>
          <w:p w14:paraId="7A0D6077" w14:textId="77777777" w:rsidR="00D80461" w:rsidRPr="00F05A8A" w:rsidRDefault="00D80461" w:rsidP="002F075E">
            <w:pPr>
              <w:pStyle w:val="Tabletext"/>
              <w:rPr>
                <w:b w:val="0"/>
                <w:bCs w:val="0"/>
                <w:szCs w:val="22"/>
              </w:rPr>
            </w:pPr>
            <w:r w:rsidRPr="00F05A8A">
              <w:rPr>
                <w:b w:val="0"/>
                <w:bCs w:val="0"/>
                <w:color w:val="000000"/>
                <w:szCs w:val="22"/>
                <w:lang w:eastAsia="en-GB"/>
              </w:rPr>
              <w:t>M.1184-3, M.1787-3, M.1901-2, M.1902-1, M.1903</w:t>
            </w:r>
            <w:r w:rsidRPr="00F05A8A">
              <w:rPr>
                <w:b w:val="0"/>
                <w:bCs w:val="0"/>
                <w:color w:val="000000"/>
                <w:szCs w:val="22"/>
                <w:lang w:eastAsia="en-GB"/>
              </w:rPr>
              <w:noBreakHyphen/>
              <w:t>1, M.1904-1, M.1905-1</w:t>
            </w:r>
          </w:p>
        </w:tc>
      </w:tr>
      <w:tr w:rsidR="00D80461" w:rsidRPr="00F05A8A" w14:paraId="0D2B8E67"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B86298F" w14:textId="77777777" w:rsidR="00D80461" w:rsidRPr="00F05A8A" w:rsidRDefault="00D80461" w:rsidP="002F075E">
            <w:pPr>
              <w:pStyle w:val="Tabletext"/>
              <w:keepLines/>
              <w:rPr>
                <w:b w:val="0"/>
                <w:bCs w:val="0"/>
                <w:szCs w:val="22"/>
              </w:rPr>
            </w:pPr>
            <w:bookmarkStart w:id="149" w:name="lt_pId402"/>
            <w:r w:rsidRPr="00F05A8A">
              <w:rPr>
                <w:b w:val="0"/>
                <w:bCs w:val="0"/>
                <w:szCs w:val="22"/>
              </w:rPr>
              <w:t xml:space="preserve">GT 5A – </w:t>
            </w:r>
            <w:bookmarkEnd w:id="149"/>
            <w:r w:rsidRPr="00F05A8A">
              <w:rPr>
                <w:b w:val="0"/>
                <w:bCs w:val="0"/>
                <w:szCs w:val="22"/>
              </w:rPr>
              <w:t>Service mobile terrestre au-dessus de 30 MHz, accès hertzien dans le service fixe, service d'amateur et service d'amateur par satellite GT 5B – Service mobile maritime, service mobile aéronautique et service de radiorepérage GT 5C – Systèmes en ondes décamétriques et autres systèmes, au-dessous de 30 MHz, du service fixe et du service mobile terrestre</w:t>
            </w:r>
          </w:p>
        </w:tc>
        <w:tc>
          <w:tcPr>
            <w:cnfStyle w:val="000100000000" w:firstRow="0" w:lastRow="0" w:firstColumn="0" w:lastColumn="1" w:oddVBand="0" w:evenVBand="0" w:oddHBand="0" w:evenHBand="0" w:firstRowFirstColumn="0" w:firstRowLastColumn="0" w:lastRowFirstColumn="0" w:lastRowLastColumn="0"/>
            <w:tcW w:w="4819" w:type="dxa"/>
          </w:tcPr>
          <w:p w14:paraId="44F52F7C" w14:textId="77777777" w:rsidR="00D80461" w:rsidRPr="00F05A8A" w:rsidRDefault="00D80461" w:rsidP="002F075E">
            <w:pPr>
              <w:pStyle w:val="Tabletext"/>
              <w:keepLines/>
              <w:rPr>
                <w:b w:val="0"/>
                <w:bCs w:val="0"/>
                <w:szCs w:val="22"/>
              </w:rPr>
            </w:pPr>
            <w:r w:rsidRPr="00F05A8A">
              <w:rPr>
                <w:b w:val="0"/>
                <w:bCs w:val="0"/>
                <w:color w:val="000000"/>
                <w:szCs w:val="22"/>
                <w:lang w:eastAsia="en-GB"/>
              </w:rPr>
              <w:t>F.758-7, F.1105-4, F.1336-5, F.1509-4, M.1637-1, M.1746-1, M.1808-1, M.1826-1, M.1890-1, M.2003</w:t>
            </w:r>
            <w:r w:rsidRPr="00F05A8A">
              <w:rPr>
                <w:b w:val="0"/>
                <w:bCs w:val="0"/>
                <w:color w:val="000000"/>
                <w:szCs w:val="22"/>
                <w:lang w:eastAsia="en-GB"/>
              </w:rPr>
              <w:noBreakHyphen/>
              <w:t>2, M.2009-2, M.2015-2, M.2057-1, M.2084</w:t>
            </w:r>
            <w:r w:rsidRPr="00F05A8A">
              <w:rPr>
                <w:b w:val="0"/>
                <w:bCs w:val="0"/>
                <w:color w:val="000000"/>
                <w:szCs w:val="22"/>
                <w:lang w:eastAsia="en-GB"/>
              </w:rPr>
              <w:noBreakHyphen/>
              <w:t>1, M.2121-0, M.2134-0</w:t>
            </w:r>
          </w:p>
        </w:tc>
      </w:tr>
      <w:tr w:rsidR="00D80461" w:rsidRPr="00F05A8A" w14:paraId="6E616EE5"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5B02BD8A" w14:textId="77777777" w:rsidR="00D80461" w:rsidRPr="00F05A8A" w:rsidRDefault="00D80461" w:rsidP="002F075E">
            <w:pPr>
              <w:pStyle w:val="Tabletext"/>
              <w:rPr>
                <w:b w:val="0"/>
                <w:bCs w:val="0"/>
                <w:szCs w:val="22"/>
              </w:rPr>
            </w:pPr>
            <w:bookmarkStart w:id="150" w:name="lt_pId404"/>
            <w:r w:rsidRPr="00F05A8A">
              <w:rPr>
                <w:b w:val="0"/>
                <w:bCs w:val="0"/>
                <w:szCs w:val="22"/>
              </w:rPr>
              <w:t>GT 5B – Service mobile maritime, y compris le Système mondial de détresse et de sécurité en mer (SMDSM); service mobile aéronautique et service de radiorepérage</w:t>
            </w:r>
            <w:bookmarkEnd w:id="150"/>
          </w:p>
        </w:tc>
        <w:tc>
          <w:tcPr>
            <w:cnfStyle w:val="000100000000" w:firstRow="0" w:lastRow="0" w:firstColumn="0" w:lastColumn="1" w:oddVBand="0" w:evenVBand="0" w:oddHBand="0" w:evenHBand="0" w:firstRowFirstColumn="0" w:firstRowLastColumn="0" w:lastRowFirstColumn="0" w:lastRowLastColumn="0"/>
            <w:tcW w:w="4819" w:type="dxa"/>
            <w:hideMark/>
          </w:tcPr>
          <w:p w14:paraId="132E32D9" w14:textId="77777777" w:rsidR="00D80461" w:rsidRPr="00F05A8A" w:rsidRDefault="00D80461" w:rsidP="002F075E">
            <w:pPr>
              <w:pStyle w:val="Tabletext"/>
              <w:rPr>
                <w:b w:val="0"/>
                <w:bCs w:val="0"/>
                <w:szCs w:val="22"/>
              </w:rPr>
            </w:pPr>
            <w:r w:rsidRPr="00F05A8A">
              <w:rPr>
                <w:b w:val="0"/>
                <w:bCs w:val="0"/>
                <w:color w:val="000000"/>
                <w:szCs w:val="22"/>
                <w:lang w:eastAsia="en-GB"/>
              </w:rPr>
              <w:t>M.493-15, M.585-8, M.1174-4, M.1461-2, M.1462</w:t>
            </w:r>
            <w:r w:rsidRPr="00F05A8A">
              <w:rPr>
                <w:b w:val="0"/>
                <w:bCs w:val="0"/>
                <w:color w:val="000000"/>
                <w:szCs w:val="22"/>
                <w:lang w:eastAsia="en-GB"/>
              </w:rPr>
              <w:noBreakHyphen/>
              <w:t>1, M.1465-3, M.1640-1, M.1798-2, M.1849-2, M.1851</w:t>
            </w:r>
            <w:r w:rsidRPr="00F05A8A">
              <w:rPr>
                <w:b w:val="0"/>
                <w:bCs w:val="0"/>
                <w:color w:val="000000"/>
                <w:szCs w:val="22"/>
                <w:lang w:eastAsia="en-GB"/>
              </w:rPr>
              <w:noBreakHyphen/>
              <w:t>1, M.2010-1, M.2057-1, M.2114-0, M.2115</w:t>
            </w:r>
            <w:r w:rsidRPr="00F05A8A">
              <w:rPr>
                <w:b w:val="0"/>
                <w:bCs w:val="0"/>
                <w:color w:val="000000"/>
                <w:szCs w:val="22"/>
                <w:lang w:eastAsia="en-GB"/>
              </w:rPr>
              <w:noBreakHyphen/>
              <w:t>0, M.2116-0, M.2120-0, M.2122-0, M.2135</w:t>
            </w:r>
            <w:r w:rsidRPr="00F05A8A">
              <w:rPr>
                <w:b w:val="0"/>
                <w:bCs w:val="0"/>
                <w:color w:val="000000"/>
                <w:szCs w:val="22"/>
                <w:lang w:eastAsia="en-GB"/>
              </w:rPr>
              <w:noBreakHyphen/>
              <w:t>0</w:t>
            </w:r>
          </w:p>
        </w:tc>
      </w:tr>
      <w:tr w:rsidR="00D80461" w:rsidRPr="00F05A8A" w14:paraId="781940F2"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AE82CA5" w14:textId="77777777" w:rsidR="00D80461" w:rsidRPr="00F05A8A" w:rsidRDefault="00D80461" w:rsidP="002F075E">
            <w:pPr>
              <w:pStyle w:val="Tabletext"/>
              <w:rPr>
                <w:b w:val="0"/>
                <w:bCs w:val="0"/>
                <w:szCs w:val="22"/>
              </w:rPr>
            </w:pPr>
            <w:bookmarkStart w:id="151" w:name="lt_pId406"/>
            <w:r w:rsidRPr="00F05A8A">
              <w:rPr>
                <w:b w:val="0"/>
                <w:bCs w:val="0"/>
                <w:szCs w:val="22"/>
              </w:rPr>
              <w:lastRenderedPageBreak/>
              <w:t>GT 5C – Systèmes hertziens fixes, systèmes en ondes décamétriques du service fixe et du service mobile terrestre</w:t>
            </w:r>
            <w:bookmarkEnd w:id="151"/>
          </w:p>
        </w:tc>
        <w:tc>
          <w:tcPr>
            <w:cnfStyle w:val="000100000000" w:firstRow="0" w:lastRow="0" w:firstColumn="0" w:lastColumn="1" w:oddVBand="0" w:evenVBand="0" w:oddHBand="0" w:evenHBand="0" w:firstRowFirstColumn="0" w:firstRowLastColumn="0" w:lastRowFirstColumn="0" w:lastRowLastColumn="0"/>
            <w:tcW w:w="4819" w:type="dxa"/>
          </w:tcPr>
          <w:p w14:paraId="28058DAF" w14:textId="77777777" w:rsidR="00D80461" w:rsidRPr="00F05A8A" w:rsidRDefault="00D80461" w:rsidP="002F075E">
            <w:pPr>
              <w:pStyle w:val="Tabletext"/>
              <w:rPr>
                <w:b w:val="0"/>
                <w:bCs w:val="0"/>
                <w:szCs w:val="22"/>
              </w:rPr>
            </w:pPr>
            <w:r w:rsidRPr="00F05A8A">
              <w:rPr>
                <w:b w:val="0"/>
                <w:bCs w:val="0"/>
                <w:color w:val="000000"/>
                <w:szCs w:val="22"/>
                <w:lang w:eastAsia="en-GB"/>
              </w:rPr>
              <w:t>F.383-10, F.387-13, F.636-5, F.699-8, F.758-7, F.1105-4, F.1245-3, F.1249-5, F.1336-5, F.1509-4, F.1565-1, F.1777-2, F.2113-0, F.2119-0</w:t>
            </w:r>
          </w:p>
        </w:tc>
      </w:tr>
      <w:tr w:rsidR="00D80461" w:rsidRPr="00F05A8A" w14:paraId="6D237A97"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7BDD83F7" w14:textId="77777777" w:rsidR="00D80461" w:rsidRPr="00F05A8A" w:rsidRDefault="00D80461" w:rsidP="002F075E">
            <w:pPr>
              <w:pStyle w:val="Tabletext"/>
              <w:rPr>
                <w:b w:val="0"/>
                <w:bCs w:val="0"/>
                <w:szCs w:val="22"/>
              </w:rPr>
            </w:pPr>
            <w:bookmarkStart w:id="152" w:name="lt_pId408"/>
            <w:r w:rsidRPr="00F05A8A">
              <w:rPr>
                <w:b w:val="0"/>
                <w:bCs w:val="0"/>
                <w:szCs w:val="22"/>
              </w:rPr>
              <w:t xml:space="preserve">GT 5D – </w:t>
            </w:r>
            <w:bookmarkEnd w:id="152"/>
            <w:r w:rsidRPr="00F05A8A">
              <w:rPr>
                <w:b w:val="0"/>
                <w:bCs w:val="0"/>
                <w:szCs w:val="22"/>
              </w:rPr>
              <w:t>Systèmes IMT</w:t>
            </w:r>
          </w:p>
        </w:tc>
        <w:tc>
          <w:tcPr>
            <w:cnfStyle w:val="000100000000" w:firstRow="0" w:lastRow="0" w:firstColumn="0" w:lastColumn="1" w:oddVBand="0" w:evenVBand="0" w:oddHBand="0" w:evenHBand="0" w:firstRowFirstColumn="0" w:firstRowLastColumn="0" w:lastRowFirstColumn="0" w:lastRowLastColumn="0"/>
            <w:tcW w:w="4819" w:type="dxa"/>
            <w:hideMark/>
          </w:tcPr>
          <w:p w14:paraId="7C1C84E7" w14:textId="77777777" w:rsidR="00D80461" w:rsidRPr="00F05A8A" w:rsidRDefault="00D80461" w:rsidP="002F075E">
            <w:pPr>
              <w:pStyle w:val="Tabletext"/>
              <w:rPr>
                <w:b w:val="0"/>
                <w:bCs w:val="0"/>
                <w:szCs w:val="22"/>
              </w:rPr>
            </w:pPr>
            <w:bookmarkStart w:id="153" w:name="lt_pId409"/>
            <w:r w:rsidRPr="00F05A8A">
              <w:rPr>
                <w:b w:val="0"/>
                <w:bCs w:val="0"/>
                <w:szCs w:val="22"/>
              </w:rPr>
              <w:t>M.1036-6, M.1457-15, M.2012-4</w:t>
            </w:r>
            <w:bookmarkEnd w:id="153"/>
            <w:r w:rsidRPr="00F05A8A">
              <w:rPr>
                <w:b w:val="0"/>
                <w:bCs w:val="0"/>
                <w:szCs w:val="22"/>
              </w:rPr>
              <w:t>, M.2150-0</w:t>
            </w:r>
          </w:p>
        </w:tc>
      </w:tr>
      <w:tr w:rsidR="00D80461" w:rsidRPr="00F05A8A" w14:paraId="0843384D"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0522E99F" w14:textId="77777777" w:rsidR="00D80461" w:rsidRPr="00F05A8A" w:rsidRDefault="00D80461" w:rsidP="002F075E">
            <w:pPr>
              <w:pStyle w:val="Tabletext"/>
              <w:rPr>
                <w:b w:val="0"/>
                <w:bCs w:val="0"/>
                <w:szCs w:val="22"/>
              </w:rPr>
            </w:pPr>
            <w:bookmarkStart w:id="154" w:name="lt_pId410"/>
            <w:r w:rsidRPr="00F05A8A">
              <w:rPr>
                <w:b w:val="0"/>
                <w:bCs w:val="0"/>
                <w:szCs w:val="22"/>
              </w:rPr>
              <w:t xml:space="preserve">GT 6A – </w:t>
            </w:r>
            <w:bookmarkEnd w:id="154"/>
            <w:r w:rsidRPr="00F05A8A">
              <w:rPr>
                <w:b w:val="0"/>
                <w:bCs w:val="0"/>
                <w:szCs w:val="22"/>
              </w:rPr>
              <w:t>Distribution de la radiodiffusion de Terre</w:t>
            </w:r>
          </w:p>
        </w:tc>
        <w:tc>
          <w:tcPr>
            <w:cnfStyle w:val="000100000000" w:firstRow="0" w:lastRow="0" w:firstColumn="0" w:lastColumn="1" w:oddVBand="0" w:evenVBand="0" w:oddHBand="0" w:evenHBand="0" w:firstRowFirstColumn="0" w:firstRowLastColumn="0" w:lastRowFirstColumn="0" w:lastRowLastColumn="0"/>
            <w:tcW w:w="4819" w:type="dxa"/>
            <w:hideMark/>
          </w:tcPr>
          <w:p w14:paraId="2769287E" w14:textId="77777777" w:rsidR="00D80461" w:rsidRPr="00F05A8A" w:rsidRDefault="00D80461" w:rsidP="002F075E">
            <w:pPr>
              <w:pStyle w:val="Tabletext"/>
              <w:rPr>
                <w:b w:val="0"/>
                <w:bCs w:val="0"/>
                <w:szCs w:val="22"/>
              </w:rPr>
            </w:pPr>
            <w:r w:rsidRPr="00F05A8A">
              <w:rPr>
                <w:color w:val="000000"/>
                <w:szCs w:val="22"/>
                <w:lang w:eastAsia="en-GB"/>
              </w:rPr>
              <w:t>BS.450-4, BS.1114-11, BS.1615-2, BS.1660-8, BT.1306-8, BT.1877-3, BT.2016-2, BT.2036-4, BT.2136-0</w:t>
            </w:r>
          </w:p>
        </w:tc>
      </w:tr>
      <w:tr w:rsidR="00D80461" w:rsidRPr="00F05A8A" w14:paraId="30B3E70D" w14:textId="77777777" w:rsidTr="00142C01">
        <w:tc>
          <w:tcPr>
            <w:cnfStyle w:val="001000000000" w:firstRow="0" w:lastRow="0" w:firstColumn="1" w:lastColumn="0" w:oddVBand="0" w:evenVBand="0" w:oddHBand="0" w:evenHBand="0" w:firstRowFirstColumn="0" w:firstRowLastColumn="0" w:lastRowFirstColumn="0" w:lastRowLastColumn="0"/>
            <w:tcW w:w="4820" w:type="dxa"/>
            <w:hideMark/>
          </w:tcPr>
          <w:p w14:paraId="15D3A33D" w14:textId="77777777" w:rsidR="00D80461" w:rsidRPr="00F05A8A" w:rsidRDefault="00D80461" w:rsidP="002F075E">
            <w:pPr>
              <w:pStyle w:val="Tabletext"/>
              <w:rPr>
                <w:b w:val="0"/>
                <w:bCs w:val="0"/>
                <w:szCs w:val="22"/>
              </w:rPr>
            </w:pPr>
            <w:bookmarkStart w:id="155" w:name="lt_pId412"/>
            <w:r w:rsidRPr="00F05A8A">
              <w:rPr>
                <w:b w:val="0"/>
                <w:bCs w:val="0"/>
                <w:szCs w:val="22"/>
              </w:rPr>
              <w:t>GT 6B – Service de radiodiffusion: assemblage et accès</w:t>
            </w:r>
            <w:bookmarkEnd w:id="155"/>
          </w:p>
        </w:tc>
        <w:tc>
          <w:tcPr>
            <w:cnfStyle w:val="000100000000" w:firstRow="0" w:lastRow="0" w:firstColumn="0" w:lastColumn="1" w:oddVBand="0" w:evenVBand="0" w:oddHBand="0" w:evenHBand="0" w:firstRowFirstColumn="0" w:firstRowLastColumn="0" w:lastRowFirstColumn="0" w:lastRowLastColumn="0"/>
            <w:tcW w:w="4819" w:type="dxa"/>
            <w:hideMark/>
          </w:tcPr>
          <w:p w14:paraId="732A16A7" w14:textId="77777777" w:rsidR="00D80461" w:rsidRPr="00F05A8A" w:rsidRDefault="00D80461" w:rsidP="002F075E">
            <w:pPr>
              <w:pStyle w:val="Tabletext"/>
              <w:rPr>
                <w:b w:val="0"/>
                <w:bCs w:val="0"/>
                <w:szCs w:val="22"/>
              </w:rPr>
            </w:pPr>
            <w:r w:rsidRPr="00F05A8A">
              <w:rPr>
                <w:b w:val="0"/>
                <w:bCs w:val="0"/>
                <w:color w:val="000000"/>
                <w:szCs w:val="22"/>
                <w:lang w:eastAsia="en-GB"/>
              </w:rPr>
              <w:t>BS.1196-8, BS.1548-7, BS.2076-2, BS.2088-1, BS.2125-0, BT.1122-3, BT.1366-3, BT.1872-3, BT.2054-1, BT.2055-1, BT.2073-1, BT.2075-3, BT.2077-3, BT.2133-0, BT.2137-0</w:t>
            </w:r>
          </w:p>
        </w:tc>
      </w:tr>
      <w:tr w:rsidR="00D80461" w:rsidRPr="00F05A8A" w14:paraId="32EE4526"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0B3A43C" w14:textId="77777777" w:rsidR="00D80461" w:rsidRPr="00F05A8A" w:rsidRDefault="00D80461" w:rsidP="002F075E">
            <w:pPr>
              <w:pStyle w:val="Tabletext"/>
              <w:rPr>
                <w:b w:val="0"/>
                <w:bCs w:val="0"/>
                <w:szCs w:val="22"/>
              </w:rPr>
            </w:pPr>
            <w:bookmarkStart w:id="156" w:name="lt_pId414"/>
            <w:r w:rsidRPr="00F05A8A">
              <w:rPr>
                <w:b w:val="0"/>
                <w:bCs w:val="0"/>
                <w:szCs w:val="22"/>
              </w:rPr>
              <w:t>GT 6C – Production de programmes et évaluation de la qualité</w:t>
            </w:r>
            <w:bookmarkEnd w:id="156"/>
          </w:p>
        </w:tc>
        <w:tc>
          <w:tcPr>
            <w:cnfStyle w:val="000100000000" w:firstRow="0" w:lastRow="0" w:firstColumn="0" w:lastColumn="1" w:oddVBand="0" w:evenVBand="0" w:oddHBand="0" w:evenHBand="0" w:firstRowFirstColumn="0" w:firstRowLastColumn="0" w:lastRowFirstColumn="0" w:lastRowLastColumn="0"/>
            <w:tcW w:w="4819" w:type="dxa"/>
          </w:tcPr>
          <w:p w14:paraId="06B0425B" w14:textId="77777777" w:rsidR="00D80461" w:rsidRPr="00F05A8A" w:rsidRDefault="00D80461" w:rsidP="002F075E">
            <w:pPr>
              <w:pStyle w:val="Tabletext"/>
              <w:rPr>
                <w:b w:val="0"/>
                <w:bCs w:val="0"/>
                <w:szCs w:val="22"/>
              </w:rPr>
            </w:pPr>
            <w:r w:rsidRPr="00F05A8A">
              <w:rPr>
                <w:color w:val="000000"/>
                <w:szCs w:val="22"/>
                <w:lang w:eastAsia="en-GB"/>
              </w:rPr>
              <w:t>BS.1283-2, BS.1284-2, BS.2051-2, BS.2126-0, BS.2127-0, BS.2132-0, BT.500-14, BT.814-4, BT.1702</w:t>
            </w:r>
            <w:r w:rsidRPr="00F05A8A">
              <w:rPr>
                <w:color w:val="000000"/>
                <w:szCs w:val="22"/>
                <w:lang w:eastAsia="en-GB"/>
              </w:rPr>
              <w:noBreakHyphen/>
              <w:t>2, BT.2100-2, BT.2111-2, BT.2123-0, BT.2124-0</w:t>
            </w:r>
          </w:p>
        </w:tc>
      </w:tr>
      <w:tr w:rsidR="00D80461" w:rsidRPr="00F05A8A" w14:paraId="7A93B5C8" w14:textId="77777777" w:rsidTr="00142C01">
        <w:tc>
          <w:tcPr>
            <w:cnfStyle w:val="001000000000" w:firstRow="0" w:lastRow="0" w:firstColumn="1" w:lastColumn="0" w:oddVBand="0" w:evenVBand="0" w:oddHBand="0" w:evenHBand="0" w:firstRowFirstColumn="0" w:firstRowLastColumn="0" w:lastRowFirstColumn="0" w:lastRowLastColumn="0"/>
            <w:tcW w:w="4820" w:type="dxa"/>
          </w:tcPr>
          <w:p w14:paraId="79DF8899" w14:textId="77777777" w:rsidR="00D80461" w:rsidRPr="00F05A8A" w:rsidRDefault="00D80461" w:rsidP="002F075E">
            <w:pPr>
              <w:pStyle w:val="Tabletext"/>
              <w:rPr>
                <w:b w:val="0"/>
                <w:bCs w:val="0"/>
                <w:szCs w:val="22"/>
              </w:rPr>
            </w:pPr>
            <w:r w:rsidRPr="00F05A8A">
              <w:rPr>
                <w:b w:val="0"/>
                <w:bCs w:val="0"/>
                <w:szCs w:val="22"/>
              </w:rPr>
              <w:t xml:space="preserve">GT 7A – </w:t>
            </w:r>
            <w:r w:rsidRPr="00F05A8A">
              <w:rPr>
                <w:b w:val="0"/>
                <w:bCs w:val="0"/>
                <w:color w:val="000000"/>
                <w:szCs w:val="22"/>
                <w:lang w:eastAsia="en-GB"/>
              </w:rPr>
              <w:t>Émissions de fréquences étalon et de signaux horaires</w:t>
            </w:r>
          </w:p>
        </w:tc>
        <w:tc>
          <w:tcPr>
            <w:cnfStyle w:val="000100000000" w:firstRow="0" w:lastRow="0" w:firstColumn="0" w:lastColumn="1" w:oddVBand="0" w:evenVBand="0" w:oddHBand="0" w:evenHBand="0" w:firstRowFirstColumn="0" w:firstRowLastColumn="0" w:lastRowFirstColumn="0" w:lastRowLastColumn="0"/>
            <w:tcW w:w="4819" w:type="dxa"/>
          </w:tcPr>
          <w:p w14:paraId="0F884A36" w14:textId="77777777" w:rsidR="00D80461" w:rsidRPr="00F05A8A" w:rsidRDefault="00D80461" w:rsidP="002F075E">
            <w:pPr>
              <w:pStyle w:val="Tabletext"/>
              <w:rPr>
                <w:b w:val="0"/>
                <w:bCs w:val="0"/>
                <w:color w:val="000000"/>
                <w:szCs w:val="22"/>
                <w:lang w:eastAsia="en-GB"/>
              </w:rPr>
            </w:pPr>
            <w:r w:rsidRPr="00F05A8A">
              <w:rPr>
                <w:b w:val="0"/>
                <w:bCs w:val="0"/>
                <w:color w:val="000000"/>
                <w:szCs w:val="22"/>
                <w:lang w:eastAsia="en-GB"/>
              </w:rPr>
              <w:t>TF.2118-0</w:t>
            </w:r>
          </w:p>
        </w:tc>
      </w:tr>
      <w:tr w:rsidR="00D80461" w:rsidRPr="00F05A8A" w14:paraId="63AC7454" w14:textId="77777777" w:rsidTr="0014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FB1B464" w14:textId="77777777" w:rsidR="00D80461" w:rsidRPr="00F05A8A" w:rsidRDefault="00D80461" w:rsidP="002F075E">
            <w:pPr>
              <w:pStyle w:val="Tabletext"/>
              <w:keepNext/>
              <w:keepLines/>
              <w:rPr>
                <w:b w:val="0"/>
                <w:bCs w:val="0"/>
                <w:szCs w:val="22"/>
              </w:rPr>
            </w:pPr>
            <w:bookmarkStart w:id="157" w:name="lt_pId416"/>
            <w:r w:rsidRPr="00F05A8A">
              <w:rPr>
                <w:b w:val="0"/>
                <w:bCs w:val="0"/>
                <w:szCs w:val="22"/>
              </w:rPr>
              <w:t>GT 7B – Applications de radiocommunications spatiales</w:t>
            </w:r>
            <w:bookmarkEnd w:id="157"/>
          </w:p>
        </w:tc>
        <w:tc>
          <w:tcPr>
            <w:cnfStyle w:val="000100000000" w:firstRow="0" w:lastRow="0" w:firstColumn="0" w:lastColumn="1" w:oddVBand="0" w:evenVBand="0" w:oddHBand="0" w:evenHBand="0" w:firstRowFirstColumn="0" w:firstRowLastColumn="0" w:lastRowFirstColumn="0" w:lastRowLastColumn="0"/>
            <w:tcW w:w="4819" w:type="dxa"/>
          </w:tcPr>
          <w:p w14:paraId="2F622830" w14:textId="77777777" w:rsidR="00D80461" w:rsidRPr="00F05A8A" w:rsidRDefault="00D80461" w:rsidP="002F075E">
            <w:pPr>
              <w:pStyle w:val="Tabletext"/>
              <w:keepNext/>
              <w:keepLines/>
              <w:rPr>
                <w:b w:val="0"/>
                <w:bCs w:val="0"/>
                <w:szCs w:val="22"/>
              </w:rPr>
            </w:pPr>
            <w:r w:rsidRPr="00F05A8A">
              <w:rPr>
                <w:b w:val="0"/>
                <w:bCs w:val="0"/>
                <w:color w:val="000000"/>
                <w:szCs w:val="22"/>
                <w:lang w:eastAsia="en-GB"/>
              </w:rPr>
              <w:t>SA.364-6, SA.1016-1, SA.1027-6, SA.1161-3, SA.1163</w:t>
            </w:r>
            <w:r w:rsidRPr="00F05A8A">
              <w:rPr>
                <w:b w:val="0"/>
                <w:bCs w:val="0"/>
                <w:color w:val="000000"/>
                <w:szCs w:val="22"/>
                <w:lang w:eastAsia="en-GB"/>
              </w:rPr>
              <w:noBreakHyphen/>
              <w:t>3, SA.1164-4</w:t>
            </w:r>
          </w:p>
        </w:tc>
      </w:tr>
      <w:tr w:rsidR="00D80461" w:rsidRPr="00F05A8A" w14:paraId="01033040" w14:textId="77777777" w:rsidTr="00142C01">
        <w:tc>
          <w:tcPr>
            <w:cnfStyle w:val="001000000000" w:firstRow="0" w:lastRow="0" w:firstColumn="1" w:lastColumn="0" w:oddVBand="0" w:evenVBand="0" w:oddHBand="0" w:evenHBand="0" w:firstRowFirstColumn="0" w:firstRowLastColumn="0" w:lastRowFirstColumn="0" w:lastRowLastColumn="0"/>
            <w:tcW w:w="4820" w:type="dxa"/>
          </w:tcPr>
          <w:p w14:paraId="69F7B1E0" w14:textId="77777777" w:rsidR="00D80461" w:rsidRPr="00F05A8A" w:rsidRDefault="00D80461" w:rsidP="002F075E">
            <w:pPr>
              <w:pStyle w:val="Tabletext"/>
              <w:keepNext/>
              <w:keepLines/>
              <w:rPr>
                <w:b w:val="0"/>
                <w:bCs w:val="0"/>
                <w:szCs w:val="22"/>
              </w:rPr>
            </w:pPr>
            <w:r w:rsidRPr="00F05A8A">
              <w:rPr>
                <w:b w:val="0"/>
                <w:bCs w:val="0"/>
                <w:szCs w:val="22"/>
              </w:rPr>
              <w:t xml:space="preserve">GT 7C – </w:t>
            </w:r>
            <w:r w:rsidRPr="00F05A8A">
              <w:rPr>
                <w:b w:val="0"/>
                <w:bCs w:val="0"/>
                <w:color w:val="000000"/>
                <w:szCs w:val="22"/>
                <w:lang w:eastAsia="en-GB"/>
              </w:rPr>
              <w:t>Systèmes de télédétection</w:t>
            </w:r>
          </w:p>
        </w:tc>
        <w:tc>
          <w:tcPr>
            <w:cnfStyle w:val="000100000000" w:firstRow="0" w:lastRow="0" w:firstColumn="0" w:lastColumn="1" w:oddVBand="0" w:evenVBand="0" w:oddHBand="0" w:evenHBand="0" w:firstRowFirstColumn="0" w:firstRowLastColumn="0" w:lastRowFirstColumn="0" w:lastRowLastColumn="0"/>
            <w:tcW w:w="4819" w:type="dxa"/>
          </w:tcPr>
          <w:p w14:paraId="5E6FC5C6" w14:textId="77777777" w:rsidR="00D80461" w:rsidRPr="00F05A8A" w:rsidRDefault="00D80461" w:rsidP="002F075E">
            <w:pPr>
              <w:pStyle w:val="Tabletext"/>
              <w:keepNext/>
              <w:keepLines/>
              <w:rPr>
                <w:b w:val="0"/>
                <w:bCs w:val="0"/>
                <w:color w:val="000000"/>
                <w:szCs w:val="22"/>
                <w:lang w:eastAsia="en-GB"/>
              </w:rPr>
            </w:pPr>
            <w:r w:rsidRPr="00F05A8A">
              <w:rPr>
                <w:b w:val="0"/>
                <w:bCs w:val="0"/>
                <w:color w:val="000000"/>
                <w:szCs w:val="22"/>
                <w:lang w:eastAsia="en-GB"/>
              </w:rPr>
              <w:t>RS.1165-3, RS.1263-2, RS.1859-1, RS.1883-1, RS.2042-1</w:t>
            </w:r>
          </w:p>
        </w:tc>
      </w:tr>
      <w:tr w:rsidR="00D80461" w:rsidRPr="00F05A8A" w14:paraId="26C02601" w14:textId="77777777" w:rsidTr="00142C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25EA944" w14:textId="77777777" w:rsidR="00D80461" w:rsidRPr="00F05A8A" w:rsidRDefault="00D80461" w:rsidP="002F075E">
            <w:pPr>
              <w:pStyle w:val="Tabletext"/>
              <w:rPr>
                <w:b w:val="0"/>
                <w:bCs w:val="0"/>
                <w:szCs w:val="22"/>
              </w:rPr>
            </w:pPr>
            <w:r w:rsidRPr="00F05A8A">
              <w:rPr>
                <w:b w:val="0"/>
                <w:bCs w:val="0"/>
                <w:szCs w:val="22"/>
              </w:rPr>
              <w:t>Comité de coordination pour le vocabulaire (CCV)</w:t>
            </w:r>
          </w:p>
        </w:tc>
        <w:tc>
          <w:tcPr>
            <w:cnfStyle w:val="000100000000" w:firstRow="0" w:lastRow="0" w:firstColumn="0" w:lastColumn="1" w:oddVBand="0" w:evenVBand="0" w:oddHBand="0" w:evenHBand="0" w:firstRowFirstColumn="0" w:firstRowLastColumn="0" w:lastRowFirstColumn="0" w:lastRowLastColumn="0"/>
            <w:tcW w:w="4819" w:type="dxa"/>
          </w:tcPr>
          <w:p w14:paraId="34908161" w14:textId="77777777" w:rsidR="00D80461" w:rsidRPr="00F05A8A" w:rsidRDefault="00D80461" w:rsidP="002F075E">
            <w:pPr>
              <w:pStyle w:val="Tabletext"/>
              <w:rPr>
                <w:b w:val="0"/>
                <w:bCs w:val="0"/>
                <w:szCs w:val="22"/>
              </w:rPr>
            </w:pPr>
            <w:r w:rsidRPr="00F05A8A">
              <w:rPr>
                <w:b w:val="0"/>
                <w:bCs w:val="0"/>
                <w:szCs w:val="22"/>
              </w:rPr>
              <w:t>V.2130-0</w:t>
            </w:r>
          </w:p>
        </w:tc>
      </w:tr>
    </w:tbl>
    <w:p w14:paraId="347EBDF2" w14:textId="77777777" w:rsidR="00D80461" w:rsidRPr="00F05A8A" w:rsidRDefault="00D80461" w:rsidP="002F075E">
      <w:pPr>
        <w:pStyle w:val="Heading2"/>
      </w:pPr>
      <w:bookmarkStart w:id="158" w:name="_1.4_Technologies_émergentes"/>
      <w:bookmarkStart w:id="159" w:name="_Toc41032055"/>
      <w:bookmarkStart w:id="160" w:name="_Toc72846604"/>
      <w:bookmarkStart w:id="161" w:name="_Toc98513603"/>
      <w:bookmarkStart w:id="162" w:name="_Toc107466568"/>
      <w:bookmarkEnd w:id="158"/>
      <w:r w:rsidRPr="00F05A8A">
        <w:t>1.4</w:t>
      </w:r>
      <w:r w:rsidRPr="00F05A8A">
        <w:tab/>
        <w:t xml:space="preserve">Élaboration par l'UIT </w:t>
      </w:r>
      <w:bookmarkEnd w:id="159"/>
      <w:bookmarkEnd w:id="160"/>
      <w:r w:rsidRPr="00F05A8A">
        <w:t>de cadres de gestion du développement des technologies émergentes</w:t>
      </w:r>
      <w:bookmarkStart w:id="163" w:name="Section_1_4"/>
      <w:bookmarkEnd w:id="161"/>
      <w:bookmarkEnd w:id="162"/>
    </w:p>
    <w:bookmarkEnd w:id="163"/>
    <w:p w14:paraId="7D49AE9F" w14:textId="77777777" w:rsidR="00D80461" w:rsidRPr="00F05A8A" w:rsidRDefault="00D80461" w:rsidP="002F075E">
      <w:r w:rsidRPr="00F05A8A">
        <w:t xml:space="preserve">L'UIT surveille des technologies nouvelles et émergentes, telles que l'intelligence artificielle, l'Internet des objets (IoT) et les technologies de l'information quantiques. </w:t>
      </w:r>
      <w:r w:rsidRPr="00F05A8A">
        <w:rPr>
          <w:lang w:eastAsia="en-GB"/>
        </w:rPr>
        <w:t>L'UIT a organisé des sessions d'information sur les activités de l'UIT relatives à l'intelligence artificielle et aux technologies de l'information quantiques, ainsi que des sessions de promotion de ces activités, en partenariat avec d'autres institutions des Nations Unies lors de plates-formes multi-parties prenantes comme le Forum de 2021 du SMSI et le Forum de 2021 du STI.</w:t>
      </w:r>
    </w:p>
    <w:p w14:paraId="0EBD156E" w14:textId="77777777" w:rsidR="00D80461" w:rsidRPr="00F05A8A" w:rsidRDefault="00D80461" w:rsidP="002F075E">
      <w:pPr>
        <w:pStyle w:val="Headingb"/>
      </w:pPr>
      <w:bookmarkStart w:id="164" w:name="_Toc41032056"/>
      <w:bookmarkStart w:id="165" w:name="_Toc72845031"/>
      <w:bookmarkStart w:id="166" w:name="_Toc72846377"/>
      <w:bookmarkStart w:id="167" w:name="_Toc72846605"/>
      <w:bookmarkStart w:id="168" w:name="_Toc95387473"/>
      <w:r w:rsidRPr="00F05A8A">
        <w:t>Intelligence artificielle</w:t>
      </w:r>
      <w:bookmarkEnd w:id="164"/>
      <w:bookmarkEnd w:id="165"/>
      <w:bookmarkEnd w:id="166"/>
      <w:bookmarkEnd w:id="167"/>
      <w:bookmarkEnd w:id="168"/>
    </w:p>
    <w:p w14:paraId="06EBE69F" w14:textId="77777777" w:rsidR="00D80461" w:rsidRPr="00F05A8A" w:rsidRDefault="00D80461" w:rsidP="002F075E">
      <w:r w:rsidRPr="00F05A8A">
        <w:rPr>
          <w:lang w:eastAsia="en-GB"/>
        </w:rPr>
        <w:t xml:space="preserve">L'intelligence artificielle jouera un rôle important dans l'accélération des progrès sur la voie de la réalisation de chacun des 17 ODD. L'UIT offre à toutes les parties prenantes un cadre neutre pour parvenir à une compréhension commune des capacités de l'intelligence artificielle, favorisant ainsi le développement fiable, sûr et inclusif de l'intelligence artificielle et un accès équitable aux avantages qu'elle procure. </w:t>
      </w:r>
      <w:r w:rsidRPr="00F05A8A">
        <w:t>Ces dernières années, l'intelligence artificielle s'est développée à un rythme exponentiel. Les machines dotées d'intelligence artificielle peuvent filtrer et interpréter une quantité considérable de données en vue d'effectuer un large éventail de tâches. Or, le pouvoir de transformation de l'intelligence artificielle apporte son lot de défis, notamment des questions concernant la transparence, la confiance et la sécurité, et des préoccupations liées à la suppression d'emplois ou au renforcement des inégalités.</w:t>
      </w:r>
    </w:p>
    <w:p w14:paraId="22FB0415" w14:textId="77777777" w:rsidR="00D80461" w:rsidRPr="00F05A8A" w:rsidRDefault="00D80461" w:rsidP="002F075E">
      <w:bookmarkStart w:id="169" w:name="lt_pId441"/>
      <w:r w:rsidRPr="00F05A8A">
        <w:lastRenderedPageBreak/>
        <w:t xml:space="preserve">Des Rapports et des Recommandations UIT-R sur le thème de l'intelligence artificielle sont disponibles </w:t>
      </w:r>
      <w:hyperlink r:id="rId70" w:history="1">
        <w:r w:rsidRPr="00F05A8A">
          <w:rPr>
            <w:rStyle w:val="Hyperlink"/>
          </w:rPr>
          <w:t>en ligne</w:t>
        </w:r>
      </w:hyperlink>
      <w:r w:rsidRPr="00F05A8A">
        <w:t>.</w:t>
      </w:r>
      <w:bookmarkEnd w:id="169"/>
      <w:r w:rsidRPr="00F05A8A">
        <w:t xml:space="preserve"> </w:t>
      </w:r>
      <w:r w:rsidRPr="00F05A8A">
        <w:rPr>
          <w:lang w:eastAsia="en-GB"/>
        </w:rPr>
        <w:t xml:space="preserve">De plus amples détails concernant les activités de l'UIT en matière d'intelligence artificielle sont disponibles sur le site web intersectoriel disponible </w:t>
      </w:r>
      <w:hyperlink r:id="rId71" w:history="1">
        <w:r w:rsidRPr="00F05A8A">
          <w:rPr>
            <w:rStyle w:val="Hyperlink"/>
            <w:lang w:eastAsia="en-GB"/>
          </w:rPr>
          <w:t>ici</w:t>
        </w:r>
      </w:hyperlink>
      <w:r w:rsidRPr="00F05A8A">
        <w:rPr>
          <w:lang w:eastAsia="en-GB"/>
        </w:rPr>
        <w:t>.</w:t>
      </w:r>
    </w:p>
    <w:p w14:paraId="12D85473" w14:textId="77777777" w:rsidR="00D80461" w:rsidRPr="00F05A8A" w:rsidRDefault="00D80461" w:rsidP="002F075E">
      <w:pPr>
        <w:rPr>
          <w:lang w:eastAsia="en-GB"/>
        </w:rPr>
      </w:pPr>
      <w:r w:rsidRPr="00F05A8A">
        <w:rPr>
          <w:lang w:eastAsia="en-GB"/>
        </w:rPr>
        <w:t>L'UIT mène les activités suivantes dans le domaine de l'intelligence artificielle:</w:t>
      </w:r>
    </w:p>
    <w:p w14:paraId="102C89CF" w14:textId="77777777" w:rsidR="00D80461" w:rsidRPr="00F05A8A" w:rsidRDefault="00D80461" w:rsidP="002F075E">
      <w:pPr>
        <w:pStyle w:val="enumlev1"/>
        <w:rPr>
          <w:lang w:eastAsia="en-GB"/>
        </w:rPr>
      </w:pPr>
      <w:r w:rsidRPr="00F05A8A">
        <w:t>•</w:t>
      </w:r>
      <w:r w:rsidRPr="00F05A8A">
        <w:tab/>
      </w:r>
      <w:r w:rsidRPr="00F05A8A">
        <w:rPr>
          <w:lang w:eastAsia="en-GB"/>
        </w:rPr>
        <w:t>Normalisation de l'intelligence artificielle (voir la section 1.3 pour plus de détails).</w:t>
      </w:r>
    </w:p>
    <w:p w14:paraId="17AF8F5C" w14:textId="77777777" w:rsidR="00D80461" w:rsidRPr="00F05A8A" w:rsidRDefault="00D80461" w:rsidP="002F075E">
      <w:pPr>
        <w:pStyle w:val="enumlev1"/>
        <w:rPr>
          <w:sz w:val="22"/>
          <w:lang w:eastAsia="en-GB"/>
        </w:rPr>
      </w:pPr>
      <w:r w:rsidRPr="00F05A8A">
        <w:t>•</w:t>
      </w:r>
      <w:r w:rsidRPr="00F05A8A">
        <w:tab/>
      </w:r>
      <w:r w:rsidRPr="00F05A8A">
        <w:rPr>
          <w:lang w:eastAsia="en-GB"/>
        </w:rPr>
        <w:t>Sommet mondial sur l'intelligence artificielle au service du bien social (voir la section 1.11 pour plus de détails).</w:t>
      </w:r>
    </w:p>
    <w:p w14:paraId="451B8900" w14:textId="77777777" w:rsidR="00D80461" w:rsidRPr="00F05A8A" w:rsidRDefault="00D80461" w:rsidP="002F075E">
      <w:pPr>
        <w:pStyle w:val="enumlev1"/>
        <w:rPr>
          <w:lang w:eastAsia="en-GB"/>
        </w:rPr>
      </w:pPr>
      <w:r w:rsidRPr="00F05A8A">
        <w:t>•</w:t>
      </w:r>
      <w:r w:rsidRPr="00F05A8A">
        <w:tab/>
      </w:r>
      <w:r w:rsidRPr="00F05A8A">
        <w:rPr>
          <w:lang w:eastAsia="en-GB"/>
        </w:rPr>
        <w:t>Concours de l'UIT sur l'intelligence artificielle et l'apprentissage automatique dans les réseaux 5G (voir la section 1.11 pour plus de détails).</w:t>
      </w:r>
    </w:p>
    <w:p w14:paraId="4C6390E7" w14:textId="77777777" w:rsidR="00D80461" w:rsidRPr="00F05A8A" w:rsidRDefault="00D80461" w:rsidP="002F075E">
      <w:pPr>
        <w:pStyle w:val="enumlev1"/>
        <w:rPr>
          <w:szCs w:val="24"/>
          <w:lang w:eastAsia="en-GB"/>
        </w:rPr>
      </w:pPr>
      <w:r w:rsidRPr="00F05A8A">
        <w:t>•</w:t>
      </w:r>
      <w:r w:rsidRPr="00F05A8A">
        <w:tab/>
        <w:t xml:space="preserve">Travaux des Commissions d'études de l'UIT-T qui portent sur des </w:t>
      </w:r>
      <w:r w:rsidRPr="00F05A8A">
        <w:rPr>
          <w:lang w:eastAsia="en-GB"/>
        </w:rPr>
        <w:t xml:space="preserve">aspects de l'intelligence artificielle et de l'apprentissage automatique relevant de leur mandat. Jusqu'à présent, les travaux ont débouché sur des Recommandations et des Suppléments UIT-T, par exemple dans les séries </w:t>
      </w:r>
      <w:hyperlink r:id="rId72" w:history="1">
        <w:r w:rsidRPr="00F05A8A">
          <w:rPr>
            <w:rStyle w:val="Hyperlink"/>
            <w:lang w:eastAsia="en-GB"/>
          </w:rPr>
          <w:t>L</w:t>
        </w:r>
      </w:hyperlink>
      <w:r w:rsidRPr="00F05A8A">
        <w:rPr>
          <w:lang w:eastAsia="en-GB"/>
        </w:rPr>
        <w:t xml:space="preserve">, </w:t>
      </w:r>
      <w:hyperlink r:id="rId73" w:history="1">
        <w:r w:rsidRPr="00F05A8A">
          <w:rPr>
            <w:rStyle w:val="Hyperlink"/>
            <w:lang w:eastAsia="en-GB"/>
          </w:rPr>
          <w:t>M</w:t>
        </w:r>
      </w:hyperlink>
      <w:r w:rsidRPr="00F05A8A">
        <w:rPr>
          <w:lang w:eastAsia="en-GB"/>
        </w:rPr>
        <w:t xml:space="preserve">, </w:t>
      </w:r>
      <w:hyperlink r:id="rId74" w:history="1">
        <w:r w:rsidRPr="00F05A8A">
          <w:rPr>
            <w:rStyle w:val="Hyperlink"/>
            <w:lang w:eastAsia="en-GB"/>
          </w:rPr>
          <w:t>P</w:t>
        </w:r>
      </w:hyperlink>
      <w:r w:rsidRPr="00F05A8A">
        <w:rPr>
          <w:lang w:eastAsia="en-GB"/>
        </w:rPr>
        <w:t xml:space="preserve"> et </w:t>
      </w:r>
      <w:hyperlink r:id="rId75" w:history="1">
        <w:r w:rsidRPr="00F05A8A">
          <w:rPr>
            <w:rStyle w:val="Hyperlink"/>
            <w:lang w:eastAsia="en-GB"/>
          </w:rPr>
          <w:t>Y</w:t>
        </w:r>
      </w:hyperlink>
      <w:r w:rsidRPr="00F05A8A">
        <w:t xml:space="preserve"> </w:t>
      </w:r>
      <w:r w:rsidRPr="00F05A8A">
        <w:rPr>
          <w:lang w:eastAsia="en-GB"/>
        </w:rPr>
        <w:t>des Recommandations UIT-T.</w:t>
      </w:r>
    </w:p>
    <w:p w14:paraId="22BAC7D6" w14:textId="77777777" w:rsidR="00D80461" w:rsidRPr="00F05A8A" w:rsidRDefault="00D80461" w:rsidP="002F075E">
      <w:pPr>
        <w:pStyle w:val="enumlev1"/>
        <w:rPr>
          <w:rFonts w:eastAsia="Calibri" w:cs="Calibri"/>
          <w:sz w:val="22"/>
          <w:szCs w:val="22"/>
        </w:rPr>
      </w:pPr>
      <w:r w:rsidRPr="00F05A8A">
        <w:t>•</w:t>
      </w:r>
      <w:r w:rsidRPr="00F05A8A">
        <w:tab/>
        <w:t>Utilisation de l'intelligence artificielle et de l'apprentissage automatique étudiée par plus de cinq groupes spécialisés de l'UIT-T (voir la section 1.3 pour plus de détails)</w:t>
      </w:r>
      <w:r w:rsidRPr="00F05A8A">
        <w:rPr>
          <w:rFonts w:eastAsia="Calibri"/>
        </w:rPr>
        <w:t>.</w:t>
      </w:r>
    </w:p>
    <w:p w14:paraId="72910F04" w14:textId="77777777" w:rsidR="00D80461" w:rsidRPr="00F05A8A" w:rsidRDefault="00D80461" w:rsidP="002F075E">
      <w:pPr>
        <w:pStyle w:val="enumlev1"/>
        <w:rPr>
          <w:rFonts w:eastAsia="Calibri"/>
        </w:rPr>
      </w:pPr>
      <w:r w:rsidRPr="00F05A8A">
        <w:t>•</w:t>
      </w:r>
      <w:r w:rsidRPr="00F05A8A">
        <w:tab/>
      </w:r>
      <w:r w:rsidRPr="00F05A8A">
        <w:rPr>
          <w:rFonts w:eastAsia="Calibri"/>
        </w:rPr>
        <w:t>Intelligence artificielle et radiocommunications (voir la section 1.3 pour plus de détails). Les Commissions d'études et les rapports de l'UIT-R se concentrent notamment sur les principales activités suivantes:</w:t>
      </w:r>
    </w:p>
    <w:p w14:paraId="41FA0816" w14:textId="77777777" w:rsidR="00D80461" w:rsidRPr="00F05A8A" w:rsidRDefault="00D80461" w:rsidP="002F075E">
      <w:pPr>
        <w:pStyle w:val="enumlev2"/>
        <w:rPr>
          <w:lang w:eastAsia="en-GB"/>
        </w:rPr>
      </w:pPr>
      <w:r w:rsidRPr="00F05A8A">
        <w:rPr>
          <w:lang w:eastAsia="en-GB"/>
        </w:rPr>
        <w:t>–</w:t>
      </w:r>
      <w:r w:rsidRPr="00F05A8A">
        <w:rPr>
          <w:lang w:eastAsia="en-GB"/>
        </w:rPr>
        <w:tab/>
        <w:t>La Commission d'études 1 (CE 1) de l'UIT-R travaille sur la gestion du spectre et le contrôle des émissions. Pour ce qui a trait à l'intelligence artificielle, la Question UIT</w:t>
      </w:r>
      <w:r w:rsidRPr="00F05A8A">
        <w:rPr>
          <w:lang w:eastAsia="en-GB"/>
        </w:rPr>
        <w:noBreakHyphen/>
        <w:t>R 241/1 (Méthodes d'évaluation ou de prévision de la disponibilité du spectre) a été approuvée en 2019 et est actuellement à l'étude.</w:t>
      </w:r>
    </w:p>
    <w:p w14:paraId="301502BE" w14:textId="77777777" w:rsidR="00D80461" w:rsidRPr="00F05A8A" w:rsidRDefault="00D80461" w:rsidP="002F075E">
      <w:pPr>
        <w:pStyle w:val="enumlev2"/>
        <w:rPr>
          <w:lang w:eastAsia="en-GB"/>
        </w:rPr>
      </w:pPr>
      <w:r w:rsidRPr="00F05A8A">
        <w:rPr>
          <w:lang w:eastAsia="en-GB"/>
        </w:rPr>
        <w:t>–</w:t>
      </w:r>
      <w:r w:rsidRPr="00F05A8A">
        <w:rPr>
          <w:lang w:eastAsia="en-GB"/>
        </w:rPr>
        <w:tab/>
        <w:t>La Commission d'études 6 (CE 6) de l'UIT-R travaille sur tous les aspects du service de radiodiffusion. Les produits et sujets d'étude de la CE 6 ayant trait à l'intelligence artificielle et à l'apprentissage automatique sont notamment les suivants</w:t>
      </w:r>
      <w:r w:rsidRPr="00F05A8A">
        <w:t>:</w:t>
      </w:r>
      <w:r w:rsidRPr="00F05A8A">
        <w:rPr>
          <w:szCs w:val="24"/>
          <w:lang w:eastAsia="en-GB"/>
        </w:rPr>
        <w:t xml:space="preserve"> </w:t>
      </w:r>
      <w:r w:rsidRPr="00F05A8A">
        <w:rPr>
          <w:lang w:eastAsia="en-GB"/>
        </w:rPr>
        <w:t>Question UIT-R 144/6 (Utilisation de l'intelligence artificielle dans la radiodiffusion)</w:t>
      </w:r>
      <w:r w:rsidRPr="00F05A8A">
        <w:rPr>
          <w:szCs w:val="24"/>
          <w:lang w:eastAsia="en-GB"/>
        </w:rPr>
        <w:t>; et</w:t>
      </w:r>
      <w:r w:rsidRPr="00F05A8A">
        <w:rPr>
          <w:lang w:eastAsia="en-GB"/>
        </w:rPr>
        <w:t xml:space="preserve"> </w:t>
      </w:r>
      <w:hyperlink r:id="rId76" w:history="1">
        <w:r w:rsidRPr="00F05A8A">
          <w:rPr>
            <w:rStyle w:val="Hyperlink"/>
            <w:lang w:eastAsia="en-GB"/>
          </w:rPr>
          <w:t>Rapport UIT-R BT.2447</w:t>
        </w:r>
      </w:hyperlink>
      <w:r w:rsidRPr="00F05A8A">
        <w:rPr>
          <w:lang w:eastAsia="en-GB"/>
        </w:rPr>
        <w:t xml:space="preserve"> (Les systèmes d'intelligence artificielle au service de la production et de l'échange de programmes).</w:t>
      </w:r>
    </w:p>
    <w:p w14:paraId="31170931" w14:textId="77777777" w:rsidR="00D80461" w:rsidRPr="00F05A8A" w:rsidRDefault="00D80461" w:rsidP="002F075E">
      <w:pPr>
        <w:pStyle w:val="enumlev1"/>
        <w:keepLines/>
      </w:pPr>
      <w:r w:rsidRPr="00F05A8A">
        <w:t>•</w:t>
      </w:r>
      <w:r w:rsidRPr="00F05A8A">
        <w:tab/>
      </w:r>
      <w:hyperlink r:id="rId77" w:history="1">
        <w:r w:rsidRPr="00F05A8A">
          <w:rPr>
            <w:rStyle w:val="Hyperlink"/>
            <w:rFonts w:eastAsia="Calibri"/>
          </w:rPr>
          <w:t>Initiative sur l'intelligence artificielle au service de la sécurité routière</w:t>
        </w:r>
      </w:hyperlink>
      <w:r w:rsidRPr="00F05A8A">
        <w:rPr>
          <w:rFonts w:eastAsia="Calibri"/>
        </w:rPr>
        <w:t>: lancée en octobre 2021, l'initiative fait la promotion d'une approche améliorée par l'intelligence artificielle pour réduire les accidents mortels en améliorant la gestion de la sécurité routière, en rendant les routes, la mobilité et les véhicules plus sûrs, en offrant une plus grande sécurité aux usagers de la route, en renforçant l'efficacité des interventions après un accident et en limitant la vitesse.</w:t>
      </w:r>
    </w:p>
    <w:p w14:paraId="5BC8724B" w14:textId="77777777" w:rsidR="00D80461" w:rsidRPr="00F05A8A" w:rsidRDefault="00D80461" w:rsidP="002F075E">
      <w:pPr>
        <w:pStyle w:val="enumlev1"/>
        <w:rPr>
          <w:rFonts w:eastAsia="Calibri"/>
          <w:b/>
          <w:bCs/>
        </w:rPr>
      </w:pPr>
      <w:r w:rsidRPr="00F05A8A">
        <w:t>•</w:t>
      </w:r>
      <w:r w:rsidRPr="00F05A8A">
        <w:tab/>
        <w:t xml:space="preserve">Comité de haut niveau sur les programmes (HLCP) </w:t>
      </w:r>
      <w:r w:rsidRPr="00F05A8A">
        <w:rPr>
          <w:color w:val="000000"/>
        </w:rPr>
        <w:t>Groupe de travail interinstitutions sur l'IA</w:t>
      </w:r>
      <w:r w:rsidRPr="00F05A8A">
        <w:rPr>
          <w:rFonts w:eastAsia="Calibri"/>
          <w:bCs/>
        </w:rPr>
        <w:t xml:space="preserve"> (IAWG-AI):</w:t>
      </w:r>
      <w:r w:rsidRPr="00F05A8A">
        <w:rPr>
          <w:rFonts w:eastAsia="Calibri"/>
        </w:rPr>
        <w:t xml:space="preserve"> Lors de la 40ème</w:t>
      </w:r>
      <w:r w:rsidRPr="00F05A8A">
        <w:rPr>
          <w:rFonts w:eastAsia="Calibri"/>
          <w:vertAlign w:val="superscript"/>
        </w:rPr>
        <w:t xml:space="preserve"> </w:t>
      </w:r>
      <w:r w:rsidRPr="00F05A8A">
        <w:rPr>
          <w:rFonts w:eastAsia="Calibri"/>
        </w:rPr>
        <w:t>session du Comité HLCP tenue en octobre 2020, un groupe de travail interinstitutions sur l'IA (</w:t>
      </w:r>
      <w:hyperlink r:id="rId78" w:history="1">
        <w:r w:rsidRPr="00F05A8A">
          <w:rPr>
            <w:rStyle w:val="Hyperlink"/>
            <w:rFonts w:eastAsia="Calibri"/>
          </w:rPr>
          <w:t>IAWG-AI</w:t>
        </w:r>
      </w:hyperlink>
      <w:r w:rsidRPr="00F05A8A">
        <w:rPr>
          <w:rFonts w:eastAsia="Calibri"/>
        </w:rPr>
        <w:t>) a été créé afin de se pencher sur la cohérence des stratégies et des programmes relatifs aux activités dans le domaine de l'intelligence artificielle qui sont menées au sein du système des Nations Unies. Le Groupe IAWG-AI, dirigé conjointement par l'UNESCO et l'UIT, met à profit le travail d'analyse mené par l'UIT concernant les capacités au sein du système des Nations Unies et d'autres parties prenantes. Le Groupe IAWG-AI, qui rassemble actuellement 38 organismes et institutions des Nations Unies, a tenu sa réunion inaugurale en mars 2021.</w:t>
      </w:r>
      <w:bookmarkStart w:id="170" w:name="_Toc41032057"/>
      <w:bookmarkStart w:id="171" w:name="_Toc72845033"/>
      <w:bookmarkStart w:id="172" w:name="_Toc72846379"/>
      <w:bookmarkStart w:id="173" w:name="_Toc72846607"/>
    </w:p>
    <w:p w14:paraId="33D58AC0" w14:textId="77777777" w:rsidR="00D80461" w:rsidRPr="00F05A8A" w:rsidRDefault="00D80461" w:rsidP="002F075E">
      <w:pPr>
        <w:pStyle w:val="Headingb"/>
      </w:pPr>
      <w:bookmarkStart w:id="174" w:name="_Toc95387474"/>
      <w:r w:rsidRPr="00F05A8A">
        <w:lastRenderedPageBreak/>
        <w:t>Internet des objets (IoT)</w:t>
      </w:r>
      <w:bookmarkEnd w:id="170"/>
      <w:bookmarkEnd w:id="171"/>
      <w:bookmarkEnd w:id="172"/>
      <w:bookmarkEnd w:id="173"/>
      <w:bookmarkEnd w:id="174"/>
    </w:p>
    <w:p w14:paraId="2238C9FC" w14:textId="77777777" w:rsidR="00D80461" w:rsidRPr="00F05A8A" w:rsidRDefault="00D80461" w:rsidP="002F075E">
      <w:r w:rsidRPr="00F05A8A">
        <w:rPr>
          <w:rFonts w:eastAsia="Calibri"/>
        </w:rPr>
        <w:t xml:space="preserve">L'Internet des objets (IoT) favorise le développement d'écosystèmes permettant de connecter et d'intégrer des dispositifs, des interfaces et d'autres innovations TIC dans des secteurs comme la santé, les transports, le secteur manufacturier, le recyclage, etc. </w:t>
      </w:r>
      <w:r w:rsidRPr="00F05A8A">
        <w:t>L'UIT permet d'assurer le développement coordonné de technologies IoT interopérables, qui concernent des millions de dispositifs et d'objets connectés.</w:t>
      </w:r>
    </w:p>
    <w:p w14:paraId="77A9810A" w14:textId="77777777" w:rsidR="00D80461" w:rsidRPr="00F05A8A" w:rsidRDefault="00D80461" w:rsidP="002F075E">
      <w:pPr>
        <w:rPr>
          <w:rFonts w:eastAsia="Calibri"/>
          <w:sz w:val="22"/>
        </w:rPr>
      </w:pPr>
      <w:r w:rsidRPr="00F05A8A">
        <w:t>L'UIT mène les activités suivantes dans le domaine de l'IoT:</w:t>
      </w:r>
    </w:p>
    <w:p w14:paraId="3CC85B30" w14:textId="77777777" w:rsidR="00D80461" w:rsidRPr="00F05A8A" w:rsidRDefault="00D80461" w:rsidP="002F075E">
      <w:pPr>
        <w:pStyle w:val="enumlev1"/>
        <w:rPr>
          <w:rFonts w:eastAsia="Calibri"/>
        </w:rPr>
      </w:pPr>
      <w:r w:rsidRPr="00F05A8A">
        <w:rPr>
          <w:rFonts w:eastAsia="Calibri"/>
        </w:rPr>
        <w:t>•</w:t>
      </w:r>
      <w:r w:rsidRPr="00F05A8A">
        <w:rPr>
          <w:rFonts w:eastAsia="Calibri"/>
        </w:rPr>
        <w:tab/>
        <w:t>Normalisation de l'IoT (voir la section 1.3).</w:t>
      </w:r>
    </w:p>
    <w:p w14:paraId="6D5F1255" w14:textId="77777777" w:rsidR="00D80461" w:rsidRPr="00F05A8A" w:rsidRDefault="00D80461" w:rsidP="002F075E">
      <w:pPr>
        <w:pStyle w:val="enumlev1"/>
        <w:rPr>
          <w:rFonts w:eastAsia="Calibri"/>
        </w:rPr>
      </w:pPr>
      <w:r w:rsidRPr="00F05A8A">
        <w:rPr>
          <w:rFonts w:eastAsia="Calibri"/>
        </w:rPr>
        <w:t>•</w:t>
      </w:r>
      <w:r w:rsidRPr="00F05A8A">
        <w:rPr>
          <w:rFonts w:eastAsia="Calibri"/>
        </w:rPr>
        <w:tab/>
        <w:t xml:space="preserve">Élaboration de normes de l'UIT relatives à l'IoT et aux villes intelligentes, dirigée par la </w:t>
      </w:r>
      <w:hyperlink r:id="rId79" w:history="1">
        <w:r w:rsidRPr="00F05A8A">
          <w:rPr>
            <w:rStyle w:val="Hyperlink"/>
            <w:rFonts w:eastAsia="Calibri"/>
          </w:rPr>
          <w:t>CE 20 de l'UIT-T</w:t>
        </w:r>
      </w:hyperlink>
      <w:r w:rsidRPr="00F05A8A">
        <w:rPr>
          <w:rFonts w:eastAsia="Calibri"/>
        </w:rPr>
        <w:t xml:space="preserve"> et appuyée par la collaboration croissante avec oneM2M et LoRa Alliance.</w:t>
      </w:r>
    </w:p>
    <w:p w14:paraId="734F352C" w14:textId="77777777" w:rsidR="00D80461" w:rsidRPr="00F05A8A" w:rsidRDefault="00D80461" w:rsidP="002F075E">
      <w:pPr>
        <w:pStyle w:val="enumlev1"/>
      </w:pPr>
      <w:r w:rsidRPr="00F05A8A">
        <w:rPr>
          <w:rFonts w:eastAsia="Calibri"/>
        </w:rPr>
        <w:t>•</w:t>
      </w:r>
      <w:r w:rsidRPr="00F05A8A">
        <w:rPr>
          <w:rFonts w:eastAsia="Calibri"/>
        </w:rPr>
        <w:tab/>
        <w:t xml:space="preserve">Le </w:t>
      </w:r>
      <w:hyperlink r:id="rId80" w:tgtFrame="_blank" w:history="1">
        <w:r w:rsidRPr="00F05A8A">
          <w:rPr>
            <w:rStyle w:val="Hyperlink"/>
            <w:rFonts w:eastAsia="Calibri"/>
          </w:rPr>
          <w:t>Groupe spécialisé de l'UIT-T sur l'intelligence artificielle (IA) et l'Internet des objets (IoT) au service de l'agriculture numérique (FG-AI4A)</w:t>
        </w:r>
      </w:hyperlink>
      <w:r w:rsidRPr="00F05A8A">
        <w:rPr>
          <w:rFonts w:eastAsia="Calibri"/>
        </w:rPr>
        <w:t xml:space="preserve"> étudie les technologies émergentes, notamment l'IA et l'IoT, dans les domaines de l'acquisition et du traitement des données, qui permettent d'effectuer des modélisations à partir d'un volume croissant de données agricoles et géospatiales et d'assurer des communications pour optimiser la production agricole.</w:t>
      </w:r>
    </w:p>
    <w:p w14:paraId="40B7C136" w14:textId="77777777" w:rsidR="00D80461" w:rsidRPr="00F05A8A" w:rsidRDefault="00D80461" w:rsidP="002F075E">
      <w:pPr>
        <w:rPr>
          <w:bCs/>
        </w:rPr>
      </w:pPr>
      <w:bookmarkStart w:id="175" w:name="lt_pId449"/>
      <w:r w:rsidRPr="00F05A8A">
        <w:rPr>
          <w:bCs/>
        </w:rPr>
        <w:t>Pour plus d'informations, voir l'</w:t>
      </w:r>
      <w:hyperlink w:anchor="Rés197" w:history="1">
        <w:r w:rsidRPr="00F05A8A">
          <w:rPr>
            <w:rStyle w:val="Hyperlink"/>
            <w:bCs/>
          </w:rPr>
          <w:t>Annexe 1, Résolution 197 de la PP</w:t>
        </w:r>
      </w:hyperlink>
      <w:r w:rsidRPr="00F05A8A">
        <w:rPr>
          <w:bCs/>
        </w:rPr>
        <w:t>.</w:t>
      </w:r>
      <w:bookmarkEnd w:id="175"/>
    </w:p>
    <w:p w14:paraId="647C0191" w14:textId="77777777" w:rsidR="00D80461" w:rsidRPr="00F05A8A" w:rsidRDefault="00D80461" w:rsidP="002F075E">
      <w:pPr>
        <w:pStyle w:val="Headingb"/>
        <w:ind w:left="0" w:firstLine="0"/>
      </w:pPr>
      <w:bookmarkStart w:id="176" w:name="_Toc41032058"/>
      <w:bookmarkStart w:id="177" w:name="_Toc72845034"/>
      <w:bookmarkStart w:id="178" w:name="_Toc72846380"/>
      <w:bookmarkStart w:id="179" w:name="_Toc72846608"/>
      <w:bookmarkStart w:id="180" w:name="_Toc95387475"/>
      <w:r w:rsidRPr="00F05A8A">
        <w:t>Technologies de l'information quantique</w:t>
      </w:r>
      <w:bookmarkEnd w:id="176"/>
      <w:r w:rsidRPr="00F05A8A">
        <w:t>s</w:t>
      </w:r>
      <w:bookmarkEnd w:id="177"/>
      <w:bookmarkEnd w:id="178"/>
      <w:bookmarkEnd w:id="179"/>
      <w:bookmarkEnd w:id="180"/>
    </w:p>
    <w:p w14:paraId="0455066C" w14:textId="77777777" w:rsidR="00D80461" w:rsidRPr="00F05A8A" w:rsidRDefault="00D80461" w:rsidP="002F075E">
      <w:r w:rsidRPr="00F05A8A">
        <w:t>Les technologies de l'information quantiques permettent d'améliorer la capacité de traitement des informations en tirant parti des principes de la mécanique quantique. Elles ont été porteuses de la deuxième révolution quantique et auront des répercussions profondes sur les réseaux TIC.</w:t>
      </w:r>
    </w:p>
    <w:p w14:paraId="4CE4228B" w14:textId="77777777" w:rsidR="00D80461" w:rsidRPr="00F05A8A" w:rsidRDefault="00D80461" w:rsidP="002F075E">
      <w:pPr>
        <w:jc w:val="both"/>
        <w:rPr>
          <w:rFonts w:eastAsia="Calibri"/>
          <w:sz w:val="22"/>
        </w:rPr>
      </w:pPr>
      <w:r w:rsidRPr="00F05A8A">
        <w:rPr>
          <w:rFonts w:eastAsia="Calibri"/>
        </w:rPr>
        <w:t>L'UIT mène les activités suivantes dans le domaine des technologies de l'information quantiques:</w:t>
      </w:r>
    </w:p>
    <w:p w14:paraId="670E0902" w14:textId="77777777" w:rsidR="00D80461" w:rsidRPr="00F05A8A" w:rsidRDefault="00D80461" w:rsidP="002F075E">
      <w:pPr>
        <w:pStyle w:val="enumlev1"/>
        <w:rPr>
          <w:rFonts w:eastAsia="Calibri"/>
        </w:rPr>
      </w:pPr>
      <w:r w:rsidRPr="00F05A8A">
        <w:rPr>
          <w:rFonts w:eastAsia="Calibri"/>
        </w:rPr>
        <w:t>•</w:t>
      </w:r>
      <w:r w:rsidRPr="00F05A8A">
        <w:rPr>
          <w:rFonts w:eastAsia="Calibri"/>
        </w:rPr>
        <w:tab/>
        <w:t>Normalisation des technologies de l'information quantiques (voir la section 1.3).</w:t>
      </w:r>
    </w:p>
    <w:p w14:paraId="207C7BC1" w14:textId="77777777" w:rsidR="00D80461" w:rsidRPr="00F05A8A" w:rsidRDefault="00D80461" w:rsidP="002F075E">
      <w:pPr>
        <w:pStyle w:val="enumlev1"/>
        <w:rPr>
          <w:rFonts w:eastAsia="Calibri"/>
        </w:rPr>
      </w:pPr>
      <w:r w:rsidRPr="00F05A8A">
        <w:rPr>
          <w:rFonts w:eastAsia="Calibri"/>
        </w:rPr>
        <w:t>•</w:t>
      </w:r>
      <w:r w:rsidRPr="00F05A8A">
        <w:rPr>
          <w:rFonts w:eastAsia="Calibri"/>
        </w:rPr>
        <w:tab/>
        <w:t xml:space="preserve">Plusieurs Commissions d'études de l'UIT-T, notamment les CE 11, 13 et 17, élaborent des Recommandations UIT-T dans ce domaine. Jusqu'à maintenant, les travaux ont débouché sur des Recommandations et des Suppléments UIT-T des séries </w:t>
      </w:r>
      <w:hyperlink r:id="rId81" w:history="1">
        <w:r w:rsidRPr="00F05A8A">
          <w:rPr>
            <w:rStyle w:val="Hyperlink"/>
            <w:rFonts w:eastAsia="Calibri"/>
          </w:rPr>
          <w:t>X</w:t>
        </w:r>
      </w:hyperlink>
      <w:r w:rsidRPr="00F05A8A">
        <w:rPr>
          <w:rFonts w:eastAsia="Calibri"/>
        </w:rPr>
        <w:t xml:space="preserve"> et </w:t>
      </w:r>
      <w:hyperlink r:id="rId82" w:history="1">
        <w:r w:rsidRPr="00F05A8A">
          <w:rPr>
            <w:rStyle w:val="Hyperlink"/>
            <w:rFonts w:eastAsia="Calibri"/>
          </w:rPr>
          <w:t>Y</w:t>
        </w:r>
      </w:hyperlink>
      <w:r w:rsidRPr="00F05A8A">
        <w:rPr>
          <w:rFonts w:eastAsia="Calibri"/>
        </w:rPr>
        <w:t>.</w:t>
      </w:r>
    </w:p>
    <w:p w14:paraId="62A44F69" w14:textId="77777777" w:rsidR="00D80461" w:rsidRPr="00F05A8A" w:rsidRDefault="00D80461" w:rsidP="002F075E">
      <w:pPr>
        <w:pStyle w:val="enumlev1"/>
        <w:rPr>
          <w:rFonts w:eastAsia="Calibri"/>
        </w:rPr>
      </w:pPr>
      <w:r w:rsidRPr="00F05A8A">
        <w:rPr>
          <w:rFonts w:eastAsia="Calibri"/>
        </w:rPr>
        <w:t>•</w:t>
      </w:r>
      <w:r w:rsidRPr="00F05A8A">
        <w:rPr>
          <w:rFonts w:eastAsia="Calibri"/>
        </w:rPr>
        <w:tab/>
        <w:t xml:space="preserve">Le </w:t>
      </w:r>
      <w:hyperlink r:id="rId83" w:history="1">
        <w:r w:rsidRPr="00F05A8A">
          <w:rPr>
            <w:rStyle w:val="Hyperlink"/>
            <w:rFonts w:eastAsia="Calibri"/>
          </w:rPr>
          <w:t>Groupe spécialisé de l'UIT-T sur les technologies de l'information quantiques pour les réseaux</w:t>
        </w:r>
      </w:hyperlink>
      <w:r w:rsidRPr="00F05A8A">
        <w:rPr>
          <w:rFonts w:eastAsia="Calibri"/>
        </w:rPr>
        <w:t xml:space="preserve"> (FG-QIT4N) constituait une plate-forme collaborative axée sur l'examen préalable à la normalisation des aspects liés aux technologies de l'information quantiques pour les réseaux. Il a adopté neuf rapports techniques.</w:t>
      </w:r>
    </w:p>
    <w:p w14:paraId="5487671B" w14:textId="77777777" w:rsidR="00D80461" w:rsidRPr="00F05A8A" w:rsidRDefault="00D80461" w:rsidP="002F075E">
      <w:pPr>
        <w:pStyle w:val="enumlev1"/>
        <w:rPr>
          <w:rFonts w:eastAsia="Calibri"/>
        </w:rPr>
      </w:pPr>
      <w:r w:rsidRPr="00F05A8A">
        <w:rPr>
          <w:rFonts w:eastAsia="Calibri"/>
        </w:rPr>
        <w:t>•</w:t>
      </w:r>
      <w:r w:rsidRPr="00F05A8A">
        <w:rPr>
          <w:rFonts w:eastAsia="Calibri"/>
        </w:rPr>
        <w:tab/>
        <w:t xml:space="preserve">Une </w:t>
      </w:r>
      <w:hyperlink r:id="rId84" w:history="1">
        <w:r w:rsidRPr="00F05A8A">
          <w:rPr>
            <w:rStyle w:val="Hyperlink"/>
            <w:rFonts w:eastAsia="Calibri"/>
          </w:rPr>
          <w:t>série de webinaires</w:t>
        </w:r>
      </w:hyperlink>
      <w:r w:rsidRPr="00F05A8A">
        <w:rPr>
          <w:rFonts w:eastAsia="Calibri"/>
        </w:rPr>
        <w:t xml:space="preserve"> organisée en 2021 qui étudie les applications innovantes des technologies de l'information quantiques, leurs incidences sur la sécurité et sur les réseaux informatiques et TIC classiques; et les discussions sur les feuilles de route correspondantes en vue de la mise en place des réseaux quantiques.</w:t>
      </w:r>
    </w:p>
    <w:p w14:paraId="698B493A" w14:textId="77777777" w:rsidR="00D80461" w:rsidRPr="00F05A8A" w:rsidRDefault="00D80461" w:rsidP="002F075E">
      <w:pPr>
        <w:pStyle w:val="enumlev1"/>
      </w:pPr>
      <w:r w:rsidRPr="00F05A8A">
        <w:rPr>
          <w:rFonts w:eastAsia="Calibri"/>
        </w:rPr>
        <w:t>•</w:t>
      </w:r>
      <w:r w:rsidRPr="00F05A8A">
        <w:rPr>
          <w:rFonts w:eastAsia="Calibri"/>
        </w:rPr>
        <w:tab/>
        <w:t>Organisation de l'</w:t>
      </w:r>
      <w:hyperlink r:id="rId85" w:history="1">
        <w:r w:rsidRPr="00F05A8A">
          <w:rPr>
            <w:rStyle w:val="Hyperlink"/>
            <w:rFonts w:eastAsia="Calibri"/>
          </w:rPr>
          <w:t>atelier de l'UIT sur l'informatique quantique pour les réseaux</w:t>
        </w:r>
      </w:hyperlink>
      <w:r w:rsidRPr="00F05A8A">
        <w:rPr>
          <w:rFonts w:eastAsia="Calibri"/>
        </w:rPr>
        <w:t xml:space="preserve"> en juin 2019.</w:t>
      </w:r>
    </w:p>
    <w:p w14:paraId="1F852EC8" w14:textId="77777777" w:rsidR="00D80461" w:rsidRPr="00F05A8A" w:rsidRDefault="00D80461" w:rsidP="002F075E">
      <w:pPr>
        <w:pStyle w:val="Heading2"/>
      </w:pPr>
      <w:bookmarkStart w:id="181" w:name="_1.5_Environnement_et"/>
      <w:bookmarkStart w:id="182" w:name="_Toc41032060"/>
      <w:bookmarkStart w:id="183" w:name="_Toc72846609"/>
      <w:bookmarkStart w:id="184" w:name="_Toc98513604"/>
      <w:bookmarkStart w:id="185" w:name="_Toc107466569"/>
      <w:bookmarkEnd w:id="181"/>
      <w:r w:rsidRPr="00F05A8A">
        <w:t>1.5</w:t>
      </w:r>
      <w:r w:rsidRPr="00F05A8A">
        <w:tab/>
        <w:t>Environnement et villes et communautés intelligentes et durables</w:t>
      </w:r>
      <w:bookmarkStart w:id="186" w:name="Section_1_5"/>
      <w:bookmarkEnd w:id="182"/>
      <w:bookmarkEnd w:id="183"/>
      <w:bookmarkEnd w:id="184"/>
      <w:bookmarkEnd w:id="185"/>
    </w:p>
    <w:bookmarkEnd w:id="186"/>
    <w:p w14:paraId="53607A09" w14:textId="77777777" w:rsidR="00D80461" w:rsidRPr="00F05A8A" w:rsidRDefault="00D80461" w:rsidP="002F075E">
      <w:pPr>
        <w:rPr>
          <w:sz w:val="22"/>
          <w:lang w:eastAsia="en-GB"/>
        </w:rPr>
      </w:pPr>
      <w:r w:rsidRPr="00F05A8A">
        <w:rPr>
          <w:lang w:eastAsia="en-GB"/>
        </w:rPr>
        <w:t>Les TIC offrent des possibilités non seulement pour parvenir au développement durable, mais aussi pour faire face aux effets des changements climatiques. Elles fournissent des applications intelligentes, transforment la fourniture de services et peuvent réduire l'empreinte carbone en matière de gestion de l'énergie, de l'eau et des déchets.</w:t>
      </w:r>
    </w:p>
    <w:p w14:paraId="37367AC5" w14:textId="77777777" w:rsidR="00D80461" w:rsidRPr="00F05A8A" w:rsidRDefault="00D80461" w:rsidP="002F075E">
      <w:pPr>
        <w:rPr>
          <w:lang w:eastAsia="en-GB"/>
        </w:rPr>
      </w:pPr>
      <w:r w:rsidRPr="00F05A8A">
        <w:rPr>
          <w:lang w:eastAsia="en-GB"/>
        </w:rPr>
        <w:lastRenderedPageBreak/>
        <w:t>Cependant, la croissance de la société de l'information entraîne une hausse de la consommation d'énergie et des émissions de gaz à effet de serre (GES). Le volume des déchets d'équipements électriques et électroniques augmente, et ces déchets sont dangereux pour la santé et l'environnement.</w:t>
      </w:r>
    </w:p>
    <w:p w14:paraId="4010A6B1" w14:textId="77777777" w:rsidR="00D80461" w:rsidRPr="00F05A8A" w:rsidRDefault="00D80461" w:rsidP="002F075E">
      <w:pPr>
        <w:rPr>
          <w:lang w:eastAsia="en-GB"/>
        </w:rPr>
      </w:pPr>
      <w:r w:rsidRPr="00F05A8A">
        <w:rPr>
          <w:lang w:eastAsia="en-GB"/>
        </w:rPr>
        <w:t>Afin d'atteindre son but stratégique de durabilité, l'UIT doit gérer les risques, défis et possibilités qui se font jour et qui découlent de la croissance rapide des télécommunications/TIC. Pour ce faire, l'UIT, en collaboration avec d'autres institutions des Nations Unies, élabore actuellement un kit pratique sur la transformation numérique durable.</w:t>
      </w:r>
    </w:p>
    <w:p w14:paraId="59D7A6F2" w14:textId="77777777" w:rsidR="00D80461" w:rsidRPr="00F05A8A" w:rsidRDefault="00D80461" w:rsidP="002F075E">
      <w:r w:rsidRPr="00F05A8A">
        <w:rPr>
          <w:lang w:eastAsia="en-GB"/>
        </w:rPr>
        <w:t>Une vue d'ensemble des activités menées par l'UIT concernant l'environnement, les villes et communautés intelligentes et durables et les télécommunications d'urgence est présentée ci</w:t>
      </w:r>
      <w:r w:rsidRPr="00F05A8A">
        <w:rPr>
          <w:lang w:eastAsia="en-GB"/>
        </w:rPr>
        <w:noBreakHyphen/>
        <w:t>dessous.</w:t>
      </w:r>
      <w:hyperlink w:anchor="Resolution_197" w:history="1">
        <w:r w:rsidRPr="00F05A8A">
          <w:rPr>
            <w:rStyle w:val="Hyperlink"/>
          </w:rPr>
          <w:t>Resolution_197</w:t>
        </w:r>
      </w:hyperlink>
    </w:p>
    <w:p w14:paraId="412C792A" w14:textId="77777777" w:rsidR="00D80461" w:rsidRPr="00F05A8A" w:rsidRDefault="00D80461" w:rsidP="002F075E">
      <w:pPr>
        <w:pStyle w:val="Headingb"/>
        <w:tabs>
          <w:tab w:val="right" w:pos="9639"/>
        </w:tabs>
      </w:pPr>
      <w:bookmarkStart w:id="187" w:name="_Toc41032061"/>
      <w:bookmarkStart w:id="188" w:name="_Toc72845036"/>
      <w:bookmarkStart w:id="189" w:name="_Toc72846381"/>
      <w:bookmarkStart w:id="190" w:name="_Toc72846610"/>
      <w:bookmarkStart w:id="191" w:name="_Toc95387477"/>
      <w:r w:rsidRPr="00F05A8A">
        <w:t>Changements climatiques</w:t>
      </w:r>
      <w:bookmarkEnd w:id="187"/>
      <w:bookmarkEnd w:id="188"/>
      <w:bookmarkEnd w:id="189"/>
      <w:bookmarkEnd w:id="190"/>
      <w:r w:rsidRPr="00F05A8A">
        <w:t xml:space="preserve"> et TIC: alimenter et favoriser le débat mondial</w:t>
      </w:r>
      <w:bookmarkEnd w:id="191"/>
    </w:p>
    <w:p w14:paraId="623125A2" w14:textId="77777777" w:rsidR="00D80461" w:rsidRPr="00F05A8A" w:rsidRDefault="00D80461" w:rsidP="002F075E">
      <w:pPr>
        <w:pStyle w:val="enumlev1"/>
        <w:rPr>
          <w:sz w:val="22"/>
          <w:lang w:eastAsia="en-GB"/>
        </w:rPr>
      </w:pPr>
      <w:r w:rsidRPr="00F05A8A">
        <w:rPr>
          <w:lang w:eastAsia="en-GB"/>
        </w:rPr>
        <w:t>•</w:t>
      </w:r>
      <w:r w:rsidRPr="00F05A8A">
        <w:rPr>
          <w:lang w:eastAsia="en-GB"/>
        </w:rPr>
        <w:tab/>
        <w:t>La CE 7 de l'UIT-R élabore actuellement des Recommandations relatives aux </w:t>
      </w:r>
      <w:hyperlink r:id="rId86" w:history="1">
        <w:r w:rsidRPr="00F05A8A">
          <w:rPr>
            <w:rStyle w:val="Hyperlink"/>
          </w:rPr>
          <w:t>systèmes de télédétection</w:t>
        </w:r>
      </w:hyperlink>
      <w:r w:rsidRPr="00F05A8A">
        <w:rPr>
          <w:lang w:eastAsia="en-GB"/>
        </w:rPr>
        <w:t> et aux </w:t>
      </w:r>
      <w:hyperlink r:id="rId87" w:history="1">
        <w:r w:rsidRPr="00F05A8A">
          <w:rPr>
            <w:rStyle w:val="Hyperlink"/>
          </w:rPr>
          <w:t>applications spatiales</w:t>
        </w:r>
      </w:hyperlink>
      <w:r w:rsidRPr="00F05A8A">
        <w:rPr>
          <w:lang w:eastAsia="en-GB"/>
        </w:rPr>
        <w:t xml:space="preserve">. La CE 5 de l'UIT-T élabore actuellement des Recommandations relatives aux déchets d'équipements électriques et électroniques, à l'économie circulaire et aux changements climatiques. Au titre de la </w:t>
      </w:r>
      <w:hyperlink r:id="rId88" w:tgtFrame="_blank" w:history="1">
        <w:r w:rsidRPr="00F05A8A">
          <w:rPr>
            <w:rStyle w:val="Hyperlink"/>
            <w:lang w:eastAsia="en-GB"/>
          </w:rPr>
          <w:t>Question 6/2</w:t>
        </w:r>
        <w:r w:rsidRPr="00F05A8A">
          <w:t>, la Commission d'études 2 de l'UIT-D examine la manière dont les TIC peuvent </w:t>
        </w:r>
      </w:hyperlink>
      <w:r w:rsidRPr="00F05A8A">
        <w:rPr>
          <w:lang w:eastAsia="en-GB"/>
        </w:rPr>
        <w:t>nous aider à nous adapter aux effets des changements climatiques.</w:t>
      </w:r>
    </w:p>
    <w:p w14:paraId="127DAED7" w14:textId="77777777" w:rsidR="00D80461" w:rsidRPr="00F05A8A" w:rsidRDefault="00D80461" w:rsidP="002F075E">
      <w:pPr>
        <w:pStyle w:val="enumlev1"/>
        <w:rPr>
          <w:rFonts w:eastAsia="Calibri"/>
        </w:rPr>
      </w:pPr>
      <w:r w:rsidRPr="00F05A8A">
        <w:rPr>
          <w:lang w:eastAsia="en-GB"/>
        </w:rPr>
        <w:t>•</w:t>
      </w:r>
      <w:r w:rsidRPr="00F05A8A">
        <w:rPr>
          <w:lang w:eastAsia="en-GB"/>
        </w:rPr>
        <w:tab/>
      </w:r>
      <w:r w:rsidRPr="00F05A8A">
        <w:t>L'UIT a élaboré une norme TIC contenant les</w:t>
      </w:r>
      <w:r w:rsidRPr="00F05A8A">
        <w:rPr>
          <w:rFonts w:eastAsia="Calibri"/>
        </w:rPr>
        <w:t xml:space="preserve"> </w:t>
      </w:r>
      <w:hyperlink r:id="rId89" w:history="1">
        <w:r w:rsidRPr="00F05A8A">
          <w:rPr>
            <w:rStyle w:val="Hyperlink"/>
          </w:rPr>
          <w:t>trajectoires des émissions de gaz à effet de serre</w:t>
        </w:r>
      </w:hyperlink>
      <w:r w:rsidRPr="00F05A8A">
        <w:t>, compatible avec l'Accord de Paris adopté par la CCNUCC, qui donne des orientations applicables aux TIC en vue de réduire les émissions GES de 45% entre 2020 et 2030.</w:t>
      </w:r>
    </w:p>
    <w:p w14:paraId="7AA932A9" w14:textId="77777777" w:rsidR="00D80461" w:rsidRPr="00F05A8A" w:rsidRDefault="00D80461" w:rsidP="002F075E">
      <w:pPr>
        <w:pStyle w:val="enumlev1"/>
        <w:rPr>
          <w:lang w:eastAsia="en-GB"/>
        </w:rPr>
      </w:pPr>
      <w:r w:rsidRPr="00F05A8A">
        <w:rPr>
          <w:lang w:eastAsia="en-GB"/>
        </w:rPr>
        <w:t>•</w:t>
      </w:r>
      <w:r w:rsidRPr="00F05A8A">
        <w:rPr>
          <w:lang w:eastAsia="en-GB"/>
        </w:rPr>
        <w:tab/>
      </w:r>
      <w:r w:rsidRPr="00F05A8A">
        <w:rPr>
          <w:szCs w:val="24"/>
          <w:lang w:eastAsia="en-GB"/>
        </w:rPr>
        <w:t>L'UIT a participé à la vingt-sixième Conférence des Nations Unies sur les changements climatiques (COP26) à Glasgow, en organisant conjointement des manifestations parallèles sur l'accélération de la lutte contre les changements climatiques, l'innovation, la collaboration, l'efficacité énergétique et</w:t>
      </w:r>
      <w:r w:rsidRPr="00F05A8A">
        <w:rPr>
          <w:lang w:eastAsia="en-GB"/>
        </w:rPr>
        <w:t xml:space="preserve"> la neutralité carbone des villes.</w:t>
      </w:r>
    </w:p>
    <w:p w14:paraId="48098550" w14:textId="77777777" w:rsidR="00D80461" w:rsidRPr="00F05A8A" w:rsidRDefault="00D80461" w:rsidP="002F075E">
      <w:pPr>
        <w:pStyle w:val="enumlev1"/>
        <w:keepLines/>
        <w:rPr>
          <w:lang w:eastAsia="en-GB"/>
        </w:rPr>
      </w:pPr>
      <w:r w:rsidRPr="00F05A8A">
        <w:rPr>
          <w:lang w:eastAsia="en-GB"/>
        </w:rPr>
        <w:t>•</w:t>
      </w:r>
      <w:r w:rsidRPr="00F05A8A">
        <w:rPr>
          <w:lang w:eastAsia="en-GB"/>
        </w:rPr>
        <w:tab/>
        <w:t xml:space="preserve">L'UIT a notamment rédigé les publications </w:t>
      </w:r>
      <w:hyperlink r:id="rId90" w:history="1">
        <w:r w:rsidRPr="00F05A8A">
          <w:rPr>
            <w:rStyle w:val="Hyperlink"/>
          </w:rPr>
          <w:t>Turning digital technology innovation into climate action</w:t>
        </w:r>
      </w:hyperlink>
      <w:r w:rsidRPr="00F05A8A">
        <w:t xml:space="preserve"> </w:t>
      </w:r>
      <w:r w:rsidRPr="00F05A8A">
        <w:rPr>
          <w:lang w:eastAsia="en-GB"/>
        </w:rPr>
        <w:t xml:space="preserve">(Mettre l'innovation numérique au service de la lutte contre les changements climatiques) (2019) et </w:t>
      </w:r>
      <w:hyperlink r:id="rId91" w:history="1">
        <w:r w:rsidRPr="00F05A8A">
          <w:rPr>
            <w:rStyle w:val="Hyperlink"/>
          </w:rPr>
          <w:t>Frontier technologies to protect the environment and tackle climate change</w:t>
        </w:r>
      </w:hyperlink>
      <w:r w:rsidRPr="00F05A8A">
        <w:rPr>
          <w:lang w:eastAsia="en-GB"/>
        </w:rPr>
        <w:t xml:space="preserve"> (Les nouvelles technologies au service de la protection de l'environnement et de la lutte contre les changements climatiques) (2020).</w:t>
      </w:r>
    </w:p>
    <w:p w14:paraId="304C3B16" w14:textId="77777777" w:rsidR="00D80461" w:rsidRPr="00F05A8A" w:rsidRDefault="00D80461" w:rsidP="002F075E">
      <w:pPr>
        <w:pStyle w:val="enumlev1"/>
      </w:pPr>
      <w:r w:rsidRPr="00F05A8A">
        <w:rPr>
          <w:lang w:eastAsia="en-GB"/>
        </w:rPr>
        <w:t>•</w:t>
      </w:r>
      <w:r w:rsidRPr="00F05A8A">
        <w:rPr>
          <w:lang w:eastAsia="en-GB"/>
        </w:rPr>
        <w:tab/>
        <w:t>L'UIT fait partie de la Coalition pour la viabilité écologique à l'ère du numérique.</w:t>
      </w:r>
    </w:p>
    <w:p w14:paraId="7783797B" w14:textId="77777777" w:rsidR="00D80461" w:rsidRPr="00F05A8A" w:rsidRDefault="00D80461" w:rsidP="002F075E">
      <w:pPr>
        <w:pStyle w:val="Headingb"/>
      </w:pPr>
      <w:bookmarkStart w:id="192" w:name="_Toc41032062"/>
      <w:bookmarkStart w:id="193" w:name="_Toc72845037"/>
      <w:bookmarkStart w:id="194" w:name="_Toc72846382"/>
      <w:bookmarkStart w:id="195" w:name="_Toc72846611"/>
      <w:bookmarkStart w:id="196" w:name="_Toc95387478"/>
      <w:r w:rsidRPr="00F05A8A">
        <w:t>Accélérer la transition vers des villes et communautés intelligentes et durables</w:t>
      </w:r>
      <w:bookmarkEnd w:id="192"/>
      <w:bookmarkEnd w:id="193"/>
      <w:bookmarkEnd w:id="194"/>
      <w:bookmarkEnd w:id="195"/>
      <w:bookmarkEnd w:id="196"/>
    </w:p>
    <w:p w14:paraId="09D85042" w14:textId="77777777" w:rsidR="00D80461" w:rsidRPr="00F05A8A" w:rsidRDefault="00D80461" w:rsidP="002F075E">
      <w:bookmarkStart w:id="197" w:name="lt_pId481"/>
      <w:r w:rsidRPr="00F05A8A">
        <w:t>L'UIT améliore la fiabilité, la sécurité et l'interopérabilité des TIC pour édifier des villes et des communautés intelligentes et durables, et fait la promotion de l'utilisation des TIC pour réduire la consommation d'énergie et améliorer les services et la qualité de vie des citadins.</w:t>
      </w:r>
      <w:bookmarkEnd w:id="197"/>
    </w:p>
    <w:p w14:paraId="4A8BAF18" w14:textId="77777777" w:rsidR="00D80461" w:rsidRPr="00F05A8A" w:rsidRDefault="00D80461" w:rsidP="002F075E">
      <w:pPr>
        <w:pStyle w:val="enumlev1"/>
      </w:pPr>
      <w:r w:rsidRPr="00F05A8A">
        <w:rPr>
          <w:lang w:eastAsia="en-GB"/>
        </w:rPr>
        <w:t>•</w:t>
      </w:r>
      <w:r w:rsidRPr="00F05A8A">
        <w:rPr>
          <w:lang w:eastAsia="en-GB"/>
        </w:rPr>
        <w:tab/>
      </w:r>
      <w:r w:rsidRPr="00F05A8A">
        <w:t>L'UIT, en collaboration avec d'autres institutions des Nations Unies, élabore un kit pratique sur la transformation numérique des villes et communautés intelligentes axées sur l'humain.</w:t>
      </w:r>
    </w:p>
    <w:p w14:paraId="6BC9119E" w14:textId="77777777" w:rsidR="00D80461" w:rsidRPr="00F05A8A" w:rsidRDefault="00D80461" w:rsidP="002F075E">
      <w:pPr>
        <w:pStyle w:val="enumlev1"/>
      </w:pPr>
      <w:r w:rsidRPr="00F05A8A">
        <w:rPr>
          <w:lang w:eastAsia="en-GB"/>
        </w:rPr>
        <w:t>•</w:t>
      </w:r>
      <w:r w:rsidRPr="00F05A8A">
        <w:rPr>
          <w:lang w:eastAsia="en-GB"/>
        </w:rPr>
        <w:tab/>
      </w:r>
      <w:r w:rsidRPr="00F05A8A">
        <w:t>La CE 5 et la CE 20 de l'UIT-T ont toutes les deux élaboré des normes portant sur les technologies et applications IoT dans les villes et communautés intelligentes.</w:t>
      </w:r>
    </w:p>
    <w:p w14:paraId="1BB5DBCD" w14:textId="77777777" w:rsidR="00D80461" w:rsidRPr="00F05A8A" w:rsidRDefault="00D80461" w:rsidP="002F075E">
      <w:pPr>
        <w:pStyle w:val="enumlev1"/>
      </w:pPr>
      <w:r w:rsidRPr="00F05A8A">
        <w:rPr>
          <w:lang w:eastAsia="en-GB"/>
        </w:rPr>
        <w:t>•</w:t>
      </w:r>
      <w:r w:rsidRPr="00F05A8A">
        <w:rPr>
          <w:lang w:eastAsia="en-GB"/>
        </w:rPr>
        <w:tab/>
      </w:r>
      <w:r w:rsidRPr="00F05A8A">
        <w:t xml:space="preserve">L'UIT, en collaboration avec d'autres organisations, organise des webinaires sur </w:t>
      </w:r>
      <w:hyperlink r:id="rId92" w:history="1">
        <w:r w:rsidRPr="00F05A8A">
          <w:rPr>
            <w:rStyle w:val="Hyperlink"/>
          </w:rPr>
          <w:t>la transformation numérique des villes et des communautés</w:t>
        </w:r>
      </w:hyperlink>
      <w:r w:rsidRPr="00F05A8A">
        <w:t xml:space="preserve"> mettant en avant les résultats des travaux de la CE 20 de l'UIT-T et la transformation numérique des villes et des communautés.</w:t>
      </w:r>
    </w:p>
    <w:p w14:paraId="2ABE15A0" w14:textId="77777777" w:rsidR="00D80461" w:rsidRPr="00F05A8A" w:rsidRDefault="00D80461" w:rsidP="002F075E">
      <w:pPr>
        <w:pStyle w:val="enumlev1"/>
      </w:pPr>
      <w:bookmarkStart w:id="198" w:name="lt_pId484"/>
      <w:r w:rsidRPr="00F05A8A">
        <w:rPr>
          <w:lang w:eastAsia="en-GB"/>
        </w:rPr>
        <w:lastRenderedPageBreak/>
        <w:t>•</w:t>
      </w:r>
      <w:r w:rsidRPr="00F05A8A">
        <w:rPr>
          <w:lang w:eastAsia="en-GB"/>
        </w:rPr>
        <w:tab/>
      </w:r>
      <w:r w:rsidRPr="00F05A8A">
        <w:t>Dans le cadre de l'initiative "Tous unis pour des villes intelligentes et durables" (U4SSC), on a encouragé l'utilisation des technologies numériques dans la transition vers des villes et des communautés intelligentes et durables, en proposant des indicateurs fondamentaux de performance internationaux. Plus de 150 villes ont mis en œuvre ces indicateurs.</w:t>
      </w:r>
      <w:bookmarkStart w:id="199" w:name="lt_pId485"/>
      <w:bookmarkEnd w:id="198"/>
    </w:p>
    <w:p w14:paraId="59505FE8" w14:textId="77777777" w:rsidR="00D80461" w:rsidRPr="00F05A8A" w:rsidRDefault="00D80461" w:rsidP="002F075E">
      <w:pPr>
        <w:pStyle w:val="enumlev1"/>
      </w:pPr>
      <w:r w:rsidRPr="00F05A8A">
        <w:rPr>
          <w:lang w:eastAsia="en-GB"/>
        </w:rPr>
        <w:t>•</w:t>
      </w:r>
      <w:r w:rsidRPr="00F05A8A">
        <w:rPr>
          <w:lang w:eastAsia="en-GB"/>
        </w:rPr>
        <w:tab/>
      </w:r>
      <w:r w:rsidRPr="00F05A8A">
        <w:t xml:space="preserve">En 2019, l'UIT, en collaboration avec d'autres organisations, a organisé la </w:t>
      </w:r>
      <w:hyperlink r:id="rId93" w:history="1">
        <w:r w:rsidRPr="00F05A8A">
          <w:rPr>
            <w:rStyle w:val="Hyperlink"/>
          </w:rPr>
          <w:t>9ème semaine "Normes vertes"</w:t>
        </w:r>
      </w:hyperlink>
      <w:r w:rsidRPr="00F05A8A">
        <w:t xml:space="preserve"> </w:t>
      </w:r>
      <w:bookmarkEnd w:id="199"/>
      <w:r w:rsidRPr="00F05A8A">
        <w:t xml:space="preserve">et la </w:t>
      </w:r>
      <w:hyperlink r:id="rId94" w:history="1">
        <w:r w:rsidRPr="00F05A8A">
          <w:rPr>
            <w:rStyle w:val="Hyperlink"/>
          </w:rPr>
          <w:t>1ère semaine du numérique en Afrique</w:t>
        </w:r>
      </w:hyperlink>
      <w:r w:rsidRPr="00F05A8A">
        <w:t>.</w:t>
      </w:r>
      <w:bookmarkStart w:id="200" w:name="lt_pId487"/>
    </w:p>
    <w:p w14:paraId="7B7C3DBD" w14:textId="77777777" w:rsidR="00D80461" w:rsidRPr="00F05A8A" w:rsidRDefault="00D80461" w:rsidP="002F075E">
      <w:pPr>
        <w:pStyle w:val="enumlev1"/>
      </w:pPr>
      <w:r w:rsidRPr="00F05A8A">
        <w:rPr>
          <w:lang w:eastAsia="en-GB"/>
        </w:rPr>
        <w:t>•</w:t>
      </w:r>
      <w:r w:rsidRPr="00F05A8A">
        <w:rPr>
          <w:lang w:eastAsia="en-GB"/>
        </w:rPr>
        <w:tab/>
      </w:r>
      <w:r w:rsidRPr="00F05A8A">
        <w:t>Une initiative pour les États arabes sur l'IoT et les villes intelligentes a permis de sensibiliser les participants au déploiement de l'IoT dans les villes intelligentes dans la région des États arabes.</w:t>
      </w:r>
      <w:bookmarkEnd w:id="200"/>
    </w:p>
    <w:p w14:paraId="68598287" w14:textId="77777777" w:rsidR="00D80461" w:rsidRPr="00F05A8A" w:rsidRDefault="00D80461" w:rsidP="002F075E">
      <w:pPr>
        <w:pStyle w:val="enumlev1"/>
      </w:pPr>
      <w:r w:rsidRPr="00F05A8A">
        <w:rPr>
          <w:lang w:eastAsia="en-GB"/>
        </w:rPr>
        <w:t>•</w:t>
      </w:r>
      <w:r w:rsidRPr="00F05A8A">
        <w:rPr>
          <w:lang w:eastAsia="en-GB"/>
        </w:rPr>
        <w:tab/>
      </w:r>
      <w:r w:rsidRPr="00F05A8A">
        <w:t xml:space="preserve">Le </w:t>
      </w:r>
      <w:r w:rsidRPr="00F05A8A">
        <w:rPr>
          <w:color w:val="000000"/>
        </w:rPr>
        <w:t>Groupe d'action mixte CEI</w:t>
      </w:r>
      <w:r w:rsidRPr="00F05A8A">
        <w:rPr>
          <w:color w:val="000000"/>
        </w:rPr>
        <w:noBreakHyphen/>
        <w:t>ISO-UIT sur les villes intelligentes a travaillé sur la définition d'une vision globale des villes et communautés intelligentes.</w:t>
      </w:r>
    </w:p>
    <w:p w14:paraId="4CF17372" w14:textId="77777777" w:rsidR="00D80461" w:rsidRPr="00F05A8A" w:rsidRDefault="00D80461" w:rsidP="002F075E">
      <w:pPr>
        <w:keepNext/>
        <w:keepLines/>
        <w:spacing w:after="120"/>
        <w:outlineLvl w:val="4"/>
        <w:rPr>
          <w:b/>
          <w:sz w:val="22"/>
        </w:rPr>
      </w:pPr>
      <w:r w:rsidRPr="00F05A8A">
        <w:rPr>
          <w:b/>
        </w:rPr>
        <w:t>Bâtir des économies circulaires pour les déchets d'équipements électriques et électroniques dans le monde entier</w:t>
      </w:r>
    </w:p>
    <w:p w14:paraId="65E6C6A9" w14:textId="77777777" w:rsidR="00D80461" w:rsidRPr="00F05A8A" w:rsidRDefault="00D80461" w:rsidP="002F075E">
      <w:pPr>
        <w:rPr>
          <w:rFonts w:eastAsia="Calibri"/>
        </w:rPr>
      </w:pPr>
      <w:r w:rsidRPr="00F05A8A">
        <w:rPr>
          <w:rFonts w:eastAsia="Calibri"/>
        </w:rPr>
        <w:t xml:space="preserve">L'UIT mène des travaux relatifs à une économie circulaire pour ce qui est des déchets d'équipements électriques et électroniques – qu'il s'agisse de la collecte de données, de l'amélioration des politiques générales, de l'élaboration de réglementations et de normes, ou encore de l'instauration de partenariats. L'UIT joue un rôle important dans la </w:t>
      </w:r>
      <w:hyperlink r:id="rId95" w:history="1">
        <w:r w:rsidRPr="00F05A8A">
          <w:rPr>
            <w:rStyle w:val="Hyperlink"/>
            <w:rFonts w:eastAsia="Calibri"/>
          </w:rPr>
          <w:t>Coalition des Nations Unies contre les déchets d'équipements électriques et électroniques</w:t>
        </w:r>
      </w:hyperlink>
      <w:r w:rsidRPr="00F05A8A">
        <w:rPr>
          <w:rFonts w:eastAsia="Calibri"/>
        </w:rPr>
        <w:t xml:space="preserve">, est un membre fondateur du </w:t>
      </w:r>
      <w:hyperlink r:id="rId96" w:history="1">
        <w:r w:rsidRPr="00F05A8A">
          <w:rPr>
            <w:rStyle w:val="Hyperlink"/>
            <w:rFonts w:eastAsia="Calibri"/>
          </w:rPr>
          <w:t>Partenariat mondial sur les statistiques relatives aux déchets d'équipements électriques et électroniques</w:t>
        </w:r>
      </w:hyperlink>
      <w:r w:rsidRPr="00F05A8A">
        <w:rPr>
          <w:rFonts w:eastAsia="Calibri"/>
        </w:rPr>
        <w:t xml:space="preserve"> (GESP) et collabore avec le </w:t>
      </w:r>
      <w:hyperlink r:id="rId97" w:history="1">
        <w:r w:rsidRPr="00F05A8A">
          <w:rPr>
            <w:rStyle w:val="Hyperlink"/>
            <w:rFonts w:eastAsia="Calibri"/>
          </w:rPr>
          <w:t>Partenariat pour l'électronique circulaire</w:t>
        </w:r>
      </w:hyperlink>
      <w:r w:rsidRPr="00F05A8A">
        <w:rPr>
          <w:rFonts w:eastAsia="Calibri"/>
        </w:rPr>
        <w:t>.</w:t>
      </w:r>
    </w:p>
    <w:p w14:paraId="616030F6" w14:textId="77777777" w:rsidR="00D80461" w:rsidRPr="00F05A8A" w:rsidRDefault="00D80461" w:rsidP="002F075E">
      <w:pPr>
        <w:pStyle w:val="enumlev1"/>
      </w:pPr>
      <w:r w:rsidRPr="00F05A8A">
        <w:t>•</w:t>
      </w:r>
      <w:r w:rsidRPr="00F05A8A">
        <w:tab/>
        <w:t xml:space="preserve">L'UIT a mené des travaux en vue d'atteindre les cibles définies dans le Programme </w:t>
      </w:r>
      <w:hyperlink r:id="rId98" w:history="1">
        <w:r w:rsidRPr="00F05A8A">
          <w:rPr>
            <w:rStyle w:val="Hyperlink"/>
            <w:rFonts w:eastAsia="Calibri"/>
          </w:rPr>
          <w:t>Connect 2030</w:t>
        </w:r>
      </w:hyperlink>
      <w:r w:rsidRPr="00F05A8A">
        <w:t xml:space="preserve"> en matière de déchets d'équipements électriques et électroniques.</w:t>
      </w:r>
    </w:p>
    <w:p w14:paraId="424338F7" w14:textId="77777777" w:rsidR="00D80461" w:rsidRPr="00F05A8A" w:rsidRDefault="00D80461" w:rsidP="002F075E">
      <w:pPr>
        <w:pStyle w:val="enumlev1"/>
        <w:keepLines/>
        <w:rPr>
          <w:rFonts w:cs="Calibri"/>
          <w:color w:val="000000"/>
        </w:rPr>
      </w:pPr>
      <w:r w:rsidRPr="00F05A8A">
        <w:t>•</w:t>
      </w:r>
      <w:r w:rsidRPr="00F05A8A">
        <w:tab/>
        <w:t>L'UIT a collaboré sur un projet en Amérique latine financé par le Fonds pour l'environnement mondial (FEM); elle collabore avec le Costa Rica et l'Argentine en vue de mettre en œuvre les normes de l'UIT sur les cibles en matière de déchets d'équipements électriques et électroniques et les modèles de certification concernant les recycleurs de ce type de déchets.</w:t>
      </w:r>
    </w:p>
    <w:p w14:paraId="27ED2F47" w14:textId="77777777" w:rsidR="00D80461" w:rsidRPr="00F05A8A" w:rsidRDefault="00D80461" w:rsidP="002F075E">
      <w:pPr>
        <w:pStyle w:val="enumlev1"/>
        <w:rPr>
          <w:color w:val="000000"/>
        </w:rPr>
      </w:pPr>
      <w:r w:rsidRPr="00F05A8A">
        <w:t>•</w:t>
      </w:r>
      <w:r w:rsidRPr="00F05A8A">
        <w:tab/>
        <w:t xml:space="preserve">En 2020, </w:t>
      </w:r>
      <w:r w:rsidRPr="00F05A8A">
        <w:rPr>
          <w:rFonts w:eastAsia="Calibri"/>
          <w:lang w:eastAsia="zh-CN"/>
        </w:rPr>
        <w:t xml:space="preserve">une </w:t>
      </w:r>
      <w:hyperlink r:id="rId99" w:history="1">
        <w:r w:rsidRPr="00F05A8A">
          <w:rPr>
            <w:rStyle w:val="Hyperlink"/>
            <w:rFonts w:eastAsia="Calibri"/>
          </w:rPr>
          <w:t>manifestation régionale a été organisée avec l'UNU et le PNUE</w:t>
        </w:r>
      </w:hyperlink>
      <w:r w:rsidRPr="00F05A8A">
        <w:rPr>
          <w:rFonts w:eastAsia="Calibri"/>
        </w:rPr>
        <w:t xml:space="preserve"> sur les déchets d'équipements électriques et électroniques </w:t>
      </w:r>
      <w:r w:rsidRPr="00F05A8A">
        <w:rPr>
          <w:rFonts w:eastAsia="Calibri"/>
          <w:lang w:eastAsia="zh-CN"/>
        </w:rPr>
        <w:t>et l'harmonisation régionale des politiques, réglementations et normes nationales relatives à ce type de déchets</w:t>
      </w:r>
      <w:r w:rsidRPr="00F05A8A">
        <w:rPr>
          <w:rFonts w:eastAsia="Calibri"/>
        </w:rPr>
        <w:t xml:space="preserve">. </w:t>
      </w:r>
      <w:r w:rsidRPr="00F05A8A">
        <w:rPr>
          <w:color w:val="000000"/>
        </w:rPr>
        <w:t xml:space="preserve">Le </w:t>
      </w:r>
      <w:hyperlink r:id="rId100" w:history="1">
        <w:r w:rsidRPr="00F05A8A">
          <w:rPr>
            <w:rStyle w:val="Hyperlink"/>
            <w:rFonts w:eastAsia="Calibri"/>
          </w:rPr>
          <w:t>rapport sur le suivi des déchets d'équipements électriques et électroniques dans la région des États arabes</w:t>
        </w:r>
      </w:hyperlink>
      <w:r w:rsidRPr="00F05A8A">
        <w:rPr>
          <w:rFonts w:eastAsia="Calibri"/>
          <w:color w:val="000000"/>
        </w:rPr>
        <w:t xml:space="preserve"> </w:t>
      </w:r>
      <w:r w:rsidRPr="00F05A8A">
        <w:rPr>
          <w:color w:val="000000"/>
        </w:rPr>
        <w:t>a permis, pour 22 États arabes, de générer des données et de renforcer les compétences en matière de collecte de statistiques sur les déchets d'équipements électriques et électroniques, ainsi que les méthodes et les outils utilisés à cette fin.</w:t>
      </w:r>
    </w:p>
    <w:p w14:paraId="513B7E93" w14:textId="77777777" w:rsidR="00D80461" w:rsidRPr="00F05A8A" w:rsidRDefault="00D80461" w:rsidP="002F075E">
      <w:pPr>
        <w:pStyle w:val="enumlev1"/>
        <w:rPr>
          <w:color w:val="000000"/>
        </w:rPr>
      </w:pPr>
      <w:r w:rsidRPr="00F05A8A">
        <w:t>•</w:t>
      </w:r>
      <w:r w:rsidRPr="00F05A8A">
        <w:tab/>
      </w:r>
      <w:r w:rsidRPr="00F05A8A">
        <w:rPr>
          <w:rFonts w:eastAsia="Calibri"/>
          <w:color w:val="000000"/>
        </w:rPr>
        <w:t>L'UIT a également appuyé l'élaboration d'un rapport sur le suivi des déchets d'équipements électriques et électroniques à l'échelle régionale pour l'Amérique latine et d'un rapport sur le suivi des déchets d'équipements électriques et électroniques à l'échelle régionale pour la Communauté des États indépendants et la Géorgie, le Turkménistan et l'Ukraine. Un rapport sur le suivi des déchets d'équipements électriques et électroniques à l'échelle régionale pour les Balkans occidentaux est en cours de préparation.</w:t>
      </w:r>
    </w:p>
    <w:p w14:paraId="7273A7B0" w14:textId="77777777" w:rsidR="00D80461" w:rsidRPr="00F05A8A" w:rsidRDefault="00D80461" w:rsidP="002F075E">
      <w:pPr>
        <w:pStyle w:val="enumlev1"/>
      </w:pPr>
      <w:r w:rsidRPr="00F05A8A">
        <w:t>•</w:t>
      </w:r>
      <w:r w:rsidRPr="00F05A8A">
        <w:tab/>
      </w:r>
      <w:r w:rsidRPr="00F05A8A">
        <w:rPr>
          <w:color w:val="000000"/>
        </w:rPr>
        <w:t xml:space="preserve">Le </w:t>
      </w:r>
      <w:hyperlink r:id="rId101" w:history="1">
        <w:r w:rsidRPr="00F05A8A">
          <w:rPr>
            <w:rStyle w:val="Hyperlink"/>
          </w:rPr>
          <w:t>cours en ligne ouvert à tous (MOOC) sur la gestion des déchets d'équipements électriques et électroniques</w:t>
        </w:r>
      </w:hyperlink>
      <w:r w:rsidRPr="00F05A8A">
        <w:t xml:space="preserve">, </w:t>
      </w:r>
      <w:r w:rsidRPr="00F05A8A">
        <w:rPr>
          <w:color w:val="000000"/>
        </w:rPr>
        <w:t>élaboré avec le secrétariat de la Convention de Bâle et l'OMS, a été lancé en 2019. Deux webinaires ont été organisés en 2020.</w:t>
      </w:r>
    </w:p>
    <w:p w14:paraId="59F5066B" w14:textId="77777777" w:rsidR="00D80461" w:rsidRPr="00F05A8A" w:rsidRDefault="00D80461" w:rsidP="002F075E">
      <w:pPr>
        <w:pStyle w:val="enumlev1"/>
        <w:rPr>
          <w:color w:val="000000"/>
        </w:rPr>
      </w:pPr>
      <w:r w:rsidRPr="00F05A8A">
        <w:lastRenderedPageBreak/>
        <w:t>•</w:t>
      </w:r>
      <w:r w:rsidRPr="00F05A8A">
        <w:tab/>
      </w:r>
      <w:r w:rsidRPr="00F05A8A">
        <w:rPr>
          <w:color w:val="000000"/>
        </w:rPr>
        <w:t xml:space="preserve">L'UIT dirige un sous-groupe </w:t>
      </w:r>
      <w:r w:rsidRPr="00F05A8A">
        <w:rPr>
          <w:rFonts w:eastAsia="Calibri"/>
          <w:szCs w:val="24"/>
        </w:rPr>
        <w:t>consacré à la chaîne d'approvisionnement et à la circularité du Réseau de politiques sur l'environnement (</w:t>
      </w:r>
      <w:r w:rsidRPr="00F05A8A">
        <w:rPr>
          <w:rFonts w:eastAsia="Calibri"/>
          <w:i/>
          <w:szCs w:val="24"/>
        </w:rPr>
        <w:t>Policy Network on Environment</w:t>
      </w:r>
      <w:r w:rsidRPr="00F05A8A">
        <w:rPr>
          <w:rFonts w:eastAsia="Calibri"/>
          <w:szCs w:val="24"/>
        </w:rPr>
        <w:t xml:space="preserve">) (PNE) dans le cadre du </w:t>
      </w:r>
      <w:r w:rsidRPr="00F05A8A">
        <w:rPr>
          <w:rFonts w:eastAsia="Calibri"/>
          <w:iCs/>
          <w:szCs w:val="24"/>
        </w:rPr>
        <w:t>Forum</w:t>
      </w:r>
      <w:r w:rsidRPr="00F05A8A">
        <w:rPr>
          <w:rFonts w:eastAsia="Calibri"/>
          <w:szCs w:val="24"/>
        </w:rPr>
        <w:t> sur la gouvernance de l'</w:t>
      </w:r>
      <w:r w:rsidRPr="00F05A8A">
        <w:rPr>
          <w:rFonts w:eastAsia="Calibri"/>
          <w:iCs/>
          <w:szCs w:val="24"/>
        </w:rPr>
        <w:t>Internet des Nations Unies</w:t>
      </w:r>
      <w:r w:rsidRPr="00F05A8A">
        <w:rPr>
          <w:rFonts w:eastAsia="Calibri"/>
          <w:szCs w:val="24"/>
        </w:rPr>
        <w:t>.</w:t>
      </w:r>
    </w:p>
    <w:p w14:paraId="28041DE6" w14:textId="77777777" w:rsidR="00D80461" w:rsidRPr="00F05A8A" w:rsidRDefault="00D80461" w:rsidP="002F075E">
      <w:pPr>
        <w:pStyle w:val="enumlev1"/>
        <w:rPr>
          <w:rFonts w:eastAsia="Calibri"/>
        </w:rPr>
      </w:pPr>
      <w:r w:rsidRPr="00F05A8A">
        <w:t>•</w:t>
      </w:r>
      <w:r w:rsidRPr="00F05A8A">
        <w:tab/>
      </w:r>
      <w:r w:rsidRPr="00F05A8A">
        <w:rPr>
          <w:color w:val="000000"/>
        </w:rPr>
        <w:t>Un</w:t>
      </w:r>
      <w:r w:rsidRPr="00F05A8A">
        <w:rPr>
          <w:rFonts w:eastAsia="Calibri"/>
        </w:rPr>
        <w:t xml:space="preserve"> </w:t>
      </w:r>
      <w:hyperlink r:id="rId102" w:tgtFrame="_blank" w:history="1">
        <w:r w:rsidRPr="00F05A8A">
          <w:rPr>
            <w:rStyle w:val="Hyperlink"/>
          </w:rPr>
          <w:t>atelier de sensibilisation à la politique relative aux déchets d'équipements électriques et électroniques</w:t>
        </w:r>
      </w:hyperlink>
      <w:r w:rsidRPr="00F05A8A">
        <w:rPr>
          <w:color w:val="000000"/>
        </w:rPr>
        <w:t> organisé à Hyderabad (Inde) en 2019 a contribué à créer des liens entre les ministères et les départements afin d'entamer une collaboration dans le domaine des déchets d'équipements électriques et électroniques.</w:t>
      </w:r>
    </w:p>
    <w:p w14:paraId="40FBD107" w14:textId="77777777" w:rsidR="00D80461" w:rsidRPr="00F05A8A" w:rsidRDefault="00D80461" w:rsidP="002F075E">
      <w:pPr>
        <w:pStyle w:val="enumlev1"/>
        <w:rPr>
          <w:rFonts w:eastAsia="Calibri"/>
        </w:rPr>
      </w:pPr>
      <w:r w:rsidRPr="00F05A8A">
        <w:t>•</w:t>
      </w:r>
      <w:r w:rsidRPr="00F05A8A">
        <w:tab/>
      </w:r>
      <w:r w:rsidRPr="00F05A8A">
        <w:rPr>
          <w:color w:val="000000"/>
        </w:rPr>
        <w:t xml:space="preserve">En 2020, </w:t>
      </w:r>
      <w:r w:rsidRPr="00F05A8A">
        <w:rPr>
          <w:rFonts w:eastAsia="Calibri"/>
        </w:rPr>
        <w:t xml:space="preserve">l'UIT a publié le rapport </w:t>
      </w:r>
      <w:hyperlink r:id="rId103" w:history="1">
        <w:r w:rsidRPr="00F05A8A">
          <w:rPr>
            <w:rStyle w:val="Hyperlink"/>
            <w:rFonts w:eastAsia="Calibri"/>
          </w:rPr>
          <w:t>T</w:t>
        </w:r>
        <w:r w:rsidRPr="00F05A8A">
          <w:rPr>
            <w:rStyle w:val="Hyperlink"/>
          </w:rPr>
          <w:t>he Global E-waste Monitor 2020</w:t>
        </w:r>
      </w:hyperlink>
      <w:r w:rsidRPr="00F05A8A">
        <w:rPr>
          <w:rFonts w:eastAsia="Calibri"/>
        </w:rPr>
        <w:t xml:space="preserve"> (Suivi des déchets d'équipements électriques et électroniques à l'échelle mondiale pour 2020), qui a été mis en avant dans des médias d'envergure.</w:t>
      </w:r>
    </w:p>
    <w:p w14:paraId="178ED688" w14:textId="77777777" w:rsidR="00D80461" w:rsidRPr="00F05A8A" w:rsidRDefault="00D80461" w:rsidP="002F075E">
      <w:pPr>
        <w:pStyle w:val="enumlev1"/>
        <w:rPr>
          <w:rFonts w:eastAsia="Calibri"/>
        </w:rPr>
      </w:pPr>
      <w:r w:rsidRPr="00F05A8A">
        <w:t>•</w:t>
      </w:r>
      <w:r w:rsidRPr="00F05A8A">
        <w:tab/>
      </w:r>
      <w:r w:rsidRPr="00F05A8A">
        <w:rPr>
          <w:rFonts w:eastAsia="Calibri"/>
        </w:rPr>
        <w:t xml:space="preserve">Un document de réflexion sur </w:t>
      </w:r>
      <w:hyperlink r:id="rId104" w:history="1">
        <w:r w:rsidRPr="00F05A8A">
          <w:rPr>
            <w:rStyle w:val="Hyperlink"/>
          </w:rPr>
          <w:t>les déchets liés à l'Internet</w:t>
        </w:r>
      </w:hyperlink>
      <w:r w:rsidRPr="00F05A8A">
        <w:rPr>
          <w:rFonts w:eastAsia="Calibri"/>
        </w:rPr>
        <w:t xml:space="preserve"> a été publié dans le cadre de la </w:t>
      </w:r>
      <w:hyperlink r:id="rId105" w:history="1">
        <w:r w:rsidRPr="00F05A8A">
          <w:rPr>
            <w:rStyle w:val="Hyperlink"/>
          </w:rPr>
          <w:t>Journée mondiale contre les déchets d'équipements électriques et électroniques de 2020</w:t>
        </w:r>
      </w:hyperlink>
      <w:r w:rsidRPr="00F05A8A">
        <w:rPr>
          <w:rFonts w:eastAsia="Calibri"/>
        </w:rPr>
        <w:t>.</w:t>
      </w:r>
    </w:p>
    <w:p w14:paraId="5DC8E2D7" w14:textId="77777777" w:rsidR="00D80461" w:rsidRPr="00F05A8A" w:rsidRDefault="00D80461" w:rsidP="002F075E">
      <w:pPr>
        <w:pStyle w:val="enumlev1"/>
        <w:rPr>
          <w:rFonts w:eastAsia="Calibri"/>
        </w:rPr>
      </w:pPr>
      <w:r w:rsidRPr="00F05A8A">
        <w:t>•</w:t>
      </w:r>
      <w:r w:rsidRPr="00F05A8A">
        <w:tab/>
      </w:r>
      <w:r w:rsidRPr="00F05A8A">
        <w:rPr>
          <w:rFonts w:eastAsia="Calibri"/>
        </w:rPr>
        <w:t xml:space="preserve">Dans le cadre du </w:t>
      </w:r>
      <w:hyperlink r:id="rId106" w:history="1">
        <w:r w:rsidRPr="00F05A8A">
          <w:rPr>
            <w:rStyle w:val="Hyperlink"/>
            <w:rFonts w:eastAsia="Calibri"/>
          </w:rPr>
          <w:t>Partenariat mondial sur les statistiques relatives aux déchets d'équipements électriques et électroniques (GESP)</w:t>
        </w:r>
      </w:hyperlink>
      <w:r w:rsidRPr="00F05A8A">
        <w:rPr>
          <w:rFonts w:eastAsia="Calibri"/>
        </w:rPr>
        <w:t xml:space="preserve">, l'UIT et ses partenaires ont mené des activités de renforcement des capacités afin d'améliorer les statistiques relatives aux déchets d'équipements électriques et électroniques dans la région de la CEI, les États arabes, en Afrique de l'Est, en Afrique australe et en Amérique latine. Des rapports nationaux sur le suivi de cette catégorie de déchets sont en cours d'élaboration au Malawi, en Namibie et au Botswana. En Afrique de l'Est, l'UIT travaille avec l'Organisation des communications de l'Afrique de l'Est </w:t>
      </w:r>
      <w:hyperlink r:id="rId107" w:history="1">
        <w:r w:rsidRPr="00F05A8A">
          <w:rPr>
            <w:rStyle w:val="Hyperlink"/>
            <w:rFonts w:eastAsia="Calibri"/>
          </w:rPr>
          <w:t>pour élaborer des enquêtes harmonisées menées auprès des ménages et des entreprises concernant les déchets d'équipements électriques et électroniques</w:t>
        </w:r>
      </w:hyperlink>
      <w:r w:rsidRPr="00F05A8A">
        <w:rPr>
          <w:rFonts w:eastAsia="Calibri"/>
        </w:rPr>
        <w:t>.</w:t>
      </w:r>
    </w:p>
    <w:p w14:paraId="7EB33E39" w14:textId="77777777" w:rsidR="00D80461" w:rsidRPr="00F05A8A" w:rsidRDefault="00D80461" w:rsidP="002F075E">
      <w:pPr>
        <w:pStyle w:val="enumlev1"/>
        <w:keepLines/>
        <w:rPr>
          <w:rFonts w:eastAsia="Calibri"/>
        </w:rPr>
      </w:pPr>
      <w:r w:rsidRPr="00F05A8A">
        <w:t>•</w:t>
      </w:r>
      <w:r w:rsidRPr="00F05A8A">
        <w:tab/>
      </w:r>
      <w:r w:rsidRPr="00F05A8A">
        <w:rPr>
          <w:rFonts w:eastAsia="Calibri"/>
        </w:rPr>
        <w:t>En 2021, l'UIT, en collaboration avec le Forum économique mondial, a publié un kit pratique sur le principe de responsabilité élargie du producteur appliqué à la gestion des déchets d'équipements électriques et électroniques – avec une attention particulière sur les pays d'Afrique.</w:t>
      </w:r>
    </w:p>
    <w:p w14:paraId="3D671508" w14:textId="77777777" w:rsidR="00D80461" w:rsidRPr="00F05A8A" w:rsidRDefault="00D80461" w:rsidP="002F075E">
      <w:pPr>
        <w:pStyle w:val="enumlev1"/>
        <w:rPr>
          <w:rFonts w:eastAsia="Calibri"/>
        </w:rPr>
      </w:pPr>
      <w:r w:rsidRPr="00F05A8A">
        <w:t>•</w:t>
      </w:r>
      <w:r w:rsidRPr="00F05A8A">
        <w:tab/>
      </w:r>
      <w:r w:rsidRPr="00F05A8A">
        <w:rPr>
          <w:rFonts w:eastAsia="Calibri"/>
        </w:rPr>
        <w:t xml:space="preserve">En 2021, l'UIT a organisé un webinaire sur le thème </w:t>
      </w:r>
      <w:hyperlink r:id="rId108" w:history="1">
        <w:r w:rsidRPr="00F05A8A">
          <w:rPr>
            <w:rFonts w:eastAsia="Calibri"/>
          </w:rPr>
          <w:t>"</w:t>
        </w:r>
        <w:r w:rsidRPr="00F05A8A">
          <w:rPr>
            <w:rStyle w:val="Hyperlink"/>
            <w:rFonts w:eastAsia="Calibri"/>
          </w:rPr>
          <w:t>Les déchets d'équipements électriques et électroniques en Asie-Pacifique: un pas vers l'économie circulaire</w:t>
        </w:r>
      </w:hyperlink>
      <w:r w:rsidRPr="00F05A8A">
        <w:rPr>
          <w:rFonts w:eastAsia="Calibri"/>
        </w:rPr>
        <w:t>".</w:t>
      </w:r>
    </w:p>
    <w:p w14:paraId="369EA55B" w14:textId="77777777" w:rsidR="00D80461" w:rsidRPr="00F05A8A" w:rsidRDefault="00D80461" w:rsidP="002F075E">
      <w:pPr>
        <w:pStyle w:val="enumlev1"/>
        <w:rPr>
          <w:rFonts w:eastAsia="Calibri"/>
        </w:rPr>
      </w:pPr>
      <w:r w:rsidRPr="00F05A8A">
        <w:t>•</w:t>
      </w:r>
      <w:r w:rsidRPr="00F05A8A">
        <w:tab/>
      </w:r>
      <w:r w:rsidRPr="00F05A8A">
        <w:rPr>
          <w:rFonts w:eastAsia="Calibri"/>
        </w:rPr>
        <w:t>L'UIT a élaboré une formation en ligne (</w:t>
      </w:r>
      <w:hyperlink r:id="rId109" w:history="1">
        <w:r w:rsidRPr="00F05A8A">
          <w:rPr>
            <w:rStyle w:val="Hyperlink"/>
            <w:rFonts w:eastAsia="Calibri"/>
          </w:rPr>
          <w:t>Introduction aux politiques générales en matière de déchets d'équipements électriques et électroniques</w:t>
        </w:r>
      </w:hyperlink>
      <w:r w:rsidRPr="00F05A8A">
        <w:rPr>
          <w:rFonts w:eastAsia="Calibri"/>
        </w:rPr>
        <w:t>) et offre une assistance technique au Burundi, à la Namibie, au Malawi et à la République dominicaine, notamment au niveau de l'élaboration d'une politique et d'une réglementation nationales en matière de déchets d'équipements électriques et électroniques.</w:t>
      </w:r>
    </w:p>
    <w:p w14:paraId="7F3A588A" w14:textId="77777777" w:rsidR="00D80461" w:rsidRPr="00F05A8A" w:rsidRDefault="00D80461" w:rsidP="002F075E">
      <w:pPr>
        <w:pStyle w:val="enumlev1"/>
        <w:rPr>
          <w:rFonts w:eastAsia="Calibri"/>
        </w:rPr>
      </w:pPr>
      <w:r w:rsidRPr="00F05A8A">
        <w:t>•</w:t>
      </w:r>
      <w:r w:rsidRPr="00F05A8A">
        <w:tab/>
      </w:r>
      <w:r w:rsidRPr="00F05A8A">
        <w:rPr>
          <w:rFonts w:eastAsia="Calibri"/>
        </w:rPr>
        <w:t>L'UIT et le Programme des Nations Unies pour l'environnement intègrent le concept de responsabilité élargie du producteur dans les politiques et les réglementations pour permettre la gestion rationnelle des déchets d'équipements électriques et électroniques et appuient les politiques relatives aux déchets d'équipements électriques et électroniques et les activités de sensibilisation au Botswana, en Namibie, au Rwanda, en Gambie, en République dominicaine et en Ouzbékistan.</w:t>
      </w:r>
    </w:p>
    <w:p w14:paraId="7C63A715" w14:textId="77777777" w:rsidR="00D80461" w:rsidRPr="00F05A8A" w:rsidRDefault="00D80461" w:rsidP="002F075E">
      <w:pPr>
        <w:pStyle w:val="enumlev1"/>
        <w:rPr>
          <w:rFonts w:eastAsia="Calibri"/>
        </w:rPr>
      </w:pPr>
      <w:r w:rsidRPr="00F05A8A">
        <w:t>•</w:t>
      </w:r>
      <w:r w:rsidRPr="00F05A8A">
        <w:tab/>
        <w:t xml:space="preserve">En 2021, l'UIT, en collaboration avec le Forum sur les DEEE, la GSMA et le Groupe Sofies, a publié un document de réflexion (associé à un webinaire) sur les </w:t>
      </w:r>
      <w:hyperlink r:id="rId110" w:history="1">
        <w:r w:rsidRPr="00F05A8A">
          <w:rPr>
            <w:rStyle w:val="Hyperlink"/>
          </w:rPr>
          <w:t>solutions numériques permettant la mise en place d'une chaîne de valeur circulaire pour les équipements électroniques</w:t>
        </w:r>
      </w:hyperlink>
      <w:r w:rsidRPr="00F05A8A">
        <w:rPr>
          <w:rFonts w:eastAsia="Calibri"/>
        </w:rPr>
        <w:t>.</w:t>
      </w:r>
    </w:p>
    <w:p w14:paraId="160DC1B3" w14:textId="77777777" w:rsidR="00D80461" w:rsidRPr="00F05A8A" w:rsidRDefault="00D80461" w:rsidP="002F075E">
      <w:pPr>
        <w:pStyle w:val="enumlev1"/>
        <w:rPr>
          <w:rFonts w:eastAsia="Calibri"/>
        </w:rPr>
      </w:pPr>
      <w:r w:rsidRPr="00F05A8A">
        <w:lastRenderedPageBreak/>
        <w:t>•</w:t>
      </w:r>
      <w:r w:rsidRPr="00F05A8A">
        <w:tab/>
      </w:r>
      <w:r w:rsidRPr="00F05A8A">
        <w:rPr>
          <w:rFonts w:eastAsia="Calibri"/>
        </w:rPr>
        <w:t>L'UIT a ouvert l'</w:t>
      </w:r>
      <w:hyperlink r:id="rId111" w:history="1">
        <w:r w:rsidRPr="00F05A8A">
          <w:rPr>
            <w:rStyle w:val="Hyperlink"/>
            <w:rFonts w:eastAsia="Calibri"/>
          </w:rPr>
          <w:t>atelier de création de symboles sur les déchets d'équipements électriques et électroniques organisé dans le cadre de l'initiative Generation Connect</w:t>
        </w:r>
      </w:hyperlink>
      <w:r w:rsidRPr="00F05A8A">
        <w:rPr>
          <w:rFonts w:eastAsia="Calibri"/>
        </w:rPr>
        <w:t>, afin de sensibiliser les jeunes et de tirer parti de leur participation à l'échelle mondiale.</w:t>
      </w:r>
    </w:p>
    <w:p w14:paraId="28CCA740" w14:textId="77777777" w:rsidR="00D80461" w:rsidRPr="00F05A8A" w:rsidRDefault="00D80461" w:rsidP="002F075E">
      <w:pPr>
        <w:pStyle w:val="Headingb"/>
        <w:tabs>
          <w:tab w:val="clear" w:pos="567"/>
        </w:tabs>
        <w:ind w:left="0" w:firstLine="0"/>
        <w:rPr>
          <w:sz w:val="22"/>
        </w:rPr>
      </w:pPr>
      <w:bookmarkStart w:id="201" w:name="_Toc95387479"/>
      <w:r w:rsidRPr="00F05A8A">
        <w:t>Les TIC: réduction des risques, amélioration des interventions en cas de crise, alerte avancée et télécommunications d'urgence</w:t>
      </w:r>
      <w:bookmarkEnd w:id="201"/>
    </w:p>
    <w:p w14:paraId="4E391711" w14:textId="77777777" w:rsidR="00D80461" w:rsidRPr="00F05A8A" w:rsidRDefault="00D80461" w:rsidP="002F075E">
      <w:pPr>
        <w:pStyle w:val="enumlev1"/>
      </w:pPr>
      <w:r w:rsidRPr="00F05A8A">
        <w:t>•</w:t>
      </w:r>
      <w:r w:rsidRPr="00F05A8A">
        <w:rPr>
          <w:rFonts w:eastAsia="Calibri"/>
        </w:rPr>
        <w:tab/>
      </w:r>
      <w:hyperlink r:id="rId112" w:history="1">
        <w:r w:rsidRPr="00F05A8A">
          <w:rPr>
            <w:rStyle w:val="Hyperlink"/>
            <w:rFonts w:eastAsia="Calibri"/>
          </w:rPr>
          <w:t>Le 3ème Forum mondial sur les télécommunications d'urgence (GET-19)</w:t>
        </w:r>
      </w:hyperlink>
      <w:r w:rsidRPr="00F05A8A">
        <w:t>, organisé en 2019 à Maurice, portait sur la réduction des risques de catastrophe, les télécommunications d'urgence nationales, les infrastructures et la coordination nationale.</w:t>
      </w:r>
    </w:p>
    <w:p w14:paraId="7F36D8B0" w14:textId="77777777" w:rsidR="00D80461" w:rsidRPr="00F05A8A" w:rsidRDefault="00D80461" w:rsidP="002F075E">
      <w:pPr>
        <w:pStyle w:val="enumlev1"/>
        <w:rPr>
          <w:rFonts w:eastAsia="Calibri" w:cs="Calibri"/>
        </w:rPr>
      </w:pPr>
      <w:r w:rsidRPr="00F05A8A">
        <w:t>•</w:t>
      </w:r>
      <w:r w:rsidRPr="00F05A8A">
        <w:rPr>
          <w:rFonts w:eastAsia="Calibri"/>
        </w:rPr>
        <w:tab/>
        <w:t xml:space="preserve">Le rapport intitulé </w:t>
      </w:r>
      <w:hyperlink r:id="rId113" w:history="1">
        <w:r w:rsidRPr="00F05A8A">
          <w:rPr>
            <w:rStyle w:val="Hyperlink"/>
          </w:rPr>
          <w:t>"Les technologies de rupture et leur utilisation au service de la réduction et de la gestion des risques de catastrophe"</w:t>
        </w:r>
      </w:hyperlink>
      <w:r w:rsidRPr="00F05A8A">
        <w:rPr>
          <w:rFonts w:eastAsia="Calibri"/>
        </w:rPr>
        <w:t>, publié en 2019, examine comment l'IA, l'IoT, les mégadonnées, la robotique et la technologie des drones transforment les activités liées à la réduction des risques de catastrophe.</w:t>
      </w:r>
    </w:p>
    <w:p w14:paraId="7623DF41" w14:textId="77777777" w:rsidR="00D80461" w:rsidRPr="00F05A8A" w:rsidRDefault="00D80461" w:rsidP="002F075E">
      <w:pPr>
        <w:pStyle w:val="enumlev1"/>
      </w:pPr>
      <w:r w:rsidRPr="00F05A8A">
        <w:t>•</w:t>
      </w:r>
      <w:r w:rsidRPr="00F05A8A">
        <w:rPr>
          <w:rFonts w:eastAsia="Calibri"/>
        </w:rPr>
        <w:tab/>
        <w:t xml:space="preserve">En 2020, l'UIT a lancé de nouvelles lignes directrices applicables à l'élaboration et à la mise en œuvre des </w:t>
      </w:r>
      <w:hyperlink r:id="rId114" w:history="1">
        <w:r w:rsidRPr="00F05A8A">
          <w:rPr>
            <w:rStyle w:val="Hyperlink"/>
          </w:rPr>
          <w:t>plans nationaux pour les télécommunications d'urgence (NETP)</w:t>
        </w:r>
      </w:hyperlink>
      <w:r w:rsidRPr="00F05A8A">
        <w:t xml:space="preserve">, et aux </w:t>
      </w:r>
      <w:hyperlink r:id="rId115" w:history="1">
        <w:r w:rsidRPr="00F05A8A">
          <w:rPr>
            <w:rStyle w:val="Hyperlink"/>
            <w:rFonts w:eastAsia="Calibri"/>
          </w:rPr>
          <w:t>exercices de simulation</w:t>
        </w:r>
      </w:hyperlink>
      <w:r w:rsidRPr="00F05A8A">
        <w:t xml:space="preserve">. Elles ont été complétées par de </w:t>
      </w:r>
      <w:hyperlink r:id="rId116" w:history="1">
        <w:r w:rsidRPr="00F05A8A">
          <w:rPr>
            <w:rStyle w:val="Hyperlink"/>
            <w:rFonts w:eastAsia="Calibri"/>
          </w:rPr>
          <w:t>nouveaux cours de formation en ligne</w:t>
        </w:r>
      </w:hyperlink>
      <w:r w:rsidRPr="00F05A8A">
        <w:t>.</w:t>
      </w:r>
    </w:p>
    <w:p w14:paraId="5938C29D" w14:textId="77777777" w:rsidR="00D80461" w:rsidRPr="00F05A8A" w:rsidRDefault="00D80461" w:rsidP="002F075E">
      <w:pPr>
        <w:pStyle w:val="enumlev1"/>
        <w:rPr>
          <w:rFonts w:cs="Calibri"/>
        </w:rPr>
      </w:pPr>
      <w:r w:rsidRPr="00F05A8A">
        <w:t>•</w:t>
      </w:r>
      <w:r w:rsidRPr="00F05A8A">
        <w:rPr>
          <w:rFonts w:eastAsia="Calibri"/>
        </w:rPr>
        <w:tab/>
      </w:r>
      <w:r w:rsidRPr="00F05A8A">
        <w:rPr>
          <w:rFonts w:cs="Calibri"/>
        </w:rPr>
        <w:t xml:space="preserve">Sur la base des </w:t>
      </w:r>
      <w:hyperlink r:id="rId117" w:history="1">
        <w:r w:rsidRPr="00F05A8A">
          <w:rPr>
            <w:rStyle w:val="Hyperlink"/>
            <w:rFonts w:cs="Calibri"/>
          </w:rPr>
          <w:t>lignes directrices mondiales pour les plans nationaux pour les télécommunications d'urgence</w:t>
        </w:r>
      </w:hyperlink>
      <w:r w:rsidRPr="00F05A8A">
        <w:rPr>
          <w:rFonts w:cs="Calibri"/>
        </w:rPr>
        <w:t>, des plans NETP ont été fournis depuis 2018 à la République dominicaine, au Guatemala, à la Bolivie, au Vanuatu, au Samoa, à la Papouasie</w:t>
      </w:r>
      <w:r w:rsidRPr="00F05A8A">
        <w:rPr>
          <w:rFonts w:cs="Calibri"/>
        </w:rPr>
        <w:noBreakHyphen/>
        <w:t>Nouvelle-Guinée, à Sainte-Lucie, à l'Équateur et au Pérou. L'UIT continue d'aider les pays suivants à élaborer leur plan NETP: Somalie, Soudan, îles Salomon, Dominique, Grenade et Fidji</w:t>
      </w:r>
      <w:r w:rsidRPr="00F05A8A">
        <w:t>. Des réunions en ligne ont été organisées au niveau national pour veiller à ce que ces plans soient conformes aux lignes directrices de l'UIT.</w:t>
      </w:r>
    </w:p>
    <w:p w14:paraId="718EE091" w14:textId="77777777" w:rsidR="00D80461" w:rsidRPr="00F05A8A" w:rsidRDefault="00D80461" w:rsidP="002F075E">
      <w:pPr>
        <w:pStyle w:val="enumlev1"/>
      </w:pPr>
      <w:r w:rsidRPr="00F05A8A">
        <w:t>•</w:t>
      </w:r>
      <w:r w:rsidRPr="00F05A8A">
        <w:rPr>
          <w:rFonts w:eastAsia="Calibri"/>
        </w:rPr>
        <w:tab/>
      </w:r>
      <w:r w:rsidRPr="00F05A8A">
        <w:t xml:space="preserve">Le </w:t>
      </w:r>
      <w:hyperlink r:id="rId118" w:history="1">
        <w:r w:rsidRPr="00F05A8A">
          <w:rPr>
            <w:rStyle w:val="Hyperlink"/>
          </w:rPr>
          <w:t>Guide sur l'élaboration d'un plan d'urgence fondé sur les télécommunications/TIC pour faire face aux pandémies</w:t>
        </w:r>
      </w:hyperlink>
      <w:r w:rsidRPr="00F05A8A">
        <w:t xml:space="preserve">, publié en 2020, était axé sur la fourniture de services de télécommunication/TIC et la poursuite de l'activité économique pendant la pandémie. </w:t>
      </w:r>
    </w:p>
    <w:p w14:paraId="114A0B39" w14:textId="77777777" w:rsidR="00D80461" w:rsidRPr="00F05A8A" w:rsidRDefault="00D80461" w:rsidP="002F075E">
      <w:pPr>
        <w:pStyle w:val="enumlev1"/>
        <w:rPr>
          <w:color w:val="444444"/>
        </w:rPr>
      </w:pPr>
      <w:r w:rsidRPr="00F05A8A">
        <w:t>•</w:t>
      </w:r>
      <w:r w:rsidRPr="00F05A8A">
        <w:rPr>
          <w:rFonts w:eastAsia="Calibri"/>
        </w:rPr>
        <w:tab/>
      </w:r>
      <w:r w:rsidRPr="00F05A8A">
        <w:t xml:space="preserve">L'UIT a publié le rapport intitulé </w:t>
      </w:r>
      <w:hyperlink r:id="rId119" w:history="1">
        <w:r w:rsidRPr="00F05A8A">
          <w:rPr>
            <w:rStyle w:val="Hyperlink"/>
          </w:rPr>
          <w:t>"Les femmes, les TIC et les télécommunications d'urgence: perspectives et contraintes"</w:t>
        </w:r>
      </w:hyperlink>
      <w:r w:rsidRPr="00F05A8A">
        <w:t xml:space="preserve"> (2020), qui examine la fracture numérique entre les hommes et les femmes empêchant les femmes de prendre part à la société sur un pied d'égalité, ce qui expose des communautés entières à un risque accru en situation d'urgence.</w:t>
      </w:r>
    </w:p>
    <w:p w14:paraId="609D3696" w14:textId="77777777" w:rsidR="00D80461" w:rsidRPr="00F05A8A" w:rsidRDefault="00D80461" w:rsidP="002F075E">
      <w:pPr>
        <w:pStyle w:val="enumlev1"/>
        <w:rPr>
          <w:rFonts w:eastAsia="Calibri"/>
          <w:u w:val="single"/>
        </w:rPr>
      </w:pPr>
      <w:r w:rsidRPr="00F05A8A">
        <w:t>•</w:t>
      </w:r>
      <w:r w:rsidRPr="00F05A8A">
        <w:rPr>
          <w:rFonts w:eastAsia="Calibri"/>
        </w:rPr>
        <w:tab/>
      </w:r>
      <w:r w:rsidRPr="00F05A8A">
        <w:t xml:space="preserve">Depuis 2018, l'UIT a fourni un appui à </w:t>
      </w:r>
      <w:hyperlink r:id="rId120" w:history="1">
        <w:r w:rsidRPr="00F05A8A">
          <w:rPr>
            <w:rStyle w:val="Hyperlink"/>
          </w:rPr>
          <w:t>plusieurs pays</w:t>
        </w:r>
      </w:hyperlink>
      <w:r w:rsidRPr="00F05A8A">
        <w:t xml:space="preserve"> frappés par des catastrophes naturelles: Bahamas, Mozambique, Papouasie-Nouvelle-Guinée, îles Salomon, Tonga, Vanuatu, Zimbabwe, Fidji et Haïti. Cet appui comprend le déploiement d'équipements de télécommunication par satellite et de personnel.</w:t>
      </w:r>
    </w:p>
    <w:p w14:paraId="0A441121" w14:textId="77777777" w:rsidR="00D80461" w:rsidRPr="00F05A8A" w:rsidRDefault="00D80461" w:rsidP="002F075E">
      <w:pPr>
        <w:pStyle w:val="enumlev1"/>
        <w:rPr>
          <w:rFonts w:eastAsia="Calibri"/>
          <w:u w:val="single"/>
        </w:rPr>
      </w:pPr>
      <w:r w:rsidRPr="00F05A8A">
        <w:t>•</w:t>
      </w:r>
      <w:r w:rsidRPr="00F05A8A">
        <w:rPr>
          <w:rFonts w:eastAsia="Calibri"/>
        </w:rPr>
        <w:tab/>
        <w:t xml:space="preserve">En collaboration avec le Réseau des télécommunications d'urgence, l'UIT a mis au point la </w:t>
      </w:r>
      <w:hyperlink r:id="rId121" w:history="1">
        <w:r w:rsidRPr="00F05A8A">
          <w:rPr>
            <w:rStyle w:val="Hyperlink"/>
            <w:rFonts w:eastAsia="Calibri"/>
          </w:rPr>
          <w:t>Carte de connectivité en cas de catastrophe (DCM)</w:t>
        </w:r>
      </w:hyperlink>
      <w:r w:rsidRPr="00F05A8A">
        <w:t>,</w:t>
      </w:r>
      <w:r w:rsidRPr="00F05A8A">
        <w:rPr>
          <w:rFonts w:eastAsia="Calibri"/>
        </w:rPr>
        <w:t xml:space="preserve"> qui contient des informations essentielles pour les premiers secours sur les interruptions de service et les insuffisances en matière de connectivité après des catastrophes.</w:t>
      </w:r>
    </w:p>
    <w:p w14:paraId="7051E365" w14:textId="77777777" w:rsidR="00D80461" w:rsidRPr="00F05A8A" w:rsidRDefault="00D80461" w:rsidP="002F075E">
      <w:pPr>
        <w:pStyle w:val="enumlev1"/>
        <w:rPr>
          <w:color w:val="000000"/>
        </w:rPr>
      </w:pPr>
      <w:r w:rsidRPr="00F05A8A">
        <w:t>•</w:t>
      </w:r>
      <w:r w:rsidRPr="00F05A8A">
        <w:rPr>
          <w:rFonts w:eastAsia="Calibri"/>
        </w:rPr>
        <w:tab/>
      </w:r>
      <w:r w:rsidRPr="00F05A8A">
        <w:t xml:space="preserve">L'UIT a adhéré à la </w:t>
      </w:r>
      <w:hyperlink r:id="rId122" w:history="1">
        <w:r w:rsidRPr="00F05A8A">
          <w:rPr>
            <w:rStyle w:val="Hyperlink"/>
          </w:rPr>
          <w:t>Charte de connectivité en cas de crise</w:t>
        </w:r>
      </w:hyperlink>
      <w:r w:rsidRPr="00F05A8A">
        <w:t xml:space="preserve"> (2019) et contribue ainsi, </w:t>
      </w:r>
      <w:r w:rsidRPr="00F05A8A">
        <w:rPr>
          <w:color w:val="000000"/>
        </w:rPr>
        <w:t>aux côtés du secteur des télécommunications par satellite et des organismes humanitaires</w:t>
      </w:r>
      <w:r w:rsidRPr="00F05A8A">
        <w:t>, à améliorer l'accessibilité des communications par satellite</w:t>
      </w:r>
      <w:r w:rsidRPr="00F05A8A">
        <w:rPr>
          <w:color w:val="000000"/>
        </w:rPr>
        <w:t>.</w:t>
      </w:r>
    </w:p>
    <w:p w14:paraId="108D93AE" w14:textId="77777777" w:rsidR="00D80461" w:rsidRPr="00F05A8A" w:rsidRDefault="00D80461" w:rsidP="002F075E">
      <w:pPr>
        <w:pStyle w:val="enumlev1"/>
        <w:keepNext/>
        <w:keepLines/>
        <w:rPr>
          <w:rFonts w:eastAsia="Calibri"/>
        </w:rPr>
      </w:pPr>
      <w:r w:rsidRPr="00F05A8A">
        <w:lastRenderedPageBreak/>
        <w:t>•</w:t>
      </w:r>
      <w:r w:rsidRPr="00F05A8A">
        <w:rPr>
          <w:rFonts w:eastAsia="Calibri"/>
        </w:rPr>
        <w:tab/>
        <w:t xml:space="preserve">L'UIT a créé le </w:t>
      </w:r>
      <w:r w:rsidRPr="00F05A8A">
        <w:rPr>
          <w:rStyle w:val="Hyperlink"/>
          <w:rFonts w:eastAsia="Calibri"/>
        </w:rPr>
        <w:t>Fichier de candidats pour les télécommunications d'urgence de l'UIT</w:t>
      </w:r>
      <w:r w:rsidRPr="00F05A8A">
        <w:rPr>
          <w:rFonts w:eastAsia="Calibri"/>
        </w:rPr>
        <w:t>. Les fonctionnaires de l'UIT suivent une formation sur le déploiement des équipements de télécommunication de l'UIT et la fourniture d'un appui au Réseau des télécommunications d'urgence sur le terrain.</w:t>
      </w:r>
    </w:p>
    <w:p w14:paraId="22672299" w14:textId="77777777" w:rsidR="00D80461" w:rsidRPr="00F05A8A" w:rsidRDefault="00D80461" w:rsidP="002F075E">
      <w:pPr>
        <w:pStyle w:val="enumlev1"/>
        <w:rPr>
          <w:color w:val="000000"/>
        </w:rPr>
      </w:pPr>
      <w:r w:rsidRPr="00F05A8A">
        <w:t>•</w:t>
      </w:r>
      <w:r w:rsidRPr="00F05A8A">
        <w:rPr>
          <w:rFonts w:eastAsia="Calibri"/>
        </w:rPr>
        <w:tab/>
      </w:r>
      <w:r w:rsidRPr="00F05A8A">
        <w:t xml:space="preserve">En 2018, l'UIT a mis en œuvre des systèmes d'alerte avancée pour les inondations en </w:t>
      </w:r>
      <w:hyperlink r:id="rId123" w:history="1">
        <w:r w:rsidRPr="00F05A8A">
          <w:rPr>
            <w:rStyle w:val="Hyperlink"/>
          </w:rPr>
          <w:t>Zambie</w:t>
        </w:r>
      </w:hyperlink>
      <w:r w:rsidRPr="00F05A8A">
        <w:t xml:space="preserve"> en collaborant avec l'Autorité des TIC de la Zambie</w:t>
      </w:r>
      <w:r w:rsidRPr="00F05A8A">
        <w:rPr>
          <w:color w:val="000000"/>
        </w:rPr>
        <w:t>.</w:t>
      </w:r>
    </w:p>
    <w:p w14:paraId="69A71DBF" w14:textId="77777777" w:rsidR="00D80461" w:rsidRPr="00F05A8A" w:rsidRDefault="00D80461" w:rsidP="002F075E">
      <w:pPr>
        <w:pStyle w:val="enumlev1"/>
        <w:rPr>
          <w:color w:val="000000"/>
        </w:rPr>
      </w:pPr>
      <w:r w:rsidRPr="00F05A8A">
        <w:t>•</w:t>
      </w:r>
      <w:r w:rsidRPr="00F05A8A">
        <w:rPr>
          <w:rFonts w:eastAsia="Calibri"/>
        </w:rPr>
        <w:tab/>
      </w:r>
      <w:r w:rsidRPr="00F05A8A">
        <w:t>L'UIT continue de promouvoir le protocole d'alerte commun (CAP</w:t>
      </w:r>
      <w:r w:rsidRPr="00F05A8A">
        <w:rPr>
          <w:color w:val="000000"/>
        </w:rPr>
        <w:t xml:space="preserve">), en organisant des </w:t>
      </w:r>
      <w:hyperlink r:id="rId124" w:history="1">
        <w:r w:rsidRPr="00F05A8A">
          <w:rPr>
            <w:rStyle w:val="Hyperlink"/>
            <w:rFonts w:eastAsia="Calibri"/>
          </w:rPr>
          <w:t>ateliers régionaux et nationaux</w:t>
        </w:r>
      </w:hyperlink>
      <w:r w:rsidRPr="00F05A8A">
        <w:rPr>
          <w:color w:val="000000"/>
        </w:rPr>
        <w:t xml:space="preserve"> sur le sujet (voir la </w:t>
      </w:r>
      <w:hyperlink r:id="rId125" w:history="1">
        <w:r w:rsidRPr="00F05A8A">
          <w:rPr>
            <w:rStyle w:val="Hyperlink"/>
          </w:rPr>
          <w:t>Recommandation UIT-T X.1303</w:t>
        </w:r>
      </w:hyperlink>
      <w:r w:rsidRPr="00F05A8A">
        <w:t>)</w:t>
      </w:r>
      <w:r w:rsidRPr="00F05A8A">
        <w:rPr>
          <w:color w:val="000000"/>
        </w:rPr>
        <w:t>. Grâce au protocole CAP, les autorités peuvent diffuser des avertissements ou des alertes avancées aux communautés exposées à un risque, avec une portée mondiale.</w:t>
      </w:r>
    </w:p>
    <w:p w14:paraId="4B2D243E" w14:textId="77777777" w:rsidR="00D80461" w:rsidRPr="00F05A8A" w:rsidRDefault="00D80461" w:rsidP="002F075E">
      <w:pPr>
        <w:pStyle w:val="enumlev1"/>
      </w:pPr>
      <w:r w:rsidRPr="00F05A8A">
        <w:t>•</w:t>
      </w:r>
      <w:r w:rsidRPr="00F05A8A">
        <w:rPr>
          <w:rFonts w:eastAsia="Calibri"/>
        </w:rPr>
        <w:tab/>
      </w:r>
      <w:r w:rsidRPr="00F05A8A">
        <w:t xml:space="preserve">L'UIT, en partenariat avec la Fédération internationale des Sociétés de la Croix-Rouge et du Croissant-Rouge et l'Organisation météorologique mondiale, a lancé en 2021 un </w:t>
      </w:r>
      <w:hyperlink r:id="rId126" w:history="1">
        <w:r w:rsidRPr="00F05A8A">
          <w:rPr>
            <w:rStyle w:val="Hyperlink"/>
          </w:rPr>
          <w:t>Appel à l'action pour les alertes d'urgence</w:t>
        </w:r>
      </w:hyperlink>
      <w:r w:rsidRPr="00F05A8A">
        <w:t>, et invité tous les partenaires à appuyer les pays dans la mise en œuvre du protocole CAP. Les organisations apportent leur concours à l'Organisation météorologique mondiale pour la création d'un service d'assistance sur ce protocole.</w:t>
      </w:r>
    </w:p>
    <w:p w14:paraId="1DD44208" w14:textId="5CC5FECE" w:rsidR="00D80461" w:rsidRPr="00F05A8A" w:rsidRDefault="00D80461" w:rsidP="002F075E">
      <w:pPr>
        <w:pStyle w:val="enumlev1"/>
      </w:pPr>
      <w:r w:rsidRPr="00F05A8A">
        <w:t>•</w:t>
      </w:r>
      <w:r w:rsidRPr="00F05A8A">
        <w:rPr>
          <w:rFonts w:eastAsia="Calibri"/>
        </w:rPr>
        <w:tab/>
      </w:r>
      <w:r w:rsidRPr="00F05A8A">
        <w:t>En 2020, pour renforcer les systèmes d'alerte avancée multirisques, l'UIT a noué un partenariat avec le Bureau des Nations Unies pour la prévention des catastrophes, l'OMM, l'UNESCO-COI et les Unions de radiodiffusion mondiales, en vue d'élaborer un projet intitulé "</w:t>
      </w:r>
      <w:hyperlink r:id="rId127" w:history="1">
        <w:r w:rsidRPr="00F05A8A">
          <w:rPr>
            <w:rStyle w:val="Hyperlink"/>
          </w:rPr>
          <w:t>Les médias sauvent des vies</w:t>
        </w:r>
      </w:hyperlink>
      <w:r w:rsidRPr="00F05A8A">
        <w:t>" visant à renforcer le rôle que jouent les radiodiffuseurs dans la chaîne d'alerte avancée.</w:t>
      </w:r>
    </w:p>
    <w:p w14:paraId="6349B4A9" w14:textId="77777777" w:rsidR="009C3A42" w:rsidRPr="00F05A8A" w:rsidRDefault="009C3A42" w:rsidP="002F075E">
      <w:pPr>
        <w:pStyle w:val="Headingb"/>
        <w:rPr>
          <w:rFonts w:eastAsia="Calibri"/>
          <w:sz w:val="22"/>
          <w:lang w:eastAsia="en-GB"/>
        </w:rPr>
      </w:pPr>
      <w:r w:rsidRPr="00F05A8A">
        <w:rPr>
          <w:rFonts w:eastAsia="Calibri"/>
          <w:lang w:eastAsia="en-GB"/>
        </w:rPr>
        <w:t>L'UIT et l'environnement</w:t>
      </w:r>
    </w:p>
    <w:p w14:paraId="0999E594" w14:textId="43DEECED" w:rsidR="009C3A42" w:rsidRPr="00F05A8A" w:rsidRDefault="009C3A42" w:rsidP="002F075E">
      <w:pPr>
        <w:rPr>
          <w:rFonts w:eastAsia="Calibri"/>
          <w:lang w:eastAsia="en-GB"/>
        </w:rPr>
      </w:pPr>
      <w:r w:rsidRPr="00F05A8A">
        <w:rPr>
          <w:rFonts w:eastAsia="Calibri"/>
          <w:lang w:eastAsia="en-GB"/>
        </w:rPr>
        <w:t xml:space="preserve">L'UIT continue </w:t>
      </w:r>
      <w:r w:rsidR="009953C3" w:rsidRPr="00F05A8A">
        <w:rPr>
          <w:rFonts w:eastAsia="Calibri"/>
          <w:lang w:eastAsia="en-GB"/>
        </w:rPr>
        <w:t>d</w:t>
      </w:r>
      <w:r w:rsidR="00CF5980" w:rsidRPr="00F05A8A">
        <w:rPr>
          <w:rFonts w:eastAsia="Calibri"/>
          <w:lang w:eastAsia="en-GB"/>
        </w:rPr>
        <w:t>'</w:t>
      </w:r>
      <w:r w:rsidR="009953C3" w:rsidRPr="00F05A8A">
        <w:rPr>
          <w:rFonts w:eastAsia="Calibri"/>
          <w:lang w:eastAsia="en-GB"/>
        </w:rPr>
        <w:t>examiner</w:t>
      </w:r>
      <w:r w:rsidR="00CF5980" w:rsidRPr="00F05A8A">
        <w:rPr>
          <w:rFonts w:eastAsia="Calibri"/>
          <w:lang w:eastAsia="en-GB"/>
        </w:rPr>
        <w:t xml:space="preserve"> </w:t>
      </w:r>
      <w:r w:rsidRPr="00F05A8A">
        <w:rPr>
          <w:rFonts w:eastAsia="Calibri"/>
          <w:lang w:eastAsia="en-GB"/>
        </w:rPr>
        <w:t xml:space="preserve">son empreinte environnementale. Plusieurs activités visant à améliorer son bilan écologique ont été entreprises et l'UIT mesure son empreinte environnementale </w:t>
      </w:r>
      <w:r w:rsidR="003F7D97" w:rsidRPr="00F05A8A">
        <w:rPr>
          <w:rFonts w:eastAsia="Calibri"/>
          <w:lang w:eastAsia="en-GB"/>
        </w:rPr>
        <w:t xml:space="preserve">totale à l'échelle </w:t>
      </w:r>
      <w:r w:rsidR="00464481" w:rsidRPr="00F05A8A">
        <w:rPr>
          <w:rFonts w:eastAsia="Calibri"/>
          <w:lang w:eastAsia="en-GB"/>
        </w:rPr>
        <w:t xml:space="preserve">mondiale </w:t>
      </w:r>
      <w:r w:rsidRPr="00F05A8A">
        <w:rPr>
          <w:rFonts w:eastAsia="Calibri"/>
          <w:lang w:eastAsia="en-GB"/>
        </w:rPr>
        <w:t>dans le cadre de l'initiative à l'échelle des Nations Unies "</w:t>
      </w:r>
      <w:hyperlink r:id="rId128" w:history="1">
        <w:r w:rsidRPr="00F05A8A">
          <w:rPr>
            <w:rStyle w:val="Hyperlink"/>
            <w:rFonts w:eastAsia="Calibri"/>
            <w:lang w:eastAsia="en-GB"/>
          </w:rPr>
          <w:t>Du bleu au vert</w:t>
        </w:r>
      </w:hyperlink>
      <w:r w:rsidRPr="00F05A8A">
        <w:rPr>
          <w:rFonts w:eastAsia="Calibri"/>
          <w:lang w:eastAsia="en-GB"/>
        </w:rPr>
        <w:t xml:space="preserve">" </w:t>
      </w:r>
      <w:r w:rsidR="00917995" w:rsidRPr="00F05A8A">
        <w:rPr>
          <w:rFonts w:eastAsia="Calibri"/>
          <w:lang w:eastAsia="en-GB"/>
        </w:rPr>
        <w:t>et</w:t>
      </w:r>
      <w:r w:rsidR="00241A99" w:rsidRPr="00F05A8A">
        <w:rPr>
          <w:rFonts w:eastAsia="Calibri"/>
          <w:lang w:eastAsia="en-GB"/>
        </w:rPr>
        <w:t xml:space="preserve"> mesure</w:t>
      </w:r>
      <w:r w:rsidR="00917995" w:rsidRPr="00F05A8A">
        <w:rPr>
          <w:rFonts w:eastAsia="Calibri"/>
          <w:lang w:eastAsia="en-GB"/>
        </w:rPr>
        <w:t xml:space="preserve">, depuis 2020, </w:t>
      </w:r>
      <w:r w:rsidR="009A32CE" w:rsidRPr="00F05A8A">
        <w:rPr>
          <w:rFonts w:eastAsia="Calibri"/>
          <w:lang w:eastAsia="en-GB"/>
        </w:rPr>
        <w:t>l'empreinte environnementale de son siège dans le cadre de</w:t>
      </w:r>
      <w:r w:rsidRPr="00F05A8A">
        <w:rPr>
          <w:rFonts w:eastAsia="Calibri"/>
          <w:lang w:eastAsia="en-GB"/>
        </w:rPr>
        <w:t xml:space="preserve"> l'initiative </w:t>
      </w:r>
      <w:hyperlink r:id="rId129" w:history="1">
        <w:r w:rsidRPr="00F05A8A">
          <w:rPr>
            <w:rStyle w:val="Hyperlink"/>
            <w:rFonts w:eastAsia="Calibri"/>
            <w:lang w:eastAsia="en-GB"/>
          </w:rPr>
          <w:t>2050Aujourd'hui</w:t>
        </w:r>
      </w:hyperlink>
      <w:r w:rsidRPr="00F05A8A">
        <w:rPr>
          <w:rFonts w:eastAsia="Calibri"/>
          <w:lang w:eastAsia="en-GB"/>
        </w:rPr>
        <w:t>. Selon l'édition 2021 du rapport "Du bleu au vert"</w:t>
      </w:r>
      <w:r w:rsidR="00FF58E6" w:rsidRPr="00F05A8A">
        <w:rPr>
          <w:rFonts w:eastAsia="Calibri"/>
          <w:lang w:eastAsia="en-GB"/>
        </w:rPr>
        <w:t xml:space="preserve"> de l'ONU</w:t>
      </w:r>
      <w:r w:rsidRPr="00F05A8A">
        <w:rPr>
          <w:rFonts w:eastAsia="Calibri"/>
          <w:lang w:eastAsia="en-GB"/>
        </w:rPr>
        <w:t>, qui couvre les données de 2020</w:t>
      </w:r>
      <w:r w:rsidR="002D5117" w:rsidRPr="00F05A8A">
        <w:rPr>
          <w:rFonts w:eastAsia="Calibri"/>
          <w:lang w:eastAsia="en-GB"/>
        </w:rPr>
        <w:t xml:space="preserve"> (</w:t>
      </w:r>
      <w:r w:rsidR="00500AB8" w:rsidRPr="00F05A8A">
        <w:rPr>
          <w:rFonts w:eastAsia="Calibri"/>
          <w:lang w:eastAsia="en-GB"/>
        </w:rPr>
        <w:t>dernière année complète,</w:t>
      </w:r>
      <w:r w:rsidR="002D5117" w:rsidRPr="00F05A8A">
        <w:rPr>
          <w:rFonts w:eastAsia="Calibri"/>
          <w:lang w:eastAsia="en-GB"/>
        </w:rPr>
        <w:t xml:space="preserve"> avant la PP-22</w:t>
      </w:r>
      <w:r w:rsidR="00500AB8" w:rsidRPr="00F05A8A">
        <w:rPr>
          <w:rFonts w:eastAsia="Calibri"/>
          <w:lang w:eastAsia="en-GB"/>
        </w:rPr>
        <w:t>, pour laquelle des résultats sont disponibles</w:t>
      </w:r>
      <w:r w:rsidR="002D5117" w:rsidRPr="00F05A8A">
        <w:rPr>
          <w:rFonts w:eastAsia="Calibri"/>
          <w:lang w:eastAsia="en-GB"/>
        </w:rPr>
        <w:t>)</w:t>
      </w:r>
      <w:r w:rsidRPr="00F05A8A">
        <w:rPr>
          <w:rFonts w:eastAsia="Calibri"/>
          <w:lang w:eastAsia="en-GB"/>
        </w:rPr>
        <w:t xml:space="preserve">, l'empreinte environnementale totale à l'échelle mondiale de l'UIT </w:t>
      </w:r>
      <w:r w:rsidR="00D30357" w:rsidRPr="00F05A8A">
        <w:rPr>
          <w:rFonts w:eastAsia="Calibri"/>
          <w:lang w:eastAsia="en-GB"/>
        </w:rPr>
        <w:t>concernant</w:t>
      </w:r>
      <w:r w:rsidR="00E4410B" w:rsidRPr="00F05A8A">
        <w:rPr>
          <w:rFonts w:eastAsia="Calibri"/>
          <w:lang w:eastAsia="en-GB"/>
        </w:rPr>
        <w:t xml:space="preserve"> les installations et les voyages </w:t>
      </w:r>
      <w:r w:rsidR="00B42549" w:rsidRPr="00F05A8A">
        <w:rPr>
          <w:rFonts w:eastAsia="Calibri"/>
          <w:lang w:eastAsia="en-GB"/>
        </w:rPr>
        <w:t xml:space="preserve">était </w:t>
      </w:r>
      <w:r w:rsidR="005F435D" w:rsidRPr="00F05A8A">
        <w:rPr>
          <w:rFonts w:eastAsia="Calibri"/>
          <w:lang w:eastAsia="en-GB"/>
        </w:rPr>
        <w:t>de</w:t>
      </w:r>
      <w:r w:rsidR="00B42549" w:rsidRPr="00F05A8A">
        <w:rPr>
          <w:rFonts w:eastAsia="Calibri"/>
          <w:lang w:eastAsia="en-GB"/>
        </w:rPr>
        <w:t xml:space="preserve"> 2 105 tonnes </w:t>
      </w:r>
      <w:r w:rsidR="005F435D" w:rsidRPr="00F05A8A">
        <w:rPr>
          <w:rFonts w:eastAsia="Calibri"/>
          <w:lang w:eastAsia="en-GB"/>
        </w:rPr>
        <w:t>équivalent</w:t>
      </w:r>
      <w:r w:rsidR="00B42549" w:rsidRPr="00F05A8A">
        <w:rPr>
          <w:rFonts w:eastAsia="Calibri"/>
          <w:lang w:eastAsia="en-GB"/>
        </w:rPr>
        <w:t xml:space="preserve"> CO</w:t>
      </w:r>
      <w:r w:rsidR="00B42549" w:rsidRPr="00F05A8A">
        <w:rPr>
          <w:rFonts w:eastAsia="Calibri"/>
          <w:vertAlign w:val="subscript"/>
          <w:lang w:eastAsia="en-GB"/>
        </w:rPr>
        <w:t>2</w:t>
      </w:r>
      <w:r w:rsidRPr="00F05A8A">
        <w:rPr>
          <w:rFonts w:eastAsia="Calibri"/>
          <w:lang w:eastAsia="en-GB"/>
        </w:rPr>
        <w:t>.</w:t>
      </w:r>
      <w:r w:rsidR="00D1645C" w:rsidRPr="00F05A8A">
        <w:rPr>
          <w:rFonts w:eastAsia="Calibri"/>
          <w:lang w:eastAsia="en-GB"/>
        </w:rPr>
        <w:t xml:space="preserve"> </w:t>
      </w:r>
      <w:r w:rsidR="00E35906" w:rsidRPr="00F05A8A">
        <w:rPr>
          <w:rFonts w:eastAsia="Calibri"/>
          <w:lang w:eastAsia="en-GB"/>
        </w:rPr>
        <w:t>Il s'agit d'une baisse considérable par rapport à 2019 (3 934 tonnes équivalent CO</w:t>
      </w:r>
      <w:r w:rsidR="00E35906" w:rsidRPr="00F05A8A">
        <w:rPr>
          <w:rFonts w:eastAsia="Calibri"/>
          <w:vertAlign w:val="subscript"/>
          <w:lang w:eastAsia="en-GB"/>
        </w:rPr>
        <w:t>2</w:t>
      </w:r>
      <w:r w:rsidR="0051373D" w:rsidRPr="00F05A8A">
        <w:rPr>
          <w:rFonts w:eastAsia="Calibri"/>
          <w:lang w:eastAsia="en-GB"/>
        </w:rPr>
        <w:t>), qui s'explique par l'arr</w:t>
      </w:r>
      <w:r w:rsidR="00F906D3" w:rsidRPr="00F05A8A">
        <w:rPr>
          <w:rFonts w:eastAsia="Calibri"/>
          <w:lang w:eastAsia="en-GB"/>
        </w:rPr>
        <w:t xml:space="preserve">êt de la plupart des missions en raison de la pandémie de COVID-19. </w:t>
      </w:r>
      <w:r w:rsidR="006860C8" w:rsidRPr="00F05A8A">
        <w:rPr>
          <w:rFonts w:eastAsia="Calibri"/>
          <w:lang w:eastAsia="en-GB"/>
        </w:rPr>
        <w:t xml:space="preserve">L'UIT compense </w:t>
      </w:r>
      <w:r w:rsidR="001A2E50" w:rsidRPr="00F05A8A">
        <w:rPr>
          <w:rFonts w:eastAsia="Calibri"/>
          <w:lang w:eastAsia="en-GB"/>
        </w:rPr>
        <w:t xml:space="preserve">ses émissions de gaz à effet de serre </w:t>
      </w:r>
      <w:r w:rsidR="007E00BB" w:rsidRPr="00F05A8A">
        <w:rPr>
          <w:rFonts w:eastAsia="Calibri"/>
          <w:lang w:eastAsia="en-GB"/>
        </w:rPr>
        <w:t xml:space="preserve">inévitables </w:t>
      </w:r>
      <w:r w:rsidR="001C4152" w:rsidRPr="00F05A8A">
        <w:rPr>
          <w:rFonts w:eastAsia="Calibri"/>
          <w:lang w:eastAsia="en-GB"/>
        </w:rPr>
        <w:t xml:space="preserve">provenant des installations et des voyages </w:t>
      </w:r>
      <w:r w:rsidR="0060418C" w:rsidRPr="00F05A8A">
        <w:rPr>
          <w:rFonts w:eastAsia="Calibri"/>
          <w:lang w:eastAsia="en-GB"/>
        </w:rPr>
        <w:t xml:space="preserve">à compter de 2015, en </w:t>
      </w:r>
      <w:r w:rsidR="0088549C" w:rsidRPr="00F05A8A">
        <w:rPr>
          <w:rFonts w:eastAsia="Calibri"/>
          <w:lang w:eastAsia="en-GB"/>
        </w:rPr>
        <w:t>achetant des unités de réduction certifiée des émissions au t</w:t>
      </w:r>
      <w:r w:rsidR="0071693C" w:rsidRPr="00F05A8A">
        <w:rPr>
          <w:rFonts w:eastAsia="Calibri"/>
          <w:lang w:eastAsia="en-GB"/>
        </w:rPr>
        <w:t>itre du Fonds pour l'adaptation, dans le cadre du Mécanisme pour un développement propre</w:t>
      </w:r>
      <w:r w:rsidRPr="00F05A8A">
        <w:t>.</w:t>
      </w:r>
    </w:p>
    <w:p w14:paraId="4E8AD356" w14:textId="6F27ECDE" w:rsidR="0009380B" w:rsidRPr="00F05A8A" w:rsidRDefault="009C3A42" w:rsidP="002F075E">
      <w:r w:rsidRPr="00F05A8A">
        <w:rPr>
          <w:rFonts w:eastAsia="Calibri"/>
          <w:lang w:eastAsia="en-GB"/>
        </w:rPr>
        <w:t xml:space="preserve">Après l'approbation du Document </w:t>
      </w:r>
      <w:hyperlink r:id="rId130" w:history="1">
        <w:r w:rsidRPr="00F05A8A">
          <w:rPr>
            <w:rStyle w:val="Hyperlink"/>
            <w:rFonts w:eastAsia="Calibri"/>
            <w:lang w:eastAsia="en-GB"/>
          </w:rPr>
          <w:t>C21/68</w:t>
        </w:r>
      </w:hyperlink>
      <w:r w:rsidRPr="00F05A8A">
        <w:rPr>
          <w:rFonts w:eastAsia="Calibri"/>
          <w:lang w:eastAsia="en-GB"/>
        </w:rPr>
        <w:t xml:space="preserve"> par le Conseil, la direction de l'UIT a approuvé des </w:t>
      </w:r>
      <w:r w:rsidR="00B843BA" w:rsidRPr="00F05A8A">
        <w:rPr>
          <w:rFonts w:eastAsia="Calibri"/>
          <w:lang w:eastAsia="en-GB"/>
        </w:rPr>
        <w:t xml:space="preserve">cibles </w:t>
      </w:r>
      <w:r w:rsidRPr="00F05A8A">
        <w:rPr>
          <w:rFonts w:eastAsia="Calibri"/>
          <w:lang w:eastAsia="en-GB"/>
        </w:rPr>
        <w:t>dans le cadre du système de gestion de l'environnement de l'UIT</w:t>
      </w:r>
      <w:r w:rsidR="00104ECA" w:rsidRPr="00F05A8A">
        <w:rPr>
          <w:rFonts w:eastAsia="Calibri"/>
          <w:lang w:eastAsia="en-GB"/>
        </w:rPr>
        <w:t xml:space="preserve">, qui </w:t>
      </w:r>
      <w:r w:rsidR="006D30C2" w:rsidRPr="00F05A8A">
        <w:rPr>
          <w:rFonts w:eastAsia="Calibri"/>
          <w:lang w:eastAsia="en-GB"/>
        </w:rPr>
        <w:t>permettront à l'UIT de poursuivre</w:t>
      </w:r>
      <w:r w:rsidR="00104ECA" w:rsidRPr="00F05A8A">
        <w:rPr>
          <w:rFonts w:eastAsia="Calibri"/>
          <w:lang w:eastAsia="en-GB"/>
        </w:rPr>
        <w:t xml:space="preserve"> ses </w:t>
      </w:r>
      <w:r w:rsidRPr="00F05A8A">
        <w:rPr>
          <w:rFonts w:eastAsia="Calibri"/>
          <w:lang w:eastAsia="en-GB"/>
        </w:rPr>
        <w:t xml:space="preserve">efforts en vue de s'aligner sur la </w:t>
      </w:r>
      <w:r w:rsidR="004C43FD" w:rsidRPr="00F05A8A">
        <w:rPr>
          <w:rFonts w:eastAsia="Calibri"/>
          <w:lang w:eastAsia="en-GB"/>
        </w:rPr>
        <w:t xml:space="preserve">première phase de la </w:t>
      </w:r>
      <w:hyperlink r:id="rId131" w:history="1">
        <w:r w:rsidRPr="00F05A8A">
          <w:rPr>
            <w:rStyle w:val="Hyperlink"/>
            <w:rFonts w:eastAsia="Calibri"/>
            <w:lang w:eastAsia="en-GB"/>
          </w:rPr>
          <w:t xml:space="preserve">Stratégie de gestion de la durabilité dans le système des Nations Unies </w:t>
        </w:r>
        <w:r w:rsidR="0043719E" w:rsidRPr="00F05A8A">
          <w:rPr>
            <w:rStyle w:val="Hyperlink"/>
            <w:rFonts w:eastAsia="Calibri"/>
            <w:lang w:eastAsia="en-GB"/>
          </w:rPr>
          <w:t xml:space="preserve">pour </w:t>
        </w:r>
        <w:r w:rsidR="009953C3" w:rsidRPr="00F05A8A">
          <w:rPr>
            <w:rStyle w:val="Hyperlink"/>
            <w:rFonts w:eastAsia="Calibri"/>
            <w:lang w:eastAsia="en-GB"/>
          </w:rPr>
          <w:t xml:space="preserve">la période </w:t>
        </w:r>
        <w:r w:rsidRPr="00F05A8A">
          <w:rPr>
            <w:rStyle w:val="Hyperlink"/>
            <w:rFonts w:eastAsia="Calibri"/>
            <w:lang w:eastAsia="en-GB"/>
          </w:rPr>
          <w:t>2020-2030 et de la mettre en œuvre</w:t>
        </w:r>
      </w:hyperlink>
      <w:r w:rsidRPr="00F05A8A">
        <w:t xml:space="preserve">. </w:t>
      </w:r>
      <w:r w:rsidR="0009380B" w:rsidRPr="00F05A8A">
        <w:t xml:space="preserve">Les cibles portent </w:t>
      </w:r>
      <w:r w:rsidR="009953C3" w:rsidRPr="00F05A8A">
        <w:t xml:space="preserve">notamment </w:t>
      </w:r>
      <w:r w:rsidR="0009380B" w:rsidRPr="00F05A8A">
        <w:t>su</w:t>
      </w:r>
      <w:r w:rsidR="00EA1D18" w:rsidRPr="00F05A8A">
        <w:t>r les domaines suivants</w:t>
      </w:r>
      <w:r w:rsidR="00CF5980" w:rsidRPr="00F05A8A">
        <w:t>:</w:t>
      </w:r>
      <w:r w:rsidR="00EA1D18" w:rsidRPr="00F05A8A">
        <w:t xml:space="preserve"> </w:t>
      </w:r>
      <w:r w:rsidR="00AC2CCB" w:rsidRPr="00F05A8A">
        <w:t xml:space="preserve">manifestations sur l'amélioration du bilan écologique, durabilité de la passation de marchés, formation des membres du personnel et émissions de gaz à effet de serre. </w:t>
      </w:r>
      <w:r w:rsidR="003A26FC" w:rsidRPr="00F05A8A">
        <w:t>La cible relative aux émissions de gaz à effet de serre consiste</w:t>
      </w:r>
      <w:r w:rsidR="003C6B8C" w:rsidRPr="00F05A8A">
        <w:t xml:space="preserve"> à réduire de 45% </w:t>
      </w:r>
      <w:r w:rsidR="00835A76" w:rsidRPr="00F05A8A">
        <w:t xml:space="preserve">(par rapport à 2010) </w:t>
      </w:r>
      <w:r w:rsidR="003C6B8C" w:rsidRPr="00F05A8A">
        <w:t xml:space="preserve">les émissions de gaz à effet de serre </w:t>
      </w:r>
      <w:r w:rsidR="00895B69" w:rsidRPr="00F05A8A">
        <w:t>d'ici à 2030</w:t>
      </w:r>
      <w:r w:rsidR="009953C3" w:rsidRPr="00F05A8A">
        <w:t>,</w:t>
      </w:r>
      <w:r w:rsidR="00CF5980" w:rsidRPr="00F05A8A">
        <w:t xml:space="preserve"> </w:t>
      </w:r>
      <w:r w:rsidR="00895B69" w:rsidRPr="00F05A8A">
        <w:t xml:space="preserve">en évitant, dans la mesure du possible, </w:t>
      </w:r>
      <w:r w:rsidR="005F1926" w:rsidRPr="00F05A8A">
        <w:t>d'entraver les</w:t>
      </w:r>
      <w:r w:rsidR="00CF5980" w:rsidRPr="00F05A8A">
        <w:t xml:space="preserve"> </w:t>
      </w:r>
      <w:r w:rsidR="009953C3" w:rsidRPr="00F05A8A">
        <w:t>mesures</w:t>
      </w:r>
      <w:r w:rsidR="00CF5980" w:rsidRPr="00F05A8A">
        <w:t xml:space="preserve"> </w:t>
      </w:r>
      <w:r w:rsidR="005F1926" w:rsidRPr="00F05A8A">
        <w:t>de sensibilisation et d'assistance</w:t>
      </w:r>
      <w:r w:rsidR="00CF5980" w:rsidRPr="00F05A8A">
        <w:t xml:space="preserve"> </w:t>
      </w:r>
      <w:r w:rsidR="009953C3" w:rsidRPr="00F05A8A">
        <w:t xml:space="preserve">prises par </w:t>
      </w:r>
      <w:r w:rsidR="00395B54" w:rsidRPr="00F05A8A">
        <w:t>l'UIT</w:t>
      </w:r>
      <w:r w:rsidR="00CF5980" w:rsidRPr="00F05A8A">
        <w:t xml:space="preserve"> </w:t>
      </w:r>
      <w:r w:rsidR="009953C3" w:rsidRPr="00F05A8A">
        <w:t>pour</w:t>
      </w:r>
      <w:r w:rsidR="00395B54" w:rsidRPr="00F05A8A">
        <w:t xml:space="preserve"> ses membres.</w:t>
      </w:r>
    </w:p>
    <w:p w14:paraId="72F5E8C5" w14:textId="77777777" w:rsidR="00D80461" w:rsidRPr="00F05A8A" w:rsidRDefault="00D80461" w:rsidP="002F075E">
      <w:pPr>
        <w:pStyle w:val="Heading2"/>
      </w:pPr>
      <w:bookmarkStart w:id="202" w:name="_Toc37943340"/>
      <w:bookmarkStart w:id="203" w:name="_Toc37943341"/>
      <w:bookmarkStart w:id="204" w:name="_Toc37943342"/>
      <w:bookmarkStart w:id="205" w:name="_Toc37943343"/>
      <w:bookmarkStart w:id="206" w:name="_1.6_Cybersécurité:_instaurer"/>
      <w:bookmarkStart w:id="207" w:name="lt_pId506"/>
      <w:bookmarkStart w:id="208" w:name="_Toc37860460"/>
      <w:bookmarkStart w:id="209" w:name="_Toc37861221"/>
      <w:bookmarkStart w:id="210" w:name="_Toc37943344"/>
      <w:bookmarkStart w:id="211" w:name="_Toc38828354"/>
      <w:bookmarkStart w:id="212" w:name="_Toc41032065"/>
      <w:bookmarkStart w:id="213" w:name="_Toc72846614"/>
      <w:bookmarkStart w:id="214" w:name="_Toc98513605"/>
      <w:bookmarkStart w:id="215" w:name="_Toc107466570"/>
      <w:bookmarkEnd w:id="202"/>
      <w:bookmarkEnd w:id="203"/>
      <w:bookmarkEnd w:id="204"/>
      <w:bookmarkEnd w:id="205"/>
      <w:bookmarkEnd w:id="206"/>
      <w:r w:rsidRPr="00F05A8A">
        <w:lastRenderedPageBreak/>
        <w:t>1.6</w:t>
      </w:r>
      <w:r w:rsidRPr="00F05A8A">
        <w:tab/>
      </w:r>
      <w:bookmarkEnd w:id="207"/>
      <w:bookmarkEnd w:id="208"/>
      <w:bookmarkEnd w:id="209"/>
      <w:bookmarkEnd w:id="210"/>
      <w:bookmarkEnd w:id="211"/>
      <w:r w:rsidRPr="00F05A8A">
        <w:t>Cybersécurité: instaurer la confiance et la sécurité dans l'utilisation des TIC</w:t>
      </w:r>
      <w:bookmarkStart w:id="216" w:name="Section_1_6"/>
      <w:bookmarkEnd w:id="212"/>
      <w:bookmarkEnd w:id="213"/>
      <w:bookmarkEnd w:id="214"/>
      <w:bookmarkEnd w:id="215"/>
    </w:p>
    <w:p w14:paraId="5EEFD2CA" w14:textId="4CDCD660" w:rsidR="00D80461" w:rsidRPr="00F05A8A" w:rsidRDefault="00D80461" w:rsidP="002F075E">
      <w:pPr>
        <w:rPr>
          <w:rFonts w:eastAsia="Calibri"/>
        </w:rPr>
      </w:pPr>
      <w:bookmarkStart w:id="217" w:name="lt_pId507"/>
      <w:bookmarkEnd w:id="216"/>
      <w:r w:rsidRPr="00F05A8A">
        <w:t xml:space="preserve">Les activités de l'UIT dans le domaine de la cybersécurité visent à instaurer la confiance et la sécurité dans le domaine des télécommunications/TIC, et à contribuer à la mise en œuvre d'initiatives nationales et mondiales. </w:t>
      </w:r>
      <w:bookmarkStart w:id="218" w:name="lt_pId508"/>
      <w:bookmarkEnd w:id="217"/>
      <w:r w:rsidRPr="00F05A8A">
        <w:t xml:space="preserve">Ces activités sont menées conformément </w:t>
      </w:r>
      <w:r w:rsidR="000665DB" w:rsidRPr="00F05A8A">
        <w:t>aux Résolutions</w:t>
      </w:r>
      <w:r w:rsidR="00D75D01" w:rsidRPr="00F05A8A">
        <w:rPr>
          <w:spacing w:val="4"/>
        </w:rPr>
        <w:t xml:space="preserve"> </w:t>
      </w:r>
      <w:hyperlink r:id="rId132" w:history="1">
        <w:r w:rsidR="00D75D01" w:rsidRPr="00F05A8A">
          <w:rPr>
            <w:color w:val="0000FF"/>
            <w:spacing w:val="4"/>
            <w:u w:val="single"/>
          </w:rPr>
          <w:t>71</w:t>
        </w:r>
      </w:hyperlink>
      <w:r w:rsidR="00D75D01" w:rsidRPr="00F05A8A">
        <w:rPr>
          <w:color w:val="000000"/>
          <w:spacing w:val="4"/>
        </w:rPr>
        <w:t xml:space="preserve">, </w:t>
      </w:r>
      <w:hyperlink r:id="rId133" w:history="1">
        <w:r w:rsidR="00D75D01" w:rsidRPr="00F05A8A">
          <w:rPr>
            <w:color w:val="0000FF"/>
            <w:spacing w:val="4"/>
            <w:u w:val="single"/>
          </w:rPr>
          <w:t>130</w:t>
        </w:r>
      </w:hyperlink>
      <w:r w:rsidR="00D75D01" w:rsidRPr="00F05A8A">
        <w:rPr>
          <w:color w:val="000000"/>
          <w:spacing w:val="4"/>
        </w:rPr>
        <w:t xml:space="preserve">, </w:t>
      </w:r>
      <w:hyperlink r:id="rId134" w:history="1">
        <w:r w:rsidR="00D75D01" w:rsidRPr="00F05A8A">
          <w:rPr>
            <w:color w:val="0000FF"/>
            <w:spacing w:val="4"/>
            <w:u w:val="single"/>
          </w:rPr>
          <w:t>140</w:t>
        </w:r>
      </w:hyperlink>
      <w:r w:rsidR="00D75D01" w:rsidRPr="00F05A8A">
        <w:rPr>
          <w:color w:val="000000"/>
          <w:spacing w:val="4"/>
        </w:rPr>
        <w:t xml:space="preserve">, </w:t>
      </w:r>
      <w:hyperlink r:id="rId135" w:history="1">
        <w:r w:rsidR="00D75D01" w:rsidRPr="00F05A8A">
          <w:rPr>
            <w:color w:val="0000FF"/>
            <w:spacing w:val="4"/>
            <w:u w:val="single"/>
          </w:rPr>
          <w:t>174</w:t>
        </w:r>
      </w:hyperlink>
      <w:r w:rsidR="00D75D01" w:rsidRPr="00F05A8A">
        <w:rPr>
          <w:color w:val="0000FF"/>
          <w:spacing w:val="4"/>
        </w:rPr>
        <w:t xml:space="preserve">, </w:t>
      </w:r>
      <w:hyperlink r:id="rId136" w:history="1">
        <w:r w:rsidR="00D75D01" w:rsidRPr="00F05A8A">
          <w:rPr>
            <w:color w:val="0000FF"/>
            <w:spacing w:val="4"/>
            <w:u w:val="single"/>
          </w:rPr>
          <w:t>179</w:t>
        </w:r>
      </w:hyperlink>
      <w:r w:rsidR="00D75D01" w:rsidRPr="00F05A8A">
        <w:rPr>
          <w:color w:val="0000FF"/>
          <w:spacing w:val="4"/>
        </w:rPr>
        <w:t xml:space="preserve"> </w:t>
      </w:r>
      <w:r w:rsidR="00D75D01" w:rsidRPr="00F05A8A">
        <w:rPr>
          <w:color w:val="000000"/>
          <w:spacing w:val="4"/>
        </w:rPr>
        <w:t>(</w:t>
      </w:r>
      <w:r w:rsidR="005F1E52" w:rsidRPr="00F05A8A">
        <w:rPr>
          <w:color w:val="000000"/>
          <w:spacing w:val="4"/>
        </w:rPr>
        <w:t>Rév</w:t>
      </w:r>
      <w:r w:rsidR="00D75D01" w:rsidRPr="00F05A8A">
        <w:rPr>
          <w:color w:val="000000"/>
          <w:spacing w:val="4"/>
        </w:rPr>
        <w:t xml:space="preserve">. </w:t>
      </w:r>
      <w:r w:rsidR="005F1E52" w:rsidRPr="00F05A8A">
        <w:rPr>
          <w:color w:val="000000"/>
          <w:spacing w:val="4"/>
        </w:rPr>
        <w:t>Dubaï</w:t>
      </w:r>
      <w:r w:rsidR="00D75D01" w:rsidRPr="00F05A8A">
        <w:rPr>
          <w:color w:val="000000"/>
          <w:spacing w:val="4"/>
        </w:rPr>
        <w:t>, 2018)</w:t>
      </w:r>
      <w:r w:rsidR="00D75D01" w:rsidRPr="00F05A8A">
        <w:rPr>
          <w:color w:val="000000"/>
          <w:spacing w:val="-2"/>
        </w:rPr>
        <w:t xml:space="preserve"> </w:t>
      </w:r>
      <w:r w:rsidR="006D6AE0" w:rsidRPr="00F05A8A">
        <w:rPr>
          <w:color w:val="000000"/>
          <w:spacing w:val="-2"/>
        </w:rPr>
        <w:t>et</w:t>
      </w:r>
      <w:r w:rsidR="005F1E52" w:rsidRPr="00F05A8A">
        <w:rPr>
          <w:color w:val="000000"/>
          <w:spacing w:val="-2"/>
        </w:rPr>
        <w:t xml:space="preserve"> </w:t>
      </w:r>
      <w:hyperlink r:id="rId137" w:history="1">
        <w:r w:rsidR="00D75D01" w:rsidRPr="00F05A8A">
          <w:rPr>
            <w:color w:val="0000FF"/>
            <w:spacing w:val="-2"/>
            <w:u w:val="single"/>
          </w:rPr>
          <w:t>181</w:t>
        </w:r>
      </w:hyperlink>
      <w:r w:rsidR="00D75D01" w:rsidRPr="00F05A8A">
        <w:rPr>
          <w:spacing w:val="-2"/>
        </w:rPr>
        <w:t xml:space="preserve"> </w:t>
      </w:r>
      <w:r w:rsidR="00D75D01" w:rsidRPr="00F05A8A">
        <w:rPr>
          <w:spacing w:val="2"/>
        </w:rPr>
        <w:t>(Guadalajara, 2010)</w:t>
      </w:r>
      <w:r w:rsidR="006D6AE0" w:rsidRPr="00F05A8A">
        <w:rPr>
          <w:spacing w:val="2"/>
        </w:rPr>
        <w:t xml:space="preserve"> de la Conférence de plénipotentiaires</w:t>
      </w:r>
      <w:r w:rsidR="00D75D01" w:rsidRPr="00F05A8A">
        <w:rPr>
          <w:color w:val="000000"/>
          <w:spacing w:val="2"/>
        </w:rPr>
        <w:t xml:space="preserve">; </w:t>
      </w:r>
      <w:r w:rsidR="00C03045" w:rsidRPr="00F05A8A">
        <w:rPr>
          <w:color w:val="000000"/>
          <w:spacing w:val="2"/>
        </w:rPr>
        <w:t xml:space="preserve">au </w:t>
      </w:r>
      <w:hyperlink r:id="rId138" w:history="1">
        <w:r w:rsidR="00C03045" w:rsidRPr="00F05A8A">
          <w:rPr>
            <w:rStyle w:val="Hyperlink"/>
            <w:spacing w:val="2"/>
          </w:rPr>
          <w:t>Règlement des télécommunications internationales</w:t>
        </w:r>
      </w:hyperlink>
      <w:r w:rsidR="00D75D01" w:rsidRPr="00F05A8A">
        <w:rPr>
          <w:color w:val="000000"/>
          <w:spacing w:val="2"/>
        </w:rPr>
        <w:t xml:space="preserve"> (</w:t>
      </w:r>
      <w:r w:rsidR="000665DB" w:rsidRPr="00F05A8A">
        <w:rPr>
          <w:color w:val="000000"/>
          <w:spacing w:val="2"/>
        </w:rPr>
        <w:t>Rév</w:t>
      </w:r>
      <w:r w:rsidR="00D75D01" w:rsidRPr="00F05A8A">
        <w:rPr>
          <w:color w:val="000000"/>
          <w:spacing w:val="2"/>
        </w:rPr>
        <w:t>. </w:t>
      </w:r>
      <w:r w:rsidR="000665DB" w:rsidRPr="00F05A8A">
        <w:rPr>
          <w:color w:val="000000"/>
          <w:spacing w:val="2"/>
        </w:rPr>
        <w:t>Dubaï</w:t>
      </w:r>
      <w:r w:rsidR="00D75D01" w:rsidRPr="00F05A8A">
        <w:rPr>
          <w:color w:val="000000"/>
          <w:spacing w:val="2"/>
        </w:rPr>
        <w:t xml:space="preserve">, 2012); </w:t>
      </w:r>
      <w:r w:rsidR="00C03045" w:rsidRPr="00F05A8A">
        <w:rPr>
          <w:color w:val="000000"/>
          <w:spacing w:val="2"/>
        </w:rPr>
        <w:t xml:space="preserve">à la Résolution </w:t>
      </w:r>
      <w:hyperlink r:id="rId139" w:history="1">
        <w:r w:rsidR="00D75D01" w:rsidRPr="00F05A8A">
          <w:rPr>
            <w:color w:val="0000FF"/>
            <w:spacing w:val="2"/>
            <w:u w:val="single"/>
          </w:rPr>
          <w:t>1306</w:t>
        </w:r>
      </w:hyperlink>
      <w:r w:rsidR="00C03045" w:rsidRPr="00F05A8A">
        <w:rPr>
          <w:color w:val="0000FF"/>
          <w:spacing w:val="2"/>
          <w:u w:val="single"/>
        </w:rPr>
        <w:t xml:space="preserve"> du Conseil</w:t>
      </w:r>
      <w:r w:rsidR="00D75D01" w:rsidRPr="00F05A8A">
        <w:rPr>
          <w:color w:val="000000"/>
          <w:spacing w:val="2"/>
        </w:rPr>
        <w:t xml:space="preserve">; </w:t>
      </w:r>
      <w:r w:rsidR="000E715E" w:rsidRPr="00F05A8A">
        <w:rPr>
          <w:color w:val="000000"/>
          <w:spacing w:val="2"/>
        </w:rPr>
        <w:t xml:space="preserve">aux Résolutions </w:t>
      </w:r>
      <w:hyperlink r:id="rId140" w:history="1">
        <w:r w:rsidR="00D75D01" w:rsidRPr="00F05A8A">
          <w:rPr>
            <w:color w:val="0000FF"/>
            <w:spacing w:val="2"/>
            <w:u w:val="single"/>
          </w:rPr>
          <w:t>45</w:t>
        </w:r>
      </w:hyperlink>
      <w:r w:rsidR="00D75D01" w:rsidRPr="00F05A8A">
        <w:rPr>
          <w:color w:val="000000"/>
        </w:rPr>
        <w:t xml:space="preserve"> (</w:t>
      </w:r>
      <w:r w:rsidR="000E715E" w:rsidRPr="00F05A8A">
        <w:rPr>
          <w:color w:val="000000"/>
        </w:rPr>
        <w:t>Rév</w:t>
      </w:r>
      <w:r w:rsidR="00D75D01" w:rsidRPr="00F05A8A">
        <w:rPr>
          <w:color w:val="000000"/>
        </w:rPr>
        <w:t xml:space="preserve">. </w:t>
      </w:r>
      <w:r w:rsidR="000E715E" w:rsidRPr="00F05A8A">
        <w:rPr>
          <w:color w:val="000000"/>
        </w:rPr>
        <w:t>Dubaï</w:t>
      </w:r>
      <w:r w:rsidR="00D75D01" w:rsidRPr="00F05A8A">
        <w:rPr>
          <w:color w:val="000000"/>
        </w:rPr>
        <w:t xml:space="preserve">, 2014), </w:t>
      </w:r>
      <w:hyperlink r:id="rId141" w:history="1">
        <w:r w:rsidR="00D75D01" w:rsidRPr="00F05A8A">
          <w:rPr>
            <w:color w:val="0000FF"/>
            <w:u w:val="single"/>
          </w:rPr>
          <w:t>2</w:t>
        </w:r>
        <w:r w:rsidR="00D75D01" w:rsidRPr="00F05A8A">
          <w:rPr>
            <w:color w:val="0000FF"/>
          </w:rPr>
          <w:t xml:space="preserve">, </w:t>
        </w:r>
        <w:r w:rsidR="00D75D01" w:rsidRPr="00F05A8A">
          <w:rPr>
            <w:color w:val="0000FF"/>
            <w:u w:val="single"/>
          </w:rPr>
          <w:t>67</w:t>
        </w:r>
        <w:r w:rsidR="000E715E" w:rsidRPr="00F05A8A">
          <w:t xml:space="preserve"> et </w:t>
        </w:r>
        <w:r w:rsidR="00D75D01" w:rsidRPr="00F05A8A">
          <w:rPr>
            <w:color w:val="0000FF"/>
            <w:u w:val="single"/>
          </w:rPr>
          <w:t>69</w:t>
        </w:r>
      </w:hyperlink>
      <w:r w:rsidR="00D75D01" w:rsidRPr="00F05A8A">
        <w:rPr>
          <w:color w:val="0000FF"/>
          <w:u w:val="single"/>
        </w:rPr>
        <w:t xml:space="preserve"> (</w:t>
      </w:r>
      <w:r w:rsidR="000E715E" w:rsidRPr="00F05A8A">
        <w:rPr>
          <w:color w:val="0000FF"/>
          <w:u w:val="single"/>
        </w:rPr>
        <w:t>Rév</w:t>
      </w:r>
      <w:r w:rsidR="00D75D01" w:rsidRPr="00F05A8A">
        <w:rPr>
          <w:color w:val="0000FF"/>
          <w:u w:val="single"/>
        </w:rPr>
        <w:t>. Buenos</w:t>
      </w:r>
      <w:r w:rsidR="0079251D" w:rsidRPr="00F05A8A">
        <w:rPr>
          <w:color w:val="0000FF"/>
          <w:u w:val="single"/>
        </w:rPr>
        <w:t> </w:t>
      </w:r>
      <w:r w:rsidR="00D75D01" w:rsidRPr="00F05A8A">
        <w:rPr>
          <w:color w:val="0000FF"/>
          <w:u w:val="single"/>
        </w:rPr>
        <w:t>Aires,</w:t>
      </w:r>
      <w:r w:rsidR="0079251D" w:rsidRPr="00F05A8A">
        <w:rPr>
          <w:color w:val="0000FF"/>
          <w:u w:val="single"/>
        </w:rPr>
        <w:t> </w:t>
      </w:r>
      <w:r w:rsidR="00D75D01" w:rsidRPr="00F05A8A">
        <w:rPr>
          <w:color w:val="0000FF"/>
          <w:u w:val="single"/>
        </w:rPr>
        <w:t>2017)</w:t>
      </w:r>
      <w:r w:rsidR="000E715E" w:rsidRPr="00F05A8A">
        <w:t xml:space="preserve"> de la CMDT</w:t>
      </w:r>
      <w:r w:rsidR="00D75D01" w:rsidRPr="00F05A8A">
        <w:t xml:space="preserve">; </w:t>
      </w:r>
      <w:r w:rsidR="001E1803" w:rsidRPr="00F05A8A">
        <w:rPr>
          <w:color w:val="000000"/>
        </w:rPr>
        <w:t>à l'Objectif 2/Produit 2.2 de l'UIT-D</w:t>
      </w:r>
      <w:r w:rsidR="00D75D01" w:rsidRPr="00F05A8A">
        <w:rPr>
          <w:color w:val="000000"/>
        </w:rPr>
        <w:t xml:space="preserve"> (</w:t>
      </w:r>
      <w:hyperlink r:id="rId142" w:history="1">
        <w:r w:rsidR="007B4D9C" w:rsidRPr="00F05A8A">
          <w:rPr>
            <w:color w:val="0000FF"/>
            <w:u w:val="single"/>
          </w:rPr>
          <w:t>Plan d'action de B</w:t>
        </w:r>
        <w:r w:rsidR="00D75D01" w:rsidRPr="00F05A8A">
          <w:rPr>
            <w:color w:val="0000FF"/>
            <w:u w:val="single"/>
          </w:rPr>
          <w:t>uenos Aires</w:t>
        </w:r>
      </w:hyperlink>
      <w:r w:rsidR="00D75D01" w:rsidRPr="00F05A8A">
        <w:rPr>
          <w:color w:val="000000"/>
        </w:rPr>
        <w:t>)</w:t>
      </w:r>
      <w:r w:rsidR="00D75D01" w:rsidRPr="00F05A8A">
        <w:t>;</w:t>
      </w:r>
      <w:r w:rsidR="00D75D01" w:rsidRPr="00F05A8A">
        <w:rPr>
          <w:color w:val="000000"/>
        </w:rPr>
        <w:t xml:space="preserve"> </w:t>
      </w:r>
      <w:r w:rsidR="00975789" w:rsidRPr="00F05A8A">
        <w:rPr>
          <w:color w:val="000000"/>
        </w:rPr>
        <w:t xml:space="preserve">aux Résolutions </w:t>
      </w:r>
      <w:hyperlink r:id="rId143" w:history="1">
        <w:r w:rsidR="00D75D01" w:rsidRPr="00F05A8A">
          <w:rPr>
            <w:color w:val="0000FF"/>
            <w:u w:val="single"/>
          </w:rPr>
          <w:t>50</w:t>
        </w:r>
      </w:hyperlink>
      <w:r w:rsidR="00D75D01" w:rsidRPr="00F05A8A">
        <w:rPr>
          <w:color w:val="000000"/>
        </w:rPr>
        <w:t xml:space="preserve">, </w:t>
      </w:r>
      <w:hyperlink r:id="rId144" w:history="1">
        <w:r w:rsidR="00D75D01" w:rsidRPr="00F05A8A">
          <w:rPr>
            <w:color w:val="0000FF"/>
            <w:u w:val="single"/>
          </w:rPr>
          <w:t>52</w:t>
        </w:r>
      </w:hyperlink>
      <w:r w:rsidR="00D75D01" w:rsidRPr="00F05A8A">
        <w:rPr>
          <w:color w:val="000000"/>
        </w:rPr>
        <w:t xml:space="preserve">, </w:t>
      </w:r>
      <w:hyperlink r:id="rId145" w:history="1">
        <w:r w:rsidR="00D75D01" w:rsidRPr="00F05A8A">
          <w:rPr>
            <w:color w:val="0000FF"/>
            <w:u w:val="single"/>
          </w:rPr>
          <w:t>75</w:t>
        </w:r>
      </w:hyperlink>
      <w:r w:rsidR="00D75D01" w:rsidRPr="00F05A8A">
        <w:rPr>
          <w:color w:val="000000"/>
        </w:rPr>
        <w:t xml:space="preserve"> (</w:t>
      </w:r>
      <w:r w:rsidR="00975789" w:rsidRPr="00F05A8A">
        <w:rPr>
          <w:color w:val="000000"/>
        </w:rPr>
        <w:t>Rév</w:t>
      </w:r>
      <w:r w:rsidR="00D75D01" w:rsidRPr="00F05A8A">
        <w:rPr>
          <w:color w:val="000000"/>
        </w:rPr>
        <w:t xml:space="preserve">. Hammamet, 2016), </w:t>
      </w:r>
      <w:r w:rsidR="00975789" w:rsidRPr="00F05A8A">
        <w:rPr>
          <w:color w:val="000000"/>
        </w:rPr>
        <w:t xml:space="preserve">et </w:t>
      </w:r>
      <w:hyperlink r:id="rId146" w:history="1">
        <w:r w:rsidR="00D75D01" w:rsidRPr="00F05A8A">
          <w:rPr>
            <w:color w:val="0000FF"/>
            <w:u w:val="single"/>
          </w:rPr>
          <w:t>58</w:t>
        </w:r>
      </w:hyperlink>
      <w:r w:rsidR="00D75D01" w:rsidRPr="00F05A8A">
        <w:rPr>
          <w:color w:val="000000"/>
        </w:rPr>
        <w:t xml:space="preserve"> (</w:t>
      </w:r>
      <w:r w:rsidR="00975789" w:rsidRPr="00F05A8A">
        <w:rPr>
          <w:color w:val="000000"/>
        </w:rPr>
        <w:t>Rév</w:t>
      </w:r>
      <w:r w:rsidR="00D75D01" w:rsidRPr="00F05A8A">
        <w:rPr>
          <w:color w:val="000000"/>
        </w:rPr>
        <w:t xml:space="preserve">. </w:t>
      </w:r>
      <w:r w:rsidR="00975789" w:rsidRPr="00F05A8A">
        <w:rPr>
          <w:color w:val="000000"/>
        </w:rPr>
        <w:t>Dubaï</w:t>
      </w:r>
      <w:r w:rsidR="00D75D01" w:rsidRPr="00F05A8A">
        <w:rPr>
          <w:color w:val="000000"/>
        </w:rPr>
        <w:t>, 2012)</w:t>
      </w:r>
      <w:r w:rsidR="00D75D01" w:rsidRPr="00F05A8A">
        <w:rPr>
          <w:rFonts w:eastAsia="Calibri"/>
        </w:rPr>
        <w:t xml:space="preserve"> </w:t>
      </w:r>
      <w:r w:rsidR="00975789" w:rsidRPr="00F05A8A">
        <w:rPr>
          <w:rFonts w:eastAsia="Calibri"/>
        </w:rPr>
        <w:t xml:space="preserve">de l'AMNT et </w:t>
      </w:r>
      <w:r w:rsidR="00E67970" w:rsidRPr="00F05A8A">
        <w:rPr>
          <w:rFonts w:eastAsia="Calibri"/>
        </w:rPr>
        <w:t xml:space="preserve">au rôle </w:t>
      </w:r>
      <w:r w:rsidR="00B50492" w:rsidRPr="00F05A8A">
        <w:rPr>
          <w:rFonts w:eastAsia="Calibri"/>
        </w:rPr>
        <w:t>de l'UIT en tant que coordonnatrice</w:t>
      </w:r>
      <w:r w:rsidR="00E67970" w:rsidRPr="00F05A8A">
        <w:rPr>
          <w:rFonts w:eastAsia="Calibri"/>
        </w:rPr>
        <w:t xml:space="preserve"> </w:t>
      </w:r>
      <w:r w:rsidR="004853F6" w:rsidRPr="00F05A8A">
        <w:rPr>
          <w:rFonts w:eastAsia="Calibri"/>
        </w:rPr>
        <w:t xml:space="preserve">de la grande orientation C5 du SMSI. </w:t>
      </w:r>
      <w:r w:rsidR="00CF7C92" w:rsidRPr="00F05A8A">
        <w:rPr>
          <w:rFonts w:eastAsia="Calibri"/>
        </w:rPr>
        <w:t xml:space="preserve">Pour obtenir un rapport détaillé sur les activités de l'UIT relatives au renforcement du rôle de l'Union dans l'instauration de la confiance et de la sécurité dans l'utilisation des technologies de l'information et de la communication, veuillez </w:t>
      </w:r>
      <w:r w:rsidR="00D13AB0" w:rsidRPr="00F05A8A">
        <w:rPr>
          <w:rFonts w:eastAsia="Calibri"/>
        </w:rPr>
        <w:t xml:space="preserve">consulter </w:t>
      </w:r>
      <w:r w:rsidR="005C4CC6" w:rsidRPr="00F05A8A">
        <w:rPr>
          <w:rFonts w:eastAsia="Calibri"/>
        </w:rPr>
        <w:t xml:space="preserve">les rapports annuels au Conseil </w:t>
      </w:r>
      <w:hyperlink r:id="rId147" w:history="1">
        <w:r w:rsidR="005C4CC6" w:rsidRPr="00F05A8A">
          <w:rPr>
            <w:rStyle w:val="Hyperlink"/>
            <w:rFonts w:asciiTheme="minorHAnsi" w:hAnsiTheme="minorHAnsi" w:cstheme="minorHAnsi"/>
            <w:i/>
            <w:iCs/>
          </w:rPr>
          <w:t>C19/18</w:t>
        </w:r>
      </w:hyperlink>
      <w:r w:rsidR="005C4CC6" w:rsidRPr="00F05A8A">
        <w:rPr>
          <w:rStyle w:val="Hyperlink"/>
          <w:rFonts w:asciiTheme="minorHAnsi" w:hAnsiTheme="minorHAnsi" w:cstheme="minorHAnsi"/>
          <w:i/>
          <w:iCs/>
          <w:color w:val="auto"/>
          <w:u w:val="none"/>
        </w:rPr>
        <w:t xml:space="preserve">, </w:t>
      </w:r>
      <w:hyperlink r:id="rId148" w:history="1">
        <w:r w:rsidR="005C4CC6" w:rsidRPr="00F05A8A">
          <w:rPr>
            <w:rStyle w:val="Hyperlink"/>
            <w:rFonts w:asciiTheme="minorHAnsi" w:hAnsiTheme="minorHAnsi" w:cstheme="minorHAnsi"/>
            <w:i/>
            <w:iCs/>
          </w:rPr>
          <w:t>C20/18</w:t>
        </w:r>
      </w:hyperlink>
      <w:r w:rsidR="005C4CC6" w:rsidRPr="00F05A8A">
        <w:rPr>
          <w:rStyle w:val="Hyperlink"/>
          <w:rFonts w:asciiTheme="minorHAnsi" w:hAnsiTheme="minorHAnsi" w:cstheme="minorHAnsi"/>
          <w:i/>
          <w:iCs/>
          <w:color w:val="auto"/>
          <w:u w:val="none"/>
        </w:rPr>
        <w:t xml:space="preserve">, </w:t>
      </w:r>
      <w:hyperlink r:id="rId149" w:history="1">
        <w:r w:rsidR="005C4CC6" w:rsidRPr="00F05A8A">
          <w:rPr>
            <w:rStyle w:val="Hyperlink"/>
            <w:rFonts w:asciiTheme="minorHAnsi" w:hAnsiTheme="minorHAnsi" w:cstheme="minorHAnsi"/>
            <w:i/>
            <w:iCs/>
          </w:rPr>
          <w:t>C21/18</w:t>
        </w:r>
      </w:hyperlink>
      <w:r w:rsidR="005C4CC6" w:rsidRPr="00F05A8A">
        <w:rPr>
          <w:rFonts w:eastAsia="Calibri"/>
        </w:rPr>
        <w:t xml:space="preserve"> et </w:t>
      </w:r>
      <w:hyperlink r:id="rId150" w:history="1">
        <w:r w:rsidR="005C4CC6" w:rsidRPr="00F05A8A">
          <w:rPr>
            <w:rStyle w:val="Hyperlink"/>
            <w:i/>
            <w:iCs/>
          </w:rPr>
          <w:t>C22/18</w:t>
        </w:r>
      </w:hyperlink>
      <w:r w:rsidR="005C4CC6" w:rsidRPr="00F05A8A">
        <w:rPr>
          <w:rFonts w:eastAsia="Calibri"/>
        </w:rPr>
        <w:t>.</w:t>
      </w:r>
      <w:bookmarkStart w:id="219" w:name="lt_pId509"/>
      <w:bookmarkEnd w:id="218"/>
      <w:r w:rsidR="00EB5A1C" w:rsidRPr="00F05A8A">
        <w:rPr>
          <w:rFonts w:eastAsia="Calibri"/>
        </w:rPr>
        <w:t xml:space="preserve"> </w:t>
      </w:r>
      <w:r w:rsidRPr="00F05A8A">
        <w:t>Le Programme l'UIT sur la cybersécurité, qui repose sur le cadre offert par le Programme mondial cybersécurité, illustre la complémentarité et facilitent la mise en œuvre des activités de l'UIT-R, de l'UIT-T et de l'UIT-D dans ce domaine</w:t>
      </w:r>
      <w:bookmarkEnd w:id="219"/>
      <w:r w:rsidRPr="00F05A8A">
        <w:t>.</w:t>
      </w:r>
    </w:p>
    <w:p w14:paraId="317667B9" w14:textId="77777777" w:rsidR="00D80461" w:rsidRPr="00F05A8A" w:rsidRDefault="00D80461" w:rsidP="002F075E">
      <w:pPr>
        <w:rPr>
          <w:u w:val="single"/>
        </w:rPr>
      </w:pPr>
      <w:r w:rsidRPr="00F05A8A">
        <w:rPr>
          <w:u w:val="single"/>
        </w:rPr>
        <w:t>Mesures juridiques</w:t>
      </w:r>
    </w:p>
    <w:p w14:paraId="267603F8" w14:textId="77777777" w:rsidR="00D80461" w:rsidRPr="00F05A8A" w:rsidRDefault="00D80461" w:rsidP="002F075E">
      <w:bookmarkStart w:id="220" w:name="lt_pId511"/>
      <w:r w:rsidRPr="00F05A8A">
        <w:rPr>
          <w:rFonts w:eastAsia="Calibri"/>
        </w:rPr>
        <w:t xml:space="preserve">L'UIT aide les États Membres à comprendre les aspects juridiques de la cybersécurité, en mettant à leur disposition ses </w:t>
      </w:r>
      <w:hyperlink r:id="rId151" w:history="1">
        <w:r w:rsidRPr="00F05A8A">
          <w:rPr>
            <w:rStyle w:val="Hyperlink"/>
            <w:rFonts w:eastAsia="Calibri"/>
          </w:rPr>
          <w:t>ressources sur la législation relative à la cybercriminalité</w:t>
        </w:r>
      </w:hyperlink>
      <w:r w:rsidRPr="00F05A8A">
        <w:rPr>
          <w:rFonts w:eastAsia="Calibri"/>
        </w:rPr>
        <w:t xml:space="preserve">, pour leur permettre d'harmoniser leurs cadres juridiques. L'UIT collabore avec des partenaires comme l'Office des Nations Unies contre la drogue et le crime (UNODC). </w:t>
      </w:r>
      <w:r w:rsidRPr="00F05A8A">
        <w:t>Des mesures juridiques sont nécessaires pour assurer la mise en œuvre d'une législation appropriée en matière de cybersécurité ainsi que l'harmonisation du cadre juridique et stratégique.</w:t>
      </w:r>
      <w:bookmarkEnd w:id="220"/>
    </w:p>
    <w:p w14:paraId="1882F9D1" w14:textId="77777777" w:rsidR="00D80461" w:rsidRPr="00F05A8A" w:rsidRDefault="00D80461" w:rsidP="002F075E">
      <w:pPr>
        <w:rPr>
          <w:u w:val="single"/>
        </w:rPr>
      </w:pPr>
      <w:r w:rsidRPr="00F05A8A">
        <w:rPr>
          <w:u w:val="single"/>
        </w:rPr>
        <w:t>Mesures techniques et de procédure</w:t>
      </w:r>
    </w:p>
    <w:p w14:paraId="73B68DA8" w14:textId="77777777" w:rsidR="00D80461" w:rsidRPr="00F05A8A" w:rsidRDefault="00D80461" w:rsidP="002F075E">
      <w:bookmarkStart w:id="221" w:name="lt_pId514"/>
      <w:r w:rsidRPr="00F05A8A">
        <w:t>La CE 17 de l'UIT-T (</w:t>
      </w:r>
      <w:hyperlink r:id="rId152" w:history="1">
        <w:r w:rsidRPr="00F05A8A">
          <w:rPr>
            <w:rStyle w:val="Hyperlink"/>
          </w:rPr>
          <w:t>Sécurité</w:t>
        </w:r>
      </w:hyperlink>
      <w:r w:rsidRPr="00F05A8A">
        <w:t xml:space="preserve">) est la commission d'études directrice pour les travaux sur l'instauration de la confiance et de la sécurité dans l'utilisation des TIC. </w:t>
      </w:r>
      <w:bookmarkStart w:id="222" w:name="lt_pId515"/>
      <w:bookmarkEnd w:id="221"/>
      <w:r w:rsidRPr="00F05A8A">
        <w:t>Elle facilite la fourniture d'une infrastructure de réseau, de services et d'applications plus sûrs, et coordonne les travaux liés à la sécurité qui sont menés dans les Commissions d'études de l'UIT-T.</w:t>
      </w:r>
      <w:bookmarkStart w:id="223" w:name="lt_pId518"/>
      <w:bookmarkEnd w:id="222"/>
      <w:r w:rsidRPr="00F05A8A">
        <w:t xml:space="preserve"> D'autres Commissions d'études de l'UIT-T, comme la CE 9 (</w:t>
      </w:r>
      <w:hyperlink r:id="rId153" w:history="1">
        <w:r w:rsidRPr="00F05A8A">
          <w:rPr>
            <w:rStyle w:val="Hyperlink"/>
          </w:rPr>
          <w:t>Réseaux câblés à large bande et télévision</w:t>
        </w:r>
      </w:hyperlink>
      <w:r w:rsidRPr="00F05A8A">
        <w:t>) et la CE 13 (</w:t>
      </w:r>
      <w:hyperlink r:id="rId154" w:history="1">
        <w:r w:rsidRPr="00F05A8A">
          <w:rPr>
            <w:rStyle w:val="Hyperlink"/>
          </w:rPr>
          <w:t>Réseaux futurs, en particulier les IMT-2020, l'informatique en nuage et les infrastructures de réseau de confiance</w:t>
        </w:r>
      </w:hyperlink>
      <w:r w:rsidRPr="00F05A8A">
        <w:rPr>
          <w:color w:val="000000"/>
        </w:rPr>
        <w:t>)</w:t>
      </w:r>
      <w:r w:rsidRPr="00F05A8A">
        <w:t xml:space="preserve">, ont contribué à mener à bien le mandat de l'UIT en matière de cybersécurité. </w:t>
      </w:r>
      <w:bookmarkEnd w:id="223"/>
      <w:r w:rsidRPr="00F05A8A">
        <w:rPr>
          <w:rFonts w:eastAsia="Calibri"/>
        </w:rPr>
        <w:t>L'UIT-R a défini des principes de sécurité précis concernant les réseaux IMT (3G, 4G et 5G).</w:t>
      </w:r>
    </w:p>
    <w:p w14:paraId="3D6551DB" w14:textId="77777777" w:rsidR="00D80461" w:rsidRPr="00F05A8A" w:rsidRDefault="00D80461" w:rsidP="002F075E">
      <w:pPr>
        <w:rPr>
          <w:u w:val="single"/>
        </w:rPr>
      </w:pPr>
      <w:r w:rsidRPr="00F05A8A">
        <w:rPr>
          <w:u w:val="single"/>
        </w:rPr>
        <w:t>Structures organisationnelles</w:t>
      </w:r>
    </w:p>
    <w:p w14:paraId="730200B8" w14:textId="1FF40F69" w:rsidR="00D80461" w:rsidRPr="00F05A8A" w:rsidRDefault="00D80461" w:rsidP="002F075E">
      <w:pPr>
        <w:rPr>
          <w:rFonts w:eastAsia="Calibri"/>
          <w:sz w:val="22"/>
        </w:rPr>
      </w:pPr>
      <w:r w:rsidRPr="00F05A8A">
        <w:rPr>
          <w:rFonts w:eastAsia="Calibri"/>
        </w:rPr>
        <w:t>Le Bureau de développement des télécommunications de l'UIT évalue l'état de préparation des États Membres de l'UIT en matière de déploiement d'</w:t>
      </w:r>
      <w:hyperlink r:id="rId155" w:history="1">
        <w:r w:rsidRPr="00F05A8A">
          <w:rPr>
            <w:rStyle w:val="Hyperlink"/>
            <w:rFonts w:eastAsia="Calibri"/>
          </w:rPr>
          <w:t>équipes nationales d'intervention en cas d'incident informatique (CIRT)</w:t>
        </w:r>
      </w:hyperlink>
      <w:r w:rsidRPr="00F05A8A">
        <w:rPr>
          <w:rFonts w:eastAsia="Calibri"/>
        </w:rPr>
        <w:t xml:space="preserve"> opérationnelles. Des équipes sont maintenant établies dans </w:t>
      </w:r>
      <w:r w:rsidR="00D75D01" w:rsidRPr="00F05A8A">
        <w:rPr>
          <w:rFonts w:eastAsia="Calibri"/>
        </w:rPr>
        <w:t>17 </w:t>
      </w:r>
      <w:r w:rsidRPr="00F05A8A">
        <w:rPr>
          <w:rFonts w:eastAsia="Calibri"/>
        </w:rPr>
        <w:t>pays.</w:t>
      </w:r>
    </w:p>
    <w:p w14:paraId="2EE27B98" w14:textId="6AF88C22" w:rsidR="00D80461" w:rsidRPr="00F05A8A" w:rsidRDefault="00D80461" w:rsidP="002F075E">
      <w:pPr>
        <w:pStyle w:val="Headingb"/>
        <w:rPr>
          <w:rFonts w:eastAsia="Calibri"/>
        </w:rPr>
      </w:pPr>
      <w:bookmarkStart w:id="224" w:name="_Toc95387481"/>
      <w:r w:rsidRPr="00F05A8A">
        <w:rPr>
          <w:rFonts w:eastAsia="Calibri"/>
        </w:rPr>
        <w:lastRenderedPageBreak/>
        <w:t>3</w:t>
      </w:r>
      <w:r w:rsidR="00D75D01" w:rsidRPr="00F05A8A">
        <w:rPr>
          <w:rFonts w:eastAsia="Calibri"/>
        </w:rPr>
        <w:t>4</w:t>
      </w:r>
      <w:r w:rsidRPr="00F05A8A">
        <w:rPr>
          <w:rFonts w:eastAsia="Calibri"/>
        </w:rPr>
        <w:t> cyberexercices dans 1</w:t>
      </w:r>
      <w:r w:rsidR="00D75D01" w:rsidRPr="00F05A8A">
        <w:rPr>
          <w:rFonts w:eastAsia="Calibri"/>
        </w:rPr>
        <w:t>20</w:t>
      </w:r>
      <w:r w:rsidRPr="00F05A8A">
        <w:rPr>
          <w:rFonts w:eastAsia="Calibri"/>
        </w:rPr>
        <w:t xml:space="preserve"> pays</w:t>
      </w:r>
      <w:bookmarkEnd w:id="224"/>
    </w:p>
    <w:p w14:paraId="41AC4DA9" w14:textId="7DC19A5D" w:rsidR="00D80461" w:rsidRPr="00F05A8A" w:rsidRDefault="00D80461" w:rsidP="002F075E">
      <w:pPr>
        <w:keepNext/>
        <w:keepLines/>
        <w:rPr>
          <w:rFonts w:eastAsia="Calibri"/>
        </w:rPr>
      </w:pPr>
      <w:r w:rsidRPr="00F05A8A">
        <w:rPr>
          <w:rFonts w:eastAsia="Calibri"/>
        </w:rPr>
        <w:t>Le programme de 2021 du </w:t>
      </w:r>
      <w:hyperlink r:id="rId156" w:history="1">
        <w:r w:rsidRPr="00F05A8A">
          <w:rPr>
            <w:rStyle w:val="Hyperlink"/>
            <w:rFonts w:eastAsia="Calibri"/>
          </w:rPr>
          <w:t>cyberexercice</w:t>
        </w:r>
      </w:hyperlink>
      <w:r w:rsidRPr="00F05A8A">
        <w:rPr>
          <w:rFonts w:eastAsia="Calibri"/>
        </w:rPr>
        <w:t> mondial se compose de manifestations en ligne, de dialogues régionaux, de webinaires techniques et sur les politiques générales, de séances de formation à des outils et de développement des compétences, et de réunions interrégionales. Le cadre opérationnel et les lignes directrices concernant la planification et l'exécution des cyberexercices régionaux de l'UIT sont maintenant achevés. À ce jour, l'UIT a organisé 3</w:t>
      </w:r>
      <w:r w:rsidR="00D75D01" w:rsidRPr="00F05A8A">
        <w:rPr>
          <w:rFonts w:eastAsia="Calibri"/>
        </w:rPr>
        <w:t>4</w:t>
      </w:r>
      <w:r w:rsidRPr="00F05A8A">
        <w:rPr>
          <w:rFonts w:eastAsia="Calibri"/>
        </w:rPr>
        <w:t> cyberexercices auxquels ont participé 1</w:t>
      </w:r>
      <w:r w:rsidR="00D75D01" w:rsidRPr="00F05A8A">
        <w:rPr>
          <w:rFonts w:eastAsia="Calibri"/>
        </w:rPr>
        <w:t>2</w:t>
      </w:r>
      <w:r w:rsidRPr="00F05A8A">
        <w:rPr>
          <w:rFonts w:eastAsia="Calibri"/>
        </w:rPr>
        <w:t>0 pays.</w:t>
      </w:r>
    </w:p>
    <w:p w14:paraId="0A2C2543" w14:textId="77777777" w:rsidR="00D80461" w:rsidRPr="00F05A8A" w:rsidRDefault="00D80461" w:rsidP="002F075E">
      <w:pPr>
        <w:pStyle w:val="Headingb"/>
        <w:tabs>
          <w:tab w:val="clear" w:pos="567"/>
        </w:tabs>
        <w:ind w:left="0" w:firstLine="0"/>
        <w:rPr>
          <w:rFonts w:eastAsia="Calibri"/>
        </w:rPr>
      </w:pPr>
      <w:bookmarkStart w:id="225" w:name="_Toc95387482"/>
      <w:r w:rsidRPr="00F05A8A">
        <w:rPr>
          <w:rFonts w:eastAsia="Calibri"/>
        </w:rPr>
        <w:t>Renforcement des capacités – partage de connaissances et d'outils, formation et autonomisation</w:t>
      </w:r>
      <w:bookmarkEnd w:id="225"/>
    </w:p>
    <w:p w14:paraId="5A9E3F26" w14:textId="77777777" w:rsidR="00D80461" w:rsidRPr="00F05A8A" w:rsidRDefault="00D80461" w:rsidP="002F075E">
      <w:pPr>
        <w:pStyle w:val="enumlev1"/>
        <w:rPr>
          <w:lang w:eastAsia="zh-TW"/>
        </w:rPr>
      </w:pPr>
      <w:r w:rsidRPr="00F05A8A">
        <w:rPr>
          <w:rFonts w:eastAsia="Calibri"/>
          <w:lang w:eastAsia="zh-TW"/>
        </w:rPr>
        <w:t>•</w:t>
      </w:r>
      <w:r w:rsidRPr="00F05A8A">
        <w:rPr>
          <w:rFonts w:eastAsia="Calibri"/>
          <w:lang w:eastAsia="zh-TW"/>
        </w:rPr>
        <w:tab/>
        <w:t xml:space="preserve">Le Bureau de développement des télécommunications de l'UIT organise des </w:t>
      </w:r>
      <w:hyperlink r:id="rId157" w:history="1">
        <w:r w:rsidRPr="00F05A8A">
          <w:rPr>
            <w:rStyle w:val="Hyperlink"/>
            <w:rFonts w:eastAsia="Calibri"/>
            <w:lang w:eastAsia="zh-TW"/>
          </w:rPr>
          <w:t>forums régionaux sur la cybersécurité</w:t>
        </w:r>
      </w:hyperlink>
      <w:r w:rsidRPr="00F05A8A">
        <w:rPr>
          <w:rFonts w:eastAsia="Calibri"/>
          <w:lang w:eastAsia="zh-TW"/>
        </w:rPr>
        <w:t xml:space="preserve"> dans les différentes régions de l'UIT, contribuant ainsi à renforcer les capacités pour les programmes du BDT et à favoriser la coopération aux niveaux régional et international.</w:t>
      </w:r>
    </w:p>
    <w:p w14:paraId="03E97D69" w14:textId="77777777" w:rsidR="00D80461" w:rsidRPr="00F05A8A" w:rsidRDefault="00D80461" w:rsidP="002F075E">
      <w:pPr>
        <w:pStyle w:val="enumlev1"/>
        <w:rPr>
          <w:lang w:eastAsia="zh-TW"/>
        </w:rPr>
      </w:pPr>
      <w:r w:rsidRPr="00F05A8A">
        <w:rPr>
          <w:rFonts w:eastAsia="Calibri"/>
          <w:lang w:eastAsia="zh-TW"/>
        </w:rPr>
        <w:t>•</w:t>
      </w:r>
      <w:r w:rsidRPr="00F05A8A">
        <w:rPr>
          <w:rFonts w:eastAsia="Calibri"/>
          <w:lang w:eastAsia="zh-TW"/>
        </w:rPr>
        <w:tab/>
        <w:t xml:space="preserve">Plus de 20 organisations, dont des organisations intergouvernementales et internationales, des entités du secteur privé, des établissements universitaires et des entités de la société civile, mettent à jour le </w:t>
      </w:r>
      <w:hyperlink r:id="rId158" w:history="1">
        <w:r w:rsidRPr="00F05A8A">
          <w:rPr>
            <w:rStyle w:val="Hyperlink"/>
            <w:rFonts w:eastAsia="Calibri"/>
            <w:lang w:eastAsia="zh-TW"/>
          </w:rPr>
          <w:t>Guide pour l'élaboration d'une stratégie nationale de cybersécurité</w:t>
        </w:r>
      </w:hyperlink>
      <w:r w:rsidRPr="00F05A8A">
        <w:rPr>
          <w:rFonts w:eastAsia="Calibri"/>
          <w:lang w:eastAsia="zh-TW"/>
        </w:rPr>
        <w:t>. Un site web dédié est consacré à la nouvelle édition. Une assistance technique est actuellement fournie aux Fidji, au Libéria et au Tchad. L'Académie de l'UIT propose la formation en ligne intitulée "</w:t>
      </w:r>
      <w:hyperlink r:id="rId159" w:history="1">
        <w:r w:rsidRPr="00F05A8A">
          <w:rPr>
            <w:rStyle w:val="Hyperlink"/>
            <w:rFonts w:eastAsia="Calibri"/>
            <w:lang w:eastAsia="zh-TW"/>
          </w:rPr>
          <w:t>Cycle de vie, principes et bonnes pratiques pour l'élaboration et la mise en œuvre d'une stratégie nationale de cybersécurité</w:t>
        </w:r>
      </w:hyperlink>
      <w:r w:rsidRPr="00F05A8A">
        <w:rPr>
          <w:rFonts w:eastAsia="Calibri"/>
        </w:rPr>
        <w:t>"</w:t>
      </w:r>
      <w:r w:rsidRPr="00F05A8A">
        <w:rPr>
          <w:rFonts w:eastAsia="Calibri"/>
          <w:lang w:eastAsia="zh-TW"/>
        </w:rPr>
        <w:t>.</w:t>
      </w:r>
    </w:p>
    <w:p w14:paraId="2F7CC823" w14:textId="77777777" w:rsidR="00D80461" w:rsidRPr="00F05A8A" w:rsidRDefault="00D80461" w:rsidP="002F075E">
      <w:pPr>
        <w:pStyle w:val="enumlev1"/>
        <w:rPr>
          <w:lang w:eastAsia="zh-TW"/>
        </w:rPr>
      </w:pPr>
      <w:r w:rsidRPr="00F05A8A">
        <w:rPr>
          <w:rFonts w:eastAsia="Calibri"/>
          <w:lang w:eastAsia="zh-TW"/>
        </w:rPr>
        <w:t>•</w:t>
      </w:r>
      <w:r w:rsidRPr="00F05A8A">
        <w:rPr>
          <w:rFonts w:eastAsia="Calibri"/>
          <w:lang w:eastAsia="zh-TW"/>
        </w:rPr>
        <w:tab/>
        <w:t>Dans le cadre de l'</w:t>
      </w:r>
      <w:hyperlink r:id="rId160" w:history="1">
        <w:r w:rsidRPr="00F05A8A">
          <w:rPr>
            <w:rStyle w:val="Hyperlink"/>
            <w:rFonts w:eastAsia="Calibri"/>
            <w:lang w:eastAsia="zh-TW"/>
          </w:rPr>
          <w:t>Académie de l'UIT</w:t>
        </w:r>
      </w:hyperlink>
      <w:r w:rsidRPr="00F05A8A">
        <w:rPr>
          <w:rFonts w:eastAsia="Calibri"/>
          <w:lang w:eastAsia="zh-TW"/>
        </w:rPr>
        <w:t>, les Centres d'excellence de l'UIT</w:t>
      </w:r>
      <w:r w:rsidRPr="00F05A8A">
        <w:rPr>
          <w:rFonts w:eastAsia="Calibri"/>
          <w:color w:val="000000"/>
          <w:lang w:eastAsia="zh-TW"/>
        </w:rPr>
        <w:t xml:space="preserve"> organisent des formations et des ateliers dans le domaine de la cybersécurité</w:t>
      </w:r>
      <w:r w:rsidRPr="00F05A8A">
        <w:rPr>
          <w:rFonts w:eastAsia="Calibri"/>
          <w:lang w:eastAsia="zh-TW"/>
        </w:rPr>
        <w:t>.</w:t>
      </w:r>
    </w:p>
    <w:p w14:paraId="6116B9E2" w14:textId="77777777" w:rsidR="00D80461" w:rsidRPr="00F05A8A" w:rsidRDefault="00D80461" w:rsidP="002F075E">
      <w:pPr>
        <w:pStyle w:val="enumlev1"/>
        <w:rPr>
          <w:lang w:eastAsia="zh-TW"/>
        </w:rPr>
      </w:pPr>
      <w:r w:rsidRPr="00F05A8A">
        <w:rPr>
          <w:rFonts w:eastAsia="Calibri"/>
          <w:lang w:eastAsia="zh-TW"/>
        </w:rPr>
        <w:t>•</w:t>
      </w:r>
      <w:r w:rsidRPr="00F05A8A">
        <w:rPr>
          <w:rFonts w:eastAsia="Calibri"/>
          <w:lang w:eastAsia="zh-TW"/>
        </w:rPr>
        <w:tab/>
        <w:t xml:space="preserve">BitSight a donné aux États Membres de l'UIT la possibilité d'accéder à sa plate-forme d'évaluation de la cybersécurité, pour les aider à remédier aux problèmes de cybersécurité rencontrés pendant la pandémie de COVID-19 et </w:t>
      </w:r>
      <w:hyperlink r:id="rId161" w:history="1">
        <w:r w:rsidRPr="00F05A8A">
          <w:rPr>
            <w:rStyle w:val="Hyperlink"/>
            <w:rFonts w:eastAsia="Calibri"/>
            <w:lang w:eastAsia="zh-TW"/>
          </w:rPr>
          <w:t>renforcer l'infrastructure de santé des États Membres grâce à des informations actualisées sur les cybermenaces</w:t>
        </w:r>
      </w:hyperlink>
      <w:r w:rsidRPr="00F05A8A">
        <w:rPr>
          <w:rFonts w:eastAsia="Calibri"/>
          <w:lang w:eastAsia="zh-TW"/>
        </w:rPr>
        <w:t>.</w:t>
      </w:r>
    </w:p>
    <w:p w14:paraId="3FE604C5" w14:textId="5786044E" w:rsidR="00D80461" w:rsidRPr="00F05A8A" w:rsidRDefault="00D80461" w:rsidP="002F075E">
      <w:pPr>
        <w:pStyle w:val="enumlev1"/>
        <w:rPr>
          <w:lang w:eastAsia="zh-TW"/>
        </w:rPr>
      </w:pPr>
      <w:r w:rsidRPr="00F05A8A">
        <w:rPr>
          <w:rFonts w:eastAsia="Calibri"/>
          <w:lang w:eastAsia="zh-TW"/>
        </w:rPr>
        <w:t>•</w:t>
      </w:r>
      <w:r w:rsidRPr="00F05A8A">
        <w:rPr>
          <w:rFonts w:eastAsia="Calibri"/>
          <w:lang w:eastAsia="zh-TW"/>
        </w:rPr>
        <w:tab/>
        <w:t>Le rapport sur l'</w:t>
      </w:r>
      <w:hyperlink r:id="rId162" w:history="1">
        <w:r w:rsidRPr="00F05A8A">
          <w:rPr>
            <w:rStyle w:val="Hyperlink"/>
            <w:rFonts w:eastAsia="Calibri"/>
            <w:lang w:eastAsia="zh-TW"/>
          </w:rPr>
          <w:t>indice mondial de cybersécurité (GCI) de l'UIT</w:t>
        </w:r>
      </w:hyperlink>
      <w:r w:rsidRPr="00F05A8A">
        <w:rPr>
          <w:rFonts w:eastAsia="Calibri"/>
          <w:lang w:eastAsia="zh-TW"/>
        </w:rPr>
        <w:t>, qui s'intéressait aux 193 États Membres et à l'État de Palestine, a été publié le 29 juin 202</w:t>
      </w:r>
      <w:r w:rsidR="00BA70FE" w:rsidRPr="00F05A8A">
        <w:rPr>
          <w:rFonts w:eastAsia="Calibri"/>
          <w:lang w:eastAsia="zh-TW"/>
        </w:rPr>
        <w:t>1</w:t>
      </w:r>
      <w:r w:rsidRPr="00F05A8A">
        <w:rPr>
          <w:rFonts w:eastAsia="Calibri"/>
          <w:lang w:eastAsia="zh-TW"/>
        </w:rPr>
        <w:t>.</w:t>
      </w:r>
    </w:p>
    <w:p w14:paraId="39900C54" w14:textId="77777777" w:rsidR="00D80461" w:rsidRPr="00F05A8A" w:rsidRDefault="00D80461" w:rsidP="002F075E">
      <w:pPr>
        <w:pStyle w:val="enumlev1"/>
        <w:rPr>
          <w:rFonts w:eastAsia="Calibri"/>
          <w:lang w:eastAsia="zh-TW"/>
        </w:rPr>
      </w:pPr>
      <w:r w:rsidRPr="00F05A8A">
        <w:rPr>
          <w:rFonts w:eastAsia="Calibri"/>
          <w:lang w:eastAsia="zh-TW"/>
        </w:rPr>
        <w:t>•</w:t>
      </w:r>
      <w:r w:rsidRPr="00F05A8A">
        <w:rPr>
          <w:rFonts w:eastAsia="Calibri"/>
          <w:lang w:eastAsia="zh-TW"/>
        </w:rPr>
        <w:tab/>
        <w:t xml:space="preserve">Le </w:t>
      </w:r>
      <w:hyperlink r:id="rId163" w:history="1">
        <w:r w:rsidRPr="00F05A8A">
          <w:rPr>
            <w:rStyle w:val="Hyperlink"/>
            <w:rFonts w:eastAsia="Calibri"/>
            <w:lang w:eastAsia="zh-TW"/>
          </w:rPr>
          <w:t>Programme de mentorat "Les femmes dans le secteur de la cybersécurité"</w:t>
        </w:r>
      </w:hyperlink>
      <w:r w:rsidRPr="00F05A8A">
        <w:rPr>
          <w:rFonts w:eastAsia="Calibri"/>
          <w:lang w:eastAsia="zh-TW"/>
        </w:rPr>
        <w:t xml:space="preserve"> vise à renforcer les compétences de jeunes professionnelles souhaitant faire carrière dans le secteur de la cybersécurité. La première édition a été lancée à l'occasion de la Journée internationale des femmes et ciblait les jeunes professionnelles de la région des États arabes et d'Afrique. Le programme a aidé à bâtir un réseau international de femmes occupant des postes à responsabilité dans le secteur de la cybersécurité.</w:t>
      </w:r>
    </w:p>
    <w:p w14:paraId="6635C4DC" w14:textId="77777777" w:rsidR="00D80461" w:rsidRPr="00F05A8A" w:rsidRDefault="00D80461" w:rsidP="002F075E">
      <w:pPr>
        <w:rPr>
          <w:lang w:eastAsia="zh-TW"/>
        </w:rPr>
      </w:pPr>
      <w:r w:rsidRPr="00F05A8A">
        <w:rPr>
          <w:rFonts w:eastAsia="Calibri"/>
          <w:b/>
        </w:rPr>
        <w:t>Coopération internationale</w:t>
      </w:r>
      <w:r w:rsidRPr="00F05A8A">
        <w:rPr>
          <w:rFonts w:eastAsia="Calibri"/>
          <w:bCs/>
        </w:rPr>
        <w:t xml:space="preserve">: </w:t>
      </w:r>
      <w:r w:rsidRPr="00F05A8A">
        <w:rPr>
          <w:rFonts w:eastAsia="Calibri"/>
          <w:lang w:eastAsia="zh-TW"/>
        </w:rPr>
        <w:t>l'UIT noue des relations avec des organisations telles que la Commonwealth Cybercrime Initiative, l'Agence de l'Union européenne chargée de la sécurité des réseaux et de l'information (ENISA), INTERPOL, la Communauté économique des États de l'Afrique de l'Ouest (CEDEAO), la Banque mondiale, le Forum FIRST et les associations régionales d'équipes CSIRT/CERT.</w:t>
      </w:r>
    </w:p>
    <w:p w14:paraId="3879E1BD" w14:textId="77777777" w:rsidR="0079251D" w:rsidRPr="00F05A8A" w:rsidRDefault="0079251D" w:rsidP="002F075E">
      <w:pPr>
        <w:pStyle w:val="enumlev1"/>
        <w:rPr>
          <w:rFonts w:eastAsia="Calibri"/>
          <w:lang w:eastAsia="zh-TW"/>
        </w:rPr>
      </w:pPr>
      <w:r w:rsidRPr="00F05A8A">
        <w:rPr>
          <w:rFonts w:eastAsia="Calibri"/>
          <w:lang w:eastAsia="zh-TW"/>
        </w:rPr>
        <w:br w:type="page"/>
      </w:r>
    </w:p>
    <w:p w14:paraId="0B01A2D2" w14:textId="39DEEEBF" w:rsidR="001331AF" w:rsidRPr="00F05A8A" w:rsidRDefault="00D80461" w:rsidP="002F075E">
      <w:pPr>
        <w:pStyle w:val="enumlev1"/>
        <w:rPr>
          <w:rFonts w:eastAsia="Calibri"/>
          <w:lang w:eastAsia="zh-TW"/>
        </w:rPr>
      </w:pPr>
      <w:r w:rsidRPr="00F05A8A">
        <w:rPr>
          <w:rFonts w:eastAsia="Calibri"/>
          <w:lang w:eastAsia="zh-TW"/>
        </w:rPr>
        <w:lastRenderedPageBreak/>
        <w:t>•</w:t>
      </w:r>
      <w:r w:rsidRPr="00F05A8A">
        <w:rPr>
          <w:rFonts w:eastAsia="Calibri"/>
          <w:lang w:eastAsia="zh-TW"/>
        </w:rPr>
        <w:tab/>
        <w:t>Le Secrétaire général doit soumettre au Conseil un rapport expliquant comment l'UIT utilise le</w:t>
      </w:r>
      <w:r w:rsidR="00D73F9E" w:rsidRPr="00F05A8A">
        <w:rPr>
          <w:rStyle w:val="Hyperlink"/>
          <w:rFonts w:eastAsia="Calibri"/>
          <w:lang w:eastAsia="zh-TW"/>
        </w:rPr>
        <w:t xml:space="preserve"> cadre </w:t>
      </w:r>
      <w:hyperlink r:id="rId164" w:history="1">
        <w:r w:rsidR="00E34873" w:rsidRPr="00F05A8A">
          <w:rPr>
            <w:rStyle w:val="Hyperlink"/>
            <w:rFonts w:eastAsia="Calibri"/>
            <w:lang w:eastAsia="zh-TW"/>
          </w:rPr>
          <w:t>offert</w:t>
        </w:r>
      </w:hyperlink>
      <w:r w:rsidR="00E34873" w:rsidRPr="00F05A8A">
        <w:rPr>
          <w:rStyle w:val="Hyperlink"/>
          <w:rFonts w:eastAsia="Calibri"/>
          <w:lang w:eastAsia="zh-TW"/>
        </w:rPr>
        <w:t xml:space="preserve"> par le </w:t>
      </w:r>
      <w:hyperlink r:id="rId165" w:history="1">
        <w:r w:rsidR="00E34873" w:rsidRPr="00F05A8A">
          <w:rPr>
            <w:rStyle w:val="Hyperlink"/>
            <w:rFonts w:eastAsia="Calibri"/>
            <w:lang w:eastAsia="zh-TW"/>
          </w:rPr>
          <w:t>Programme mondial cybersécurité</w:t>
        </w:r>
      </w:hyperlink>
      <w:r w:rsidRPr="00F05A8A">
        <w:rPr>
          <w:rFonts w:eastAsia="Calibri"/>
          <w:lang w:eastAsia="zh-TW"/>
        </w:rPr>
        <w:t xml:space="preserve"> et définissant des lignes directrices adéquates relatives à son utilisation. Un projet de lignes directrices a été présenté à la </w:t>
      </w:r>
      <w:hyperlink r:id="rId166" w:history="1">
        <w:r w:rsidRPr="00F05A8A">
          <w:rPr>
            <w:rStyle w:val="Hyperlink"/>
            <w:rFonts w:eastAsia="Calibri"/>
            <w:lang w:eastAsia="zh-TW"/>
          </w:rPr>
          <w:t>consultation virtuelle des Conseillers de l'UIT</w:t>
        </w:r>
      </w:hyperlink>
      <w:r w:rsidRPr="00F05A8A">
        <w:rPr>
          <w:rFonts w:eastAsia="Calibri"/>
          <w:lang w:eastAsia="zh-TW"/>
        </w:rPr>
        <w:t xml:space="preserve"> en juin 2021, lors de laquelle le secrétariat a été chargé de mener de nouvelles consultations avec les États Membres du Conseil. </w:t>
      </w:r>
      <w:r w:rsidR="001331AF" w:rsidRPr="00F05A8A">
        <w:rPr>
          <w:rFonts w:eastAsia="Calibri"/>
          <w:lang w:eastAsia="zh-TW"/>
        </w:rPr>
        <w:t xml:space="preserve">Les </w:t>
      </w:r>
      <w:hyperlink r:id="rId167" w:history="1">
        <w:r w:rsidR="001331AF" w:rsidRPr="00F05A8A">
          <w:rPr>
            <w:rStyle w:val="Hyperlink"/>
            <w:rFonts w:eastAsia="Calibri"/>
            <w:lang w:eastAsia="zh-TW"/>
          </w:rPr>
          <w:t>Lignes directrices révisées</w:t>
        </w:r>
      </w:hyperlink>
      <w:r w:rsidR="00BA70FE" w:rsidRPr="00F05A8A">
        <w:rPr>
          <w:rFonts w:eastAsia="Calibri"/>
          <w:lang w:eastAsia="zh-TW"/>
        </w:rPr>
        <w:t xml:space="preserve"> </w:t>
      </w:r>
      <w:r w:rsidR="001331AF" w:rsidRPr="00F05A8A">
        <w:rPr>
          <w:rFonts w:eastAsia="Calibri"/>
          <w:lang w:eastAsia="zh-TW"/>
        </w:rPr>
        <w:t>ont été soumises à la session de 2022 du Conseil</w:t>
      </w:r>
      <w:r w:rsidR="00CF5980" w:rsidRPr="00F05A8A">
        <w:rPr>
          <w:rFonts w:eastAsia="Calibri"/>
          <w:lang w:eastAsia="zh-TW"/>
        </w:rPr>
        <w:t>,</w:t>
      </w:r>
      <w:r w:rsidR="001A44A7" w:rsidRPr="00F05A8A">
        <w:rPr>
          <w:rFonts w:eastAsia="Calibri"/>
          <w:lang w:eastAsia="zh-TW"/>
        </w:rPr>
        <w:t xml:space="preserve"> </w:t>
      </w:r>
      <w:r w:rsidR="001331AF" w:rsidRPr="00F05A8A">
        <w:rPr>
          <w:rFonts w:eastAsia="Calibri"/>
          <w:lang w:eastAsia="zh-TW"/>
        </w:rPr>
        <w:t>pour examen et approbation.</w:t>
      </w:r>
    </w:p>
    <w:p w14:paraId="7954D241" w14:textId="3423731D" w:rsidR="00D80461" w:rsidRPr="00F05A8A" w:rsidRDefault="00D80461" w:rsidP="002F075E">
      <w:pPr>
        <w:pStyle w:val="enumlev1"/>
        <w:rPr>
          <w:lang w:eastAsia="zh-TW"/>
        </w:rPr>
      </w:pPr>
      <w:r w:rsidRPr="00F05A8A">
        <w:rPr>
          <w:rFonts w:eastAsia="Calibri"/>
          <w:lang w:eastAsia="zh-TW"/>
        </w:rPr>
        <w:t>•</w:t>
      </w:r>
      <w:r w:rsidRPr="00F05A8A">
        <w:rPr>
          <w:rFonts w:eastAsia="Calibri"/>
          <w:lang w:eastAsia="zh-TW"/>
        </w:rPr>
        <w:tab/>
        <w:t xml:space="preserve">En tant que coordonnateur principal pour la grande orientation C5 du SMSI, l'UIT a organisé un volet consacré à la cybersécurité lors du </w:t>
      </w:r>
      <w:hyperlink r:id="rId168" w:history="1">
        <w:r w:rsidRPr="00F05A8A">
          <w:rPr>
            <w:rStyle w:val="Hyperlink"/>
            <w:rFonts w:eastAsia="Calibri"/>
            <w:lang w:eastAsia="zh-TW"/>
          </w:rPr>
          <w:t>Forum 2021 du SMSI</w:t>
        </w:r>
        <w:r w:rsidRPr="00F05A8A">
          <w:rPr>
            <w:rFonts w:eastAsia="Calibri"/>
          </w:rPr>
          <w:t>,</w:t>
        </w:r>
      </w:hyperlink>
      <w:r w:rsidRPr="00F05A8A">
        <w:rPr>
          <w:rFonts w:eastAsia="Calibri"/>
          <w:lang w:eastAsia="zh-TW"/>
        </w:rPr>
        <w:t xml:space="preserve"> notamment une consultation sur le projet de lignes directrices applicables à l'utilisation du </w:t>
      </w:r>
      <w:r w:rsidR="00CC32B4" w:rsidRPr="00F05A8A">
        <w:rPr>
          <w:rFonts w:eastAsia="Calibri"/>
          <w:lang w:eastAsia="zh-TW"/>
        </w:rPr>
        <w:t>Programme mondial cybersécurité</w:t>
      </w:r>
      <w:r w:rsidRPr="00F05A8A">
        <w:rPr>
          <w:rFonts w:eastAsia="Calibri"/>
          <w:lang w:eastAsia="zh-TW"/>
        </w:rPr>
        <w:t>, et un dialogue sur le thème "Examen de préparation à l'intelligence artificielle: incidences, perspectives et défis sur le plan politique".</w:t>
      </w:r>
    </w:p>
    <w:p w14:paraId="4612FD1A" w14:textId="77777777" w:rsidR="00D80461" w:rsidRPr="00F05A8A" w:rsidRDefault="00D80461" w:rsidP="002F075E">
      <w:pPr>
        <w:pStyle w:val="Headingb"/>
        <w:tabs>
          <w:tab w:val="clear" w:pos="567"/>
        </w:tabs>
        <w:ind w:left="0" w:firstLine="0"/>
        <w:rPr>
          <w:rFonts w:eastAsia="Calibri"/>
        </w:rPr>
      </w:pPr>
      <w:bookmarkStart w:id="226" w:name="_Toc95387483"/>
      <w:r w:rsidRPr="00F05A8A">
        <w:rPr>
          <w:rFonts w:eastAsia="Calibri"/>
        </w:rPr>
        <w:t>Faire connaître les Lignes directrices relatives à la protection en ligne des enfants et diffuser leur message partout dans le monde</w:t>
      </w:r>
      <w:bookmarkEnd w:id="226"/>
    </w:p>
    <w:p w14:paraId="6184A117" w14:textId="77777777" w:rsidR="00D80461" w:rsidRPr="00F05A8A" w:rsidRDefault="00D80461" w:rsidP="002F075E">
      <w:pPr>
        <w:pStyle w:val="enumlev1"/>
        <w:keepNext/>
        <w:keepLines/>
        <w:rPr>
          <w:rFonts w:eastAsia="Calibri"/>
          <w:lang w:eastAsia="zh-TW"/>
        </w:rPr>
      </w:pPr>
      <w:r w:rsidRPr="00F05A8A">
        <w:rPr>
          <w:rFonts w:eastAsia="Calibri"/>
          <w:lang w:eastAsia="zh-TW"/>
        </w:rPr>
        <w:t>•</w:t>
      </w:r>
      <w:r w:rsidRPr="00F05A8A">
        <w:rPr>
          <w:rFonts w:eastAsia="Calibri"/>
          <w:lang w:eastAsia="zh-TW"/>
        </w:rPr>
        <w:tab/>
        <w:t xml:space="preserve">À compter de 2021, les </w:t>
      </w:r>
      <w:hyperlink r:id="rId169" w:history="1">
        <w:r w:rsidRPr="00F05A8A">
          <w:rPr>
            <w:rStyle w:val="Hyperlink"/>
            <w:rFonts w:eastAsia="Calibri"/>
            <w:lang w:eastAsia="zh-TW"/>
          </w:rPr>
          <w:t>Lignes directrices relatives à la protection en ligne des enfants (COP)</w:t>
        </w:r>
      </w:hyperlink>
      <w:r w:rsidRPr="00F05A8A">
        <w:rPr>
          <w:rFonts w:eastAsia="Calibri"/>
          <w:lang w:eastAsia="zh-TW"/>
        </w:rPr>
        <w:t xml:space="preserve"> doivent être mises en œuvre au niveau national. Celles-ci reposent sur des directives publiées par l'UIT à l'intention des décideurs, des entreprises, des parents, des éducateurs et des enfants. Plus de 50 organisations spécialisées dans les TIC et les droits des enfants ont apporté leur contribution, notamment le </w:t>
      </w:r>
      <w:r w:rsidRPr="00F05A8A">
        <w:rPr>
          <w:rFonts w:eastAsia="PMingLiU"/>
          <w:lang w:eastAsia="zh-TW"/>
        </w:rPr>
        <w:t>Partenariat mondial pour l'élimination de la violence envers les enfants, l'UNESCO, l'UNICEF, l'ONUDC, WePROTECT Global Alliance, l'OMS et World Childhood Foundation USA</w:t>
      </w:r>
      <w:r w:rsidRPr="00F05A8A">
        <w:rPr>
          <w:rFonts w:eastAsia="Calibri"/>
          <w:lang w:eastAsia="zh-TW"/>
        </w:rPr>
        <w:t xml:space="preserve">. Les conseils présentés dans ces Lignes directrices concernent non seulement la protection en ligne mais aussi la manière d'autonomiser et de mobiliser les enfants et les jeunes dans ce domaine. </w:t>
      </w:r>
    </w:p>
    <w:p w14:paraId="3824D69C" w14:textId="77777777" w:rsidR="00D80461" w:rsidRPr="00F05A8A" w:rsidRDefault="00D80461" w:rsidP="002F075E">
      <w:pPr>
        <w:pStyle w:val="enumlev1"/>
        <w:rPr>
          <w:rFonts w:eastAsia="Calibri"/>
        </w:rPr>
      </w:pPr>
      <w:r w:rsidRPr="00F05A8A">
        <w:rPr>
          <w:rFonts w:eastAsia="Calibri"/>
          <w:lang w:eastAsia="zh-TW"/>
        </w:rPr>
        <w:t>•</w:t>
      </w:r>
      <w:r w:rsidRPr="00F05A8A">
        <w:rPr>
          <w:rFonts w:eastAsia="Calibri"/>
          <w:lang w:eastAsia="zh-TW"/>
        </w:rPr>
        <w:tab/>
      </w:r>
      <w:r w:rsidRPr="00F05A8A">
        <w:t xml:space="preserve">L'UIT a signé un accord avec la </w:t>
      </w:r>
      <w:hyperlink r:id="rId170" w:history="1">
        <w:r w:rsidRPr="00F05A8A">
          <w:rPr>
            <w:rStyle w:val="Hyperlink"/>
          </w:rPr>
          <w:t>Fondation SCORT dans le domaine de la protection en ligne des enfants</w:t>
        </w:r>
      </w:hyperlink>
      <w:r w:rsidRPr="00F05A8A">
        <w:t xml:space="preserve"> dans le milieu du sport et grâce au sport. L'UIT a contribué à des discussions, notamment dans le cadre de l'édition de 2021 de la Journée pour un Internet plus sûr et de la </w:t>
      </w:r>
      <w:hyperlink r:id="rId171" w:history="1">
        <w:r w:rsidRPr="00F05A8A">
          <w:rPr>
            <w:rStyle w:val="Hyperlink"/>
          </w:rPr>
          <w:t>quinzième Conférence européenne du football au service du développement</w:t>
        </w:r>
      </w:hyperlink>
      <w:r w:rsidRPr="00F05A8A">
        <w:rPr>
          <w:rFonts w:eastAsia="Calibri"/>
          <w:lang w:eastAsia="zh-TW"/>
        </w:rPr>
        <w:t>.</w:t>
      </w:r>
    </w:p>
    <w:p w14:paraId="7849DDAF" w14:textId="77777777" w:rsidR="00D80461" w:rsidRPr="00F05A8A" w:rsidRDefault="00D80461" w:rsidP="002F075E">
      <w:pPr>
        <w:pStyle w:val="enumlev1"/>
        <w:rPr>
          <w:rFonts w:eastAsia="PMingLiU"/>
          <w:lang w:eastAsia="zh-TW"/>
        </w:rPr>
      </w:pPr>
      <w:r w:rsidRPr="00F05A8A">
        <w:t>•</w:t>
      </w:r>
      <w:r w:rsidRPr="00F05A8A">
        <w:tab/>
        <w:t xml:space="preserve">Le </w:t>
      </w:r>
      <w:hyperlink r:id="rId172" w:history="1">
        <w:r w:rsidRPr="00F05A8A">
          <w:rPr>
            <w:rStyle w:val="Hyperlink"/>
            <w:rFonts w:eastAsia="PMingLiU"/>
            <w:i/>
            <w:iCs/>
            <w:lang w:eastAsia="zh-TW"/>
          </w:rPr>
          <w:t>programme visant à créer un cyberenvironnement sûr et de nature à autonomiser les enfants</w:t>
        </w:r>
      </w:hyperlink>
      <w:r w:rsidRPr="00F05A8A">
        <w:rPr>
          <w:rFonts w:eastAsia="PMingLiU"/>
          <w:lang w:eastAsia="zh-TW"/>
        </w:rPr>
        <w:t xml:space="preserve"> a été mis en œuvre en août 2021 à la suite d'un accord conclu en 2020 entre l'UIT et le Royaume d'Arabie saoudite en vue de continuer à intensifier les efforts déployés à l'échelle mondiale dans le but d'appliquer les Lignes directrices de l'UIT relatives à la protection en ligne des enfants</w:t>
      </w:r>
      <w:r w:rsidRPr="00F05A8A">
        <w:rPr>
          <w:rFonts w:eastAsia="PMingLiU"/>
          <w:i/>
          <w:iCs/>
          <w:lang w:eastAsia="zh-TW"/>
        </w:rPr>
        <w:t xml:space="preserve">. </w:t>
      </w:r>
      <w:r w:rsidRPr="00F05A8A">
        <w:rPr>
          <w:rFonts w:eastAsia="PMingLiU"/>
          <w:iCs/>
          <w:lang w:eastAsia="zh-TW"/>
        </w:rPr>
        <w:t>Le programme</w:t>
      </w:r>
      <w:r w:rsidRPr="00F05A8A">
        <w:rPr>
          <w:rFonts w:eastAsia="PMingLiU"/>
          <w:lang w:eastAsia="zh-TW"/>
        </w:rPr>
        <w:t xml:space="preserve"> a pour objectif de faire en sorte que les pouvoirs publics, les entreprises et la société civile appliquent des politiques en matière de sécurité en ligne des enfants et de promouvoir une culture fondée sur la sécurité en ligne des enfants.</w:t>
      </w:r>
    </w:p>
    <w:p w14:paraId="44CA798F" w14:textId="77777777" w:rsidR="00D80461" w:rsidRPr="00F05A8A" w:rsidRDefault="00D80461" w:rsidP="002F075E">
      <w:pPr>
        <w:pStyle w:val="enumlev1"/>
        <w:rPr>
          <w:rFonts w:eastAsia="PMingLiU"/>
          <w:lang w:eastAsia="zh-TW"/>
        </w:rPr>
      </w:pPr>
      <w:r w:rsidRPr="00F05A8A">
        <w:t>•</w:t>
      </w:r>
      <w:r w:rsidRPr="00F05A8A">
        <w:tab/>
      </w:r>
      <w:hyperlink r:id="rId173" w:anchor=":~:text=General%20Comment%2025%20not%20only%20raises%20awareness%20of,and%20other%20forms%20of%20violence%20on%20the%20internet." w:history="1">
        <w:r w:rsidRPr="00F05A8A">
          <w:rPr>
            <w:rStyle w:val="Hyperlink"/>
            <w:rFonts w:eastAsia="PMingLiU"/>
            <w:lang w:eastAsia="zh-TW"/>
          </w:rPr>
          <w:t>L'UIT a aussi contribué à l'adoption</w:t>
        </w:r>
        <w:r w:rsidRPr="00F05A8A">
          <w:rPr>
            <w:rFonts w:eastAsia="PMingLiU"/>
            <w:lang w:eastAsia="zh-TW"/>
          </w:rPr>
          <w:t xml:space="preserve">, par le Comité des droits de l'enfant des Nations Unies, </w:t>
        </w:r>
        <w:r w:rsidRPr="00F05A8A">
          <w:rPr>
            <w:rStyle w:val="Hyperlink"/>
            <w:rFonts w:eastAsia="PMingLiU"/>
            <w:lang w:eastAsia="zh-TW"/>
          </w:rPr>
          <w:t>de l'Observation générale N° 25 sur les droits de l'enfant en relation avec l'environnement numérique</w:t>
        </w:r>
      </w:hyperlink>
      <w:r w:rsidRPr="00F05A8A">
        <w:rPr>
          <w:rFonts w:eastAsia="PMingLiU"/>
          <w:lang w:eastAsia="zh-TW"/>
        </w:rPr>
        <w:t>.</w:t>
      </w:r>
    </w:p>
    <w:p w14:paraId="26A64DE0" w14:textId="4454FDB5" w:rsidR="00D80461" w:rsidRPr="00F05A8A" w:rsidRDefault="00D80461" w:rsidP="002F075E">
      <w:pPr>
        <w:pStyle w:val="enumlev1"/>
      </w:pPr>
      <w:r w:rsidRPr="00F05A8A">
        <w:rPr>
          <w:rFonts w:eastAsia="PMingLiU"/>
          <w:lang w:eastAsia="zh-TW"/>
        </w:rPr>
        <w:t>•</w:t>
      </w:r>
      <w:r w:rsidRPr="00F05A8A">
        <w:rPr>
          <w:rFonts w:eastAsia="PMingLiU"/>
          <w:lang w:eastAsia="zh-TW"/>
        </w:rPr>
        <w:tab/>
        <w:t xml:space="preserve">L'UIT s'emploie à diffuser les messages de Sango </w:t>
      </w:r>
      <w:hyperlink r:id="rId174" w:history="1">
        <w:hyperlink r:id="rId175" w:history="1">
          <w:hyperlink r:id="rId176" w:history="1">
            <w:r w:rsidRPr="00F05A8A">
              <w:rPr>
                <w:rFonts w:eastAsia="PMingLiU"/>
              </w:rPr>
              <w:t>(</w:t>
            </w:r>
            <w:r w:rsidRPr="00F05A8A">
              <w:rPr>
                <w:rStyle w:val="Hyperlink"/>
                <w:rFonts w:eastAsia="PMingLiU"/>
                <w:lang w:eastAsia="zh-TW"/>
              </w:rPr>
              <w:t>mascotte de la protection en ligne des enfants</w:t>
            </w:r>
          </w:hyperlink>
          <w:r w:rsidRPr="00F05A8A">
            <w:rPr>
              <w:rFonts w:eastAsia="PMingLiU"/>
            </w:rPr>
            <w:t xml:space="preserve"> lancée en 2020) afin de concevoir des contenus pertinents et de sensibiliser à la protection en ligne des enfants.</w:t>
          </w:r>
        </w:hyperlink>
      </w:hyperlink>
    </w:p>
    <w:p w14:paraId="55064591" w14:textId="77777777" w:rsidR="00D80461" w:rsidRPr="00F05A8A" w:rsidRDefault="00D80461" w:rsidP="002F075E">
      <w:pPr>
        <w:pStyle w:val="Heading2"/>
      </w:pPr>
      <w:bookmarkStart w:id="227" w:name="_Toc41032066"/>
      <w:bookmarkStart w:id="228" w:name="_Toc72846615"/>
      <w:bookmarkStart w:id="229" w:name="_Toc98513606"/>
      <w:bookmarkStart w:id="230" w:name="_Toc107466571"/>
      <w:r w:rsidRPr="00F05A8A">
        <w:lastRenderedPageBreak/>
        <w:t>1.7</w:t>
      </w:r>
      <w:r w:rsidRPr="00F05A8A">
        <w:tab/>
        <w:t>Inclusion numérique</w:t>
      </w:r>
      <w:bookmarkEnd w:id="227"/>
      <w:bookmarkEnd w:id="228"/>
      <w:r w:rsidRPr="00F05A8A">
        <w:t xml:space="preserve"> – </w:t>
      </w:r>
      <w:r w:rsidRPr="00F05A8A">
        <w:rPr>
          <w:lang w:eastAsia="en-GB"/>
        </w:rPr>
        <w:t>Garantir un accès et une utilisation des TIC inclusifs et équitables pour tous</w:t>
      </w:r>
      <w:bookmarkStart w:id="231" w:name="Section_1_7"/>
      <w:bookmarkEnd w:id="229"/>
      <w:bookmarkEnd w:id="230"/>
    </w:p>
    <w:p w14:paraId="6CA7B88B" w14:textId="77777777" w:rsidR="00D80461" w:rsidRPr="00F05A8A" w:rsidRDefault="00D80461" w:rsidP="002F075E">
      <w:bookmarkStart w:id="232" w:name="lt_pId559"/>
      <w:bookmarkEnd w:id="231"/>
      <w:r w:rsidRPr="00F05A8A">
        <w:t>Les TIC doivent être accessibles à tout un chacun, quel que soit son sexe, son âge, ses capacités et son lieu de résidence, puisqu'elles améliorent notre vie quotidienne</w:t>
      </w:r>
      <w:bookmarkEnd w:id="232"/>
      <w:r w:rsidRPr="00F05A8A">
        <w:t xml:space="preserve">, facilitent l'accès aux informations, simplifient la fourniture de services et permettent la participation aux activités sociales et économiques. L'inclusion numérique, qui fait partie des buts stratégiques et des objectifs de l'UIT, consiste à veiller à ce que toutes les personnes aient la possibilité de faire partie de la société numérique. </w:t>
      </w:r>
    </w:p>
    <w:p w14:paraId="795FA9C6" w14:textId="77777777" w:rsidR="00D80461" w:rsidRPr="00F05A8A" w:rsidRDefault="00D80461" w:rsidP="002F075E">
      <w:pPr>
        <w:pStyle w:val="Headingb"/>
        <w:tabs>
          <w:tab w:val="clear" w:pos="567"/>
        </w:tabs>
        <w:ind w:left="0" w:firstLine="0"/>
      </w:pPr>
      <w:bookmarkStart w:id="233" w:name="_Toc95387485"/>
      <w:r w:rsidRPr="00F05A8A">
        <w:rPr>
          <w:rFonts w:eastAsia="Calibri"/>
        </w:rPr>
        <w:t>Œuvrer partout dans le monde pour réduire la fracture numérique entre les hommes et les femmes</w:t>
      </w:r>
      <w:bookmarkEnd w:id="233"/>
    </w:p>
    <w:p w14:paraId="660105BE" w14:textId="77777777" w:rsidR="00D80461" w:rsidRPr="00F05A8A" w:rsidRDefault="00D80461" w:rsidP="002F075E">
      <w:bookmarkStart w:id="234" w:name="lt_pId567"/>
      <w:r w:rsidRPr="00F05A8A">
        <w:t>L'UIT est responsable de trois indicateurs relatifs aux Objectifs de développement durable visant l'égalité hommes</w:t>
      </w:r>
      <w:r w:rsidRPr="00F05A8A">
        <w:noBreakHyphen/>
        <w:t>femmes, à savoir la proportion de particuliers: 1) qui possèdent un téléphone mobile, 2) qui utilisent l'Internet et 3) qui ont des compétences en matière de TIC.</w:t>
      </w:r>
      <w:bookmarkEnd w:id="234"/>
      <w:r w:rsidRPr="00F05A8A">
        <w:t xml:space="preserve"> </w:t>
      </w:r>
      <w:bookmarkStart w:id="235" w:name="lt_pId568"/>
      <w:r w:rsidRPr="00F05A8A">
        <w:t>La publication de l'UIT "</w:t>
      </w:r>
      <w:hyperlink r:id="rId177" w:history="1">
        <w:r w:rsidRPr="00F05A8A">
          <w:rPr>
            <w:rStyle w:val="Hyperlink"/>
          </w:rPr>
          <w:t>Measuring digital development: Facts and figures 2021</w:t>
        </w:r>
      </w:hyperlink>
      <w:r w:rsidRPr="00F05A8A">
        <w:t>" (</w:t>
      </w:r>
      <w:r w:rsidRPr="00F05A8A">
        <w:rPr>
          <w:color w:val="000000"/>
        </w:rPr>
        <w:t>Mesurer le développement numérique: Faits et chiffres 2021) indique que, dans toutes les régions, l'écart en matière d'accès à l'Internet entre les hommes et les femmes s'est réduit ces dernières années, et préconise d'agir plus pour surmonter les obstacles d'ordre culturel et financier, et sur le plan des compétences, qui freinent l'adoption de l'Internet par les femmes.</w:t>
      </w:r>
      <w:r w:rsidRPr="00F05A8A">
        <w:t xml:space="preserve"> </w:t>
      </w:r>
      <w:bookmarkEnd w:id="235"/>
      <w:r w:rsidRPr="00F05A8A">
        <w:t>L'UIT a lancé plusieurs initiatives ciblées afin de réduire la fracture numérique et de mettre en œuvre le Programme Connect 2030. On trouvera ci</w:t>
      </w:r>
      <w:r w:rsidRPr="00F05A8A">
        <w:noBreakHyphen/>
        <w:t>dessous certains des points importants des travaux de l'UIT concernant l'égalité hommes</w:t>
      </w:r>
      <w:r w:rsidRPr="00F05A8A">
        <w:noBreakHyphen/>
        <w:t>femmes.</w:t>
      </w:r>
    </w:p>
    <w:p w14:paraId="50462AC1" w14:textId="77777777" w:rsidR="00D80461" w:rsidRPr="00F05A8A" w:rsidRDefault="00D80461" w:rsidP="002F075E">
      <w:pPr>
        <w:rPr>
          <w:rFonts w:eastAsia="Calibri"/>
          <w:sz w:val="22"/>
          <w:u w:val="single"/>
        </w:rPr>
      </w:pPr>
      <w:r w:rsidRPr="00F05A8A">
        <w:rPr>
          <w:rFonts w:eastAsia="Calibri"/>
          <w:u w:val="single"/>
        </w:rPr>
        <w:t>Journée internationale des jeunes filles dans le secteur des TIC</w:t>
      </w:r>
    </w:p>
    <w:p w14:paraId="2EE31B0F" w14:textId="77777777" w:rsidR="00D80461" w:rsidRPr="00F05A8A" w:rsidRDefault="00D80461" w:rsidP="002F075E">
      <w:pPr>
        <w:rPr>
          <w:rFonts w:eastAsia="Calibri"/>
        </w:rPr>
      </w:pPr>
      <w:r w:rsidRPr="00F05A8A">
        <w:t xml:space="preserve">La </w:t>
      </w:r>
      <w:hyperlink r:id="rId178" w:history="1">
        <w:r w:rsidRPr="00F05A8A">
          <w:rPr>
            <w:rStyle w:val="Hyperlink"/>
            <w:rFonts w:eastAsia="Calibri"/>
          </w:rPr>
          <w:t>Journée internationale des jeunes filles dans le secteur des TIC</w:t>
        </w:r>
      </w:hyperlink>
      <w:r w:rsidRPr="00F05A8A">
        <w:rPr>
          <w:rFonts w:eastAsia="Calibri"/>
        </w:rPr>
        <w:t xml:space="preserve">, maintenant célébrée à l'échelle des Nations Unies chaque année, encourage les jeunes filles et les jeunes femmes à poursuivre des études et des carrières liées aux TIC. </w:t>
      </w:r>
      <w:r w:rsidRPr="00F05A8A">
        <w:t>La dixième édition, sur le thème "</w:t>
      </w:r>
      <w:hyperlink r:id="rId179" w:history="1">
        <w:r w:rsidRPr="00F05A8A">
          <w:rPr>
            <w:rStyle w:val="Hyperlink"/>
          </w:rPr>
          <w:t>Connecter les jeunes filles, améliorer les perspectives d'avenir</w:t>
        </w:r>
      </w:hyperlink>
      <w:r w:rsidRPr="00F05A8A">
        <w:t>", avait pour objectif de renforcer l'engagement, créer une dynamique et sensibiliser l'opinion à l'importance d'encourager les jeunes filles à s'orienter vers les sciences, les technologies, l'ingénierie et les mathématiques (STEM) et constituait un cadre pour les jeunes filles qui souhaitent faire carrière dans les STEM</w:t>
      </w:r>
      <w:r w:rsidRPr="00F05A8A">
        <w:rPr>
          <w:rFonts w:eastAsia="Calibri"/>
        </w:rPr>
        <w:t>.</w:t>
      </w:r>
    </w:p>
    <w:p w14:paraId="5991EC55" w14:textId="77777777" w:rsidR="00D80461" w:rsidRPr="00F05A8A" w:rsidRDefault="00D80461" w:rsidP="002F075E">
      <w:pPr>
        <w:rPr>
          <w:rFonts w:eastAsia="Calibri"/>
          <w:u w:val="single"/>
        </w:rPr>
      </w:pPr>
      <w:r w:rsidRPr="00F05A8A">
        <w:rPr>
          <w:rFonts w:eastAsia="Calibri"/>
          <w:u w:val="single"/>
        </w:rPr>
        <w:t>Initiatives "Les jeunes filles savent coder"</w:t>
      </w:r>
    </w:p>
    <w:p w14:paraId="4E246992" w14:textId="77777777" w:rsidR="00D80461" w:rsidRPr="00F05A8A" w:rsidRDefault="00D80461" w:rsidP="002F075E">
      <w:pPr>
        <w:rPr>
          <w:rFonts w:eastAsia="Calibri"/>
        </w:rPr>
      </w:pPr>
      <w:r w:rsidRPr="00F05A8A">
        <w:t>En 2018 et 2019, plus de 500 jeunes filles ont participé à des ateliers consacrés au codage dans le cadre de l'initiative "</w:t>
      </w:r>
      <w:hyperlink r:id="rId180" w:history="1">
        <w:r w:rsidRPr="00F05A8A">
          <w:rPr>
            <w:rStyle w:val="Hyperlink"/>
          </w:rPr>
          <w:t>Les jeunes Africaines savent coder</w:t>
        </w:r>
      </w:hyperlink>
      <w:r w:rsidRPr="00F05A8A">
        <w:rPr>
          <w:rStyle w:val="Hyperlink"/>
        </w:rPr>
        <w:t>", un projet sur quatre ans lancé par l'UIT, l'Union africaine et ONU</w:t>
      </w:r>
      <w:r w:rsidRPr="00F05A8A">
        <w:rPr>
          <w:rStyle w:val="Hyperlink"/>
        </w:rPr>
        <w:noBreakHyphen/>
        <w:t>Femmes et financé par l'Ambassade royale du Danemark en Éthiopie</w:t>
      </w:r>
      <w:r w:rsidRPr="00F05A8A">
        <w:rPr>
          <w:rFonts w:eastAsia="Calibri"/>
        </w:rPr>
        <w:t xml:space="preserve">. En 2020, l'UIT, en collaboration avec la Commission économique pour l'Afrique des Nations Unies, a tenu une manifestation à Addis-Abeba, à laquelle ont participé 125 jeunes filles en présentiel et 2 000 jeunes filles de tout le continent à distance. Plus de 7 000 jeunes filles ont appris à coder dans le cadre de l'initiative </w:t>
      </w:r>
      <w:hyperlink r:id="rId181" w:history="1">
        <w:r w:rsidRPr="00F05A8A">
          <w:rPr>
            <w:rFonts w:eastAsia="Calibri"/>
          </w:rPr>
          <w:t>"</w:t>
        </w:r>
        <w:r w:rsidRPr="00F05A8A">
          <w:rPr>
            <w:rStyle w:val="Hyperlink"/>
            <w:rFonts w:eastAsia="Calibri"/>
          </w:rPr>
          <w:t>Les jeunes Américaines savent coder</w:t>
        </w:r>
        <w:r w:rsidRPr="00F05A8A">
          <w:rPr>
            <w:rFonts w:eastAsia="Calibri"/>
          </w:rPr>
          <w:t>"</w:t>
        </w:r>
      </w:hyperlink>
      <w:r w:rsidRPr="00F05A8A">
        <w:rPr>
          <w:rFonts w:eastAsia="Calibri"/>
        </w:rPr>
        <w:t>, établie en 2019.</w:t>
      </w:r>
    </w:p>
    <w:p w14:paraId="65F2E712" w14:textId="77777777" w:rsidR="00D80461" w:rsidRPr="00F05A8A" w:rsidRDefault="00D80461" w:rsidP="002F075E">
      <w:pPr>
        <w:rPr>
          <w:rFonts w:eastAsia="Calibri"/>
          <w:u w:val="single"/>
        </w:rPr>
      </w:pPr>
      <w:r w:rsidRPr="00F05A8A">
        <w:rPr>
          <w:rFonts w:eastAsia="Calibri"/>
          <w:u w:val="single"/>
        </w:rPr>
        <w:t>EQUALS</w:t>
      </w:r>
    </w:p>
    <w:bookmarkStart w:id="236" w:name="_Hlk35444268"/>
    <w:p w14:paraId="192B39DC" w14:textId="77777777" w:rsidR="0079251D" w:rsidRPr="00F05A8A" w:rsidRDefault="00D80461" w:rsidP="002F075E">
      <w:pPr>
        <w:spacing w:after="120"/>
        <w:rPr>
          <w:rFonts w:eastAsia="Calibri"/>
        </w:rPr>
      </w:pPr>
      <w:r w:rsidRPr="00F05A8A">
        <w:fldChar w:fldCharType="begin"/>
      </w:r>
      <w:r w:rsidRPr="00F05A8A">
        <w:instrText>HYPERLINK "https://www.equalsintech.org/"</w:instrText>
      </w:r>
      <w:r w:rsidRPr="00F05A8A">
        <w:fldChar w:fldCharType="separate"/>
      </w:r>
      <w:r w:rsidRPr="00F05A8A">
        <w:rPr>
          <w:rStyle w:val="Hyperlink"/>
          <w:rFonts w:eastAsia="Calibri"/>
        </w:rPr>
        <w:t>EQUALS, le partenariat mondial pour réduire la fracture numérique entre les hommes et les femmes</w:t>
      </w:r>
      <w:r w:rsidRPr="00F05A8A">
        <w:fldChar w:fldCharType="end"/>
      </w:r>
      <w:r w:rsidRPr="00F05A8A">
        <w:rPr>
          <w:rFonts w:eastAsia="Calibri"/>
        </w:rPr>
        <w:t xml:space="preserve">, vise à réduire la fracture numérique entre les hommes et les femmes, en mettant l'accent sur l'accès, les compétences, les responsabilités et la recherche. </w:t>
      </w:r>
      <w:bookmarkEnd w:id="236"/>
      <w:r w:rsidRPr="00F05A8A">
        <w:rPr>
          <w:rFonts w:eastAsia="Calibri"/>
        </w:rPr>
        <w:t xml:space="preserve">EQUALS (plus de 100 partenaires dans 115 pays) a permis à plus de 52 000 femmes et jeunes filles de bénéficier </w:t>
      </w:r>
      <w:r w:rsidR="0079251D" w:rsidRPr="00F05A8A">
        <w:rPr>
          <w:rFonts w:eastAsia="Calibri"/>
        </w:rPr>
        <w:br w:type="page"/>
      </w:r>
    </w:p>
    <w:p w14:paraId="32977FFF" w14:textId="0BA6CDA0" w:rsidR="00D80461" w:rsidRPr="00F05A8A" w:rsidRDefault="00D80461" w:rsidP="002F075E">
      <w:pPr>
        <w:spacing w:after="120"/>
        <w:rPr>
          <w:rFonts w:eastAsia="Calibri"/>
        </w:rPr>
      </w:pPr>
      <w:r w:rsidRPr="00F05A8A">
        <w:rPr>
          <w:rFonts w:eastAsia="Calibri"/>
        </w:rPr>
        <w:lastRenderedPageBreak/>
        <w:t>d'une formation et d'un mentorat pour acquérir des compétences numériques. Plus de 145 projets de recherche ont pour objet de réduire la fracture numérique entre les hommes et les femmes et de trouver des solutions à cet égard.</w:t>
      </w:r>
    </w:p>
    <w:p w14:paraId="79162709" w14:textId="77777777" w:rsidR="00D80461" w:rsidRPr="00F05A8A" w:rsidRDefault="00D80461" w:rsidP="002F075E">
      <w:pPr>
        <w:spacing w:after="120"/>
        <w:rPr>
          <w:rFonts w:eastAsia="Calibri"/>
          <w:u w:val="single"/>
        </w:rPr>
      </w:pPr>
      <w:r w:rsidRPr="00F05A8A">
        <w:rPr>
          <w:rFonts w:eastAsia="Calibri"/>
          <w:u w:val="single"/>
        </w:rPr>
        <w:t xml:space="preserve">Réseau de femmes (NoW): encourager la parité hommes-femmes </w:t>
      </w:r>
    </w:p>
    <w:p w14:paraId="61E47675" w14:textId="77777777" w:rsidR="00D80461" w:rsidRPr="00F05A8A" w:rsidRDefault="00D80461" w:rsidP="002F075E">
      <w:pPr>
        <w:spacing w:after="120"/>
        <w:rPr>
          <w:rFonts w:eastAsia="Calibri"/>
        </w:rPr>
      </w:pPr>
      <w:r w:rsidRPr="00F05A8A">
        <w:rPr>
          <w:rFonts w:eastAsia="Calibri"/>
        </w:rPr>
        <w:t>En encourageant une représentation hommes-femmes équilibrée ainsi que les candidatures féminines aux fonctions clés, et en assurant un suivi à cet égard, la participation des femmes aux réunions de l'UIT peut être renforcée. L'objectif est de bâtir une communauté dans laquelle les déléguées peuvent établir des relations, partager leur expérience et promouvoir la participation des femmes, en améliorant leur visibilité, en les autonomisant et en encourageant les déléguées expérimentées à guider les professionnelles des TIC dans le monde numérique.</w:t>
      </w:r>
    </w:p>
    <w:p w14:paraId="14A15FD1" w14:textId="77777777" w:rsidR="00D80461" w:rsidRPr="00F05A8A" w:rsidRDefault="00D80461" w:rsidP="002F075E">
      <w:pPr>
        <w:keepLines/>
        <w:spacing w:after="120"/>
        <w:rPr>
          <w:rFonts w:eastAsia="Arial Unicode MS"/>
          <w:strike/>
          <w:highlight w:val="yellow"/>
        </w:rPr>
      </w:pPr>
      <w:r w:rsidRPr="00F05A8A">
        <w:rPr>
          <w:rFonts w:eastAsia="Calibri"/>
        </w:rPr>
        <w:t xml:space="preserve">En 2021, le BDT a lancé le </w:t>
      </w:r>
      <w:hyperlink r:id="rId182" w:history="1">
        <w:r w:rsidRPr="00F05A8A">
          <w:rPr>
            <w:rStyle w:val="Hyperlink"/>
            <w:rFonts w:eastAsia="Calibri"/>
          </w:rPr>
          <w:t>Réseau de femmes dans le cadre de la Conférence mondiale de développement des télécommunications (NoW4WTDC)</w:t>
        </w:r>
      </w:hyperlink>
      <w:r w:rsidRPr="00F05A8A">
        <w:rPr>
          <w:rFonts w:eastAsia="Calibri"/>
        </w:rPr>
        <w:t xml:space="preserve"> dans le but d'accroître le nombre de femmes participant aux réunions de l'UIT-D et assumant des rôles de direction dans le cadre des travaux préparatoires en vue de la Conférence elle-même. Dans ce contexte, l'UIT a lancé le </w:t>
      </w:r>
      <w:hyperlink r:id="rId183" w:history="1">
        <w:r w:rsidRPr="00F05A8A">
          <w:rPr>
            <w:rStyle w:val="Hyperlink"/>
            <w:rFonts w:eastAsia="Calibri"/>
          </w:rPr>
          <w:t>programme mondial de mentorat</w:t>
        </w:r>
      </w:hyperlink>
      <w:r w:rsidRPr="00F05A8A">
        <w:rPr>
          <w:rFonts w:eastAsia="Calibri"/>
        </w:rPr>
        <w:t xml:space="preserve"> et des discussions informelles.</w:t>
      </w:r>
    </w:p>
    <w:p w14:paraId="0DE58B54" w14:textId="77777777" w:rsidR="00D80461" w:rsidRPr="00F05A8A" w:rsidRDefault="00D80461" w:rsidP="002F075E">
      <w:pPr>
        <w:rPr>
          <w:color w:val="000000"/>
        </w:rPr>
      </w:pPr>
      <w:r w:rsidRPr="00F05A8A">
        <w:rPr>
          <w:rFonts w:eastAsia="Calibri"/>
        </w:rPr>
        <w:t>À l'occasion du Séminaire mondial des radiocommunications de 2020 qui s'est tenu en ligne, l'UIT</w:t>
      </w:r>
      <w:r w:rsidRPr="00F05A8A">
        <w:rPr>
          <w:rFonts w:eastAsia="Calibri"/>
        </w:rPr>
        <w:noBreakHyphen/>
        <w:t xml:space="preserve">R a lancé le </w:t>
      </w:r>
      <w:hyperlink r:id="rId184" w:history="1">
        <w:r w:rsidRPr="00F05A8A">
          <w:rPr>
            <w:rStyle w:val="Hyperlink"/>
            <w:rFonts w:eastAsia="Calibri"/>
          </w:rPr>
          <w:t>Réseau de femmes pour la CMR-23</w:t>
        </w:r>
      </w:hyperlink>
      <w:r w:rsidRPr="00F05A8A">
        <w:rPr>
          <w:rFonts w:eastAsia="Calibri"/>
        </w:rPr>
        <w:t xml:space="preserve"> afin de promouvoir l'égalité, l'équité et la parité hommes-femmes au sein du Secteur des radiocommunications de l'UIT. Les efforts déployés par le </w:t>
      </w:r>
      <w:hyperlink r:id="rId185" w:history="1">
        <w:r w:rsidRPr="00F05A8A">
          <w:rPr>
            <w:rStyle w:val="Hyperlink"/>
            <w:rFonts w:eastAsia="Calibri"/>
          </w:rPr>
          <w:t>Réseau de femmes (NoW) pour la CMR-19</w:t>
        </w:r>
      </w:hyperlink>
      <w:r w:rsidRPr="00F05A8A">
        <w:rPr>
          <w:rFonts w:eastAsia="Calibri"/>
        </w:rPr>
        <w:t xml:space="preserve"> (#NOW4WRC19) ont abouti à une </w:t>
      </w:r>
      <w:hyperlink r:id="rId186" w:history="1">
        <w:r w:rsidRPr="00F05A8A">
          <w:rPr>
            <w:rStyle w:val="Hyperlink"/>
            <w:rFonts w:eastAsia="Calibri"/>
            <w:spacing w:val="2"/>
          </w:rPr>
          <w:t>Déclaration relative à la promotion de l'égalité, de l'équité et de la parité hommes-femmes dans le Secteur des radiocommunications de l'UIT</w:t>
        </w:r>
      </w:hyperlink>
      <w:r w:rsidRPr="00F05A8A">
        <w:rPr>
          <w:rFonts w:eastAsia="Calibri"/>
          <w:spacing w:val="2"/>
        </w:rPr>
        <w:t>, adoptée à la CMR-19 qui s'est tenue à Charm el-Cheikh</w:t>
      </w:r>
      <w:r w:rsidRPr="00F05A8A">
        <w:rPr>
          <w:rFonts w:eastAsia="Arial Unicode MS"/>
        </w:rPr>
        <w:t>.</w:t>
      </w:r>
    </w:p>
    <w:p w14:paraId="3A1EC40C" w14:textId="77777777" w:rsidR="00D80461" w:rsidRPr="00F05A8A" w:rsidRDefault="00D80461" w:rsidP="002F075E">
      <w:pPr>
        <w:rPr>
          <w:rFonts w:eastAsia="Calibri"/>
          <w:u w:val="single"/>
        </w:rPr>
      </w:pPr>
      <w:bookmarkStart w:id="237" w:name="lt_pId111"/>
      <w:r w:rsidRPr="00F05A8A">
        <w:rPr>
          <w:rFonts w:eastAsia="Calibri"/>
          <w:u w:val="single"/>
        </w:rPr>
        <w:t>Présentation de rapports dans le cadre du plan d'action ONU-SWAP</w:t>
      </w:r>
    </w:p>
    <w:p w14:paraId="4953D27B" w14:textId="77777777" w:rsidR="00D80461" w:rsidRPr="00F05A8A" w:rsidRDefault="00D80461" w:rsidP="002F075E">
      <w:pPr>
        <w:rPr>
          <w:rFonts w:eastAsia="Calibri"/>
        </w:rPr>
      </w:pPr>
      <w:r w:rsidRPr="00F05A8A">
        <w:rPr>
          <w:szCs w:val="24"/>
        </w:rPr>
        <w:t xml:space="preserve">Concernant les efforts consentis pour assurer l'égalité </w:t>
      </w:r>
      <w:r w:rsidRPr="00F05A8A">
        <w:rPr>
          <w:color w:val="000000"/>
        </w:rPr>
        <w:t>hommes</w:t>
      </w:r>
      <w:r w:rsidRPr="00F05A8A">
        <w:rPr>
          <w:color w:val="000000"/>
        </w:rPr>
        <w:noBreakHyphen/>
        <w:t>femmes</w:t>
      </w:r>
      <w:r w:rsidRPr="00F05A8A">
        <w:rPr>
          <w:szCs w:val="24"/>
        </w:rPr>
        <w:t xml:space="preserve"> et l'intégration du </w:t>
      </w:r>
      <w:r w:rsidRPr="00F05A8A">
        <w:t xml:space="preserve">principe de l'égalité </w:t>
      </w:r>
      <w:r w:rsidRPr="00F05A8A">
        <w:rPr>
          <w:color w:val="000000"/>
        </w:rPr>
        <w:t>hommes</w:t>
      </w:r>
      <w:r w:rsidRPr="00F05A8A">
        <w:rPr>
          <w:color w:val="000000"/>
        </w:rPr>
        <w:noBreakHyphen/>
        <w:t>femmes</w:t>
      </w:r>
      <w:r w:rsidRPr="00F05A8A">
        <w:t xml:space="preserve">, l'UIT présente chaque année un rapport au </w:t>
      </w:r>
      <w:bookmarkEnd w:id="237"/>
      <w:r w:rsidRPr="00F05A8A">
        <w:t xml:space="preserve">Plan d'action à l'échelle du système des Nations Unies (ONU-SWAP) sur l'égalité </w:t>
      </w:r>
      <w:r w:rsidRPr="00F05A8A">
        <w:rPr>
          <w:color w:val="000000"/>
        </w:rPr>
        <w:t>hommes</w:t>
      </w:r>
      <w:r w:rsidRPr="00F05A8A">
        <w:rPr>
          <w:color w:val="000000"/>
        </w:rPr>
        <w:noBreakHyphen/>
        <w:t>femmes</w:t>
      </w:r>
      <w:r w:rsidRPr="00F05A8A">
        <w:t xml:space="preserve"> et l'autonomisation des femmes, fondé sur 17 indicateurs de performance. En 2018, l'UIT a "respecté" ou "dépassé" les exigences pour cinq des 17 indicateurs du Plan ONU-SWAP 2.0. Parmi les améliorations constatées en 2019 figure la </w:t>
      </w:r>
      <w:r w:rsidRPr="00F05A8A">
        <w:rPr>
          <w:color w:val="000000"/>
        </w:rPr>
        <w:t>gestion de la performance tenant compte des questions d'égalité hommes</w:t>
      </w:r>
      <w:r w:rsidRPr="00F05A8A">
        <w:rPr>
          <w:color w:val="000000"/>
        </w:rPr>
        <w:noBreakHyphen/>
        <w:t>femmes</w:t>
      </w:r>
      <w:r w:rsidRPr="00F05A8A">
        <w:t xml:space="preserve">. </w:t>
      </w:r>
      <w:r w:rsidRPr="00F05A8A">
        <w:rPr>
          <w:rFonts w:eastAsia="Calibri"/>
        </w:rPr>
        <w:t>En 2020, l'UIT a "respecté" ou "dépassé" les exigences pour huit des 17 indicateurs, et a amélioré ses résultats dans quatre indicateurs: résultats de programme concernant les ODD liés à l'égalité hommes-femmes; gestion de la performance tenant compte des questions d'égalité hommes</w:t>
      </w:r>
      <w:r w:rsidRPr="00F05A8A">
        <w:rPr>
          <w:rFonts w:eastAsia="Calibri"/>
        </w:rPr>
        <w:noBreakHyphen/>
        <w:t>femmes; culture de l'organisation; et connaissances et communication.</w:t>
      </w:r>
    </w:p>
    <w:p w14:paraId="2FBE9585" w14:textId="77777777" w:rsidR="00D80461" w:rsidRPr="00F05A8A" w:rsidRDefault="00D80461" w:rsidP="002F075E">
      <w:pPr>
        <w:spacing w:after="120"/>
        <w:rPr>
          <w:rFonts w:eastAsia="Calibri"/>
          <w:sz w:val="22"/>
          <w:u w:val="single"/>
        </w:rPr>
      </w:pPr>
      <w:r w:rsidRPr="00F05A8A">
        <w:rPr>
          <w:rFonts w:eastAsia="Calibri"/>
          <w:u w:val="single"/>
        </w:rPr>
        <w:t>Autres activités</w:t>
      </w:r>
    </w:p>
    <w:p w14:paraId="3D7AEB2E" w14:textId="77777777" w:rsidR="00D80461" w:rsidRPr="00F05A8A" w:rsidRDefault="00D80461" w:rsidP="002F075E">
      <w:pPr>
        <w:spacing w:after="120"/>
        <w:rPr>
          <w:rFonts w:eastAsia="Calibri"/>
        </w:rPr>
      </w:pPr>
      <w:r w:rsidRPr="00F05A8A">
        <w:rPr>
          <w:rFonts w:eastAsia="Calibri"/>
        </w:rPr>
        <w:t>D'autres activités relatives à l'égalité hommes-femmes ont été entreprises en 2018, notamment les suivantes:</w:t>
      </w:r>
    </w:p>
    <w:p w14:paraId="2F9D11B6" w14:textId="77777777" w:rsidR="00D80461" w:rsidRPr="00F05A8A" w:rsidRDefault="00D80461" w:rsidP="002F075E">
      <w:pPr>
        <w:pStyle w:val="enumlev1"/>
        <w:rPr>
          <w:rFonts w:eastAsia="PMingLiU"/>
          <w:lang w:eastAsia="zh-TW"/>
        </w:rPr>
      </w:pPr>
      <w:r w:rsidRPr="00F05A8A">
        <w:rPr>
          <w:rFonts w:eastAsia="PMingLiU"/>
          <w:szCs w:val="24"/>
          <w:lang w:eastAsia="zh-TW"/>
        </w:rPr>
        <w:t>•</w:t>
      </w:r>
      <w:r w:rsidRPr="00F05A8A">
        <w:rPr>
          <w:rFonts w:eastAsia="PMingLiU"/>
          <w:szCs w:val="24"/>
          <w:lang w:eastAsia="zh-TW"/>
        </w:rPr>
        <w:tab/>
        <w:t xml:space="preserve">En 2018, le </w:t>
      </w:r>
      <w:r w:rsidRPr="00F05A8A">
        <w:rPr>
          <w:rFonts w:eastAsia="PMingLiU"/>
          <w:lang w:eastAsia="zh-TW"/>
        </w:rPr>
        <w:t xml:space="preserve">Groupe de travail sur la réduction de la fracture numérique de la Commission sur le large bande a publié le rapport </w:t>
      </w:r>
      <w:hyperlink r:id="rId187" w:history="1">
        <w:r w:rsidRPr="00F05A8A">
          <w:rPr>
            <w:rFonts w:eastAsia="PMingLiU"/>
          </w:rPr>
          <w:t>"</w:t>
        </w:r>
        <w:r w:rsidRPr="00F05A8A">
          <w:rPr>
            <w:rStyle w:val="Hyperlink"/>
            <w:rFonts w:eastAsia="PMingLiU"/>
            <w:szCs w:val="24"/>
            <w:lang w:eastAsia="zh-TW"/>
          </w:rPr>
          <w:t>Réduction des inégalités hommes-femmes concernant l'accès à l'Internet et au large bande et leur utilisation</w:t>
        </w:r>
        <w:r w:rsidRPr="00F05A8A">
          <w:rPr>
            <w:rFonts w:eastAsia="PMingLiU"/>
          </w:rPr>
          <w:t>"</w:t>
        </w:r>
      </w:hyperlink>
      <w:r w:rsidRPr="00F05A8A">
        <w:rPr>
          <w:rFonts w:eastAsia="PMingLiU"/>
        </w:rPr>
        <w:t>,</w:t>
      </w:r>
      <w:r w:rsidRPr="00F05A8A">
        <w:rPr>
          <w:rFonts w:eastAsia="PMingLiU"/>
          <w:szCs w:val="24"/>
          <w:lang w:eastAsia="zh-TW"/>
        </w:rPr>
        <w:t xml:space="preserve"> afin d'analyser l'accès à l'Internet et son utilisation au moyen de données ventilées par sexe pour comprendre la situation; d'intégrer le principe de l'égalité hommes-femmes dans les stratégies, les politiques, les plans et les budgets; de supprimer les barrières; et de collaborer et d'échanger des bonnes pratiques et des enseignements.</w:t>
      </w:r>
    </w:p>
    <w:p w14:paraId="37BD5054" w14:textId="77777777" w:rsidR="00D80461" w:rsidRPr="00F05A8A" w:rsidRDefault="00D80461" w:rsidP="002F075E">
      <w:pPr>
        <w:pStyle w:val="enumlev1"/>
        <w:rPr>
          <w:rFonts w:eastAsia="SimSun"/>
          <w:szCs w:val="24"/>
          <w:lang w:eastAsia="zh-TW"/>
        </w:rPr>
      </w:pPr>
      <w:r w:rsidRPr="00F05A8A">
        <w:lastRenderedPageBreak/>
        <w:t>•</w:t>
      </w:r>
      <w:r w:rsidRPr="00F05A8A">
        <w:tab/>
      </w:r>
      <w:hyperlink r:id="rId188" w:history="1">
        <w:r w:rsidRPr="00F05A8A">
          <w:rPr>
            <w:rStyle w:val="Hyperlink"/>
            <w:rFonts w:eastAsia="PMingLiU"/>
            <w:bCs/>
            <w:szCs w:val="24"/>
            <w:lang w:eastAsia="zh-TW"/>
          </w:rPr>
          <w:t>International Gender Champions</w:t>
        </w:r>
      </w:hyperlink>
      <w:r w:rsidRPr="00F05A8A">
        <w:rPr>
          <w:rFonts w:eastAsia="PMingLiU"/>
          <w:bCs/>
          <w:szCs w:val="24"/>
          <w:lang w:eastAsia="zh-TW"/>
        </w:rPr>
        <w:t xml:space="preserve">: l'UIT fait partie d'un réseau de dirigeants qui rassemble des décideurs femmes et hommes pour supprimer les barrières qui existent entre les hommes et les femmes, et pour faire de l'égalité hommes-femmes une réalité. </w:t>
      </w:r>
    </w:p>
    <w:p w14:paraId="74BF7EDA" w14:textId="77777777" w:rsidR="00D80461" w:rsidRPr="00F05A8A" w:rsidRDefault="00D80461" w:rsidP="002F075E">
      <w:pPr>
        <w:pStyle w:val="Headingb"/>
        <w:rPr>
          <w:rFonts w:ascii="Calibri Light" w:eastAsia="Calibri" w:hAnsi="Calibri Light"/>
          <w:szCs w:val="22"/>
        </w:rPr>
      </w:pPr>
      <w:bookmarkStart w:id="238" w:name="_Toc95387486"/>
      <w:r w:rsidRPr="00F05A8A">
        <w:t>Œuvrer en faveur d'une mobilisation accrue des jeunes</w:t>
      </w:r>
      <w:bookmarkEnd w:id="238"/>
    </w:p>
    <w:p w14:paraId="71727750" w14:textId="77777777" w:rsidR="00D80461" w:rsidRPr="00F05A8A" w:rsidRDefault="00D80461" w:rsidP="002F075E">
      <w:pPr>
        <w:rPr>
          <w:rFonts w:eastAsia="Calibri"/>
        </w:rPr>
      </w:pPr>
      <w:r w:rsidRPr="00F05A8A">
        <w:rPr>
          <w:rFonts w:eastAsia="Calibri"/>
        </w:rPr>
        <w:t xml:space="preserve">La </w:t>
      </w:r>
      <w:hyperlink r:id="rId189" w:history="1">
        <w:r w:rsidRPr="00F05A8A">
          <w:rPr>
            <w:rStyle w:val="Hyperlink"/>
            <w:rFonts w:eastAsia="Calibri"/>
          </w:rPr>
          <w:t>Stratégie de l'UIT pour la jeunesse</w:t>
        </w:r>
      </w:hyperlink>
      <w:r w:rsidRPr="00F05A8A">
        <w:rPr>
          <w:rFonts w:eastAsia="Calibri"/>
        </w:rPr>
        <w:t xml:space="preserve"> garantit la participation à part entière des jeunes à l'action menée par l'UIT dans la mise en œuvre du Programme de développement durable à l'horizon 2030. La stratégie repose sur trois piliers: créer une communauté de jeunes dirigeants; rassembler les jeunes pour qu'ils collaborent avec l'UIT et ses membres; et promouvoir leur participation aux activités de l'UIT. Plus de 40 membres de l'Équipe spéciale pour la jeunesse de toute l'UIT coordonnent les efforts pour mettre en œuvre la Stratégie de l'UIT pour la jeunesse. </w:t>
      </w:r>
    </w:p>
    <w:p w14:paraId="4F583DA9" w14:textId="77777777" w:rsidR="00D80461" w:rsidRPr="00F05A8A" w:rsidRDefault="00D80461" w:rsidP="002F075E">
      <w:pPr>
        <w:rPr>
          <w:rFonts w:eastAsia="Calibri"/>
        </w:rPr>
      </w:pPr>
      <w:r w:rsidRPr="00F05A8A">
        <w:rPr>
          <w:rFonts w:eastAsia="Calibri"/>
        </w:rPr>
        <w:t>Les initiatives décrites ci-dessous ont été mises en œuvre dans le cadre de la Stratégie de l'UIT pour la jeunesse.</w:t>
      </w:r>
    </w:p>
    <w:p w14:paraId="162F9644" w14:textId="77777777" w:rsidR="00D80461" w:rsidRPr="00F05A8A" w:rsidRDefault="00D80461" w:rsidP="002F075E">
      <w:pPr>
        <w:rPr>
          <w:rFonts w:eastAsia="Calibri"/>
          <w:u w:val="single"/>
        </w:rPr>
      </w:pPr>
      <w:r w:rsidRPr="00F05A8A">
        <w:rPr>
          <w:rFonts w:eastAsia="Calibri"/>
          <w:bCs/>
          <w:u w:val="single"/>
        </w:rPr>
        <w:t>Initiative Generation</w:t>
      </w:r>
      <w:r w:rsidRPr="00F05A8A">
        <w:rPr>
          <w:rFonts w:eastAsia="Calibri"/>
          <w:u w:val="single"/>
        </w:rPr>
        <w:t xml:space="preserve"> Connect</w:t>
      </w:r>
    </w:p>
    <w:p w14:paraId="3AA46D6B" w14:textId="77777777" w:rsidR="00D80461" w:rsidRPr="00F05A8A" w:rsidRDefault="00D80461" w:rsidP="002F075E">
      <w:pPr>
        <w:rPr>
          <w:rFonts w:eastAsia="Calibri"/>
        </w:rPr>
      </w:pPr>
      <w:r w:rsidRPr="00F05A8A">
        <w:t xml:space="preserve">L'initiative </w:t>
      </w:r>
      <w:hyperlink r:id="rId190" w:history="1">
        <w:r w:rsidRPr="00F05A8A">
          <w:rPr>
            <w:rStyle w:val="Hyperlink"/>
            <w:rFonts w:eastAsia="Calibri"/>
          </w:rPr>
          <w:t>Generation Connect</w:t>
        </w:r>
      </w:hyperlink>
      <w:r w:rsidRPr="00F05A8A">
        <w:rPr>
          <w:rFonts w:eastAsia="Calibri"/>
        </w:rPr>
        <w:t xml:space="preserve">, lancée en 2020, prépare le terrain en vue de la Conférence mondiale de développement des télécommunications de 2022 et du </w:t>
      </w:r>
      <w:hyperlink r:id="rId191" w:history="1">
        <w:r w:rsidRPr="00F05A8A">
          <w:rPr>
            <w:rStyle w:val="Hyperlink"/>
            <w:rFonts w:eastAsia="Calibri"/>
          </w:rPr>
          <w:t>Sommet mondial</w:t>
        </w:r>
      </w:hyperlink>
      <w:r w:rsidRPr="00F05A8A">
        <w:rPr>
          <w:rFonts w:eastAsia="Calibri"/>
        </w:rPr>
        <w:t xml:space="preserve"> de la jeunesse organisé dans le cadre de l'initiative Generation Connect qui se tiendra en 2022 (en cours de préparation). Le thème du Sommet mondial de la jeunesse est aligné sur celui de la CMDT et sur les 17 ODD. Six groupes régionaux pour la jeunesse relevant de l'initiative Generation Connect ont élaboré chacun un document présentant leurs vues sur les priorités de leurs régions respectives. Depuis le lancement, plus de 90 manifestations de l'initiative Generation Connect à l'intention des jeunes ont été organisées et plus de 50 jeunes sont intervenus lors de manifestations de l'UIT.</w:t>
      </w:r>
    </w:p>
    <w:p w14:paraId="51067CFC" w14:textId="77777777" w:rsidR="00D80461" w:rsidRPr="00F05A8A" w:rsidRDefault="00D80461" w:rsidP="002F075E">
      <w:pPr>
        <w:rPr>
          <w:rFonts w:eastAsia="Calibri"/>
          <w:u w:val="single"/>
        </w:rPr>
      </w:pPr>
      <w:r w:rsidRPr="00F05A8A">
        <w:rPr>
          <w:rFonts w:eastAsia="Calibri"/>
          <w:u w:val="single"/>
        </w:rPr>
        <w:t>Conseil des visionnaires de l'initiative Generation Connect</w:t>
      </w:r>
    </w:p>
    <w:p w14:paraId="00F5A498" w14:textId="77777777" w:rsidR="00D80461" w:rsidRPr="00F05A8A" w:rsidRDefault="00D80461" w:rsidP="002F075E">
      <w:pPr>
        <w:rPr>
          <w:rFonts w:eastAsia="Calibri"/>
        </w:rPr>
      </w:pPr>
      <w:r w:rsidRPr="00F05A8A">
        <w:rPr>
          <w:rFonts w:eastAsia="Calibri"/>
        </w:rPr>
        <w:t>Le Conseil des visionnaires de l'initiative Generation Connect donne des orientations à l'UIT sur ses travaux relatifs aux jeunes. Ce Conseil, composé de représentants de l'UIT, de huit jeunes dirigeants et de huit personnalités de haut rang, formule des avis sur le Sommet mondial de la jeunesse et la Stratégie pour la jeunesse.</w:t>
      </w:r>
    </w:p>
    <w:p w14:paraId="6AB814E9" w14:textId="77777777" w:rsidR="00D80461" w:rsidRPr="00F05A8A" w:rsidRDefault="00D80461" w:rsidP="002F075E">
      <w:pPr>
        <w:rPr>
          <w:rFonts w:eastAsia="Calibri"/>
          <w:u w:val="single"/>
        </w:rPr>
      </w:pPr>
      <w:r w:rsidRPr="00F05A8A">
        <w:rPr>
          <w:rFonts w:eastAsia="Calibri"/>
          <w:u w:val="single"/>
        </w:rPr>
        <w:t>Manifestations de la série "En route pour Addis" axées sur l'inclusion numérique et les jeunes</w:t>
      </w:r>
    </w:p>
    <w:p w14:paraId="3307299B" w14:textId="77777777" w:rsidR="00D80461" w:rsidRPr="00F05A8A" w:rsidRDefault="00D80461" w:rsidP="002F075E">
      <w:pPr>
        <w:rPr>
          <w:rFonts w:eastAsia="Calibri"/>
        </w:rPr>
      </w:pPr>
      <w:r w:rsidRPr="00F05A8A">
        <w:rPr>
          <w:rFonts w:eastAsia="Calibri"/>
        </w:rPr>
        <w:t xml:space="preserve">La série de manifestations "En route pour Addis" de l'UIT comporte un important volet consacré aux jeunes. Lors d'une manifestation qui s'est tenue à l'occasion de la Journée internationale de la jeunesse en 2021, les jeunes se sont investis en tant que partenaires à part entière aux côtés des chefs de file du changement numérique qui s'opère aujourd'hui, tandis que les participants à la </w:t>
      </w:r>
      <w:hyperlink r:id="rId192" w:history="1">
        <w:r w:rsidRPr="00F05A8A">
          <w:rPr>
            <w:rStyle w:val="Hyperlink"/>
            <w:rFonts w:eastAsia="Calibri"/>
          </w:rPr>
          <w:t>Réunion Partner2Connect de 2021</w:t>
        </w:r>
      </w:hyperlink>
      <w:r w:rsidRPr="00F05A8A">
        <w:rPr>
          <w:rFonts w:eastAsia="Calibri"/>
        </w:rPr>
        <w:t xml:space="preserve"> ont lancé la </w:t>
      </w:r>
      <w:hyperlink r:id="rId193" w:history="1">
        <w:r w:rsidRPr="00F05A8A">
          <w:rPr>
            <w:rStyle w:val="Hyperlink"/>
            <w:rFonts w:eastAsia="Calibri"/>
          </w:rPr>
          <w:t>Coalition Partner2Connect</w:t>
        </w:r>
      </w:hyperlink>
      <w:r w:rsidRPr="00F05A8A">
        <w:rPr>
          <w:rFonts w:eastAsia="Calibri"/>
        </w:rPr>
        <w:t xml:space="preserve">. </w:t>
      </w:r>
    </w:p>
    <w:p w14:paraId="34D3E106" w14:textId="77777777" w:rsidR="00D80461" w:rsidRPr="00F05A8A" w:rsidRDefault="00D80461" w:rsidP="002F075E">
      <w:pPr>
        <w:rPr>
          <w:rFonts w:eastAsia="Calibri"/>
          <w:bCs/>
          <w:u w:val="single"/>
        </w:rPr>
      </w:pPr>
      <w:r w:rsidRPr="00F05A8A">
        <w:rPr>
          <w:rFonts w:eastAsia="Calibri"/>
          <w:bCs/>
          <w:u w:val="single"/>
        </w:rPr>
        <w:t>Organisation du Défi Jeunes du Centre international d'innovation numérique (I-CoDI)</w:t>
      </w:r>
    </w:p>
    <w:p w14:paraId="3F6C621F" w14:textId="77777777" w:rsidR="00D80461" w:rsidRPr="00F05A8A" w:rsidRDefault="00D80461" w:rsidP="002F075E">
      <w:pPr>
        <w:rPr>
          <w:rFonts w:eastAsia="Calibri"/>
        </w:rPr>
      </w:pPr>
      <w:r w:rsidRPr="00F05A8A">
        <w:rPr>
          <w:rFonts w:eastAsia="Calibri"/>
        </w:rPr>
        <w:t xml:space="preserve">En 2020, l'UIT a organisé le </w:t>
      </w:r>
      <w:hyperlink r:id="rId194" w:history="1">
        <w:r w:rsidRPr="00F05A8A">
          <w:rPr>
            <w:rStyle w:val="Hyperlink"/>
            <w:rFonts w:eastAsia="Calibri"/>
          </w:rPr>
          <w:t>Défi Jeunes du Centre international d'innovation numérique (I-CoDI)</w:t>
        </w:r>
      </w:hyperlink>
      <w:r w:rsidRPr="00F05A8A">
        <w:rPr>
          <w:rFonts w:eastAsia="Calibri"/>
        </w:rPr>
        <w:t xml:space="preserve"> sur le thème "Connecter ceux qui ne le sont pas encore".</w:t>
      </w:r>
      <w:r w:rsidRPr="00F05A8A">
        <w:t xml:space="preserve"> </w:t>
      </w:r>
      <w:r w:rsidRPr="00F05A8A">
        <w:rPr>
          <w:rFonts w:eastAsia="Calibri"/>
        </w:rPr>
        <w:t>Les présentations récompensées portaient sur le développement des technologies et des réseaux, la cybersécurité, l'inclusion numérique, les changements climatiques et l'environnement, et le renforcement des capacités.</w:t>
      </w:r>
    </w:p>
    <w:p w14:paraId="3BFD08EB" w14:textId="77777777" w:rsidR="00D80461" w:rsidRPr="00F05A8A" w:rsidRDefault="00D80461" w:rsidP="002F075E">
      <w:pPr>
        <w:rPr>
          <w:rFonts w:eastAsia="Calibri"/>
          <w:u w:val="single"/>
        </w:rPr>
      </w:pPr>
      <w:r w:rsidRPr="00F05A8A">
        <w:rPr>
          <w:rFonts w:eastAsia="Calibri"/>
          <w:u w:val="single"/>
        </w:rPr>
        <w:t>Communautés virtuelles de l'initiative Generation Connect</w:t>
      </w:r>
    </w:p>
    <w:p w14:paraId="754BE80C" w14:textId="77777777" w:rsidR="00D80461" w:rsidRPr="00F05A8A" w:rsidRDefault="00D80461" w:rsidP="002F075E">
      <w:pPr>
        <w:rPr>
          <w:rFonts w:eastAsia="Calibri"/>
        </w:rPr>
      </w:pPr>
      <w:r w:rsidRPr="00F05A8A">
        <w:rPr>
          <w:rFonts w:eastAsia="Calibri"/>
        </w:rPr>
        <w:t>En 2021, l'UIT a lancé sur Facebook, LinkedIn et Instagram les nouvelles communautés virtuelles de l'initiative Generation Connect et invité les jeunes des différentes régions à en faire partie.</w:t>
      </w:r>
    </w:p>
    <w:p w14:paraId="7C121BE7" w14:textId="77777777" w:rsidR="00D80461" w:rsidRPr="00F05A8A" w:rsidRDefault="00D80461" w:rsidP="002F075E">
      <w:pPr>
        <w:rPr>
          <w:rFonts w:eastAsia="Calibri"/>
          <w:u w:val="single"/>
        </w:rPr>
      </w:pPr>
      <w:r w:rsidRPr="00F05A8A">
        <w:rPr>
          <w:rFonts w:eastAsia="Calibri"/>
          <w:u w:val="single"/>
        </w:rPr>
        <w:lastRenderedPageBreak/>
        <w:t>L'UIT actuellement coprésidente du Réseau interinstitutions des Nations Unies pour l'épanouissement des jeunes</w:t>
      </w:r>
    </w:p>
    <w:p w14:paraId="5DC55D62" w14:textId="77777777" w:rsidR="00D80461" w:rsidRPr="00F05A8A" w:rsidRDefault="00D80461" w:rsidP="002F075E">
      <w:pPr>
        <w:rPr>
          <w:rFonts w:eastAsia="Calibri"/>
          <w:b/>
        </w:rPr>
      </w:pPr>
      <w:r w:rsidRPr="00F05A8A">
        <w:rPr>
          <w:rFonts w:eastAsia="Calibri"/>
        </w:rPr>
        <w:t>Depuis mars 2021, l'UIT copréside le Réseau interinstitutions des Nations Unies pour l'épanouissement des jeunes (IANYD) pour une durée d'un an. Le Réseau vise à accroître l'efficacité des travaux sur l'épanouissement des jeunes menés dans le cadre du système des Nations Unies en renforçant la collaboration et les échanges entre les entités des Nations Unies. L'UIT a coprésidé trois réunions du Réseau IANYD et établi un groupe de travail sur les moyens de mobiliser véritablement les jeunes.</w:t>
      </w:r>
    </w:p>
    <w:p w14:paraId="779C6B2A" w14:textId="77777777" w:rsidR="00D80461" w:rsidRPr="00F05A8A" w:rsidRDefault="00D80461" w:rsidP="002F075E">
      <w:pPr>
        <w:rPr>
          <w:rFonts w:eastAsia="Calibri"/>
          <w:u w:val="single"/>
        </w:rPr>
      </w:pPr>
      <w:r w:rsidRPr="00F05A8A">
        <w:rPr>
          <w:rFonts w:eastAsia="Calibri"/>
          <w:u w:val="single"/>
        </w:rPr>
        <w:t>Renforcement des capacités sur les moyens de mobiliser véritablement les jeunes</w:t>
      </w:r>
    </w:p>
    <w:p w14:paraId="46C8200C" w14:textId="77777777" w:rsidR="00D80461" w:rsidRPr="00F05A8A" w:rsidRDefault="00D80461" w:rsidP="002F075E">
      <w:pPr>
        <w:rPr>
          <w:rFonts w:eastAsia="Calibri"/>
        </w:rPr>
      </w:pPr>
      <w:r w:rsidRPr="00F05A8A">
        <w:rPr>
          <w:rFonts w:eastAsia="Calibri"/>
        </w:rPr>
        <w:t>Des fonctionnaires de l'UIT ont suivi en 2020 une formation sur les moyens de mobiliser véritablement les jeunes à l'intention du personnel du système des Nations Unies. En tout, 174 fonctionnaires de l'UIT, dont des membres de la haute direction, des membres de l'Équipe spéciale de l'UIT pour la jeunesse et des fonctionnaires de la catégorie professionnelle et de la catégorie des services généraux, y ont participé. Cette formation a été suivie, en décembre 2020, de deux ateliers visant à attirer l'attention des jeunes, lors desquels des équipes ont présenté à un jury de l'UIT des propositions d'initiatives concrètes visant à mobiliser les jeunes.</w:t>
      </w:r>
    </w:p>
    <w:p w14:paraId="06823485" w14:textId="77777777" w:rsidR="00D80461" w:rsidRPr="00F05A8A" w:rsidRDefault="00D80461" w:rsidP="002F075E">
      <w:pPr>
        <w:rPr>
          <w:rFonts w:eastAsia="Calibri"/>
          <w:bCs/>
          <w:u w:val="single"/>
        </w:rPr>
      </w:pPr>
      <w:r w:rsidRPr="00F05A8A">
        <w:rPr>
          <w:rFonts w:eastAsia="Calibri"/>
          <w:bCs/>
          <w:u w:val="single"/>
        </w:rPr>
        <w:t>Collaboration avec le Bureau de l'Envoyée du Secrétaire général pour la jeunesse</w:t>
      </w:r>
    </w:p>
    <w:p w14:paraId="4C2582B8" w14:textId="77777777" w:rsidR="00D80461" w:rsidRPr="00F05A8A" w:rsidRDefault="00D80461" w:rsidP="002F075E">
      <w:pPr>
        <w:rPr>
          <w:rFonts w:eastAsia="Calibri"/>
        </w:rPr>
      </w:pPr>
      <w:r w:rsidRPr="00F05A8A">
        <w:rPr>
          <w:rFonts w:eastAsia="Calibri"/>
        </w:rPr>
        <w:t>L'UIT collabore avec le Bureau de l'Envoyée du Secrétaire général pour la jeunesse afin d'aligner la Stratégie de l'UIT pour la jeunesse sur la Stratégie des Nations Unies pour la jeunesse intitulée "</w:t>
      </w:r>
      <w:hyperlink r:id="rId195" w:history="1">
        <w:r w:rsidRPr="00F05A8A">
          <w:rPr>
            <w:rStyle w:val="Hyperlink"/>
            <w:rFonts w:eastAsia="Calibri"/>
          </w:rPr>
          <w:t>Jeunesse 2030</w:t>
        </w:r>
      </w:hyperlink>
      <w:r w:rsidRPr="00F05A8A">
        <w:rPr>
          <w:rFonts w:eastAsia="Calibri"/>
        </w:rPr>
        <w:t>". L'UIT s'est engagée, avec l'Envoyée du Secrétaire général de l'ONU pour la jeunesse, de différentes manières: elle a notamment participé à la création de la session sur les technologies numériques lors du Festival de l'innovation #YouthLead et entamé une collaboration pour déterminer de quelle manière les initiatives en ligne contribuent à renforcer la sécurité des enfants en ligne.</w:t>
      </w:r>
    </w:p>
    <w:p w14:paraId="5614B3B8" w14:textId="77777777" w:rsidR="00D80461" w:rsidRPr="00F05A8A" w:rsidRDefault="00D80461" w:rsidP="002F075E">
      <w:pPr>
        <w:rPr>
          <w:rFonts w:eastAsia="Calibri"/>
        </w:rPr>
      </w:pPr>
      <w:r w:rsidRPr="00F05A8A">
        <w:rPr>
          <w:rFonts w:eastAsia="Calibri"/>
          <w:u w:val="single"/>
        </w:rPr>
        <w:t>Autres initiatives</w:t>
      </w:r>
    </w:p>
    <w:p w14:paraId="733F82BE" w14:textId="77777777" w:rsidR="00D80461" w:rsidRPr="00F05A8A" w:rsidRDefault="00D80461" w:rsidP="002F075E">
      <w:bookmarkStart w:id="239" w:name="lt_pId584"/>
      <w:r w:rsidRPr="00F05A8A">
        <w:t xml:space="preserve">Les travaux de l'UIT qui visent à autonomiser les jeunes grâce aux TIC comprennent notamment la </w:t>
      </w:r>
      <w:hyperlink r:id="rId196" w:history="1">
        <w:r w:rsidRPr="00F05A8A">
          <w:rPr>
            <w:rStyle w:val="Hyperlink"/>
          </w:rPr>
          <w:t>Campagne sur les compétences numériques pour un emploi décent</w:t>
        </w:r>
      </w:hyperlink>
      <w:r w:rsidRPr="00F05A8A">
        <w:t xml:space="preserve"> et le </w:t>
      </w:r>
      <w:hyperlink r:id="rId197" w:history="1">
        <w:r w:rsidRPr="00F05A8A">
          <w:rPr>
            <w:rStyle w:val="Hyperlink"/>
          </w:rPr>
          <w:t>Kit pratique sur les compétences numériques</w:t>
        </w:r>
      </w:hyperlink>
      <w:r w:rsidRPr="00F05A8A">
        <w:t>.</w:t>
      </w:r>
      <w:bookmarkStart w:id="240" w:name="lt_pId585"/>
      <w:bookmarkEnd w:id="239"/>
    </w:p>
    <w:p w14:paraId="66879840" w14:textId="77777777" w:rsidR="00D80461" w:rsidRPr="00F05A8A" w:rsidRDefault="00D80461" w:rsidP="002F075E">
      <w:pPr>
        <w:rPr>
          <w:rFonts w:eastAsia="Calibri"/>
          <w:sz w:val="22"/>
        </w:rPr>
      </w:pPr>
      <w:r w:rsidRPr="00F05A8A">
        <w:rPr>
          <w:rFonts w:eastAsia="Calibri"/>
        </w:rPr>
        <w:t xml:space="preserve">En 2020, l'UIT a mené une </w:t>
      </w:r>
      <w:hyperlink r:id="rId198" w:history="1">
        <w:r w:rsidRPr="00F05A8A">
          <w:rPr>
            <w:rStyle w:val="Hyperlink"/>
            <w:rFonts w:eastAsia="Calibri"/>
          </w:rPr>
          <w:t>enquête sur la participation des jeunes</w:t>
        </w:r>
      </w:hyperlink>
      <w:r w:rsidRPr="00F05A8A">
        <w:rPr>
          <w:rFonts w:eastAsia="Calibri"/>
        </w:rPr>
        <w:t xml:space="preserve"> pour savoir quelle est la meilleure façon pour l'Union de susciter leur adhésion. Les résultats ont fourni des éléments d'information utiles à l'élaboration de la Stratégie de l'UIT pour la jeunesse.</w:t>
      </w:r>
    </w:p>
    <w:p w14:paraId="7AE8B85F" w14:textId="77777777" w:rsidR="00D80461" w:rsidRPr="00F05A8A" w:rsidRDefault="00D80461" w:rsidP="002F075E">
      <w:pPr>
        <w:rPr>
          <w:rFonts w:eastAsia="Calibri"/>
          <w:szCs w:val="22"/>
        </w:rPr>
      </w:pPr>
      <w:r w:rsidRPr="00F05A8A">
        <w:rPr>
          <w:rFonts w:eastAsia="Calibri"/>
          <w:szCs w:val="28"/>
        </w:rPr>
        <w:t>La conférence Kaléidoscope 2018 sur le thème "L'apprentissage automatique pour un avenir placé sous le signe de la 5G" s'est tenue à Santa Fe (Argentine), dans les locaux de l'Universidad Tecnológica Nacional. De jeunes auteurs, âgés de moins de 30 ans, ont présenté des articles et ont reçu un certificat de "Reconnaissance jeune auteur".</w:t>
      </w:r>
    </w:p>
    <w:p w14:paraId="4CF60EA5" w14:textId="77777777" w:rsidR="00D80461" w:rsidRPr="00F05A8A" w:rsidRDefault="00D80461" w:rsidP="002F075E">
      <w:pPr>
        <w:pStyle w:val="Headingb"/>
        <w:keepNext w:val="0"/>
        <w:keepLines w:val="0"/>
      </w:pPr>
      <w:bookmarkStart w:id="241" w:name="_Toc95387487"/>
      <w:r w:rsidRPr="00F05A8A">
        <w:t>Promouvoir l'accessibilité des TIC pour les personnes handicapées</w:t>
      </w:r>
      <w:bookmarkEnd w:id="241"/>
    </w:p>
    <w:p w14:paraId="169CACC8" w14:textId="77777777" w:rsidR="00D80461" w:rsidRPr="00F05A8A" w:rsidRDefault="00D80461" w:rsidP="002F075E">
      <w:bookmarkStart w:id="242" w:name="lt_pId596"/>
      <w:bookmarkEnd w:id="240"/>
      <w:r w:rsidRPr="00F05A8A">
        <w:t xml:space="preserve">L'UIT s'efforce à la fois de promouvoir à l'échelle mondiale l'accessibilité des TIC pour les personnes handicapées et de faire de l'UIT une organisation plus accessible pour les personnes handicapées (Résolution 175 (Rév. Dubaï, 2018) de la Conférence de plénipotentiaires). </w:t>
      </w:r>
      <w:bookmarkEnd w:id="242"/>
    </w:p>
    <w:p w14:paraId="139D2A28" w14:textId="77777777" w:rsidR="00D80461" w:rsidRPr="00F05A8A" w:rsidRDefault="00D80461" w:rsidP="002F075E">
      <w:bookmarkStart w:id="243" w:name="lt_pId597"/>
      <w:r w:rsidRPr="00F05A8A">
        <w:t>Globalement, l'UIT a poursuivi ses travaux techniques au sein des Commissions d'études de l'UIT</w:t>
      </w:r>
      <w:r w:rsidRPr="00F05A8A">
        <w:noBreakHyphen/>
        <w:t>R, de l'UIT-T et de l'UIT-D en vue de promouvoir l'utilisation des télécommunications et des TIC par les personnes handicapées</w:t>
      </w:r>
      <w:bookmarkEnd w:id="243"/>
      <w:r w:rsidRPr="00F05A8A">
        <w:t xml:space="preserve"> et d'élaborer des ressources afin d'aider les États Membres </w:t>
      </w:r>
      <w:r w:rsidRPr="00F05A8A">
        <w:lastRenderedPageBreak/>
        <w:t xml:space="preserve">à créer des environnements </w:t>
      </w:r>
      <w:bookmarkStart w:id="244" w:name="lt_pId599"/>
      <w:r w:rsidRPr="00F05A8A">
        <w:t>garantissant l'accessibilité des télécommunications/TIC pour les personnes handicapées. Les travaux ont été menés avec la participation des personnes handicapées et s'inscrivent dans le droit fil du Programme Connect 2030.</w:t>
      </w:r>
      <w:bookmarkStart w:id="245" w:name="lt_pId600"/>
      <w:bookmarkEnd w:id="244"/>
      <w:r w:rsidRPr="00F05A8A">
        <w:t xml:space="preserve"> L'UIT-D a fait des progrès concernant les initiatives régionales liées à l'accessibilité des TIC, avec des projets, des formations et des manifestations et a fourni un aux administrations de l'UIT, dans la quasi-totalité des régions, notamment pour l'organisation de manifestations "Amériques accessibles" et d'autres manifestations sur l'accessibilité. De plus amples renseignements sont disponibles </w:t>
      </w:r>
      <w:hyperlink r:id="rId199" w:history="1">
        <w:r w:rsidRPr="00F05A8A">
          <w:rPr>
            <w:rStyle w:val="Hyperlink"/>
          </w:rPr>
          <w:t>ici</w:t>
        </w:r>
      </w:hyperlink>
      <w:r w:rsidRPr="00F05A8A">
        <w:t>.</w:t>
      </w:r>
      <w:bookmarkEnd w:id="245"/>
    </w:p>
    <w:p w14:paraId="0F670E89" w14:textId="77777777" w:rsidR="00D80461" w:rsidRPr="00F05A8A" w:rsidRDefault="00D80461" w:rsidP="002F075E">
      <w:bookmarkStart w:id="246" w:name="lt_pId601"/>
      <w:r w:rsidRPr="00F05A8A">
        <w:t xml:space="preserve">S'agissant du second domaine d'activité, l'UIT a progressé dans la mise en œuvre de sa politique en matière d'accessibilité, approuvée par le Conseil de l'UIT à sa session de 2013. </w:t>
      </w:r>
      <w:bookmarkStart w:id="247" w:name="lt_pId602"/>
      <w:bookmarkEnd w:id="246"/>
    </w:p>
    <w:p w14:paraId="7FA5549D" w14:textId="77777777" w:rsidR="00D80461" w:rsidRPr="00F05A8A" w:rsidRDefault="00D80461" w:rsidP="002F075E">
      <w:pPr>
        <w:rPr>
          <w:rFonts w:eastAsia="Calibri"/>
          <w:sz w:val="22"/>
        </w:rPr>
      </w:pPr>
      <w:r w:rsidRPr="00F05A8A">
        <w:rPr>
          <w:rFonts w:eastAsia="Calibri"/>
        </w:rPr>
        <w:t xml:space="preserve">Parmi les travaux de l'UIT sur l'accessibilité figurent l'organisation de manifestations régionales, une évaluation de l'accessibilité des TIC et la publication de nouvelles ressources et de nouveaux manuels. L'UIT a élaboré du matériel de renforcement des capacités afin de promouvoir l'adoption de solutions accessibles, dont 15 tutoriels vidéos sur la création et la remédiation de contenus numériques accessibles. </w:t>
      </w:r>
    </w:p>
    <w:p w14:paraId="04AC09BE" w14:textId="77777777" w:rsidR="00D80461" w:rsidRPr="00F05A8A" w:rsidRDefault="00D80461" w:rsidP="002F075E">
      <w:pPr>
        <w:rPr>
          <w:rFonts w:eastAsia="Calibri"/>
        </w:rPr>
      </w:pPr>
      <w:r w:rsidRPr="00F05A8A">
        <w:rPr>
          <w:rFonts w:eastAsia="Calibri"/>
        </w:rPr>
        <w:t>Une série d'activités est présentée ci-dessous.</w:t>
      </w:r>
    </w:p>
    <w:p w14:paraId="56FE777E" w14:textId="77777777" w:rsidR="00D80461" w:rsidRPr="00F05A8A" w:rsidRDefault="00D80461" w:rsidP="002F075E">
      <w:pPr>
        <w:keepNext/>
        <w:keepLines/>
        <w:outlineLvl w:val="3"/>
        <w:rPr>
          <w:iCs/>
          <w:u w:val="single"/>
        </w:rPr>
      </w:pPr>
      <w:r w:rsidRPr="00F05A8A">
        <w:rPr>
          <w:iCs/>
          <w:u w:val="single"/>
        </w:rPr>
        <w:t>Plates-formes et forums régionaux de développement des connaissances de l'UIT</w:t>
      </w:r>
    </w:p>
    <w:p w14:paraId="7B3B02D3" w14:textId="77777777" w:rsidR="00D80461" w:rsidRPr="00F05A8A" w:rsidRDefault="00D80461" w:rsidP="002F075E">
      <w:pPr>
        <w:rPr>
          <w:rFonts w:eastAsia="Calibri"/>
        </w:rPr>
      </w:pPr>
      <w:r w:rsidRPr="00F05A8A">
        <w:rPr>
          <w:rFonts w:eastAsia="Calibri"/>
        </w:rPr>
        <w:t>L'UIT a organisé des manifestations régionales qui ont permis à ses membres et aux parties prenantes d'échanger des bonnes pratiques et de faire part de leurs difficultés, et qui ont contribué à l'édification de sociétés numériques inclusives dans ces régions.</w:t>
      </w:r>
    </w:p>
    <w:p w14:paraId="21E841A1" w14:textId="77777777" w:rsidR="00D80461" w:rsidRPr="00F05A8A" w:rsidRDefault="00D80461" w:rsidP="002F075E">
      <w:pPr>
        <w:rPr>
          <w:rFonts w:eastAsia="Calibri"/>
        </w:rPr>
      </w:pPr>
      <w:r w:rsidRPr="00F05A8A">
        <w:rPr>
          <w:rFonts w:eastAsia="Calibri"/>
        </w:rPr>
        <w:t>D'autres manifestations régionales sont présentées ci-dessous.</w:t>
      </w:r>
    </w:p>
    <w:p w14:paraId="662A8365" w14:textId="77777777" w:rsidR="00D80461" w:rsidRPr="00F05A8A" w:rsidRDefault="00D80461" w:rsidP="002F075E">
      <w:pPr>
        <w:rPr>
          <w:rFonts w:eastAsia="Calibri"/>
        </w:rPr>
      </w:pPr>
      <w:r w:rsidRPr="00F05A8A">
        <w:rPr>
          <w:rFonts w:eastAsia="Calibri"/>
        </w:rPr>
        <w:t>Asie-Pacifique accessible: Dialogue régional sur la transformation numérique: se préparer au développement inclusif et durable, manifestation virtuelle, 2021.</w:t>
      </w:r>
    </w:p>
    <w:p w14:paraId="07FFA598" w14:textId="77777777" w:rsidR="00D80461" w:rsidRPr="00F05A8A" w:rsidRDefault="00ED2695" w:rsidP="002F075E">
      <w:pPr>
        <w:rPr>
          <w:rFonts w:eastAsia="Calibri"/>
        </w:rPr>
      </w:pPr>
      <w:hyperlink r:id="rId200" w:history="1">
        <w:r w:rsidR="00D80461" w:rsidRPr="00F05A8A">
          <w:rPr>
            <w:rStyle w:val="Hyperlink"/>
            <w:rFonts w:eastAsia="Calibri"/>
          </w:rPr>
          <w:t>Région des États arabes accessibles: les TIC pour TOUS</w:t>
        </w:r>
      </w:hyperlink>
      <w:r w:rsidR="00D80461" w:rsidRPr="00F05A8A">
        <w:rPr>
          <w:rFonts w:eastAsia="Calibri"/>
        </w:rPr>
        <w:t>, Égypte, 2021, en partenariat avec la CESAO. Les participants ont défini les voies à suivre pour mettre en œuvre et intégrer l'accessibilité numérique, en montrant comment la technologie peut garantir l'inclusion et l'autonomisation de tous.</w:t>
      </w:r>
    </w:p>
    <w:p w14:paraId="75805AE8" w14:textId="77777777" w:rsidR="00D80461" w:rsidRPr="00F05A8A" w:rsidRDefault="00ED2695" w:rsidP="002F075E">
      <w:pPr>
        <w:rPr>
          <w:rFonts w:eastAsia="Calibri"/>
          <w:szCs w:val="24"/>
        </w:rPr>
      </w:pPr>
      <w:hyperlink r:id="rId201" w:history="1">
        <w:r w:rsidR="00D80461" w:rsidRPr="00F05A8A">
          <w:rPr>
            <w:rStyle w:val="Hyperlink"/>
            <w:rFonts w:eastAsia="Calibri"/>
          </w:rPr>
          <w:t>Amériques accessibles: les TIC pour TOUS</w:t>
        </w:r>
      </w:hyperlink>
      <w:r w:rsidR="00D80461" w:rsidRPr="00F05A8A">
        <w:rPr>
          <w:rFonts w:eastAsia="Calibri"/>
          <w:szCs w:val="24"/>
        </w:rPr>
        <w:t>, Cuba, 2021. La manifestation a permis de réunir des décideurs et des parties prenantes pour discuter de l'accessibilité numérique/des TIC dans le contexte du COVID-19.</w:t>
      </w:r>
    </w:p>
    <w:p w14:paraId="582C7A4E" w14:textId="77777777" w:rsidR="00D80461" w:rsidRPr="00F05A8A" w:rsidRDefault="00ED2695" w:rsidP="002F075E">
      <w:pPr>
        <w:rPr>
          <w:rFonts w:eastAsia="Calibri"/>
        </w:rPr>
      </w:pPr>
      <w:hyperlink r:id="rId202" w:history="1">
        <w:r w:rsidR="00D80461" w:rsidRPr="00F05A8A">
          <w:rPr>
            <w:rStyle w:val="Hyperlink"/>
            <w:rFonts w:eastAsia="Calibri"/>
          </w:rPr>
          <w:t>Afrique accessible</w:t>
        </w:r>
      </w:hyperlink>
      <w:r w:rsidR="00D80461" w:rsidRPr="00F05A8A">
        <w:rPr>
          <w:rFonts w:eastAsia="Calibri"/>
        </w:rPr>
        <w:t>, manifestation virtuelle, 2021. Cinq ateliers en ligne interactifs ont été organisés dans le but de renforcer les capacités de 175 coordonnateurs régionaux de 42 pays d'Afrique en matière d'accessibilité numérique/des TIC.</w:t>
      </w:r>
    </w:p>
    <w:p w14:paraId="3D5CDE46" w14:textId="77777777" w:rsidR="00D80461" w:rsidRPr="00F05A8A" w:rsidRDefault="00ED2695" w:rsidP="002F075E">
      <w:pPr>
        <w:rPr>
          <w:rFonts w:eastAsia="Calibri"/>
        </w:rPr>
      </w:pPr>
      <w:hyperlink r:id="rId203" w:history="1">
        <w:r w:rsidR="00D80461" w:rsidRPr="00F05A8A">
          <w:rPr>
            <w:rStyle w:val="Hyperlink"/>
            <w:rFonts w:eastAsia="Calibri"/>
            <w:bCs/>
            <w:szCs w:val="24"/>
          </w:rPr>
          <w:t>Europe accessible: les TIC pour TOUS</w:t>
        </w:r>
      </w:hyperlink>
      <w:r w:rsidR="00D80461" w:rsidRPr="00F05A8A">
        <w:rPr>
          <w:rFonts w:eastAsia="Calibri"/>
          <w:bCs/>
          <w:szCs w:val="24"/>
        </w:rPr>
        <w:t>,</w:t>
      </w:r>
      <w:r w:rsidR="00D80461" w:rsidRPr="00F05A8A">
        <w:rPr>
          <w:rFonts w:eastAsia="Calibri"/>
        </w:rPr>
        <w:t xml:space="preserve"> manifestation virtuelle, 2021. Plus de 240 participants de plus de 40 pays ont réfléchi aux moyens de supprimer les obstacles à l'inclusion sociale des personnes handicapées, notamment par le biais de la coopération, de programmes et de formations.</w:t>
      </w:r>
    </w:p>
    <w:p w14:paraId="2EC7F866" w14:textId="77777777" w:rsidR="00D80461" w:rsidRPr="00F05A8A" w:rsidRDefault="00D80461" w:rsidP="002F075E">
      <w:pPr>
        <w:rPr>
          <w:rFonts w:eastAsia="Calibri"/>
        </w:rPr>
      </w:pPr>
      <w:r w:rsidRPr="00F05A8A">
        <w:rPr>
          <w:rFonts w:eastAsia="Calibri"/>
        </w:rPr>
        <w:t xml:space="preserve">CEI accessible: en 2021, la région de la CEI a manifesté un intérêt accru pour la mise en œuvre de l'accessibilité des TIC pour rendre toutes les personnes autonomes sur le plan numérique grâce aux TIC sur une base d'égalité. </w:t>
      </w:r>
    </w:p>
    <w:p w14:paraId="48913A25" w14:textId="77777777" w:rsidR="00D80461" w:rsidRPr="00F05A8A" w:rsidRDefault="00D80461" w:rsidP="002F075E">
      <w:pPr>
        <w:keepNext/>
        <w:keepLines/>
        <w:outlineLvl w:val="3"/>
        <w:rPr>
          <w:iCs/>
          <w:u w:val="single"/>
        </w:rPr>
      </w:pPr>
      <w:r w:rsidRPr="00F05A8A">
        <w:rPr>
          <w:iCs/>
          <w:u w:val="single"/>
        </w:rPr>
        <w:t xml:space="preserve">Évaluation et suivi de la mise en œuvre de l'accessibilité des TIC </w:t>
      </w:r>
    </w:p>
    <w:p w14:paraId="06707629" w14:textId="77777777" w:rsidR="00D80461" w:rsidRPr="00F05A8A" w:rsidRDefault="00ED2695" w:rsidP="002F075E">
      <w:pPr>
        <w:rPr>
          <w:rFonts w:eastAsia="Batang"/>
          <w:szCs w:val="24"/>
        </w:rPr>
      </w:pPr>
      <w:hyperlink r:id="rId204" w:history="1">
        <w:r w:rsidR="00D80461" w:rsidRPr="00F05A8A">
          <w:rPr>
            <w:rStyle w:val="Hyperlink"/>
            <w:rFonts w:eastAsia="Batang"/>
            <w:szCs w:val="24"/>
          </w:rPr>
          <w:t>Kit pratique de l'UIT intitulé "Vers la création de communautés numériques inclusives" et autoévaluation pour la mise en œuvre de l'accessibilité des TIC</w:t>
        </w:r>
      </w:hyperlink>
      <w:r w:rsidR="00D80461" w:rsidRPr="00F05A8A">
        <w:rPr>
          <w:rFonts w:eastAsia="Batang"/>
        </w:rPr>
        <w:t xml:space="preserve">. </w:t>
      </w:r>
      <w:r w:rsidR="00D80461" w:rsidRPr="00F05A8A">
        <w:rPr>
          <w:rFonts w:eastAsia="Batang"/>
          <w:szCs w:val="24"/>
        </w:rPr>
        <w:t xml:space="preserve">Cette ressource aide tous les </w:t>
      </w:r>
      <w:r w:rsidR="00D80461" w:rsidRPr="00F05A8A">
        <w:rPr>
          <w:rFonts w:eastAsia="Batang"/>
          <w:szCs w:val="24"/>
        </w:rPr>
        <w:lastRenderedPageBreak/>
        <w:t>Membres de l'UIT, décideurs et parties prenantes à créer des communautés numériques inclusives. Elle permet également aux pays et aux organisations de s'autoévaluer et d'obtenir ainsi un aperçu immédiat de leur niveau de mise en œuvre d'accessibilité des TIC.</w:t>
      </w:r>
    </w:p>
    <w:p w14:paraId="2371B8C5" w14:textId="77777777" w:rsidR="00D80461" w:rsidRPr="00F05A8A" w:rsidRDefault="00D80461" w:rsidP="002F075E">
      <w:pPr>
        <w:rPr>
          <w:rFonts w:eastAsia="Batang"/>
          <w:szCs w:val="24"/>
          <w:u w:val="single"/>
        </w:rPr>
      </w:pPr>
      <w:r w:rsidRPr="00F05A8A">
        <w:t xml:space="preserve">Le rapport </w:t>
      </w:r>
      <w:hyperlink r:id="rId205" w:history="1">
        <w:r w:rsidRPr="00F05A8A">
          <w:rPr>
            <w:rStyle w:val="Hyperlink"/>
            <w:rFonts w:eastAsia="Batang"/>
            <w:szCs w:val="24"/>
          </w:rPr>
          <w:t>Évaluation de l'accessibilité des TIC pour la région Europe</w:t>
        </w:r>
      </w:hyperlink>
      <w:r w:rsidRPr="00F05A8A">
        <w:rPr>
          <w:rFonts w:eastAsia="Calibri"/>
          <w:szCs w:val="24"/>
        </w:rPr>
        <w:t xml:space="preserve"> contient une évaluation de l'accessibilité des TIC pour la région Europe. Voir également le rapport </w:t>
      </w:r>
      <w:hyperlink r:id="rId206" w:history="1">
        <w:r w:rsidRPr="00F05A8A">
          <w:rPr>
            <w:rStyle w:val="Hyperlink"/>
            <w:rFonts w:eastAsia="Batang"/>
            <w:szCs w:val="24"/>
          </w:rPr>
          <w:t>Évaluation par l'UIT des politiques en matière d'accessibilité numérique en Serbie</w:t>
        </w:r>
      </w:hyperlink>
      <w:r w:rsidRPr="00F05A8A">
        <w:rPr>
          <w:rFonts w:eastAsia="Batang"/>
        </w:rPr>
        <w:t>.</w:t>
      </w:r>
    </w:p>
    <w:p w14:paraId="5CCA280B" w14:textId="77777777" w:rsidR="00D80461" w:rsidRPr="00F05A8A" w:rsidRDefault="00D80461" w:rsidP="002F075E">
      <w:pPr>
        <w:keepNext/>
        <w:keepLines/>
        <w:outlineLvl w:val="3"/>
        <w:rPr>
          <w:rFonts w:cs="Calibri"/>
          <w:iCs/>
          <w:u w:val="single"/>
        </w:rPr>
      </w:pPr>
      <w:r w:rsidRPr="00F05A8A">
        <w:rPr>
          <w:iCs/>
          <w:u w:val="single"/>
        </w:rPr>
        <w:t>Forum 2021 du SMSI: Les TIC et l'accessibilité pour les personnes handicapées et les personnes ayant des besoins particuliers</w:t>
      </w:r>
    </w:p>
    <w:p w14:paraId="526F1CF7" w14:textId="77777777" w:rsidR="00D80461" w:rsidRPr="00F05A8A" w:rsidRDefault="00D80461" w:rsidP="002F075E">
      <w:pPr>
        <w:rPr>
          <w:rFonts w:eastAsia="Calibri"/>
        </w:rPr>
      </w:pPr>
      <w:r w:rsidRPr="00F05A8A">
        <w:t xml:space="preserve">Au programme du </w:t>
      </w:r>
      <w:hyperlink r:id="rId207" w:history="1">
        <w:r w:rsidRPr="00F05A8A">
          <w:rPr>
            <w:rStyle w:val="Hyperlink"/>
            <w:rFonts w:eastAsia="Calibri"/>
          </w:rPr>
          <w:t>Forum 2021 du SMSI</w:t>
        </w:r>
      </w:hyperlink>
      <w:r w:rsidRPr="00F05A8A">
        <w:rPr>
          <w:rFonts w:eastAsia="Calibri"/>
        </w:rPr>
        <w:t xml:space="preserve"> figurait une session sur </w:t>
      </w:r>
      <w:hyperlink r:id="rId208" w:history="1">
        <w:r w:rsidRPr="00F05A8A">
          <w:rPr>
            <w:rStyle w:val="Hyperlink"/>
            <w:rFonts w:eastAsia="Calibri"/>
          </w:rPr>
          <w:t>les TIC et l'accessibilité pour les personnes handicapées et les personnes ayant des besoins particuliers</w:t>
        </w:r>
      </w:hyperlink>
      <w:r w:rsidRPr="00F05A8A">
        <w:rPr>
          <w:rFonts w:eastAsia="Calibri"/>
          <w:i/>
        </w:rPr>
        <w:t>,</w:t>
      </w:r>
      <w:r w:rsidRPr="00F05A8A">
        <w:rPr>
          <w:rFonts w:eastAsia="Calibri"/>
        </w:rPr>
        <w:t xml:space="preserve"> ainsi que des ateliers virtuels sur les technologies innovantes, qui ont réuni des spécialistes et des parties prenantes en vue de réfléchir aux solutions pour exploiter les TIC pour aider les personnes aveugles ou malvoyantes et pour offrir à tous une éducation inclusive. Des technologies d'assistance émergentes ont ainsi été présentées à ces occasions. </w:t>
      </w:r>
    </w:p>
    <w:p w14:paraId="0BB709F3" w14:textId="77777777" w:rsidR="00D80461" w:rsidRPr="00F05A8A" w:rsidRDefault="00D80461" w:rsidP="002F075E">
      <w:pPr>
        <w:keepNext/>
        <w:keepLines/>
        <w:spacing w:after="120"/>
        <w:rPr>
          <w:rFonts w:eastAsia="Batang"/>
          <w:color w:val="000000"/>
          <w:szCs w:val="24"/>
          <w:u w:val="single"/>
        </w:rPr>
      </w:pPr>
      <w:r w:rsidRPr="00F05A8A">
        <w:rPr>
          <w:rFonts w:eastAsia="Batang"/>
          <w:color w:val="000000"/>
          <w:szCs w:val="24"/>
          <w:u w:val="single"/>
        </w:rPr>
        <w:t>Cours de formation en ligne adaptés au rythme de chacun</w:t>
      </w:r>
    </w:p>
    <w:p w14:paraId="08055711" w14:textId="77777777" w:rsidR="00D80461" w:rsidRPr="00F05A8A" w:rsidRDefault="00D80461" w:rsidP="002F075E">
      <w:pPr>
        <w:keepNext/>
        <w:keepLines/>
        <w:spacing w:after="120"/>
        <w:rPr>
          <w:rFonts w:eastAsia="Batang"/>
          <w:color w:val="000000"/>
          <w:szCs w:val="24"/>
        </w:rPr>
      </w:pPr>
      <w:r w:rsidRPr="00F05A8A">
        <w:rPr>
          <w:rFonts w:eastAsia="Batang"/>
          <w:color w:val="000000"/>
          <w:szCs w:val="24"/>
        </w:rPr>
        <w:t xml:space="preserve">En 2021, deux cours de formation en ligne adaptés au rythme de chacun sur le thème de l'accessibilité des TIC ont été élaborés et sont disponibles en arabe, en anglais, en français, en russe et en espagnol. Les deux cours </w:t>
      </w:r>
      <w:hyperlink r:id="rId209" w:history="1">
        <w:r w:rsidRPr="00F05A8A">
          <w:rPr>
            <w:rStyle w:val="Hyperlink"/>
            <w:rFonts w:eastAsia="Batang"/>
            <w:szCs w:val="24"/>
          </w:rPr>
          <w:t>Accessibilité des TIC – La clé d'une communication inclusive</w:t>
        </w:r>
      </w:hyperlink>
      <w:r w:rsidRPr="00F05A8A">
        <w:rPr>
          <w:rFonts w:eastAsia="Batang"/>
          <w:szCs w:val="24"/>
        </w:rPr>
        <w:t xml:space="preserve"> et </w:t>
      </w:r>
      <w:hyperlink r:id="rId210" w:history="1">
        <w:r w:rsidRPr="00F05A8A">
          <w:rPr>
            <w:rStyle w:val="Hyperlink"/>
            <w:rFonts w:eastAsia="Calibri"/>
            <w:szCs w:val="24"/>
            <w:bdr w:val="none" w:sz="0" w:space="0" w:color="auto" w:frame="1"/>
          </w:rPr>
          <w:t>Accessibilité du web – L'élément central d'une société numérique inclusive</w:t>
        </w:r>
      </w:hyperlink>
      <w:r w:rsidRPr="00F05A8A">
        <w:rPr>
          <w:rFonts w:eastAsia="Calibri"/>
          <w:szCs w:val="24"/>
          <w:bdr w:val="none" w:sz="0" w:space="0" w:color="auto" w:frame="1"/>
        </w:rPr>
        <w:t xml:space="preserve"> sont proposés par l'Académie de l'UIT sous la forme de trois modules</w:t>
      </w:r>
      <w:r w:rsidRPr="00F05A8A">
        <w:rPr>
          <w:rFonts w:eastAsia="Batang"/>
          <w:color w:val="000000"/>
          <w:szCs w:val="24"/>
        </w:rPr>
        <w:t>.</w:t>
      </w:r>
    </w:p>
    <w:p w14:paraId="4FE9EBF6" w14:textId="77777777" w:rsidR="00D80461" w:rsidRPr="00F05A8A" w:rsidRDefault="00D80461" w:rsidP="002F075E">
      <w:pPr>
        <w:rPr>
          <w:rFonts w:eastAsia="Batang"/>
          <w:color w:val="000000"/>
          <w:szCs w:val="24"/>
          <w:u w:val="single"/>
        </w:rPr>
      </w:pPr>
      <w:r w:rsidRPr="00F05A8A">
        <w:rPr>
          <w:rFonts w:eastAsia="Batang"/>
          <w:color w:val="000000"/>
          <w:szCs w:val="24"/>
          <w:u w:val="single"/>
        </w:rPr>
        <w:t>Autres ressources sur l'accessibilité</w:t>
      </w:r>
    </w:p>
    <w:p w14:paraId="5C0E0C77" w14:textId="77777777" w:rsidR="00D80461" w:rsidRPr="00F05A8A" w:rsidRDefault="00D80461" w:rsidP="002F075E">
      <w:pPr>
        <w:rPr>
          <w:rFonts w:eastAsia="Batang"/>
          <w:szCs w:val="24"/>
          <w:u w:val="single"/>
        </w:rPr>
      </w:pPr>
      <w:r w:rsidRPr="00F05A8A">
        <w:rPr>
          <w:rFonts w:eastAsia="Batang"/>
          <w:color w:val="000000"/>
          <w:szCs w:val="24"/>
        </w:rPr>
        <w:t xml:space="preserve">Des formations et des ressources complémentaires sur l'accessibilité des TIC sont disponibles </w:t>
      </w:r>
      <w:hyperlink r:id="rId211" w:history="1">
        <w:r w:rsidRPr="00F05A8A">
          <w:rPr>
            <w:rStyle w:val="Hyperlink"/>
            <w:rFonts w:eastAsia="Batang"/>
            <w:szCs w:val="24"/>
          </w:rPr>
          <w:t>ici</w:t>
        </w:r>
      </w:hyperlink>
      <w:r w:rsidRPr="00F05A8A">
        <w:rPr>
          <w:rFonts w:eastAsia="Batang"/>
          <w:color w:val="000000"/>
          <w:szCs w:val="24"/>
        </w:rPr>
        <w:t xml:space="preserve">. </w:t>
      </w:r>
      <w:r w:rsidRPr="00F05A8A">
        <w:rPr>
          <w:rFonts w:eastAsia="Calibri"/>
        </w:rPr>
        <w:t xml:space="preserve">La version actualisée du </w:t>
      </w:r>
      <w:hyperlink r:id="rId212" w:history="1">
        <w:r w:rsidRPr="00F05A8A">
          <w:rPr>
            <w:rStyle w:val="Hyperlink"/>
            <w:rFonts w:eastAsia="Calibri"/>
          </w:rPr>
          <w:t>Manuel</w:t>
        </w:r>
      </w:hyperlink>
      <w:r w:rsidRPr="00F05A8A">
        <w:rPr>
          <w:rFonts w:eastAsia="Calibri"/>
        </w:rPr>
        <w:t xml:space="preserve"> sur la mise en œuvre des réseaux et systèmes de radiodiffusion télévisuelle numérique de Terre,</w:t>
      </w:r>
      <w:r w:rsidRPr="00F05A8A">
        <w:rPr>
          <w:bCs/>
          <w:lang w:eastAsia="zh-CN"/>
        </w:rPr>
        <w:t xml:space="preserve"> qui traite de l'</w:t>
      </w:r>
      <w:hyperlink r:id="rId213" w:history="1">
        <w:r w:rsidRPr="00F05A8A">
          <w:rPr>
            <w:rStyle w:val="Hyperlink"/>
            <w:bCs/>
            <w:lang w:eastAsia="zh-CN"/>
          </w:rPr>
          <w:t>accessibilité des services de radiodiffusion pour les personnes handicapées</w:t>
        </w:r>
      </w:hyperlink>
      <w:r w:rsidRPr="00F05A8A">
        <w:t>,</w:t>
      </w:r>
      <w:r w:rsidRPr="00F05A8A">
        <w:rPr>
          <w:rFonts w:eastAsia="Calibri"/>
        </w:rPr>
        <w:t xml:space="preserve"> fait également partie intégrante des travaux de l'UIT en matière d'accessibilité.</w:t>
      </w:r>
    </w:p>
    <w:p w14:paraId="220111BE" w14:textId="77777777" w:rsidR="00D80461" w:rsidRPr="00F05A8A" w:rsidRDefault="00D80461" w:rsidP="002F075E">
      <w:pPr>
        <w:rPr>
          <w:rFonts w:eastAsia="Calibri"/>
          <w:u w:val="single"/>
        </w:rPr>
      </w:pPr>
      <w:r w:rsidRPr="00F05A8A">
        <w:rPr>
          <w:rFonts w:eastAsia="Calibri"/>
          <w:u w:val="single"/>
        </w:rPr>
        <w:t>Manifestations et possibilités d'appui à la mise en œuvre de l'accessibilité des TIC à l'échelle mondiale</w:t>
      </w:r>
    </w:p>
    <w:p w14:paraId="1E1257B4" w14:textId="77777777" w:rsidR="00D80461" w:rsidRPr="00F05A8A" w:rsidRDefault="00D80461" w:rsidP="002F075E">
      <w:pPr>
        <w:rPr>
          <w:rFonts w:cs="Segoe UI"/>
          <w:lang w:eastAsia="en-GB"/>
        </w:rPr>
      </w:pPr>
      <w:r w:rsidRPr="00F05A8A">
        <w:rPr>
          <w:rFonts w:eastAsia="Calibri" w:cs="Segoe UI"/>
          <w:szCs w:val="24"/>
          <w:lang w:eastAsia="en-GB"/>
        </w:rPr>
        <w:t xml:space="preserve">L'UIT a contribué à l'élaboration de la </w:t>
      </w:r>
      <w:hyperlink r:id="rId214" w:tgtFrame="_blank" w:history="1">
        <w:r w:rsidRPr="00F05A8A">
          <w:rPr>
            <w:rStyle w:val="Hyperlink"/>
            <w:rFonts w:eastAsia="Batang"/>
            <w:szCs w:val="24"/>
          </w:rPr>
          <w:t>Note pratique sur l'inclusion des personnes en situation de handicap − accessibilité des TIC/outils numériques</w:t>
        </w:r>
      </w:hyperlink>
      <w:r w:rsidRPr="00F05A8A">
        <w:rPr>
          <w:rFonts w:eastAsia="Calibri" w:cs="Segoe UI"/>
          <w:szCs w:val="24"/>
          <w:lang w:eastAsia="en-GB"/>
        </w:rPr>
        <w:t> et de ses </w:t>
      </w:r>
      <w:hyperlink r:id="rId215" w:tgtFrame="_blank" w:history="1">
        <w:r w:rsidRPr="00F05A8A">
          <w:rPr>
            <w:rStyle w:val="Hyperlink"/>
            <w:rFonts w:eastAsia="Batang"/>
            <w:szCs w:val="24"/>
          </w:rPr>
          <w:t>ressources additionnelles</w:t>
        </w:r>
        <w:r w:rsidRPr="00F05A8A">
          <w:rPr>
            <w:rFonts w:eastAsia="Batang"/>
          </w:rPr>
          <w:t>.</w:t>
        </w:r>
      </w:hyperlink>
      <w:r w:rsidRPr="00F05A8A">
        <w:rPr>
          <w:rFonts w:cs="Segoe UI"/>
          <w:lang w:eastAsia="en-GB"/>
        </w:rPr>
        <w:t xml:space="preserve"> L'UIT a participé au </w:t>
      </w:r>
      <w:hyperlink r:id="rId216" w:history="1">
        <w:r w:rsidRPr="00F05A8A">
          <w:rPr>
            <w:rStyle w:val="Hyperlink"/>
            <w:rFonts w:cs="Segoe UI"/>
            <w:lang w:eastAsia="en-GB"/>
          </w:rPr>
          <w:t>Sommet sur l'inclusion numérique − Veiller à ce que personne ne soit laissé de côté</w:t>
        </w:r>
      </w:hyperlink>
      <w:r w:rsidRPr="00F05A8A">
        <w:rPr>
          <w:rFonts w:cs="Segoe UI"/>
          <w:lang w:eastAsia="en-GB"/>
        </w:rPr>
        <w:t xml:space="preserve">, organisé </w:t>
      </w:r>
      <w:r w:rsidRPr="00F05A8A">
        <w:rPr>
          <w:rFonts w:eastAsia="Calibri"/>
          <w:color w:val="000000"/>
          <w:szCs w:val="24"/>
          <w:shd w:val="clear" w:color="auto" w:fill="FFFFFF"/>
        </w:rPr>
        <w:t xml:space="preserve">par le Centre international de formation en collaboration avec l'OIT (juillet 2021). </w:t>
      </w:r>
      <w:r w:rsidRPr="00F05A8A">
        <w:rPr>
          <w:rFonts w:eastAsia="Calibri"/>
        </w:rPr>
        <w:t xml:space="preserve">En 2019, la </w:t>
      </w:r>
      <w:hyperlink r:id="rId217" w:history="1">
        <w:r w:rsidRPr="00F05A8A">
          <w:rPr>
            <w:rStyle w:val="Hyperlink"/>
            <w:rFonts w:eastAsia="Calibri"/>
          </w:rPr>
          <w:t>Stratégie des Nations Unies pour l'inclusion du handicap</w:t>
        </w:r>
      </w:hyperlink>
      <w:r w:rsidRPr="00F05A8A">
        <w:rPr>
          <w:rFonts w:eastAsia="Calibri"/>
        </w:rPr>
        <w:t>, qui intègre des contributions significatives de l'UIT, a été adoptée. En 2020, l'UIT a préparé son rapport consacré à la mise en œuvre de la stratégie et a examiné sa Politique d'accessibilité en conséquence.</w:t>
      </w:r>
    </w:p>
    <w:p w14:paraId="40BB5847" w14:textId="77777777" w:rsidR="00D80461" w:rsidRPr="00F05A8A" w:rsidRDefault="00D80461" w:rsidP="002F075E">
      <w:pPr>
        <w:rPr>
          <w:rFonts w:eastAsia="Calibri"/>
          <w:szCs w:val="24"/>
          <w:shd w:val="clear" w:color="auto" w:fill="FFFFFF"/>
        </w:rPr>
      </w:pPr>
      <w:r w:rsidRPr="00F05A8A">
        <w:rPr>
          <w:rFonts w:eastAsia="Calibri"/>
          <w:szCs w:val="24"/>
          <w:shd w:val="clear" w:color="auto" w:fill="FFFFFF"/>
        </w:rPr>
        <w:t xml:space="preserve">L'UIT a contribué à la toute première </w:t>
      </w:r>
      <w:hyperlink r:id="rId218" w:history="1">
        <w:r w:rsidRPr="00F05A8A">
          <w:rPr>
            <w:rStyle w:val="Hyperlink"/>
            <w:rFonts w:eastAsia="Calibri"/>
            <w:szCs w:val="24"/>
            <w:shd w:val="clear" w:color="auto" w:fill="FFFFFF"/>
          </w:rPr>
          <w:t>Journée de la conception universelle</w:t>
        </w:r>
      </w:hyperlink>
      <w:r w:rsidRPr="00F05A8A">
        <w:rPr>
          <w:rFonts w:eastAsia="Calibri"/>
          <w:szCs w:val="24"/>
          <w:shd w:val="clear" w:color="auto" w:fill="FFFFFF"/>
        </w:rPr>
        <w:t>, organisée en 2021.</w:t>
      </w:r>
    </w:p>
    <w:p w14:paraId="6E3664FF" w14:textId="77777777" w:rsidR="00D80461" w:rsidRPr="00F05A8A" w:rsidRDefault="00D80461" w:rsidP="002F075E">
      <w:pPr>
        <w:rPr>
          <w:rFonts w:eastAsia="Calibri" w:cs="Segoe UI"/>
          <w:szCs w:val="24"/>
          <w:lang w:eastAsia="en-GB"/>
        </w:rPr>
      </w:pPr>
      <w:r w:rsidRPr="00F05A8A">
        <w:rPr>
          <w:rFonts w:eastAsia="Calibri" w:cs="Segoe UI"/>
          <w:szCs w:val="24"/>
          <w:lang w:eastAsia="en-GB"/>
        </w:rPr>
        <w:t xml:space="preserve">L'UIT a partagé ses compétences spécialisées en matière d'accessibilité des TIC et d'inclusion du handicap avec 131 représentants des Équipes de pays des Nations Unies lors de deux webinaires sur l'accessibilité des TIC et du numérique, qui se sont tenus de manière virtuelle en 2021. </w:t>
      </w:r>
    </w:p>
    <w:p w14:paraId="37CD763C" w14:textId="77777777" w:rsidR="00D80461" w:rsidRPr="00F05A8A" w:rsidRDefault="00D80461" w:rsidP="002F075E">
      <w:pPr>
        <w:rPr>
          <w:rFonts w:eastAsia="Calibri"/>
          <w:u w:val="single"/>
        </w:rPr>
      </w:pPr>
      <w:r w:rsidRPr="00F05A8A">
        <w:rPr>
          <w:rFonts w:eastAsia="Calibri"/>
          <w:u w:val="single"/>
        </w:rPr>
        <w:t>Faire de l'UIT une organisation plus accessible pour les personnes handicapées</w:t>
      </w:r>
    </w:p>
    <w:p w14:paraId="603DAF57" w14:textId="77777777" w:rsidR="00D80461" w:rsidRPr="00F05A8A" w:rsidRDefault="00D80461" w:rsidP="002F075E">
      <w:pPr>
        <w:rPr>
          <w:rFonts w:eastAsia="Calibri"/>
        </w:rPr>
      </w:pPr>
      <w:r w:rsidRPr="00F05A8A">
        <w:rPr>
          <w:rFonts w:eastAsia="Calibri"/>
        </w:rPr>
        <w:t>L'UIT continue de veiller à rester accessible pour les personnes handicapées, qu'il s'agisse de fonctionnaires, de délégués ou de membres du grand public.</w:t>
      </w:r>
    </w:p>
    <w:p w14:paraId="397C8AC0" w14:textId="77777777" w:rsidR="00D80461" w:rsidRPr="00F05A8A" w:rsidRDefault="00D80461" w:rsidP="002F075E">
      <w:pPr>
        <w:rPr>
          <w:rFonts w:eastAsia="Calibri"/>
        </w:rPr>
      </w:pPr>
      <w:r w:rsidRPr="00F05A8A">
        <w:rPr>
          <w:rFonts w:eastAsia="Calibri"/>
        </w:rPr>
        <w:lastRenderedPageBreak/>
        <w:t>Pour garantir l'accessibilité numérique de la structure et du contenu de l'intégralité des sites web, des vidéos, des publications, des documents numériques et des informations numériques de l'UIT, des formations sont en cours de préparation et auront lieu en février 2022.</w:t>
      </w:r>
    </w:p>
    <w:p w14:paraId="79E3C209" w14:textId="77777777" w:rsidR="00D80461" w:rsidRPr="00F05A8A" w:rsidRDefault="00D80461" w:rsidP="002F075E">
      <w:r w:rsidRPr="00F05A8A">
        <w:rPr>
          <w:rFonts w:eastAsia="Calibri"/>
        </w:rPr>
        <w:t>Pour rendre les manifestations de l'UIT pleinement accessibles, un appel d'offres pour la fourniture de services de sous-titrage en temps réel a été mené en novembre 2021. Des propositions des services de sous-titrage en français, en espagnol et en chinois ont été soumises.</w:t>
      </w:r>
    </w:p>
    <w:p w14:paraId="3197CEC1" w14:textId="77777777" w:rsidR="00D80461" w:rsidRPr="00F05A8A" w:rsidRDefault="00D80461" w:rsidP="002F075E">
      <w:r w:rsidRPr="00F05A8A">
        <w:t>En 2019, l'UIT a fourni des services de sous-titrage lors de manifestations et conférences majeures de l'Union ainsi que des services d'interprétation en langue des signes lors de certaines réunions de l'UIT-T portant sur les questions d'accessibilité, et a créé des sites web de l'UIT qui soient accessibles.</w:t>
      </w:r>
      <w:bookmarkEnd w:id="247"/>
      <w:r w:rsidRPr="00F05A8A">
        <w:t xml:space="preserve"> L'Union a aussi modifié la production interne afin de générer des publications accessibles dans les six langues officielles.</w:t>
      </w:r>
    </w:p>
    <w:p w14:paraId="27E382C7" w14:textId="77777777" w:rsidR="00D80461" w:rsidRPr="00F05A8A" w:rsidRDefault="00D80461" w:rsidP="002F075E">
      <w:pPr>
        <w:keepNext/>
        <w:keepLines/>
      </w:pPr>
      <w:r w:rsidRPr="00F05A8A">
        <w:rPr>
          <w:rFonts w:eastAsia="Calibri"/>
          <w:u w:val="single"/>
        </w:rPr>
        <w:t>COVID-19: Faire en sorte que les informations numériques soient accessibles à tous</w:t>
      </w:r>
    </w:p>
    <w:p w14:paraId="5E1CDCC4" w14:textId="77777777" w:rsidR="00D80461" w:rsidRPr="00F05A8A" w:rsidRDefault="00D80461" w:rsidP="002F075E">
      <w:pPr>
        <w:keepNext/>
        <w:keepLines/>
        <w:rPr>
          <w:color w:val="000000"/>
        </w:rPr>
      </w:pPr>
      <w:r w:rsidRPr="00F05A8A">
        <w:t xml:space="preserve">En mars 2020, l'UIT a publié des </w:t>
      </w:r>
      <w:hyperlink r:id="rId219" w:history="1">
        <w:r w:rsidRPr="00F05A8A">
          <w:rPr>
            <w:rStyle w:val="Hyperlink"/>
            <w:bCs/>
          </w:rPr>
          <w:t>Lignes directrices pour faire en sorte que les informations, les produits et les services numériques soient accessibles à tous en temps de COVID-19</w:t>
        </w:r>
      </w:hyperlink>
      <w:r w:rsidRPr="00F05A8A">
        <w:t xml:space="preserve"> sur diverses plates-formes numériques, dans les six langues officielles de l'ONU. Ces lignes directrices véhiculent des messages et des mesures concrètes visant à aider les décideurs et les responsables des communications à faire en sorte que les messages et les informations numériques d'importance vitale en rapport avec le COVID-19 soient accessibles à toutes les personnes, y compris aux personnes handicapées</w:t>
      </w:r>
      <w:r w:rsidRPr="00F05A8A">
        <w:rPr>
          <w:color w:val="000000"/>
        </w:rPr>
        <w:t xml:space="preserve">. </w:t>
      </w:r>
      <w:r w:rsidRPr="00F05A8A">
        <w:rPr>
          <w:rFonts w:eastAsia="Calibri"/>
        </w:rPr>
        <w:t>Ces lignes directrices de l'UIT ont été diffusées à l'échelle mondiale et traduites dans 22 langues, outre les langues officielles de l'ONU, d</w:t>
      </w:r>
      <w:r w:rsidRPr="00F05A8A">
        <w:t xml:space="preserve">ans le cadre </w:t>
      </w:r>
      <w:r w:rsidRPr="00F05A8A">
        <w:rPr>
          <w:color w:val="000000"/>
        </w:rPr>
        <w:t xml:space="preserve">du </w:t>
      </w:r>
      <w:r w:rsidRPr="00F05A8A">
        <w:rPr>
          <w:bCs/>
          <w:color w:val="000000"/>
        </w:rPr>
        <w:t>Groupe de travail d'urgence mixte des Nations Unies sur la lutte contre le COVID-19 et le relèvement concernant les axes de travail en matière de santé</w:t>
      </w:r>
      <w:r w:rsidRPr="00F05A8A">
        <w:rPr>
          <w:color w:val="000000"/>
        </w:rPr>
        <w:t>.</w:t>
      </w:r>
    </w:p>
    <w:p w14:paraId="144E2831" w14:textId="77777777" w:rsidR="00D80461" w:rsidRPr="00F05A8A" w:rsidRDefault="00D80461" w:rsidP="002F075E">
      <w:pPr>
        <w:rPr>
          <w:color w:val="000000"/>
        </w:rPr>
      </w:pPr>
      <w:r w:rsidRPr="00F05A8A">
        <w:rPr>
          <w:color w:val="000000"/>
        </w:rPr>
        <w:t xml:space="preserve">Pour faire en sorte que les personnes sourdes ou malentendantes ne soient pas exclues, l'UIT a établi des </w:t>
      </w:r>
      <w:hyperlink r:id="rId220" w:history="1">
        <w:r w:rsidRPr="00F05A8A">
          <w:rPr>
            <w:rStyle w:val="Hyperlink"/>
          </w:rPr>
          <w:t>Lignes directrices sur l'interprétation en langue des signes à distance et basée sur le web ou sur la visio-interprétation</w:t>
        </w:r>
      </w:hyperlink>
      <w:r w:rsidRPr="00F05A8A">
        <w:rPr>
          <w:color w:val="000000"/>
        </w:rPr>
        <w:t>.</w:t>
      </w:r>
    </w:p>
    <w:p w14:paraId="1568A33D" w14:textId="77777777" w:rsidR="00D80461" w:rsidRPr="00F05A8A" w:rsidRDefault="00D80461" w:rsidP="002F075E">
      <w:pPr>
        <w:pStyle w:val="Headingb"/>
        <w:tabs>
          <w:tab w:val="clear" w:pos="567"/>
        </w:tabs>
        <w:ind w:left="0" w:firstLine="0"/>
        <w:rPr>
          <w:sz w:val="22"/>
        </w:rPr>
      </w:pPr>
      <w:bookmarkStart w:id="248" w:name="_Toc95387488"/>
      <w:r w:rsidRPr="00F05A8A">
        <w:t>Renforcement des capacités des communautés autochtones par la technologie pour favoriser leur autonomie</w:t>
      </w:r>
      <w:bookmarkEnd w:id="248"/>
    </w:p>
    <w:p w14:paraId="6A4B20EB" w14:textId="77777777" w:rsidR="00D80461" w:rsidRPr="00F05A8A" w:rsidRDefault="00ED2695" w:rsidP="002F075E">
      <w:pPr>
        <w:rPr>
          <w:rFonts w:eastAsia="Calibri"/>
        </w:rPr>
      </w:pPr>
      <w:hyperlink r:id="rId221" w:history="1">
        <w:r w:rsidR="00D80461" w:rsidRPr="00F05A8A">
          <w:rPr>
            <w:rStyle w:val="Hyperlink"/>
            <w:rFonts w:eastAsia="Calibri"/>
          </w:rPr>
          <w:t>Les formations en renforcement des capacités à l'intention des communautés autochtones</w:t>
        </w:r>
      </w:hyperlink>
      <w:r w:rsidR="00D80461" w:rsidRPr="00F05A8A">
        <w:rPr>
          <w:rFonts w:eastAsia="Calibri"/>
        </w:rPr>
        <w:t xml:space="preserve"> ont permis d'autonomiser les populations et communautés autochtones par la technologie. Les formations sont adaptées à leurs besoins et à leurs intérêts et tiennent compte des aspects liés à la viabilité et au patrimoine culturel.</w:t>
      </w:r>
    </w:p>
    <w:p w14:paraId="5F3AB554" w14:textId="77777777" w:rsidR="00D80461" w:rsidRPr="00F05A8A" w:rsidRDefault="00D80461" w:rsidP="002F075E">
      <w:pPr>
        <w:rPr>
          <w:rFonts w:eastAsia="Calibri"/>
        </w:rPr>
      </w:pPr>
      <w:r w:rsidRPr="00F05A8A">
        <w:rPr>
          <w:rFonts w:eastAsia="Calibri"/>
        </w:rPr>
        <w:t xml:space="preserve">Le programme de formations a permis de former 70 personnes issues de communautés autochtones des pays suivants de la région Amériques: Argentine, Bolivie, Équateur, Honduras, Mexique et Pérou. Vingt et un ont suivi l'intégralité du programme. Trente pour cent des participants étaient des femmes autochtones. </w:t>
      </w:r>
    </w:p>
    <w:p w14:paraId="6A4B4F2D" w14:textId="77777777" w:rsidR="00D80461" w:rsidRPr="00F05A8A" w:rsidRDefault="00D80461" w:rsidP="002F075E">
      <w:pPr>
        <w:rPr>
          <w:rFonts w:eastAsia="Calibri"/>
        </w:rPr>
      </w:pPr>
      <w:r w:rsidRPr="00F05A8A">
        <w:rPr>
          <w:rFonts w:eastAsia="Calibri"/>
        </w:rPr>
        <w:t>La formation "Promoteurs techniques des communautés autochtones sur les télécommunications et la radiodiffusion" se déroule sur une année d'études et permet de former des professionnels des communautés autochtones à la maintenance de réseaux pour les communautés autochtones, de l'infrastructure à la fourniture de services de communication. Le module vise à perfectionner les compétences et à renforcer les capacités des professionnels pour leur permettre de contribuer au développement socio-économique de leurs communautés et d'assurer leur pérennité.</w:t>
      </w:r>
    </w:p>
    <w:p w14:paraId="66294E42" w14:textId="77777777" w:rsidR="00D80461" w:rsidRPr="00F05A8A" w:rsidRDefault="00D80461" w:rsidP="002F075E">
      <w:pPr>
        <w:keepNext/>
        <w:keepLines/>
        <w:rPr>
          <w:rFonts w:eastAsia="Calibri"/>
        </w:rPr>
      </w:pPr>
      <w:r w:rsidRPr="00F05A8A">
        <w:rPr>
          <w:rFonts w:eastAsia="Calibri"/>
        </w:rPr>
        <w:lastRenderedPageBreak/>
        <w:t>En 2021, une autre formation consacrée aux outils de communication innovants pour développer, gérer et exploiter un réseau de radiocommunication autochtone a été dispensée à 141 participants issus de communautés autochtones sur deux sessions. Parmi les pays représentés figuraient l'Argentine, la Bolivie, le Chili, la Colombie, le Costa Rica, l'Équateur, le Guatemala, le Mexique, le Panama, le Paraguay, le Pérou et le Venezuela. Trente pour cent des participants, dont 40,5% de femmes autochtones, ont suivi les cinq unités de la formation.</w:t>
      </w:r>
    </w:p>
    <w:p w14:paraId="59AC1CCE" w14:textId="77777777" w:rsidR="00D80461" w:rsidRPr="00F05A8A" w:rsidRDefault="00D80461" w:rsidP="002F075E">
      <w:pPr>
        <w:rPr>
          <w:rFonts w:eastAsia="Calibri"/>
        </w:rPr>
      </w:pPr>
      <w:r w:rsidRPr="00F05A8A">
        <w:rPr>
          <w:rFonts w:eastAsia="Calibri"/>
        </w:rPr>
        <w:t>L'UIT et l'UNESCO préparent des activités qui seront mise en œuvre lors du Forum de 2022 du SMSI et seront des contributions à la Décennie internationale des langues autochtones (2022</w:t>
      </w:r>
      <w:r w:rsidRPr="00F05A8A">
        <w:rPr>
          <w:rFonts w:eastAsia="Calibri"/>
        </w:rPr>
        <w:noBreakHyphen/>
        <w:t>2032).</w:t>
      </w:r>
    </w:p>
    <w:p w14:paraId="3AD9FB14" w14:textId="77777777" w:rsidR="00D80461" w:rsidRPr="00F05A8A" w:rsidRDefault="00D80461" w:rsidP="002F075E">
      <w:pPr>
        <w:pStyle w:val="Headingb"/>
        <w:tabs>
          <w:tab w:val="clear" w:pos="567"/>
        </w:tabs>
        <w:ind w:left="0" w:firstLine="0"/>
      </w:pPr>
      <w:bookmarkStart w:id="249" w:name="_Toc95387489"/>
      <w:r w:rsidRPr="00F05A8A">
        <w:rPr>
          <w:rFonts w:eastAsia="Calibri"/>
        </w:rPr>
        <w:t xml:space="preserve">Œuvrer en faveur de l'inclusion numérique des personnes âgées </w:t>
      </w:r>
      <w:r w:rsidRPr="00F05A8A">
        <w:t>– sensibiliser et créer des ressources</w:t>
      </w:r>
      <w:bookmarkEnd w:id="249"/>
    </w:p>
    <w:p w14:paraId="57820BDA" w14:textId="77777777" w:rsidR="00D80461" w:rsidRPr="00F05A8A" w:rsidRDefault="00D80461" w:rsidP="002F075E">
      <w:pPr>
        <w:keepNext/>
        <w:keepLines/>
        <w:rPr>
          <w:rFonts w:eastAsia="Calibri"/>
        </w:rPr>
      </w:pPr>
      <w:r w:rsidRPr="00F05A8A">
        <w:rPr>
          <w:rFonts w:eastAsia="Calibri"/>
        </w:rPr>
        <w:t xml:space="preserve">Pour la première fois, l'UIT a travaillé sur la question de l'inclusion numérique des personnes âgées en menant des activités de sensibilisation à cet égard, en mettant à profit les capacités des membres de l'UIT et des parties prenantes, en fournissant des lignes directrices stratégiques et de politique générale et en créant des ressources afin d'appuyer l'action menée à l'échelle mondiale pour relever ce défi socio-économique. </w:t>
      </w:r>
    </w:p>
    <w:p w14:paraId="330D7F04" w14:textId="77777777" w:rsidR="00D80461" w:rsidRPr="00F05A8A" w:rsidRDefault="00D80461" w:rsidP="002F075E">
      <w:pPr>
        <w:rPr>
          <w:rFonts w:eastAsia="Calibri"/>
          <w:u w:val="single"/>
        </w:rPr>
      </w:pPr>
      <w:r w:rsidRPr="00F05A8A">
        <w:rPr>
          <w:rFonts w:eastAsia="Calibri"/>
          <w:u w:val="single"/>
        </w:rPr>
        <w:t>Ressources à l'appui des personnes âgées dans le monde numérique</w:t>
      </w:r>
    </w:p>
    <w:p w14:paraId="27CE879C" w14:textId="77777777" w:rsidR="00D80461" w:rsidRPr="00F05A8A" w:rsidRDefault="00D80461" w:rsidP="002F075E">
      <w:pPr>
        <w:rPr>
          <w:rFonts w:eastAsia="Calibri"/>
        </w:rPr>
      </w:pPr>
      <w:r w:rsidRPr="00F05A8A">
        <w:t xml:space="preserve">Un </w:t>
      </w:r>
      <w:hyperlink r:id="rId222" w:history="1">
        <w:r w:rsidRPr="00F05A8A">
          <w:rPr>
            <w:rStyle w:val="Hyperlink"/>
            <w:rFonts w:eastAsia="Calibri"/>
          </w:rPr>
          <w:t>tutoriel vidéo</w:t>
        </w:r>
      </w:hyperlink>
      <w:r w:rsidRPr="00F05A8A">
        <w:rPr>
          <w:rFonts w:eastAsia="Calibri"/>
        </w:rPr>
        <w:t xml:space="preserve"> a été consacré à la question du vieillissement dans un monde numérique. Des sous-titres sont disponibles dans toutes les langues officielles de l'ONU.</w:t>
      </w:r>
    </w:p>
    <w:p w14:paraId="39352644" w14:textId="77777777" w:rsidR="00D80461" w:rsidRPr="00F05A8A" w:rsidRDefault="00D80461" w:rsidP="002F075E">
      <w:r w:rsidRPr="00F05A8A">
        <w:rPr>
          <w:color w:val="262626"/>
          <w:lang w:eastAsia="en-GB"/>
        </w:rPr>
        <w:t xml:space="preserve">L'UIT a publié le rapport </w:t>
      </w:r>
      <w:hyperlink r:id="rId223" w:history="1">
        <w:r w:rsidRPr="00F05A8A">
          <w:rPr>
            <w:rStyle w:val="Hyperlink"/>
            <w:lang w:eastAsia="en-GB"/>
          </w:rPr>
          <w:t>Vieillir dans un monde numérique – Ne plus être vulnérable, mais précieux</w:t>
        </w:r>
      </w:hyperlink>
      <w:r w:rsidRPr="00F05A8A">
        <w:t>.</w:t>
      </w:r>
    </w:p>
    <w:p w14:paraId="4709DA31" w14:textId="77777777" w:rsidR="00D80461" w:rsidRPr="00F05A8A" w:rsidRDefault="00D80461" w:rsidP="002F075E">
      <w:pPr>
        <w:rPr>
          <w:color w:val="262626"/>
          <w:lang w:eastAsia="en-GB"/>
        </w:rPr>
      </w:pPr>
      <w:r w:rsidRPr="00F05A8A">
        <w:rPr>
          <w:bCs/>
          <w:color w:val="262626"/>
          <w:lang w:eastAsia="en-GB"/>
        </w:rPr>
        <w:t>La formation en ligne adaptée au rythme de chacun</w:t>
      </w:r>
      <w:r w:rsidRPr="00F05A8A">
        <w:rPr>
          <w:b/>
          <w:bCs/>
          <w:color w:val="262626"/>
          <w:lang w:eastAsia="en-GB"/>
        </w:rPr>
        <w:t xml:space="preserve"> </w:t>
      </w:r>
      <w:hyperlink r:id="rId224" w:history="1">
        <w:r w:rsidRPr="00F05A8A">
          <w:rPr>
            <w:rStyle w:val="Hyperlink"/>
            <w:rFonts w:eastAsia="Calibri"/>
          </w:rPr>
          <w:t>Mieux vieillir et améliorer son quotidien grâce aux TIC à l'ère du numérique</w:t>
        </w:r>
      </w:hyperlink>
      <w:r w:rsidRPr="00F05A8A">
        <w:rPr>
          <w:color w:val="262626"/>
          <w:lang w:eastAsia="en-GB"/>
        </w:rPr>
        <w:t>, proposée par l'Académie de l'UIT, est disponible en anglais, en français et en espagnol. Elle traite des politiques, stratégies et bonnes pratiques locales relatives à l'inclusion numérique.</w:t>
      </w:r>
    </w:p>
    <w:p w14:paraId="60045B52" w14:textId="77777777" w:rsidR="00D80461" w:rsidRPr="00F05A8A" w:rsidRDefault="00D80461" w:rsidP="002F075E">
      <w:pPr>
        <w:rPr>
          <w:u w:val="single"/>
          <w:lang w:eastAsia="en-GB"/>
        </w:rPr>
      </w:pPr>
      <w:r w:rsidRPr="00F05A8A">
        <w:rPr>
          <w:u w:val="single"/>
          <w:lang w:eastAsia="en-GB"/>
        </w:rPr>
        <w:t xml:space="preserve">Contribution de l'UIT aux travaux des Nations Unies </w:t>
      </w:r>
    </w:p>
    <w:p w14:paraId="22304A9B" w14:textId="77777777" w:rsidR="00D80461" w:rsidRPr="00F05A8A" w:rsidRDefault="00D80461" w:rsidP="002F075E">
      <w:pPr>
        <w:pStyle w:val="enumlev1"/>
        <w:rPr>
          <w:rFonts w:eastAsia="PMingLiU"/>
          <w:color w:val="262626"/>
          <w:lang w:eastAsia="zh-TW"/>
        </w:rPr>
      </w:pPr>
      <w:r w:rsidRPr="00F05A8A">
        <w:t>•</w:t>
      </w:r>
      <w:r w:rsidRPr="00F05A8A">
        <w:tab/>
      </w:r>
      <w:hyperlink r:id="rId225" w:history="1">
        <w:r w:rsidRPr="00F05A8A">
          <w:rPr>
            <w:rStyle w:val="Hyperlink"/>
            <w:rFonts w:eastAsia="PMingLiU"/>
          </w:rPr>
          <w:t>La note de sensibilisation sur l'isolement social et le sentiment de solitude chez les personnes âgées</w:t>
        </w:r>
      </w:hyperlink>
      <w:r w:rsidRPr="00F05A8A">
        <w:rPr>
          <w:rFonts w:eastAsia="PMingLiU"/>
          <w:color w:val="262626"/>
          <w:lang w:eastAsia="zh-TW"/>
        </w:rPr>
        <w:t xml:space="preserve"> met l'accent sur la préoccupation politique et de santé publique croissante suscitée par ces questions, qui ont pris encore plus d'importance du fait de la pandémie de COVID-19. L'UIT a contribué à l'élaboration de cette note de l'OMS et d'ONU Femmes.</w:t>
      </w:r>
    </w:p>
    <w:p w14:paraId="31AAF2C7" w14:textId="77777777" w:rsidR="00D80461" w:rsidRPr="00F05A8A" w:rsidRDefault="00D80461" w:rsidP="002F075E">
      <w:pPr>
        <w:pStyle w:val="enumlev1"/>
        <w:rPr>
          <w:color w:val="262626"/>
          <w:lang w:eastAsia="en-GB"/>
        </w:rPr>
      </w:pPr>
      <w:r w:rsidRPr="00F05A8A">
        <w:t>•</w:t>
      </w:r>
      <w:r w:rsidRPr="00F05A8A">
        <w:tab/>
      </w:r>
      <w:r w:rsidRPr="00F05A8A">
        <w:rPr>
          <w:color w:val="262626"/>
          <w:lang w:eastAsia="en-GB"/>
        </w:rPr>
        <w:t>L'UIT a contribué à la célébration de la Journée internationale des personnes âgées des Nations Unies de 2021 sur le thème "L'inclusion numérique pour tous les âges", organisée conjointement avec le DAES de l'ONU, le Bureau de l'Envoyé du Secrétaire général pour les technologies et le Comité des ONG sur le vieillissement.</w:t>
      </w:r>
    </w:p>
    <w:p w14:paraId="0630874D" w14:textId="77777777" w:rsidR="00D80461" w:rsidRPr="00F05A8A" w:rsidRDefault="00D80461" w:rsidP="002F075E">
      <w:pPr>
        <w:pStyle w:val="Heading2"/>
      </w:pPr>
      <w:bookmarkStart w:id="250" w:name="_Toc98513607"/>
      <w:bookmarkStart w:id="251" w:name="_Toc107466572"/>
      <w:r w:rsidRPr="00F05A8A">
        <w:t>1.8</w:t>
      </w:r>
      <w:r w:rsidRPr="00F05A8A">
        <w:tab/>
      </w:r>
      <w:bookmarkStart w:id="252" w:name="_1.8_Activités/mesures_liées"/>
      <w:bookmarkStart w:id="253" w:name="_Toc41032071"/>
      <w:bookmarkStart w:id="254" w:name="_Toc72846620"/>
      <w:bookmarkStart w:id="255" w:name="Section_1_8"/>
      <w:bookmarkEnd w:id="252"/>
      <w:r w:rsidRPr="00F05A8A">
        <w:t>Activités/mesures liées au COVID-19</w:t>
      </w:r>
      <w:bookmarkEnd w:id="250"/>
      <w:bookmarkEnd w:id="251"/>
      <w:bookmarkEnd w:id="253"/>
      <w:bookmarkEnd w:id="254"/>
    </w:p>
    <w:bookmarkEnd w:id="255"/>
    <w:p w14:paraId="560CC8CE" w14:textId="77777777" w:rsidR="0079251D" w:rsidRPr="00F05A8A" w:rsidRDefault="00D80461" w:rsidP="002F075E">
      <w:r w:rsidRPr="00F05A8A">
        <w:t xml:space="preserve">La pandémie de COVID-19 a plongé le monde dans une crise sans précédent. Des milliards de personnes sont désormais tributaires des TIC pour avoir accès à l'éducation, à la santé, au travail et aux biens et services essentiels. </w:t>
      </w:r>
      <w:r w:rsidRPr="00F05A8A">
        <w:rPr>
          <w:color w:val="000000"/>
        </w:rPr>
        <w:t>L</w:t>
      </w:r>
      <w:r w:rsidRPr="00F05A8A">
        <w:t xml:space="preserve">es TIC et les réseaux sociaux sont au premier plan, jouant un rôle moteur dans les interventions collectives qui sont mises en œuvre à l'échelle mondiale pour faire face à cette maladie. L'UIT a contribué à rassembler la communauté mondiale des TIC pour apporter une réponse renforcée, multilatérale, collective et numérique au moyen d'activités </w:t>
      </w:r>
      <w:r w:rsidR="0079251D" w:rsidRPr="00F05A8A">
        <w:br w:type="page"/>
      </w:r>
    </w:p>
    <w:p w14:paraId="0EC341A2" w14:textId="057E36E6" w:rsidR="00D80461" w:rsidRPr="00F05A8A" w:rsidRDefault="00D80461" w:rsidP="002F075E">
      <w:pPr>
        <w:rPr>
          <w:rFonts w:eastAsia="Calibri"/>
          <w:szCs w:val="24"/>
        </w:rPr>
      </w:pPr>
      <w:r w:rsidRPr="00F05A8A">
        <w:lastRenderedPageBreak/>
        <w:t>stratégiques, dont beaucoup sont brièvement présentées ci-dessous. Dans ses prises de parole publiques, le Secrétaire général de l'UIT n'a cessé de souligner l'importance des TIC dans la lutte contre le COVID-19</w:t>
      </w:r>
      <w:r w:rsidRPr="00F05A8A">
        <w:rPr>
          <w:rFonts w:eastAsia="Calibri"/>
          <w:szCs w:val="24"/>
        </w:rPr>
        <w:t xml:space="preserve">. </w:t>
      </w:r>
    </w:p>
    <w:p w14:paraId="73B9A137" w14:textId="77777777" w:rsidR="00D80461" w:rsidRPr="00F05A8A" w:rsidRDefault="00D80461" w:rsidP="002F075E">
      <w:r w:rsidRPr="00F05A8A">
        <w:rPr>
          <w:rFonts w:eastAsia="Calibri"/>
          <w:szCs w:val="24"/>
        </w:rPr>
        <w:t xml:space="preserve">Toutes les activités de l'UIT liées à l'épidémie de COVID-19, notamment les initiatives, manifestations, produits et partenariats, sont disponibles </w:t>
      </w:r>
      <w:hyperlink r:id="rId226" w:history="1">
        <w:r w:rsidRPr="00F05A8A">
          <w:rPr>
            <w:rStyle w:val="Hyperlink"/>
            <w:rFonts w:eastAsia="Calibri"/>
          </w:rPr>
          <w:t>ici</w:t>
        </w:r>
      </w:hyperlink>
      <w:r w:rsidRPr="00F05A8A">
        <w:rPr>
          <w:rFonts w:eastAsia="Calibri"/>
        </w:rPr>
        <w:t>.</w:t>
      </w:r>
    </w:p>
    <w:p w14:paraId="336AB21E" w14:textId="77777777" w:rsidR="00D80461" w:rsidRPr="00F05A8A" w:rsidRDefault="00D80461" w:rsidP="002F075E">
      <w:pPr>
        <w:pStyle w:val="Headingb"/>
        <w:rPr>
          <w:rFonts w:eastAsia="Calibri"/>
        </w:rPr>
      </w:pPr>
      <w:bookmarkStart w:id="256" w:name="_Toc95387491"/>
      <w:r w:rsidRPr="00F05A8A">
        <w:rPr>
          <w:rFonts w:eastAsia="Calibri"/>
        </w:rPr>
        <w:t>Assurer la résilience, la sécurité et la disponibilité des réseaux et des services</w:t>
      </w:r>
      <w:bookmarkEnd w:id="256"/>
    </w:p>
    <w:p w14:paraId="1F3FFB8C" w14:textId="77777777" w:rsidR="00D80461" w:rsidRPr="00F05A8A" w:rsidRDefault="00D80461" w:rsidP="002F075E">
      <w:pPr>
        <w:rPr>
          <w:rFonts w:eastAsia="Calibri"/>
          <w:color w:val="000000"/>
        </w:rPr>
      </w:pPr>
      <w:r w:rsidRPr="00F05A8A">
        <w:rPr>
          <w:rFonts w:eastAsia="Calibri"/>
          <w:color w:val="000000"/>
        </w:rPr>
        <w:t xml:space="preserve">La </w:t>
      </w:r>
      <w:hyperlink r:id="rId227" w:history="1">
        <w:r w:rsidRPr="00F05A8A">
          <w:rPr>
            <w:rStyle w:val="Hyperlink"/>
            <w:rFonts w:eastAsia="Calibri"/>
            <w:bCs/>
          </w:rPr>
          <w:t xml:space="preserve">Plate-forme mondiale pour la résilience des réseaux </w:t>
        </w:r>
        <w:r w:rsidRPr="00F05A8A">
          <w:rPr>
            <w:rStyle w:val="Hyperlink"/>
            <w:rFonts w:eastAsia="Calibri"/>
          </w:rPr>
          <w:t>(#REG4COVID)</w:t>
        </w:r>
      </w:hyperlink>
      <w:r w:rsidRPr="00F05A8A">
        <w:rPr>
          <w:rFonts w:eastAsia="Calibri"/>
          <w:color w:val="000000"/>
        </w:rPr>
        <w:t xml:space="preserve"> aide</w:t>
      </w:r>
      <w:r w:rsidRPr="00F05A8A">
        <w:t xml:space="preserve"> </w:t>
      </w:r>
      <w:r w:rsidRPr="00F05A8A">
        <w:rPr>
          <w:rFonts w:eastAsia="Calibri"/>
          <w:color w:val="000000"/>
        </w:rPr>
        <w:t xml:space="preserve">les décideurs, les régulateurs et les parties prenantes du secteur à garantir la résilience, la fiabilité et la disponibilité des réseaux et des services pour tous. On retrouve sur la plate-forme les mesures réglementaires prises pour gérer l'encombrement des réseaux et la continuité des services dans les domaines de la santé, de l'éducation, des finances, de l'administration publique et des activités sociales, ainsi que les effets de ces mesures. La plate-forme a en outre permis de recenser les nouvelles politiques mises en place en vue du relèvement post-COVID-19. </w:t>
      </w:r>
    </w:p>
    <w:p w14:paraId="74A1EABF" w14:textId="77777777" w:rsidR="00D80461" w:rsidRPr="00F05A8A" w:rsidRDefault="00D80461" w:rsidP="002F075E">
      <w:pPr>
        <w:shd w:val="clear" w:color="auto" w:fill="FFFFFF"/>
        <w:spacing w:after="120"/>
        <w:jc w:val="both"/>
        <w:rPr>
          <w:rFonts w:eastAsia="Calibri"/>
          <w:color w:val="000000"/>
        </w:rPr>
      </w:pPr>
      <w:r w:rsidRPr="00F05A8A">
        <w:rPr>
          <w:rFonts w:eastAsia="Calibri"/>
          <w:color w:val="000000"/>
        </w:rPr>
        <w:t>Un aperçu des principales initiatives est disponible à l'adresse suivante</w:t>
      </w:r>
      <w:r w:rsidRPr="00F05A8A">
        <w:rPr>
          <w:rFonts w:eastAsia="Calibri"/>
          <w:szCs w:val="24"/>
        </w:rPr>
        <w:t>:</w:t>
      </w:r>
      <w:r w:rsidRPr="00F05A8A">
        <w:t xml:space="preserve"> </w:t>
      </w:r>
      <w:hyperlink r:id="rId228" w:history="1">
        <w:r w:rsidRPr="00F05A8A">
          <w:rPr>
            <w:rStyle w:val="Hyperlink"/>
            <w:bCs/>
            <w:spacing w:val="-2"/>
            <w:szCs w:val="24"/>
          </w:rPr>
          <w:t>https://www.itu.int/en/ITU-D/Regulatory-Market/Documents/REG4COVID/2020/Summary_Key_Covid19_Initiatives.pdf</w:t>
        </w:r>
      </w:hyperlink>
    </w:p>
    <w:p w14:paraId="02B786C5" w14:textId="77777777" w:rsidR="00D80461" w:rsidRPr="00F05A8A" w:rsidRDefault="00D80461" w:rsidP="002F075E">
      <w:pPr>
        <w:shd w:val="clear" w:color="auto" w:fill="FFFFFF"/>
        <w:rPr>
          <w:rFonts w:eastAsia="Calibri"/>
          <w:szCs w:val="24"/>
        </w:rPr>
      </w:pPr>
      <w:r w:rsidRPr="00F05A8A">
        <w:rPr>
          <w:rFonts w:eastAsia="Calibri"/>
          <w:szCs w:val="24"/>
        </w:rPr>
        <w:t>L'analyse et les enseignements tirés sont disponibles ici:</w:t>
      </w:r>
    </w:p>
    <w:p w14:paraId="55B9DDE6" w14:textId="77777777" w:rsidR="00D80461" w:rsidRPr="00F05A8A" w:rsidRDefault="00D80461" w:rsidP="002F075E">
      <w:pPr>
        <w:pStyle w:val="enumlev1"/>
      </w:pPr>
      <w:r w:rsidRPr="00F05A8A">
        <w:t>i)</w:t>
      </w:r>
      <w:r w:rsidRPr="00F05A8A">
        <w:tab/>
      </w:r>
      <w:hyperlink r:id="rId229" w:history="1">
        <w:r w:rsidRPr="00F05A8A">
          <w:rPr>
            <w:rStyle w:val="Hyperlink"/>
            <w:bCs/>
            <w:spacing w:val="-2"/>
            <w:szCs w:val="24"/>
            <w:lang w:eastAsia="zh-TW"/>
          </w:rPr>
          <w:t>https://reg4covid.itu.int/wp-content/uploads/2020/06/ITU_COVID-19_and_Telecom-ICT.pdf</w:t>
        </w:r>
      </w:hyperlink>
    </w:p>
    <w:p w14:paraId="5682B272" w14:textId="77777777" w:rsidR="00D80461" w:rsidRPr="00F05A8A" w:rsidRDefault="00D80461" w:rsidP="002F075E">
      <w:pPr>
        <w:pStyle w:val="enumlev1"/>
        <w:rPr>
          <w:rFonts w:eastAsia="Calibri"/>
          <w:color w:val="000000"/>
          <w:szCs w:val="22"/>
        </w:rPr>
      </w:pPr>
      <w:r w:rsidRPr="00F05A8A">
        <w:t>ii)</w:t>
      </w:r>
      <w:r w:rsidRPr="00F05A8A">
        <w:tab/>
      </w:r>
      <w:hyperlink r:id="rId230" w:history="1">
        <w:r w:rsidRPr="00F05A8A">
          <w:rPr>
            <w:rStyle w:val="Hyperlink"/>
            <w:bCs/>
            <w:szCs w:val="24"/>
            <w:lang w:eastAsia="zh-TW"/>
          </w:rPr>
          <w:t>https://reg4covid.itu.int/wp-content/uploads/2020/05/ICTsector-response.jpg</w:t>
        </w:r>
      </w:hyperlink>
    </w:p>
    <w:p w14:paraId="6F04B3DA" w14:textId="77777777" w:rsidR="00D80461" w:rsidRPr="00F05A8A" w:rsidRDefault="00D80461" w:rsidP="002F075E">
      <w:pPr>
        <w:pStyle w:val="Headingb"/>
        <w:rPr>
          <w:rFonts w:eastAsia="Calibri"/>
        </w:rPr>
      </w:pPr>
      <w:bookmarkStart w:id="257" w:name="_Toc95387492"/>
      <w:r w:rsidRPr="00F05A8A">
        <w:rPr>
          <w:rFonts w:eastAsia="Calibri"/>
        </w:rPr>
        <w:t>Consolider les réseaux et les capacités aux points de connectivité essentiels</w:t>
      </w:r>
      <w:bookmarkEnd w:id="257"/>
    </w:p>
    <w:p w14:paraId="22749660" w14:textId="77777777" w:rsidR="00D80461" w:rsidRPr="00F05A8A" w:rsidRDefault="00D80461" w:rsidP="002F075E">
      <w:pPr>
        <w:spacing w:after="120"/>
        <w:rPr>
          <w:rFonts w:eastAsia="Calibri"/>
        </w:rPr>
      </w:pPr>
      <w:r w:rsidRPr="00F05A8A">
        <w:rPr>
          <w:rFonts w:eastAsia="Calibri"/>
        </w:rPr>
        <w:t xml:space="preserve">Le </w:t>
      </w:r>
      <w:hyperlink r:id="rId231" w:history="1">
        <w:r w:rsidRPr="00F05A8A">
          <w:rPr>
            <w:rStyle w:val="Hyperlink"/>
            <w:spacing w:val="-2"/>
            <w:szCs w:val="24"/>
            <w:lang w:eastAsia="zh-TW"/>
          </w:rPr>
          <w:t>Programme d'action de la Commission sur le large bande</w:t>
        </w:r>
      </w:hyperlink>
      <w:r w:rsidRPr="00F05A8A">
        <w:rPr>
          <w:rFonts w:eastAsia="Calibri"/>
        </w:rPr>
        <w:t xml:space="preserve"> définit des mesures à court et moyen terme pour les gouvernements, les entreprises, la communauté internationale et la société civile, afin de consolider les réseaux numériques, renforcer les capacités aux points de connectivité essentiels tels que les hôpitaux et les centres de transport, et améliorer l'accès et l'inclusion numériques. </w:t>
      </w:r>
    </w:p>
    <w:p w14:paraId="6DB9B52B" w14:textId="77777777" w:rsidR="00D80461" w:rsidRPr="00F05A8A" w:rsidRDefault="00D80461" w:rsidP="002F075E">
      <w:pPr>
        <w:pStyle w:val="Headingb"/>
        <w:rPr>
          <w:rFonts w:eastAsia="Calibri"/>
        </w:rPr>
      </w:pPr>
      <w:bookmarkStart w:id="258" w:name="_Toc95387493"/>
      <w:r w:rsidRPr="00F05A8A">
        <w:rPr>
          <w:rFonts w:eastAsia="Calibri"/>
        </w:rPr>
        <w:t>Rassembler les communautés pour faire face au COVID-19</w:t>
      </w:r>
      <w:bookmarkEnd w:id="258"/>
    </w:p>
    <w:p w14:paraId="086819BA" w14:textId="77777777" w:rsidR="00D80461" w:rsidRPr="00F05A8A" w:rsidRDefault="00D80461" w:rsidP="002F075E">
      <w:pPr>
        <w:keepNext/>
        <w:keepLines/>
        <w:rPr>
          <w:rFonts w:eastAsia="Calibri"/>
        </w:rPr>
      </w:pPr>
      <w:r w:rsidRPr="00F05A8A">
        <w:rPr>
          <w:rFonts w:eastAsia="Calibri"/>
        </w:rPr>
        <w:t>Les discussions avec la Banque mondiale, la GSMA et le Forum économique mondial ont permis de déterminer comment rassembler les communautés afin d'aider les membres de l'UIT à lutter contre le COVID-19. Dans le cadre de l'initiative "Speedboat", un document intitulé "</w:t>
      </w:r>
      <w:hyperlink r:id="rId232" w:history="1">
        <w:r w:rsidRPr="00F05A8A">
          <w:rPr>
            <w:rStyle w:val="Hyperlink"/>
            <w:rFonts w:eastAsia="Calibri"/>
          </w:rPr>
          <w:t>Faire face à la crise liée au COVID-19: Plan d'action conjoint et appel à l'action pour le développement du numérique</w:t>
        </w:r>
      </w:hyperlink>
      <w:r w:rsidRPr="00F05A8A">
        <w:rPr>
          <w:rFonts w:eastAsia="Calibri"/>
        </w:rPr>
        <w:t>" a été publié pour mieux tirer parti des technologies et infrastructures numériques afin de soutenir les citoyens, les gouvernements et les entreprises pendant la pandémie.</w:t>
      </w:r>
    </w:p>
    <w:p w14:paraId="1CAFA5A7" w14:textId="77777777" w:rsidR="00D80461" w:rsidRPr="00F05A8A" w:rsidRDefault="00D80461" w:rsidP="002F075E">
      <w:pPr>
        <w:pStyle w:val="Headingb"/>
        <w:rPr>
          <w:rFonts w:ascii="Segoe UI" w:hAnsi="Segoe UI" w:cs="Segoe UI"/>
          <w:color w:val="000000"/>
          <w:sz w:val="20"/>
          <w:shd w:val="clear" w:color="auto" w:fill="FFFFFF"/>
        </w:rPr>
      </w:pPr>
      <w:bookmarkStart w:id="259" w:name="_Toc95387494"/>
      <w:r w:rsidRPr="00F05A8A">
        <w:rPr>
          <w:rFonts w:eastAsia="Calibri"/>
        </w:rPr>
        <w:t xml:space="preserve">Fournir un accès stable et </w:t>
      </w:r>
      <w:r w:rsidRPr="00F05A8A">
        <w:rPr>
          <w:rFonts w:ascii="Segoe UI" w:hAnsi="Segoe UI" w:cs="Segoe UI"/>
          <w:color w:val="000000"/>
          <w:sz w:val="20"/>
          <w:shd w:val="clear" w:color="auto" w:fill="FFFFFF"/>
        </w:rPr>
        <w:t>financièrement abordable à ceux qui ne sont pas connectés</w:t>
      </w:r>
      <w:bookmarkEnd w:id="259"/>
    </w:p>
    <w:p w14:paraId="1972AA2C" w14:textId="77777777" w:rsidR="00D80461" w:rsidRPr="00F05A8A" w:rsidRDefault="00D80461" w:rsidP="002F075E">
      <w:pPr>
        <w:rPr>
          <w:rFonts w:eastAsia="Calibri"/>
        </w:rPr>
      </w:pPr>
      <w:r w:rsidRPr="00F05A8A">
        <w:rPr>
          <w:rFonts w:eastAsia="Calibri"/>
          <w:color w:val="000000"/>
        </w:rPr>
        <w:t xml:space="preserve">La </w:t>
      </w:r>
      <w:hyperlink r:id="rId233" w:history="1">
        <w:r w:rsidRPr="00F05A8A">
          <w:rPr>
            <w:rStyle w:val="Hyperlink"/>
            <w:rFonts w:eastAsia="Calibri"/>
            <w:bCs/>
          </w:rPr>
          <w:t>série de webinaires sur "La coopération numérique pendant la pandémie de COVID-19 et après"</w:t>
        </w:r>
      </w:hyperlink>
      <w:r w:rsidRPr="00F05A8A">
        <w:rPr>
          <w:rFonts w:eastAsia="Calibri"/>
          <w:color w:val="000000"/>
        </w:rPr>
        <w:t xml:space="preserve"> a permis d'évaluer la connectivité dans différentes régions et d'identifier des mesures visant à proposer un accès stable et financièrement abordable aux personnes qui ne sont pas connectées. Les thèmes abordés comprennent les bonnes pratiques en matière de connectivité relatives aux initiatives liées au COVID-19; la diffusion de fausses informations et la désinformation; la sécurité en ligne; la santé publique, la riposte numérique et les droits de l'homme</w:t>
      </w:r>
      <w:r w:rsidRPr="00F05A8A">
        <w:rPr>
          <w:rFonts w:eastAsia="Calibri"/>
        </w:rPr>
        <w:t>.</w:t>
      </w:r>
    </w:p>
    <w:p w14:paraId="092E7827" w14:textId="77777777" w:rsidR="0079251D" w:rsidRPr="00F05A8A" w:rsidRDefault="0079251D" w:rsidP="002F075E">
      <w:pPr>
        <w:pStyle w:val="Headingb"/>
        <w:rPr>
          <w:rFonts w:eastAsia="Calibri"/>
        </w:rPr>
      </w:pPr>
      <w:r w:rsidRPr="00F05A8A">
        <w:rPr>
          <w:rFonts w:eastAsia="Calibri"/>
        </w:rPr>
        <w:br w:type="page"/>
      </w:r>
    </w:p>
    <w:p w14:paraId="5EF71DCB" w14:textId="306E0E7C" w:rsidR="00D80461" w:rsidRPr="00F05A8A" w:rsidRDefault="00D80461" w:rsidP="002F075E">
      <w:pPr>
        <w:pStyle w:val="Headingb"/>
        <w:rPr>
          <w:rFonts w:eastAsia="Calibri"/>
        </w:rPr>
      </w:pPr>
      <w:r w:rsidRPr="00F05A8A">
        <w:rPr>
          <w:rFonts w:eastAsia="Calibri"/>
        </w:rPr>
        <w:lastRenderedPageBreak/>
        <w:t>Certificats COVID numériques</w:t>
      </w:r>
    </w:p>
    <w:p w14:paraId="493EDD59" w14:textId="77777777" w:rsidR="00D80461" w:rsidRPr="00F05A8A" w:rsidRDefault="00D80461" w:rsidP="002F075E">
      <w:pPr>
        <w:rPr>
          <w:rFonts w:eastAsia="Calibri"/>
          <w:b/>
          <w:color w:val="000000"/>
        </w:rPr>
      </w:pPr>
      <w:r w:rsidRPr="00F05A8A">
        <w:rPr>
          <w:rFonts w:eastAsia="Calibri"/>
        </w:rPr>
        <w:t xml:space="preserve">Une </w:t>
      </w:r>
      <w:hyperlink r:id="rId234" w:history="1">
        <w:r w:rsidRPr="00F05A8A">
          <w:rPr>
            <w:rStyle w:val="Hyperlink"/>
            <w:rFonts w:eastAsia="Calibri"/>
          </w:rPr>
          <w:t>Activité conjointe de coordination sur les certificats COVID numériques</w:t>
        </w:r>
      </w:hyperlink>
      <w:r w:rsidRPr="00F05A8A">
        <w:rPr>
          <w:rFonts w:eastAsia="Calibri"/>
        </w:rPr>
        <w:t xml:space="preserve"> (JCA-DCC) coordonne les travaux de normalisation dans le domaine des certificats COVID numériques menés par les commissions d'études de l'UIT-T concernées et les organisations et forums externes, dans le but de promouvoir l'utilisation d'architectures de données compatibles pour partager les données et favoriser l'interopérabilité, la souplesse et la sécurité au service des utilisateurs et de toutes les parties prenantes concernées.</w:t>
      </w:r>
    </w:p>
    <w:p w14:paraId="0BBE68B1" w14:textId="77777777" w:rsidR="00D80461" w:rsidRPr="00F05A8A" w:rsidRDefault="00D80461" w:rsidP="002F075E">
      <w:pPr>
        <w:pStyle w:val="Headingb"/>
        <w:rPr>
          <w:rFonts w:eastAsia="Calibri"/>
        </w:rPr>
      </w:pPr>
      <w:bookmarkStart w:id="260" w:name="_Toc95387495"/>
      <w:r w:rsidRPr="00F05A8A">
        <w:rPr>
          <w:rFonts w:eastAsia="Calibri"/>
        </w:rPr>
        <w:t>Renforcer les infrastructures numériques nationales afin d'éviter la propagation de la maladie</w:t>
      </w:r>
      <w:bookmarkEnd w:id="260"/>
    </w:p>
    <w:p w14:paraId="22C2FB1C" w14:textId="77777777" w:rsidR="00D80461" w:rsidRPr="00F05A8A" w:rsidRDefault="00D80461" w:rsidP="002F075E">
      <w:pPr>
        <w:keepNext/>
        <w:keepLines/>
        <w:rPr>
          <w:rFonts w:eastAsia="Calibri"/>
          <w:color w:val="000000"/>
        </w:rPr>
      </w:pPr>
      <w:r w:rsidRPr="00F05A8A">
        <w:t xml:space="preserve">L'initiative </w:t>
      </w:r>
      <w:hyperlink r:id="rId235" w:history="1">
        <w:r w:rsidRPr="00F05A8A">
          <w:rPr>
            <w:rStyle w:val="Hyperlink"/>
            <w:rFonts w:eastAsia="Calibri"/>
          </w:rPr>
          <w:t>Connect2Recover</w:t>
        </w:r>
      </w:hyperlink>
      <w:r w:rsidRPr="00F05A8A">
        <w:rPr>
          <w:rFonts w:eastAsia="Calibri"/>
          <w:color w:val="000000"/>
        </w:rPr>
        <w:t xml:space="preserve"> fournit une assistance au niveau des pays afin de renforcer les infrastructures numériques, en utilisant le télétravail, le commerce électronique, l'apprentissage à distance et la télémédecine pour prévenir la propagation du COVID-19 et appuyer le rétablissement ainsi que la préparation à des pandémies qui pourraient survenir à l'avenir. L'UIT a collaboré avec le Gouvernement du Japon et le Royaume d'Arabie saoudite sur cette initiative</w:t>
      </w:r>
      <w:r w:rsidRPr="00F05A8A">
        <w:rPr>
          <w:rFonts w:eastAsia="Calibri"/>
          <w:color w:val="000000"/>
          <w:szCs w:val="24"/>
        </w:rPr>
        <w:t>.</w:t>
      </w:r>
    </w:p>
    <w:p w14:paraId="2D282C7A" w14:textId="77777777" w:rsidR="00D80461" w:rsidRPr="00F05A8A" w:rsidRDefault="00D80461" w:rsidP="002F075E">
      <w:pPr>
        <w:pStyle w:val="Headingb"/>
        <w:rPr>
          <w:rFonts w:eastAsia="Calibri"/>
          <w:szCs w:val="22"/>
        </w:rPr>
      </w:pPr>
      <w:bookmarkStart w:id="261" w:name="_Toc95387496"/>
      <w:r w:rsidRPr="00F05A8A">
        <w:rPr>
          <w:rFonts w:eastAsia="Calibri"/>
        </w:rPr>
        <w:t>Accélérer la connectivité numérique dans le contexte du COVID-19</w:t>
      </w:r>
      <w:bookmarkEnd w:id="261"/>
      <w:r w:rsidRPr="00F05A8A">
        <w:rPr>
          <w:rFonts w:eastAsia="Calibri"/>
        </w:rPr>
        <w:t xml:space="preserve"> </w:t>
      </w:r>
    </w:p>
    <w:p w14:paraId="793F0CD9" w14:textId="77777777" w:rsidR="00D80461" w:rsidRPr="00F05A8A" w:rsidRDefault="00D80461" w:rsidP="002F075E">
      <w:pPr>
        <w:rPr>
          <w:rFonts w:eastAsia="Calibri"/>
          <w:szCs w:val="24"/>
        </w:rPr>
      </w:pPr>
      <w:r w:rsidRPr="00F05A8A">
        <w:rPr>
          <w:rFonts w:eastAsia="Calibri"/>
          <w:szCs w:val="24"/>
        </w:rPr>
        <w:t xml:space="preserve">Dans le cadre du Forum mondial sur la gouvernance, qui a eu lieu à l'occasion du 75ème anniversaire de l'ONU, l'UIT a défini, avec l'Association pour l'Europe, le Moyen-Orient et l'Afrique des opérateurs de satellites, Facebook, la GSMA, Loon, Microsoft, SpaceX, le Pacte mondial des Nations Unies, l'UNICEF et le Forum économique mondial, des mesures concrètes visant à </w:t>
      </w:r>
      <w:hyperlink r:id="rId236" w:history="1">
        <w:r w:rsidRPr="00F05A8A">
          <w:rPr>
            <w:rStyle w:val="Hyperlink"/>
            <w:rFonts w:eastAsia="Calibri"/>
            <w:szCs w:val="24"/>
          </w:rPr>
          <w:t>renforcer la connectivité numérique dans le contexte du COVID-19</w:t>
        </w:r>
      </w:hyperlink>
      <w:r w:rsidRPr="00F05A8A">
        <w:rPr>
          <w:rFonts w:eastAsia="Calibri"/>
          <w:szCs w:val="24"/>
        </w:rPr>
        <w:t>.</w:t>
      </w:r>
    </w:p>
    <w:p w14:paraId="02DCDA72" w14:textId="77777777" w:rsidR="00D80461" w:rsidRPr="00F05A8A" w:rsidRDefault="00D80461" w:rsidP="002F075E">
      <w:pPr>
        <w:pStyle w:val="Headingb"/>
        <w:rPr>
          <w:rFonts w:eastAsia="Calibri"/>
        </w:rPr>
      </w:pPr>
      <w:bookmarkStart w:id="262" w:name="_Toc95387497"/>
      <w:r w:rsidRPr="00F05A8A">
        <w:rPr>
          <w:rFonts w:eastAsia="Calibri"/>
        </w:rPr>
        <w:t>Envoyer des informations sanitaires essentielles à des millions de personnes à travers le monde</w:t>
      </w:r>
      <w:bookmarkEnd w:id="262"/>
    </w:p>
    <w:p w14:paraId="6DB4F365" w14:textId="77777777" w:rsidR="00D80461" w:rsidRPr="00F05A8A" w:rsidRDefault="00D80461" w:rsidP="002F075E">
      <w:pPr>
        <w:rPr>
          <w:rFonts w:eastAsia="Calibri"/>
          <w:color w:val="000000"/>
        </w:rPr>
      </w:pPr>
      <w:r w:rsidRPr="00F05A8A">
        <w:rPr>
          <w:rFonts w:eastAsia="Calibri"/>
          <w:color w:val="000000"/>
        </w:rPr>
        <w:t xml:space="preserve">L'UIT, en collaboration avec l'Organisation mondiale de la santé et avec l'appui de l'UNICEF (dans le cadre de l'initiative the </w:t>
      </w:r>
      <w:hyperlink r:id="rId237" w:history="1">
        <w:r w:rsidRPr="00F05A8A">
          <w:rPr>
            <w:rStyle w:val="Hyperlink"/>
            <w:rFonts w:eastAsia="Calibri"/>
          </w:rPr>
          <w:t>Be Healthy, Be Mobile</w:t>
        </w:r>
      </w:hyperlink>
      <w:r w:rsidRPr="00F05A8A">
        <w:rPr>
          <w:rFonts w:eastAsia="Calibri"/>
          <w:color w:val="000000"/>
        </w:rPr>
        <w:t xml:space="preserve"> (La mobilité, c'est la santé)), a travaillé avec des entreprises de télécommunication pour envoyer aux particuliers, sur leur téléphone portable, des messages contenant des informations sanitaires essentielles, afin de les aider à se protéger face au COVID-19, ce qui a permis de s'adresser à des millions de personnes qui ne sont pas en mesure de se connecter à l'Internet</w:t>
      </w:r>
      <w:r w:rsidRPr="00F05A8A">
        <w:rPr>
          <w:rFonts w:eastAsia="Calibri"/>
        </w:rPr>
        <w:t>.</w:t>
      </w:r>
    </w:p>
    <w:p w14:paraId="51EA5B6F" w14:textId="77777777" w:rsidR="00D80461" w:rsidRPr="00F05A8A" w:rsidRDefault="00D80461" w:rsidP="002F075E">
      <w:pPr>
        <w:rPr>
          <w:rFonts w:eastAsia="Calibri"/>
          <w:color w:val="000000"/>
        </w:rPr>
      </w:pPr>
      <w:r w:rsidRPr="00F05A8A">
        <w:rPr>
          <w:rFonts w:eastAsia="Calibri"/>
          <w:color w:val="000000"/>
        </w:rPr>
        <w:t xml:space="preserve">En Tunisie, les plates-formes de santé sur mobile existantes ont été utilisées pour envoyer des messages sur le COVID-19 à quelque 10 millions de Tunisiens. Au Sénégal, la campagne "mRamadan" a permis de fournir à </w:t>
      </w:r>
      <w:r w:rsidRPr="00F05A8A">
        <w:rPr>
          <w:rFonts w:eastAsia="Calibri"/>
        </w:rPr>
        <w:t>230 000 personnes des conseils sur le diabète ainsi que des informations de base sur le COVID-19. Au Soudan, la solution BHBM a permis d'envoyer des messages relatifs au COVID-19 à plus de 71 000 personnes. Au Niger, l'UIT a mis en place une ligne d'assistance téléphonique automatisée destinée à fournir des informations de base sur le virus et la prévention des risques, qui a reçu plus de 40 000 appels</w:t>
      </w:r>
      <w:r w:rsidRPr="00F05A8A">
        <w:rPr>
          <w:rFonts w:eastAsia="Calibri"/>
          <w:color w:val="000000"/>
        </w:rPr>
        <w:t xml:space="preserve">. </w:t>
      </w:r>
    </w:p>
    <w:p w14:paraId="26C297E7" w14:textId="77777777" w:rsidR="00D80461" w:rsidRPr="00F05A8A" w:rsidRDefault="00D80461" w:rsidP="002F075E">
      <w:pPr>
        <w:pStyle w:val="Headingb"/>
        <w:ind w:left="0" w:firstLine="0"/>
        <w:rPr>
          <w:rFonts w:eastAsia="Calibri"/>
        </w:rPr>
      </w:pPr>
      <w:bookmarkStart w:id="263" w:name="_Toc95387498"/>
      <w:r w:rsidRPr="00F05A8A">
        <w:rPr>
          <w:rFonts w:eastAsia="Calibri"/>
        </w:rPr>
        <w:t>Organiser la sensibilisation en matière de solutions de santé et d'apprentissage à distance gratuit</w:t>
      </w:r>
      <w:bookmarkEnd w:id="263"/>
    </w:p>
    <w:p w14:paraId="124A45F3" w14:textId="77777777" w:rsidR="00D80461" w:rsidRPr="00F05A8A" w:rsidRDefault="00D80461" w:rsidP="002F075E">
      <w:pPr>
        <w:spacing w:after="120"/>
        <w:rPr>
          <w:rFonts w:eastAsia="Calibri"/>
        </w:rPr>
      </w:pPr>
      <w:r w:rsidRPr="00F05A8A">
        <w:rPr>
          <w:rFonts w:eastAsia="Calibri"/>
        </w:rPr>
        <w:t xml:space="preserve">La </w:t>
      </w:r>
      <w:hyperlink r:id="rId238" w:history="1">
        <w:r w:rsidRPr="00F05A8A">
          <w:rPr>
            <w:rStyle w:val="Hyperlink"/>
            <w:rFonts w:eastAsia="Calibri"/>
          </w:rPr>
          <w:t>plate-forme de l'UIT pour les villages intelligents</w:t>
        </w:r>
      </w:hyperlink>
      <w:r w:rsidRPr="00F05A8A">
        <w:rPr>
          <w:rFonts w:eastAsia="Calibri"/>
        </w:rPr>
        <w:t xml:space="preserve"> a établi des services vocaux interactifs sur le COVID-19 à l'intention de la population du Niger.</w:t>
      </w:r>
    </w:p>
    <w:p w14:paraId="466A2443" w14:textId="77777777" w:rsidR="00D80461" w:rsidRPr="00F05A8A" w:rsidRDefault="00D80461" w:rsidP="002F075E">
      <w:pPr>
        <w:rPr>
          <w:rFonts w:eastAsia="Calibri"/>
        </w:rPr>
      </w:pPr>
      <w:r w:rsidRPr="00F05A8A">
        <w:rPr>
          <w:rFonts w:eastAsia="Calibri"/>
        </w:rPr>
        <w:t>Le Groupe spécialisé de l'UIT-T sur l'intelligence artificielle au service de la santé, géré en partenariat avec l'OMS, a tiré parti de l'intelligence artificielle et d'autres technologies numériques pour lutter contre le COVID-19 au cours du cycle relatif à l'urgence épidémique.</w:t>
      </w:r>
    </w:p>
    <w:p w14:paraId="70FE05E3" w14:textId="77777777" w:rsidR="00D80461" w:rsidRPr="00F05A8A" w:rsidRDefault="00D80461" w:rsidP="002F075E">
      <w:pPr>
        <w:rPr>
          <w:rFonts w:eastAsia="Calibri"/>
        </w:rPr>
      </w:pPr>
      <w:r w:rsidRPr="00F05A8A">
        <w:rPr>
          <w:rFonts w:eastAsia="Calibri"/>
        </w:rPr>
        <w:lastRenderedPageBreak/>
        <w:t xml:space="preserve">L'UIT a lancé une </w:t>
      </w:r>
      <w:hyperlink r:id="rId239" w:history="1">
        <w:r w:rsidRPr="00F05A8A">
          <w:rPr>
            <w:rStyle w:val="Hyperlink"/>
            <w:rFonts w:eastAsia="Calibri"/>
          </w:rPr>
          <w:t>série de webinaires sur le thème de l'intelligence artificielle au service du bien social</w:t>
        </w:r>
      </w:hyperlink>
      <w:r w:rsidRPr="00F05A8A">
        <w:rPr>
          <w:rFonts w:eastAsia="Calibri"/>
        </w:rPr>
        <w:t xml:space="preserve"> présentant des cas d'utilisation de l'intelligence artificielle dans le secteur de la santé et dans le cadre d'autres défis mondiaux, notamment pour une action mondiale face à la pandémie. </w:t>
      </w:r>
    </w:p>
    <w:p w14:paraId="5C34D6B7" w14:textId="77777777" w:rsidR="00D80461" w:rsidRPr="00F05A8A" w:rsidRDefault="00D80461" w:rsidP="002F075E">
      <w:pPr>
        <w:rPr>
          <w:rFonts w:eastAsia="Calibri"/>
        </w:rPr>
      </w:pPr>
      <w:r w:rsidRPr="00F05A8A">
        <w:rPr>
          <w:rFonts w:eastAsia="Calibri"/>
        </w:rPr>
        <w:t xml:space="preserve">La </w:t>
      </w:r>
      <w:hyperlink r:id="rId240" w:history="1">
        <w:r w:rsidRPr="00F05A8A">
          <w:rPr>
            <w:rStyle w:val="Hyperlink"/>
            <w:rFonts w:eastAsia="Calibri"/>
          </w:rPr>
          <w:t>Coalition mondiale pour l'éducation en temps de COVID-19</w:t>
        </w:r>
      </w:hyperlink>
      <w:r w:rsidRPr="00F05A8A">
        <w:rPr>
          <w:rFonts w:eastAsia="Calibri"/>
        </w:rPr>
        <w:t xml:space="preserve"> dirigée par l'UNESCO garantit la continuité pédagogique pour plus de 1,5 milliard d'élèves touchés par la fermeture des écoles et des universités. L'UIT propose un </w:t>
      </w:r>
      <w:hyperlink r:id="rId241" w:history="1">
        <w:r w:rsidRPr="00F05A8A">
          <w:rPr>
            <w:rStyle w:val="Hyperlink"/>
            <w:rFonts w:eastAsia="Calibri"/>
          </w:rPr>
          <w:t>programme</w:t>
        </w:r>
      </w:hyperlink>
      <w:r w:rsidRPr="00F05A8A">
        <w:rPr>
          <w:rFonts w:eastAsia="Calibri"/>
        </w:rPr>
        <w:t xml:space="preserve"> gratuit qui fournit aux formateurs des outils et des compétences relatifs à l'enseignement à distance.</w:t>
      </w:r>
    </w:p>
    <w:p w14:paraId="721E110E" w14:textId="77777777" w:rsidR="00D80461" w:rsidRPr="00F05A8A" w:rsidRDefault="00D80461" w:rsidP="002F075E">
      <w:pPr>
        <w:pStyle w:val="Headingb"/>
        <w:rPr>
          <w:rFonts w:eastAsia="Calibri"/>
        </w:rPr>
      </w:pPr>
      <w:bookmarkStart w:id="264" w:name="_Toc95387499"/>
      <w:r w:rsidRPr="00F05A8A">
        <w:rPr>
          <w:rFonts w:eastAsia="Calibri"/>
        </w:rPr>
        <w:t>Solutions et bonnes pratiques pour que les villes puissent faire face au COVID-19</w:t>
      </w:r>
      <w:bookmarkEnd w:id="264"/>
    </w:p>
    <w:p w14:paraId="0681397B" w14:textId="77777777" w:rsidR="00D80461" w:rsidRPr="00F05A8A" w:rsidRDefault="00D80461" w:rsidP="002F075E">
      <w:pPr>
        <w:keepNext/>
        <w:keepLines/>
        <w:rPr>
          <w:rFonts w:eastAsia="Calibri"/>
        </w:rPr>
      </w:pPr>
      <w:r w:rsidRPr="00F05A8A">
        <w:rPr>
          <w:rFonts w:eastAsia="Calibri"/>
        </w:rPr>
        <w:t xml:space="preserve">L'initiative </w:t>
      </w:r>
      <w:hyperlink r:id="rId242" w:history="1">
        <w:r w:rsidRPr="00F05A8A">
          <w:rPr>
            <w:rStyle w:val="Hyperlink"/>
            <w:rFonts w:eastAsia="Calibri"/>
          </w:rPr>
          <w:t>"Tous unis pour des villes intelligentes et durables" (U4SSC)</w:t>
        </w:r>
      </w:hyperlink>
      <w:r w:rsidRPr="00F05A8A">
        <w:rPr>
          <w:rFonts w:eastAsia="Calibri"/>
        </w:rPr>
        <w:t xml:space="preserve"> est coordonnée par l'UIT, la CEE et ONU-Habitat, et appuyée par 14 autres organismes des Nations Unies. Elle vise à étudier les solutions et les bonnes pratiques appliquées par les villes pour faire face au COVID-19. En outre, cette initiative définit des méthodes pour appuyer la reprise économique et la résilience dans les villes dans le contexte du COVID-19.</w:t>
      </w:r>
    </w:p>
    <w:p w14:paraId="2686CCAC" w14:textId="77777777" w:rsidR="00D80461" w:rsidRPr="00F05A8A" w:rsidRDefault="00D80461" w:rsidP="002F075E">
      <w:pPr>
        <w:pStyle w:val="Headingb"/>
        <w:ind w:left="0" w:firstLine="0"/>
        <w:rPr>
          <w:rFonts w:eastAsia="Calibri Light"/>
        </w:rPr>
      </w:pPr>
      <w:bookmarkStart w:id="265" w:name="_Toc95387500"/>
      <w:r w:rsidRPr="00F05A8A">
        <w:rPr>
          <w:rFonts w:eastAsia="Calibri Light"/>
        </w:rPr>
        <w:t>Le Forum du SMSI définit une réponse à la pandémie de COVID-19 – et met à profit plus de 80 ateliers</w:t>
      </w:r>
      <w:bookmarkEnd w:id="265"/>
    </w:p>
    <w:p w14:paraId="1C66A3AD" w14:textId="77777777" w:rsidR="00D80461" w:rsidRPr="00F05A8A" w:rsidRDefault="00D80461" w:rsidP="002F075E">
      <w:r w:rsidRPr="00F05A8A">
        <w:rPr>
          <w:rFonts w:eastAsia="Calibri"/>
          <w:szCs w:val="24"/>
        </w:rPr>
        <w:t xml:space="preserve">Mis au point dans le cadre des efforts relatifs à l'inventaire des activités du SMSI, le </w:t>
      </w:r>
      <w:hyperlink r:id="rId243" w:history="1">
        <w:r w:rsidRPr="00F05A8A">
          <w:rPr>
            <w:rStyle w:val="Hyperlink"/>
            <w:rFonts w:eastAsia="Calibri"/>
            <w:szCs w:val="24"/>
          </w:rPr>
          <w:t>Répertoire des cas d'utilisation des TIC</w:t>
        </w:r>
      </w:hyperlink>
      <w:r w:rsidRPr="00F05A8A">
        <w:rPr>
          <w:rFonts w:eastAsia="Calibri"/>
          <w:szCs w:val="24"/>
        </w:rPr>
        <w:t xml:space="preserve"> recense des projets et des activités visant à faire face à la crise liée au COVID-19. Un avant-projet de la publication spéciale intitulée "</w:t>
      </w:r>
      <w:hyperlink r:id="rId244" w:history="1">
        <w:r w:rsidRPr="00F05A8A">
          <w:rPr>
            <w:rStyle w:val="Hyperlink"/>
            <w:rFonts w:eastAsia="Calibri"/>
            <w:szCs w:val="24"/>
          </w:rPr>
          <w:t>Répertoire des cas d'utilisation des TIC: La lutte contre le coronavirus</w:t>
        </w:r>
      </w:hyperlink>
      <w:r w:rsidRPr="00F05A8A">
        <w:rPr>
          <w:rFonts w:eastAsia="Calibri"/>
          <w:szCs w:val="24"/>
        </w:rPr>
        <w:t>" est disponible.</w:t>
      </w:r>
    </w:p>
    <w:p w14:paraId="28A1D860" w14:textId="77777777" w:rsidR="00D80461" w:rsidRPr="00F05A8A" w:rsidRDefault="00D80461" w:rsidP="002F075E">
      <w:pPr>
        <w:rPr>
          <w:rFonts w:eastAsia="Calibri"/>
          <w:szCs w:val="24"/>
        </w:rPr>
      </w:pPr>
      <w:r w:rsidRPr="00F05A8A">
        <w:rPr>
          <w:rFonts w:eastAsia="Calibri"/>
          <w:szCs w:val="24"/>
        </w:rPr>
        <w:t>Plus de 80 ateliers organisés dans le cadre du Forum de 2020 du SMSI ont été qualifiés par les parties prenantes comme étant directement liés à la crise du COVID-19.</w:t>
      </w:r>
    </w:p>
    <w:p w14:paraId="63F69B03" w14:textId="77777777" w:rsidR="00D80461" w:rsidRPr="00F05A8A" w:rsidRDefault="00D80461" w:rsidP="002F075E">
      <w:pPr>
        <w:pStyle w:val="Headingb"/>
        <w:rPr>
          <w:rFonts w:eastAsia="Calibri"/>
        </w:rPr>
      </w:pPr>
      <w:bookmarkStart w:id="266" w:name="_Toc95387501"/>
      <w:r w:rsidRPr="00F05A8A">
        <w:rPr>
          <w:rFonts w:eastAsia="Calibri"/>
        </w:rPr>
        <w:t>Réunir les experts pour mieux comprendre les incidences économiques</w:t>
      </w:r>
      <w:bookmarkEnd w:id="266"/>
    </w:p>
    <w:p w14:paraId="06A5AE84" w14:textId="77777777" w:rsidR="00D80461" w:rsidRPr="00F05A8A" w:rsidRDefault="00D80461" w:rsidP="002F075E">
      <w:pPr>
        <w:rPr>
          <w:rFonts w:eastAsia="Calibri"/>
          <w:color w:val="000000"/>
        </w:rPr>
      </w:pPr>
      <w:r w:rsidRPr="00F05A8A">
        <w:rPr>
          <w:rFonts w:eastAsia="Calibri"/>
          <w:color w:val="000000"/>
        </w:rPr>
        <w:t>Une Table ronde d'économistes a été l'occasion de réunir des économistes d'horizons très divers, qui ont procédé à des échanges de vues sur les toutes dernières études et analyses concernant les incidences économiques du COVID-19 sur l'infrastructure numérique.</w:t>
      </w:r>
    </w:p>
    <w:p w14:paraId="1D24AB10" w14:textId="77777777" w:rsidR="00D80461" w:rsidRPr="00F05A8A" w:rsidRDefault="00D80461" w:rsidP="002F075E">
      <w:pPr>
        <w:pStyle w:val="Headingb"/>
        <w:ind w:left="0" w:firstLine="0"/>
        <w:rPr>
          <w:rFonts w:eastAsia="Calibri Light"/>
        </w:rPr>
      </w:pPr>
      <w:bookmarkStart w:id="267" w:name="_Toc95387502"/>
      <w:r w:rsidRPr="00F05A8A">
        <w:rPr>
          <w:rFonts w:eastAsia="Calibri Light"/>
        </w:rPr>
        <w:t>Nouvelles lignes directrices de l'UIT relatives aux plans nationaux pour les télécommunications d'urgence</w:t>
      </w:r>
      <w:bookmarkEnd w:id="267"/>
    </w:p>
    <w:p w14:paraId="22C345A1" w14:textId="77777777" w:rsidR="00D80461" w:rsidRPr="00F05A8A" w:rsidRDefault="00D80461" w:rsidP="002F075E">
      <w:pPr>
        <w:rPr>
          <w:rFonts w:eastAsia="Calibri"/>
          <w:szCs w:val="24"/>
        </w:rPr>
      </w:pPr>
      <w:r w:rsidRPr="00F05A8A">
        <w:rPr>
          <w:rFonts w:eastAsia="Calibri"/>
          <w:szCs w:val="24"/>
        </w:rPr>
        <w:t xml:space="preserve">L'UIT a publié de </w:t>
      </w:r>
      <w:hyperlink r:id="rId245" w:history="1">
        <w:r w:rsidRPr="00F05A8A">
          <w:rPr>
            <w:rStyle w:val="Hyperlink"/>
            <w:rFonts w:eastAsia="Calibri"/>
            <w:szCs w:val="24"/>
          </w:rPr>
          <w:t>nouvelles lignes directrices</w:t>
        </w:r>
      </w:hyperlink>
      <w:r w:rsidRPr="00F05A8A">
        <w:rPr>
          <w:rFonts w:eastAsia="Calibri"/>
          <w:szCs w:val="24"/>
        </w:rPr>
        <w:t xml:space="preserve"> pour aider les pays à mettre au point des plans nationaux pour les télécommunications d'urgence afin de face à des situations d'urgence comme la pandémie de COVID-19.</w:t>
      </w:r>
    </w:p>
    <w:p w14:paraId="3852E989" w14:textId="77777777" w:rsidR="00D80461" w:rsidRPr="00F05A8A" w:rsidRDefault="00D80461" w:rsidP="002F075E">
      <w:pPr>
        <w:pStyle w:val="Headingb"/>
        <w:ind w:left="0" w:firstLine="0"/>
        <w:rPr>
          <w:rFonts w:eastAsia="Calibri"/>
        </w:rPr>
      </w:pPr>
      <w:bookmarkStart w:id="268" w:name="_Toc95387503"/>
      <w:r w:rsidRPr="00F05A8A">
        <w:rPr>
          <w:rFonts w:eastAsia="Calibri"/>
        </w:rPr>
        <w:t>Aider les pays, les entreprises et la population à combattre les menaces en matière de cybersécurité</w:t>
      </w:r>
      <w:bookmarkEnd w:id="268"/>
    </w:p>
    <w:p w14:paraId="5FD60183" w14:textId="77777777" w:rsidR="00D80461" w:rsidRPr="00F05A8A" w:rsidRDefault="00D80461" w:rsidP="002F075E">
      <w:pPr>
        <w:rPr>
          <w:rFonts w:eastAsia="Calibri"/>
          <w:szCs w:val="24"/>
        </w:rPr>
      </w:pPr>
      <w:r w:rsidRPr="00F05A8A">
        <w:rPr>
          <w:rFonts w:eastAsia="Calibri"/>
          <w:szCs w:val="24"/>
        </w:rPr>
        <w:t>L'UIT a lancé</w:t>
      </w:r>
      <w:r w:rsidRPr="00F05A8A">
        <w:t xml:space="preserve"> </w:t>
      </w:r>
      <w:r w:rsidRPr="00F05A8A">
        <w:rPr>
          <w:rFonts w:eastAsia="Calibri"/>
          <w:szCs w:val="24"/>
        </w:rPr>
        <w:t xml:space="preserve">l'initiative CYB4COVID, un </w:t>
      </w:r>
      <w:hyperlink r:id="rId246" w:history="1">
        <w:r w:rsidRPr="00F05A8A">
          <w:rPr>
            <w:rStyle w:val="Hyperlink"/>
            <w:rFonts w:eastAsia="Calibri"/>
            <w:szCs w:val="24"/>
          </w:rPr>
          <w:t>recueil de connaissances complet en matière de cybersécurité</w:t>
        </w:r>
      </w:hyperlink>
      <w:r w:rsidRPr="00F05A8A">
        <w:rPr>
          <w:rFonts w:eastAsia="Calibri"/>
          <w:szCs w:val="24"/>
        </w:rPr>
        <w:t xml:space="preserve"> afin d'aider les pays, les entreprises et la population à faire face aux menaces durant la pandémie de COVID-19.</w:t>
      </w:r>
    </w:p>
    <w:p w14:paraId="3004E924" w14:textId="77777777" w:rsidR="00D80461" w:rsidRPr="00F05A8A" w:rsidRDefault="00D80461" w:rsidP="002F075E">
      <w:pPr>
        <w:pStyle w:val="Headingb"/>
        <w:rPr>
          <w:rFonts w:eastAsia="Calibri Light"/>
        </w:rPr>
      </w:pPr>
      <w:bookmarkStart w:id="269" w:name="_Toc95387504"/>
      <w:r w:rsidRPr="00F05A8A">
        <w:rPr>
          <w:rFonts w:eastAsia="Calibri Light"/>
        </w:rPr>
        <w:t>Sept façons de garantir la sécurité en ligne des enfants</w:t>
      </w:r>
      <w:bookmarkEnd w:id="269"/>
    </w:p>
    <w:p w14:paraId="4770C8CB" w14:textId="77777777" w:rsidR="00D80461" w:rsidRPr="00F05A8A" w:rsidRDefault="00D80461" w:rsidP="002F075E">
      <w:r w:rsidRPr="00F05A8A">
        <w:rPr>
          <w:rFonts w:eastAsia="Calibri"/>
          <w:color w:val="000000"/>
          <w:szCs w:val="24"/>
        </w:rPr>
        <w:t xml:space="preserve">La dernière version des </w:t>
      </w:r>
      <w:hyperlink r:id="rId247" w:history="1">
        <w:r w:rsidRPr="00F05A8A">
          <w:rPr>
            <w:rStyle w:val="Hyperlink"/>
            <w:rFonts w:eastAsia="Calibri"/>
            <w:szCs w:val="24"/>
          </w:rPr>
          <w:t>Lignes directrices de l'UIT sur la protection en ligne des enfants à l'intention des parents, des personnes s'occupant d'enfants, des tuteurs et des éducateurs</w:t>
        </w:r>
      </w:hyperlink>
      <w:r w:rsidRPr="00F05A8A">
        <w:rPr>
          <w:rFonts w:eastAsia="Calibri"/>
          <w:color w:val="000000"/>
          <w:szCs w:val="24"/>
        </w:rPr>
        <w:t xml:space="preserve"> donne des conseils aux parents sur la manière de limiter au maximum les risques en ligne pour leurs enfants.</w:t>
      </w:r>
    </w:p>
    <w:p w14:paraId="4CD3EEDC" w14:textId="77777777" w:rsidR="00D80461" w:rsidRPr="00F05A8A" w:rsidRDefault="00D80461" w:rsidP="002F075E">
      <w:pPr>
        <w:pStyle w:val="Heading2"/>
      </w:pPr>
      <w:bookmarkStart w:id="270" w:name="_1.9_Partenariats_stratégiques"/>
      <w:bookmarkStart w:id="271" w:name="_Toc41032084"/>
      <w:bookmarkStart w:id="272" w:name="_Toc72846628"/>
      <w:bookmarkStart w:id="273" w:name="_Toc98513608"/>
      <w:bookmarkStart w:id="274" w:name="_Toc107466573"/>
      <w:bookmarkEnd w:id="270"/>
      <w:r w:rsidRPr="00F05A8A">
        <w:lastRenderedPageBreak/>
        <w:t>1.9</w:t>
      </w:r>
      <w:r w:rsidRPr="00F05A8A">
        <w:tab/>
        <w:t>Partenariats stratégiques en faveur de la réalisation des ODD</w:t>
      </w:r>
      <w:bookmarkStart w:id="275" w:name="Section_1_9"/>
      <w:bookmarkEnd w:id="271"/>
      <w:bookmarkEnd w:id="272"/>
      <w:bookmarkEnd w:id="273"/>
      <w:bookmarkEnd w:id="274"/>
    </w:p>
    <w:bookmarkEnd w:id="275"/>
    <w:p w14:paraId="797F42F6" w14:textId="77777777" w:rsidR="00D80461" w:rsidRPr="00F05A8A" w:rsidRDefault="00D80461" w:rsidP="002F075E">
      <w:r w:rsidRPr="00F05A8A">
        <w:t>La coopération, le partage des ressources et des mécanismes où tous les acteurs – pouvoirs publics, secteur privé et utilisateurs – sont gagnants, associés à une approche faisant intervenir toutes les entités publiques, contribueront à faire de la technologie un service de base fondamental qui est utile à tous. À cet égard, l'UIT met l'accent sur la conclusion de partenariats stratégiques qui permettent d'obtenir des résultats concrets et de qualité, et de produire de réelles répercussions, en vue d'atteindre les ODD grâce aux TIC.</w:t>
      </w:r>
    </w:p>
    <w:p w14:paraId="2238DDCA" w14:textId="77777777" w:rsidR="00D80461" w:rsidRPr="00F05A8A" w:rsidRDefault="00D80461" w:rsidP="002F075E">
      <w:r w:rsidRPr="00F05A8A">
        <w:t>La présente section résume les principaux partenariats pour la période couverte par le présent rapport.</w:t>
      </w:r>
    </w:p>
    <w:p w14:paraId="7AA16320" w14:textId="77777777" w:rsidR="00D80461" w:rsidRPr="00F05A8A" w:rsidRDefault="00D80461" w:rsidP="002F075E">
      <w:pPr>
        <w:pStyle w:val="Headingb"/>
        <w:ind w:left="0" w:firstLine="0"/>
      </w:pPr>
      <w:bookmarkStart w:id="276" w:name="_Toc41032085"/>
      <w:bookmarkStart w:id="277" w:name="_Toc72845055"/>
      <w:bookmarkStart w:id="278" w:name="_Toc72846396"/>
      <w:bookmarkStart w:id="279" w:name="_Toc72846629"/>
      <w:bookmarkStart w:id="280" w:name="_Toc95387506"/>
      <w:r w:rsidRPr="00F05A8A">
        <w:t>Commission sur le large bande</w:t>
      </w:r>
      <w:bookmarkEnd w:id="276"/>
      <w:bookmarkEnd w:id="277"/>
      <w:bookmarkEnd w:id="278"/>
      <w:bookmarkEnd w:id="279"/>
      <w:r w:rsidRPr="00F05A8A">
        <w:t xml:space="preserve"> – placer le large bande au cœur des préoccupations des décideurs au niveau international</w:t>
      </w:r>
      <w:bookmarkEnd w:id="280"/>
    </w:p>
    <w:p w14:paraId="1C64AD2D" w14:textId="77777777" w:rsidR="00D80461" w:rsidRPr="00F05A8A" w:rsidRDefault="00D80461" w:rsidP="002F075E">
      <w:r w:rsidRPr="00F05A8A">
        <w:t>L'UIT et l'UNESCO ont établi la Commission "</w:t>
      </w:r>
      <w:r w:rsidRPr="00F05A8A">
        <w:rPr>
          <w:i/>
          <w:iCs/>
        </w:rPr>
        <w:t>Le large bande au service du développement numérique</w:t>
      </w:r>
      <w:r w:rsidRPr="00F05A8A">
        <w:t xml:space="preserve">" en 2010 en vue d'inscrire le large bande au centre des préoccupations de la communauté internationale et d'accroître l'accès au large bande, en tant qu'élément central pour accélérer les progrès en faveur des objectifs de développement nationaux et internationaux. Rebaptisée en 2015 la </w:t>
      </w:r>
      <w:hyperlink r:id="rId248" w:history="1">
        <w:r w:rsidRPr="00F05A8A">
          <w:rPr>
            <w:rStyle w:val="Hyperlink"/>
          </w:rPr>
          <w:t>Commission "Le large bande au service du développement durable"</w:t>
        </w:r>
      </w:hyperlink>
      <w:r w:rsidRPr="00F05A8A">
        <w:t>, la Commission continue de diffuser des messages forts de plaidoyer de haut niveau.</w:t>
      </w:r>
    </w:p>
    <w:p w14:paraId="5D545636" w14:textId="77777777" w:rsidR="00D80461" w:rsidRPr="00F05A8A" w:rsidRDefault="00D80461" w:rsidP="002F075E">
      <w:bookmarkStart w:id="281" w:name="lt_pId667"/>
      <w:r w:rsidRPr="00F05A8A">
        <w:t>La Commission a publié chaque année le Rapport sur la situation du large bande, créé des groupes de travail chargés d'examiner des domaines thématiques allant de la santé à l'éducation et tenu deux réunions par an.</w:t>
      </w:r>
    </w:p>
    <w:p w14:paraId="077C3EAC" w14:textId="77777777" w:rsidR="00D80461" w:rsidRPr="00F05A8A" w:rsidRDefault="00D80461" w:rsidP="002F075E">
      <w:r w:rsidRPr="00F05A8A">
        <w:t xml:space="preserve">En 2019, une nouvelle initiative </w:t>
      </w:r>
      <w:hyperlink r:id="rId249" w:history="1">
        <w:r w:rsidRPr="00F05A8A">
          <w:rPr>
            <w:rStyle w:val="Hyperlink"/>
          </w:rPr>
          <w:t>"Moonshot" d'infrastructure numérique pour l'Afrique</w:t>
        </w:r>
      </w:hyperlink>
      <w:r w:rsidRPr="00F05A8A">
        <w:t xml:space="preserve">, prenant la forme d'un groupe de consultation multi-parties prenantes chargé de mobiliser les partenaires du secteur des TIC, a été créée en vue d'améliorer l'infrastructure numérique en Afrique. Le groupe a proposé une </w:t>
      </w:r>
      <w:hyperlink r:id="rId250" w:history="1">
        <w:r w:rsidRPr="00F05A8A">
          <w:rPr>
            <w:rStyle w:val="Hyperlink"/>
          </w:rPr>
          <w:t>feuille de route et un plan d'action</w:t>
        </w:r>
      </w:hyperlink>
      <w:r w:rsidRPr="00F05A8A">
        <w:t>, et a appelé à former une coalition mondiale pour mener à bien la transformation numérique de l'Afrique d'ici à 2030.</w:t>
      </w:r>
    </w:p>
    <w:bookmarkEnd w:id="281"/>
    <w:p w14:paraId="447CF2EC" w14:textId="77777777" w:rsidR="00D80461" w:rsidRPr="00F05A8A" w:rsidRDefault="00D80461" w:rsidP="002F075E">
      <w:pPr>
        <w:rPr>
          <w:color w:val="000000"/>
        </w:rPr>
      </w:pPr>
      <w:r w:rsidRPr="00F05A8A">
        <w:rPr>
          <w:color w:val="000000"/>
        </w:rPr>
        <w:t xml:space="preserve">Avec la publication du </w:t>
      </w:r>
      <w:hyperlink r:id="rId251" w:history="1">
        <w:r w:rsidRPr="00F05A8A">
          <w:rPr>
            <w:rStyle w:val="Hyperlink"/>
          </w:rPr>
          <w:t>Manifeste sur la connectivité universelle</w:t>
        </w:r>
      </w:hyperlink>
      <w:r w:rsidRPr="00F05A8A">
        <w:rPr>
          <w:color w:val="000000"/>
        </w:rPr>
        <w:t xml:space="preserve"> en 2020, la Commission a célébré </w:t>
      </w:r>
      <w:hyperlink r:id="rId252" w:history="1">
        <w:r w:rsidRPr="00F05A8A">
          <w:rPr>
            <w:rStyle w:val="Hyperlink"/>
          </w:rPr>
          <w:t>dix ans</w:t>
        </w:r>
      </w:hyperlink>
      <w:r w:rsidRPr="00F05A8A">
        <w:rPr>
          <w:color w:val="000000"/>
        </w:rPr>
        <w:t xml:space="preserve"> d'existence, durant lesquels elle a mis en place des partenariats mondiaux multi-parties prenantes et promu l'accès au large bande. </w:t>
      </w:r>
      <w:r w:rsidRPr="00F05A8A">
        <w:rPr>
          <w:iCs/>
        </w:rPr>
        <w:t xml:space="preserve">En septembre 2020, </w:t>
      </w:r>
      <w:r w:rsidRPr="00F05A8A">
        <w:rPr>
          <w:color w:val="000000"/>
        </w:rPr>
        <w:t>la Commission a publié l'</w:t>
      </w:r>
      <w:hyperlink r:id="rId253" w:history="1">
        <w:r w:rsidRPr="00F05A8A">
          <w:rPr>
            <w:rStyle w:val="Hyperlink"/>
          </w:rPr>
          <w:t>édition spéciale du rapport sur la situation du large bande</w:t>
        </w:r>
      </w:hyperlink>
      <w:r w:rsidRPr="00F05A8A">
        <w:rPr>
          <w:color w:val="000000"/>
        </w:rPr>
        <w:t>, qui met en évidence de profondes inégalités en matière d'accès pendant l'épidémie de COVID-19, qui empêchent des milliards de personnes de travailler, d'apprendre et de communiquer à distance.</w:t>
      </w:r>
    </w:p>
    <w:p w14:paraId="0880288C" w14:textId="77777777" w:rsidR="00D80461" w:rsidRPr="00F05A8A" w:rsidRDefault="00D80461" w:rsidP="002F075E">
      <w:pPr>
        <w:rPr>
          <w:rFonts w:eastAsia="Calibri"/>
        </w:rPr>
      </w:pPr>
      <w:r w:rsidRPr="00F05A8A">
        <w:rPr>
          <w:iCs/>
        </w:rPr>
        <w:t xml:space="preserve">En septembre </w:t>
      </w:r>
      <w:r w:rsidRPr="00F05A8A">
        <w:rPr>
          <w:rFonts w:eastAsia="Calibri"/>
        </w:rPr>
        <w:t xml:space="preserve">2021, </w:t>
      </w:r>
      <w:r w:rsidRPr="00F05A8A">
        <w:rPr>
          <w:color w:val="000000"/>
        </w:rPr>
        <w:t>la Commission a publié le rapport intitulé</w:t>
      </w:r>
      <w:r w:rsidRPr="00F05A8A">
        <w:rPr>
          <w:rFonts w:eastAsia="Calibri"/>
        </w:rPr>
        <w:t xml:space="preserve"> </w:t>
      </w:r>
      <w:hyperlink r:id="rId254" w:history="1">
        <w:r w:rsidRPr="00F05A8A">
          <w:rPr>
            <w:rStyle w:val="Hyperlink"/>
            <w:rFonts w:eastAsia="Calibri"/>
          </w:rPr>
          <w:t>La situation du large bande – Approches axées sur l'humain pour un accès universel au large bande</w:t>
        </w:r>
      </w:hyperlink>
      <w:r w:rsidRPr="00F05A8A">
        <w:rPr>
          <w:rFonts w:eastAsia="Calibri"/>
        </w:rPr>
        <w:t xml:space="preserve"> qui contient des recommandations de politique générale privilégiant une approche centrée sur les personnes pour parvenir à la connectivité universelle d'ici à 2030.</w:t>
      </w:r>
    </w:p>
    <w:p w14:paraId="37A02A0C" w14:textId="77777777" w:rsidR="00D80461" w:rsidRPr="00F05A8A" w:rsidRDefault="00D80461" w:rsidP="002F075E">
      <w:pPr>
        <w:rPr>
          <w:color w:val="000000"/>
        </w:rPr>
      </w:pPr>
      <w:r w:rsidRPr="00F05A8A">
        <w:rPr>
          <w:color w:val="000000"/>
        </w:rPr>
        <w:t xml:space="preserve">La Commission a lancé des appels à l'action et publié des manifestes de haut niveau, à l'intention des principaux décideurs du G20, des Nations Unies et des délégués à la Conférence de plénipotentiaires de l'UIT tenue en 2014. La Commission s'assure également le concours de ses </w:t>
      </w:r>
      <w:hyperlink r:id="rId255" w:history="1">
        <w:r w:rsidRPr="00F05A8A">
          <w:rPr>
            <w:rStyle w:val="Hyperlink"/>
          </w:rPr>
          <w:t>membres</w:t>
        </w:r>
      </w:hyperlink>
      <w:r w:rsidRPr="00F05A8A">
        <w:rPr>
          <w:color w:val="000000"/>
        </w:rPr>
        <w:t xml:space="preserve"> éminents, pour faire passer le message du large bande au service du développement durable lors de manifestations et de conférences importantes et à d'autres fins.</w:t>
      </w:r>
    </w:p>
    <w:p w14:paraId="1679E820" w14:textId="77777777" w:rsidR="00D80461" w:rsidRPr="00F05A8A" w:rsidRDefault="00D80461" w:rsidP="002F075E">
      <w:pPr>
        <w:pStyle w:val="Headingb"/>
        <w:ind w:left="0" w:firstLine="0"/>
      </w:pPr>
      <w:bookmarkStart w:id="282" w:name="lt_pId676"/>
      <w:bookmarkStart w:id="283" w:name="_Toc41032086"/>
      <w:bookmarkStart w:id="284" w:name="_Toc72845056"/>
      <w:bookmarkStart w:id="285" w:name="_Toc72846397"/>
      <w:bookmarkStart w:id="286" w:name="_Toc72846630"/>
      <w:bookmarkStart w:id="287" w:name="_Toc95387507"/>
      <w:r w:rsidRPr="00F05A8A">
        <w:lastRenderedPageBreak/>
        <w:t>Partenariat EQUALS</w:t>
      </w:r>
      <w:bookmarkEnd w:id="282"/>
      <w:bookmarkEnd w:id="283"/>
      <w:bookmarkEnd w:id="284"/>
      <w:bookmarkEnd w:id="285"/>
      <w:bookmarkEnd w:id="286"/>
      <w:r w:rsidRPr="00F05A8A">
        <w:t xml:space="preserve"> – promouvoir l'accès, les compétences et les responsabilités dans le secteur des TIC pour les femmes et les filles</w:t>
      </w:r>
      <w:bookmarkEnd w:id="287"/>
    </w:p>
    <w:p w14:paraId="5DCADE54" w14:textId="77777777" w:rsidR="00D80461" w:rsidRPr="00F05A8A" w:rsidRDefault="00ED2695" w:rsidP="002F075E">
      <w:hyperlink r:id="rId256" w:history="1">
        <w:r w:rsidR="00D80461" w:rsidRPr="00F05A8A">
          <w:rPr>
            <w:rStyle w:val="Hyperlink"/>
          </w:rPr>
          <w:t>EQUALS</w:t>
        </w:r>
      </w:hyperlink>
      <w:r w:rsidR="00D80461" w:rsidRPr="00F05A8A">
        <w:t xml:space="preserve">, partenariat mondial pour l'égalité </w:t>
      </w:r>
      <w:r w:rsidR="00D80461" w:rsidRPr="00F05A8A">
        <w:rPr>
          <w:color w:val="000000"/>
        </w:rPr>
        <w:t>hommes</w:t>
      </w:r>
      <w:r w:rsidR="00D80461" w:rsidRPr="00F05A8A">
        <w:rPr>
          <w:color w:val="000000"/>
        </w:rPr>
        <w:noBreakHyphen/>
        <w:t>femmes</w:t>
      </w:r>
      <w:r w:rsidR="00D80461" w:rsidRPr="00F05A8A">
        <w:t xml:space="preserve"> à l'ère du numérique, vise à faire en sorte que les jeunes filles et les femmes bénéficient d'un accès, qu'elles acquièrent des compétences et qu'elles aient la possibilité de renforcer leur capacité à assumer de hautes responsabilités afin de réussir dans le secteur des TIC. Ce partenariat a été fondé en 2017 par l'UIT, ONU-Femmes, la GSMA, le Centre de commerce international (CCI) et l'Université des Nations Unies (UNU).</w:t>
      </w:r>
    </w:p>
    <w:p w14:paraId="4AC01A07" w14:textId="77777777" w:rsidR="00D80461" w:rsidRPr="00F05A8A" w:rsidRDefault="00D80461" w:rsidP="002F075E">
      <w:pPr>
        <w:keepLines/>
        <w:spacing w:after="120"/>
        <w:rPr>
          <w:rFonts w:eastAsia="Calibri"/>
        </w:rPr>
      </w:pPr>
      <w:r w:rsidRPr="00F05A8A">
        <w:rPr>
          <w:rFonts w:eastAsia="Calibri"/>
        </w:rPr>
        <w:t>Plus de 100 partenaires dans 115 pays coopèrent pour assurer la fourniture d'une formation aux compétences numériques et d'un mentorat à plus de de 52 000 femmes et jeunes filles. Les initiatives menées par l'UIT à travers le partenariat EQUALS et les bureaux régionaux sont possibles grâce à la collaboration des gouvernements partenaires et du secteur privé.</w:t>
      </w:r>
    </w:p>
    <w:p w14:paraId="46B34C65" w14:textId="77777777" w:rsidR="00D80461" w:rsidRPr="00F05A8A" w:rsidRDefault="00D80461" w:rsidP="002F075E">
      <w:pPr>
        <w:rPr>
          <w:rFonts w:eastAsia="Calibri"/>
        </w:rPr>
      </w:pPr>
      <w:r w:rsidRPr="00F05A8A">
        <w:rPr>
          <w:rFonts w:eastAsia="Calibri"/>
        </w:rPr>
        <w:t xml:space="preserve">Parmi les résultats obtenus dans le cadre du partenariat </w:t>
      </w:r>
      <w:r w:rsidRPr="00F05A8A">
        <w:rPr>
          <w:rFonts w:eastAsia="Calibri"/>
          <w:u w:val="single"/>
        </w:rPr>
        <w:t>EQUALS</w:t>
      </w:r>
      <w:r w:rsidRPr="00F05A8A">
        <w:rPr>
          <w:rFonts w:eastAsia="Calibri"/>
        </w:rPr>
        <w:t>, on peut citer:</w:t>
      </w:r>
    </w:p>
    <w:p w14:paraId="67868DF7" w14:textId="77777777" w:rsidR="00D80461" w:rsidRPr="00F05A8A" w:rsidRDefault="00D80461" w:rsidP="002F075E">
      <w:pPr>
        <w:pStyle w:val="enumlev1"/>
        <w:rPr>
          <w:rFonts w:eastAsia="PMingLiU"/>
          <w:sz w:val="22"/>
          <w:lang w:eastAsia="zh-TW"/>
        </w:rPr>
      </w:pPr>
      <w:r w:rsidRPr="00F05A8A">
        <w:rPr>
          <w:rFonts w:eastAsia="PMingLiU"/>
          <w:lang w:eastAsia="zh-TW"/>
        </w:rPr>
        <w:t>•</w:t>
      </w:r>
      <w:r w:rsidRPr="00F05A8A">
        <w:rPr>
          <w:rFonts w:eastAsia="PMingLiU"/>
          <w:lang w:eastAsia="zh-TW"/>
        </w:rPr>
        <w:tab/>
      </w:r>
      <w:r w:rsidRPr="00F05A8A">
        <w:t>Avec l'appui du Partenariat</w:t>
      </w:r>
      <w:r w:rsidRPr="00F05A8A">
        <w:rPr>
          <w:rStyle w:val="Hyperlink"/>
        </w:rPr>
        <w:t xml:space="preserve">, l'UIT et le Forum des équipes de sécurité et d'intervention en cas d'incidents (FIRST) ont lancé un </w:t>
      </w:r>
      <w:hyperlink r:id="rId257" w:history="1">
        <w:r w:rsidRPr="00F05A8A">
          <w:rPr>
            <w:rStyle w:val="Hyperlink"/>
          </w:rPr>
          <w:t>programme conjoint de mentorat</w:t>
        </w:r>
      </w:hyperlink>
      <w:r w:rsidRPr="00F05A8A">
        <w:rPr>
          <w:rStyle w:val="Hyperlink"/>
        </w:rPr>
        <w:t xml:space="preserve"> destiné à donner aux femmes les moyens de réussir dans le secteur de la cybersécurité</w:t>
      </w:r>
      <w:r w:rsidRPr="00F05A8A">
        <w:rPr>
          <w:rFonts w:eastAsia="PMingLiU"/>
          <w:lang w:eastAsia="zh-TW"/>
        </w:rPr>
        <w:t>, en se concentrant dans un premier temps sur les régions des États arabes et de l'Afrique.</w:t>
      </w:r>
    </w:p>
    <w:p w14:paraId="30011D50" w14:textId="77777777" w:rsidR="00D80461" w:rsidRPr="00F05A8A" w:rsidRDefault="00D80461" w:rsidP="002F075E">
      <w:pPr>
        <w:pStyle w:val="enumlev1"/>
        <w:rPr>
          <w:rFonts w:eastAsia="PMingLiU"/>
          <w:lang w:eastAsia="zh-TW"/>
        </w:rPr>
      </w:pPr>
      <w:r w:rsidRPr="00F05A8A">
        <w:rPr>
          <w:rFonts w:eastAsia="PMingLiU"/>
          <w:lang w:eastAsia="zh-TW"/>
        </w:rPr>
        <w:t>•</w:t>
      </w:r>
      <w:r w:rsidRPr="00F05A8A">
        <w:rPr>
          <w:rFonts w:eastAsia="PMingLiU"/>
          <w:lang w:eastAsia="zh-TW"/>
        </w:rPr>
        <w:tab/>
        <w:t xml:space="preserve">L'UIT et CISCO ont lancé le </w:t>
      </w:r>
      <w:hyperlink r:id="rId258" w:history="1">
        <w:r w:rsidRPr="00F05A8A">
          <w:rPr>
            <w:rStyle w:val="Hyperlink"/>
            <w:rFonts w:eastAsia="PMingLiU"/>
            <w:lang w:eastAsia="zh-TW"/>
          </w:rPr>
          <w:t>CISCO EQUALS Learning Space</w:t>
        </w:r>
      </w:hyperlink>
      <w:r w:rsidRPr="00F05A8A">
        <w:rPr>
          <w:rFonts w:eastAsia="PMingLiU"/>
          <w:lang w:eastAsia="zh-TW"/>
        </w:rPr>
        <w:t xml:space="preserve"> (l'espace de formation CISCO</w:t>
      </w:r>
      <w:r w:rsidRPr="00F05A8A">
        <w:rPr>
          <w:rFonts w:eastAsia="PMingLiU"/>
          <w:lang w:eastAsia="zh-TW"/>
        </w:rPr>
        <w:noBreakHyphen/>
        <w:t>EQUALS), une formation en ligne pour renforcer les compétences techniques. Les cours, destinés aux jeunes filles et aux jeunes femmes, sont adaptés au rythme de chacune et comprennent des séances en direct animées par des experts du réseau EQUALS.</w:t>
      </w:r>
    </w:p>
    <w:p w14:paraId="35CE6513" w14:textId="77777777" w:rsidR="00D80461" w:rsidRPr="00F05A8A" w:rsidRDefault="00D80461" w:rsidP="002F075E">
      <w:pPr>
        <w:pStyle w:val="enumlev1"/>
        <w:rPr>
          <w:bCs/>
          <w:lang w:eastAsia="zh-TW"/>
        </w:rPr>
      </w:pPr>
      <w:r w:rsidRPr="00F05A8A">
        <w:rPr>
          <w:rFonts w:eastAsia="PMingLiU"/>
          <w:lang w:eastAsia="zh-TW"/>
        </w:rPr>
        <w:t>•</w:t>
      </w:r>
      <w:r w:rsidRPr="00F05A8A">
        <w:rPr>
          <w:rFonts w:eastAsia="PMingLiU"/>
          <w:lang w:eastAsia="zh-TW"/>
        </w:rPr>
        <w:tab/>
        <w:t xml:space="preserve">La cérémonie de remise des </w:t>
      </w:r>
      <w:hyperlink r:id="rId259" w:history="1">
        <w:r w:rsidRPr="00F05A8A">
          <w:rPr>
            <w:rStyle w:val="Hyperlink"/>
            <w:bCs/>
            <w:lang w:eastAsia="zh-TW"/>
          </w:rPr>
          <w:t>Prix "EQUALS in Tech"</w:t>
        </w:r>
      </w:hyperlink>
      <w:r w:rsidRPr="00F05A8A">
        <w:rPr>
          <w:bCs/>
          <w:lang w:eastAsia="zh-TW"/>
        </w:rPr>
        <w:t xml:space="preserve"> s'est tenue sous forme virtuelle lors du </w:t>
      </w:r>
      <w:hyperlink r:id="rId260" w:history="1">
        <w:r w:rsidRPr="00F05A8A">
          <w:rPr>
            <w:rStyle w:val="Hyperlink"/>
            <w:bCs/>
            <w:lang w:eastAsia="zh-TW"/>
          </w:rPr>
          <w:t>Forum sur la gouvernance de l'Internet</w:t>
        </w:r>
      </w:hyperlink>
      <w:r w:rsidRPr="00F05A8A">
        <w:rPr>
          <w:bCs/>
          <w:lang w:eastAsia="zh-TW"/>
        </w:rPr>
        <w:t xml:space="preserve"> en décembre 2021 et a compté plus de 120 candidatures présentées par 34 pays.</w:t>
      </w:r>
    </w:p>
    <w:p w14:paraId="4A0849AB" w14:textId="77777777" w:rsidR="00D80461" w:rsidRPr="00F05A8A" w:rsidRDefault="00D80461" w:rsidP="002F075E">
      <w:pPr>
        <w:pStyle w:val="enumlev1"/>
        <w:rPr>
          <w:rFonts w:eastAsia="PMingLiU"/>
          <w:lang w:eastAsia="zh-TW"/>
        </w:rPr>
      </w:pPr>
      <w:r w:rsidRPr="00F05A8A">
        <w:rPr>
          <w:rFonts w:eastAsia="PMingLiU"/>
          <w:lang w:eastAsia="zh-TW"/>
        </w:rPr>
        <w:t>•</w:t>
      </w:r>
      <w:r w:rsidRPr="00F05A8A">
        <w:rPr>
          <w:rFonts w:eastAsia="PMingLiU"/>
          <w:lang w:eastAsia="zh-TW"/>
        </w:rPr>
        <w:tab/>
        <w:t>En septembre 2020, en partenariat avec le Cadre intégré renforcé (CIR) et l'UNOPS, l'UIT a lancé le projet "</w:t>
      </w:r>
      <w:hyperlink r:id="rId261" w:history="1">
        <w:r w:rsidRPr="00F05A8A">
          <w:rPr>
            <w:rStyle w:val="Hyperlink"/>
            <w:rFonts w:eastAsia="PMingLiU"/>
            <w:lang w:eastAsia="zh-TW"/>
          </w:rPr>
          <w:t>Les technologies – catalyseur de débouchés économiques pour les femmes</w:t>
        </w:r>
      </w:hyperlink>
      <w:r w:rsidRPr="00F05A8A">
        <w:rPr>
          <w:rFonts w:eastAsia="PMingLiU"/>
          <w:lang w:eastAsia="zh-TW"/>
        </w:rPr>
        <w:t>". Cette initiative, qui cible les PMA, améliore l'écosystème numérique et renforce les compétences numériques. Ce projet était destiné aux habitantes du Burundi, de l'Éthiopie et d'Haïti, et, dans le cadre de cette initiative, 32 politiques, stratégies et réglementations relatives à l'économie numérique ont été évaluées pour déterminer la mesure dans laquelle elles tiennent compte de la problématique hommes-femmes.</w:t>
      </w:r>
    </w:p>
    <w:p w14:paraId="3AFEEEB4" w14:textId="77777777" w:rsidR="00D80461" w:rsidRPr="00F05A8A" w:rsidRDefault="00D80461" w:rsidP="002F075E">
      <w:pPr>
        <w:pStyle w:val="Headingb"/>
        <w:rPr>
          <w:rFonts w:cs="Calibri"/>
        </w:rPr>
      </w:pPr>
      <w:bookmarkStart w:id="288" w:name="_Toc95387508"/>
      <w:r w:rsidRPr="00F05A8A">
        <w:t>L'initiative Giga – à l'œuvre depuis 2019 pour connecter toutes les écoles à l'Internet</w:t>
      </w:r>
      <w:bookmarkEnd w:id="288"/>
    </w:p>
    <w:p w14:paraId="6118311A" w14:textId="77777777" w:rsidR="00D80461" w:rsidRPr="00F05A8A" w:rsidRDefault="00D80461" w:rsidP="002F075E">
      <w:r w:rsidRPr="00F05A8A">
        <w:rPr>
          <w:bCs/>
        </w:rPr>
        <w:t xml:space="preserve">Lancée en 2019 par l'UIT et l'UNICEF, l'initiative mondiale </w:t>
      </w:r>
      <w:hyperlink r:id="rId262" w:history="1">
        <w:r w:rsidRPr="00F05A8A">
          <w:rPr>
            <w:rStyle w:val="Hyperlink"/>
            <w:bCs/>
          </w:rPr>
          <w:t>Giga</w:t>
        </w:r>
      </w:hyperlink>
      <w:r w:rsidRPr="00F05A8A">
        <w:rPr>
          <w:bCs/>
        </w:rPr>
        <w:t xml:space="preserve"> a pour objectif de fournir une connectivité Internet dans toutes les écoles et de permettre à tous les jeunes d'avoir accès à l'information, de bénéficier de nouvelles possibilités offertes et d'avoir la liberté de choix.</w:t>
      </w:r>
      <w:r w:rsidRPr="00F05A8A">
        <w:t xml:space="preserve"> </w:t>
      </w:r>
      <w:bookmarkStart w:id="289" w:name="lt_pId688"/>
      <w:r w:rsidRPr="00F05A8A">
        <w:t>Cette initiative bénéficie de l'appui d'éminents spécialistes du secteur, qui fournissent des avis dans le cadre du programme.</w:t>
      </w:r>
      <w:bookmarkEnd w:id="289"/>
      <w:r w:rsidRPr="00F05A8A">
        <w:t xml:space="preserve"> </w:t>
      </w:r>
      <w:bookmarkStart w:id="290" w:name="lt_pId689"/>
      <w:r w:rsidRPr="00F05A8A">
        <w:t>Elle tire parti des ressources financières et humaines, des connaissances et des ressources techniques pour la cartographie, le développement et le financement de la connectivité des écoles, ainsi que pour la production, la collecte et la diffusion de contenus pédagogiques et de biens publics numériques de grande qualité.</w:t>
      </w:r>
    </w:p>
    <w:p w14:paraId="782097BF" w14:textId="77777777" w:rsidR="00D80461" w:rsidRPr="00F05A8A" w:rsidRDefault="00D80461" w:rsidP="002F075E">
      <w:r w:rsidRPr="00F05A8A">
        <w:t xml:space="preserve">Dix-neuf pays prioritaires ont bénéficié de l'initiative, qui se concentre particulièrement sur l'Asie centrale, les Caraïbes orientales et l'Afrique. </w:t>
      </w:r>
      <w:bookmarkEnd w:id="290"/>
      <w:r w:rsidRPr="00F05A8A">
        <w:t>L'initiative Giga a:</w:t>
      </w:r>
    </w:p>
    <w:p w14:paraId="156A6A68" w14:textId="77777777" w:rsidR="00D80461" w:rsidRPr="00F05A8A" w:rsidRDefault="00D80461" w:rsidP="002F075E">
      <w:pPr>
        <w:pStyle w:val="enumlev1"/>
        <w:rPr>
          <w:rFonts w:eastAsia="PMingLiU"/>
          <w:lang w:eastAsia="zh-TW"/>
        </w:rPr>
      </w:pPr>
      <w:r w:rsidRPr="00F05A8A">
        <w:lastRenderedPageBreak/>
        <w:t>•</w:t>
      </w:r>
      <w:r w:rsidRPr="00F05A8A">
        <w:tab/>
      </w:r>
      <w:hyperlink r:id="rId263" w:history="1">
        <w:r w:rsidRPr="00F05A8A">
          <w:rPr>
            <w:rStyle w:val="Hyperlink"/>
            <w:lang w:eastAsia="zh-TW"/>
          </w:rPr>
          <w:t>élaboré une cartographie</w:t>
        </w:r>
      </w:hyperlink>
      <w:r w:rsidRPr="00F05A8A">
        <w:rPr>
          <w:lang w:eastAsia="zh-TW"/>
        </w:rPr>
        <w:t xml:space="preserve"> de plus d'un million d'écoles dans 41 pays, une cartographie d'autres pays en Afrique et en Asie-Pacifique étant en cours;</w:t>
      </w:r>
    </w:p>
    <w:p w14:paraId="2E80E08A" w14:textId="77777777" w:rsidR="00D80461" w:rsidRPr="00F05A8A" w:rsidRDefault="00D80461" w:rsidP="002F075E">
      <w:pPr>
        <w:pStyle w:val="enumlev1"/>
        <w:rPr>
          <w:rFonts w:eastAsia="PMingLiU"/>
          <w:lang w:eastAsia="zh-TW"/>
        </w:rPr>
      </w:pPr>
      <w:r w:rsidRPr="00F05A8A">
        <w:t>•</w:t>
      </w:r>
      <w:r w:rsidRPr="00F05A8A">
        <w:tab/>
      </w:r>
      <w:r w:rsidRPr="00F05A8A">
        <w:rPr>
          <w:rFonts w:eastAsia="PMingLiU"/>
          <w:lang w:eastAsia="zh-TW"/>
        </w:rPr>
        <w:t>connecté plus de 3 000 écoles au Kenya, Rwanda et Kazakhstan;</w:t>
      </w:r>
    </w:p>
    <w:p w14:paraId="2132CFEC" w14:textId="77777777" w:rsidR="00D80461" w:rsidRPr="00F05A8A" w:rsidRDefault="00D80461" w:rsidP="002F075E">
      <w:pPr>
        <w:pStyle w:val="enumlev1"/>
        <w:rPr>
          <w:rFonts w:eastAsia="PMingLiU"/>
          <w:lang w:eastAsia="zh-TW"/>
        </w:rPr>
      </w:pPr>
      <w:r w:rsidRPr="00F05A8A">
        <w:t>•</w:t>
      </w:r>
      <w:r w:rsidRPr="00F05A8A">
        <w:tab/>
        <w:t xml:space="preserve">collecté plus de </w:t>
      </w:r>
      <w:r w:rsidRPr="00F05A8A">
        <w:rPr>
          <w:lang w:eastAsia="zh-TW"/>
        </w:rPr>
        <w:t>22 millions USD auprès de partenaires mondiaux, tels qu'Ericsson, Dubai Cares et la Fondation Musk;</w:t>
      </w:r>
    </w:p>
    <w:p w14:paraId="355F56A5" w14:textId="77777777" w:rsidR="00D80461" w:rsidRPr="00F05A8A" w:rsidRDefault="00D80461" w:rsidP="002F075E">
      <w:pPr>
        <w:pStyle w:val="enumlev1"/>
      </w:pPr>
      <w:r w:rsidRPr="00F05A8A">
        <w:t>•</w:t>
      </w:r>
      <w:r w:rsidRPr="00F05A8A">
        <w:tab/>
        <w:t xml:space="preserve">apporté des conseils aux pays participants quant aux solutions techniques propres à garantir une connectivité dans les écoles. Le </w:t>
      </w:r>
      <w:hyperlink r:id="rId264" w:history="1">
        <w:r w:rsidRPr="00F05A8A">
          <w:rPr>
            <w:rStyle w:val="Hyperlink"/>
            <w:lang w:eastAsia="zh-TW"/>
          </w:rPr>
          <w:t>Kit pratique pour la connectivité sur le dernier kilomètre</w:t>
        </w:r>
      </w:hyperlink>
      <w:r w:rsidRPr="00F05A8A">
        <w:t xml:space="preserve"> de l'UIT aidera les pays concernés à assurer une connectivité financièrement abordable dans les écoles</w:t>
      </w:r>
      <w:r w:rsidRPr="00F05A8A">
        <w:rPr>
          <w:lang w:eastAsia="zh-TW"/>
        </w:rPr>
        <w:t>;</w:t>
      </w:r>
    </w:p>
    <w:p w14:paraId="258BBD7A" w14:textId="77777777" w:rsidR="00D80461" w:rsidRPr="00F05A8A" w:rsidRDefault="00D80461" w:rsidP="002F075E">
      <w:pPr>
        <w:pStyle w:val="enumlev1"/>
      </w:pPr>
      <w:r w:rsidRPr="00F05A8A">
        <w:t>•</w:t>
      </w:r>
      <w:r w:rsidRPr="00F05A8A">
        <w:tab/>
        <w:t xml:space="preserve">élaboré des modèles de financement, notamment une </w:t>
      </w:r>
      <w:hyperlink r:id="rId265" w:history="1">
        <w:r w:rsidRPr="00F05A8A">
          <w:rPr>
            <w:rStyle w:val="Hyperlink"/>
          </w:rPr>
          <w:t>évaluation de modèles économiques durables</w:t>
        </w:r>
      </w:hyperlink>
      <w:r w:rsidRPr="00F05A8A">
        <w:t xml:space="preserve"> réalisée par Boston Consulting Group, partenaire pour le partage des connaissances de l'initiative Giga; </w:t>
      </w:r>
    </w:p>
    <w:p w14:paraId="7CF0BA5F" w14:textId="77777777" w:rsidR="00D80461" w:rsidRPr="00F05A8A" w:rsidRDefault="00D80461" w:rsidP="002F075E">
      <w:pPr>
        <w:pStyle w:val="enumlev1"/>
      </w:pPr>
      <w:r w:rsidRPr="00F05A8A">
        <w:t>•</w:t>
      </w:r>
      <w:r w:rsidRPr="00F05A8A">
        <w:tab/>
        <w:t xml:space="preserve">tiré parti des investissements dans les solutions à code source ouvert, qui ont été réalisés au moyen du </w:t>
      </w:r>
      <w:hyperlink r:id="rId266" w:history="1">
        <w:r w:rsidRPr="00F05A8A">
          <w:rPr>
            <w:rStyle w:val="Hyperlink"/>
          </w:rPr>
          <w:t>Fonds de capital-risque</w:t>
        </w:r>
      </w:hyperlink>
      <w:r w:rsidRPr="00F05A8A">
        <w:t xml:space="preserve"> de l'UNICEF, en vue de recenser les biens publics numériques que les gouvernements ou les entreprises locales peuvent fournir ou déployer afin que les enfants, les professeurs et les administrateurs puissent accéder aux contenus et aux informations numériques, et acquérir des compétences numériques</w:t>
      </w:r>
      <w:r w:rsidRPr="00F05A8A">
        <w:rPr>
          <w:lang w:eastAsia="zh-TW"/>
        </w:rPr>
        <w:t>;</w:t>
      </w:r>
    </w:p>
    <w:p w14:paraId="3A2AD289" w14:textId="77777777" w:rsidR="00D80461" w:rsidRPr="00F05A8A" w:rsidRDefault="00D80461" w:rsidP="002F075E">
      <w:pPr>
        <w:pStyle w:val="enumlev1"/>
      </w:pPr>
      <w:r w:rsidRPr="00F05A8A">
        <w:t>•</w:t>
      </w:r>
      <w:r w:rsidRPr="00F05A8A">
        <w:tab/>
        <w:t>commencé à collaborer avec des pays d'Asie centrale, des Caraïbes orientales et d'Afrique, et avec de nouveaux pays de la région Asie-Pacifique, d'Amérique du Sud et d'Amérique centrale</w:t>
      </w:r>
      <w:r w:rsidRPr="00F05A8A">
        <w:rPr>
          <w:lang w:eastAsia="zh-TW"/>
        </w:rPr>
        <w:t>.</w:t>
      </w:r>
    </w:p>
    <w:p w14:paraId="17DBADB6" w14:textId="77777777" w:rsidR="00D80461" w:rsidRPr="00F05A8A" w:rsidRDefault="00D80461" w:rsidP="002F075E">
      <w:pPr>
        <w:rPr>
          <w:rFonts w:eastAsia="Calibri"/>
        </w:rPr>
      </w:pPr>
      <w:r w:rsidRPr="00F05A8A">
        <w:rPr>
          <w:rFonts w:eastAsia="Calibri"/>
        </w:rPr>
        <w:t>En février 2021, l'UIT a conclu un accord avec le Ministère des affaires étrangères, du Commonwealth et du développement du Royaume-Uni (FCDO) afin de promouvoir une réglementation efficace, des investissements et des modèles innovants pour la connectivité dans les écoles des communautés mal desservies au Kenya, au Nigéria, en Indonésie, au Brésil et en République sudafricaine.</w:t>
      </w:r>
    </w:p>
    <w:p w14:paraId="61A3CDB9" w14:textId="77777777" w:rsidR="00D80461" w:rsidRPr="00F05A8A" w:rsidRDefault="00D80461" w:rsidP="002F075E">
      <w:pPr>
        <w:rPr>
          <w:rFonts w:eastAsia="Calibri"/>
        </w:rPr>
      </w:pPr>
      <w:r w:rsidRPr="00F05A8A">
        <w:rPr>
          <w:rFonts w:eastAsia="Calibri"/>
        </w:rPr>
        <w:t xml:space="preserve">En 2021, l'initiative Giga a organisé la première </w:t>
      </w:r>
      <w:hyperlink r:id="rId267" w:history="1">
        <w:r w:rsidRPr="00F05A8A">
          <w:rPr>
            <w:rStyle w:val="Hyperlink"/>
            <w:rFonts w:eastAsia="Calibri"/>
          </w:rPr>
          <w:t>Table ronde ministérielle sur l'initiative Giga en Afrique</w:t>
        </w:r>
      </w:hyperlink>
      <w:r w:rsidRPr="00F05A8A">
        <w:rPr>
          <w:rFonts w:eastAsia="Calibri"/>
        </w:rPr>
        <w:t xml:space="preserve"> conjointement avec le Gouvernement du Rwanda, afin de collaborer dans le domaine de la réduction de la fracture numérique en Afrique. La deuxième Table ronde ministérielle sur l'initiative Giga était consacrée à la cartographie des écoles et a été l'occasion d'examiner le financement et la connexion d'un plus grand nombre d'écoles. </w:t>
      </w:r>
    </w:p>
    <w:p w14:paraId="64180B4B" w14:textId="77777777" w:rsidR="00D80461" w:rsidRPr="00F05A8A" w:rsidRDefault="00D80461" w:rsidP="002F075E">
      <w:pPr>
        <w:rPr>
          <w:rFonts w:eastAsia="Calibri"/>
        </w:rPr>
      </w:pPr>
      <w:r w:rsidRPr="00F05A8A">
        <w:rPr>
          <w:rFonts w:eastAsia="Calibri"/>
        </w:rPr>
        <w:t xml:space="preserve">Le rapport de 2021 du Groupe de travail sur l'apprentissage numérique de la Commission sur le large bande a mis en avant les travaux entrepris au titre de l'initiative Giga: </w:t>
      </w:r>
      <w:hyperlink r:id="rId268" w:history="1">
        <w:r w:rsidRPr="00F05A8A">
          <w:rPr>
            <w:rStyle w:val="Hyperlink"/>
            <w:rFonts w:eastAsia="Calibri"/>
          </w:rPr>
          <w:t>Connecting Learning Spaces: Possibilities for Hybrid Learning</w:t>
        </w:r>
      </w:hyperlink>
      <w:r w:rsidRPr="00F05A8A">
        <w:rPr>
          <w:rFonts w:eastAsia="Calibri"/>
        </w:rPr>
        <w:t xml:space="preserve"> (Connecter les lieux d'apprentissage: les possibilités en matière d'apprentissage hybride). Les travaux menés dans le cadre de l'initiative Giga ont été mis en avant dans le Plan d'action pour la coopération numérique du Secrétaire général de l'ONU et dans le </w:t>
      </w:r>
      <w:hyperlink r:id="rId269" w:history="1">
        <w:r w:rsidRPr="00F05A8A">
          <w:rPr>
            <w:rStyle w:val="Hyperlink"/>
            <w:rFonts w:eastAsia="Calibri"/>
          </w:rPr>
          <w:t>rapport "Notre programme commun"</w:t>
        </w:r>
      </w:hyperlink>
      <w:r w:rsidRPr="00F05A8A">
        <w:rPr>
          <w:rFonts w:eastAsia="Calibri"/>
        </w:rPr>
        <w:t>.</w:t>
      </w:r>
    </w:p>
    <w:p w14:paraId="09763B54" w14:textId="77777777" w:rsidR="00D80461" w:rsidRPr="00F05A8A" w:rsidRDefault="00D80461" w:rsidP="002F075E">
      <w:pPr>
        <w:pStyle w:val="Headingb"/>
        <w:ind w:left="0" w:firstLine="0"/>
      </w:pPr>
      <w:bookmarkStart w:id="291" w:name="_Toc41032088"/>
      <w:bookmarkStart w:id="292" w:name="_Toc72845058"/>
      <w:bookmarkStart w:id="293" w:name="_Toc72846399"/>
      <w:bookmarkStart w:id="294" w:name="_Toc72846632"/>
      <w:bookmarkStart w:id="295" w:name="_Toc95387509"/>
      <w:bookmarkStart w:id="296" w:name="lt_pId700"/>
      <w:r w:rsidRPr="00F05A8A">
        <w:t>Participation de l'UIT aux activités du Secrétaire général de l'ONU relatives à la coopération numérique</w:t>
      </w:r>
      <w:bookmarkEnd w:id="291"/>
      <w:bookmarkEnd w:id="292"/>
      <w:bookmarkEnd w:id="293"/>
      <w:bookmarkEnd w:id="294"/>
      <w:bookmarkEnd w:id="295"/>
      <w:r w:rsidRPr="00F05A8A">
        <w:t xml:space="preserve"> </w:t>
      </w:r>
      <w:bookmarkEnd w:id="296"/>
    </w:p>
    <w:p w14:paraId="17CEBB64" w14:textId="77777777" w:rsidR="00D80461" w:rsidRPr="00F05A8A" w:rsidRDefault="00D80461" w:rsidP="002F075E">
      <w:pPr>
        <w:shd w:val="clear" w:color="auto" w:fill="FFFFFF"/>
        <w:rPr>
          <w:lang w:eastAsia="zh-CN"/>
        </w:rPr>
      </w:pPr>
      <w:r w:rsidRPr="00F05A8A">
        <w:rPr>
          <w:lang w:eastAsia="zh-CN"/>
        </w:rPr>
        <w:t xml:space="preserve">Le rapport de juin 2019 du </w:t>
      </w:r>
      <w:hyperlink r:id="rId270" w:history="1">
        <w:r w:rsidRPr="00F05A8A">
          <w:rPr>
            <w:rStyle w:val="Hyperlink"/>
            <w:lang w:eastAsia="zh-CN"/>
          </w:rPr>
          <w:t>Groupe de haut niveau sur la coopération numérique</w:t>
        </w:r>
      </w:hyperlink>
      <w:r w:rsidRPr="00F05A8A">
        <w:rPr>
          <w:lang w:eastAsia="zh-CN"/>
        </w:rPr>
        <w:t xml:space="preserve"> intitulé </w:t>
      </w:r>
      <w:hyperlink r:id="rId271" w:history="1">
        <w:r w:rsidRPr="00F05A8A">
          <w:rPr>
            <w:rStyle w:val="Hyperlink"/>
            <w:lang w:eastAsia="zh-CN"/>
          </w:rPr>
          <w:t>The Age of Digital Interdependence</w:t>
        </w:r>
      </w:hyperlink>
      <w:r w:rsidRPr="00F05A8A">
        <w:rPr>
          <w:lang w:eastAsia="zh-CN"/>
        </w:rPr>
        <w:t xml:space="preserve"> (L'ère de l'interdépendance numérique) contenait des recommandations visant à améliorer la coopération numérique. Le Cabinet du Secrétaire général a créé huit groupes qui participeront à des tables rondes virtuelles, en vue d'examiner les façons de progresser dans l'application de chacune des recommandations. L'UIT a été désignée pour </w:t>
      </w:r>
      <w:r w:rsidRPr="00F05A8A">
        <w:rPr>
          <w:lang w:eastAsia="zh-CN"/>
        </w:rPr>
        <w:lastRenderedPageBreak/>
        <w:t>promouvoir la recommandation 1A (Connectivité mondiale) – aux côtés de l'UNICEF et de l'Ouganda – et la Recommandation 2 (Services d'assistance numérique) – avec le Programme des Nations Unies pour le développement (PNUD). L'UIT a aussi été désignée "Acteur clé" pour cinq autres tables rondes sur les Recommandations: 1B (Biens publics numériques), 1C/D (Inclusion numérique), 3C (Intelligence artificielle), 4 (Confiance et sécurité numériques) et 5A/B (Architecture de coopération numérique)</w:t>
      </w:r>
      <w:r w:rsidRPr="00F05A8A">
        <w:rPr>
          <w:rFonts w:eastAsia="SimSun"/>
          <w:lang w:eastAsia="zh-CN"/>
        </w:rPr>
        <w:t>.</w:t>
      </w:r>
    </w:p>
    <w:p w14:paraId="70F7B5CE" w14:textId="77777777" w:rsidR="00D80461" w:rsidRPr="00F05A8A" w:rsidRDefault="00D80461" w:rsidP="002F075E">
      <w:pPr>
        <w:rPr>
          <w:rFonts w:eastAsia="Calibri"/>
        </w:rPr>
      </w:pPr>
      <w:r w:rsidRPr="00F05A8A">
        <w:rPr>
          <w:rFonts w:eastAsia="Calibri"/>
        </w:rPr>
        <w:t xml:space="preserve">Les tables rondes pour lesquelles l'UIT a été désignée comme l'un des "Champions" ont fourni des contributions au Cabinet du Secrétaire général et ont contribué à la préparation du Plan d'action pour la coopération numérique du Secrétaire général de l'ONU </w:t>
      </w:r>
      <w:r w:rsidRPr="00F05A8A">
        <w:rPr>
          <w:rFonts w:eastAsia="Calibri"/>
          <w:u w:val="single"/>
        </w:rPr>
        <w:t>(</w:t>
      </w:r>
      <w:hyperlink r:id="rId272" w:history="1">
        <w:r w:rsidRPr="00F05A8A">
          <w:rPr>
            <w:rStyle w:val="Hyperlink"/>
            <w:rFonts w:eastAsia="Calibri"/>
          </w:rPr>
          <w:t>A/74/821</w:t>
        </w:r>
      </w:hyperlink>
      <w:r w:rsidRPr="00F05A8A">
        <w:rPr>
          <w:rFonts w:eastAsia="Calibri"/>
          <w:u w:val="single"/>
        </w:rPr>
        <w:t>)</w:t>
      </w:r>
      <w:r w:rsidRPr="00F05A8A">
        <w:rPr>
          <w:rFonts w:eastAsia="Calibri"/>
        </w:rPr>
        <w:t xml:space="preserve">. Depuis lors, l'UIT a collaboré avec le Bureau de l'Envoyé du Secrétaire général pour les technologies, d'autres institutions des Nations Unies et des membres des groupes participant aux tables rondes (secteur public, secteur privé et société civile) pour appuyer la mise en œuvre du Plan d'action. L'UIT dirige un groupe de travail multi-parties prenantes chargé d'élaborer un cadre relatif à la connectivité, dont les résultats préliminaires sont attendus au premier trimestre de 2022. </w:t>
      </w:r>
    </w:p>
    <w:p w14:paraId="6A068ECD" w14:textId="77777777" w:rsidR="00D80461" w:rsidRPr="00F05A8A" w:rsidRDefault="00D80461" w:rsidP="002F075E">
      <w:pPr>
        <w:rPr>
          <w:rFonts w:eastAsia="Calibri"/>
          <w:highlight w:val="green"/>
        </w:rPr>
      </w:pPr>
      <w:r w:rsidRPr="00F05A8A">
        <w:rPr>
          <w:rFonts w:eastAsia="Calibri"/>
        </w:rPr>
        <w:t xml:space="preserve">Le réseau multi-parties prenantes pour le développement des capacités numériques a été lancé lors du </w:t>
      </w:r>
      <w:hyperlink r:id="rId273" w:history="1">
        <w:r w:rsidRPr="00F05A8A">
          <w:rPr>
            <w:rStyle w:val="Hyperlink"/>
            <w:rFonts w:eastAsia="Calibri"/>
          </w:rPr>
          <w:t>Forum sur la gouvernance de l'Internet</w:t>
        </w:r>
      </w:hyperlink>
      <w:r w:rsidRPr="00F05A8A">
        <w:rPr>
          <w:rFonts w:eastAsia="Calibri"/>
        </w:rPr>
        <w:t xml:space="preserve"> de 2021. L'UIT et le PNUD ont lancé le Mécanisme conjoint pour le renforcement des capacités numériques, qui comprend une </w:t>
      </w:r>
      <w:hyperlink r:id="rId274" w:history="1">
        <w:r w:rsidRPr="00F05A8A">
          <w:rPr>
            <w:rStyle w:val="Hyperlink"/>
            <w:rFonts w:eastAsia="Calibri"/>
          </w:rPr>
          <w:t>plate-forme en ligne</w:t>
        </w:r>
      </w:hyperlink>
      <w:r w:rsidRPr="00F05A8A">
        <w:rPr>
          <w:rFonts w:eastAsia="Calibri"/>
        </w:rPr>
        <w:t xml:space="preserve"> destinée à appuyer le réseau multi-parties prenantes en constituant une base de données relative aux formations aux compétences numériques existantes et en faisant le lien entre les demandes en attente et les offres de formation, ce qui a permis d'adopter une approche plus globale du renforcement des capacités numériques.</w:t>
      </w:r>
    </w:p>
    <w:p w14:paraId="18A14F21" w14:textId="77777777" w:rsidR="00D80461" w:rsidRPr="00F05A8A" w:rsidRDefault="00D80461" w:rsidP="002F075E">
      <w:pPr>
        <w:rPr>
          <w:rFonts w:eastAsia="Calibri"/>
        </w:rPr>
      </w:pPr>
      <w:r w:rsidRPr="00F05A8A">
        <w:rPr>
          <w:rFonts w:eastAsia="Calibri"/>
        </w:rPr>
        <w:t xml:space="preserve">Le rôle de premier plan de l'UIT dans la mise en œuvre du </w:t>
      </w:r>
      <w:hyperlink r:id="rId275" w:history="1">
        <w:r w:rsidRPr="00F05A8A">
          <w:rPr>
            <w:rStyle w:val="Hyperlink"/>
            <w:rFonts w:eastAsia="Calibri"/>
          </w:rPr>
          <w:t>Plan d'action</w:t>
        </w:r>
      </w:hyperlink>
      <w:r w:rsidRPr="00F05A8A">
        <w:rPr>
          <w:rFonts w:eastAsia="Calibri"/>
        </w:rPr>
        <w:t xml:space="preserve"> a été présenté lors du </w:t>
      </w:r>
      <w:hyperlink r:id="rId276" w:history="1">
        <w:r w:rsidRPr="00F05A8A">
          <w:rPr>
            <w:rStyle w:val="Hyperlink"/>
            <w:rFonts w:eastAsia="Calibri"/>
          </w:rPr>
          <w:t>Débat thématique de haut niveau sur la coopération et la connectivité numériques</w:t>
        </w:r>
      </w:hyperlink>
      <w:r w:rsidRPr="00F05A8A">
        <w:rPr>
          <w:rFonts w:eastAsia="Calibri"/>
        </w:rPr>
        <w:t>, en avril 2021. L'UIT a participé aux consultations internes organisées par le Cabinet du Secrétaire général en vue d'établir le rapport "</w:t>
      </w:r>
      <w:hyperlink r:id="rId277" w:history="1">
        <w:r w:rsidRPr="00F05A8A">
          <w:rPr>
            <w:rStyle w:val="Hyperlink"/>
            <w:rFonts w:eastAsia="Calibri"/>
          </w:rPr>
          <w:t>Notre programme commun</w:t>
        </w:r>
      </w:hyperlink>
      <w:r w:rsidRPr="00F05A8A">
        <w:rPr>
          <w:rFonts w:eastAsia="Calibri"/>
        </w:rPr>
        <w:t>", publié en septembre 2021, qui contient des recommandations sur les défis actuels et futurs. L'UIT étudie le suivi de "Notre programme commun", en mettant l'accent sur la coopération numérique.</w:t>
      </w:r>
    </w:p>
    <w:p w14:paraId="7F6553BD" w14:textId="77777777" w:rsidR="00D80461" w:rsidRPr="00F05A8A" w:rsidRDefault="00D80461" w:rsidP="002F075E">
      <w:pPr>
        <w:pStyle w:val="Headingb"/>
        <w:ind w:left="0" w:firstLine="0"/>
      </w:pPr>
      <w:bookmarkStart w:id="297" w:name="_Toc95387510"/>
      <w:r w:rsidRPr="00F05A8A">
        <w:t>L'UIT offre ses compétences spécialisées aux dirigeants du G20 pour accélérer la croissance, le développement et l'innovation dans le secteur des TIC</w:t>
      </w:r>
      <w:bookmarkEnd w:id="297"/>
    </w:p>
    <w:p w14:paraId="6D4A870C" w14:textId="77777777" w:rsidR="00D80461" w:rsidRPr="00F05A8A" w:rsidRDefault="00D80461" w:rsidP="002F075E">
      <w:pPr>
        <w:shd w:val="clear" w:color="auto" w:fill="FFFFFF"/>
      </w:pPr>
      <w:r w:rsidRPr="00F05A8A">
        <w:t>Les dirigeants du G20 sont conscients du rôle que les TIC peuvent jouer pour faire progresser la réalisation des ODD en faisant la promotion de la généralisation du numérique pour tous. En 2020, l'UIT a fourni un appui à la Présidence du G20, en tant que partenaire pour le partage des connaissances pour divers volets, notamment le Groupe spécial du G20 sur la santé numérique et "la sécurité dans l'économie numérique".</w:t>
      </w:r>
    </w:p>
    <w:p w14:paraId="5F2BCE45" w14:textId="77777777" w:rsidR="00D80461" w:rsidRPr="00F05A8A" w:rsidRDefault="00D80461" w:rsidP="002F075E">
      <w:pPr>
        <w:shd w:val="clear" w:color="auto" w:fill="FFFFFF"/>
        <w:rPr>
          <w:lang w:eastAsia="zh-CN"/>
        </w:rPr>
      </w:pPr>
      <w:r w:rsidRPr="00F05A8A">
        <w:t>Avec d'autres organisations internationales, l'UIT a fourni un appui au G20 en mettant à disposition ses compétences spécialisées dans le domaine de l'accélération de la croissance, du développement et de l'innovation dans le secteur des TIC. Dans ce contexte, l'UIT a mené une étude, "</w:t>
      </w:r>
      <w:hyperlink r:id="rId278" w:history="1">
        <w:r w:rsidRPr="00F05A8A">
          <w:rPr>
            <w:rStyle w:val="Hyperlink"/>
            <w:lang w:eastAsia="zh-CN"/>
          </w:rPr>
          <w:t>Connecting Humanity</w:t>
        </w:r>
      </w:hyperlink>
      <w:r w:rsidRPr="00F05A8A">
        <w:t>" (Connecter l'humanité), avec l'appui du Royaume d'Arabie saoudite, afin d'estimer les investissements qu'il faut faire pour garantir une connectivité large bande universelle et abordable pour toutes les personnes avant la fin de la décennie. Cette étude a été présentée à la réunion du Groupe spécial du G20 sur l'économie numérique en juillet 2020</w:t>
      </w:r>
      <w:r w:rsidRPr="00F05A8A">
        <w:rPr>
          <w:lang w:eastAsia="zh-CN"/>
        </w:rPr>
        <w:t>.</w:t>
      </w:r>
    </w:p>
    <w:p w14:paraId="2E951119" w14:textId="77777777" w:rsidR="00D80461" w:rsidRPr="00F05A8A" w:rsidRDefault="00D80461" w:rsidP="002F075E">
      <w:pPr>
        <w:pStyle w:val="Headingb"/>
        <w:ind w:left="0" w:firstLine="0"/>
      </w:pPr>
      <w:r w:rsidRPr="00F05A8A">
        <w:lastRenderedPageBreak/>
        <w:t>Partenariat entre l'UIT et l'Organisation mondiale de la santé dans le domaine de l'intelligence artificielle au service de la santé</w:t>
      </w:r>
    </w:p>
    <w:p w14:paraId="27BDB25E" w14:textId="77777777" w:rsidR="00D80461" w:rsidRPr="00F05A8A" w:rsidRDefault="00D80461" w:rsidP="002F075E">
      <w:pPr>
        <w:shd w:val="clear" w:color="auto" w:fill="FFFFFF"/>
        <w:rPr>
          <w:lang w:eastAsia="zh-CN"/>
        </w:rPr>
      </w:pPr>
      <w:r w:rsidRPr="00F05A8A">
        <w:rPr>
          <w:lang w:eastAsia="zh-CN"/>
        </w:rPr>
        <w:t xml:space="preserve">Le </w:t>
      </w:r>
      <w:hyperlink r:id="rId279" w:history="1">
        <w:r w:rsidRPr="00F05A8A">
          <w:rPr>
            <w:rStyle w:val="Hyperlink"/>
            <w:lang w:eastAsia="zh-CN"/>
          </w:rPr>
          <w:t>Groupe spécialisé UIT/OMS sur l'intelligence artificielle au service de la santé (FG-AI4H)</w:t>
        </w:r>
      </w:hyperlink>
      <w:r w:rsidRPr="00F05A8A">
        <w:rPr>
          <w:lang w:eastAsia="zh-CN"/>
        </w:rPr>
        <w:t xml:space="preserve"> collabore avec l'Organisation mondiale de la santé (OMS) afin d'établir un cadre d'évaluation normalisé pour évaluer les méthodes basées sur l'intelligence artificielle au service de la santé, du diagnostic, du triage ou des décisions relatives au traitement. Le Groupe, par l'intermédiaire de son Groupe de travail sur les considérations éthiques, a élaboré un </w:t>
      </w:r>
      <w:hyperlink r:id="rId280" w:history="1">
        <w:r w:rsidRPr="00F05A8A">
          <w:rPr>
            <w:rStyle w:val="Hyperlink"/>
            <w:lang w:eastAsia="zh-CN"/>
          </w:rPr>
          <w:t>guide de l'OMS sur l'éthique et la gouvernance de l'intelligence artificielle au service de la santé</w:t>
        </w:r>
      </w:hyperlink>
      <w:r w:rsidRPr="00F05A8A">
        <w:rPr>
          <w:lang w:eastAsia="zh-CN"/>
        </w:rPr>
        <w:t>. Le rapport recense les défis et les risques d'ordre éthique liés à l'utilisation de l'intelligence artificielle au service de la santé et présente six principes consensuels pour veiller à ce que l'intelligence artificielle soit exploitée dans l'intérêt des populations de tous les pays. Il contient aussi un ensemble de recommandations permettant de faire en sorte que la gouvernance de l'intelligence artificielle au service de la santé exploite au maximum le potentiel des technologies et rendent toutes les parties prenantes, aussi bien du secteur public que du secteur privé, responsables et garantes des besoins des professionnels de santé qui s'appuieront sur ces technologies ainsi que des communautés et des personnes dont la santé sera affectée par l'usage de ces technologies.</w:t>
      </w:r>
    </w:p>
    <w:p w14:paraId="33708229" w14:textId="77777777" w:rsidR="00D80461" w:rsidRPr="00F05A8A" w:rsidRDefault="00D80461" w:rsidP="002F075E">
      <w:pPr>
        <w:shd w:val="clear" w:color="auto" w:fill="FFFFFF"/>
        <w:rPr>
          <w:lang w:eastAsia="zh-CN"/>
        </w:rPr>
      </w:pPr>
      <w:r w:rsidRPr="00F05A8A">
        <w:rPr>
          <w:lang w:eastAsia="zh-CN"/>
        </w:rPr>
        <w:t>En outre, les Groupes de travail sur les considérations réglementaires et sur l'évaluation clinique ont produit des documents qui paraîtront prochainement sous la forme de publications de l'OMS.</w:t>
      </w:r>
    </w:p>
    <w:p w14:paraId="7E3E39B4" w14:textId="77777777" w:rsidR="00D80461" w:rsidRPr="00F05A8A" w:rsidRDefault="00D80461" w:rsidP="002F075E">
      <w:pPr>
        <w:shd w:val="clear" w:color="auto" w:fill="FFFFFF"/>
        <w:jc w:val="both"/>
        <w:rPr>
          <w:lang w:eastAsia="zh-CN"/>
        </w:rPr>
      </w:pPr>
      <w:r w:rsidRPr="00F05A8A">
        <w:rPr>
          <w:lang w:eastAsia="zh-CN"/>
        </w:rPr>
        <w:t xml:space="preserve">Enfin, l'initiative Open Code élabore une </w:t>
      </w:r>
      <w:hyperlink r:id="rId281" w:history="1">
        <w:r w:rsidRPr="00F05A8A">
          <w:rPr>
            <w:rStyle w:val="Hyperlink"/>
            <w:lang w:eastAsia="zh-CN"/>
          </w:rPr>
          <w:t>mise en œuvre de référence des produits applicables</w:t>
        </w:r>
      </w:hyperlink>
      <w:r w:rsidRPr="00F05A8A">
        <w:rPr>
          <w:lang w:eastAsia="zh-CN"/>
        </w:rPr>
        <w:t xml:space="preserve"> accessible au public.</w:t>
      </w:r>
    </w:p>
    <w:p w14:paraId="3438B44A" w14:textId="77777777" w:rsidR="00D80461" w:rsidRPr="00F05A8A" w:rsidRDefault="00D80461" w:rsidP="002F075E">
      <w:pPr>
        <w:pStyle w:val="Headingb"/>
        <w:tabs>
          <w:tab w:val="clear" w:pos="567"/>
        </w:tabs>
        <w:ind w:left="0" w:firstLine="0"/>
      </w:pPr>
      <w:r w:rsidRPr="00F05A8A">
        <w:t>L'UIT, l'Organisation météorologique mondiale et le PNUE examinent les possibilités de tirer parti de l'intelligence artificielle au service de la gestion des catastrophes naturelles</w:t>
      </w:r>
    </w:p>
    <w:p w14:paraId="7E694522" w14:textId="77777777" w:rsidR="00D80461" w:rsidRPr="00F05A8A" w:rsidRDefault="00D80461" w:rsidP="002F075E">
      <w:pPr>
        <w:shd w:val="clear" w:color="auto" w:fill="FFFFFF"/>
      </w:pPr>
      <w:r w:rsidRPr="00F05A8A">
        <w:t xml:space="preserve">Le </w:t>
      </w:r>
      <w:hyperlink r:id="rId282" w:history="1">
        <w:r w:rsidRPr="00F05A8A">
          <w:rPr>
            <w:rStyle w:val="Hyperlink"/>
          </w:rPr>
          <w:t>Groupe spécialisé sur l'intelligence artificielle au service de la gestion des catastrophes naturelles (FG-AI4NDM) de l'UIT/OMM/PNUE</w:t>
        </w:r>
      </w:hyperlink>
      <w:r w:rsidRPr="00F05A8A">
        <w:t xml:space="preserve"> examine les possibilités de tirer parti de l'intelligence artificielle (IA) pour la gestion des catastrophes naturelles. En conséquence, il contribue à jeter les bases de l'adoption de bonnes pratiques concernant l'utilisation de l'IA pour détecter et prévoir des catastrophes naturelles et assurer une communication efficace.</w:t>
      </w:r>
    </w:p>
    <w:p w14:paraId="278E29C8" w14:textId="77777777" w:rsidR="00D80461" w:rsidRPr="00F05A8A" w:rsidRDefault="00D80461" w:rsidP="002F075E">
      <w:pPr>
        <w:pStyle w:val="Headingb"/>
        <w:ind w:left="0" w:firstLine="0"/>
      </w:pPr>
      <w:r w:rsidRPr="00F05A8A">
        <w:t>L'UIT et l'Organisation des Nations Unies pour l'alimentation et l'</w:t>
      </w:r>
      <w:r w:rsidRPr="00F05A8A">
        <w:rPr>
          <w:iCs/>
        </w:rPr>
        <w:t>agriculture</w:t>
      </w:r>
      <w:r w:rsidRPr="00F05A8A">
        <w:t xml:space="preserve"> coopèrent étroitement en ce qui concerne l'intelligence artificielle et l'Internet des objets au service de l'agriculture numérique</w:t>
      </w:r>
    </w:p>
    <w:p w14:paraId="13E59E06" w14:textId="77777777" w:rsidR="00D80461" w:rsidRPr="00F05A8A" w:rsidRDefault="00D80461" w:rsidP="002F075E">
      <w:pPr>
        <w:shd w:val="clear" w:color="auto" w:fill="FFFFFF"/>
        <w:rPr>
          <w:lang w:eastAsia="zh-CN"/>
        </w:rPr>
      </w:pPr>
      <w:r w:rsidRPr="00F05A8A">
        <w:t xml:space="preserve">Le </w:t>
      </w:r>
      <w:hyperlink r:id="rId283" w:history="1">
        <w:r w:rsidRPr="00F05A8A">
          <w:rPr>
            <w:rStyle w:val="Hyperlink"/>
          </w:rPr>
          <w:t>Groupe spécialisé de l'UIT-T sur l'intelligence artificielle (IA) et l'Internet des objets (IoT) au service de l'agriculture numérique(FG-AI4A)</w:t>
        </w:r>
      </w:hyperlink>
      <w:r w:rsidRPr="00F05A8A">
        <w:t xml:space="preserve"> étudie le potentiel de technologies émergentes telles que l'IA et l'IoT pour la prise en charge de l'acquisition et du traitement des données, l'amélioration de la modélisation à partir d'un volume croissant de données agricoles et géospatiales et l'établissement d'une communication efficace pour les interventions liées à l'optimisation des processus de production agricole.</w:t>
      </w:r>
    </w:p>
    <w:p w14:paraId="6AEC00C7" w14:textId="77777777" w:rsidR="00D80461" w:rsidRPr="00F05A8A" w:rsidRDefault="00D80461" w:rsidP="002F075E">
      <w:pPr>
        <w:pStyle w:val="Headingb"/>
        <w:rPr>
          <w:highlight w:val="green"/>
        </w:rPr>
      </w:pPr>
      <w:bookmarkStart w:id="298" w:name="_Toc95387511"/>
      <w:r w:rsidRPr="00F05A8A">
        <w:t>L'UIT, un partenaire de confiance pour un large éventail d'organisations de premier plan</w:t>
      </w:r>
      <w:bookmarkEnd w:id="298"/>
    </w:p>
    <w:p w14:paraId="7AE6BFC3" w14:textId="77777777" w:rsidR="00D80461" w:rsidRPr="00F05A8A" w:rsidRDefault="00D80461" w:rsidP="002F075E">
      <w:pPr>
        <w:snapToGrid w:val="0"/>
        <w:spacing w:after="120"/>
      </w:pPr>
      <w:r w:rsidRPr="00F05A8A">
        <w:t xml:space="preserve">L'UIT œuvre en partenariat avec diverses organisations dans le cadre de ses activités courantes: </w:t>
      </w:r>
    </w:p>
    <w:p w14:paraId="01578438" w14:textId="77777777" w:rsidR="00D80461" w:rsidRPr="00F05A8A" w:rsidRDefault="00D80461" w:rsidP="002F075E">
      <w:pPr>
        <w:pStyle w:val="enumlev1"/>
        <w:rPr>
          <w:lang w:eastAsia="zh-TW"/>
        </w:rPr>
      </w:pPr>
      <w:r w:rsidRPr="00F05A8A">
        <w:rPr>
          <w:i/>
          <w:lang w:eastAsia="zh-TW"/>
        </w:rPr>
        <w:t>•</w:t>
      </w:r>
      <w:r w:rsidRPr="00F05A8A">
        <w:rPr>
          <w:i/>
          <w:lang w:eastAsia="zh-TW"/>
        </w:rPr>
        <w:tab/>
        <w:t xml:space="preserve">Radiocommunications. </w:t>
      </w:r>
      <w:r w:rsidRPr="00F05A8A">
        <w:rPr>
          <w:lang w:eastAsia="zh-TW"/>
        </w:rPr>
        <w:t>Le Bureau des radiocommunications de l'UIT (BR) continue de travailler en coopération étroite avec</w:t>
      </w:r>
      <w:r w:rsidRPr="00F05A8A">
        <w:rPr>
          <w:i/>
          <w:lang w:eastAsia="zh-TW"/>
        </w:rPr>
        <w:t xml:space="preserve"> </w:t>
      </w:r>
      <w:r w:rsidRPr="00F05A8A">
        <w:rPr>
          <w:lang w:eastAsia="zh-TW"/>
        </w:rPr>
        <w:t>les organisations régionales de télécommunication (APT, ASMG, UAT, CEPT, CITEL et RCC), les organismes de radiodiffusion (ABU, ASBU, UER et HFCC) et les organisations de radiocommunication (ITSO, ESOA, GVF, GSMA, par exemple).</w:t>
      </w:r>
    </w:p>
    <w:p w14:paraId="15780CDF" w14:textId="77777777" w:rsidR="00D80461" w:rsidRPr="00F05A8A" w:rsidRDefault="00D80461" w:rsidP="002F075E">
      <w:pPr>
        <w:pStyle w:val="enumlev1"/>
        <w:rPr>
          <w:lang w:eastAsia="zh-TW"/>
        </w:rPr>
      </w:pPr>
      <w:r w:rsidRPr="00F05A8A">
        <w:rPr>
          <w:i/>
          <w:lang w:eastAsia="zh-TW"/>
        </w:rPr>
        <w:lastRenderedPageBreak/>
        <w:t>•</w:t>
      </w:r>
      <w:r w:rsidRPr="00F05A8A">
        <w:rPr>
          <w:i/>
          <w:lang w:eastAsia="zh-TW"/>
        </w:rPr>
        <w:tab/>
      </w:r>
      <w:r w:rsidRPr="00F05A8A">
        <w:rPr>
          <w:i/>
          <w:iCs/>
          <w:lang w:eastAsia="zh-TW"/>
        </w:rPr>
        <w:t xml:space="preserve">Cybersécurité. </w:t>
      </w:r>
      <w:r w:rsidRPr="00F05A8A">
        <w:rPr>
          <w:lang w:eastAsia="zh-TW"/>
        </w:rPr>
        <w:t>L'UIT a établi des partenariats avec la Commonwealth Cybercrime Initiative, l'Agence de l'Union européenne chargée de la sécurité des réseaux et de l'information (ENISA), INTERPOL, la Communauté économique des États de l'Afrique de l'Ouest (CEDEAO), la Banque mondiale, le Forum FIRST et les associations régionales d'équipes CSIRT/CERT, comme AP CERT, AFRICA CERT et OIC CERT.</w:t>
      </w:r>
    </w:p>
    <w:p w14:paraId="39928727" w14:textId="77777777" w:rsidR="00D80461" w:rsidRPr="00F05A8A" w:rsidRDefault="00D80461" w:rsidP="002F075E">
      <w:pPr>
        <w:pStyle w:val="enumlev1"/>
        <w:rPr>
          <w:iCs/>
          <w:lang w:eastAsia="zh-TW"/>
        </w:rPr>
      </w:pPr>
      <w:r w:rsidRPr="00F05A8A">
        <w:rPr>
          <w:i/>
          <w:lang w:eastAsia="zh-TW"/>
        </w:rPr>
        <w:t>•</w:t>
      </w:r>
      <w:r w:rsidRPr="00F05A8A">
        <w:rPr>
          <w:i/>
          <w:lang w:eastAsia="zh-TW"/>
        </w:rPr>
        <w:tab/>
      </w:r>
      <w:r w:rsidRPr="00F05A8A">
        <w:rPr>
          <w:i/>
          <w:iCs/>
          <w:lang w:eastAsia="zh-TW"/>
        </w:rPr>
        <w:t>Déchets d'équipements électriques et électroniques.</w:t>
      </w:r>
      <w:r w:rsidRPr="00F05A8A">
        <w:rPr>
          <w:iCs/>
          <w:lang w:eastAsia="zh-TW"/>
        </w:rPr>
        <w:t xml:space="preserve"> L'UIT a consolidé le </w:t>
      </w:r>
      <w:hyperlink r:id="rId284" w:history="1">
        <w:r w:rsidRPr="00F05A8A">
          <w:rPr>
            <w:rStyle w:val="Hyperlink"/>
            <w:lang w:eastAsia="zh-TW"/>
          </w:rPr>
          <w:t>Partenariat mondial sur les statistiques relatives aux déchets d'équipements électriques et électroniques</w:t>
        </w:r>
      </w:hyperlink>
      <w:r w:rsidRPr="00F05A8A">
        <w:rPr>
          <w:lang w:eastAsia="zh-TW"/>
        </w:rPr>
        <w:t>, qu'elle avait fondé en 2017 avec l'Université des Nations Unies (UNU) et l'Association internationale des déchets solides (ISWA).</w:t>
      </w:r>
    </w:p>
    <w:p w14:paraId="4557B4BA" w14:textId="77777777" w:rsidR="00D80461" w:rsidRPr="00F05A8A" w:rsidRDefault="00D80461" w:rsidP="002F075E">
      <w:pPr>
        <w:pStyle w:val="enumlev1"/>
      </w:pPr>
      <w:r w:rsidRPr="00F05A8A">
        <w:rPr>
          <w:i/>
          <w:lang w:eastAsia="zh-TW"/>
        </w:rPr>
        <w:t>•</w:t>
      </w:r>
      <w:r w:rsidRPr="00F05A8A">
        <w:rPr>
          <w:i/>
          <w:lang w:eastAsia="zh-TW"/>
        </w:rPr>
        <w:tab/>
      </w:r>
      <w:r w:rsidRPr="00F05A8A">
        <w:rPr>
          <w:i/>
          <w:iCs/>
        </w:rPr>
        <w:t>Villes intelligentes.</w:t>
      </w:r>
      <w:r w:rsidRPr="00F05A8A">
        <w:t xml:space="preserve"> En 2016, l'UIT a créé l'initiative "Tous unis pour des villes intelligentes et durables" (</w:t>
      </w:r>
      <w:hyperlink r:id="rId285" w:history="1">
        <w:r w:rsidRPr="00F05A8A">
          <w:rPr>
            <w:rStyle w:val="Hyperlink"/>
          </w:rPr>
          <w:t>U4SSC</w:t>
        </w:r>
      </w:hyperlink>
      <w:r w:rsidRPr="00F05A8A">
        <w:t>) avec la CEE et ONU-Habitat. Cette initiative bénéficie de l'appui de 14 organismes et programmes du système des Nations Unies: la Convention sur la diversité biologique (CBD), la Commission économique pour l'Amérique latine et les Caraïbes (CEPALC), l'Organisation des Nations Unies pour l'alimentation et l'agriculture (FAO), le PNUD, la Commission économique pour l'Afrique de l'ONU (CEA), l'UNESCO, le PNUE, l'Initiative de collaboration du Programme des Nations Unies pour l'environnement avec le secteur financier (UNEP FI), la CCNUCC, l'ONUDI, le Bureau des Nations Unies pour les partenariats, le Groupe opérationnel pour la gouvernance électronique au service des politiques publiques (UNU-EGOV), ONU-Femmes et l'Organisation météorologique mondiale (OMM). L'UIT travaille en étroite collaboration avec l'Organisation pour les relations économiques internationales (OiER), le Centre d'information sur les réseaux du Brésil (NIC.br) et l'Organisation panaméricaine de la santé (OPS).</w:t>
      </w:r>
    </w:p>
    <w:p w14:paraId="50BD25BA" w14:textId="77777777" w:rsidR="00D80461" w:rsidRPr="00F05A8A" w:rsidRDefault="00D80461" w:rsidP="002F075E">
      <w:pPr>
        <w:pStyle w:val="Heading2"/>
        <w:rPr>
          <w:lang w:eastAsia="en-GB"/>
        </w:rPr>
      </w:pPr>
      <w:bookmarkStart w:id="299" w:name="_1.10_Séminaires_et"/>
      <w:bookmarkStart w:id="300" w:name="_Toc41032091"/>
      <w:bookmarkStart w:id="301" w:name="_Toc72846635"/>
      <w:bookmarkStart w:id="302" w:name="_Toc98513609"/>
      <w:bookmarkStart w:id="303" w:name="_Toc107466574"/>
      <w:bookmarkEnd w:id="299"/>
      <w:r w:rsidRPr="00F05A8A">
        <w:t>1.10</w:t>
      </w:r>
      <w:r w:rsidRPr="00F05A8A">
        <w:tab/>
        <w:t>Séminaires, ateliers</w:t>
      </w:r>
      <w:bookmarkEnd w:id="300"/>
      <w:bookmarkEnd w:id="301"/>
      <w:r w:rsidRPr="00F05A8A">
        <w:t xml:space="preserve"> </w:t>
      </w:r>
      <w:r w:rsidRPr="00F05A8A">
        <w:rPr>
          <w:lang w:eastAsia="en-GB"/>
        </w:rPr>
        <w:t>et assistance</w:t>
      </w:r>
      <w:bookmarkStart w:id="304" w:name="Section_1_10"/>
      <w:bookmarkEnd w:id="302"/>
      <w:bookmarkEnd w:id="303"/>
    </w:p>
    <w:p w14:paraId="035D2877" w14:textId="77777777" w:rsidR="00D80461" w:rsidRPr="00F05A8A" w:rsidRDefault="00D80461" w:rsidP="002F075E">
      <w:pPr>
        <w:rPr>
          <w:rFonts w:eastAsia="Calibri"/>
        </w:rPr>
      </w:pPr>
      <w:r w:rsidRPr="00F05A8A">
        <w:rPr>
          <w:rFonts w:eastAsia="Calibri"/>
        </w:rPr>
        <w:t>Chacun des trois Secteurs de l'UIT a noué des relations et travaillé avec des pays, communautés et parties prenantes du monde entier, en leur apportant des connaissances, informations et compétences précieuses, avec l'organisation de milliers d'ateliers et de séminaires tout au long de la période de quatre ans couverte par le présent rapport.</w:t>
      </w:r>
    </w:p>
    <w:p w14:paraId="27E6132E" w14:textId="77777777" w:rsidR="00D80461" w:rsidRPr="00F05A8A" w:rsidRDefault="00D80461" w:rsidP="002F075E">
      <w:pPr>
        <w:pStyle w:val="Headingb"/>
      </w:pPr>
      <w:bookmarkStart w:id="305" w:name="lt_pId724"/>
      <w:bookmarkStart w:id="306" w:name="_Toc41032092"/>
      <w:bookmarkStart w:id="307" w:name="_Toc72845062"/>
      <w:bookmarkStart w:id="308" w:name="_Toc72846402"/>
      <w:bookmarkStart w:id="309" w:name="_Toc72846636"/>
      <w:bookmarkStart w:id="310" w:name="_Toc95387513"/>
      <w:bookmarkEnd w:id="304"/>
      <w:r w:rsidRPr="00F05A8A">
        <w:t>UIT-R</w:t>
      </w:r>
      <w:bookmarkEnd w:id="305"/>
      <w:bookmarkEnd w:id="306"/>
      <w:bookmarkEnd w:id="307"/>
      <w:bookmarkEnd w:id="308"/>
      <w:bookmarkEnd w:id="309"/>
      <w:bookmarkEnd w:id="310"/>
    </w:p>
    <w:p w14:paraId="407A9D29" w14:textId="77777777" w:rsidR="00D80461" w:rsidRPr="00F05A8A" w:rsidRDefault="00D80461" w:rsidP="002F075E">
      <w:pPr>
        <w:rPr>
          <w:rFonts w:eastAsia="Calibri"/>
          <w:highlight w:val="lightGray"/>
        </w:rPr>
      </w:pPr>
      <w:r w:rsidRPr="00F05A8A">
        <w:rPr>
          <w:rFonts w:eastAsia="Calibri"/>
        </w:rPr>
        <w:t>Des séminaires mondiaux des radiocommunications (WRS), des séminaires régionaux des radiocommunications (RRS) et des ateliers interrégionaux de l'UIT sur les travaux préparatoires en vue de la CMR ont été organisés. Les séminaires WRS se tiennent tous les deux ans, en complément des séminaires RRS. Les séminaires WRS portent sur l'utilisation du spectre des fréquences radioélectriques et des orbites de satellites, en ce qui concerne les dispositions du Règlement des radiocommunications de l'UIT.</w:t>
      </w:r>
    </w:p>
    <w:p w14:paraId="3AEBF261" w14:textId="77777777" w:rsidR="00D80461" w:rsidRPr="00F05A8A" w:rsidRDefault="00D80461" w:rsidP="002F075E">
      <w:pPr>
        <w:rPr>
          <w:color w:val="000000"/>
        </w:rPr>
      </w:pPr>
      <w:r w:rsidRPr="00F05A8A">
        <w:t>L'édition de 2020 du séminaire WRS s'est tenue de façon entièrement virtuelle et la participation aux séances plénières était ouverte à tous. Les séances portaient sur des</w:t>
      </w:r>
      <w:r w:rsidRPr="00F05A8A">
        <w:rPr>
          <w:color w:val="000000"/>
        </w:rPr>
        <w:t xml:space="preserve"> questions générales se rapportant aux radiocommunications, l'application des dispositions du Règlement des radiocommunications de l'UIT et l'évolution des services de radiocommunication. Les séances plénières du WRS-20 sont disponibles en ligne: </w:t>
      </w:r>
      <w:hyperlink r:id="rId286" w:history="1">
        <w:r w:rsidRPr="00F05A8A">
          <w:rPr>
            <w:rFonts w:eastAsia="Calibri"/>
            <w:color w:val="0000FF"/>
            <w:spacing w:val="-2"/>
            <w:u w:val="single"/>
          </w:rPr>
          <w:t>les moments clés du séminaire WRS-20</w:t>
        </w:r>
      </w:hyperlink>
      <w:r w:rsidRPr="00F05A8A">
        <w:rPr>
          <w:rFonts w:eastAsia="Calibri"/>
          <w:spacing w:val="-2"/>
        </w:rPr>
        <w:t>.</w:t>
      </w:r>
    </w:p>
    <w:p w14:paraId="5652E990" w14:textId="77777777" w:rsidR="0079251D" w:rsidRPr="00F05A8A" w:rsidRDefault="00D80461" w:rsidP="002F075E">
      <w:r w:rsidRPr="00F05A8A">
        <w:t xml:space="preserve">La participation aux ateliers était réservée aux États Membres de l'UIT et aux établissements universitaires participant aux travaux de l'Union, ainsi qu'aux Membres de Secteur et aux Associés de l'UIT-R. Les ateliers étaient consacrés aux services spatiaux et services de Terre, et </w:t>
      </w:r>
      <w:r w:rsidR="0079251D" w:rsidRPr="00F05A8A">
        <w:br w:type="page"/>
      </w:r>
    </w:p>
    <w:p w14:paraId="08BE4DD5" w14:textId="3D1128B1" w:rsidR="00D80461" w:rsidRPr="00F05A8A" w:rsidRDefault="00D80461" w:rsidP="002F075E">
      <w:pPr>
        <w:rPr>
          <w:color w:val="000000"/>
        </w:rPr>
      </w:pPr>
      <w:r w:rsidRPr="00F05A8A">
        <w:lastRenderedPageBreak/>
        <w:t xml:space="preserve">comportaient des exposés et des séances pratiques, permettant aux participants </w:t>
      </w:r>
      <w:r w:rsidRPr="00F05A8A">
        <w:rPr>
          <w:color w:val="000000"/>
        </w:rPr>
        <w:t>de se familiariser davantage avec les procédures de notification de l'UIT ainsi qu'avec les logiciels et les publications électroniques que le Bureau des radiocommunications met à la disposition des membres de l'UIT.</w:t>
      </w:r>
    </w:p>
    <w:p w14:paraId="07BC88A6" w14:textId="77777777" w:rsidR="00D80461" w:rsidRPr="00F05A8A" w:rsidRDefault="00D80461" w:rsidP="002F075E">
      <w:pPr>
        <w:spacing w:after="240"/>
        <w:rPr>
          <w:rFonts w:eastAsia="Calibri"/>
        </w:rPr>
      </w:pPr>
      <w:r w:rsidRPr="00F05A8A">
        <w:rPr>
          <w:rFonts w:eastAsia="Calibri"/>
        </w:rPr>
        <w:t>Les séminaires régionaux des radiocommunications de l'UIT, organisés par</w:t>
      </w:r>
      <w:r w:rsidRPr="00F05A8A">
        <w:t xml:space="preserve"> </w:t>
      </w:r>
      <w:r w:rsidRPr="00F05A8A">
        <w:rPr>
          <w:rFonts w:eastAsia="Calibri"/>
        </w:rPr>
        <w:t>l'UIT-R, ont permis de diffuser des informations dans le monde entier</w:t>
      </w:r>
      <w:r w:rsidRPr="00F05A8A">
        <w:t xml:space="preserve"> </w:t>
      </w:r>
      <w:r w:rsidRPr="00F05A8A">
        <w:rPr>
          <w:rFonts w:eastAsia="Calibri"/>
        </w:rPr>
        <w:t>en coopération avec les bureaux régionaux de l'UIT et les organisations.</w:t>
      </w:r>
    </w:p>
    <w:tbl>
      <w:tblPr>
        <w:tblStyle w:val="TableGrid"/>
        <w:tblW w:w="0" w:type="auto"/>
        <w:jc w:val="center"/>
        <w:tblLook w:val="04A0" w:firstRow="1" w:lastRow="0" w:firstColumn="1" w:lastColumn="0" w:noHBand="0" w:noVBand="1"/>
      </w:tblPr>
      <w:tblGrid>
        <w:gridCol w:w="2022"/>
        <w:gridCol w:w="3502"/>
        <w:gridCol w:w="3402"/>
      </w:tblGrid>
      <w:tr w:rsidR="00D80461" w:rsidRPr="00F05A8A" w14:paraId="01BA9D97"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tcPr>
          <w:p w14:paraId="66D2F87B" w14:textId="77777777" w:rsidR="00D80461" w:rsidRPr="00F05A8A" w:rsidRDefault="00D80461" w:rsidP="002F075E">
            <w:pPr>
              <w:pStyle w:val="Tablehead"/>
              <w:keepNext/>
              <w:keepLines/>
              <w:rPr>
                <w:lang w:eastAsia="zh-CN"/>
              </w:rPr>
            </w:pPr>
          </w:p>
        </w:tc>
        <w:tc>
          <w:tcPr>
            <w:tcW w:w="3502" w:type="dxa"/>
            <w:tcBorders>
              <w:top w:val="single" w:sz="4" w:space="0" w:color="auto"/>
              <w:left w:val="single" w:sz="4" w:space="0" w:color="auto"/>
              <w:bottom w:val="single" w:sz="4" w:space="0" w:color="auto"/>
              <w:right w:val="single" w:sz="4" w:space="0" w:color="auto"/>
            </w:tcBorders>
            <w:hideMark/>
          </w:tcPr>
          <w:p w14:paraId="46937F05" w14:textId="77777777" w:rsidR="00D80461" w:rsidRPr="00F05A8A" w:rsidRDefault="00D80461" w:rsidP="002F075E">
            <w:pPr>
              <w:pStyle w:val="Tablehead"/>
              <w:keepNext/>
              <w:keepLines/>
              <w:rPr>
                <w:bCs/>
                <w:highlight w:val="green"/>
              </w:rPr>
            </w:pPr>
            <w:r w:rsidRPr="00F05A8A">
              <w:rPr>
                <w:bCs/>
              </w:rPr>
              <w:t>Séminaires régionaux des radiocommunications (RRS)</w:t>
            </w:r>
          </w:p>
        </w:tc>
        <w:tc>
          <w:tcPr>
            <w:tcW w:w="3402" w:type="dxa"/>
            <w:tcBorders>
              <w:top w:val="single" w:sz="4" w:space="0" w:color="auto"/>
              <w:left w:val="single" w:sz="4" w:space="0" w:color="auto"/>
              <w:bottom w:val="single" w:sz="4" w:space="0" w:color="auto"/>
              <w:right w:val="single" w:sz="4" w:space="0" w:color="auto"/>
            </w:tcBorders>
            <w:hideMark/>
          </w:tcPr>
          <w:p w14:paraId="237CB1B8" w14:textId="77777777" w:rsidR="00D80461" w:rsidRPr="00F05A8A" w:rsidRDefault="00D80461" w:rsidP="002F075E">
            <w:pPr>
              <w:pStyle w:val="Tablehead"/>
              <w:keepNext/>
              <w:keepLines/>
              <w:rPr>
                <w:highlight w:val="green"/>
              </w:rPr>
            </w:pPr>
            <w:r w:rsidRPr="00F05A8A">
              <w:rPr>
                <w:bCs/>
              </w:rPr>
              <w:t>Séminaires mondiaux des radiocommunications (WRS)</w:t>
            </w:r>
          </w:p>
        </w:tc>
      </w:tr>
      <w:tr w:rsidR="00D80461" w:rsidRPr="00F05A8A" w14:paraId="5A76A44B"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6F3C50BE" w14:textId="77777777" w:rsidR="00D80461" w:rsidRPr="00F05A8A" w:rsidRDefault="00D80461" w:rsidP="002F075E">
            <w:pPr>
              <w:pStyle w:val="Tabletext"/>
              <w:keepNext/>
              <w:keepLines/>
            </w:pPr>
            <w:r w:rsidRPr="00F05A8A">
              <w:t>2018</w:t>
            </w:r>
          </w:p>
        </w:tc>
        <w:tc>
          <w:tcPr>
            <w:tcW w:w="3502" w:type="dxa"/>
            <w:tcBorders>
              <w:top w:val="single" w:sz="4" w:space="0" w:color="auto"/>
              <w:left w:val="single" w:sz="4" w:space="0" w:color="auto"/>
              <w:bottom w:val="single" w:sz="4" w:space="0" w:color="auto"/>
              <w:right w:val="single" w:sz="4" w:space="0" w:color="auto"/>
            </w:tcBorders>
            <w:hideMark/>
          </w:tcPr>
          <w:p w14:paraId="77F26D47" w14:textId="77777777" w:rsidR="00D80461" w:rsidRPr="00F05A8A" w:rsidRDefault="00D80461" w:rsidP="002F075E">
            <w:pPr>
              <w:pStyle w:val="Tabletext"/>
              <w:keepNext/>
              <w:keepLines/>
            </w:pPr>
            <w:r w:rsidRPr="00F05A8A">
              <w:t>RRS-18-Asie-Pacifique</w:t>
            </w:r>
          </w:p>
          <w:p w14:paraId="2A572F0F" w14:textId="77777777" w:rsidR="00D80461" w:rsidRPr="00F05A8A" w:rsidRDefault="00D80461" w:rsidP="002F075E">
            <w:pPr>
              <w:pStyle w:val="Tabletext"/>
              <w:keepNext/>
              <w:keepLines/>
            </w:pPr>
            <w:r w:rsidRPr="00F05A8A">
              <w:t>RRS-18-Amériques</w:t>
            </w:r>
          </w:p>
        </w:tc>
        <w:tc>
          <w:tcPr>
            <w:tcW w:w="3402" w:type="dxa"/>
            <w:tcBorders>
              <w:top w:val="single" w:sz="4" w:space="0" w:color="auto"/>
              <w:left w:val="single" w:sz="4" w:space="0" w:color="auto"/>
              <w:bottom w:val="single" w:sz="4" w:space="0" w:color="auto"/>
              <w:right w:val="single" w:sz="4" w:space="0" w:color="auto"/>
            </w:tcBorders>
            <w:hideMark/>
          </w:tcPr>
          <w:p w14:paraId="6DB52C70" w14:textId="77777777" w:rsidR="00D80461" w:rsidRPr="00F05A8A" w:rsidRDefault="00D80461" w:rsidP="002F075E">
            <w:pPr>
              <w:pStyle w:val="Tabletext"/>
              <w:keepNext/>
              <w:keepLines/>
            </w:pPr>
            <w:r w:rsidRPr="00F05A8A">
              <w:t>WRS-18</w:t>
            </w:r>
          </w:p>
        </w:tc>
      </w:tr>
      <w:tr w:rsidR="00D80461" w:rsidRPr="00F05A8A" w14:paraId="5796FF65"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1489C8C2" w14:textId="77777777" w:rsidR="00D80461" w:rsidRPr="00F05A8A" w:rsidRDefault="00D80461" w:rsidP="002F075E">
            <w:pPr>
              <w:pStyle w:val="Tabletext"/>
              <w:keepNext/>
              <w:keepLines/>
            </w:pPr>
            <w:r w:rsidRPr="00F05A8A">
              <w:t>2019</w:t>
            </w:r>
          </w:p>
        </w:tc>
        <w:tc>
          <w:tcPr>
            <w:tcW w:w="3502" w:type="dxa"/>
            <w:tcBorders>
              <w:top w:val="single" w:sz="4" w:space="0" w:color="auto"/>
              <w:left w:val="single" w:sz="4" w:space="0" w:color="auto"/>
              <w:bottom w:val="single" w:sz="4" w:space="0" w:color="auto"/>
              <w:right w:val="single" w:sz="4" w:space="0" w:color="auto"/>
            </w:tcBorders>
            <w:hideMark/>
          </w:tcPr>
          <w:p w14:paraId="04E78974" w14:textId="77777777" w:rsidR="00D80461" w:rsidRPr="00F05A8A" w:rsidRDefault="00D80461" w:rsidP="002F075E">
            <w:pPr>
              <w:pStyle w:val="Tabletext"/>
              <w:keepNext/>
              <w:keepLines/>
            </w:pPr>
            <w:r w:rsidRPr="00F05A8A">
              <w:t>RRS-19-Afrique</w:t>
            </w:r>
          </w:p>
          <w:p w14:paraId="4190EBDA" w14:textId="77777777" w:rsidR="00D80461" w:rsidRPr="00F05A8A" w:rsidRDefault="00D80461" w:rsidP="002F075E">
            <w:pPr>
              <w:pStyle w:val="Tabletext"/>
              <w:keepNext/>
              <w:keepLines/>
            </w:pPr>
            <w:r w:rsidRPr="00F05A8A">
              <w:t xml:space="preserve">RRS-19-CEI </w:t>
            </w:r>
          </w:p>
          <w:p w14:paraId="6FB4D353" w14:textId="77777777" w:rsidR="00D80461" w:rsidRPr="00F05A8A" w:rsidRDefault="00D80461" w:rsidP="002F075E">
            <w:pPr>
              <w:pStyle w:val="Tabletext"/>
              <w:keepNext/>
              <w:keepLines/>
            </w:pPr>
            <w:r w:rsidRPr="00F05A8A">
              <w:t>SRME-19 Europe</w:t>
            </w:r>
          </w:p>
        </w:tc>
        <w:tc>
          <w:tcPr>
            <w:tcW w:w="3402" w:type="dxa"/>
            <w:tcBorders>
              <w:top w:val="single" w:sz="4" w:space="0" w:color="auto"/>
              <w:left w:val="single" w:sz="4" w:space="0" w:color="auto"/>
              <w:bottom w:val="single" w:sz="4" w:space="0" w:color="auto"/>
              <w:right w:val="single" w:sz="4" w:space="0" w:color="auto"/>
            </w:tcBorders>
          </w:tcPr>
          <w:p w14:paraId="071BFBC9" w14:textId="77777777" w:rsidR="00D80461" w:rsidRPr="00F05A8A" w:rsidRDefault="00D80461" w:rsidP="002F075E">
            <w:pPr>
              <w:pStyle w:val="Tabletext"/>
              <w:keepNext/>
              <w:keepLines/>
              <w:rPr>
                <w:lang w:eastAsia="zh-CN"/>
              </w:rPr>
            </w:pPr>
          </w:p>
        </w:tc>
      </w:tr>
      <w:tr w:rsidR="00D80461" w:rsidRPr="00F05A8A" w14:paraId="31644A33"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56D0BA6E" w14:textId="77777777" w:rsidR="00D80461" w:rsidRPr="00F05A8A" w:rsidRDefault="00D80461" w:rsidP="002F075E">
            <w:pPr>
              <w:pStyle w:val="Tabletext"/>
            </w:pPr>
            <w:r w:rsidRPr="00F05A8A">
              <w:t>2020</w:t>
            </w:r>
          </w:p>
        </w:tc>
        <w:tc>
          <w:tcPr>
            <w:tcW w:w="3502" w:type="dxa"/>
            <w:tcBorders>
              <w:top w:val="single" w:sz="4" w:space="0" w:color="auto"/>
              <w:left w:val="single" w:sz="4" w:space="0" w:color="auto"/>
              <w:bottom w:val="single" w:sz="4" w:space="0" w:color="auto"/>
              <w:right w:val="single" w:sz="4" w:space="0" w:color="auto"/>
            </w:tcBorders>
            <w:hideMark/>
          </w:tcPr>
          <w:p w14:paraId="208CE7A7" w14:textId="77777777" w:rsidR="00D80461" w:rsidRPr="00F05A8A" w:rsidRDefault="00D80461" w:rsidP="002F075E">
            <w:pPr>
              <w:pStyle w:val="Tabletext"/>
            </w:pPr>
            <w:r w:rsidRPr="00F05A8A">
              <w:t>RRS-20-Amériques</w:t>
            </w:r>
          </w:p>
          <w:p w14:paraId="589FB567" w14:textId="77777777" w:rsidR="00D80461" w:rsidRPr="00F05A8A" w:rsidRDefault="00D80461" w:rsidP="002F075E">
            <w:pPr>
              <w:pStyle w:val="Tabletext"/>
            </w:pPr>
            <w:r w:rsidRPr="00F05A8A">
              <w:t>RRS-20-Asie-Pacifique</w:t>
            </w:r>
          </w:p>
        </w:tc>
        <w:tc>
          <w:tcPr>
            <w:tcW w:w="3402" w:type="dxa"/>
            <w:tcBorders>
              <w:top w:val="single" w:sz="4" w:space="0" w:color="auto"/>
              <w:left w:val="single" w:sz="4" w:space="0" w:color="auto"/>
              <w:bottom w:val="single" w:sz="4" w:space="0" w:color="auto"/>
              <w:right w:val="single" w:sz="4" w:space="0" w:color="auto"/>
            </w:tcBorders>
            <w:hideMark/>
          </w:tcPr>
          <w:p w14:paraId="01FF120E" w14:textId="77777777" w:rsidR="00D80461" w:rsidRPr="00F05A8A" w:rsidRDefault="00D80461" w:rsidP="002F075E">
            <w:pPr>
              <w:pStyle w:val="Tabletext"/>
            </w:pPr>
            <w:r w:rsidRPr="00F05A8A">
              <w:t>WRS-20 (virtuel)</w:t>
            </w:r>
          </w:p>
        </w:tc>
      </w:tr>
      <w:tr w:rsidR="00D80461" w:rsidRPr="00F05A8A" w14:paraId="5F93394E"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6F7F5953" w14:textId="77777777" w:rsidR="00D80461" w:rsidRPr="00F05A8A" w:rsidRDefault="00D80461" w:rsidP="002F075E">
            <w:pPr>
              <w:pStyle w:val="Tabletext"/>
            </w:pPr>
            <w:r w:rsidRPr="00F05A8A">
              <w:t>2021</w:t>
            </w:r>
          </w:p>
        </w:tc>
        <w:tc>
          <w:tcPr>
            <w:tcW w:w="3502" w:type="dxa"/>
            <w:tcBorders>
              <w:top w:val="single" w:sz="4" w:space="0" w:color="auto"/>
              <w:left w:val="single" w:sz="4" w:space="0" w:color="auto"/>
              <w:bottom w:val="single" w:sz="4" w:space="0" w:color="auto"/>
              <w:right w:val="single" w:sz="4" w:space="0" w:color="auto"/>
            </w:tcBorders>
            <w:hideMark/>
          </w:tcPr>
          <w:p w14:paraId="0392AAFC" w14:textId="77777777" w:rsidR="00D80461" w:rsidRPr="00F05A8A" w:rsidRDefault="00D80461" w:rsidP="002F075E">
            <w:pPr>
              <w:pStyle w:val="Tabletext"/>
            </w:pPr>
            <w:r w:rsidRPr="00F05A8A">
              <w:t>RRS-21-Amériques</w:t>
            </w:r>
          </w:p>
          <w:p w14:paraId="2CB63354" w14:textId="77777777" w:rsidR="00D80461" w:rsidRPr="00F05A8A" w:rsidRDefault="00D80461" w:rsidP="002F075E">
            <w:pPr>
              <w:pStyle w:val="Tabletext"/>
            </w:pPr>
            <w:r w:rsidRPr="00F05A8A">
              <w:t>RRS-21-Afrique</w:t>
            </w:r>
          </w:p>
          <w:p w14:paraId="64DBF6AE" w14:textId="77777777" w:rsidR="00D80461" w:rsidRPr="00F05A8A" w:rsidRDefault="00D80461" w:rsidP="002F075E">
            <w:pPr>
              <w:pStyle w:val="Tabletext"/>
            </w:pPr>
            <w:r w:rsidRPr="00F05A8A">
              <w:t>RRS-21-Asie-Pacifique</w:t>
            </w:r>
          </w:p>
        </w:tc>
        <w:tc>
          <w:tcPr>
            <w:tcW w:w="3402" w:type="dxa"/>
            <w:tcBorders>
              <w:top w:val="single" w:sz="4" w:space="0" w:color="auto"/>
              <w:left w:val="single" w:sz="4" w:space="0" w:color="auto"/>
              <w:bottom w:val="single" w:sz="4" w:space="0" w:color="auto"/>
              <w:right w:val="single" w:sz="4" w:space="0" w:color="auto"/>
            </w:tcBorders>
          </w:tcPr>
          <w:p w14:paraId="659350E4" w14:textId="77777777" w:rsidR="00D80461" w:rsidRPr="00F05A8A" w:rsidRDefault="00D80461" w:rsidP="002F075E">
            <w:pPr>
              <w:pStyle w:val="Tabletext"/>
              <w:rPr>
                <w:lang w:eastAsia="zh-CN"/>
              </w:rPr>
            </w:pPr>
          </w:p>
        </w:tc>
      </w:tr>
    </w:tbl>
    <w:p w14:paraId="2E0A568E" w14:textId="77777777" w:rsidR="00D80461" w:rsidRPr="00F05A8A" w:rsidRDefault="00D80461" w:rsidP="002F075E">
      <w:pPr>
        <w:rPr>
          <w:rFonts w:eastAsia="Calibri" w:cs="Calibri"/>
          <w:sz w:val="2"/>
          <w:szCs w:val="2"/>
          <w:highlight w:val="yellow"/>
        </w:rPr>
      </w:pPr>
    </w:p>
    <w:tbl>
      <w:tblPr>
        <w:tblStyle w:val="TableGrid"/>
        <w:tblW w:w="0" w:type="auto"/>
        <w:jc w:val="center"/>
        <w:tblLook w:val="04A0" w:firstRow="1" w:lastRow="0" w:firstColumn="1" w:lastColumn="0" w:noHBand="0" w:noVBand="1"/>
      </w:tblPr>
      <w:tblGrid>
        <w:gridCol w:w="2022"/>
        <w:gridCol w:w="6904"/>
      </w:tblGrid>
      <w:tr w:rsidR="00D80461" w:rsidRPr="00F05A8A" w14:paraId="70D45EBD"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tcPr>
          <w:p w14:paraId="5DA74AAB" w14:textId="77777777" w:rsidR="00D80461" w:rsidRPr="00F05A8A" w:rsidRDefault="00D80461" w:rsidP="002F075E">
            <w:pPr>
              <w:pStyle w:val="Tablehead"/>
              <w:rPr>
                <w:lang w:eastAsia="zh-CN"/>
              </w:rPr>
            </w:pPr>
          </w:p>
        </w:tc>
        <w:tc>
          <w:tcPr>
            <w:tcW w:w="6904" w:type="dxa"/>
            <w:tcBorders>
              <w:top w:val="single" w:sz="4" w:space="0" w:color="auto"/>
              <w:left w:val="single" w:sz="4" w:space="0" w:color="auto"/>
              <w:bottom w:val="single" w:sz="4" w:space="0" w:color="auto"/>
              <w:right w:val="single" w:sz="4" w:space="0" w:color="auto"/>
            </w:tcBorders>
            <w:hideMark/>
          </w:tcPr>
          <w:p w14:paraId="75E86E17" w14:textId="77777777" w:rsidR="00D80461" w:rsidRPr="00F05A8A" w:rsidRDefault="00D80461" w:rsidP="002F075E">
            <w:pPr>
              <w:pStyle w:val="Tablehead"/>
              <w:rPr>
                <w:bCs/>
              </w:rPr>
            </w:pPr>
            <w:r w:rsidRPr="00F05A8A">
              <w:rPr>
                <w:bCs/>
              </w:rPr>
              <w:t>Atelier interrégional de l'UIT</w:t>
            </w:r>
          </w:p>
        </w:tc>
      </w:tr>
      <w:tr w:rsidR="00D80461" w:rsidRPr="00F05A8A" w14:paraId="2DD5D3B4"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1E437891" w14:textId="77777777" w:rsidR="00D80461" w:rsidRPr="00F05A8A" w:rsidRDefault="00D80461" w:rsidP="002F075E">
            <w:pPr>
              <w:pStyle w:val="Tabletext"/>
            </w:pPr>
            <w:r w:rsidRPr="00F05A8A">
              <w:t>2019</w:t>
            </w:r>
          </w:p>
        </w:tc>
        <w:tc>
          <w:tcPr>
            <w:tcW w:w="6904" w:type="dxa"/>
            <w:tcBorders>
              <w:top w:val="single" w:sz="4" w:space="0" w:color="auto"/>
              <w:left w:val="single" w:sz="4" w:space="0" w:color="auto"/>
              <w:bottom w:val="single" w:sz="4" w:space="0" w:color="auto"/>
              <w:right w:val="single" w:sz="4" w:space="0" w:color="auto"/>
            </w:tcBorders>
            <w:hideMark/>
          </w:tcPr>
          <w:p w14:paraId="1D75088D" w14:textId="77777777" w:rsidR="00D80461" w:rsidRPr="00F05A8A" w:rsidRDefault="00D80461" w:rsidP="002F075E">
            <w:pPr>
              <w:pStyle w:val="Tabletext"/>
            </w:pPr>
            <w:r w:rsidRPr="00F05A8A">
              <w:t>3ème Atelier interrégional de l'UIT sur la préparation de la CMR-19</w:t>
            </w:r>
          </w:p>
        </w:tc>
      </w:tr>
      <w:tr w:rsidR="00D80461" w:rsidRPr="00F05A8A" w14:paraId="16D2F159"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7F2768FE" w14:textId="77777777" w:rsidR="00D80461" w:rsidRPr="00F05A8A" w:rsidRDefault="00D80461" w:rsidP="002F075E">
            <w:pPr>
              <w:pStyle w:val="Tabletext"/>
            </w:pPr>
            <w:r w:rsidRPr="00F05A8A">
              <w:t>2021</w:t>
            </w:r>
          </w:p>
        </w:tc>
        <w:tc>
          <w:tcPr>
            <w:tcW w:w="6904" w:type="dxa"/>
            <w:tcBorders>
              <w:top w:val="single" w:sz="4" w:space="0" w:color="auto"/>
              <w:left w:val="single" w:sz="4" w:space="0" w:color="auto"/>
              <w:bottom w:val="single" w:sz="4" w:space="0" w:color="auto"/>
              <w:right w:val="single" w:sz="4" w:space="0" w:color="auto"/>
            </w:tcBorders>
            <w:hideMark/>
          </w:tcPr>
          <w:p w14:paraId="25F3D8DA" w14:textId="77777777" w:rsidR="00D80461" w:rsidRPr="00F05A8A" w:rsidRDefault="00D80461" w:rsidP="002F075E">
            <w:pPr>
              <w:pStyle w:val="Tabletext"/>
            </w:pPr>
            <w:r w:rsidRPr="00F05A8A">
              <w:rPr>
                <w:rFonts w:eastAsia="Calibri"/>
              </w:rPr>
              <w:t>1er Atelier interrégional de l'UIT sur la préparation de la CMR-23</w:t>
            </w:r>
          </w:p>
        </w:tc>
      </w:tr>
      <w:tr w:rsidR="00D80461" w:rsidRPr="00F05A8A" w14:paraId="15E55526"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3581A81E" w14:textId="77777777" w:rsidR="00D80461" w:rsidRPr="00F05A8A" w:rsidRDefault="00D80461" w:rsidP="002F075E">
            <w:pPr>
              <w:pStyle w:val="Tabletext"/>
            </w:pPr>
            <w:r w:rsidRPr="00F05A8A">
              <w:t>2022 (prévu)</w:t>
            </w:r>
          </w:p>
        </w:tc>
        <w:tc>
          <w:tcPr>
            <w:tcW w:w="6904" w:type="dxa"/>
            <w:tcBorders>
              <w:top w:val="single" w:sz="4" w:space="0" w:color="auto"/>
              <w:left w:val="single" w:sz="4" w:space="0" w:color="auto"/>
              <w:bottom w:val="single" w:sz="4" w:space="0" w:color="auto"/>
              <w:right w:val="single" w:sz="4" w:space="0" w:color="auto"/>
            </w:tcBorders>
            <w:hideMark/>
          </w:tcPr>
          <w:p w14:paraId="4A1B56FF" w14:textId="77777777" w:rsidR="00D80461" w:rsidRPr="00F05A8A" w:rsidRDefault="00D80461" w:rsidP="002F075E">
            <w:pPr>
              <w:pStyle w:val="Tabletext"/>
            </w:pPr>
            <w:r w:rsidRPr="00F05A8A">
              <w:rPr>
                <w:rFonts w:eastAsia="Calibri"/>
              </w:rPr>
              <w:t>2ème Atelier interrégional de l'UIT sur la préparation de la CMR-23</w:t>
            </w:r>
          </w:p>
        </w:tc>
      </w:tr>
    </w:tbl>
    <w:p w14:paraId="1A00447C" w14:textId="77777777" w:rsidR="00D80461" w:rsidRPr="00F05A8A" w:rsidRDefault="00D80461" w:rsidP="002F075E">
      <w:pPr>
        <w:spacing w:before="240" w:after="240"/>
        <w:rPr>
          <w:color w:val="000000"/>
        </w:rPr>
      </w:pPr>
      <w:r w:rsidRPr="00F05A8A">
        <w:rPr>
          <w:color w:val="000000"/>
        </w:rPr>
        <w:t xml:space="preserve">De plus, des colloques sur les communications par satellite et des </w:t>
      </w:r>
      <w:hyperlink r:id="rId287" w:history="1">
        <w:r w:rsidRPr="00F05A8A">
          <w:rPr>
            <w:rStyle w:val="Hyperlink"/>
          </w:rPr>
          <w:t>webinaires sur les services par satellite</w:t>
        </w:r>
      </w:hyperlink>
      <w:r w:rsidRPr="00F05A8A">
        <w:rPr>
          <w:color w:val="000000"/>
        </w:rPr>
        <w:t xml:space="preserve"> ont porté sur les systèmes à satellites non géostationnaires pour la fourniture de services large bande, les innovations apportées aux systèmes à satellites géostationnaires et le rôle de l'UIT dans la prévention et l'atténuation des brouillages.</w:t>
      </w:r>
    </w:p>
    <w:tbl>
      <w:tblPr>
        <w:tblStyle w:val="TableGrid"/>
        <w:tblW w:w="0" w:type="auto"/>
        <w:jc w:val="center"/>
        <w:tblLook w:val="04A0" w:firstRow="1" w:lastRow="0" w:firstColumn="1" w:lastColumn="0" w:noHBand="0" w:noVBand="1"/>
      </w:tblPr>
      <w:tblGrid>
        <w:gridCol w:w="2022"/>
        <w:gridCol w:w="6904"/>
      </w:tblGrid>
      <w:tr w:rsidR="00D80461" w:rsidRPr="00F05A8A" w14:paraId="0D475625"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tcPr>
          <w:p w14:paraId="17500CEF" w14:textId="77777777" w:rsidR="00D80461" w:rsidRPr="00F05A8A" w:rsidRDefault="00D80461" w:rsidP="002F075E">
            <w:pPr>
              <w:pStyle w:val="Tablehead"/>
              <w:rPr>
                <w:lang w:eastAsia="zh-CN"/>
              </w:rPr>
            </w:pPr>
          </w:p>
        </w:tc>
        <w:tc>
          <w:tcPr>
            <w:tcW w:w="6904" w:type="dxa"/>
            <w:tcBorders>
              <w:top w:val="single" w:sz="4" w:space="0" w:color="auto"/>
              <w:left w:val="single" w:sz="4" w:space="0" w:color="auto"/>
              <w:bottom w:val="single" w:sz="4" w:space="0" w:color="auto"/>
              <w:right w:val="single" w:sz="4" w:space="0" w:color="auto"/>
            </w:tcBorders>
            <w:hideMark/>
          </w:tcPr>
          <w:p w14:paraId="750CF607" w14:textId="77777777" w:rsidR="00D80461" w:rsidRPr="00F05A8A" w:rsidRDefault="00D80461" w:rsidP="002F075E">
            <w:pPr>
              <w:pStyle w:val="Tablehead"/>
            </w:pPr>
            <w:r w:rsidRPr="00F05A8A">
              <w:t>Colloques et webinaires sur les services par satellite</w:t>
            </w:r>
          </w:p>
        </w:tc>
      </w:tr>
      <w:tr w:rsidR="00D80461" w:rsidRPr="00F05A8A" w14:paraId="342DF329"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04C076A1" w14:textId="77777777" w:rsidR="00D80461" w:rsidRPr="00F05A8A" w:rsidRDefault="00D80461" w:rsidP="002F075E">
            <w:pPr>
              <w:pStyle w:val="Tabletext"/>
            </w:pPr>
            <w:r w:rsidRPr="00F05A8A">
              <w:t>2018</w:t>
            </w:r>
          </w:p>
        </w:tc>
        <w:tc>
          <w:tcPr>
            <w:tcW w:w="6904" w:type="dxa"/>
            <w:tcBorders>
              <w:top w:val="single" w:sz="4" w:space="0" w:color="auto"/>
              <w:left w:val="single" w:sz="4" w:space="0" w:color="auto"/>
              <w:bottom w:val="single" w:sz="4" w:space="0" w:color="auto"/>
              <w:right w:val="single" w:sz="4" w:space="0" w:color="auto"/>
            </w:tcBorders>
            <w:hideMark/>
          </w:tcPr>
          <w:p w14:paraId="66939FE7" w14:textId="77777777" w:rsidR="00D80461" w:rsidRPr="00F05A8A" w:rsidRDefault="00D80461" w:rsidP="002F075E">
            <w:pPr>
              <w:pStyle w:val="Tabletext"/>
            </w:pPr>
            <w:r w:rsidRPr="00F05A8A">
              <w:t>Colloque de 2018 de l'UIT sur les télécommunications par satellite</w:t>
            </w:r>
          </w:p>
          <w:p w14:paraId="486A6192" w14:textId="77777777" w:rsidR="00D80461" w:rsidRPr="00F05A8A" w:rsidRDefault="00D80461" w:rsidP="002F075E">
            <w:pPr>
              <w:pStyle w:val="Tabletext"/>
            </w:pPr>
            <w:r w:rsidRPr="00F05A8A">
              <w:t xml:space="preserve">Quatre ateliers sur les communications par satellite </w:t>
            </w:r>
          </w:p>
        </w:tc>
      </w:tr>
      <w:tr w:rsidR="00D80461" w:rsidRPr="00F05A8A" w14:paraId="4F661E38"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61D62C8E" w14:textId="77777777" w:rsidR="00D80461" w:rsidRPr="00F05A8A" w:rsidRDefault="00D80461" w:rsidP="002F075E">
            <w:pPr>
              <w:pStyle w:val="Tabletext"/>
            </w:pPr>
            <w:r w:rsidRPr="00F05A8A">
              <w:t>2019</w:t>
            </w:r>
          </w:p>
        </w:tc>
        <w:tc>
          <w:tcPr>
            <w:tcW w:w="6904" w:type="dxa"/>
            <w:tcBorders>
              <w:top w:val="single" w:sz="4" w:space="0" w:color="auto"/>
              <w:left w:val="single" w:sz="4" w:space="0" w:color="auto"/>
              <w:bottom w:val="single" w:sz="4" w:space="0" w:color="auto"/>
              <w:right w:val="single" w:sz="4" w:space="0" w:color="auto"/>
            </w:tcBorders>
            <w:hideMark/>
          </w:tcPr>
          <w:p w14:paraId="70783A6B" w14:textId="77777777" w:rsidR="00D80461" w:rsidRPr="00F05A8A" w:rsidRDefault="00D80461" w:rsidP="002F075E">
            <w:pPr>
              <w:pStyle w:val="Tabletext"/>
            </w:pPr>
            <w:r w:rsidRPr="00F05A8A">
              <w:t>Colloque de 2019 de l'UIT sur les télécommunications par satellite</w:t>
            </w:r>
          </w:p>
        </w:tc>
      </w:tr>
      <w:tr w:rsidR="00D80461" w:rsidRPr="00F05A8A" w14:paraId="55C72D61"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1BA23438" w14:textId="77777777" w:rsidR="00D80461" w:rsidRPr="00F05A8A" w:rsidRDefault="00D80461" w:rsidP="002F075E">
            <w:pPr>
              <w:pStyle w:val="Tabletext"/>
            </w:pPr>
            <w:r w:rsidRPr="00F05A8A">
              <w:t>2020</w:t>
            </w:r>
          </w:p>
        </w:tc>
        <w:tc>
          <w:tcPr>
            <w:tcW w:w="6904" w:type="dxa"/>
            <w:tcBorders>
              <w:top w:val="single" w:sz="4" w:space="0" w:color="auto"/>
              <w:left w:val="single" w:sz="4" w:space="0" w:color="auto"/>
              <w:bottom w:val="single" w:sz="4" w:space="0" w:color="auto"/>
              <w:right w:val="single" w:sz="4" w:space="0" w:color="auto"/>
            </w:tcBorders>
            <w:hideMark/>
          </w:tcPr>
          <w:p w14:paraId="38BA1512" w14:textId="77777777" w:rsidR="00D80461" w:rsidRPr="00F05A8A" w:rsidRDefault="00D80461" w:rsidP="002F075E">
            <w:pPr>
              <w:pStyle w:val="Tabletext"/>
            </w:pPr>
            <w:r w:rsidRPr="00F05A8A">
              <w:t xml:space="preserve">Trois webinaires de l'UIT sur les systèmes à satellites </w:t>
            </w:r>
          </w:p>
        </w:tc>
      </w:tr>
      <w:tr w:rsidR="00D80461" w:rsidRPr="00F05A8A" w14:paraId="1177E67F" w14:textId="77777777" w:rsidTr="00142C01">
        <w:trPr>
          <w:jc w:val="center"/>
        </w:trPr>
        <w:tc>
          <w:tcPr>
            <w:tcW w:w="2022" w:type="dxa"/>
            <w:tcBorders>
              <w:top w:val="single" w:sz="4" w:space="0" w:color="auto"/>
              <w:left w:val="single" w:sz="4" w:space="0" w:color="auto"/>
              <w:bottom w:val="single" w:sz="4" w:space="0" w:color="auto"/>
              <w:right w:val="single" w:sz="4" w:space="0" w:color="auto"/>
            </w:tcBorders>
            <w:hideMark/>
          </w:tcPr>
          <w:p w14:paraId="5524B3E9" w14:textId="77777777" w:rsidR="00D80461" w:rsidRPr="00F05A8A" w:rsidRDefault="00D80461" w:rsidP="002F075E">
            <w:pPr>
              <w:pStyle w:val="Tabletext"/>
            </w:pPr>
            <w:r w:rsidRPr="00F05A8A">
              <w:t>2021</w:t>
            </w:r>
          </w:p>
        </w:tc>
        <w:tc>
          <w:tcPr>
            <w:tcW w:w="6904" w:type="dxa"/>
            <w:tcBorders>
              <w:top w:val="single" w:sz="4" w:space="0" w:color="auto"/>
              <w:left w:val="single" w:sz="4" w:space="0" w:color="auto"/>
              <w:bottom w:val="single" w:sz="4" w:space="0" w:color="auto"/>
              <w:right w:val="single" w:sz="4" w:space="0" w:color="auto"/>
            </w:tcBorders>
            <w:hideMark/>
          </w:tcPr>
          <w:p w14:paraId="7C16CB08" w14:textId="77777777" w:rsidR="00D80461" w:rsidRPr="00F05A8A" w:rsidRDefault="00D80461" w:rsidP="002F075E">
            <w:pPr>
              <w:pStyle w:val="Tabletext"/>
            </w:pPr>
            <w:r w:rsidRPr="00F05A8A">
              <w:t>22ème réunion sur le contrôle international des émissions spatiales</w:t>
            </w:r>
          </w:p>
        </w:tc>
      </w:tr>
    </w:tbl>
    <w:p w14:paraId="3FD261E4" w14:textId="77777777" w:rsidR="00D80461" w:rsidRPr="00F05A8A" w:rsidRDefault="00D80461" w:rsidP="002F075E">
      <w:pPr>
        <w:spacing w:before="360"/>
        <w:rPr>
          <w:rFonts w:eastAsia="Calibri"/>
        </w:rPr>
      </w:pPr>
      <w:r w:rsidRPr="00F05A8A">
        <w:rPr>
          <w:rFonts w:eastAsia="Calibri"/>
        </w:rPr>
        <w:t>L'UIT-R, en collaboration avec l'Union africaine des télécommunications (UAT), a lancé le processus d'</w:t>
      </w:r>
      <w:hyperlink r:id="rId288" w:history="1">
        <w:r w:rsidRPr="00F05A8A">
          <w:rPr>
            <w:rStyle w:val="Hyperlink"/>
            <w:rFonts w:eastAsia="Calibri"/>
          </w:rPr>
          <w:t>optimisation du Plan GE84</w:t>
        </w:r>
      </w:hyperlink>
      <w:r w:rsidRPr="00F05A8A">
        <w:rPr>
          <w:rFonts w:eastAsia="Calibri"/>
        </w:rPr>
        <w:t xml:space="preserve"> pour les pays africains afin de répondre à leurs besoins croissants de fréquences additionnelles. En 2020, quatre ateliers sur l'optimisation du Plan GE84 pour l'Afrique ont aidé à renforcer les capacités et à préparer les pays en vue de la </w:t>
      </w:r>
      <w:hyperlink r:id="rId289" w:history="1">
        <w:r w:rsidRPr="00F05A8A">
          <w:rPr>
            <w:rStyle w:val="Hyperlink"/>
            <w:rFonts w:eastAsia="Calibri"/>
          </w:rPr>
          <w:t xml:space="preserve">première réunion de </w:t>
        </w:r>
        <w:r w:rsidRPr="00F05A8A">
          <w:rPr>
            <w:rStyle w:val="Hyperlink"/>
            <w:rFonts w:eastAsia="Calibri"/>
          </w:rPr>
          <w:lastRenderedPageBreak/>
          <w:t>coordination des fréquences</w:t>
        </w:r>
      </w:hyperlink>
      <w:r w:rsidRPr="00F05A8A">
        <w:rPr>
          <w:rFonts w:eastAsia="Calibri"/>
        </w:rPr>
        <w:t xml:space="preserve">, qui s'est tenue sous forme virtuelle en février 2021. La </w:t>
      </w:r>
      <w:hyperlink r:id="rId290" w:history="1">
        <w:r w:rsidRPr="00F05A8A">
          <w:rPr>
            <w:rStyle w:val="Hyperlink"/>
            <w:rFonts w:eastAsia="Calibri"/>
          </w:rPr>
          <w:t>deuxième réunion de coordination des fréquences</w:t>
        </w:r>
      </w:hyperlink>
      <w:r w:rsidRPr="00F05A8A">
        <w:rPr>
          <w:rFonts w:eastAsia="Calibri"/>
        </w:rPr>
        <w:t xml:space="preserve"> s'est tenue sous forme virtuelle du 28 juin au 2 juillet 2021.</w:t>
      </w:r>
    </w:p>
    <w:p w14:paraId="050233CF" w14:textId="77777777" w:rsidR="00D80461" w:rsidRPr="00F05A8A" w:rsidRDefault="00D80461" w:rsidP="002F075E">
      <w:pPr>
        <w:keepLines/>
        <w:rPr>
          <w:rFonts w:eastAsia="Calibri"/>
        </w:rPr>
      </w:pPr>
      <w:r w:rsidRPr="00F05A8A">
        <w:rPr>
          <w:rFonts w:eastAsia="Calibri"/>
        </w:rPr>
        <w:t>L'UIT-R, conjointement avec l'UIT</w:t>
      </w:r>
      <w:r w:rsidRPr="00F05A8A">
        <w:rPr>
          <w:rFonts w:eastAsia="Calibri"/>
        </w:rPr>
        <w:noBreakHyphen/>
        <w:t>D, participe à l'action dans le cadre de l'</w:t>
      </w:r>
      <w:r w:rsidRPr="00F05A8A">
        <w:rPr>
          <w:rFonts w:eastAsia="Calibri"/>
          <w:bCs/>
        </w:rPr>
        <w:t xml:space="preserve">Initiative pour les politiques et la réglementation pour le numérique en Afrique (projet </w:t>
      </w:r>
      <w:hyperlink r:id="rId291" w:history="1">
        <w:r w:rsidRPr="00F05A8A">
          <w:rPr>
            <w:rStyle w:val="Hyperlink"/>
            <w:rFonts w:eastAsia="Calibri"/>
            <w:bCs/>
          </w:rPr>
          <w:t>PRIDA</w:t>
        </w:r>
      </w:hyperlink>
      <w:r w:rsidRPr="00F05A8A">
        <w:rPr>
          <w:rFonts w:eastAsia="Calibri"/>
          <w:bCs/>
        </w:rPr>
        <w:t xml:space="preserve">), </w:t>
      </w:r>
      <w:r w:rsidRPr="00F05A8A">
        <w:rPr>
          <w:rFonts w:eastAsia="Calibri"/>
        </w:rPr>
        <w:t>qui vise à "améliorer les taux de pénétration du large bande hertzien grâce à une utilisation améliorée et harmonisée du spectre et à la réglementation". Le BR a participé à des réunions en ligne pour valider les rapports techniques et les lignes directrices élaborés dans le cadre du projet PRIDA, en mars 2021, ainsi qu'à trois ateliers de renforcement des capacités:</w:t>
      </w:r>
    </w:p>
    <w:p w14:paraId="408A46B8" w14:textId="77777777" w:rsidR="00D80461" w:rsidRPr="00F05A8A" w:rsidRDefault="00D80461" w:rsidP="002F075E">
      <w:pPr>
        <w:pStyle w:val="enumlev1"/>
        <w:rPr>
          <w:rFonts w:eastAsia="PMingLiU"/>
          <w:lang w:eastAsia="zh-TW"/>
        </w:rPr>
      </w:pPr>
      <w:r w:rsidRPr="00F05A8A">
        <w:rPr>
          <w:rFonts w:eastAsia="PMingLiU"/>
          <w:lang w:eastAsia="zh-TW"/>
        </w:rPr>
        <w:t>•</w:t>
      </w:r>
      <w:r w:rsidRPr="00F05A8A">
        <w:rPr>
          <w:rFonts w:eastAsia="PMingLiU"/>
          <w:lang w:eastAsia="zh-TW"/>
        </w:rPr>
        <w:tab/>
        <w:t>Gestion moderne du spectre et logiciel de gestion du spectre (SMS4DC) en anglais, en mars 2020 (Zanzibar, Tanzanie) et en français (en ligne), en mai 2020.</w:t>
      </w:r>
    </w:p>
    <w:p w14:paraId="13C7D55E" w14:textId="77777777" w:rsidR="00D80461" w:rsidRPr="00F05A8A" w:rsidRDefault="00D80461" w:rsidP="002F075E">
      <w:pPr>
        <w:pStyle w:val="enumlev1"/>
        <w:rPr>
          <w:rFonts w:eastAsia="PMingLiU"/>
          <w:lang w:eastAsia="zh-TW"/>
        </w:rPr>
      </w:pPr>
      <w:r w:rsidRPr="00F05A8A">
        <w:rPr>
          <w:rFonts w:eastAsia="PMingLiU"/>
          <w:lang w:eastAsia="zh-TW"/>
        </w:rPr>
        <w:t>•</w:t>
      </w:r>
      <w:r w:rsidRPr="00F05A8A">
        <w:rPr>
          <w:rFonts w:eastAsia="PMingLiU"/>
          <w:lang w:eastAsia="zh-TW"/>
        </w:rPr>
        <w:tab/>
        <w:t>Internet des objets (IOT) et services numériques (en ligne), en août (en français) et septembre 2020 (en anglais).</w:t>
      </w:r>
    </w:p>
    <w:p w14:paraId="7451266D" w14:textId="77777777" w:rsidR="00D80461" w:rsidRPr="00F05A8A" w:rsidRDefault="00D80461" w:rsidP="002F075E">
      <w:pPr>
        <w:pStyle w:val="enumlev1"/>
        <w:rPr>
          <w:rFonts w:eastAsia="PMingLiU"/>
          <w:lang w:eastAsia="zh-TW"/>
        </w:rPr>
      </w:pPr>
      <w:r w:rsidRPr="00F05A8A">
        <w:rPr>
          <w:rFonts w:eastAsia="PMingLiU"/>
          <w:lang w:eastAsia="zh-TW"/>
        </w:rPr>
        <w:t>•</w:t>
      </w:r>
      <w:r w:rsidRPr="00F05A8A">
        <w:rPr>
          <w:rFonts w:eastAsia="PMingLiU"/>
          <w:lang w:eastAsia="zh-TW"/>
        </w:rPr>
        <w:tab/>
      </w:r>
      <w:r w:rsidRPr="00F05A8A">
        <w:rPr>
          <w:rFonts w:eastAsia="PMingLiU"/>
          <w:caps/>
          <w:lang w:eastAsia="zh-TW"/>
        </w:rPr>
        <w:t>é</w:t>
      </w:r>
      <w:r w:rsidRPr="00F05A8A">
        <w:rPr>
          <w:rFonts w:eastAsia="PMingLiU"/>
          <w:lang w:eastAsia="zh-TW"/>
        </w:rPr>
        <w:t>tablissement du Tableau national d'attribution des bandes de fréquences (NTFA) (en ligne), en mai 2021, suivi de séances d'assistance aux pays pour l'élaboration de leur NTFA, en juin 2021 (</w:t>
      </w:r>
      <w:hyperlink r:id="rId292" w:history="1">
        <w:r w:rsidRPr="00F05A8A">
          <w:rPr>
            <w:rStyle w:val="Hyperlink"/>
            <w:rFonts w:eastAsia="Calibri"/>
            <w:lang w:eastAsia="zh-TW"/>
          </w:rPr>
          <w:t>harmonisation du spectre</w:t>
        </w:r>
      </w:hyperlink>
      <w:r w:rsidRPr="00F05A8A">
        <w:rPr>
          <w:rFonts w:eastAsia="PMingLiU"/>
          <w:lang w:eastAsia="zh-TW"/>
        </w:rPr>
        <w:t>).</w:t>
      </w:r>
    </w:p>
    <w:p w14:paraId="683C1509" w14:textId="77777777" w:rsidR="00D80461" w:rsidRPr="00F05A8A" w:rsidRDefault="00D80461" w:rsidP="002F075E">
      <w:pPr>
        <w:rPr>
          <w:rFonts w:eastAsia="Calibri"/>
        </w:rPr>
      </w:pPr>
      <w:bookmarkStart w:id="311" w:name="lt_pId726"/>
      <w:r w:rsidRPr="00F05A8A">
        <w:rPr>
          <w:rFonts w:eastAsia="Calibri"/>
        </w:rPr>
        <w:t xml:space="preserve">Cinq ateliers de renforcement des capacités sur le thème des communications par satellite ont été organisés conjointement par l'UIT et l'ITSO: </w:t>
      </w:r>
      <w:bookmarkStart w:id="312" w:name="lt_pId1336"/>
      <w:bookmarkEnd w:id="311"/>
      <w:r w:rsidRPr="00F05A8A">
        <w:rPr>
          <w:rFonts w:eastAsia="Calibri"/>
        </w:rPr>
        <w:t>pour la région de la CEI à Minsk (Bélarus), en avril 2019;</w:t>
      </w:r>
      <w:bookmarkStart w:id="313" w:name="lt_pId1338"/>
      <w:bookmarkEnd w:id="312"/>
      <w:r w:rsidRPr="00F05A8A">
        <w:rPr>
          <w:rFonts w:eastAsia="Calibri"/>
        </w:rPr>
        <w:t xml:space="preserve"> pour la région Amériques à Asunción (Paraguay), en avril 2019;</w:t>
      </w:r>
      <w:bookmarkStart w:id="314" w:name="lt_pId1340"/>
      <w:bookmarkEnd w:id="313"/>
      <w:r w:rsidRPr="00F05A8A">
        <w:rPr>
          <w:rFonts w:eastAsia="Calibri"/>
        </w:rPr>
        <w:t xml:space="preserve"> pour la région Afrique (en anglais) à Maputo (Mozambique), en juin 2019;</w:t>
      </w:r>
      <w:bookmarkStart w:id="315" w:name="lt_pId1342"/>
      <w:bookmarkEnd w:id="314"/>
      <w:r w:rsidRPr="00F05A8A">
        <w:rPr>
          <w:rFonts w:eastAsia="Calibri"/>
        </w:rPr>
        <w:t xml:space="preserve"> pour la région Afrique (en français) à Abidjan (Côte d'Ivoire), en juillet 2019;</w:t>
      </w:r>
      <w:bookmarkEnd w:id="315"/>
      <w:r w:rsidRPr="00F05A8A">
        <w:rPr>
          <w:rFonts w:eastAsia="Calibri"/>
        </w:rPr>
        <w:t xml:space="preserve"> et pour la région des États arabes à Alger (Algérie), en octobre 2019.</w:t>
      </w:r>
    </w:p>
    <w:p w14:paraId="63FFFAC5" w14:textId="77777777" w:rsidR="00D80461" w:rsidRPr="00F05A8A" w:rsidRDefault="00D80461" w:rsidP="002F075E">
      <w:pPr>
        <w:rPr>
          <w:rFonts w:eastAsia="Calibri"/>
        </w:rPr>
      </w:pPr>
      <w:r w:rsidRPr="00F05A8A">
        <w:rPr>
          <w:rFonts w:eastAsia="Calibri"/>
        </w:rPr>
        <w:t xml:space="preserve">En 2018 et 2019, les </w:t>
      </w:r>
      <w:hyperlink r:id="rId293" w:history="1">
        <w:r w:rsidRPr="00F05A8A">
          <w:rPr>
            <w:rStyle w:val="Hyperlink"/>
            <w:rFonts w:eastAsia="Calibri"/>
          </w:rPr>
          <w:t>troisième</w:t>
        </w:r>
      </w:hyperlink>
      <w:r w:rsidRPr="00F05A8A">
        <w:rPr>
          <w:rFonts w:eastAsia="Calibri"/>
        </w:rPr>
        <w:t xml:space="preserve"> et </w:t>
      </w:r>
      <w:hyperlink r:id="rId294" w:history="1">
        <w:r w:rsidRPr="00F05A8A">
          <w:rPr>
            <w:rStyle w:val="Hyperlink"/>
            <w:rFonts w:eastAsia="Calibri"/>
          </w:rPr>
          <w:t>quatrième</w:t>
        </w:r>
      </w:hyperlink>
      <w:r w:rsidRPr="00F05A8A">
        <w:rPr>
          <w:rFonts w:eastAsia="Calibri"/>
        </w:rPr>
        <w:t xml:space="preserve"> réunions régionales de coordination des fréquences, concernant l'utilisation des bandes d'ondes métriques et décimétriques, ont été organisées par l'UIT pour la région de l'Amérique centrale et des Caraïbes.</w:t>
      </w:r>
    </w:p>
    <w:p w14:paraId="6E44451C" w14:textId="77777777" w:rsidR="00D80461" w:rsidRPr="00F05A8A" w:rsidRDefault="00D80461" w:rsidP="002F075E">
      <w:pPr>
        <w:rPr>
          <w:rFonts w:eastAsia="Calibri"/>
        </w:rPr>
      </w:pPr>
      <w:r w:rsidRPr="00F05A8A">
        <w:rPr>
          <w:rFonts w:eastAsia="Calibri"/>
        </w:rPr>
        <w:t>Le BR a contribué à la révision et à la mise à jour des ressources de formation de l'Académie de l'UIT (</w:t>
      </w:r>
      <w:hyperlink r:id="rId295" w:history="1">
        <w:r w:rsidRPr="00F05A8A">
          <w:rPr>
            <w:rStyle w:val="Hyperlink"/>
            <w:rFonts w:eastAsia="Calibri"/>
          </w:rPr>
          <w:t>SMTP</w:t>
        </w:r>
      </w:hyperlink>
      <w:r w:rsidRPr="00F05A8A">
        <w:rPr>
          <w:rFonts w:eastAsia="Calibri"/>
        </w:rPr>
        <w:t>).</w:t>
      </w:r>
    </w:p>
    <w:p w14:paraId="4C1C3271" w14:textId="77777777" w:rsidR="00D80461" w:rsidRPr="00F05A8A" w:rsidRDefault="00D80461" w:rsidP="002F075E">
      <w:r w:rsidRPr="00F05A8A">
        <w:t>Outre les activités susmentionnées, l'UIT-R a fourni une assistance à des régions et à des administrations d'États Membres de l'UIT:</w:t>
      </w:r>
    </w:p>
    <w:p w14:paraId="70C7E8D9" w14:textId="77777777" w:rsidR="00D80461" w:rsidRPr="00F05A8A" w:rsidRDefault="00D80461" w:rsidP="002F075E">
      <w:pPr>
        <w:pStyle w:val="enumlev1"/>
      </w:pPr>
      <w:r w:rsidRPr="00F05A8A">
        <w:t>•</w:t>
      </w:r>
      <w:r w:rsidRPr="00F05A8A">
        <w:tab/>
        <w:t>La Mongolie a bénéficié d'une assistance en vue d'examiner le régime national de tarification du spectre des fréquences radioélectriques et les modifications apportées à la législation nationale en matière de fréquences.</w:t>
      </w:r>
    </w:p>
    <w:p w14:paraId="403CB7D4" w14:textId="77777777" w:rsidR="00D80461" w:rsidRPr="00F05A8A" w:rsidRDefault="00D80461" w:rsidP="002F075E">
      <w:pPr>
        <w:pStyle w:val="enumlev1"/>
        <w:rPr>
          <w:rFonts w:eastAsia="Calibri"/>
        </w:rPr>
      </w:pPr>
      <w:r w:rsidRPr="00F05A8A">
        <w:rPr>
          <w:rFonts w:eastAsia="Calibri"/>
        </w:rPr>
        <w:t>•</w:t>
      </w:r>
      <w:r w:rsidRPr="00F05A8A">
        <w:rPr>
          <w:rFonts w:eastAsia="Calibri"/>
        </w:rPr>
        <w:tab/>
        <w:t>Les îles Salomon et Vanuatu ont bénéficié d'une assistance en vue d'élaborer un régime d'homologation national pour les dispositifs hertziens de courte portée.</w:t>
      </w:r>
    </w:p>
    <w:p w14:paraId="7465288A" w14:textId="77777777" w:rsidR="00D80461" w:rsidRPr="00F05A8A" w:rsidRDefault="00D80461" w:rsidP="002F075E">
      <w:pPr>
        <w:pStyle w:val="enumlev1"/>
        <w:rPr>
          <w:rFonts w:eastAsia="Calibri"/>
        </w:rPr>
      </w:pPr>
      <w:r w:rsidRPr="00F05A8A">
        <w:rPr>
          <w:rFonts w:eastAsia="Calibri"/>
        </w:rPr>
        <w:t>•</w:t>
      </w:r>
      <w:r w:rsidRPr="00F05A8A">
        <w:rPr>
          <w:rFonts w:eastAsia="Calibri"/>
        </w:rPr>
        <w:tab/>
        <w:t>Plus de 15 ateliers et formations ont été organisés afin d'accroître la sensibilisation et de renforcer les compétences sur la gestion du spectre en Asie-Pacifique.</w:t>
      </w:r>
    </w:p>
    <w:p w14:paraId="67D11EE1" w14:textId="77777777" w:rsidR="00D80461" w:rsidRPr="00F05A8A" w:rsidRDefault="00D80461" w:rsidP="002F075E">
      <w:pPr>
        <w:pStyle w:val="enumlev1"/>
      </w:pPr>
      <w:r w:rsidRPr="00F05A8A">
        <w:t>•</w:t>
      </w:r>
      <w:r w:rsidRPr="00F05A8A">
        <w:tab/>
        <w:t>Une assistance a été fournie au Ministère des sciences, de l'énergie et des technologies et à l'Autorité de gestion du spectre de la Jamaïque en vue de concevoir un cadre national relatif à l'octroi de licences pour l'utilisation du spectre dans le pays.</w:t>
      </w:r>
    </w:p>
    <w:p w14:paraId="5C9A9B8B" w14:textId="77777777" w:rsidR="00D80461" w:rsidRPr="00F05A8A" w:rsidRDefault="00D80461" w:rsidP="002F075E">
      <w:pPr>
        <w:pStyle w:val="enumlev1"/>
      </w:pPr>
      <w:r w:rsidRPr="00F05A8A">
        <w:t>•</w:t>
      </w:r>
      <w:r w:rsidRPr="00F05A8A">
        <w:tab/>
        <w:t xml:space="preserve">La </w:t>
      </w:r>
      <w:hyperlink r:id="rId296" w:history="1">
        <w:r w:rsidRPr="00F05A8A">
          <w:rPr>
            <w:rStyle w:val="Hyperlink"/>
          </w:rPr>
          <w:t>troisième conférence annuelle sur la gestion du spectre dans la région de la Communauté des États indépendants (CEI) et les pays d'Europe centrale et orientale</w:t>
        </w:r>
      </w:hyperlink>
      <w:r w:rsidRPr="00F05A8A">
        <w:t>, ainsi qu'un atelier UIT sur la manière de parvenir à des communications exemptes de brouillages, ont été organisés à Minsk (Bélarus).</w:t>
      </w:r>
    </w:p>
    <w:p w14:paraId="324DFC5D" w14:textId="77777777" w:rsidR="00D80461" w:rsidRPr="00F05A8A" w:rsidRDefault="00D80461" w:rsidP="002F075E">
      <w:pPr>
        <w:pStyle w:val="enumlev1"/>
      </w:pPr>
      <w:r w:rsidRPr="00F05A8A">
        <w:lastRenderedPageBreak/>
        <w:t>•</w:t>
      </w:r>
      <w:r w:rsidRPr="00F05A8A">
        <w:tab/>
        <w:t>Des ateliers et des séminaires ont été organisés dans la région de la CEI afin d'examiner des questions liées à l'avenir de la télévision, la cartographie de l'infrastructure et des services large bande de Terre et les radiocommunications.</w:t>
      </w:r>
    </w:p>
    <w:p w14:paraId="74D73F98" w14:textId="77777777" w:rsidR="00D80461" w:rsidRPr="00F05A8A" w:rsidRDefault="00D80461" w:rsidP="002F075E">
      <w:pPr>
        <w:pStyle w:val="enumlev1"/>
      </w:pPr>
      <w:r w:rsidRPr="00F05A8A">
        <w:t>•</w:t>
      </w:r>
      <w:r w:rsidRPr="00F05A8A">
        <w:tab/>
        <w:t>Une assistance a été fournie dans le cadre des projets coréens relatifs aux principes essentiels de la gestion du spectre et au Système de gestion du spectre pour les pays en développement (SMS4DC).</w:t>
      </w:r>
    </w:p>
    <w:p w14:paraId="00AF92D3" w14:textId="77777777" w:rsidR="00D80461" w:rsidRPr="00F05A8A" w:rsidRDefault="00D80461" w:rsidP="002F075E">
      <w:r w:rsidRPr="00F05A8A">
        <w:t>•</w:t>
      </w:r>
      <w:r w:rsidRPr="00F05A8A">
        <w:tab/>
        <w:t>Une formation technique sur le système SMS4DC a été dispensée à Vientiane (Lao (R.d.p.)).</w:t>
      </w:r>
    </w:p>
    <w:p w14:paraId="6AA04BA4" w14:textId="77777777" w:rsidR="00D80461" w:rsidRPr="00F05A8A" w:rsidRDefault="00D80461" w:rsidP="002F075E">
      <w:pPr>
        <w:pStyle w:val="Headingb"/>
      </w:pPr>
      <w:bookmarkStart w:id="316" w:name="_Toc41032093"/>
      <w:bookmarkStart w:id="317" w:name="_Toc72845063"/>
      <w:bookmarkStart w:id="318" w:name="_Toc72846403"/>
      <w:bookmarkStart w:id="319" w:name="_Toc72846637"/>
      <w:bookmarkStart w:id="320" w:name="_Toc95387514"/>
      <w:r w:rsidRPr="00F05A8A">
        <w:t>UIT-T</w:t>
      </w:r>
      <w:bookmarkEnd w:id="316"/>
      <w:bookmarkEnd w:id="317"/>
      <w:bookmarkEnd w:id="318"/>
      <w:bookmarkEnd w:id="319"/>
      <w:bookmarkEnd w:id="320"/>
    </w:p>
    <w:p w14:paraId="2282CC1D" w14:textId="77777777" w:rsidR="00D80461" w:rsidRPr="00F05A8A" w:rsidRDefault="00D80461" w:rsidP="002F075E">
      <w:pPr>
        <w:spacing w:after="240"/>
        <w:rPr>
          <w:color w:val="000000"/>
        </w:rPr>
      </w:pPr>
      <w:r w:rsidRPr="00F05A8A">
        <w:rPr>
          <w:color w:val="000000"/>
        </w:rPr>
        <w:t xml:space="preserve">Les </w:t>
      </w:r>
      <w:hyperlink r:id="rId297" w:history="1">
        <w:r w:rsidRPr="00F05A8A">
          <w:rPr>
            <w:rStyle w:val="Hyperlink"/>
          </w:rPr>
          <w:t>ateliers, forums et colloques de l'UIT-T</w:t>
        </w:r>
      </w:hyperlink>
      <w:r w:rsidRPr="00F05A8A">
        <w:rPr>
          <w:color w:val="000000"/>
        </w:rPr>
        <w:t xml:space="preserve"> permettent de se pencher sur les nouvelles tendances dans le domaine de la normalisation, de mieux faire connaître les travaux de l'UIT-T, de renforcer la collaboration entre l'UIT-T et d'autres organismes, d'attirer des candidats susceptibles de devenir membres de l'UIT-T et d'encourager l'apprentissage par les pairs. Tous les ateliers, forums et colloques de l'UIT-T se sont tenus de manière virtuelle, ce qui a favorisé une participation accrue et diversifiée. Les indicateurs fondamentaux associés aux ateliers, forums et colloques – qui ont porté sur différents thèmes allant des réseaux 5G à l'environnement, en passant par les villes intelligentes, les systèmes de transport intelligents, l'intelligence artificielle, la réduction des risques de catastrophe, etc. – sont présentés ci-dessous. </w:t>
      </w:r>
    </w:p>
    <w:tbl>
      <w:tblPr>
        <w:tblW w:w="3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2543"/>
        <w:gridCol w:w="2695"/>
      </w:tblGrid>
      <w:tr w:rsidR="00D80461" w:rsidRPr="00F05A8A" w14:paraId="17A1EB2A" w14:textId="77777777" w:rsidTr="00142C01">
        <w:trPr>
          <w:trHeight w:val="993"/>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DD4B4E" w14:textId="77777777" w:rsidR="00D80461" w:rsidRPr="00F05A8A" w:rsidRDefault="00D80461" w:rsidP="002F075E">
            <w:pPr>
              <w:pStyle w:val="Tablehead"/>
            </w:pP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9EAFD9" w14:textId="77777777" w:rsidR="00D80461" w:rsidRPr="00F05A8A" w:rsidRDefault="00D80461" w:rsidP="002F075E">
            <w:pPr>
              <w:pStyle w:val="Tablehead"/>
              <w:rPr>
                <w:rFonts w:eastAsia="Calibri"/>
              </w:rPr>
            </w:pPr>
            <w:r w:rsidRPr="00F05A8A">
              <w:rPr>
                <w:rFonts w:eastAsia="Calibri"/>
              </w:rPr>
              <w:t xml:space="preserve">Nombre d'ateliers </w:t>
            </w:r>
            <w:r w:rsidRPr="00F05A8A">
              <w:rPr>
                <w:rFonts w:eastAsia="Calibri"/>
              </w:rPr>
              <w:br/>
              <w:t xml:space="preserve">(total) </w:t>
            </w:r>
            <w:r w:rsidRPr="00F05A8A">
              <w:rPr>
                <w:rFonts w:eastAsia="Calibri"/>
              </w:rPr>
              <w:br/>
              <w:t>(au 1er novembre 2021)</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CD00BC" w14:textId="77777777" w:rsidR="00D80461" w:rsidRPr="00F05A8A" w:rsidRDefault="00D80461" w:rsidP="002F075E">
            <w:pPr>
              <w:pStyle w:val="Tablehead"/>
              <w:rPr>
                <w:rFonts w:eastAsia="Calibri"/>
              </w:rPr>
            </w:pPr>
            <w:r w:rsidRPr="00F05A8A">
              <w:rPr>
                <w:rFonts w:eastAsia="Calibri"/>
              </w:rPr>
              <w:t>Nombre d'ateliers</w:t>
            </w:r>
            <w:r w:rsidRPr="00F05A8A">
              <w:rPr>
                <w:rFonts w:eastAsia="Calibri"/>
              </w:rPr>
              <w:br/>
              <w:t>(virtuels uniquement)</w:t>
            </w:r>
            <w:r w:rsidRPr="00F05A8A">
              <w:rPr>
                <w:rFonts w:eastAsia="Calibri"/>
              </w:rPr>
              <w:br/>
              <w:t>(au 1er novembre 2021)</w:t>
            </w:r>
          </w:p>
        </w:tc>
      </w:tr>
      <w:tr w:rsidR="00D80461" w:rsidRPr="00F05A8A" w14:paraId="67C4896E" w14:textId="77777777" w:rsidTr="00142C01">
        <w:trPr>
          <w:trHeight w:val="426"/>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76CF2" w14:textId="77777777" w:rsidR="00D80461" w:rsidRPr="00F05A8A" w:rsidRDefault="00D80461" w:rsidP="002F075E">
            <w:pPr>
              <w:pStyle w:val="Tabletext"/>
              <w:jc w:val="center"/>
              <w:rPr>
                <w:rFonts w:eastAsia="Calibri"/>
                <w:b/>
                <w:bCs/>
                <w:lang w:eastAsia="en-GB"/>
              </w:rPr>
            </w:pPr>
            <w:r w:rsidRPr="00F05A8A">
              <w:rPr>
                <w:rFonts w:eastAsia="Calibri"/>
                <w:b/>
                <w:bCs/>
                <w:lang w:eastAsia="en-GB"/>
              </w:rPr>
              <w:t>2018</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AB4CB7" w14:textId="77777777" w:rsidR="00D80461" w:rsidRPr="00F05A8A" w:rsidRDefault="00D80461" w:rsidP="002F075E">
            <w:pPr>
              <w:pStyle w:val="Tabletext"/>
              <w:jc w:val="center"/>
              <w:rPr>
                <w:rFonts w:eastAsia="Calibri"/>
                <w:lang w:eastAsia="en-GB"/>
              </w:rPr>
            </w:pPr>
            <w:r w:rsidRPr="00F05A8A">
              <w:rPr>
                <w:rFonts w:eastAsia="Calibri"/>
                <w:lang w:eastAsia="en-GB"/>
              </w:rPr>
              <w:t>53</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AE949" w14:textId="77777777" w:rsidR="00D80461" w:rsidRPr="00F05A8A" w:rsidRDefault="00D80461" w:rsidP="002F075E">
            <w:pPr>
              <w:pStyle w:val="Tabletext"/>
              <w:jc w:val="center"/>
              <w:rPr>
                <w:rFonts w:eastAsia="Calibri"/>
                <w:lang w:eastAsia="en-GB"/>
              </w:rPr>
            </w:pPr>
            <w:r w:rsidRPr="00F05A8A">
              <w:rPr>
                <w:rFonts w:eastAsia="Calibri"/>
                <w:lang w:eastAsia="en-GB"/>
              </w:rPr>
              <w:t>0</w:t>
            </w:r>
          </w:p>
        </w:tc>
      </w:tr>
      <w:tr w:rsidR="00D80461" w:rsidRPr="00F05A8A" w14:paraId="1FF8112A" w14:textId="77777777" w:rsidTr="00142C01">
        <w:trPr>
          <w:trHeight w:val="412"/>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D94129" w14:textId="77777777" w:rsidR="00D80461" w:rsidRPr="00F05A8A" w:rsidRDefault="00D80461" w:rsidP="002F075E">
            <w:pPr>
              <w:pStyle w:val="Tabletext"/>
              <w:jc w:val="center"/>
              <w:rPr>
                <w:rFonts w:eastAsia="Calibri"/>
                <w:b/>
                <w:bCs/>
                <w:lang w:eastAsia="en-GB"/>
              </w:rPr>
            </w:pPr>
            <w:r w:rsidRPr="00F05A8A">
              <w:rPr>
                <w:rFonts w:eastAsia="Calibri"/>
                <w:b/>
                <w:bCs/>
                <w:lang w:eastAsia="en-GB"/>
              </w:rPr>
              <w:t>2019</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5B9EF" w14:textId="77777777" w:rsidR="00D80461" w:rsidRPr="00F05A8A" w:rsidRDefault="00D80461" w:rsidP="002F075E">
            <w:pPr>
              <w:pStyle w:val="Tabletext"/>
              <w:jc w:val="center"/>
              <w:rPr>
                <w:rFonts w:eastAsia="Calibri"/>
                <w:lang w:eastAsia="en-GB"/>
              </w:rPr>
            </w:pPr>
            <w:r w:rsidRPr="00F05A8A">
              <w:rPr>
                <w:rFonts w:eastAsia="Calibri"/>
                <w:lang w:eastAsia="en-GB"/>
              </w:rPr>
              <w:t>56</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DAB900" w14:textId="77777777" w:rsidR="00D80461" w:rsidRPr="00F05A8A" w:rsidRDefault="00D80461" w:rsidP="002F075E">
            <w:pPr>
              <w:pStyle w:val="Tabletext"/>
              <w:jc w:val="center"/>
              <w:rPr>
                <w:rFonts w:eastAsia="Calibri"/>
                <w:lang w:eastAsia="en-GB"/>
              </w:rPr>
            </w:pPr>
            <w:r w:rsidRPr="00F05A8A">
              <w:rPr>
                <w:rFonts w:eastAsia="Calibri"/>
                <w:lang w:eastAsia="en-GB"/>
              </w:rPr>
              <w:t>0</w:t>
            </w:r>
          </w:p>
        </w:tc>
      </w:tr>
      <w:tr w:rsidR="00D80461" w:rsidRPr="00F05A8A" w14:paraId="43AB01AA" w14:textId="77777777" w:rsidTr="00142C01">
        <w:trPr>
          <w:trHeight w:val="412"/>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B73BC6" w14:textId="77777777" w:rsidR="00D80461" w:rsidRPr="00F05A8A" w:rsidRDefault="00D80461" w:rsidP="002F075E">
            <w:pPr>
              <w:pStyle w:val="Tabletext"/>
              <w:jc w:val="center"/>
              <w:rPr>
                <w:rFonts w:eastAsia="Calibri"/>
                <w:b/>
                <w:bCs/>
                <w:lang w:eastAsia="en-GB"/>
              </w:rPr>
            </w:pPr>
            <w:r w:rsidRPr="00F05A8A">
              <w:rPr>
                <w:rFonts w:eastAsia="Calibri"/>
                <w:b/>
                <w:bCs/>
                <w:lang w:eastAsia="en-GB"/>
              </w:rPr>
              <w:t>2020</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7CC14B" w14:textId="77777777" w:rsidR="00D80461" w:rsidRPr="00F05A8A" w:rsidRDefault="00D80461" w:rsidP="002F075E">
            <w:pPr>
              <w:pStyle w:val="Tabletext"/>
              <w:jc w:val="center"/>
              <w:rPr>
                <w:rFonts w:eastAsia="Calibri"/>
                <w:lang w:eastAsia="en-GB"/>
              </w:rPr>
            </w:pPr>
            <w:r w:rsidRPr="00F05A8A">
              <w:rPr>
                <w:rFonts w:eastAsia="Calibri"/>
                <w:lang w:eastAsia="en-GB"/>
              </w:rPr>
              <w:t>46</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03415" w14:textId="77777777" w:rsidR="00D80461" w:rsidRPr="00F05A8A" w:rsidRDefault="00D80461" w:rsidP="002F075E">
            <w:pPr>
              <w:pStyle w:val="Tabletext"/>
              <w:jc w:val="center"/>
              <w:rPr>
                <w:rFonts w:eastAsia="Calibri"/>
                <w:lang w:eastAsia="en-GB"/>
              </w:rPr>
            </w:pPr>
            <w:r w:rsidRPr="00F05A8A">
              <w:rPr>
                <w:rFonts w:eastAsia="Calibri"/>
                <w:lang w:eastAsia="en-GB"/>
              </w:rPr>
              <w:t>37</w:t>
            </w:r>
          </w:p>
        </w:tc>
      </w:tr>
      <w:tr w:rsidR="00D80461" w:rsidRPr="00F05A8A" w14:paraId="0128F5C8" w14:textId="77777777" w:rsidTr="00142C01">
        <w:trPr>
          <w:trHeight w:val="426"/>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BB04D" w14:textId="77777777" w:rsidR="00D80461" w:rsidRPr="00F05A8A" w:rsidRDefault="00D80461" w:rsidP="002F075E">
            <w:pPr>
              <w:pStyle w:val="Tabletext"/>
              <w:jc w:val="center"/>
              <w:rPr>
                <w:rFonts w:eastAsia="Calibri"/>
                <w:b/>
                <w:bCs/>
                <w:lang w:eastAsia="en-GB"/>
              </w:rPr>
            </w:pPr>
            <w:r w:rsidRPr="00F05A8A">
              <w:rPr>
                <w:rFonts w:eastAsia="Calibri"/>
                <w:b/>
                <w:bCs/>
                <w:lang w:eastAsia="en-GB"/>
              </w:rPr>
              <w:t>2021</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72FC5" w14:textId="77777777" w:rsidR="00D80461" w:rsidRPr="00F05A8A" w:rsidRDefault="00D80461" w:rsidP="002F075E">
            <w:pPr>
              <w:pStyle w:val="Tabletext"/>
              <w:jc w:val="center"/>
              <w:rPr>
                <w:rFonts w:eastAsia="Calibri"/>
                <w:lang w:eastAsia="en-GB"/>
              </w:rPr>
            </w:pPr>
            <w:r w:rsidRPr="00F05A8A">
              <w:rPr>
                <w:rFonts w:eastAsia="Calibri"/>
                <w:lang w:eastAsia="en-GB"/>
              </w:rPr>
              <w:t>44</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D08270" w14:textId="77777777" w:rsidR="00D80461" w:rsidRPr="00F05A8A" w:rsidRDefault="00D80461" w:rsidP="002F075E">
            <w:pPr>
              <w:pStyle w:val="Tabletext"/>
              <w:jc w:val="center"/>
              <w:rPr>
                <w:rFonts w:eastAsia="Calibri"/>
                <w:lang w:eastAsia="en-GB"/>
              </w:rPr>
            </w:pPr>
            <w:r w:rsidRPr="00F05A8A">
              <w:rPr>
                <w:rFonts w:eastAsia="Calibri"/>
                <w:lang w:eastAsia="en-GB"/>
              </w:rPr>
              <w:t>44</w:t>
            </w:r>
          </w:p>
        </w:tc>
      </w:tr>
    </w:tbl>
    <w:p w14:paraId="1B69AD22" w14:textId="77777777" w:rsidR="00D80461" w:rsidRPr="00F05A8A" w:rsidRDefault="00D80461" w:rsidP="002F075E">
      <w:pPr>
        <w:pStyle w:val="Headingb"/>
      </w:pPr>
      <w:bookmarkStart w:id="321" w:name="lt_pId735"/>
      <w:bookmarkStart w:id="322" w:name="_Toc41032094"/>
      <w:bookmarkStart w:id="323" w:name="_Toc72845064"/>
      <w:bookmarkStart w:id="324" w:name="_Toc72846404"/>
      <w:bookmarkStart w:id="325" w:name="_Toc72846638"/>
      <w:bookmarkStart w:id="326" w:name="_Toc95387515"/>
      <w:r w:rsidRPr="00F05A8A">
        <w:t>UIT-D</w:t>
      </w:r>
      <w:bookmarkEnd w:id="321"/>
      <w:bookmarkEnd w:id="322"/>
      <w:bookmarkEnd w:id="323"/>
      <w:bookmarkEnd w:id="324"/>
      <w:bookmarkEnd w:id="325"/>
      <w:bookmarkEnd w:id="326"/>
    </w:p>
    <w:p w14:paraId="4023C306" w14:textId="77777777" w:rsidR="00D80461" w:rsidRPr="00F05A8A" w:rsidRDefault="00D80461" w:rsidP="002F075E">
      <w:pPr>
        <w:rPr>
          <w:color w:val="000000"/>
        </w:rPr>
      </w:pPr>
      <w:r w:rsidRPr="00F05A8A">
        <w:rPr>
          <w:color w:val="000000"/>
        </w:rPr>
        <w:t xml:space="preserve">En 2020, les ateliers et séminaires ont porté sur différents thèmes, garantissant que des progrès étaient réalisés concernant ces </w:t>
      </w:r>
      <w:r w:rsidRPr="00F05A8A">
        <w:t xml:space="preserve">priorités: </w:t>
      </w:r>
      <w:r w:rsidRPr="00F05A8A">
        <w:rPr>
          <w:color w:val="000000"/>
        </w:rPr>
        <w:t>innovation, inclusion numérique, renforcement des capacités, services et applications numériques, cybersécurité, télécommunications d'urgence, environnement, réseaux et infrastructures numériques, politiques générales et réglementation et statistiques. En dépit des mesures de confinement mises en place dans le monde, les travaux du Secteur ont continué de marquer de leur empreinte le monde entier, et tout particulièrement les pays les moins avancés (PMA), les petits États insulaires en développement (PEID) et les pays en développement sans littoral (PDSL).</w:t>
      </w:r>
    </w:p>
    <w:p w14:paraId="36FDA212" w14:textId="77777777" w:rsidR="00D80461" w:rsidRPr="00F05A8A" w:rsidRDefault="00D80461" w:rsidP="002F075E">
      <w:pPr>
        <w:rPr>
          <w:color w:val="000000"/>
        </w:rPr>
      </w:pPr>
      <w:r w:rsidRPr="00F05A8A">
        <w:rPr>
          <w:color w:val="000000"/>
        </w:rPr>
        <w:t xml:space="preserve">Plusieurs ateliers régionaux de renforcement des capacités ont aidé les pays à pallier le déficit de connaissances et de compétences dans le secteur des TIC, en vue de renforcer les compétences numériques. </w:t>
      </w:r>
    </w:p>
    <w:p w14:paraId="3B3F6973" w14:textId="77777777" w:rsidR="00D80461" w:rsidRPr="00F05A8A" w:rsidRDefault="00D80461" w:rsidP="002F075E">
      <w:bookmarkStart w:id="327" w:name="lt_pId744"/>
      <w:r w:rsidRPr="00F05A8A">
        <w:t>Les États Membres et d'autres parties prenantes ont tiré parti d'ateliers et de sessions de formation sur les télécommunications d'urgence et l'élaboration de plans nationaux pour les télécommunications d'urgence.</w:t>
      </w:r>
    </w:p>
    <w:p w14:paraId="19D7818E" w14:textId="77777777" w:rsidR="00D80461" w:rsidRPr="00F05A8A" w:rsidRDefault="00D80461" w:rsidP="002F075E">
      <w:pPr>
        <w:rPr>
          <w:color w:val="000000"/>
        </w:rPr>
      </w:pPr>
      <w:r w:rsidRPr="00F05A8A">
        <w:rPr>
          <w:color w:val="000000"/>
        </w:rPr>
        <w:lastRenderedPageBreak/>
        <w:t xml:space="preserve">De septembre à novembre 2020, des exercices de simulation en ligne liés à la cybersécurité ont mobilisé 3 000 participants, à l'occasion du </w:t>
      </w:r>
      <w:hyperlink r:id="rId298" w:history="1">
        <w:r w:rsidRPr="00F05A8A">
          <w:rPr>
            <w:rStyle w:val="Hyperlink"/>
          </w:rPr>
          <w:t>Cyberexercice mondial de 2020</w:t>
        </w:r>
      </w:hyperlink>
      <w:r w:rsidRPr="00F05A8A">
        <w:rPr>
          <w:color w:val="000000"/>
        </w:rPr>
        <w:t>, composé de six dialogues régionaux, trois webinaires, six formations et six exercices fondés sur des scénarios et destiné à aider les États Membres à gérer les cyberrisques et à améliorer les capacités des équipes CIRT/CSIRT en matière de communication et d'intervention en cas d'incident.</w:t>
      </w:r>
    </w:p>
    <w:p w14:paraId="7B91DBCE" w14:textId="77777777" w:rsidR="00D80461" w:rsidRPr="00F05A8A" w:rsidRDefault="00D80461" w:rsidP="002F075E">
      <w:r w:rsidRPr="00F05A8A">
        <w:t>Dans le cadre du projet PRIDA, une initiative conjointe de l'Union africaine, de l'Union européenne et de l'UIT, huit ateliers de renforcement des capacités ont été organisés, afin de former 573 ingénieurs issus des Autorités de régulation de 48 pays africains.</w:t>
      </w:r>
    </w:p>
    <w:p w14:paraId="25AA6905" w14:textId="77777777" w:rsidR="00D80461" w:rsidRPr="00F05A8A" w:rsidRDefault="00D80461" w:rsidP="002F075E">
      <w:pPr>
        <w:rPr>
          <w:color w:val="000000"/>
        </w:rPr>
      </w:pPr>
      <w:r w:rsidRPr="00F05A8A">
        <w:rPr>
          <w:color w:val="000000"/>
        </w:rPr>
        <w:t xml:space="preserve">Les Commissions d'études de l'UIT-D ont organisé des dialogues sur le web, afin de confronter les analyses sur les mesures prises face à la pandémie de COVID-19 du point de vue des différentes Questions confiées aux Commissions d'études de l'UIT-D. Ces </w:t>
      </w:r>
      <w:hyperlink r:id="rId299" w:history="1">
        <w:r w:rsidRPr="00F05A8A">
          <w:rPr>
            <w:rStyle w:val="Hyperlink"/>
          </w:rPr>
          <w:t>dialogues</w:t>
        </w:r>
      </w:hyperlink>
      <w:r w:rsidRPr="00F05A8A">
        <w:rPr>
          <w:color w:val="000000"/>
        </w:rPr>
        <w:t xml:space="preserve"> ont principalement porté sur les moyens de tirer parti des TIC dans le contexte de la crise actuelle liée au COVID-19, pour garantir que la continuité des activités contribue à la réalisation des objectifs sociaux et ouvre des perspectives d'innovation équitables.</w:t>
      </w:r>
      <w:bookmarkEnd w:id="327"/>
    </w:p>
    <w:p w14:paraId="158BAFF9" w14:textId="77777777" w:rsidR="00D80461" w:rsidRPr="00F05A8A" w:rsidRDefault="00D80461" w:rsidP="002F075E">
      <w:bookmarkStart w:id="328" w:name="lt_pId736"/>
      <w:r w:rsidRPr="00F05A8A">
        <w:t xml:space="preserve">En 2019, plus d'une centaine d'ateliers et de séminaires ont eu lieu. </w:t>
      </w:r>
      <w:bookmarkEnd w:id="328"/>
      <w:r w:rsidRPr="00F05A8A">
        <w:t xml:space="preserve">Plusieurs ateliers régionaux de renforcement des capacités ont aidé les pays à pallier le déficit de connaissances et de compétences dans le secteur des TIC, </w:t>
      </w:r>
      <w:bookmarkStart w:id="329" w:name="lt_pId737"/>
      <w:r w:rsidRPr="00F05A8A">
        <w:t>afin que les personnes acquièrent les compétences numériques dont elles ont besoin pour s'épanouir dans l'économie numérique.</w:t>
      </w:r>
      <w:bookmarkEnd w:id="329"/>
    </w:p>
    <w:p w14:paraId="2AEA9E0D" w14:textId="77777777" w:rsidR="00D80461" w:rsidRPr="00F05A8A" w:rsidRDefault="00D80461" w:rsidP="002F075E">
      <w:bookmarkStart w:id="330" w:name="lt_pId738"/>
      <w:r w:rsidRPr="00F05A8A">
        <w:t xml:space="preserve">En association avec des partenaires, des exercices régionaux de cybersécurité ont été organisés en 2019 pour aider les pays à renforcer leurs capacités en matière de cybersécurité et instaurer la confiance dans l'utilisation des TIC (voir la </w:t>
      </w:r>
      <w:hyperlink w:anchor="_1.6_Cybersécurité:_instaurer" w:history="1">
        <w:r w:rsidRPr="00F05A8A">
          <w:rPr>
            <w:rStyle w:val="Hyperlink"/>
          </w:rPr>
          <w:t>section 1.6</w:t>
        </w:r>
      </w:hyperlink>
      <w:bookmarkEnd w:id="330"/>
      <w:r w:rsidRPr="00F05A8A">
        <w:t xml:space="preserve"> pour de plus amples informations).</w:t>
      </w:r>
    </w:p>
    <w:p w14:paraId="05BE3437" w14:textId="77777777" w:rsidR="00D80461" w:rsidRPr="00F05A8A" w:rsidRDefault="00D80461" w:rsidP="002F075E">
      <w:r w:rsidRPr="00F05A8A">
        <w:t xml:space="preserve">Le rôle des technologies émergentes, telles que l'intelligence artificielle, et la conception de solutions numériques innovantes pour améliorer la qualité de vie des personnes handicapées, figuraient parmi les principaux enseignements à retenir de deux manifestations de premier plan de l'UIT axées sur l'accessibilité des TIC dans les régions Amériques et Europe (voir la </w:t>
      </w:r>
      <w:hyperlink w:anchor="_1.5_Environnement_et" w:history="1">
        <w:r w:rsidRPr="00F05A8A">
          <w:rPr>
            <w:rStyle w:val="Hyperlink"/>
          </w:rPr>
          <w:t>section 1.5</w:t>
        </w:r>
      </w:hyperlink>
      <w:r w:rsidRPr="00F05A8A">
        <w:t xml:space="preserve"> pour de plus amples informations).</w:t>
      </w:r>
    </w:p>
    <w:p w14:paraId="6CE5CD23" w14:textId="77777777" w:rsidR="00D80461" w:rsidRPr="00F05A8A" w:rsidRDefault="00D80461" w:rsidP="002F075E">
      <w:pPr>
        <w:rPr>
          <w:color w:val="000000"/>
        </w:rPr>
      </w:pPr>
      <w:bookmarkStart w:id="331" w:name="lt_pId743"/>
      <w:r w:rsidRPr="00F05A8A">
        <w:rPr>
          <w:color w:val="000000"/>
        </w:rPr>
        <w:t>Quatre cours de formation régionaux sur la collecte et la mesure des données sur les TIC ont été dispensés en 2019, en vue d'aider les décideurs et les régulateurs à améliorer l'élaboration de politiques fondées sur des données factuelles, et d'identifier les disparités en matière d'accès aux TIC.</w:t>
      </w:r>
      <w:bookmarkEnd w:id="331"/>
    </w:p>
    <w:p w14:paraId="46FBA988" w14:textId="77777777" w:rsidR="00D80461" w:rsidRPr="00F05A8A" w:rsidRDefault="00D80461" w:rsidP="002F075E">
      <w:pPr>
        <w:pStyle w:val="Heading2"/>
      </w:pPr>
      <w:bookmarkStart w:id="332" w:name="_1.11_Manifestations_phares"/>
      <w:bookmarkStart w:id="333" w:name="_Toc41032095"/>
      <w:bookmarkStart w:id="334" w:name="_Toc72846639"/>
      <w:bookmarkStart w:id="335" w:name="_Toc98513610"/>
      <w:bookmarkStart w:id="336" w:name="_Toc107466575"/>
      <w:bookmarkEnd w:id="332"/>
      <w:r w:rsidRPr="00F05A8A">
        <w:t>1.11</w:t>
      </w:r>
      <w:r w:rsidRPr="00F05A8A">
        <w:tab/>
        <w:t>Manifestations phares</w:t>
      </w:r>
      <w:bookmarkStart w:id="337" w:name="Section_1_11"/>
      <w:bookmarkEnd w:id="333"/>
      <w:bookmarkEnd w:id="334"/>
      <w:bookmarkEnd w:id="335"/>
      <w:bookmarkEnd w:id="336"/>
    </w:p>
    <w:p w14:paraId="3FA39CF3" w14:textId="77777777" w:rsidR="00D80461" w:rsidRPr="00F05A8A" w:rsidRDefault="00D80461" w:rsidP="002F075E">
      <w:pPr>
        <w:rPr>
          <w:rFonts w:eastAsia="Calibri"/>
          <w:lang w:eastAsia="en-GB"/>
        </w:rPr>
      </w:pPr>
      <w:r w:rsidRPr="00F05A8A">
        <w:rPr>
          <w:rFonts w:eastAsia="Calibri"/>
          <w:lang w:eastAsia="en-GB"/>
        </w:rPr>
        <w:t>Face à la pandémie de COVID-19, l'UIT continue son travail important, qui est de réunir les parties prenantes qui comptent, sur les plates-formes qui comptent, afin de créer une dynamique ininterrompue et de progresser vers la réalisation des ODD grâce à l'accès universel aux TIC.</w:t>
      </w:r>
    </w:p>
    <w:p w14:paraId="02C8E841" w14:textId="77777777" w:rsidR="00D80461" w:rsidRPr="00F05A8A" w:rsidRDefault="00D80461" w:rsidP="002F075E">
      <w:pPr>
        <w:pStyle w:val="Headingb"/>
      </w:pPr>
      <w:bookmarkStart w:id="338" w:name="_Toc72845066"/>
      <w:bookmarkStart w:id="339" w:name="_Toc72846405"/>
      <w:bookmarkStart w:id="340" w:name="_Toc72846640"/>
      <w:bookmarkStart w:id="341" w:name="_Toc95387517"/>
      <w:bookmarkEnd w:id="337"/>
      <w:r w:rsidRPr="00F05A8A">
        <w:t>Journée mondiale des télécommunications et de la société de l'information</w:t>
      </w:r>
      <w:bookmarkEnd w:id="338"/>
      <w:bookmarkEnd w:id="339"/>
      <w:bookmarkEnd w:id="340"/>
      <w:bookmarkEnd w:id="341"/>
    </w:p>
    <w:p w14:paraId="7082AE26" w14:textId="77777777" w:rsidR="00D80461" w:rsidRPr="00F05A8A" w:rsidRDefault="00D80461" w:rsidP="002F075E">
      <w:pPr>
        <w:rPr>
          <w:rFonts w:eastAsia="Calibri"/>
          <w:lang w:eastAsia="en-GB"/>
        </w:rPr>
      </w:pPr>
      <w:r w:rsidRPr="00F05A8A">
        <w:rPr>
          <w:rFonts w:eastAsia="Calibri"/>
          <w:lang w:eastAsia="en-GB"/>
        </w:rPr>
        <w:t xml:space="preserve">La Journée mondiale des télécommunications et de la société de l'information se tient chaque année le 17 mai. </w:t>
      </w:r>
    </w:p>
    <w:p w14:paraId="605FCBE9" w14:textId="77777777" w:rsidR="00D80461" w:rsidRPr="00F05A8A" w:rsidRDefault="00D80461" w:rsidP="002F075E">
      <w:pPr>
        <w:rPr>
          <w:rFonts w:eastAsia="Calibri"/>
          <w:lang w:eastAsia="en-GB"/>
        </w:rPr>
      </w:pPr>
      <w:r w:rsidRPr="00F05A8A">
        <w:rPr>
          <w:rFonts w:eastAsia="Calibri"/>
          <w:lang w:eastAsia="en-GB"/>
        </w:rPr>
        <w:t>L'</w:t>
      </w:r>
      <w:hyperlink r:id="rId300" w:history="1">
        <w:r w:rsidRPr="00F05A8A">
          <w:rPr>
            <w:rStyle w:val="Hyperlink"/>
            <w:rFonts w:eastAsia="Calibri"/>
            <w:lang w:eastAsia="en-GB"/>
          </w:rPr>
          <w:t>édition de 2021</w:t>
        </w:r>
      </w:hyperlink>
      <w:r w:rsidRPr="00F05A8A">
        <w:rPr>
          <w:rFonts w:eastAsia="Calibri"/>
          <w:lang w:eastAsia="en-GB"/>
        </w:rPr>
        <w:t xml:space="preserve">, sur le thème "Accélérer la transformation numérique en ces temps difficiles", a offert aux membres de l'UIT la possibilité de stimuler la transformation numérique en faisant la promotion des stratégies nationales relatives au développement des TIC, des politiques intelligentes visant à encourager les investissements, la coopération et les partenariats. Elle s'est conclue sur un </w:t>
      </w:r>
      <w:hyperlink r:id="rId301" w:history="1">
        <w:r w:rsidRPr="00F05A8A">
          <w:rPr>
            <w:rStyle w:val="Hyperlink"/>
            <w:rFonts w:eastAsia="Calibri"/>
            <w:lang w:eastAsia="en-GB"/>
          </w:rPr>
          <w:t>appel à l'action</w:t>
        </w:r>
      </w:hyperlink>
      <w:r w:rsidRPr="00F05A8A">
        <w:rPr>
          <w:rFonts w:eastAsia="Calibri"/>
          <w:lang w:eastAsia="en-GB"/>
        </w:rPr>
        <w:t>.</w:t>
      </w:r>
    </w:p>
    <w:p w14:paraId="561E8DF9" w14:textId="77777777" w:rsidR="00D80461" w:rsidRPr="00F05A8A" w:rsidRDefault="00D80461" w:rsidP="002F075E">
      <w:pPr>
        <w:rPr>
          <w:rFonts w:eastAsia="Calibri"/>
          <w:lang w:eastAsia="en-GB"/>
        </w:rPr>
      </w:pPr>
      <w:r w:rsidRPr="00F05A8A">
        <w:rPr>
          <w:rFonts w:eastAsia="Calibri"/>
          <w:lang w:eastAsia="en-GB"/>
        </w:rPr>
        <w:lastRenderedPageBreak/>
        <w:t xml:space="preserve">Le thème de l'édition de 2020 était </w:t>
      </w:r>
      <w:hyperlink r:id="rId302" w:history="1">
        <w:r w:rsidRPr="00F05A8A">
          <w:rPr>
            <w:rStyle w:val="Hyperlink"/>
            <w:rFonts w:eastAsia="Calibri"/>
            <w:lang w:eastAsia="en-GB"/>
          </w:rPr>
          <w:t>"Connect 2030: les TIC au service des Objectifs de développement durable (ODD)"</w:t>
        </w:r>
      </w:hyperlink>
      <w:r w:rsidRPr="00F05A8A">
        <w:rPr>
          <w:rFonts w:eastAsia="Calibri"/>
          <w:lang w:eastAsia="en-GB"/>
        </w:rPr>
        <w:t>, mettant en avant l'engagement pris par l'UIT de connecter toutes les populations, partout dans le monde (</w:t>
      </w:r>
      <w:hyperlink r:id="rId303" w:history="1">
        <w:r w:rsidRPr="00F05A8A">
          <w:rPr>
            <w:rStyle w:val="Hyperlink"/>
            <w:rFonts w:eastAsia="Calibri"/>
            <w:lang w:eastAsia="en-GB"/>
          </w:rPr>
          <w:t>Résolution 200</w:t>
        </w:r>
      </w:hyperlink>
      <w:r w:rsidRPr="00F05A8A">
        <w:rPr>
          <w:rFonts w:eastAsia="Calibri"/>
          <w:lang w:eastAsia="en-GB"/>
        </w:rPr>
        <w:t xml:space="preserve"> (Rév. Dubaï, 2018) de la Conférence de plénipotentiaires). Lors de cette manifestation qui s'est tenue de manière entièrement virtuelle pour la toute première fois, les partenaires de l'UIT ont montré comment les TIC accélèrent la réalisation des ODD et comment elles peuvent être utilisées pour faire face à la pandémie de COVID-19. Les parties prenantes ont présenté les solutions adoptées pour assurer la continuité des activités, tout en soulignant les possibilités qu'offrent les TIC pour permettre le développement, et ont souligné l'importance de la collaboration entre les pays et les secteurs.</w:t>
      </w:r>
    </w:p>
    <w:p w14:paraId="6D396B9C" w14:textId="77777777" w:rsidR="00D80461" w:rsidRPr="00F05A8A" w:rsidRDefault="00D80461" w:rsidP="002F075E">
      <w:pPr>
        <w:rPr>
          <w:rFonts w:eastAsia="Calibri"/>
          <w:lang w:eastAsia="en-GB"/>
        </w:rPr>
      </w:pPr>
      <w:r w:rsidRPr="00F05A8A">
        <w:rPr>
          <w:rFonts w:eastAsia="Calibri"/>
          <w:lang w:eastAsia="en-GB"/>
        </w:rPr>
        <w:t>La Journée mondiale des télécommunications et de la société de l'information a célébré son 50ème anniversaire en 2019. Le thème "</w:t>
      </w:r>
      <w:hyperlink r:id="rId304" w:history="1">
        <w:r w:rsidRPr="00F05A8A">
          <w:rPr>
            <w:rStyle w:val="Hyperlink"/>
            <w:rFonts w:eastAsia="Calibri"/>
            <w:lang w:eastAsia="en-GB"/>
          </w:rPr>
          <w:t>Réduire l'écart en matière de normalisation</w:t>
        </w:r>
      </w:hyperlink>
      <w:r w:rsidRPr="00F05A8A">
        <w:rPr>
          <w:rFonts w:eastAsia="Calibri"/>
          <w:lang w:eastAsia="en-GB"/>
        </w:rPr>
        <w:t>" a été l'occasion de promouvoir la participation des pays en développement au processus de normalisation de l'UIT et de s'intéresser en particulier aux solutions pour donner aux experts locaux les moyens de prendre part à ce processus</w:t>
      </w:r>
      <w:r w:rsidRPr="00F05A8A">
        <w:t xml:space="preserve"> </w:t>
      </w:r>
      <w:r w:rsidRPr="00F05A8A">
        <w:rPr>
          <w:rFonts w:eastAsia="Calibri"/>
          <w:lang w:eastAsia="en-GB"/>
        </w:rPr>
        <w:t>aux niveaux national, régional et international, et à la promotion de l'application des normes internationales dans les pays en développement.</w:t>
      </w:r>
    </w:p>
    <w:p w14:paraId="4EE23DED" w14:textId="77777777" w:rsidR="00D80461" w:rsidRPr="00F05A8A" w:rsidRDefault="00D80461" w:rsidP="002F075E">
      <w:pPr>
        <w:pStyle w:val="Headingb"/>
      </w:pPr>
      <w:bookmarkStart w:id="342" w:name="lt_pId746"/>
      <w:bookmarkStart w:id="343" w:name="_Toc41032096"/>
      <w:bookmarkStart w:id="344" w:name="_Toc72845067"/>
      <w:bookmarkStart w:id="345" w:name="_Toc72846406"/>
      <w:bookmarkStart w:id="346" w:name="_Toc72846641"/>
      <w:bookmarkStart w:id="347" w:name="_Toc95387518"/>
      <w:r w:rsidRPr="00F05A8A">
        <w:t>Forum du SMSI</w:t>
      </w:r>
      <w:bookmarkEnd w:id="342"/>
      <w:bookmarkEnd w:id="343"/>
      <w:bookmarkEnd w:id="344"/>
      <w:bookmarkEnd w:id="345"/>
      <w:bookmarkEnd w:id="346"/>
      <w:bookmarkEnd w:id="347"/>
    </w:p>
    <w:p w14:paraId="0F3B8801" w14:textId="257655AD" w:rsidR="002376C9" w:rsidRPr="00F05A8A" w:rsidRDefault="002376C9" w:rsidP="002F075E">
      <w:pPr>
        <w:rPr>
          <w:color w:val="000000"/>
        </w:rPr>
      </w:pPr>
      <w:bookmarkStart w:id="348" w:name="lt_pId753"/>
      <w:r w:rsidRPr="00F05A8A">
        <w:rPr>
          <w:rFonts w:eastAsia="Calibri"/>
          <w:lang w:eastAsia="en-GB"/>
        </w:rPr>
        <w:t xml:space="preserve">La dernière semaine </w:t>
      </w:r>
      <w:r w:rsidR="009028D7" w:rsidRPr="00F05A8A">
        <w:rPr>
          <w:rFonts w:eastAsia="Calibri"/>
          <w:lang w:eastAsia="en-GB"/>
        </w:rPr>
        <w:t>du</w:t>
      </w:r>
      <w:r w:rsidRPr="00F05A8A">
        <w:rPr>
          <w:rFonts w:eastAsia="Calibri"/>
          <w:lang w:eastAsia="en-GB"/>
        </w:rPr>
        <w:t xml:space="preserve"> </w:t>
      </w:r>
      <w:r w:rsidR="00DF2F24" w:rsidRPr="00F05A8A">
        <w:rPr>
          <w:color w:val="000000"/>
        </w:rPr>
        <w:t>Forum 2022 du Sommet mondial sur la société de l'information (SMSI)</w:t>
      </w:r>
      <w:r w:rsidRPr="00F05A8A">
        <w:rPr>
          <w:rFonts w:eastAsia="Calibri"/>
          <w:lang w:eastAsia="en-GB"/>
        </w:rPr>
        <w:t>, en juin 2022, a rassemblé plus de 1 000 participants en présentiel, tandis que plus de 30 000</w:t>
      </w:r>
      <w:r w:rsidR="0043461A" w:rsidRPr="00F05A8A">
        <w:rPr>
          <w:rFonts w:eastAsia="Calibri"/>
          <w:lang w:eastAsia="en-GB"/>
        </w:rPr>
        <w:t> </w:t>
      </w:r>
      <w:r w:rsidRPr="00F05A8A">
        <w:rPr>
          <w:rFonts w:eastAsia="Calibri"/>
          <w:lang w:eastAsia="en-GB"/>
        </w:rPr>
        <w:t>participants ont assisté à distance aux sessions du Forum</w:t>
      </w:r>
      <w:r w:rsidR="009028D7" w:rsidRPr="00F05A8A">
        <w:rPr>
          <w:rFonts w:eastAsia="Calibri"/>
          <w:lang w:eastAsia="en-GB"/>
        </w:rPr>
        <w:t>, qui avait débuté le</w:t>
      </w:r>
      <w:r w:rsidRPr="00F05A8A">
        <w:rPr>
          <w:rFonts w:eastAsia="Calibri"/>
          <w:lang w:eastAsia="en-GB"/>
        </w:rPr>
        <w:t xml:space="preserve"> 15 mars. </w:t>
      </w:r>
      <w:r w:rsidR="004D5DA9" w:rsidRPr="00F05A8A">
        <w:rPr>
          <w:rFonts w:eastAsia="Calibri"/>
          <w:lang w:eastAsia="en-GB"/>
        </w:rPr>
        <w:t xml:space="preserve">Des </w:t>
      </w:r>
      <w:r w:rsidR="004D5DA9" w:rsidRPr="00F05A8A">
        <w:rPr>
          <w:color w:val="000000"/>
        </w:rPr>
        <w:t xml:space="preserve">experts et des acteurs de la mise en œuvre des </w:t>
      </w:r>
      <w:r w:rsidR="00DF2F24" w:rsidRPr="00F05A8A">
        <w:rPr>
          <w:color w:val="000000"/>
        </w:rPr>
        <w:t>TIC</w:t>
      </w:r>
      <w:r w:rsidR="004D5DA9" w:rsidRPr="00F05A8A">
        <w:rPr>
          <w:color w:val="000000"/>
        </w:rPr>
        <w:t xml:space="preserve"> ont contribué et participé au Forum 2022 du </w:t>
      </w:r>
      <w:r w:rsidR="00DF2F24" w:rsidRPr="00F05A8A">
        <w:rPr>
          <w:color w:val="000000"/>
        </w:rPr>
        <w:t>SMSI</w:t>
      </w:r>
      <w:r w:rsidR="004D5DA9" w:rsidRPr="00F05A8A">
        <w:rPr>
          <w:color w:val="000000"/>
        </w:rPr>
        <w:t xml:space="preserve">, afin d'encourager les partenariats, d'échanger de bonnes pratiques et de présenter des innovations ainsi que de nouveaux outils et de nouvelles initiatives visant à utiliser les TIC </w:t>
      </w:r>
      <w:r w:rsidR="009F2189" w:rsidRPr="00F05A8A">
        <w:rPr>
          <w:color w:val="000000"/>
        </w:rPr>
        <w:t xml:space="preserve">(conformément aux grandes orientations du SMSI) </w:t>
      </w:r>
      <w:r w:rsidR="004D5DA9" w:rsidRPr="00F05A8A">
        <w:rPr>
          <w:color w:val="000000"/>
        </w:rPr>
        <w:t>en faveur de la réalisation des Objectifs de développement durable (ODD) définis par les Nations Unies.</w:t>
      </w:r>
    </w:p>
    <w:p w14:paraId="6BC0EC9F" w14:textId="6A3F89B3" w:rsidR="004D5DA9" w:rsidRPr="00F05A8A" w:rsidRDefault="004D5DA9" w:rsidP="002F075E">
      <w:pPr>
        <w:rPr>
          <w:color w:val="000000"/>
        </w:rPr>
      </w:pPr>
      <w:r w:rsidRPr="00F05A8A">
        <w:rPr>
          <w:color w:val="000000"/>
        </w:rPr>
        <w:t>À partir du 15 mars, plus de 250 sessions, parmi lesquelles des ateliers thématiques, des ateliers mettant à l</w:t>
      </w:r>
      <w:r w:rsidR="001674A2" w:rsidRPr="00F05A8A">
        <w:rPr>
          <w:color w:val="000000"/>
        </w:rPr>
        <w:t>'</w:t>
      </w:r>
      <w:r w:rsidRPr="00F05A8A">
        <w:rPr>
          <w:color w:val="000000"/>
        </w:rPr>
        <w:t xml:space="preserve">honneur les pays, des réunions de coordination sur les grandes orientations du SMSI, des dialogues </w:t>
      </w:r>
      <w:r w:rsidR="00ED18AF" w:rsidRPr="00F05A8A">
        <w:rPr>
          <w:color w:val="000000"/>
        </w:rPr>
        <w:t xml:space="preserve">et des sessions politiques </w:t>
      </w:r>
      <w:r w:rsidRPr="00F05A8A">
        <w:rPr>
          <w:color w:val="000000"/>
        </w:rPr>
        <w:t xml:space="preserve">de haut niveau, des cafés-découvertes et des espaces de dialogue ouvert, ont permis aux participants issus de plus de 150 pays, aussi bien sur place qu'à distance, d'engager un dialogue avec plus de 500 représentants de haut niveau de la communauté élargie des parties prenantes au SMSI, parmi lesquels </w:t>
      </w:r>
      <w:r w:rsidR="0009652D" w:rsidRPr="00F05A8A">
        <w:rPr>
          <w:color w:val="000000"/>
        </w:rPr>
        <w:t>des</w:t>
      </w:r>
      <w:r w:rsidRPr="00F05A8A">
        <w:rPr>
          <w:color w:val="000000"/>
        </w:rPr>
        <w:t xml:space="preserve"> ministres, vice-ministres et ambassadeurs, ainsi que des responsables du secteur privé, des milieux universitaires et de la société civile.</w:t>
      </w:r>
      <w:r w:rsidR="0009652D" w:rsidRPr="00F05A8A">
        <w:rPr>
          <w:color w:val="000000"/>
        </w:rPr>
        <w:t xml:space="preserve"> Le programme de cette année, qui faisait écho à la fois aux grandes orientations du SMSI et aux ODD, visait principalement à mettre en lumière les liens entre ces orientations et ces Objectifs, notamment dans des domaines identifiés comme prioritaires par les ODD tels que les langues autochtones, les personnes âgées, l</w:t>
      </w:r>
      <w:r w:rsidR="001674A2" w:rsidRPr="00F05A8A">
        <w:rPr>
          <w:color w:val="000000"/>
        </w:rPr>
        <w:t>'</w:t>
      </w:r>
      <w:r w:rsidR="0009652D" w:rsidRPr="00F05A8A">
        <w:rPr>
          <w:color w:val="000000"/>
        </w:rPr>
        <w:t>accessibilité, l'éducation, l'inclusion des jeunes, l'emploi, l'autonomisation des femmes, l'environnement, les infrastructures et l'innovation.</w:t>
      </w:r>
    </w:p>
    <w:p w14:paraId="38920083" w14:textId="36F39020" w:rsidR="0009652D" w:rsidRPr="00F05A8A" w:rsidRDefault="0009652D" w:rsidP="002F075E">
      <w:pPr>
        <w:rPr>
          <w:rFonts w:eastAsia="Calibri"/>
          <w:lang w:eastAsia="en-GB"/>
        </w:rPr>
      </w:pPr>
      <w:r w:rsidRPr="00F05A8A">
        <w:rPr>
          <w:color w:val="000000"/>
        </w:rPr>
        <w:t>Le Forum a offert un cadre pour mettre en avant le potentiel de l</w:t>
      </w:r>
      <w:r w:rsidR="001674A2" w:rsidRPr="00F05A8A">
        <w:rPr>
          <w:color w:val="000000"/>
        </w:rPr>
        <w:t>'</w:t>
      </w:r>
      <w:r w:rsidRPr="00F05A8A">
        <w:rPr>
          <w:color w:val="000000"/>
        </w:rPr>
        <w:t>innovation grâce à des technologies émergentes comme le métavers, l</w:t>
      </w:r>
      <w:r w:rsidR="001674A2" w:rsidRPr="00F05A8A">
        <w:rPr>
          <w:color w:val="000000"/>
        </w:rPr>
        <w:t>'</w:t>
      </w:r>
      <w:r w:rsidRPr="00F05A8A">
        <w:rPr>
          <w:color w:val="000000"/>
        </w:rPr>
        <w:t>intelligence artificielle, l</w:t>
      </w:r>
      <w:r w:rsidR="001674A2" w:rsidRPr="00F05A8A">
        <w:rPr>
          <w:color w:val="000000"/>
        </w:rPr>
        <w:t>'</w:t>
      </w:r>
      <w:r w:rsidRPr="00F05A8A">
        <w:rPr>
          <w:color w:val="000000"/>
        </w:rPr>
        <w:t>Internet des objets (IoT), la chaîne de blocs, la 5G, pour ne citer que ces exemples. L'édition de 2022 du Forum du SMSI s'est tenue sous la présidence de S. E. M. Isa Ali Ibrahim (Pantami), Ministère fédéral des communications et de l'économie numérique du Nigéria. La Forum a été organisé conjointement par l'UIT, l'UNESCO, la CNUCED (Conférence des Nations Unies sur le commerce et le développement) et le PNUD, en étroite collaboration avec toutes les institutions des Nations</w:t>
      </w:r>
      <w:r w:rsidR="0043461A" w:rsidRPr="00F05A8A">
        <w:rPr>
          <w:color w:val="000000"/>
        </w:rPr>
        <w:t> </w:t>
      </w:r>
      <w:r w:rsidRPr="00F05A8A">
        <w:rPr>
          <w:color w:val="000000"/>
        </w:rPr>
        <w:t>Unies.</w:t>
      </w:r>
    </w:p>
    <w:p w14:paraId="586E897C" w14:textId="5FC121D3" w:rsidR="00D80461" w:rsidRPr="00F05A8A" w:rsidRDefault="00D80461" w:rsidP="002F075E">
      <w:pPr>
        <w:rPr>
          <w:rFonts w:eastAsia="Calibri"/>
          <w:lang w:eastAsia="en-GB"/>
        </w:rPr>
      </w:pPr>
      <w:r w:rsidRPr="00F05A8A">
        <w:rPr>
          <w:rFonts w:eastAsia="Calibri"/>
          <w:lang w:eastAsia="en-GB"/>
        </w:rPr>
        <w:lastRenderedPageBreak/>
        <w:t>L'édition de 2021 du Forum du Sommet mondial sur la société de l'information (SMSI) s'est tenue sous forme virtuelle de janvier à mai en raison de la pandémie de COVID-19, et plus de 250 sessions ont été organisées, notamment des ateliers, des entretiens en direct, des discussions dans le cadre du SMSI (</w:t>
      </w:r>
      <w:r w:rsidRPr="00F05A8A">
        <w:rPr>
          <w:rFonts w:eastAsia="Calibri"/>
          <w:color w:val="000000"/>
        </w:rPr>
        <w:t xml:space="preserve">WSIS TalkX), une Partie de haut niveau, un hackathon, etc. Le thème était "Les TIC au service de sociétés et d'économies inclusives, résilientes et durables (Grandes orientations du SMSI en vue de la réalisation des Objectifs de développement durable)". Des informations complémentaires sont disponibles </w:t>
      </w:r>
      <w:hyperlink r:id="rId305" w:history="1">
        <w:r w:rsidRPr="00F05A8A">
          <w:rPr>
            <w:rStyle w:val="Hyperlink"/>
            <w:rFonts w:eastAsia="Calibri"/>
          </w:rPr>
          <w:t>en ligne</w:t>
        </w:r>
      </w:hyperlink>
      <w:r w:rsidRPr="00F05A8A">
        <w:rPr>
          <w:rFonts w:eastAsia="Calibri"/>
          <w:color w:val="000000"/>
        </w:rPr>
        <w:t>.</w:t>
      </w:r>
    </w:p>
    <w:p w14:paraId="239D3277" w14:textId="77777777" w:rsidR="00D80461" w:rsidRPr="00F05A8A" w:rsidRDefault="00D80461" w:rsidP="002F075E">
      <w:pPr>
        <w:rPr>
          <w:rFonts w:eastAsia="Calibri"/>
          <w:lang w:eastAsia="en-GB"/>
        </w:rPr>
      </w:pPr>
      <w:r w:rsidRPr="00F05A8A">
        <w:rPr>
          <w:rFonts w:eastAsia="Calibri"/>
          <w:lang w:eastAsia="en-GB"/>
        </w:rPr>
        <w:t>L'édition de 2020 du Forum du SMSI s'est tenue sous forme virtuelle de juin à septembre 2020 dans le contexte de la pandémie de COVID-19. Le thème était "Promouvoir la transformation numérique et les partenariats au niveau mondial:</w:t>
      </w:r>
      <w:r w:rsidRPr="00F05A8A">
        <w:t xml:space="preserve"> </w:t>
      </w:r>
      <w:r w:rsidRPr="00F05A8A">
        <w:rPr>
          <w:rFonts w:eastAsia="Calibri"/>
          <w:lang w:eastAsia="en-GB"/>
        </w:rPr>
        <w:t xml:space="preserve">les grandes orientations du SMSI au service de la réalisation des Objectifs de développement durable". </w:t>
      </w:r>
      <w:r w:rsidRPr="00F05A8A">
        <w:rPr>
          <w:rFonts w:eastAsia="Calibri"/>
          <w:color w:val="000000"/>
        </w:rPr>
        <w:t>Le Forum a réuni plus de 15 000 participants de quelque 150 pays, qui ont pris part aux 160 séances virtuelles lors desquelles 850 orateurs différents sont intervenus.</w:t>
      </w:r>
      <w:r w:rsidRPr="00F05A8A">
        <w:t xml:space="preserve"> L</w:t>
      </w:r>
      <w:r w:rsidRPr="00F05A8A">
        <w:rPr>
          <w:rFonts w:eastAsia="Calibri"/>
          <w:color w:val="000000"/>
        </w:rPr>
        <w:t>es résultats et les publications concernant l'</w:t>
      </w:r>
      <w:r w:rsidRPr="00F05A8A">
        <w:rPr>
          <w:rFonts w:eastAsia="Calibri"/>
          <w:lang w:eastAsia="en-GB"/>
        </w:rPr>
        <w:t xml:space="preserve">édition de 2020 du Forum du SMSI </w:t>
      </w:r>
      <w:r w:rsidRPr="00F05A8A">
        <w:rPr>
          <w:rFonts w:eastAsia="Calibri"/>
          <w:color w:val="000000"/>
        </w:rPr>
        <w:t xml:space="preserve">sont disponibles </w:t>
      </w:r>
      <w:hyperlink r:id="rId306" w:history="1">
        <w:r w:rsidRPr="00F05A8A">
          <w:rPr>
            <w:rStyle w:val="Hyperlink"/>
            <w:rFonts w:eastAsia="Calibri"/>
          </w:rPr>
          <w:t>en ligne</w:t>
        </w:r>
      </w:hyperlink>
      <w:r w:rsidRPr="00F05A8A">
        <w:rPr>
          <w:rFonts w:eastAsia="Calibri"/>
          <w:color w:val="000000"/>
        </w:rPr>
        <w:t>.</w:t>
      </w:r>
    </w:p>
    <w:p w14:paraId="60A5BF98" w14:textId="77777777" w:rsidR="00D80461" w:rsidRPr="00F05A8A" w:rsidRDefault="00D80461" w:rsidP="002F075E">
      <w:pPr>
        <w:rPr>
          <w:rFonts w:eastAsia="Calibri"/>
          <w:lang w:eastAsia="en-GB"/>
        </w:rPr>
      </w:pPr>
      <w:r w:rsidRPr="00F05A8A">
        <w:rPr>
          <w:rFonts w:eastAsia="Calibri"/>
          <w:lang w:eastAsia="en-GB"/>
        </w:rPr>
        <w:t>Tenue du 8 au 12 avril 2019 à Genève (Suisse) et organisée conjointement par l'UIT, l'UNESCO, la CNUCED et le PNUD, en collaboration avec toutes les institutions des Nations Unies, l'édition de 2019 du Forum du SMSI a réuni</w:t>
      </w:r>
      <w:bookmarkStart w:id="349" w:name="lt_pId748"/>
      <w:r w:rsidRPr="00F05A8A">
        <w:rPr>
          <w:rFonts w:eastAsia="Calibri"/>
          <w:lang w:eastAsia="en-GB"/>
        </w:rPr>
        <w:t xml:space="preserve"> plus de 3 000 participants.</w:t>
      </w:r>
      <w:bookmarkEnd w:id="349"/>
      <w:r w:rsidRPr="00F05A8A">
        <w:rPr>
          <w:rFonts w:eastAsia="Calibri"/>
          <w:lang w:eastAsia="en-GB"/>
        </w:rPr>
        <w:t xml:space="preserve"> </w:t>
      </w:r>
      <w:bookmarkStart w:id="350" w:name="lt_pId749"/>
      <w:r w:rsidRPr="00F05A8A">
        <w:rPr>
          <w:rFonts w:eastAsia="Calibri"/>
          <w:lang w:eastAsia="en-GB"/>
        </w:rPr>
        <w:t xml:space="preserve">À cette occasion, plus de 300 sessions ont rassemblé des participants issus de plus de 150 pays et plus de 500 représentants de haut rang de la communauté des parties prenantes du SMSI au sens large. </w:t>
      </w:r>
      <w:bookmarkEnd w:id="350"/>
      <w:r w:rsidRPr="00F05A8A">
        <w:rPr>
          <w:rFonts w:eastAsia="Calibri"/>
          <w:lang w:eastAsia="en-GB"/>
        </w:rPr>
        <w:t>Le Forum a permis aux participants d'établir des partenariats, d'échanger des bonnes pratiques, de présenter des innovations et d'annoncer la création d'outils et d'initiatives.</w:t>
      </w:r>
      <w:r w:rsidRPr="00F05A8A">
        <w:t xml:space="preserve"> </w:t>
      </w:r>
      <w:r w:rsidRPr="00F05A8A">
        <w:rPr>
          <w:rFonts w:eastAsia="Calibri"/>
          <w:lang w:eastAsia="en-GB"/>
        </w:rPr>
        <w:t xml:space="preserve">Les temps forts et les résultats de l'édition de 2019 du Forum du SMSI sont disponibles </w:t>
      </w:r>
      <w:hyperlink r:id="rId307" w:history="1">
        <w:r w:rsidRPr="00F05A8A">
          <w:rPr>
            <w:rStyle w:val="Hyperlink"/>
            <w:rFonts w:eastAsia="Calibri"/>
            <w:lang w:eastAsia="en-GB"/>
          </w:rPr>
          <w:t>en ligne</w:t>
        </w:r>
      </w:hyperlink>
      <w:r w:rsidRPr="00F05A8A">
        <w:rPr>
          <w:rFonts w:eastAsia="Calibri"/>
          <w:lang w:eastAsia="en-GB"/>
        </w:rPr>
        <w:t>.</w:t>
      </w:r>
    </w:p>
    <w:p w14:paraId="51B4052E" w14:textId="77777777" w:rsidR="00D80461" w:rsidRPr="00F05A8A" w:rsidRDefault="00D80461" w:rsidP="002F075E">
      <w:pPr>
        <w:pStyle w:val="Headingb"/>
        <w:rPr>
          <w:rFonts w:eastAsia="Calibri"/>
        </w:rPr>
      </w:pPr>
      <w:bookmarkStart w:id="351" w:name="_Toc72845072"/>
      <w:bookmarkStart w:id="352" w:name="_Toc72846411"/>
      <w:bookmarkStart w:id="353" w:name="_Toc72846646"/>
      <w:bookmarkStart w:id="354" w:name="_Toc95387519"/>
      <w:bookmarkEnd w:id="348"/>
      <w:r w:rsidRPr="00F05A8A">
        <w:rPr>
          <w:rFonts w:eastAsia="Calibri"/>
        </w:rPr>
        <w:t>Prix du SMSI 2020 et 2021</w:t>
      </w:r>
      <w:bookmarkEnd w:id="351"/>
      <w:bookmarkEnd w:id="352"/>
      <w:bookmarkEnd w:id="353"/>
      <w:bookmarkEnd w:id="354"/>
    </w:p>
    <w:p w14:paraId="0F7DD829" w14:textId="77777777" w:rsidR="0079251D" w:rsidRPr="00F05A8A" w:rsidRDefault="00D80461" w:rsidP="002F075E">
      <w:pPr>
        <w:rPr>
          <w:rFonts w:eastAsia="Calibri"/>
          <w:color w:val="000000"/>
        </w:rPr>
      </w:pPr>
      <w:r w:rsidRPr="00F05A8A">
        <w:rPr>
          <w:rFonts w:eastAsia="Calibri"/>
          <w:color w:val="000000"/>
        </w:rPr>
        <w:t xml:space="preserve">Mille deux cent quatre-vingt-six projets ont été soumis pour les </w:t>
      </w:r>
      <w:hyperlink r:id="rId308" w:history="1">
        <w:r w:rsidRPr="00F05A8A">
          <w:rPr>
            <w:rStyle w:val="Hyperlink"/>
            <w:rFonts w:eastAsia="Calibri"/>
          </w:rPr>
          <w:t>Prix 2021 du SMSI</w:t>
        </w:r>
      </w:hyperlink>
      <w:r w:rsidRPr="00F05A8A">
        <w:rPr>
          <w:rFonts w:eastAsia="Calibri"/>
          <w:color w:val="000000"/>
        </w:rPr>
        <w:t xml:space="preserve">, un record depuis le lancement du concours en 2012. Les parties prenantes ont échangé des bonnes pratiques ainsi que des initiatives et des projets innovants dans le domaine des TIC en vue d'accélérer la réalisation des ODD. Les noms des 18 lauréats et champions ont été annoncés à </w:t>
      </w:r>
      <w:r w:rsidR="0079251D" w:rsidRPr="00F05A8A">
        <w:rPr>
          <w:rFonts w:eastAsia="Calibri"/>
          <w:color w:val="000000"/>
        </w:rPr>
        <w:br w:type="page"/>
      </w:r>
    </w:p>
    <w:p w14:paraId="2B7C0403" w14:textId="6865410F" w:rsidR="00D80461" w:rsidRPr="00F05A8A" w:rsidRDefault="00D80461" w:rsidP="002F075E">
      <w:pPr>
        <w:rPr>
          <w:rFonts w:eastAsia="Calibri"/>
          <w:color w:val="000000"/>
        </w:rPr>
      </w:pPr>
      <w:r w:rsidRPr="00F05A8A">
        <w:rPr>
          <w:rFonts w:eastAsia="Calibri"/>
          <w:color w:val="000000"/>
        </w:rPr>
        <w:lastRenderedPageBreak/>
        <w:t xml:space="preserve">l'occasion du </w:t>
      </w:r>
      <w:hyperlink r:id="rId309" w:history="1">
        <w:r w:rsidRPr="00F05A8A">
          <w:rPr>
            <w:rStyle w:val="Hyperlink"/>
            <w:rFonts w:eastAsia="Calibri"/>
          </w:rPr>
          <w:t>Forum 2021 du SMSI</w:t>
        </w:r>
      </w:hyperlink>
      <w:r w:rsidRPr="00F05A8A">
        <w:rPr>
          <w:rFonts w:eastAsia="Calibri"/>
          <w:color w:val="000000"/>
        </w:rPr>
        <w:t>. Les projets récompensés sont présentés dans la publication "Inventaire des activités du SMSI:</w:t>
      </w:r>
      <w:r w:rsidRPr="00F05A8A">
        <w:t xml:space="preserve"> </w:t>
      </w:r>
      <w:r w:rsidRPr="00F05A8A">
        <w:rPr>
          <w:rFonts w:eastAsia="Calibri"/>
          <w:color w:val="000000"/>
        </w:rPr>
        <w:t>Exemples de réussite pour l'année 2021", et sont décrits dans le rapport 2021 sur l'inventaire des activités du SMSI.</w:t>
      </w:r>
    </w:p>
    <w:p w14:paraId="4FB2BAF0" w14:textId="77777777" w:rsidR="00D80461" w:rsidRPr="00F05A8A" w:rsidRDefault="00D80461" w:rsidP="002F075E">
      <w:pPr>
        <w:rPr>
          <w:color w:val="000000"/>
        </w:rPr>
      </w:pPr>
      <w:r w:rsidRPr="00F05A8A">
        <w:rPr>
          <w:color w:val="000000"/>
        </w:rPr>
        <w:t xml:space="preserve">En 2020, le concours des </w:t>
      </w:r>
      <w:hyperlink r:id="rId310" w:history="1">
        <w:r w:rsidRPr="00F05A8A">
          <w:rPr>
            <w:rStyle w:val="Hyperlink"/>
          </w:rPr>
          <w:t>Prix du SMSI</w:t>
        </w:r>
      </w:hyperlink>
      <w:r w:rsidRPr="00F05A8A">
        <w:rPr>
          <w:color w:val="000000"/>
        </w:rPr>
        <w:t xml:space="preserve"> a récompensé des initiatives de gouvernements, d'entreprises du secteur privé, de la société civile et d'établissements universitaires qui appuient la mise en œuvre des grandes orientations du SMSI en vue d'accélérer la réalisation des ODD. Au total, 806 projets ont été présentés par les parties prenantes du SMSI et 90 champions ont été sélectionnés, sur la base de deux millions de voix exprimées par les parties prenantes. Lors de la dernière semaine du Forum 2020 du SMSI, les noms des 18 lauréats des Prix 2020 du SMSI ont été annoncés et des séances virtuelles ont été organisées afin d'assurer la promotion, au niveau mondial, de leurs projets innovants. De plus amples informations sont disponibles ici: </w:t>
      </w:r>
      <w:hyperlink r:id="rId311" w:history="1">
        <w:r w:rsidRPr="00F05A8A">
          <w:rPr>
            <w:rStyle w:val="Hyperlink"/>
          </w:rPr>
          <w:t>ImeetyouatWSIS</w:t>
        </w:r>
      </w:hyperlink>
      <w:r w:rsidRPr="00F05A8A">
        <w:rPr>
          <w:color w:val="000000"/>
        </w:rPr>
        <w:t>.</w:t>
      </w:r>
    </w:p>
    <w:p w14:paraId="16BA5D7C" w14:textId="77777777" w:rsidR="00D80461" w:rsidRPr="00F05A8A" w:rsidRDefault="00D80461" w:rsidP="002F075E">
      <w:pPr>
        <w:rPr>
          <w:rFonts w:eastAsia="Calibri"/>
          <w:color w:val="000000"/>
        </w:rPr>
      </w:pPr>
      <w:r w:rsidRPr="00F05A8A">
        <w:rPr>
          <w:rFonts w:eastAsia="Calibri"/>
          <w:color w:val="000000"/>
        </w:rPr>
        <w:t>En 2019, 1 062 projets ont été nominés au concours des Prix du SMSI.</w:t>
      </w:r>
    </w:p>
    <w:p w14:paraId="06A11ECA" w14:textId="77777777" w:rsidR="00D80461" w:rsidRPr="00F05A8A" w:rsidRDefault="00D80461" w:rsidP="002F075E">
      <w:pPr>
        <w:pStyle w:val="Headingb"/>
      </w:pPr>
      <w:bookmarkStart w:id="355" w:name="_Toc72845073"/>
      <w:bookmarkStart w:id="356" w:name="_Toc72846412"/>
      <w:bookmarkStart w:id="357" w:name="_Toc72846647"/>
      <w:bookmarkStart w:id="358" w:name="_Toc95387520"/>
      <w:r w:rsidRPr="00F05A8A">
        <w:t>Inventaire des activités du SMSI (2020-2021)</w:t>
      </w:r>
      <w:bookmarkEnd w:id="355"/>
      <w:bookmarkEnd w:id="356"/>
      <w:bookmarkEnd w:id="357"/>
      <w:bookmarkEnd w:id="358"/>
    </w:p>
    <w:p w14:paraId="6E26DC75" w14:textId="77777777" w:rsidR="00D80461" w:rsidRPr="00F05A8A" w:rsidRDefault="00D80461" w:rsidP="002F075E">
      <w:pPr>
        <w:rPr>
          <w:color w:val="000000"/>
        </w:rPr>
      </w:pPr>
      <w:r w:rsidRPr="00F05A8A">
        <w:rPr>
          <w:color w:val="000000"/>
        </w:rPr>
        <w:t xml:space="preserve">En 2020, le </w:t>
      </w:r>
      <w:hyperlink r:id="rId312" w:history="1">
        <w:r w:rsidRPr="00F05A8A">
          <w:rPr>
            <w:rStyle w:val="Hyperlink"/>
          </w:rPr>
          <w:t>rapport annuel sur l'inventaire des activités du SMSI à l'échelle mondiale</w:t>
        </w:r>
      </w:hyperlink>
      <w:r w:rsidRPr="00F05A8A">
        <w:rPr>
          <w:color w:val="000000"/>
        </w:rPr>
        <w:t xml:space="preserve"> a été publié dans le cadre de l'inventaire des activités du SMSI. Cette 11ème édition a présenté 776 activités relatives à l'utilisation des TIC au service du développement qui ont été répertoriées sur la </w:t>
      </w:r>
      <w:hyperlink r:id="rId313" w:history="1">
        <w:r w:rsidRPr="00F05A8A">
          <w:rPr>
            <w:rStyle w:val="Hyperlink"/>
          </w:rPr>
          <w:t>plate</w:t>
        </w:r>
        <w:r w:rsidRPr="00F05A8A">
          <w:rPr>
            <w:rStyle w:val="Hyperlink"/>
          </w:rPr>
          <w:noBreakHyphen/>
          <w:t>forme de l'inventaire des activités du SMSI</w:t>
        </w:r>
      </w:hyperlink>
      <w:r w:rsidRPr="00F05A8A">
        <w:rPr>
          <w:color w:val="000000"/>
        </w:rPr>
        <w:t>, du 2 juillet au 29 novembre 2019. Six rapports régionaux biennaux sur l'inventaire des activités du SMSI ont été élaborés, et un rapport spécial sur le répertoire des cas d'utilisation des TIC dans le cadre des mesures de lutte contre le Coronavirus a également été publié.</w:t>
      </w:r>
    </w:p>
    <w:p w14:paraId="63E473BB" w14:textId="77777777" w:rsidR="00D80461" w:rsidRPr="00F05A8A" w:rsidRDefault="00D80461" w:rsidP="002F075E">
      <w:r w:rsidRPr="00F05A8A">
        <w:t xml:space="preserve">Les rapports de 2018 et de 2019 sur l'inventaire des activités du SMSI sont disponibles aux liens suivants: </w:t>
      </w:r>
      <w:hyperlink r:id="rId314" w:history="1">
        <w:r w:rsidRPr="00F05A8A">
          <w:rPr>
            <w:rStyle w:val="Hyperlink"/>
          </w:rPr>
          <w:t>2019</w:t>
        </w:r>
      </w:hyperlink>
      <w:r w:rsidRPr="00F05A8A">
        <w:t xml:space="preserve"> et </w:t>
      </w:r>
      <w:hyperlink r:id="rId315" w:history="1">
        <w:r w:rsidRPr="00F05A8A">
          <w:rPr>
            <w:rStyle w:val="Hyperlink"/>
          </w:rPr>
          <w:t>2018</w:t>
        </w:r>
      </w:hyperlink>
      <w:r w:rsidRPr="00F05A8A">
        <w:t>.</w:t>
      </w:r>
    </w:p>
    <w:p w14:paraId="4E38B742" w14:textId="77777777" w:rsidR="00D80461" w:rsidRPr="00F05A8A" w:rsidRDefault="00D80461" w:rsidP="002F075E">
      <w:pPr>
        <w:pStyle w:val="Headingb"/>
      </w:pPr>
      <w:bookmarkStart w:id="359" w:name="_Toc41032097"/>
      <w:bookmarkStart w:id="360" w:name="_Toc72845074"/>
      <w:bookmarkStart w:id="361" w:name="_Toc72846413"/>
      <w:bookmarkStart w:id="362" w:name="_Toc72846648"/>
      <w:bookmarkStart w:id="363" w:name="_Toc95387521"/>
      <w:r w:rsidRPr="00F05A8A">
        <w:t>Conférence Kaléidoscope de l'UIT</w:t>
      </w:r>
      <w:bookmarkEnd w:id="359"/>
      <w:bookmarkEnd w:id="360"/>
      <w:bookmarkEnd w:id="361"/>
      <w:bookmarkEnd w:id="362"/>
      <w:bookmarkEnd w:id="363"/>
    </w:p>
    <w:p w14:paraId="70DB2F26" w14:textId="77777777" w:rsidR="00D80461" w:rsidRPr="00F05A8A" w:rsidRDefault="00D80461" w:rsidP="002F075E">
      <w:pPr>
        <w:rPr>
          <w:rFonts w:eastAsia="Calibri"/>
        </w:rPr>
      </w:pPr>
      <w:r w:rsidRPr="00F05A8A">
        <w:rPr>
          <w:rFonts w:eastAsia="Calibri"/>
        </w:rPr>
        <w:t xml:space="preserve">Les conférences Kaléidoscope de l'UIT, organisées chaque année dans différentes régions du monde, permettent de renforcer le dialogue entre les experts dans le domaine de la normalisation des TIC et les milieux universitaires. En visionnant les technologies à travers un "Kaléidoscope", ces manifestations tournées vers l'avenir identifient de nouveaux thèmes se prêtant à la normalisation. </w:t>
      </w:r>
    </w:p>
    <w:p w14:paraId="23ACAC48" w14:textId="77777777" w:rsidR="00D80461" w:rsidRPr="00F05A8A" w:rsidRDefault="00D80461" w:rsidP="002F075E">
      <w:pPr>
        <w:rPr>
          <w:rFonts w:eastAsia="Calibri"/>
        </w:rPr>
      </w:pPr>
      <w:r w:rsidRPr="00F05A8A">
        <w:rPr>
          <w:rFonts w:eastAsia="Calibri"/>
        </w:rPr>
        <w:t>L'</w:t>
      </w:r>
      <w:hyperlink r:id="rId316" w:history="1">
        <w:r w:rsidRPr="00F05A8A">
          <w:rPr>
            <w:rStyle w:val="Hyperlink"/>
            <w:rFonts w:eastAsia="Calibri"/>
          </w:rPr>
          <w:t>édition de 2021 de la Conférence Kaléidoscope – Connecter le monde physique et le monde virtuel</w:t>
        </w:r>
      </w:hyperlink>
      <w:r w:rsidRPr="00F05A8A">
        <w:rPr>
          <w:rFonts w:eastAsia="Calibri"/>
        </w:rPr>
        <w:t>, qui s'est tenue en ligne du 6 au 10 décembre 2021, a examiné les travaux de recherche menés sur le développement des réalités virtuelles persistantes et des environnements personnalisés générés par ordinateur, ainsi que sur les nouvelles possibilités et les enjeux.</w:t>
      </w:r>
    </w:p>
    <w:p w14:paraId="325A1A27" w14:textId="77777777" w:rsidR="00D80461" w:rsidRPr="00F05A8A" w:rsidRDefault="00D80461" w:rsidP="002F075E">
      <w:pPr>
        <w:rPr>
          <w:color w:val="000000"/>
        </w:rPr>
      </w:pPr>
      <w:r w:rsidRPr="00F05A8A">
        <w:rPr>
          <w:rFonts w:eastAsia="Calibri"/>
        </w:rPr>
        <w:t>L'</w:t>
      </w:r>
      <w:hyperlink r:id="rId317" w:history="1">
        <w:r w:rsidRPr="00F05A8A">
          <w:rPr>
            <w:rStyle w:val="Hyperlink"/>
            <w:rFonts w:eastAsia="Calibri"/>
          </w:rPr>
          <w:t>édition de 2020 de la Conférence Kaléidoscope – La transformation portée par le secteur</w:t>
        </w:r>
      </w:hyperlink>
      <w:r w:rsidRPr="00F05A8A">
        <w:rPr>
          <w:rFonts w:eastAsia="Calibri"/>
        </w:rPr>
        <w:t>, qui s'est tenue en ligne</w:t>
      </w:r>
      <w:r w:rsidRPr="00F05A8A">
        <w:rPr>
          <w:color w:val="000000"/>
        </w:rPr>
        <w:t xml:space="preserve"> du 7 au 11 décembre 2020, a permis de se pencher sur les possibilités que l'innovation dans les domaines de l'intelligence artificielle et de l'apprentissage automatique, des systèmes cyberphysiques, de la simulation virtuelle, du jumelage numérique, de la réalité augmentée et des réseaux 5G ainsi que des réseaux futurs offre au secteur privé. </w:t>
      </w:r>
      <w:hyperlink r:id="rId318" w:history="1">
        <w:r w:rsidRPr="00F05A8A">
          <w:rPr>
            <w:color w:val="000000"/>
          </w:rPr>
          <w:t>En savoir plus sur l'</w:t>
        </w:r>
        <w:r w:rsidRPr="00F05A8A">
          <w:rPr>
            <w:rStyle w:val="Hyperlink"/>
          </w:rPr>
          <w:t>article récompensé et l'article arrivé en seconde position dans le cadre de la manifestation Kaléidoscope 2020</w:t>
        </w:r>
      </w:hyperlink>
      <w:r w:rsidRPr="00F05A8A">
        <w:rPr>
          <w:color w:val="000000"/>
        </w:rPr>
        <w:t>.</w:t>
      </w:r>
    </w:p>
    <w:p w14:paraId="45AA1565" w14:textId="77777777" w:rsidR="00D80461" w:rsidRPr="00F05A8A" w:rsidRDefault="00D80461" w:rsidP="002F075E">
      <w:bookmarkStart w:id="364" w:name="lt_pId755"/>
      <w:r w:rsidRPr="00F05A8A">
        <w:t>L'</w:t>
      </w:r>
      <w:hyperlink r:id="rId319" w:history="1">
        <w:r w:rsidRPr="00F05A8A">
          <w:rPr>
            <w:rStyle w:val="Hyperlink"/>
          </w:rPr>
          <w:t>édition de 2019 de la Conférence Kaléidoscope</w:t>
        </w:r>
      </w:hyperlink>
      <w:r w:rsidRPr="00F05A8A">
        <w:t xml:space="preserve"> s'est tenue à l'aimable invitation du Georgia Institute of Technology, à Atlanta (Géorgie, États-Unis d'Amérique), sur le thème "Les TIC au service de la santé: réseaux, normes et innovation"</w:t>
      </w:r>
      <w:bookmarkEnd w:id="364"/>
      <w:r w:rsidRPr="00F05A8A">
        <w:t xml:space="preserve">. Parmi les participants figuraient des </w:t>
      </w:r>
      <w:r w:rsidRPr="00F05A8A">
        <w:lastRenderedPageBreak/>
        <w:t>spécialistes des domaines des TIC, de la santé numérique et du développement socio</w:t>
      </w:r>
      <w:r w:rsidRPr="00F05A8A">
        <w:noBreakHyphen/>
        <w:t>économique, notamment des chercheurs, des universitaires, des étudiants, des ingénieurs, des informaticiens, des décideurs, des régulateurs, des innovateurs, des futurologues, des praticiens et d'autres professionnels de la santé.</w:t>
      </w:r>
    </w:p>
    <w:p w14:paraId="2903AB9E" w14:textId="77777777" w:rsidR="00D80461" w:rsidRPr="00F05A8A" w:rsidRDefault="00D80461" w:rsidP="002F075E">
      <w:pPr>
        <w:rPr>
          <w:rFonts w:eastAsia="Calibri"/>
        </w:rPr>
      </w:pPr>
      <w:r w:rsidRPr="00F05A8A">
        <w:t>L'</w:t>
      </w:r>
      <w:hyperlink r:id="rId320" w:history="1">
        <w:r w:rsidRPr="00F05A8A">
          <w:rPr>
            <w:rStyle w:val="Hyperlink"/>
            <w:rFonts w:eastAsia="Calibri"/>
          </w:rPr>
          <w:t>édition de 2018</w:t>
        </w:r>
        <w:r w:rsidRPr="00F05A8A">
          <w:t xml:space="preserve"> </w:t>
        </w:r>
        <w:r w:rsidRPr="00F05A8A">
          <w:rPr>
            <w:rStyle w:val="Hyperlink"/>
            <w:rFonts w:eastAsia="Calibri"/>
          </w:rPr>
          <w:t>de la Conférence Kaléidoscope – L'apprentissage machine pour un avenir placé sous le signe de la 5G</w:t>
        </w:r>
      </w:hyperlink>
      <w:r w:rsidRPr="00F05A8A">
        <w:rPr>
          <w:rFonts w:eastAsia="Calibri"/>
        </w:rPr>
        <w:t xml:space="preserve"> s'est tenue à Santa Fe (Argentine), dans les locaux de l'Universidad Tecnológica Nacional. La Conférence a examiné les travaux de recherche menés dans le domaine des techniques relatives à l'apprentissage machine et à l'intelligence artificielle pour les réseaux de communication de demain, couvrant tous les aspects de la conception, de la gestion, de la mise en œuvre et de l'optimisation des réseaux.</w:t>
      </w:r>
    </w:p>
    <w:p w14:paraId="0CDBA3C5" w14:textId="77777777" w:rsidR="00D80461" w:rsidRPr="00F05A8A" w:rsidRDefault="00D80461" w:rsidP="002F075E">
      <w:pPr>
        <w:pStyle w:val="Headingb"/>
      </w:pPr>
      <w:bookmarkStart w:id="365" w:name="_Toc41032099"/>
      <w:bookmarkStart w:id="366" w:name="_Toc72845075"/>
      <w:bookmarkStart w:id="367" w:name="_Toc72846414"/>
      <w:bookmarkStart w:id="368" w:name="_Toc72846649"/>
      <w:bookmarkStart w:id="369" w:name="_Toc95387522"/>
      <w:bookmarkStart w:id="370" w:name="lt_pId949"/>
      <w:r w:rsidRPr="00F05A8A">
        <w:t xml:space="preserve">L'intelligence artificielle au service du </w:t>
      </w:r>
      <w:bookmarkEnd w:id="365"/>
      <w:bookmarkEnd w:id="366"/>
      <w:bookmarkEnd w:id="367"/>
      <w:bookmarkEnd w:id="368"/>
      <w:r w:rsidRPr="00F05A8A">
        <w:t>progrès</w:t>
      </w:r>
      <w:bookmarkEnd w:id="369"/>
      <w:bookmarkEnd w:id="370"/>
    </w:p>
    <w:p w14:paraId="61266819" w14:textId="77777777" w:rsidR="00D80461" w:rsidRPr="00F05A8A" w:rsidRDefault="00D80461" w:rsidP="002F075E">
      <w:pPr>
        <w:rPr>
          <w:rFonts w:eastAsia="Calibri"/>
        </w:rPr>
      </w:pPr>
      <w:r w:rsidRPr="00F05A8A">
        <w:rPr>
          <w:rFonts w:eastAsia="Calibri"/>
        </w:rPr>
        <w:t xml:space="preserve">L'initiative "L'intelligence artificielle au service du progrès" est une plate-forme numérique fonctionnant toute l'année où les innovateurs en matière d'intelligence artificielle et les personnes rencontrant des problèmes apprennent, construisent et se mettent en relation afin d'identifier des solutions pratiques utilisant l'intelligence artificielle en vue de la réalisation des ODD. La plate-forme est gérée par l'UIT en partenariat avec 38 autres institutions des Nations Unies, la Fondation XPRIZE et l'Association ACM, et conjointement avec la Suisse. </w:t>
      </w:r>
    </w:p>
    <w:p w14:paraId="19747561" w14:textId="77777777" w:rsidR="00D80461" w:rsidRPr="00F05A8A" w:rsidRDefault="00D80461" w:rsidP="002F075E">
      <w:pPr>
        <w:rPr>
          <w:rFonts w:eastAsia="Calibri"/>
        </w:rPr>
      </w:pPr>
      <w:r w:rsidRPr="00F05A8A">
        <w:rPr>
          <w:rFonts w:eastAsia="Calibri"/>
        </w:rPr>
        <w:t xml:space="preserve">L'édition de 2021 du Sommet mondial sur l'intelligence artificielle au service du progrès est une initiative conjointe entre l'UIT et plus de 40 institutions et organismes des Nations Unies, ainsi que des membres du Groupe de travail interinstitutions des Nations unies sur l'IA. Elle comprend une analyse détaillée de la nature des outils mis au point, du niveau des partenariats multi-parties prenantes et de l'incidence des activités sur des ODD particuliers. L'édition de 2021 a été lancée à l'occasion du Forum mondial des politiques de télécommunication/TIC, qui s'est tenu virtuellement (du 16 au 18 décembre 2021). </w:t>
      </w:r>
    </w:p>
    <w:p w14:paraId="23C7CC1A" w14:textId="77777777" w:rsidR="00D80461" w:rsidRPr="00F05A8A" w:rsidRDefault="00D80461" w:rsidP="002F075E">
      <w:pPr>
        <w:rPr>
          <w:rFonts w:eastAsia="Calibri"/>
        </w:rPr>
      </w:pPr>
      <w:r w:rsidRPr="00F05A8A">
        <w:rPr>
          <w:rFonts w:eastAsia="Calibri"/>
        </w:rPr>
        <w:t>L'édition de 2021 s'est transformée en un programme en ligne permanent, disponible tout au long de l'année. À la mi-mars,</w:t>
      </w:r>
      <w:r w:rsidRPr="00F05A8A">
        <w:t xml:space="preserve"> </w:t>
      </w:r>
      <w:r w:rsidRPr="00F05A8A">
        <w:rPr>
          <w:rFonts w:eastAsia="Calibri"/>
        </w:rPr>
        <w:t xml:space="preserve">la chaîne </w:t>
      </w:r>
      <w:hyperlink r:id="rId321" w:history="1">
        <w:r w:rsidRPr="00F05A8A">
          <w:rPr>
            <w:rStyle w:val="Hyperlink"/>
            <w:rFonts w:eastAsia="Calibri"/>
          </w:rPr>
          <w:t>AI for Good</w:t>
        </w:r>
      </w:hyperlink>
      <w:r w:rsidRPr="00F05A8A">
        <w:rPr>
          <w:rFonts w:eastAsia="Calibri"/>
        </w:rPr>
        <w:t xml:space="preserve"> a été lancée sur Youtube, afin d'explorer des idées et des perspectives, et de contribuer à des discussions approfondies sur l'utilisation de l'IA en vue de réaliser les ODD.</w:t>
      </w:r>
      <w:r w:rsidRPr="00F05A8A">
        <w:t xml:space="preserve"> </w:t>
      </w:r>
      <w:r w:rsidRPr="00F05A8A">
        <w:rPr>
          <w:rFonts w:eastAsia="Calibri"/>
        </w:rPr>
        <w:t xml:space="preserve">La chaîne "AI for Good" contient une centaine de vidéos qui font la part belle aux leaders et aux innovateurs dans le domaine de l'IA tout au long des quatre éditions du Sommet. Elle sert de guichet unique où l'on peut s'informer sur les tendances dans le domaine de l'IA au service du progrès. </w:t>
      </w:r>
    </w:p>
    <w:p w14:paraId="42EDCE52" w14:textId="77777777" w:rsidR="00D80461" w:rsidRPr="00F05A8A" w:rsidRDefault="00D80461" w:rsidP="002F075E">
      <w:pPr>
        <w:rPr>
          <w:rFonts w:eastAsia="Calibri"/>
        </w:rPr>
      </w:pPr>
      <w:r w:rsidRPr="00F05A8A">
        <w:rPr>
          <w:rFonts w:eastAsia="Calibri"/>
        </w:rPr>
        <w:t xml:space="preserve">En 2020, le </w:t>
      </w:r>
      <w:hyperlink r:id="rId322" w:history="1">
        <w:r w:rsidRPr="00F05A8A">
          <w:rPr>
            <w:rStyle w:val="Hyperlink"/>
            <w:rFonts w:eastAsia="Calibri"/>
          </w:rPr>
          <w:t>Sommet mondial sur l'intelligence artificielle</w:t>
        </w:r>
      </w:hyperlink>
      <w:r w:rsidRPr="00F05A8A">
        <w:rPr>
          <w:rFonts w:eastAsia="Calibri"/>
        </w:rPr>
        <w:t xml:space="preserve"> au service du bien social est devenu une plate-forme numérique toujours en ligne, fonctionnant tout au long de l'année proposant des programmes hebdomadaires et quotidiens. Le Sommet offre des services pour montrer comment l'IA contribue à la réalisation des ODD. Le Sommet a été organisé en partenariat avec la Suisse.</w:t>
      </w:r>
      <w:r w:rsidRPr="00F05A8A">
        <w:t xml:space="preserve"> </w:t>
      </w:r>
    </w:p>
    <w:p w14:paraId="38110791" w14:textId="77777777" w:rsidR="00D80461" w:rsidRPr="00F05A8A" w:rsidRDefault="00D80461" w:rsidP="002F075E">
      <w:pPr>
        <w:rPr>
          <w:rFonts w:eastAsia="Calibri"/>
        </w:rPr>
      </w:pPr>
      <w:r w:rsidRPr="00F05A8A">
        <w:rPr>
          <w:rFonts w:eastAsia="Calibri"/>
        </w:rPr>
        <w:t>Le Sommet de 2019, qui s'est tenu du 28 au 31 mai 2019, a rassemblé plus de 2 300 participants, issus de plus de 90 pays. Plus de 270 délégués représentaient des pays en développement et près de 40% étaient des femmes. La manifestation a en outre suscité un vif intérêt et bénéficié d'une couverture médiatique internationale et multilingue assurée par la BBC, CNN et Forbes. Les ateliers proposés étaient: l'IA au service de la santé; l'IA au service de l'éducation;</w:t>
      </w:r>
      <w:r w:rsidRPr="00F05A8A">
        <w:t xml:space="preserve"> </w:t>
      </w:r>
      <w:r w:rsidRPr="00F05A8A">
        <w:rPr>
          <w:rFonts w:eastAsia="Calibri"/>
        </w:rPr>
        <w:t>l'IA au service de la dignité humaine et de l'égalité hommes-femmes;</w:t>
      </w:r>
      <w:r w:rsidRPr="00F05A8A">
        <w:t xml:space="preserve"> </w:t>
      </w:r>
      <w:r w:rsidRPr="00F05A8A">
        <w:rPr>
          <w:rFonts w:eastAsia="Calibri"/>
        </w:rPr>
        <w:t xml:space="preserve">l'IA au service du plus grand nombre; et l'IA au service des activités dans l'espace, avec des séances consacrées à l'avenir de la mobilité intelligente; l'IA au service de l'agriculture; le rôle de l'IA dans les activités artistiques et culturelles; l'IA et la robotique; et les conséquences imprévues de l'IA. Le Sommet a été l'occasion </w:t>
      </w:r>
      <w:r w:rsidRPr="00F05A8A">
        <w:rPr>
          <w:rFonts w:eastAsia="Calibri"/>
        </w:rPr>
        <w:lastRenderedPageBreak/>
        <w:t>de présenter des exosquelettes, des voitures autonomes et des solutions de santé fondées sur l'intelligence artificielle, et a donné naissance à la plate-forme "AI Commons", collaboration visant à utiliser l'intelligence artificielle au service du progrès pour résoudre des problèmes, au profit du plus grand nombre. Cela a débouché sur le lancement, début 2020, de l'</w:t>
      </w:r>
      <w:hyperlink r:id="rId323" w:history="1">
        <w:r w:rsidRPr="00F05A8A">
          <w:rPr>
            <w:rStyle w:val="Hyperlink"/>
            <w:rFonts w:eastAsia="Calibri"/>
          </w:rPr>
          <w:t>Initiative mondiale sur les biens communs en matière d'intelligence artificielle et de données</w:t>
        </w:r>
      </w:hyperlink>
      <w:r w:rsidRPr="00F05A8A">
        <w:rPr>
          <w:rFonts w:eastAsia="Calibri"/>
        </w:rPr>
        <w:t>.</w:t>
      </w:r>
    </w:p>
    <w:p w14:paraId="005C0F1C" w14:textId="77777777" w:rsidR="00D80461" w:rsidRPr="00F05A8A" w:rsidRDefault="00D80461" w:rsidP="002F075E">
      <w:pPr>
        <w:rPr>
          <w:rFonts w:eastAsia="Calibri"/>
        </w:rPr>
      </w:pPr>
      <w:r w:rsidRPr="00F05A8A">
        <w:rPr>
          <w:rFonts w:eastAsia="Calibri"/>
        </w:rPr>
        <w:t xml:space="preserve">L'édition de 2018 du </w:t>
      </w:r>
      <w:hyperlink r:id="rId324" w:history="1">
        <w:r w:rsidRPr="00F05A8A">
          <w:rPr>
            <w:rStyle w:val="Hyperlink"/>
            <w:rFonts w:eastAsia="Calibri"/>
          </w:rPr>
          <w:t>Sommet mondial sur l'intelligence artificielle au service du bien social</w:t>
        </w:r>
      </w:hyperlink>
      <w:r w:rsidRPr="00F05A8A">
        <w:rPr>
          <w:rFonts w:eastAsia="Calibri"/>
        </w:rPr>
        <w:t xml:space="preserve"> a déterminé les applications pratiques de l'intelligence artificielle ainsi que des stratégies d'accompagnement propres à améliorer la qualité de vie et un cadre de vie durable sur notre planète. Les participants au Sommet ont formulé des stratégies destinées à garantir le développement sûr et inclusif des technologies IA et à faire en sorte que chacun puisse bénéficier d'un accès équitable aux avantages qu'offrent ces technologies.</w:t>
      </w:r>
    </w:p>
    <w:p w14:paraId="66BC58F2" w14:textId="77777777" w:rsidR="00D80461" w:rsidRPr="00F05A8A" w:rsidRDefault="00D80461" w:rsidP="002F075E">
      <w:pPr>
        <w:rPr>
          <w:rFonts w:eastAsia="Calibri"/>
        </w:rPr>
      </w:pPr>
      <w:r w:rsidRPr="00F05A8A">
        <w:rPr>
          <w:rFonts w:eastAsia="Calibri"/>
        </w:rPr>
        <w:t>À la suite du Sommet mondial de 2018 sur l'intelligence artificielle au service du bien social, l'UIT a publié le "Recueil des activités relatives à l'IA dans le cadre du système des Nations Unies", qui met en lumière les activités</w:t>
      </w:r>
      <w:r w:rsidRPr="00F05A8A">
        <w:t xml:space="preserve"> </w:t>
      </w:r>
      <w:r w:rsidRPr="00F05A8A">
        <w:rPr>
          <w:rFonts w:eastAsia="Calibri"/>
        </w:rPr>
        <w:t>menées par les institutions du système des Nations Unies. Un portail en ligne sur l'intelligence artificielle au service du progrès présente les efforts déployés par les parties prenantes dans le domaine de l'intelligence artificielle, avec une zone spéciale consacrée aux activités des Nations Unies mises en évidence dans le recueil.</w:t>
      </w:r>
    </w:p>
    <w:p w14:paraId="62AD2975" w14:textId="77777777" w:rsidR="00D80461" w:rsidRPr="00F05A8A" w:rsidRDefault="00D80461" w:rsidP="002F075E">
      <w:pPr>
        <w:pStyle w:val="Headingb"/>
        <w:ind w:left="0" w:firstLine="0"/>
      </w:pPr>
      <w:bookmarkStart w:id="371" w:name="_Toc72845076"/>
      <w:bookmarkStart w:id="372" w:name="_Toc72846415"/>
      <w:bookmarkStart w:id="373" w:name="_Toc72846650"/>
      <w:bookmarkStart w:id="374" w:name="_Toc95387523"/>
      <w:r w:rsidRPr="00F05A8A">
        <w:t>Concours de l'UIT sur l'intelligence artificielle et l'apprentissage automatique dans les réseaux 5G</w:t>
      </w:r>
      <w:bookmarkEnd w:id="371"/>
      <w:bookmarkEnd w:id="372"/>
      <w:bookmarkEnd w:id="373"/>
      <w:bookmarkEnd w:id="374"/>
    </w:p>
    <w:p w14:paraId="281C6B29" w14:textId="77777777" w:rsidR="00D80461" w:rsidRPr="00F05A8A" w:rsidRDefault="00D80461" w:rsidP="002F075E">
      <w:pPr>
        <w:rPr>
          <w:rFonts w:eastAsia="Calibri"/>
        </w:rPr>
      </w:pPr>
      <w:r w:rsidRPr="00F05A8A">
        <w:rPr>
          <w:rFonts w:eastAsia="Calibri"/>
        </w:rPr>
        <w:t xml:space="preserve">Le premier </w:t>
      </w:r>
      <w:hyperlink r:id="rId325" w:history="1">
        <w:r w:rsidRPr="00F05A8A">
          <w:rPr>
            <w:rStyle w:val="Hyperlink"/>
            <w:rFonts w:eastAsia="Calibri"/>
          </w:rPr>
          <w:t>Concours de l'UIT sur l'intelligence artificielle et l'apprentissage automatique dans les réseaux 5G</w:t>
        </w:r>
      </w:hyperlink>
      <w:r w:rsidRPr="00F05A8A">
        <w:rPr>
          <w:rFonts w:eastAsia="Calibri"/>
        </w:rPr>
        <w:t>, qui a eu lieu en 2020,</w:t>
      </w:r>
      <w:r w:rsidRPr="00F05A8A">
        <w:t xml:space="preserve"> a permis d'</w:t>
      </w:r>
      <w:r w:rsidRPr="00F05A8A">
        <w:rPr>
          <w:rFonts w:eastAsia="Calibri"/>
        </w:rPr>
        <w:t>étudier l'application pratique de l'IA et de l'apprentissage automatique dans les réseaux futurs et émergents, rassemblant 1 300 concurrents de 62 pays, pour un total de 911 équipes. Le Concours de l'UIT a permis aux concurrents, aux partenaires du secteur privé et aux établissements universitaires d'utiliser de nouveaux outils et de nouvelles ressources de données afin de résoudre des problèmes du monde réel grâce à l'IA et à l'apprentissage automatique. Il a porté sur 20 problématiques soulevées par des entreprises et des établissements universitaires organisateurs. De nouvelles normes de l'UIT relatives à l'IA et à l'apprentissage automatique fournissent des ensembles d'outils qui forment un canal de bout en bout pour l'intégration de l'IA et de l'apprentissage automatique dans les réseaux.</w:t>
      </w:r>
      <w:r w:rsidRPr="00F05A8A">
        <w:t xml:space="preserve"> </w:t>
      </w:r>
      <w:r w:rsidRPr="00F05A8A">
        <w:rPr>
          <w:rFonts w:eastAsia="Calibri"/>
        </w:rPr>
        <w:t>Le Concours de l'UIT vise à faire des démonstrations et à valider ces normes de l'UIT.</w:t>
      </w:r>
    </w:p>
    <w:p w14:paraId="6547CED2" w14:textId="77777777" w:rsidR="00D80461" w:rsidRPr="00F05A8A" w:rsidRDefault="00D80461" w:rsidP="002F075E">
      <w:pPr>
        <w:shd w:val="clear" w:color="auto" w:fill="FFFFFF"/>
        <w:rPr>
          <w:rFonts w:eastAsia="Calibri"/>
          <w:color w:val="222222"/>
        </w:rPr>
      </w:pPr>
      <w:r w:rsidRPr="00F05A8A">
        <w:rPr>
          <w:rFonts w:eastAsia="Calibri"/>
          <w:color w:val="222222"/>
        </w:rPr>
        <w:t xml:space="preserve">Les meilleurs articles validés par un comité de lecture issus du premier Concours ont été intégrés dans le </w:t>
      </w:r>
      <w:hyperlink r:id="rId326" w:history="1">
        <w:r w:rsidRPr="00F05A8A">
          <w:rPr>
            <w:rStyle w:val="Hyperlink"/>
            <w:rFonts w:eastAsia="Calibri"/>
          </w:rPr>
          <w:t>numéro 4, Volume 2 (2021)</w:t>
        </w:r>
      </w:hyperlink>
      <w:r w:rsidRPr="00F05A8A">
        <w:rPr>
          <w:rFonts w:eastAsia="Calibri"/>
          <w:color w:val="222222"/>
        </w:rPr>
        <w:t xml:space="preserve"> – </w:t>
      </w:r>
      <w:r w:rsidRPr="00F05A8A">
        <w:rPr>
          <w:rFonts w:eastAsia="Calibri"/>
          <w:i/>
          <w:iCs/>
          <w:color w:val="222222"/>
        </w:rPr>
        <w:t>les Solutions d'intelligence artificielle et d'apprentissage automatique dans les réseaux 5G et les réseaux futurs</w:t>
      </w:r>
      <w:r w:rsidRPr="00F05A8A">
        <w:rPr>
          <w:rFonts w:eastAsia="Calibri"/>
          <w:color w:val="222222"/>
        </w:rPr>
        <w:t xml:space="preserve"> – du Journal de l'UIT sur les technologies futures et les technologies en évolution (J-FET de l'UIT).</w:t>
      </w:r>
    </w:p>
    <w:p w14:paraId="0ED640B5" w14:textId="77777777" w:rsidR="00D80461" w:rsidRPr="00F05A8A" w:rsidRDefault="00D80461" w:rsidP="002F075E">
      <w:pPr>
        <w:rPr>
          <w:rFonts w:eastAsia="Calibri"/>
        </w:rPr>
      </w:pPr>
      <w:r w:rsidRPr="00F05A8A">
        <w:rPr>
          <w:rFonts w:eastAsia="Calibri"/>
        </w:rPr>
        <w:t xml:space="preserve">La deuxième </w:t>
      </w:r>
      <w:hyperlink r:id="rId327" w:history="1">
        <w:r w:rsidRPr="00F05A8A">
          <w:rPr>
            <w:rStyle w:val="Hyperlink"/>
            <w:rFonts w:eastAsia="Calibri"/>
          </w:rPr>
          <w:t>édition du Concours</w:t>
        </w:r>
      </w:hyperlink>
      <w:r w:rsidRPr="00F05A8A">
        <w:rPr>
          <w:rFonts w:eastAsia="Calibri"/>
        </w:rPr>
        <w:t xml:space="preserve"> a été lancée en février 2021, en vue de fournir une mise en œuvre de référence d'un canal d'apprentissage automatique de bout en bout tel que défini dans la </w:t>
      </w:r>
      <w:hyperlink r:id="rId328" w:history="1">
        <w:r w:rsidRPr="00F05A8A">
          <w:rPr>
            <w:rStyle w:val="Hyperlink"/>
            <w:rFonts w:eastAsia="Calibri"/>
          </w:rPr>
          <w:t>Recommandation UIT-T Y.3172</w:t>
        </w:r>
      </w:hyperlink>
      <w:r w:rsidRPr="00F05A8A">
        <w:rPr>
          <w:rFonts w:eastAsia="Calibri"/>
        </w:rPr>
        <w:t>.</w:t>
      </w:r>
    </w:p>
    <w:p w14:paraId="4C7D213E" w14:textId="77777777" w:rsidR="00D80461" w:rsidRPr="00F05A8A" w:rsidRDefault="00D80461" w:rsidP="002F075E">
      <w:pPr>
        <w:pStyle w:val="Headingb"/>
        <w:rPr>
          <w:rFonts w:eastAsia="Calibri"/>
          <w:lang w:eastAsia="en-GB"/>
        </w:rPr>
      </w:pPr>
      <w:bookmarkStart w:id="375" w:name="_Toc95387524"/>
      <w:r w:rsidRPr="00F05A8A">
        <w:rPr>
          <w:rFonts w:eastAsia="Calibri"/>
          <w:lang w:eastAsia="en-GB"/>
        </w:rPr>
        <w:lastRenderedPageBreak/>
        <w:t>Colloque mondial des régulateurs (GSR-21)</w:t>
      </w:r>
      <w:bookmarkEnd w:id="375"/>
    </w:p>
    <w:p w14:paraId="777117EB" w14:textId="77777777" w:rsidR="00D80461" w:rsidRPr="00F05A8A" w:rsidRDefault="00D80461" w:rsidP="002F075E">
      <w:pPr>
        <w:keepLines/>
        <w:rPr>
          <w:rFonts w:eastAsia="Calibri"/>
          <w:lang w:eastAsia="en-GB"/>
        </w:rPr>
      </w:pPr>
      <w:r w:rsidRPr="00F05A8A">
        <w:rPr>
          <w:rFonts w:eastAsia="Calibri"/>
          <w:lang w:eastAsia="en-GB"/>
        </w:rPr>
        <w:t>La 21ème édition du Colloque mondial des régulateurs (</w:t>
      </w:r>
      <w:hyperlink r:id="rId329" w:history="1">
        <w:r w:rsidRPr="00F05A8A">
          <w:rPr>
            <w:rStyle w:val="Hyperlink"/>
            <w:rFonts w:eastAsia="Calibri"/>
            <w:lang w:eastAsia="en-GB"/>
          </w:rPr>
          <w:t>GSR-21</w:t>
        </w:r>
      </w:hyperlink>
      <w:r w:rsidRPr="00F05A8A">
        <w:rPr>
          <w:rFonts w:eastAsia="Calibri"/>
          <w:lang w:eastAsia="en-GB"/>
        </w:rPr>
        <w:t>), qui s'est déroulée en ligne d'avril à juin 2021, comprenait des sessions régionales et principales. Les sessions principales ont réuni 637 participants, dont 439 délégués provenant de 115 États Membres, et étaient axées sur la "réglementation au service de la transformation numérique: promouvoir une connectivité, un accès et une utilisation ouverts à tous". Les participants aux discussions ont examiné les difficultés rencontrées par les régulateurs et les décideurs</w:t>
      </w:r>
      <w:r w:rsidRPr="00F05A8A">
        <w:t xml:space="preserve"> </w:t>
      </w:r>
      <w:r w:rsidRPr="00F05A8A">
        <w:rPr>
          <w:rFonts w:eastAsia="Calibri"/>
          <w:lang w:eastAsia="en-GB"/>
        </w:rPr>
        <w:t xml:space="preserve">pendant la pandémie et ont cherché comment offrir une connectivité abordable, accessible, efficace, fiable, sûre et de haute qualité à tout un chacun, partout dans le monde. Les sessions principales du GSR-21 se sont composées de formations sur les technologies émergentes, sur le rôle de la jeunesse dans la réglementation de demain et sur la promotion des femmes à des postes à responsabilités dans l'espace réglementaire des TIC. Le Rapport du Président du GSR-21 est disponible </w:t>
      </w:r>
      <w:hyperlink r:id="rId330" w:history="1">
        <w:r w:rsidRPr="00F05A8A">
          <w:rPr>
            <w:rStyle w:val="Hyperlink"/>
            <w:rFonts w:eastAsia="Calibri"/>
            <w:lang w:eastAsia="en-GB"/>
          </w:rPr>
          <w:t>ici</w:t>
        </w:r>
      </w:hyperlink>
      <w:r w:rsidRPr="00F05A8A">
        <w:rPr>
          <w:rFonts w:eastAsia="Calibri"/>
          <w:lang w:eastAsia="en-GB"/>
        </w:rPr>
        <w:t xml:space="preserve">. Les Lignes directrices relatives aux bonnes pratiques du GSR-21 sont disponibles </w:t>
      </w:r>
      <w:hyperlink r:id="rId331" w:history="1">
        <w:r w:rsidRPr="00F05A8A">
          <w:rPr>
            <w:rStyle w:val="Hyperlink"/>
            <w:rFonts w:eastAsia="Calibri"/>
            <w:lang w:eastAsia="en-GB"/>
          </w:rPr>
          <w:t>ici</w:t>
        </w:r>
      </w:hyperlink>
      <w:r w:rsidRPr="00F05A8A">
        <w:rPr>
          <w:rFonts w:eastAsia="Calibri"/>
          <w:lang w:eastAsia="en-GB"/>
        </w:rPr>
        <w:t>.</w:t>
      </w:r>
    </w:p>
    <w:p w14:paraId="48AF8EC0" w14:textId="77777777" w:rsidR="00D80461" w:rsidRPr="00F05A8A" w:rsidRDefault="00D80461" w:rsidP="002F075E">
      <w:pPr>
        <w:pStyle w:val="Headingb"/>
        <w:rPr>
          <w:rFonts w:eastAsia="Calibri"/>
          <w:lang w:eastAsia="en-GB"/>
        </w:rPr>
      </w:pPr>
      <w:bookmarkStart w:id="376" w:name="_Toc95387525"/>
      <w:r w:rsidRPr="00F05A8A">
        <w:rPr>
          <w:rFonts w:eastAsia="Calibri"/>
          <w:lang w:eastAsia="en-GB"/>
        </w:rPr>
        <w:t>Colloque mondial des régulateurs (GSR-20)</w:t>
      </w:r>
      <w:bookmarkEnd w:id="376"/>
    </w:p>
    <w:p w14:paraId="120449AC" w14:textId="77777777" w:rsidR="00D80461" w:rsidRPr="00F05A8A" w:rsidRDefault="00D80461" w:rsidP="002F075E">
      <w:pPr>
        <w:rPr>
          <w:rFonts w:eastAsia="Calibri"/>
          <w:lang w:eastAsia="en-GB"/>
        </w:rPr>
      </w:pPr>
      <w:r w:rsidRPr="00F05A8A">
        <w:rPr>
          <w:rFonts w:eastAsia="Calibri"/>
          <w:lang w:eastAsia="en-GB"/>
        </w:rPr>
        <w:t>La 20ème édition du Colloque mondial des régulateurs (</w:t>
      </w:r>
      <w:hyperlink r:id="rId332" w:history="1">
        <w:r w:rsidRPr="00F05A8A">
          <w:rPr>
            <w:rStyle w:val="Hyperlink"/>
            <w:rFonts w:eastAsia="Calibri"/>
            <w:lang w:eastAsia="en-GB"/>
          </w:rPr>
          <w:t>GSR-20</w:t>
        </w:r>
      </w:hyperlink>
      <w:r w:rsidRPr="00F05A8A">
        <w:rPr>
          <w:rFonts w:eastAsia="Calibri"/>
          <w:lang w:eastAsia="en-GB"/>
        </w:rPr>
        <w:t>), qui s'est déroulée en ligne et a porté sur le thème "Roue du changement réglementaire: la réglementation au service de la transformation numérique", a essentiellement fourni des orientations sur les mesures qui peuvent être prises pour parvenir à une connectivité efficace. La plate-forme mondiale, GSR</w:t>
      </w:r>
      <w:r w:rsidRPr="00F05A8A">
        <w:rPr>
          <w:rFonts w:eastAsia="Calibri"/>
          <w:lang w:eastAsia="en-GB"/>
        </w:rPr>
        <w:noBreakHyphen/>
        <w:t>20, a rassemblé des régulateurs et des décideurs, avec des tables rondes de haut niveau</w:t>
      </w:r>
      <w:r w:rsidRPr="00F05A8A">
        <w:t xml:space="preserve"> </w:t>
      </w:r>
      <w:r w:rsidRPr="00F05A8A">
        <w:rPr>
          <w:rFonts w:eastAsia="Calibri"/>
          <w:lang w:eastAsia="en-GB"/>
        </w:rPr>
        <w:t>sur des questions d'actualité en matière de réglementation, ainsi que des sessions et des formations interactives.</w:t>
      </w:r>
      <w:r w:rsidRPr="00F05A8A">
        <w:t xml:space="preserve"> </w:t>
      </w:r>
      <w:r w:rsidRPr="00F05A8A">
        <w:rPr>
          <w:rFonts w:eastAsia="Calibri"/>
          <w:lang w:eastAsia="en-GB"/>
        </w:rPr>
        <w:t xml:space="preserve">Le GSR-20 a permis aux membres de l'UIT d'échanger des données d'expérience et des connaissances, de collaborer et d'identifier les outils et les approches réglementaires en évolution qui permettent à tout un chacun, partout dans le monde, de profiter d'une connectivité dans des conditions financièrement abordables, sûres, sécurisées et de confiance. Les sessions principales du GSR-20 ont réuni 609 participants de 120 pays. Le Rapport du Président du GSR-20 est disponible </w:t>
      </w:r>
      <w:hyperlink r:id="rId333" w:history="1">
        <w:r w:rsidRPr="00F05A8A">
          <w:rPr>
            <w:rStyle w:val="Hyperlink"/>
            <w:rFonts w:eastAsia="Calibri"/>
            <w:spacing w:val="4"/>
            <w:lang w:eastAsia="en-GB"/>
          </w:rPr>
          <w:t>ici</w:t>
        </w:r>
      </w:hyperlink>
      <w:r w:rsidRPr="00F05A8A">
        <w:rPr>
          <w:rFonts w:eastAsia="Calibri"/>
          <w:lang w:eastAsia="en-GB"/>
        </w:rPr>
        <w:t>. Les Lignes directrices relatives aux bonnes pratiques du GSR-20 sont disponibles </w:t>
      </w:r>
      <w:hyperlink r:id="rId334" w:history="1">
        <w:r w:rsidRPr="00F05A8A">
          <w:rPr>
            <w:rStyle w:val="Hyperlink"/>
            <w:rFonts w:eastAsia="Calibri"/>
            <w:lang w:eastAsia="en-GB"/>
          </w:rPr>
          <w:t>ici</w:t>
        </w:r>
      </w:hyperlink>
      <w:r w:rsidRPr="00F05A8A">
        <w:rPr>
          <w:rFonts w:eastAsia="Calibri"/>
          <w:lang w:eastAsia="en-GB"/>
        </w:rPr>
        <w:t>.</w:t>
      </w:r>
    </w:p>
    <w:p w14:paraId="498B10DE" w14:textId="77777777" w:rsidR="00D80461" w:rsidRPr="00F05A8A" w:rsidRDefault="00D80461" w:rsidP="002F075E">
      <w:pPr>
        <w:pStyle w:val="Headingb"/>
        <w:ind w:left="0" w:firstLine="0"/>
        <w:rPr>
          <w:color w:val="000000"/>
        </w:rPr>
      </w:pPr>
      <w:bookmarkStart w:id="377" w:name="_Toc41032100"/>
      <w:bookmarkStart w:id="378" w:name="_Toc72845080"/>
      <w:bookmarkStart w:id="379" w:name="_Toc72846419"/>
      <w:bookmarkStart w:id="380" w:name="_Toc72846654"/>
      <w:bookmarkStart w:id="381" w:name="_Toc95387526"/>
      <w:r w:rsidRPr="00F05A8A">
        <w:t>Colloque mondial des régulateurs de 2019 (GSR-19)</w:t>
      </w:r>
      <w:bookmarkEnd w:id="377"/>
      <w:bookmarkEnd w:id="378"/>
      <w:bookmarkEnd w:id="379"/>
      <w:bookmarkEnd w:id="380"/>
      <w:bookmarkEnd w:id="381"/>
    </w:p>
    <w:p w14:paraId="7712F621" w14:textId="77777777" w:rsidR="00D80461" w:rsidRPr="00F05A8A" w:rsidRDefault="00D80461" w:rsidP="002F075E">
      <w:pPr>
        <w:rPr>
          <w:color w:val="000000"/>
        </w:rPr>
      </w:pPr>
      <w:r w:rsidRPr="00F05A8A">
        <w:t>L'édition de 2019 du Colloque mondial des régulateurs (</w:t>
      </w:r>
      <w:hyperlink r:id="rId335" w:history="1">
        <w:r w:rsidRPr="00F05A8A">
          <w:rPr>
            <w:rStyle w:val="Hyperlink"/>
          </w:rPr>
          <w:t>GSR-19</w:t>
        </w:r>
      </w:hyperlink>
      <w:r w:rsidRPr="00F05A8A">
        <w:t xml:space="preserve">), qui s'est tenue à Port-Vila (Vanuatu) du 9 au 12 juillet 2019, </w:t>
      </w:r>
      <w:r w:rsidRPr="00F05A8A">
        <w:rPr>
          <w:color w:val="000000"/>
        </w:rPr>
        <w:t xml:space="preserve">a réuni plus de 325 participants, notamment des ministres, des directeurs d'autorités de régulation et des dirigeants de grandes entreprises de 64 pays. Sur le thème "Connectivité inclusive – L'avenir de la régulation", la manifestation a permis aux participants de réfléchir à des approches en matière de réglementation qui soient plus innovantes, collaboratives, conçues pour être traduites en actes et axées sur les résultats afin d'accélérer les progrès accomplis sur la voie de la réalisation des ODD. Les régulateurs ont approuvé un ensemble de </w:t>
      </w:r>
      <w:hyperlink r:id="rId336" w:history="1">
        <w:r w:rsidRPr="00F05A8A">
          <w:rPr>
            <w:rStyle w:val="Hyperlink"/>
          </w:rPr>
          <w:t>Lignes directrices relatives aux bonnes pratiques</w:t>
        </w:r>
      </w:hyperlink>
      <w:r w:rsidRPr="00F05A8A">
        <w:rPr>
          <w:color w:val="000000"/>
        </w:rPr>
        <w:t xml:space="preserve"> afin d'accélérer la mise en place de la connectivité numérique pour tous. Le Rapport du Président est disponible </w:t>
      </w:r>
      <w:hyperlink r:id="rId337" w:history="1">
        <w:r w:rsidRPr="00F05A8A">
          <w:rPr>
            <w:rStyle w:val="Hyperlink"/>
          </w:rPr>
          <w:t>ici</w:t>
        </w:r>
      </w:hyperlink>
      <w:r w:rsidRPr="00F05A8A">
        <w:rPr>
          <w:color w:val="000000"/>
        </w:rPr>
        <w:t xml:space="preserve">. Les Lignes directrices relatives aux bonnes pratiques du GSR-19 sont disponibles </w:t>
      </w:r>
      <w:hyperlink r:id="rId338" w:history="1">
        <w:r w:rsidRPr="00F05A8A">
          <w:rPr>
            <w:rStyle w:val="Hyperlink"/>
          </w:rPr>
          <w:t>ici</w:t>
        </w:r>
      </w:hyperlink>
      <w:r w:rsidRPr="00F05A8A">
        <w:rPr>
          <w:color w:val="000000"/>
        </w:rPr>
        <w:t>.</w:t>
      </w:r>
    </w:p>
    <w:p w14:paraId="2D7935E4" w14:textId="77777777" w:rsidR="00D80461" w:rsidRPr="00F05A8A" w:rsidRDefault="00D80461" w:rsidP="002F075E">
      <w:pPr>
        <w:pStyle w:val="Headingb"/>
        <w:rPr>
          <w:rFonts w:eastAsia="Calibri"/>
          <w:sz w:val="22"/>
          <w:lang w:eastAsia="en-GB"/>
        </w:rPr>
      </w:pPr>
      <w:bookmarkStart w:id="382" w:name="_Toc95387527"/>
      <w:r w:rsidRPr="00F05A8A">
        <w:t xml:space="preserve">Colloque mondial des régulateurs de 2018 </w:t>
      </w:r>
      <w:r w:rsidRPr="00F05A8A">
        <w:rPr>
          <w:rFonts w:eastAsia="Calibri"/>
          <w:lang w:eastAsia="en-GB"/>
        </w:rPr>
        <w:t>(GSR-18)</w:t>
      </w:r>
      <w:bookmarkEnd w:id="382"/>
    </w:p>
    <w:p w14:paraId="1E1546DE" w14:textId="77777777" w:rsidR="00D80461" w:rsidRPr="00F05A8A" w:rsidRDefault="00D80461" w:rsidP="002F075E">
      <w:pPr>
        <w:rPr>
          <w:color w:val="000000"/>
        </w:rPr>
      </w:pPr>
      <w:r w:rsidRPr="00F05A8A">
        <w:t>L'édition de 2018 du Colloque mondial des régulateurs (</w:t>
      </w:r>
      <w:hyperlink r:id="rId339" w:history="1">
        <w:r w:rsidRPr="00F05A8A">
          <w:rPr>
            <w:rStyle w:val="Hyperlink"/>
          </w:rPr>
          <w:t>GSR-18</w:t>
        </w:r>
      </w:hyperlink>
      <w:r w:rsidRPr="00F05A8A">
        <w:t>), qui s'est tenue à Genève (Suisse) du 9 au 12 juillet 2018, a réuni plus de 600 participants de plus de 125 pays, notamment des ministres, des directeurs d'organismes de régulation et des dirigeants de grandes entreprises, et portait sur le thème "Nouvelles frontières réglementaires"</w:t>
      </w:r>
      <w:r w:rsidRPr="00F05A8A">
        <w:rPr>
          <w:rFonts w:eastAsia="Calibri"/>
          <w:lang w:eastAsia="en-GB"/>
        </w:rPr>
        <w:t xml:space="preserve">. </w:t>
      </w:r>
      <w:r w:rsidRPr="00F05A8A">
        <w:rPr>
          <w:color w:val="000000"/>
        </w:rPr>
        <w:t xml:space="preserve">Le Rapport du Président est disponible </w:t>
      </w:r>
      <w:hyperlink r:id="rId340" w:history="1">
        <w:r w:rsidRPr="00F05A8A">
          <w:rPr>
            <w:rStyle w:val="Hyperlink"/>
            <w:rFonts w:eastAsia="Calibri"/>
            <w:lang w:eastAsia="en-GB"/>
          </w:rPr>
          <w:t>ici</w:t>
        </w:r>
      </w:hyperlink>
      <w:r w:rsidRPr="00F05A8A">
        <w:rPr>
          <w:rFonts w:eastAsia="Calibri"/>
          <w:lang w:eastAsia="en-GB"/>
        </w:rPr>
        <w:t xml:space="preserve">. </w:t>
      </w:r>
      <w:r w:rsidRPr="00F05A8A">
        <w:rPr>
          <w:color w:val="000000"/>
        </w:rPr>
        <w:t xml:space="preserve">Les Lignes directrices relatives aux bonnes pratiques du GSR-18 sont disponibles </w:t>
      </w:r>
      <w:hyperlink r:id="rId341" w:history="1">
        <w:r w:rsidRPr="00F05A8A">
          <w:rPr>
            <w:rStyle w:val="Hyperlink"/>
            <w:rFonts w:eastAsia="Calibri"/>
            <w:lang w:eastAsia="en-GB"/>
          </w:rPr>
          <w:t>ici</w:t>
        </w:r>
      </w:hyperlink>
      <w:r w:rsidRPr="00F05A8A">
        <w:rPr>
          <w:rFonts w:eastAsia="Calibri"/>
          <w:lang w:eastAsia="en-GB"/>
        </w:rPr>
        <w:t>.</w:t>
      </w:r>
    </w:p>
    <w:p w14:paraId="314C80BA" w14:textId="77777777" w:rsidR="00D80461" w:rsidRPr="00F05A8A" w:rsidRDefault="00D80461" w:rsidP="002F075E">
      <w:pPr>
        <w:pStyle w:val="Headingb"/>
      </w:pPr>
      <w:bookmarkStart w:id="383" w:name="_Toc41032101"/>
      <w:bookmarkStart w:id="384" w:name="_Toc72845082"/>
      <w:bookmarkStart w:id="385" w:name="_Toc72846421"/>
      <w:bookmarkStart w:id="386" w:name="_Toc72846656"/>
      <w:bookmarkStart w:id="387" w:name="_Toc95387528"/>
      <w:r w:rsidRPr="00F05A8A">
        <w:lastRenderedPageBreak/>
        <w:t>ITU Telecom World 2019</w:t>
      </w:r>
      <w:bookmarkEnd w:id="383"/>
      <w:r w:rsidRPr="00F05A8A">
        <w:t xml:space="preserve"> et </w:t>
      </w:r>
      <w:bookmarkEnd w:id="384"/>
      <w:bookmarkEnd w:id="385"/>
      <w:bookmarkEnd w:id="386"/>
      <w:r w:rsidRPr="00F05A8A">
        <w:t xml:space="preserve">manifestations </w:t>
      </w:r>
      <w:r w:rsidRPr="00F05A8A">
        <w:rPr>
          <w:rFonts w:eastAsia="Calibri"/>
        </w:rPr>
        <w:t>Digital World</w:t>
      </w:r>
      <w:bookmarkEnd w:id="387"/>
    </w:p>
    <w:p w14:paraId="5EF31D62" w14:textId="77777777" w:rsidR="00D80461" w:rsidRPr="00F05A8A" w:rsidRDefault="00D80461" w:rsidP="002F075E">
      <w:r w:rsidRPr="00F05A8A">
        <w:t xml:space="preserve">La manifestation </w:t>
      </w:r>
      <w:hyperlink r:id="rId342" w:history="1">
        <w:r w:rsidRPr="00F05A8A">
          <w:rPr>
            <w:rStyle w:val="Hyperlink"/>
          </w:rPr>
          <w:t>ITU Telecom World 2019</w:t>
        </w:r>
      </w:hyperlink>
      <w:r w:rsidRPr="00F05A8A">
        <w:t xml:space="preserve">, qui s'est tenue du 9 au 12 septembre à Budapest (Hongrie), a rassemblé des gouvernements, des entreprises et des PME technologiques pour présenter des solutions innovantes, se forger un réseau, échanger des connaissances et débattre avec des experts sur le thème "Innover ensemble: la connectivité avant tout". Plus de 4 000 participants issus de 135 pays ont pris part à la manifestation. Le programme de la manifestation comprenait des débats de haut niveau, des discussions entre entreprises, une multitude de PME innovantes du secteur des technologies et des gouvernements, des contacts en réseau, ainsi qu'un programme de Prix et une cérémonie de remise de Prix prestigieux. Parmi les lauréats figuraient des innovations mises au point par des PME ou de grandes entreprises dans les domaines de l'éducation en ligne, la technologie 5G pour les dirigeables et les drones, la 5G verte, l'adressage numérique, la transformation de la chaleur émise par les centres de données, les nanosatellites et les appels d'urgence sans obstacles. </w:t>
      </w:r>
      <w:bookmarkStart w:id="388" w:name="lt_pId786"/>
      <w:r w:rsidRPr="00F05A8A">
        <w:t xml:space="preserve">Les temps forts de la manifestation sont présentés aussi bien dans le </w:t>
      </w:r>
      <w:hyperlink r:id="rId343" w:history="1">
        <w:r w:rsidRPr="00F05A8A">
          <w:rPr>
            <w:rStyle w:val="Hyperlink"/>
          </w:rPr>
          <w:t>rapport établi après la manifestation</w:t>
        </w:r>
      </w:hyperlink>
      <w:r w:rsidRPr="00F05A8A">
        <w:t xml:space="preserve"> qu'</w:t>
      </w:r>
      <w:hyperlink r:id="rId344" w:history="1">
        <w:r w:rsidRPr="00F05A8A">
          <w:rPr>
            <w:rStyle w:val="Hyperlink"/>
          </w:rPr>
          <w:t>en ligne</w:t>
        </w:r>
      </w:hyperlink>
      <w:r w:rsidRPr="00F05A8A">
        <w:t>.</w:t>
      </w:r>
      <w:bookmarkEnd w:id="388"/>
    </w:p>
    <w:p w14:paraId="2FBB3330" w14:textId="77777777" w:rsidR="00D80461" w:rsidRPr="00F05A8A" w:rsidRDefault="00D80461" w:rsidP="002F075E">
      <w:pPr>
        <w:rPr>
          <w:color w:val="000000"/>
        </w:rPr>
      </w:pPr>
      <w:r w:rsidRPr="00F05A8A">
        <w:rPr>
          <w:color w:val="000000"/>
        </w:rPr>
        <w:t xml:space="preserve">La manifestation </w:t>
      </w:r>
      <w:hyperlink r:id="rId345" w:history="1">
        <w:r w:rsidRPr="00F05A8A">
          <w:rPr>
            <w:rStyle w:val="Hyperlink"/>
          </w:rPr>
          <w:t>ITU Virtual Digital World 2020</w:t>
        </w:r>
      </w:hyperlink>
      <w:r w:rsidRPr="00F05A8A">
        <w:rPr>
          <w:color w:val="000000"/>
        </w:rPr>
        <w:t>, qui a eu lieu du 20 au 22 octobre 2020, a accueilli des tables rondes ministérielles sur le thème "Le rôle des technologies numériques pendant et après la pandémie de COVID-19" et a examiné la connectivité numérique dans les stratégies nationales pour le rétablissement économique. Des webinaires organisés dans le cadre du Forum ont permis d'examiner les politiques générales, technologies et tendances favorisant le développement de l'économie numérique, et une exposition virtuelle a mis en avant des présentations réalisées en ligne. La manifestation virtuelle comportait trois sessions du Forum et trois tables rondes ministérielles, qui ont réuni 83 intervenants dont 27 ministres et 13 représentants d'autorités de réglementation. L'exposition virtuelle a accueilli plus de 150 exposants du Viet Nam et d'entreprises du monde entier, ainsi que 10 pavillons nationaux de différents pays.</w:t>
      </w:r>
      <w:r w:rsidRPr="00F05A8A">
        <w:t xml:space="preserve"> </w:t>
      </w:r>
      <w:r w:rsidRPr="00F05A8A">
        <w:rPr>
          <w:color w:val="000000"/>
        </w:rPr>
        <w:t xml:space="preserve">Le programme de </w:t>
      </w:r>
      <w:hyperlink r:id="rId346" w:history="1">
        <w:r w:rsidRPr="00F05A8A">
          <w:rPr>
            <w:rStyle w:val="Hyperlink"/>
          </w:rPr>
          <w:t>Prix virtuels ITU Digital World 2020 destinés aux PME</w:t>
        </w:r>
      </w:hyperlink>
      <w:r w:rsidRPr="00F05A8A">
        <w:rPr>
          <w:color w:val="000000"/>
        </w:rPr>
        <w:t xml:space="preserve"> et de </w:t>
      </w:r>
      <w:hyperlink r:id="rId347" w:history="1">
        <w:r w:rsidRPr="00F05A8A">
          <w:rPr>
            <w:rStyle w:val="Hyperlink"/>
          </w:rPr>
          <w:t>masterclasses</w:t>
        </w:r>
      </w:hyperlink>
      <w:r w:rsidRPr="00F05A8A">
        <w:rPr>
          <w:color w:val="000000"/>
        </w:rPr>
        <w:t xml:space="preserve"> a été organisé en ligne en novembre et décembre 2020.</w:t>
      </w:r>
    </w:p>
    <w:p w14:paraId="3BA77235" w14:textId="77777777" w:rsidR="00D80461" w:rsidRPr="00F05A8A" w:rsidRDefault="00D80461" w:rsidP="002F075E">
      <w:pPr>
        <w:keepNext/>
        <w:keepLines/>
        <w:rPr>
          <w:rFonts w:eastAsia="Calibri"/>
        </w:rPr>
      </w:pPr>
      <w:r w:rsidRPr="00F05A8A">
        <w:rPr>
          <w:rFonts w:eastAsia="Calibri"/>
        </w:rPr>
        <w:t xml:space="preserve">La manifestation </w:t>
      </w:r>
      <w:hyperlink r:id="rId348" w:history="1">
        <w:r w:rsidRPr="00F05A8A">
          <w:rPr>
            <w:rStyle w:val="Hyperlink"/>
            <w:rFonts w:eastAsia="Calibri"/>
          </w:rPr>
          <w:t>ITU Digital World 2021</w:t>
        </w:r>
      </w:hyperlink>
      <w:r w:rsidRPr="00F05A8A">
        <w:rPr>
          <w:rFonts w:eastAsia="Calibri"/>
        </w:rPr>
        <w:t>, qui s'est déroulée en ligne de septembre à décembre 2021,</w:t>
      </w:r>
      <w:r w:rsidRPr="00F05A8A">
        <w:t xml:space="preserve"> </w:t>
      </w:r>
      <w:r w:rsidRPr="00F05A8A">
        <w:rPr>
          <w:rFonts w:eastAsia="Calibri"/>
        </w:rPr>
        <w:t>marquait le 50ème anniversaire des manifestations d'ITU Telecom et était axée sur: la transformation numérique; l'infrastructure nécessaire à la transformation numérique; le financement et la facilitation de la transformation numérique grâce à des discussions stratégiques avec des ministres, des responsables des organismes de régulation et des dirigeants du secteur des technologies; et les facteurs accélérant la transformation numérique, notamment l'intelligence artificielle, la cybersécurité, les compétences numériques et la durabilité. Les informations concernant l'accès aux</w:t>
      </w:r>
      <w:r w:rsidRPr="00F05A8A">
        <w:t xml:space="preserve"> </w:t>
      </w:r>
      <w:r w:rsidRPr="00F05A8A">
        <w:rPr>
          <w:rFonts w:eastAsia="Calibri"/>
        </w:rPr>
        <w:t>master classes en ligne à l'intention des PME sont disponibles </w:t>
      </w:r>
      <w:hyperlink r:id="rId349" w:anchor="MC" w:history="1">
        <w:r w:rsidRPr="00F05A8A">
          <w:rPr>
            <w:rStyle w:val="Hyperlink"/>
            <w:rFonts w:eastAsia="Calibri"/>
          </w:rPr>
          <w:t>ici</w:t>
        </w:r>
      </w:hyperlink>
      <w:r w:rsidRPr="00F05A8A">
        <w:rPr>
          <w:rFonts w:eastAsia="Calibri"/>
        </w:rPr>
        <w:t xml:space="preserve">. Les temps forts de la manifestation sont accessibles </w:t>
      </w:r>
      <w:hyperlink r:id="rId350" w:history="1">
        <w:r w:rsidRPr="00F05A8A">
          <w:rPr>
            <w:rStyle w:val="Hyperlink"/>
            <w:rFonts w:eastAsia="Calibri"/>
          </w:rPr>
          <w:t>ici</w:t>
        </w:r>
      </w:hyperlink>
      <w:r w:rsidRPr="00F05A8A">
        <w:rPr>
          <w:rFonts w:eastAsia="Calibri"/>
        </w:rPr>
        <w:t>.</w:t>
      </w:r>
    </w:p>
    <w:p w14:paraId="21D536D2" w14:textId="77777777" w:rsidR="00D80461" w:rsidRPr="00F05A8A" w:rsidRDefault="00D80461" w:rsidP="002F075E">
      <w:pPr>
        <w:rPr>
          <w:rFonts w:eastAsia="Calibri"/>
          <w:highlight w:val="lightGray"/>
        </w:rPr>
      </w:pPr>
      <w:r w:rsidRPr="00F05A8A">
        <w:rPr>
          <w:rFonts w:eastAsia="Calibri"/>
        </w:rPr>
        <w:t xml:space="preserve">Neuf sessions du Forum, cinq tables rondes ministérielles et trois sessions parrainées réunissant au total 155 intervenants, dont 31 ministres et 12 régulateurs, ont été organisées dans le cadre de la manifestation. L'exposition virtuelle a accueilli 124 exposants du Viet Nam et d'entreprises du monde entier, ainsi que cinq pavillons nationaux de différents pays. </w:t>
      </w:r>
    </w:p>
    <w:p w14:paraId="0BA4C86B" w14:textId="77777777" w:rsidR="00D80461" w:rsidRPr="00F05A8A" w:rsidRDefault="00D80461" w:rsidP="002F075E">
      <w:pPr>
        <w:rPr>
          <w:rFonts w:eastAsia="Calibri"/>
        </w:rPr>
      </w:pPr>
      <w:r w:rsidRPr="00F05A8A">
        <w:t>Les Prix ITU Digital World et le Programme pour les PME ont mis en avant et récompensé des solutions fondées sur les TIC innovantes et ayant des retombées sociales, les candidats dans les différentes catégories étant sélectionnés sur la base des réactions recueillies aux manifestations, d'une analyse des PME exposantes aux éditions précédentes et des activités de recherche sur les grandes tendances mondiales.</w:t>
      </w:r>
      <w:r w:rsidRPr="00F05A8A">
        <w:rPr>
          <w:rFonts w:eastAsia="Calibri"/>
        </w:rPr>
        <w:t xml:space="preserve"> Des séances de master classes à l'intention des PME (7) et des séances relatives aux Prix et Programme pour les PME (6) ont été organisées, avec 13 séances au </w:t>
      </w:r>
      <w:r w:rsidRPr="00F05A8A">
        <w:rPr>
          <w:rFonts w:eastAsia="Calibri"/>
        </w:rPr>
        <w:lastRenderedPageBreak/>
        <w:t xml:space="preserve">total pour le Programme pour les PME; sachant qu'au point 12 du </w:t>
      </w:r>
      <w:r w:rsidRPr="00F05A8A">
        <w:rPr>
          <w:rFonts w:eastAsia="Calibri"/>
          <w:i/>
          <w:iCs/>
        </w:rPr>
        <w:t>décide</w:t>
      </w:r>
      <w:r w:rsidRPr="00F05A8A">
        <w:rPr>
          <w:rFonts w:eastAsia="Calibri"/>
        </w:rPr>
        <w:t xml:space="preserve"> de sa Résolution 11 (Rév. Dubaï, 2018), la Conférence de plénipotentiaires de l'UIT a décidé </w:t>
      </w:r>
      <w:r w:rsidRPr="00F05A8A">
        <w:t xml:space="preserve">"qu'il convient que l'Union, en collaboration avec les </w:t>
      </w:r>
      <w:r w:rsidRPr="00F05A8A">
        <w:rPr>
          <w:caps/>
        </w:rPr>
        <w:t>é</w:t>
      </w:r>
      <w:r w:rsidRPr="00F05A8A">
        <w:t>tats Membres et les Membres de Secteur, s'emploie délibérément à accroître la participation des PME aux manifestations de l'UIT en incluant les questions revêtant de l'importance pour les PME dans les programmes des manifestations et en permettant à ces entreprises d'aborder les questions réglementaires et bureaucratiques qui les concernent".</w:t>
      </w:r>
    </w:p>
    <w:p w14:paraId="4BA97834" w14:textId="77777777" w:rsidR="00D80461" w:rsidRPr="00F05A8A" w:rsidRDefault="00D80461" w:rsidP="002F075E">
      <w:pPr>
        <w:pStyle w:val="Headingb"/>
        <w:rPr>
          <w:rStyle w:val="Hyperlink"/>
          <w:bCs/>
        </w:rPr>
      </w:pPr>
      <w:bookmarkStart w:id="389" w:name="_Toc72845083"/>
      <w:bookmarkStart w:id="390" w:name="_Toc72846422"/>
      <w:bookmarkStart w:id="391" w:name="_Toc72846657"/>
      <w:bookmarkStart w:id="392" w:name="_Toc95387529"/>
      <w:r w:rsidRPr="00F05A8A">
        <w:rPr>
          <w:bCs/>
        </w:rPr>
        <w:t>FMPT-21</w:t>
      </w:r>
      <w:bookmarkEnd w:id="389"/>
      <w:bookmarkEnd w:id="390"/>
      <w:bookmarkEnd w:id="391"/>
      <w:bookmarkEnd w:id="392"/>
    </w:p>
    <w:p w14:paraId="3F7539BC" w14:textId="77777777" w:rsidR="00D80461" w:rsidRPr="00F05A8A" w:rsidRDefault="00D80461" w:rsidP="002F075E">
      <w:r w:rsidRPr="00F05A8A">
        <w:t xml:space="preserve">Le </w:t>
      </w:r>
      <w:hyperlink r:id="rId351" w:history="1">
        <w:r w:rsidRPr="00F05A8A">
          <w:rPr>
            <w:rStyle w:val="Hyperlink"/>
          </w:rPr>
          <w:t>sixième Forum mondial des politiques de télécommunication</w:t>
        </w:r>
      </w:hyperlink>
      <w:r w:rsidRPr="00F05A8A">
        <w:t>, qui s'est tenu de manière virtuelle du 16 au 18 décembre 2021, portait sur le thème: "</w:t>
      </w:r>
      <w:r w:rsidRPr="00F05A8A">
        <w:rPr>
          <w:i/>
          <w:iCs/>
        </w:rPr>
        <w:t>Politiques visant à mettre les télécommunications/TIC nouvelles et émergentes au service du développement durable</w:t>
      </w:r>
      <w:r w:rsidRPr="00F05A8A">
        <w:t>". Les participants au Forum ont examiné la façon dont les technologies et les tendances numériques nouvelles et émergentes favorisent la transition à l'échelle mondiale vers l'économie numérique. Parmi les thèmes examinés, on peut citer l'intelligence artificielle, l'Internet des objets, la 5G, les mégadonnées, les OTT, etc. Le FMPT-21 a offert aux participants un cadre pour se concentrer sur les perspectives, les difficultés ainsi que les politiques propres à favoriser le développement durable.</w:t>
      </w:r>
    </w:p>
    <w:p w14:paraId="0F34A8C8" w14:textId="77777777" w:rsidR="00D80461" w:rsidRPr="00F05A8A" w:rsidRDefault="00D80461" w:rsidP="002F075E">
      <w:pPr>
        <w:rPr>
          <w:rFonts w:eastAsia="Calibri"/>
          <w:sz w:val="22"/>
        </w:rPr>
      </w:pPr>
      <w:r w:rsidRPr="00F05A8A">
        <w:rPr>
          <w:rFonts w:eastAsia="Calibri"/>
        </w:rPr>
        <w:t>Cinq projets d'Avis ont été examinés:</w:t>
      </w:r>
    </w:p>
    <w:p w14:paraId="723BBF12" w14:textId="77777777" w:rsidR="00D80461" w:rsidRPr="00F05A8A" w:rsidRDefault="00D80461" w:rsidP="002F075E">
      <w:pPr>
        <w:pStyle w:val="enumlev1"/>
      </w:pPr>
      <w:r w:rsidRPr="00F05A8A">
        <w:rPr>
          <w:rFonts w:eastAsia="Calibri"/>
          <w:lang w:eastAsia="zh-TW"/>
        </w:rPr>
        <w:t>•</w:t>
      </w:r>
      <w:r w:rsidRPr="00F05A8A">
        <w:rPr>
          <w:rFonts w:eastAsia="Calibri"/>
          <w:lang w:eastAsia="zh-TW"/>
        </w:rPr>
        <w:tab/>
        <w:t>Projet d'</w:t>
      </w:r>
      <w:r w:rsidRPr="00F05A8A">
        <w:t>Avis 1: Environnement propice au développement et au déploiement de services et de technologies de télécommunication/TIC nouveaux et émergents pour promouvoir le développement durable</w:t>
      </w:r>
    </w:p>
    <w:p w14:paraId="791DFB23" w14:textId="77777777" w:rsidR="00D80461" w:rsidRPr="00F05A8A" w:rsidRDefault="00D80461" w:rsidP="002F075E">
      <w:pPr>
        <w:pStyle w:val="enumlev1"/>
      </w:pPr>
      <w:r w:rsidRPr="00F05A8A">
        <w:rPr>
          <w:rFonts w:eastAsia="Calibri"/>
          <w:lang w:eastAsia="zh-TW"/>
        </w:rPr>
        <w:t>•</w:t>
      </w:r>
      <w:r w:rsidRPr="00F05A8A">
        <w:rPr>
          <w:rFonts w:eastAsia="Calibri"/>
          <w:lang w:eastAsia="zh-TW"/>
        </w:rPr>
        <w:tab/>
        <w:t>Projet d'</w:t>
      </w:r>
      <w:r w:rsidRPr="00F05A8A">
        <w:t>Avis 2: Une connectivité financièrement abordable et sûre pour mettre les télécommunications/TIC nouvelles et émergentes au service du développement durable</w:t>
      </w:r>
    </w:p>
    <w:p w14:paraId="0E38799C" w14:textId="77777777" w:rsidR="00D80461" w:rsidRPr="00F05A8A" w:rsidRDefault="00D80461" w:rsidP="002F075E">
      <w:pPr>
        <w:pStyle w:val="enumlev1"/>
      </w:pPr>
      <w:r w:rsidRPr="00F05A8A">
        <w:rPr>
          <w:rFonts w:eastAsia="Calibri"/>
          <w:lang w:eastAsia="zh-TW"/>
        </w:rPr>
        <w:t>•</w:t>
      </w:r>
      <w:r w:rsidRPr="00F05A8A">
        <w:rPr>
          <w:rFonts w:eastAsia="Calibri"/>
          <w:lang w:eastAsia="zh-TW"/>
        </w:rPr>
        <w:tab/>
        <w:t>Projet d'</w:t>
      </w:r>
      <w:r w:rsidRPr="00F05A8A">
        <w:t>Avis 3: Maîtrise des outils numériques et acquisition de compétences numériques pour un accès inclusif</w:t>
      </w:r>
    </w:p>
    <w:p w14:paraId="279E0DF2" w14:textId="77777777" w:rsidR="00D80461" w:rsidRPr="00F05A8A" w:rsidRDefault="00D80461" w:rsidP="002F075E">
      <w:pPr>
        <w:pStyle w:val="enumlev1"/>
      </w:pPr>
      <w:r w:rsidRPr="00F05A8A">
        <w:rPr>
          <w:rFonts w:eastAsia="Calibri"/>
          <w:lang w:eastAsia="zh-TW"/>
        </w:rPr>
        <w:t>•</w:t>
      </w:r>
      <w:r w:rsidRPr="00F05A8A">
        <w:rPr>
          <w:rFonts w:eastAsia="Calibri"/>
          <w:lang w:eastAsia="zh-TW"/>
        </w:rPr>
        <w:tab/>
        <w:t>Projet d'</w:t>
      </w:r>
      <w:r w:rsidRPr="00F05A8A">
        <w:t>Avis 4: Les technologies et les services nouveaux et émergents pour favoriser l'utilisation des télécommunications/TIC au service du développement durable</w:t>
      </w:r>
    </w:p>
    <w:p w14:paraId="7589C032" w14:textId="77777777" w:rsidR="00D80461" w:rsidRPr="00F05A8A" w:rsidRDefault="00D80461" w:rsidP="002F075E">
      <w:pPr>
        <w:pStyle w:val="enumlev1"/>
      </w:pPr>
      <w:r w:rsidRPr="00F05A8A">
        <w:rPr>
          <w:rFonts w:eastAsia="Calibri"/>
          <w:lang w:eastAsia="zh-TW"/>
        </w:rPr>
        <w:t>•</w:t>
      </w:r>
      <w:r w:rsidRPr="00F05A8A">
        <w:rPr>
          <w:rFonts w:eastAsia="Calibri"/>
          <w:lang w:eastAsia="zh-TW"/>
        </w:rPr>
        <w:tab/>
        <w:t>Projet d'</w:t>
      </w:r>
      <w:r w:rsidRPr="00F05A8A">
        <w:t>Avis 5: Utilisation des télécommunications/TIC dans le contexte de la pandémie de COVID-19 et des pandémies futures ainsi que pour la préparation et les interventions en cas d'épidémie</w:t>
      </w:r>
    </w:p>
    <w:p w14:paraId="409F42B6" w14:textId="77777777" w:rsidR="00D80461" w:rsidRPr="00F05A8A" w:rsidRDefault="00D80461" w:rsidP="002F075E">
      <w:pPr>
        <w:pStyle w:val="Heading1"/>
      </w:pPr>
      <w:bookmarkStart w:id="393" w:name="lt_pId787"/>
      <w:bookmarkStart w:id="394" w:name="_Toc37860466"/>
      <w:bookmarkStart w:id="395" w:name="_Toc37861227"/>
      <w:bookmarkStart w:id="396" w:name="_Toc37943350"/>
      <w:bookmarkStart w:id="397" w:name="_Toc38828360"/>
      <w:bookmarkStart w:id="398" w:name="_Toc41032102"/>
      <w:bookmarkStart w:id="399" w:name="_Toc72846658"/>
      <w:bookmarkStart w:id="400" w:name="_Toc98513611"/>
      <w:bookmarkStart w:id="401" w:name="_Toc107466576"/>
      <w:r w:rsidRPr="00F05A8A">
        <w:t>2</w:t>
      </w:r>
      <w:r w:rsidRPr="00F05A8A">
        <w:tab/>
      </w:r>
      <w:bookmarkEnd w:id="393"/>
      <w:bookmarkEnd w:id="394"/>
      <w:bookmarkEnd w:id="395"/>
      <w:bookmarkEnd w:id="396"/>
      <w:bookmarkEnd w:id="397"/>
      <w:r w:rsidRPr="00F05A8A">
        <w:t>Autres activités essentielles menées à bien par le Secrétariat afin d'appuyer les Membres de l'UIT</w:t>
      </w:r>
      <w:bookmarkEnd w:id="398"/>
      <w:bookmarkEnd w:id="399"/>
      <w:bookmarkEnd w:id="400"/>
      <w:bookmarkEnd w:id="401"/>
    </w:p>
    <w:p w14:paraId="38CF2665" w14:textId="77777777" w:rsidR="00D80461" w:rsidRPr="00F05A8A" w:rsidRDefault="00D80461" w:rsidP="002F075E">
      <w:r w:rsidRPr="00F05A8A">
        <w:t>Le Secrétariat de l'UIT (par l'intermédiaire des trois Bureaux et du Secrétariat général) continue de perfectionner et d'améliorer les services fournis aux Membres de l'UIT. La présente partie rend compte des initiatives importantes qui ont été mises en œuvre durant la période 2018-2021 au regard de quatre aspects des services fournis par l'UIT: le fonctionnement des organes directeurs; des outils de collaboration à la pointe de la technologie; l'ajustement de la structure des unités fonctionnelles pour s'adapter aux difficultés et aux possibilités qui se font jour dans une société de plus en plus numérique; et le renforcement des services d'appui fournis aux Membres de l'UIT.</w:t>
      </w:r>
    </w:p>
    <w:p w14:paraId="63C736B2" w14:textId="77777777" w:rsidR="0079251D" w:rsidRPr="00F05A8A" w:rsidRDefault="0079251D" w:rsidP="002F075E">
      <w:pPr>
        <w:pStyle w:val="Heading2"/>
      </w:pPr>
      <w:bookmarkStart w:id="402" w:name="_2.1_UIT-R"/>
      <w:bookmarkStart w:id="403" w:name="lt_pId790"/>
      <w:bookmarkStart w:id="404" w:name="_Toc37860467"/>
      <w:bookmarkStart w:id="405" w:name="_Toc37861228"/>
      <w:bookmarkStart w:id="406" w:name="_Toc37943351"/>
      <w:bookmarkStart w:id="407" w:name="_Toc38828361"/>
      <w:bookmarkStart w:id="408" w:name="Section_2_1"/>
      <w:bookmarkStart w:id="409" w:name="_Toc41032103"/>
      <w:bookmarkStart w:id="410" w:name="_Toc72846663"/>
      <w:bookmarkStart w:id="411" w:name="_Toc98513612"/>
      <w:bookmarkEnd w:id="402"/>
      <w:r w:rsidRPr="00F05A8A">
        <w:br w:type="page"/>
      </w:r>
    </w:p>
    <w:p w14:paraId="7F0D7915" w14:textId="76A6458D" w:rsidR="00D80461" w:rsidRPr="00F05A8A" w:rsidRDefault="00D80461" w:rsidP="002F075E">
      <w:pPr>
        <w:pStyle w:val="Heading2"/>
      </w:pPr>
      <w:bookmarkStart w:id="412" w:name="_Toc107466577"/>
      <w:r w:rsidRPr="00F05A8A">
        <w:lastRenderedPageBreak/>
        <w:t>2.1</w:t>
      </w:r>
      <w:r w:rsidRPr="00F05A8A">
        <w:tab/>
        <w:t>UIT-</w:t>
      </w:r>
      <w:bookmarkEnd w:id="403"/>
      <w:bookmarkEnd w:id="404"/>
      <w:bookmarkEnd w:id="405"/>
      <w:bookmarkEnd w:id="406"/>
      <w:bookmarkEnd w:id="407"/>
      <w:r w:rsidRPr="00F05A8A">
        <w:t>R</w:t>
      </w:r>
      <w:bookmarkEnd w:id="408"/>
      <w:bookmarkEnd w:id="409"/>
      <w:bookmarkEnd w:id="410"/>
      <w:r w:rsidRPr="00F05A8A">
        <w:t>:</w:t>
      </w:r>
      <w:bookmarkStart w:id="413" w:name="lt_pId791"/>
      <w:bookmarkStart w:id="414" w:name="_Toc41032104"/>
      <w:bookmarkStart w:id="415" w:name="_Toc72845090"/>
      <w:bookmarkStart w:id="416" w:name="_Toc72846427"/>
      <w:bookmarkStart w:id="417" w:name="_Toc72846664"/>
      <w:r w:rsidRPr="00F05A8A">
        <w:t xml:space="preserve"> Comité du Règlement des radiocommunications (RRB)</w:t>
      </w:r>
      <w:bookmarkEnd w:id="413"/>
      <w:bookmarkEnd w:id="414"/>
      <w:bookmarkEnd w:id="415"/>
      <w:bookmarkEnd w:id="416"/>
      <w:bookmarkEnd w:id="417"/>
      <w:r w:rsidRPr="00F05A8A">
        <w:t>, réunions, décisions</w:t>
      </w:r>
      <w:bookmarkEnd w:id="411"/>
      <w:bookmarkEnd w:id="412"/>
    </w:p>
    <w:p w14:paraId="42EB271F" w14:textId="77777777" w:rsidR="00D80461" w:rsidRPr="00F05A8A" w:rsidRDefault="00D80461" w:rsidP="002F075E">
      <w:r w:rsidRPr="00F05A8A">
        <w:t>Le RRB a poursuivi ses travaux tout au long de 2018 et 2019 (six réunions en présentiel), de 2020 (trois réunions virtuelles) et de 2021 (une réunion mixte et deux réunions virtuelles). Lors de ces réunions, les Règles de procédure ont été révisées afin de donner suite aux décisions de la CMR-15 et de la CMR</w:t>
      </w:r>
      <w:r w:rsidRPr="00F05A8A">
        <w:noBreakHyphen/>
        <w:t>19 et des cas de pratique générale ont été examinés. Le Comité a pris des décisions concernant:</w:t>
      </w:r>
    </w:p>
    <w:p w14:paraId="524899EA" w14:textId="77777777" w:rsidR="00D80461" w:rsidRPr="00F05A8A" w:rsidRDefault="00D80461" w:rsidP="002F075E">
      <w:pPr>
        <w:pStyle w:val="enumlev1"/>
      </w:pPr>
      <w:r w:rsidRPr="00F05A8A">
        <w:t>•</w:t>
      </w:r>
      <w:r w:rsidRPr="00F05A8A">
        <w:tab/>
        <w:t>Vingt-huit communications soumises par des administrations en vue d'obtenir une prorogation du délai réglementaire applicable à la mise en service ou à la remise en service d'assignations de fréquence de réseaux à satellite.</w:t>
      </w:r>
    </w:p>
    <w:p w14:paraId="4645950D" w14:textId="77777777" w:rsidR="00D80461" w:rsidRPr="00F05A8A" w:rsidRDefault="00D80461" w:rsidP="002F075E">
      <w:pPr>
        <w:pStyle w:val="enumlev1"/>
      </w:pPr>
      <w:r w:rsidRPr="00F05A8A">
        <w:t>•</w:t>
      </w:r>
      <w:r w:rsidRPr="00F05A8A">
        <w:tab/>
        <w:t xml:space="preserve">Quinze cas relatifs au maintien ou à la suppression de réseaux à satellite dans le </w:t>
      </w:r>
      <w:r w:rsidRPr="00F05A8A">
        <w:rPr>
          <w:color w:val="000000"/>
        </w:rPr>
        <w:t>Fichier de référence international des fréquences, compte tenu des examens effectués par le Bureau au titre du numéro 13.6 du RR.</w:t>
      </w:r>
    </w:p>
    <w:p w14:paraId="7673F4E7" w14:textId="77777777" w:rsidR="00D80461" w:rsidRPr="00F05A8A" w:rsidRDefault="00D80461" w:rsidP="002F075E">
      <w:pPr>
        <w:pStyle w:val="enumlev1"/>
      </w:pPr>
      <w:r w:rsidRPr="00F05A8A">
        <w:t>•</w:t>
      </w:r>
      <w:r w:rsidRPr="00F05A8A">
        <w:tab/>
        <w:t>Des situations de brouillages préjudiciables signalées au Bureau qui n'ont pas pu être réglées par les administrations affectées.</w:t>
      </w:r>
    </w:p>
    <w:p w14:paraId="5987324F" w14:textId="77777777" w:rsidR="00D80461" w:rsidRPr="00F05A8A" w:rsidRDefault="00D80461" w:rsidP="002F075E">
      <w:pPr>
        <w:pStyle w:val="Heading2"/>
      </w:pPr>
      <w:bookmarkStart w:id="418" w:name="lt_pId814"/>
      <w:bookmarkStart w:id="419" w:name="_Toc37860468"/>
      <w:bookmarkStart w:id="420" w:name="_Toc37861229"/>
      <w:bookmarkStart w:id="421" w:name="_Toc37943352"/>
      <w:bookmarkStart w:id="422" w:name="_Toc38828362"/>
      <w:bookmarkStart w:id="423" w:name="_Toc41032105"/>
      <w:bookmarkStart w:id="424" w:name="_Toc72846665"/>
      <w:bookmarkStart w:id="425" w:name="_Toc98513613"/>
      <w:bookmarkStart w:id="426" w:name="_Toc107466578"/>
      <w:r w:rsidRPr="00F05A8A">
        <w:t>2.2</w:t>
      </w:r>
      <w:r w:rsidRPr="00F05A8A">
        <w:tab/>
        <w:t>UIT-T</w:t>
      </w:r>
      <w:bookmarkEnd w:id="418"/>
      <w:bookmarkEnd w:id="419"/>
      <w:bookmarkEnd w:id="420"/>
      <w:bookmarkEnd w:id="421"/>
      <w:bookmarkEnd w:id="422"/>
      <w:bookmarkEnd w:id="423"/>
      <w:bookmarkEnd w:id="424"/>
      <w:r w:rsidRPr="00F05A8A">
        <w:t>: Amélioration de la qualité de service pour les membres de l'UIT</w:t>
      </w:r>
      <w:bookmarkEnd w:id="425"/>
      <w:bookmarkEnd w:id="426"/>
    </w:p>
    <w:p w14:paraId="32A1EC39" w14:textId="77777777" w:rsidR="00D80461" w:rsidRPr="00F05A8A" w:rsidRDefault="00D80461" w:rsidP="002F075E">
      <w:bookmarkStart w:id="427" w:name="lt_pId818"/>
      <w:bookmarkStart w:id="428" w:name="_Hlk37076134"/>
      <w:bookmarkStart w:id="429" w:name="_Hlk35960599"/>
      <w:r w:rsidRPr="00F05A8A">
        <w:t xml:space="preserve">Le TSB a élaboré des outils modernes et a largement amélioré ses méthodes de travail, ce qui a également amélioré la qualité de service pour les membres. En 2020 et 2021, l'environnement de travail électronique de l'UIT-T a connu d'importantes modernisations et les possibilités offertes, à savoir les réunions virtuelles et les méthodes de travail électroniques, constituent désormais le principal support des travaux de normalisation de l'UIT, compte tenu des mesures prises au niveau mondial en vue de lutter contre le COVID-19 (voir la </w:t>
      </w:r>
      <w:hyperlink w:anchor="Section_1_8" w:history="1">
        <w:r w:rsidRPr="00F05A8A">
          <w:rPr>
            <w:rStyle w:val="Hyperlink"/>
          </w:rPr>
          <w:t>section 1.8</w:t>
        </w:r>
      </w:hyperlink>
      <w:r w:rsidRPr="00F05A8A">
        <w:t>).</w:t>
      </w:r>
    </w:p>
    <w:p w14:paraId="08F0134A" w14:textId="77777777" w:rsidR="00D80461" w:rsidRPr="00F05A8A" w:rsidRDefault="00D80461" w:rsidP="002F075E">
      <w:bookmarkStart w:id="430" w:name="lt_pId820"/>
      <w:bookmarkEnd w:id="427"/>
      <w:bookmarkEnd w:id="428"/>
      <w:bookmarkEnd w:id="429"/>
      <w:r w:rsidRPr="00F05A8A">
        <w:t xml:space="preserve">Les membres de l'UIT qui prennent part aux travaux de normalisation et à la préparation en vue de l'Assemblée mondiale de normalisation des télécommunications de l'UIT (AMNT-20) tirent le meilleur parti de la plate-forme personnalisée </w:t>
      </w:r>
      <w:hyperlink r:id="rId352" w:anchor="/login" w:history="1">
        <w:r w:rsidRPr="00F05A8A">
          <w:rPr>
            <w:rStyle w:val="Hyperlink"/>
          </w:rPr>
          <w:t>MyWorkspace</w:t>
        </w:r>
      </w:hyperlink>
      <w:r w:rsidRPr="00F05A8A">
        <w:t xml:space="preserve"> et des services et outils associés, tels que MyMeetings, qui ont été élaborés par le TSB</w:t>
      </w:r>
      <w:bookmarkEnd w:id="430"/>
      <w:r w:rsidRPr="00F05A8A">
        <w:t>.</w:t>
      </w:r>
    </w:p>
    <w:p w14:paraId="7D20A36B" w14:textId="77777777" w:rsidR="00D80461" w:rsidRPr="00F05A8A" w:rsidRDefault="00D80461" w:rsidP="002F075E">
      <w:bookmarkStart w:id="431" w:name="lt_pId821"/>
      <w:r w:rsidRPr="00F05A8A">
        <w:t>Les améliorations importantes sont les suivantes:</w:t>
      </w:r>
      <w:bookmarkEnd w:id="431"/>
    </w:p>
    <w:p w14:paraId="682A4025" w14:textId="77777777" w:rsidR="00D80461" w:rsidRPr="00F05A8A" w:rsidRDefault="00D80461" w:rsidP="002F075E">
      <w:pPr>
        <w:pStyle w:val="enumlev1"/>
      </w:pPr>
      <w:bookmarkStart w:id="432" w:name="lt_pId822"/>
      <w:r w:rsidRPr="00F05A8A">
        <w:rPr>
          <w:bCs/>
        </w:rPr>
        <w:t>–</w:t>
      </w:r>
      <w:r w:rsidRPr="00F05A8A">
        <w:rPr>
          <w:bCs/>
        </w:rPr>
        <w:tab/>
      </w:r>
      <w:bookmarkStart w:id="433" w:name="lt_pId827"/>
      <w:bookmarkEnd w:id="432"/>
      <w:r w:rsidRPr="00F05A8A">
        <w:rPr>
          <w:b/>
        </w:rPr>
        <w:t xml:space="preserve">MyWorkspace. </w:t>
      </w:r>
      <w:hyperlink r:id="rId353" w:anchor="/login" w:history="1">
        <w:r w:rsidRPr="00F05A8A">
          <w:rPr>
            <w:rStyle w:val="Hyperlink"/>
            <w:bCs/>
          </w:rPr>
          <w:t>MyWorkspace</w:t>
        </w:r>
      </w:hyperlink>
      <w:r w:rsidRPr="00F05A8A">
        <w:rPr>
          <w:bCs/>
        </w:rPr>
        <w:t xml:space="preserve"> est un ensemble d'outils et de services pour mobile créés en 2017 en application de la Résolution 32 de l'AMNT afin de faciliter les travaux des spécialistes de l'UIT-T. La version 3.2 de la plate-forme, qui a été publiée en novembre 2020, offre une interface utilisateur améliorée, avec une présentation plus simple et de meilleures performances. MyWorkspace est accessible via une application web (PWA) qui permet aux utilisateurs d'utiliser la plate-forme aisément sur des dispositifs sans devoir procéder à des installations supplémentaires. L'accès à cette plate-forme est sécurisé et s'effectue au moyen d'un compte utilisateur UIT (TIES). Les services ci-après sont disponibles sur la plate</w:t>
      </w:r>
      <w:r w:rsidRPr="00F05A8A">
        <w:rPr>
          <w:bCs/>
        </w:rPr>
        <w:noBreakHyphen/>
        <w:t>forme</w:t>
      </w:r>
      <w:r w:rsidRPr="00F05A8A">
        <w:t>:</w:t>
      </w:r>
      <w:bookmarkEnd w:id="433"/>
    </w:p>
    <w:p w14:paraId="37EBCA72" w14:textId="77777777" w:rsidR="00D80461" w:rsidRPr="00F05A8A" w:rsidRDefault="00D80461" w:rsidP="002F075E">
      <w:pPr>
        <w:pStyle w:val="enumlev2"/>
        <w:rPr>
          <w:rStyle w:val="normaltextrun"/>
        </w:rPr>
      </w:pPr>
      <w:r w:rsidRPr="00F05A8A">
        <w:t>•</w:t>
      </w:r>
      <w:r w:rsidRPr="00F05A8A">
        <w:tab/>
      </w:r>
      <w:hyperlink r:id="rId354" w:anchor="/MyMeetings" w:tgtFrame="_blank" w:history="1">
        <w:r w:rsidRPr="00F05A8A">
          <w:rPr>
            <w:rStyle w:val="Hyperlink"/>
          </w:rPr>
          <w:t>MyMeetings</w:t>
        </w:r>
      </w:hyperlink>
      <w:r w:rsidRPr="00F05A8A">
        <w:t>: Service de participation à distance reposant sur une solution à code source ouvert personnalisée en interne, pour les réunions statutaires et non statutaires de l'UIT-T.</w:t>
      </w:r>
    </w:p>
    <w:p w14:paraId="6BC24CAE" w14:textId="77777777" w:rsidR="00D80461" w:rsidRPr="00F05A8A" w:rsidRDefault="00D80461" w:rsidP="002F075E">
      <w:pPr>
        <w:pStyle w:val="enumlev2"/>
        <w:rPr>
          <w:rStyle w:val="normaltextrun"/>
        </w:rPr>
      </w:pPr>
      <w:r w:rsidRPr="00F05A8A">
        <w:rPr>
          <w:rStyle w:val="normaltextrun"/>
        </w:rPr>
        <w:t>•</w:t>
      </w:r>
      <w:r w:rsidRPr="00F05A8A">
        <w:rPr>
          <w:rStyle w:val="normaltextrun"/>
        </w:rPr>
        <w:tab/>
      </w:r>
      <w:r w:rsidRPr="00F05A8A">
        <w:rPr>
          <w:rStyle w:val="normaltextrun"/>
          <w:u w:val="single"/>
        </w:rPr>
        <w:t>Agent conversationnel de l'UIT-T</w:t>
      </w:r>
      <w:r w:rsidRPr="00F05A8A">
        <w:rPr>
          <w:rStyle w:val="normaltextrun"/>
        </w:rPr>
        <w:t>: Assistance instantanée pour les Membres de l'UIT-T lors des séances MyMeetings.</w:t>
      </w:r>
    </w:p>
    <w:p w14:paraId="1804A42D" w14:textId="77777777" w:rsidR="00D80461" w:rsidRPr="00F05A8A" w:rsidRDefault="00D80461" w:rsidP="002F075E">
      <w:pPr>
        <w:pStyle w:val="enumlev2"/>
      </w:pPr>
      <w:r w:rsidRPr="00F05A8A">
        <w:lastRenderedPageBreak/>
        <w:t>•</w:t>
      </w:r>
      <w:r w:rsidRPr="00F05A8A">
        <w:tab/>
      </w:r>
      <w:hyperlink r:id="rId355" w:anchor="/Myevents" w:history="1">
        <w:r w:rsidRPr="00F05A8A">
          <w:rPr>
            <w:rStyle w:val="Hyperlink"/>
          </w:rPr>
          <w:t>MyEvents</w:t>
        </w:r>
      </w:hyperlink>
      <w:r w:rsidRPr="00F05A8A">
        <w:t>: Outil de gestion des manifestations fournissant l'ordre du jour des manifestations de l'UIT-T en temps réel et la liste des participants, des orateurs et des exposants, et qui est doté d'une fonction de mise en relation des participants.</w:t>
      </w:r>
    </w:p>
    <w:p w14:paraId="051B1AA8" w14:textId="77777777" w:rsidR="00D80461" w:rsidRPr="00F05A8A" w:rsidRDefault="00D80461" w:rsidP="002F075E">
      <w:pPr>
        <w:pStyle w:val="enumlev2"/>
      </w:pPr>
      <w:r w:rsidRPr="00F05A8A">
        <w:t>•</w:t>
      </w:r>
      <w:r w:rsidRPr="00F05A8A">
        <w:tab/>
      </w:r>
      <w:hyperlink r:id="rId356" w:anchor="/Translate" w:history="1">
        <w:r w:rsidRPr="00F05A8A">
          <w:rPr>
            <w:rStyle w:val="Hyperlink"/>
          </w:rPr>
          <w:t>ITU Translate</w:t>
        </w:r>
      </w:hyperlink>
      <w:r w:rsidRPr="00F05A8A">
        <w:t>: Outil de traduction automatique par réseau neuronal entraîné sur les traductions officielles de documents de l'UIT, prenant en charge les six langues officielles.</w:t>
      </w:r>
    </w:p>
    <w:p w14:paraId="7BDA5D5E" w14:textId="77777777" w:rsidR="00D80461" w:rsidRPr="00F05A8A" w:rsidRDefault="00D80461" w:rsidP="002F075E">
      <w:pPr>
        <w:pStyle w:val="enumlev2"/>
      </w:pPr>
      <w:r w:rsidRPr="00F05A8A">
        <w:t>•</w:t>
      </w:r>
      <w:r w:rsidRPr="00F05A8A">
        <w:tab/>
      </w:r>
      <w:hyperlink r:id="rId357" w:history="1">
        <w:r w:rsidRPr="00F05A8A">
          <w:rPr>
            <w:rStyle w:val="Hyperlink"/>
          </w:rPr>
          <w:t>Cloud de l'UIT-T</w:t>
        </w:r>
      </w:hyperlink>
      <w:r w:rsidRPr="00F05A8A">
        <w:t>: Service de stockage dans les locaux de l'UIT permettant aux utilisateurs de partager et d'échanger des fichiers jusqu'à 10 Go par utilisateur.</w:t>
      </w:r>
    </w:p>
    <w:p w14:paraId="033CE426" w14:textId="77777777" w:rsidR="00D80461" w:rsidRPr="00F05A8A" w:rsidRDefault="00D80461" w:rsidP="002F075E">
      <w:pPr>
        <w:pStyle w:val="enumlev2"/>
      </w:pPr>
      <w:r w:rsidRPr="00F05A8A">
        <w:t>•</w:t>
      </w:r>
      <w:r w:rsidRPr="00F05A8A">
        <w:tab/>
      </w:r>
      <w:hyperlink r:id="rId358" w:anchor="/Calendar" w:history="1">
        <w:r w:rsidRPr="00F05A8A">
          <w:rPr>
            <w:rStyle w:val="Hyperlink"/>
          </w:rPr>
          <w:t>Calendrier</w:t>
        </w:r>
      </w:hyperlink>
      <w:r w:rsidRPr="00F05A8A">
        <w:rPr>
          <w:rStyle w:val="Hyperlink"/>
        </w:rPr>
        <w:t>:</w:t>
      </w:r>
      <w:r w:rsidRPr="00F05A8A">
        <w:t xml:space="preserve"> Calendrier mensuel de toutes les manifestations de l'UIT, avec la possibilité de filtrer par Secteur de l'UIT et par groupe de travail de l'UIT-T.</w:t>
      </w:r>
    </w:p>
    <w:p w14:paraId="5209492A" w14:textId="77777777" w:rsidR="00D80461" w:rsidRPr="00F05A8A" w:rsidRDefault="00D80461" w:rsidP="002F075E">
      <w:pPr>
        <w:pStyle w:val="enumlev2"/>
      </w:pPr>
      <w:r w:rsidRPr="00F05A8A">
        <w:t>•</w:t>
      </w:r>
      <w:r w:rsidRPr="00F05A8A">
        <w:tab/>
      </w:r>
      <w:hyperlink r:id="rId359" w:anchor="/Documents/MyDocuments" w:history="1">
        <w:r w:rsidRPr="00F05A8A">
          <w:rPr>
            <w:rStyle w:val="Hyperlink"/>
          </w:rPr>
          <w:t>Documents</w:t>
        </w:r>
      </w:hyperlink>
      <w:r w:rsidRPr="00F05A8A">
        <w:t xml:space="preserve">: Accès rapide aux documents des réunions des commissions d'études grâce à la recherche plein texte et à des capacités de filtrage et de tri avancées, et possibilité d'obtenir une traduction automatique des documents qui n'ont pas été traduits par un traducteur professionnel (par exemple: </w:t>
      </w:r>
      <w:hyperlink r:id="rId360" w:anchor="/Documents/MyDocuments/meeting=T17-SG02-201218&amp;search=&amp;type=&amp;sources=&amp;questions=" w:history="1">
        <w:r w:rsidRPr="00F05A8A">
          <w:rPr>
            <w:rStyle w:val="Hyperlink"/>
          </w:rPr>
          <w:t>les documents de la réunion électronique de la CE 2 tenue le 18 décembre 2020</w:t>
        </w:r>
      </w:hyperlink>
      <w:r w:rsidRPr="00F05A8A">
        <w:t>).</w:t>
      </w:r>
    </w:p>
    <w:p w14:paraId="4948B56A" w14:textId="77777777" w:rsidR="00D80461" w:rsidRPr="00F05A8A" w:rsidRDefault="00D80461" w:rsidP="002F075E">
      <w:pPr>
        <w:pStyle w:val="enumlev2"/>
      </w:pPr>
      <w:r w:rsidRPr="00F05A8A">
        <w:t>•</w:t>
      </w:r>
      <w:r w:rsidRPr="00F05A8A">
        <w:tab/>
      </w:r>
      <w:hyperlink r:id="rId361" w:anchor="/Mailing" w:history="1">
        <w:r w:rsidRPr="00F05A8A">
          <w:rPr>
            <w:rStyle w:val="Hyperlink"/>
          </w:rPr>
          <w:t>Correspondance</w:t>
        </w:r>
      </w:hyperlink>
      <w:r w:rsidRPr="00F05A8A">
        <w:rPr>
          <w:rStyle w:val="Hyperlink"/>
        </w:rPr>
        <w:t>:</w:t>
      </w:r>
      <w:r w:rsidRPr="00F05A8A">
        <w:t xml:space="preserve"> Gestion des abonnements assortie d'une fonction de recherche.</w:t>
      </w:r>
    </w:p>
    <w:p w14:paraId="0564763C" w14:textId="77777777" w:rsidR="00D80461" w:rsidRPr="00F05A8A" w:rsidRDefault="00D80461" w:rsidP="002F075E">
      <w:pPr>
        <w:pStyle w:val="enumlev2"/>
      </w:pPr>
      <w:r w:rsidRPr="00F05A8A">
        <w:t>•</w:t>
      </w:r>
      <w:r w:rsidRPr="00F05A8A">
        <w:tab/>
      </w:r>
      <w:hyperlink r:id="rId362" w:anchor="/Community" w:history="1">
        <w:r w:rsidRPr="00F05A8A">
          <w:rPr>
            <w:rStyle w:val="Hyperlink"/>
          </w:rPr>
          <w:t>Communauté</w:t>
        </w:r>
      </w:hyperlink>
      <w:r w:rsidRPr="00F05A8A">
        <w:rPr>
          <w:rStyle w:val="Hyperlink"/>
        </w:rPr>
        <w:t>:</w:t>
      </w:r>
      <w:r w:rsidRPr="00F05A8A">
        <w:t xml:space="preserve"> Répertoire des utilisateurs de MyWorkspace.</w:t>
      </w:r>
    </w:p>
    <w:p w14:paraId="7A187D49" w14:textId="77777777" w:rsidR="00D80461" w:rsidRPr="00F05A8A" w:rsidRDefault="00D80461" w:rsidP="002F075E">
      <w:pPr>
        <w:pStyle w:val="enumlev2"/>
      </w:pPr>
      <w:r w:rsidRPr="00F05A8A">
        <w:t>•</w:t>
      </w:r>
      <w:r w:rsidRPr="00F05A8A">
        <w:tab/>
      </w:r>
      <w:hyperlink r:id="rId363" w:anchor="/profile" w:history="1">
        <w:r w:rsidRPr="00F05A8A">
          <w:rPr>
            <w:rStyle w:val="Hyperlink"/>
          </w:rPr>
          <w:t>Profil et préférences</w:t>
        </w:r>
      </w:hyperlink>
      <w:r w:rsidRPr="00F05A8A">
        <w:rPr>
          <w:rStyle w:val="Hyperlink"/>
        </w:rPr>
        <w:t>:</w:t>
      </w:r>
      <w:r w:rsidRPr="00F05A8A">
        <w:t xml:space="preserve"> Informations personnelles de l'utilisateur et ses intérêts.</w:t>
      </w:r>
    </w:p>
    <w:p w14:paraId="188B6124" w14:textId="77777777" w:rsidR="00D80461" w:rsidRPr="00F05A8A" w:rsidRDefault="00D80461" w:rsidP="002F075E">
      <w:pPr>
        <w:pStyle w:val="enumlev1"/>
        <w:rPr>
          <w:bCs/>
        </w:rPr>
      </w:pPr>
      <w:bookmarkStart w:id="434" w:name="lt_pId835"/>
      <w:bookmarkStart w:id="435" w:name="_Toc480527871"/>
      <w:bookmarkStart w:id="436" w:name="_Toc31193739"/>
      <w:r w:rsidRPr="00F05A8A">
        <w:rPr>
          <w:bCs/>
        </w:rPr>
        <w:t>–</w:t>
      </w:r>
      <w:r w:rsidRPr="00F05A8A">
        <w:rPr>
          <w:bCs/>
        </w:rPr>
        <w:tab/>
      </w:r>
      <w:bookmarkStart w:id="437" w:name="lt_pId838"/>
      <w:bookmarkEnd w:id="434"/>
      <w:r w:rsidRPr="00F05A8A">
        <w:rPr>
          <w:bCs/>
        </w:rPr>
        <w:t>Sites collaboratifs SharePoint de l'UIT-T</w:t>
      </w:r>
      <w:r w:rsidRPr="00F05A8A">
        <w:t>: les participants aux travaux des groupes de travail de l'UIT-T peuvent mener des discussions en ligne, travailler sur des projets, programmer des réunions et gérer et stocker des documents dans un environnement partagé sécurisé.</w:t>
      </w:r>
      <w:bookmarkEnd w:id="437"/>
      <w:r w:rsidRPr="00F05A8A">
        <w:rPr>
          <w:color w:val="000000"/>
        </w:rPr>
        <w:t xml:space="preserve"> La plupart des sites collaboratifs sont accessibles uniquement aux Membres du Secteur de l'UIT-T au moyen d'un compte TIES. L'accès à certains sites collaboratifs est possible pour les non-membres, qui peuvent utiliser pour ce faire un compte invité UIT.</w:t>
      </w:r>
    </w:p>
    <w:p w14:paraId="361A733A" w14:textId="77777777" w:rsidR="00D80461" w:rsidRPr="00F05A8A" w:rsidRDefault="00D80461" w:rsidP="002F075E">
      <w:pPr>
        <w:pStyle w:val="enumlev1"/>
      </w:pPr>
      <w:bookmarkStart w:id="438" w:name="lt_pId839"/>
      <w:r w:rsidRPr="00F05A8A">
        <w:rPr>
          <w:bCs/>
        </w:rPr>
        <w:t>–</w:t>
      </w:r>
      <w:r w:rsidRPr="00F05A8A">
        <w:rPr>
          <w:bCs/>
        </w:rPr>
        <w:tab/>
      </w:r>
      <w:bookmarkStart w:id="439" w:name="lt_pId844"/>
      <w:bookmarkEnd w:id="435"/>
      <w:bookmarkEnd w:id="436"/>
      <w:bookmarkEnd w:id="438"/>
      <w:r w:rsidRPr="00F05A8A">
        <w:t>Système de gestion des documents de réunion pour les Groupes du Rapporteur</w:t>
      </w:r>
      <w:r w:rsidRPr="00F05A8A">
        <w:rPr>
          <w:bCs/>
        </w:rPr>
        <w:t>: le système de gestion des documents pour les réunions des Groupes du Rapporteur de l'UIT-T, qui est fondé sur Microsoft SharePoint, compte parmi les services mis à disposition sur les sites collaboratifs SharePoint de l'UIT-T utilisés très largement par les commissions d'études de l'UIT-T ainsi que par le GCNT. Le système utilisé pour les réunions des Groupes du Rapporteur continue d'être amélioré sur la base des retours d'information des Rapporteurs.</w:t>
      </w:r>
      <w:bookmarkEnd w:id="439"/>
    </w:p>
    <w:p w14:paraId="2FC3470C" w14:textId="77777777" w:rsidR="00D80461" w:rsidRPr="00F05A8A" w:rsidRDefault="00D80461" w:rsidP="002F075E">
      <w:pPr>
        <w:pStyle w:val="enumlev1"/>
      </w:pPr>
      <w:bookmarkStart w:id="440" w:name="_Toc462664281"/>
      <w:bookmarkStart w:id="441" w:name="_Toc480527876"/>
      <w:bookmarkStart w:id="442" w:name="_Toc31193742"/>
      <w:bookmarkStart w:id="443" w:name="lt_pId845"/>
      <w:r w:rsidRPr="00F05A8A">
        <w:rPr>
          <w:bCs/>
        </w:rPr>
        <w:t>–</w:t>
      </w:r>
      <w:r w:rsidRPr="00F05A8A">
        <w:rPr>
          <w:bCs/>
        </w:rPr>
        <w:tab/>
      </w:r>
      <w:bookmarkStart w:id="444" w:name="_Toc462664282"/>
      <w:bookmarkStart w:id="445" w:name="lt_pId847"/>
      <w:bookmarkEnd w:id="440"/>
      <w:bookmarkEnd w:id="441"/>
      <w:bookmarkEnd w:id="442"/>
      <w:bookmarkEnd w:id="443"/>
      <w:r w:rsidRPr="00F05A8A">
        <w:t>Application de synchronisation des documents de réunion</w:t>
      </w:r>
      <w:r w:rsidRPr="00F05A8A">
        <w:rPr>
          <w:bCs/>
        </w:rPr>
        <w:t>: permet aux participants à une réunion de synchroniser sur leur disque dur local, depuis le serveur de l'UIT, les documents des réunions des commissions d'études de l'UIT-T en cours. Grâce à de constantes améliorations, cette application est actualisée en permanence sur la base des retours d'information et des suggestions des utilisateurs</w:t>
      </w:r>
      <w:r w:rsidRPr="00F05A8A">
        <w:t>.</w:t>
      </w:r>
      <w:bookmarkEnd w:id="444"/>
      <w:bookmarkEnd w:id="445"/>
    </w:p>
    <w:p w14:paraId="71895C11" w14:textId="77777777" w:rsidR="00D80461" w:rsidRPr="00F05A8A" w:rsidRDefault="00D80461" w:rsidP="002F075E">
      <w:pPr>
        <w:pStyle w:val="enumlev1"/>
        <w:rPr>
          <w:sz w:val="22"/>
          <w:lang w:eastAsia="zh-TW"/>
        </w:rPr>
      </w:pPr>
      <w:r w:rsidRPr="00F05A8A">
        <w:rPr>
          <w:bCs/>
        </w:rPr>
        <w:t>–</w:t>
      </w:r>
      <w:r w:rsidRPr="00F05A8A">
        <w:rPr>
          <w:bCs/>
        </w:rPr>
        <w:tab/>
        <w:t>Flux de travail pour l'édition</w:t>
      </w:r>
      <w:r w:rsidRPr="00F05A8A">
        <w:rPr>
          <w:rFonts w:eastAsia="PMingLiU"/>
          <w:lang w:eastAsia="zh-TW"/>
        </w:rPr>
        <w:t>: outils de gestion interne des processus opérationnels pour l'édition des publications de l'UIT-T et leur publication sur le web.</w:t>
      </w:r>
    </w:p>
    <w:p w14:paraId="3D9DE7AB" w14:textId="77777777" w:rsidR="00D80461" w:rsidRPr="00F05A8A" w:rsidRDefault="00D80461" w:rsidP="002F075E">
      <w:pPr>
        <w:pStyle w:val="enumlev1"/>
        <w:rPr>
          <w:bCs/>
        </w:rPr>
      </w:pPr>
      <w:r w:rsidRPr="00F05A8A">
        <w:rPr>
          <w:bCs/>
        </w:rPr>
        <w:t>–</w:t>
      </w:r>
      <w:r w:rsidRPr="00F05A8A">
        <w:rPr>
          <w:bCs/>
        </w:rPr>
        <w:tab/>
        <w:t>Système relatif à la variante de la procédure d'approbation: solution en ligne permettant d'appliquer la procédure simplifiée décrite dans la Recommandation UIT-T A.8 pour obtenir l'approbation de projets de Recommandations nouvelles ou révisées.</w:t>
      </w:r>
    </w:p>
    <w:p w14:paraId="6DCD6FBF" w14:textId="77777777" w:rsidR="00D80461" w:rsidRPr="00F05A8A" w:rsidRDefault="00D80461" w:rsidP="002F075E">
      <w:pPr>
        <w:pStyle w:val="enumlev1"/>
        <w:rPr>
          <w:bCs/>
        </w:rPr>
      </w:pPr>
      <w:r w:rsidRPr="00F05A8A">
        <w:rPr>
          <w:bCs/>
        </w:rPr>
        <w:t>–</w:t>
      </w:r>
      <w:r w:rsidRPr="00F05A8A">
        <w:rPr>
          <w:bCs/>
        </w:rPr>
        <w:tab/>
        <w:t>Programme de travail de l'UIT-T: ensemble d'applications Windows et d'applications web permettant de suivre la structure et les sujets d'étude des groupes de travail de l'UIT-T.</w:t>
      </w:r>
    </w:p>
    <w:p w14:paraId="7D44F06A" w14:textId="77777777" w:rsidR="00D80461" w:rsidRPr="00F05A8A" w:rsidRDefault="00D80461" w:rsidP="002F075E">
      <w:pPr>
        <w:pStyle w:val="enumlev1"/>
        <w:rPr>
          <w:bCs/>
        </w:rPr>
      </w:pPr>
      <w:r w:rsidRPr="00F05A8A">
        <w:rPr>
          <w:bCs/>
        </w:rPr>
        <w:lastRenderedPageBreak/>
        <w:t>–</w:t>
      </w:r>
      <w:r w:rsidRPr="00F05A8A">
        <w:rPr>
          <w:bCs/>
        </w:rPr>
        <w:tab/>
        <w:t>Notes de liaison de l'UIT-T: application en ligne permettant d'accéder à la base de données des notes de liaison de l'UIT-T.</w:t>
      </w:r>
    </w:p>
    <w:p w14:paraId="58C8006D" w14:textId="77777777" w:rsidR="00D80461" w:rsidRPr="00F05A8A" w:rsidRDefault="00D80461" w:rsidP="002F075E">
      <w:pPr>
        <w:pStyle w:val="enumlev1"/>
        <w:rPr>
          <w:rFonts w:eastAsia="PMingLiU"/>
          <w:lang w:eastAsia="zh-TW"/>
        </w:rPr>
      </w:pPr>
      <w:r w:rsidRPr="00F05A8A">
        <w:rPr>
          <w:bCs/>
        </w:rPr>
        <w:t>–</w:t>
      </w:r>
      <w:r w:rsidRPr="00F05A8A">
        <w:rPr>
          <w:bCs/>
        </w:rPr>
        <w:tab/>
      </w:r>
      <w:r w:rsidRPr="00F05A8A">
        <w:rPr>
          <w:rFonts w:eastAsia="PMingLiU"/>
          <w:lang w:eastAsia="zh-TW"/>
        </w:rPr>
        <w:t>Tableau de bord des manifestations: solution de gestion des processus opérationnels pour l'organisation des manifestations de l'UIT-T.</w:t>
      </w:r>
    </w:p>
    <w:p w14:paraId="0BC5416C" w14:textId="77777777" w:rsidR="00D80461" w:rsidRPr="00F05A8A" w:rsidRDefault="00D80461" w:rsidP="002F075E">
      <w:pPr>
        <w:pStyle w:val="enumlev1"/>
        <w:rPr>
          <w:bCs/>
        </w:rPr>
      </w:pPr>
      <w:r w:rsidRPr="00F05A8A">
        <w:rPr>
          <w:bCs/>
        </w:rPr>
        <w:t>–</w:t>
      </w:r>
      <w:r w:rsidRPr="00F05A8A">
        <w:rPr>
          <w:bCs/>
        </w:rPr>
        <w:tab/>
        <w:t>Panorama des normes TIC: outil en ligne maintenu par des experts désignés pour appuyer la normalisation dans un domaine des TIC (par exemple, la sécurité, l'Internet des objets, les villes et communautés intelligentes, etc.) en identifiant les normes existantes, les normes en cours d'élaboration et des domaines clés pour lesquels une norme est nécessaire.</w:t>
      </w:r>
    </w:p>
    <w:p w14:paraId="296B8E53" w14:textId="77777777" w:rsidR="00D80461" w:rsidRPr="00F05A8A" w:rsidRDefault="00D80461" w:rsidP="002F075E">
      <w:pPr>
        <w:pStyle w:val="enumlev1"/>
        <w:rPr>
          <w:bCs/>
        </w:rPr>
      </w:pPr>
      <w:r w:rsidRPr="00F05A8A">
        <w:rPr>
          <w:bCs/>
        </w:rPr>
        <w:t>–</w:t>
      </w:r>
      <w:r w:rsidRPr="00F05A8A">
        <w:rPr>
          <w:bCs/>
        </w:rPr>
        <w:tab/>
        <w:t>Base de données relative aux droits de propriété intellectuelle: permet aux utilisateurs d'accéder aux déclarations de brevets et de droits d'auteur de logiciels associées Recommandations UIT-T (</w:t>
      </w:r>
      <w:hyperlink r:id="rId364" w:history="1">
        <w:r w:rsidRPr="00F05A8A">
          <w:rPr>
            <w:rStyle w:val="Hyperlink"/>
            <w:bCs/>
          </w:rPr>
          <w:t>Déclaration de brevets en lien avec les Recommandations UIT-R et UIT-T</w:t>
        </w:r>
      </w:hyperlink>
      <w:r w:rsidRPr="00F05A8A">
        <w:rPr>
          <w:bCs/>
        </w:rPr>
        <w:t>).</w:t>
      </w:r>
    </w:p>
    <w:p w14:paraId="1E3FC193" w14:textId="77777777" w:rsidR="00D80461" w:rsidRPr="00F05A8A" w:rsidRDefault="00D80461" w:rsidP="002F075E">
      <w:pPr>
        <w:pStyle w:val="enumlev1"/>
        <w:rPr>
          <w:bCs/>
        </w:rPr>
      </w:pPr>
      <w:r w:rsidRPr="00F05A8A">
        <w:rPr>
          <w:bCs/>
        </w:rPr>
        <w:t>–</w:t>
      </w:r>
      <w:r w:rsidRPr="00F05A8A">
        <w:rPr>
          <w:bCs/>
        </w:rPr>
        <w:tab/>
        <w:t>Base de données des termes et définitions de l'UIT-R/UIT-T: donne aux utilisateurs un accès à tous les termes et à toutes les définitions figurant des Recommandations UIT-T (</w:t>
      </w:r>
      <w:hyperlink r:id="rId365" w:history="1">
        <w:r w:rsidRPr="00F05A8A">
          <w:rPr>
            <w:rStyle w:val="Hyperlink"/>
            <w:bCs/>
          </w:rPr>
          <w:t>Système des Recommandations de l'UIT</w:t>
        </w:r>
      </w:hyperlink>
      <w:r w:rsidRPr="00F05A8A">
        <w:rPr>
          <w:bCs/>
        </w:rPr>
        <w:t>).</w:t>
      </w:r>
    </w:p>
    <w:p w14:paraId="0EF1D974" w14:textId="77777777" w:rsidR="00D80461" w:rsidRPr="00F05A8A" w:rsidRDefault="00D80461" w:rsidP="002F075E">
      <w:pPr>
        <w:pStyle w:val="enumlev1"/>
        <w:rPr>
          <w:rFonts w:eastAsia="PMingLiU"/>
          <w:lang w:eastAsia="zh-TW"/>
        </w:rPr>
      </w:pPr>
      <w:r w:rsidRPr="00F05A8A">
        <w:rPr>
          <w:bCs/>
        </w:rPr>
        <w:t>–</w:t>
      </w:r>
      <w:r w:rsidRPr="00F05A8A">
        <w:rPr>
          <w:bCs/>
        </w:rPr>
        <w:tab/>
      </w:r>
      <w:r w:rsidRPr="00F05A8A">
        <w:rPr>
          <w:rFonts w:eastAsia="PMingLiU"/>
          <w:lang w:eastAsia="zh-TW"/>
        </w:rPr>
        <w:t>ITUSearch: moteur de recherche dans toutes les ressources numériques de l'UIT (publications, documents, pages web, réseaux sociaux, …).</w:t>
      </w:r>
    </w:p>
    <w:p w14:paraId="6F3001B1" w14:textId="77777777" w:rsidR="00D80461" w:rsidRPr="00F05A8A" w:rsidRDefault="00D80461" w:rsidP="002F075E">
      <w:pPr>
        <w:pStyle w:val="enumlev1"/>
        <w:rPr>
          <w:bCs/>
        </w:rPr>
      </w:pPr>
      <w:r w:rsidRPr="00F05A8A">
        <w:rPr>
          <w:bCs/>
        </w:rPr>
        <w:t>–</w:t>
      </w:r>
      <w:r w:rsidRPr="00F05A8A">
        <w:rPr>
          <w:bCs/>
        </w:rPr>
        <w:tab/>
        <w:t>Informatique décisionnelle: solutions fondées sur Power BI et Google Analytics pour extraire des statistiques concernant les activités de l'UIT-T.</w:t>
      </w:r>
    </w:p>
    <w:p w14:paraId="1FBDD93D" w14:textId="77777777" w:rsidR="00D80461" w:rsidRPr="00F05A8A" w:rsidRDefault="00D80461" w:rsidP="002F075E">
      <w:pPr>
        <w:pStyle w:val="enumlev1"/>
        <w:rPr>
          <w:bCs/>
        </w:rPr>
      </w:pPr>
      <w:r w:rsidRPr="00F05A8A">
        <w:rPr>
          <w:bCs/>
        </w:rPr>
        <w:t>–</w:t>
      </w:r>
      <w:r w:rsidRPr="00F05A8A">
        <w:rPr>
          <w:bCs/>
        </w:rPr>
        <w:tab/>
        <w:t>Mise en correspondance des ODD: mise en correspondance automatique des activités de l'UIT-T avec les ODD adoptés par les Nations Unies grâce à l'évaluation de la pertinence sémantique des textes.</w:t>
      </w:r>
    </w:p>
    <w:p w14:paraId="5143CF67" w14:textId="77777777" w:rsidR="00D80461" w:rsidRPr="00F05A8A" w:rsidRDefault="00D80461" w:rsidP="002F075E">
      <w:pPr>
        <w:pStyle w:val="enumlev1"/>
        <w:rPr>
          <w:bCs/>
        </w:rPr>
      </w:pPr>
      <w:r w:rsidRPr="00F05A8A">
        <w:rPr>
          <w:bCs/>
        </w:rPr>
        <w:t>–</w:t>
      </w:r>
      <w:r w:rsidRPr="00F05A8A">
        <w:rPr>
          <w:bCs/>
        </w:rPr>
        <w:tab/>
        <w:t>Système de biographie en libre-service: aide les organisateurs de manifestations à rechercher des experts et à tenir à jour la biographie des invités sur le site web de la manifestation.</w:t>
      </w:r>
    </w:p>
    <w:p w14:paraId="31787EE1" w14:textId="77777777" w:rsidR="00D80461" w:rsidRPr="00F05A8A" w:rsidRDefault="00D80461" w:rsidP="002F075E">
      <w:pPr>
        <w:pStyle w:val="enumlev1"/>
        <w:rPr>
          <w:bCs/>
        </w:rPr>
      </w:pPr>
      <w:r w:rsidRPr="00F05A8A">
        <w:rPr>
          <w:bCs/>
        </w:rPr>
        <w:t>–</w:t>
      </w:r>
      <w:r w:rsidRPr="00F05A8A">
        <w:rPr>
          <w:bCs/>
        </w:rPr>
        <w:tab/>
        <w:t>Différenciation des orateurs: reconnaissance et segmentation de la voix des orateurs à partir de l'enregistrement des réunions.</w:t>
      </w:r>
    </w:p>
    <w:p w14:paraId="76A85D1E" w14:textId="77777777" w:rsidR="00D80461" w:rsidRPr="00F05A8A" w:rsidRDefault="00D80461" w:rsidP="002F075E">
      <w:pPr>
        <w:pStyle w:val="Heading2"/>
      </w:pPr>
      <w:bookmarkStart w:id="446" w:name="lt_pId848"/>
      <w:bookmarkStart w:id="447" w:name="_Toc37860469"/>
      <w:bookmarkStart w:id="448" w:name="_Toc37861230"/>
      <w:bookmarkStart w:id="449" w:name="_Toc37943353"/>
      <w:bookmarkStart w:id="450" w:name="_Toc38828363"/>
      <w:bookmarkStart w:id="451" w:name="_Toc41032106"/>
      <w:bookmarkStart w:id="452" w:name="_Toc72846666"/>
      <w:bookmarkStart w:id="453" w:name="_Toc98513614"/>
      <w:bookmarkStart w:id="454" w:name="_Toc107466579"/>
      <w:r w:rsidRPr="00F05A8A">
        <w:t>2.3</w:t>
      </w:r>
      <w:r w:rsidRPr="00F05A8A">
        <w:tab/>
        <w:t>UIT-D</w:t>
      </w:r>
      <w:bookmarkStart w:id="455" w:name="_Toc41032107"/>
      <w:bookmarkStart w:id="456" w:name="_Toc72845093"/>
      <w:bookmarkStart w:id="457" w:name="_Toc72846428"/>
      <w:bookmarkStart w:id="458" w:name="_Toc72846667"/>
      <w:bookmarkStart w:id="459" w:name="lt_pId028"/>
      <w:bookmarkEnd w:id="446"/>
      <w:bookmarkEnd w:id="447"/>
      <w:bookmarkEnd w:id="448"/>
      <w:bookmarkEnd w:id="449"/>
      <w:bookmarkEnd w:id="450"/>
      <w:bookmarkEnd w:id="451"/>
      <w:bookmarkEnd w:id="452"/>
      <w:r w:rsidRPr="00F05A8A">
        <w:t>: Processus de transformation – Un BDT en adéquation avec sa mission</w:t>
      </w:r>
      <w:bookmarkEnd w:id="453"/>
      <w:bookmarkEnd w:id="454"/>
      <w:bookmarkEnd w:id="455"/>
      <w:bookmarkEnd w:id="456"/>
      <w:bookmarkEnd w:id="457"/>
      <w:bookmarkEnd w:id="458"/>
    </w:p>
    <w:p w14:paraId="340950DE" w14:textId="77777777" w:rsidR="00D80461" w:rsidRPr="00F05A8A" w:rsidRDefault="00D80461" w:rsidP="002F075E">
      <w:pPr>
        <w:rPr>
          <w:rFonts w:asciiTheme="minorHAnsi" w:hAnsiTheme="minorHAnsi"/>
          <w:color w:val="000000" w:themeColor="text1"/>
        </w:rPr>
      </w:pPr>
      <w:r w:rsidRPr="00F05A8A">
        <w:t xml:space="preserve">En 2019, le BDT a entamé un processus de transformation afin de créer un Bureau qui suit le rythme d'un environnement évoluant rapidement, qui répond efficacement aux besoins des États Membres et des Membres de Secteur – un BDT en adéquation avec sa mission, qui travaille de manière plus efficace et qui fournit des résultats. À l'issue de consultations internes, le BDT a adopté des méthodes de travail innovantes, qui garantiront la mise en œuvre du </w:t>
      </w:r>
      <w:hyperlink r:id="rId366" w:history="1">
        <w:r w:rsidRPr="00F05A8A">
          <w:rPr>
            <w:rStyle w:val="Hyperlink"/>
            <w:rFonts w:cstheme="minorHAnsi"/>
          </w:rPr>
          <w:t>Plan d'action de Buenos Aires</w:t>
        </w:r>
      </w:hyperlink>
      <w:r w:rsidRPr="00F05A8A">
        <w:t>.</w:t>
      </w:r>
      <w:bookmarkEnd w:id="459"/>
    </w:p>
    <w:p w14:paraId="64702FFC" w14:textId="77777777" w:rsidR="00D80461" w:rsidRPr="00F05A8A" w:rsidRDefault="00D80461" w:rsidP="002F075E">
      <w:pPr>
        <w:rPr>
          <w:rFonts w:cstheme="minorHAnsi"/>
          <w:color w:val="000000" w:themeColor="text1"/>
        </w:rPr>
      </w:pPr>
      <w:bookmarkStart w:id="460" w:name="lt_pId042"/>
      <w:r w:rsidRPr="00F05A8A">
        <w:rPr>
          <w:rFonts w:cstheme="minorHAnsi"/>
          <w:color w:val="000000" w:themeColor="text1"/>
        </w:rPr>
        <w:t>Le processus de transformation du BDT est consultatif et participatif. Il repose sur les retours d'information et les échanges avec les États Membres et les Membres du Secteur. La transformation numérique grâce à une connectivité efficace promue par le BDT est centrée sur l'humain, en s'attachant à écouter les personnes à qui le BDT s'adresse, ce qui permet de mieux évaluer les besoins devant être satisfaits.</w:t>
      </w:r>
    </w:p>
    <w:p w14:paraId="3EEDC07F" w14:textId="77777777" w:rsidR="00D80461" w:rsidRPr="00F05A8A" w:rsidRDefault="00D80461" w:rsidP="002F075E">
      <w:pPr>
        <w:rPr>
          <w:rFonts w:cstheme="minorHAnsi"/>
          <w:szCs w:val="24"/>
          <w:shd w:val="clear" w:color="auto" w:fill="FFFFFF"/>
        </w:rPr>
      </w:pPr>
      <w:r w:rsidRPr="00F05A8A">
        <w:rPr>
          <w:color w:val="000000"/>
        </w:rPr>
        <w:t xml:space="preserve">La pandémie de COVID a bouleversé le monde. En 2020, le BDT a opté pour des solutions numériques, en définissant de nouvelles modalités pour la fourniture des services – créant ainsi une nouvelle normalité. Ces modalités ont non seulement permis au BDT de poursuivre ses </w:t>
      </w:r>
      <w:r w:rsidRPr="00F05A8A">
        <w:rPr>
          <w:color w:val="000000"/>
        </w:rPr>
        <w:lastRenderedPageBreak/>
        <w:t xml:space="preserve">travaux en dépit des circonstances, mais ont également aidé les membres qui le composent à se rapprocher les uns des autres, à être plus disponibles pour les membres de l'UIT et à s'adapter à la période que nous traversons. Telle est la conception d'un </w:t>
      </w:r>
      <w:r w:rsidRPr="00F05A8A">
        <w:rPr>
          <w:b/>
          <w:bCs/>
          <w:color w:val="000000"/>
        </w:rPr>
        <w:t>"BDT en adéquation avec sa mission"</w:t>
      </w:r>
      <w:r w:rsidRPr="00F05A8A">
        <w:rPr>
          <w:color w:val="000000"/>
        </w:rPr>
        <w:t>: un Bureau capable de s'adapter, qui a recours à de nouveaux outils et de nouvelles approches et qui fournit les services dont les membres de l'UIT ont besoin – en partenariat avec un nombre toujours plus grand d'organisations. Le BDT a démontré qu'il était à même de s'adapter à l'évolution des circonstances, ce qui est une parfaite illustration de la définition de ce que doit être un BDT "en adéquation avec sa mission": travailler selon la vision du BDT, qui est de connecter ceux qui ne le sont pas encore.</w:t>
      </w:r>
      <w:r w:rsidRPr="00F05A8A">
        <w:rPr>
          <w:rFonts w:cstheme="minorHAnsi"/>
          <w:szCs w:val="24"/>
          <w:shd w:val="clear" w:color="auto" w:fill="FFFFFF"/>
        </w:rPr>
        <w:t xml:space="preserve"> </w:t>
      </w:r>
      <w:bookmarkEnd w:id="460"/>
    </w:p>
    <w:p w14:paraId="41FE9BD5" w14:textId="77777777" w:rsidR="00D80461" w:rsidRPr="00F05A8A" w:rsidRDefault="00D80461" w:rsidP="002F075E">
      <w:pPr>
        <w:pStyle w:val="Headingb"/>
      </w:pPr>
      <w:bookmarkStart w:id="461" w:name="_Toc72845094"/>
      <w:bookmarkStart w:id="462" w:name="_Toc72846429"/>
      <w:bookmarkStart w:id="463" w:name="_Toc72846668"/>
      <w:bookmarkStart w:id="464" w:name="_Toc95387534"/>
      <w:r w:rsidRPr="00F05A8A">
        <w:t>Un BDT en adéquation avec sa mission: faits marquants en 2020</w:t>
      </w:r>
      <w:bookmarkEnd w:id="461"/>
      <w:bookmarkEnd w:id="462"/>
      <w:bookmarkEnd w:id="463"/>
      <w:bookmarkEnd w:id="464"/>
    </w:p>
    <w:p w14:paraId="5FAD1018" w14:textId="77777777" w:rsidR="00D80461" w:rsidRPr="00F05A8A" w:rsidRDefault="00D80461" w:rsidP="002F075E">
      <w:pPr>
        <w:pStyle w:val="enumlev1"/>
        <w:rPr>
          <w:rFonts w:cstheme="minorHAnsi"/>
          <w:b/>
          <w:bCs/>
          <w:szCs w:val="24"/>
          <w:shd w:val="clear" w:color="auto" w:fill="FFFFFF"/>
        </w:rPr>
      </w:pPr>
      <w:r w:rsidRPr="00F05A8A">
        <w:t>•</w:t>
      </w:r>
      <w:r w:rsidRPr="00F05A8A">
        <w:tab/>
        <w:t>Nouveau Manuel sur la gestion des projets, qui permet de renforcer les projets grâce à l'harmonisation de la formulation, des outils et des processus durant toutes les phases des projets.</w:t>
      </w:r>
    </w:p>
    <w:p w14:paraId="0D4F6122" w14:textId="77777777" w:rsidR="00D80461" w:rsidRPr="00F05A8A" w:rsidRDefault="00D80461" w:rsidP="002F075E">
      <w:pPr>
        <w:pStyle w:val="enumlev1"/>
        <w:rPr>
          <w:rFonts w:cstheme="minorHAnsi"/>
          <w:b/>
          <w:bCs/>
          <w:szCs w:val="24"/>
          <w:shd w:val="clear" w:color="auto" w:fill="FFFFFF"/>
        </w:rPr>
      </w:pPr>
      <w:r w:rsidRPr="00F05A8A">
        <w:t>•</w:t>
      </w:r>
      <w:r w:rsidRPr="00F05A8A">
        <w:tab/>
        <w:t>Évaluation de la culture en matière de leadership afin de donner l'exemple.</w:t>
      </w:r>
    </w:p>
    <w:p w14:paraId="394E04DB" w14:textId="77777777" w:rsidR="00D80461" w:rsidRPr="00F05A8A" w:rsidRDefault="00D80461" w:rsidP="002F075E">
      <w:pPr>
        <w:pStyle w:val="enumlev1"/>
        <w:rPr>
          <w:rFonts w:cstheme="minorHAnsi"/>
          <w:b/>
          <w:bCs/>
          <w:szCs w:val="24"/>
          <w:shd w:val="clear" w:color="auto" w:fill="FFFFFF"/>
        </w:rPr>
      </w:pPr>
      <w:r w:rsidRPr="00F05A8A">
        <w:t>•</w:t>
      </w:r>
      <w:r w:rsidRPr="00F05A8A">
        <w:tab/>
        <w:t>Examens des processus du BDT pour rationaliser les processus et gagner en efficacité.</w:t>
      </w:r>
    </w:p>
    <w:p w14:paraId="011D258C" w14:textId="77777777" w:rsidR="00D80461" w:rsidRPr="00F05A8A" w:rsidRDefault="00D80461" w:rsidP="002F075E">
      <w:pPr>
        <w:pStyle w:val="enumlev1"/>
        <w:rPr>
          <w:rFonts w:cstheme="minorHAnsi"/>
          <w:b/>
          <w:bCs/>
          <w:szCs w:val="24"/>
          <w:shd w:val="clear" w:color="auto" w:fill="FFFFFF"/>
        </w:rPr>
      </w:pPr>
      <w:r w:rsidRPr="00F05A8A">
        <w:t>•</w:t>
      </w:r>
      <w:r w:rsidRPr="00F05A8A">
        <w:tab/>
        <w:t>Initiative "Le web que nous voulons" visant à créer un nouveau site web de l'UIT-D entièrement remanié.</w:t>
      </w:r>
    </w:p>
    <w:p w14:paraId="5636131F" w14:textId="77777777" w:rsidR="00D80461" w:rsidRPr="00F05A8A" w:rsidRDefault="00D80461" w:rsidP="002F075E">
      <w:pPr>
        <w:pStyle w:val="enumlev1"/>
        <w:rPr>
          <w:rFonts w:cstheme="minorHAnsi"/>
          <w:b/>
          <w:bCs/>
          <w:szCs w:val="24"/>
          <w:shd w:val="clear" w:color="auto" w:fill="FFFFFF"/>
        </w:rPr>
      </w:pPr>
      <w:r w:rsidRPr="00F05A8A">
        <w:t>•</w:t>
      </w:r>
      <w:r w:rsidRPr="00F05A8A">
        <w:tab/>
        <w:t>Examen de la présence régionale pour renforcer les travaux du BDT et la coordination sur le terrain.</w:t>
      </w:r>
    </w:p>
    <w:p w14:paraId="73886CFE" w14:textId="77777777" w:rsidR="00D80461" w:rsidRPr="00F05A8A" w:rsidRDefault="00D80461" w:rsidP="002F075E">
      <w:pPr>
        <w:pStyle w:val="enumlev1"/>
        <w:rPr>
          <w:rFonts w:cstheme="minorHAnsi"/>
          <w:b/>
          <w:bCs/>
          <w:szCs w:val="24"/>
          <w:shd w:val="clear" w:color="auto" w:fill="FFFFFF"/>
        </w:rPr>
      </w:pPr>
      <w:r w:rsidRPr="00F05A8A">
        <w:t>•</w:t>
      </w:r>
      <w:r w:rsidRPr="00F05A8A">
        <w:tab/>
        <w:t>Intégration et accueil des nouveaux fonctionnaires.</w:t>
      </w:r>
    </w:p>
    <w:p w14:paraId="53CA44AF" w14:textId="77777777" w:rsidR="00D80461" w:rsidRPr="00F05A8A" w:rsidRDefault="00D80461" w:rsidP="002F075E">
      <w:pPr>
        <w:pStyle w:val="enumlev1"/>
        <w:rPr>
          <w:rFonts w:cstheme="minorHAnsi"/>
          <w:b/>
          <w:bCs/>
          <w:szCs w:val="24"/>
          <w:shd w:val="clear" w:color="auto" w:fill="FFFFFF"/>
        </w:rPr>
      </w:pPr>
      <w:r w:rsidRPr="00F05A8A">
        <w:t>•</w:t>
      </w:r>
      <w:r w:rsidRPr="00F05A8A">
        <w:tab/>
        <w:t>Nouvelles approches concernant la planification opérationnelle et la planification de la gestion basée sur les ressources.</w:t>
      </w:r>
    </w:p>
    <w:p w14:paraId="11B9C385" w14:textId="77777777" w:rsidR="00D80461" w:rsidRPr="00F05A8A" w:rsidRDefault="00D80461" w:rsidP="002F075E">
      <w:pPr>
        <w:pStyle w:val="enumlev1"/>
        <w:rPr>
          <w:rFonts w:cstheme="minorHAnsi"/>
          <w:b/>
          <w:bCs/>
          <w:szCs w:val="24"/>
          <w:shd w:val="clear" w:color="auto" w:fill="FFFFFF"/>
        </w:rPr>
      </w:pPr>
      <w:r w:rsidRPr="00F05A8A">
        <w:t>•</w:t>
      </w:r>
      <w:r w:rsidRPr="00F05A8A">
        <w:tab/>
        <w:t>Réunions publiques pour tenir informé le personnel du BDT et le mobiliser.</w:t>
      </w:r>
    </w:p>
    <w:p w14:paraId="1E8E85E8" w14:textId="77777777" w:rsidR="00D80461" w:rsidRPr="00F05A8A" w:rsidRDefault="00D80461" w:rsidP="002F075E">
      <w:pPr>
        <w:pStyle w:val="enumlev1"/>
        <w:rPr>
          <w:rFonts w:cstheme="minorHAnsi"/>
          <w:b/>
          <w:bCs/>
          <w:szCs w:val="24"/>
          <w:shd w:val="clear" w:color="auto" w:fill="FFFFFF"/>
        </w:rPr>
      </w:pPr>
      <w:r w:rsidRPr="00F05A8A">
        <w:t>•</w:t>
      </w:r>
      <w:r w:rsidRPr="00F05A8A">
        <w:tab/>
        <w:t>Retraite destinée aux hauts fonctionnaires du BDT, pour qu'ils se rapprochent d'objectifs communs et pour renforcer la participation.</w:t>
      </w:r>
    </w:p>
    <w:p w14:paraId="5CB3DEC9" w14:textId="77777777" w:rsidR="00D80461" w:rsidRPr="00F05A8A" w:rsidRDefault="00D80461" w:rsidP="002F075E">
      <w:pPr>
        <w:pStyle w:val="enumlev1"/>
        <w:rPr>
          <w:rFonts w:cstheme="minorHAnsi"/>
          <w:b/>
          <w:bCs/>
          <w:szCs w:val="24"/>
          <w:shd w:val="clear" w:color="auto" w:fill="FFFFFF"/>
        </w:rPr>
      </w:pPr>
      <w:r w:rsidRPr="00F05A8A">
        <w:t>•</w:t>
      </w:r>
      <w:r w:rsidRPr="00F05A8A">
        <w:tab/>
        <w:t>Stratégie de mobilisation des ressources pour obtenir des ressources dans un souci d'efficacité accrue.</w:t>
      </w:r>
    </w:p>
    <w:p w14:paraId="7B76A620" w14:textId="77777777" w:rsidR="00D80461" w:rsidRPr="00F05A8A" w:rsidRDefault="00D80461" w:rsidP="002F075E">
      <w:pPr>
        <w:pStyle w:val="enumlev1"/>
        <w:rPr>
          <w:rFonts w:cstheme="minorHAnsi"/>
          <w:b/>
          <w:bCs/>
          <w:szCs w:val="24"/>
          <w:shd w:val="clear" w:color="auto" w:fill="FFFFFF"/>
        </w:rPr>
      </w:pPr>
      <w:r w:rsidRPr="00F05A8A">
        <w:t>•</w:t>
      </w:r>
      <w:r w:rsidRPr="00F05A8A">
        <w:tab/>
        <w:t>Deuxième groupe sur la gestion de projets.</w:t>
      </w:r>
    </w:p>
    <w:p w14:paraId="11D0030D" w14:textId="77777777" w:rsidR="00D80461" w:rsidRPr="00F05A8A" w:rsidRDefault="00D80461" w:rsidP="002F075E">
      <w:pPr>
        <w:pStyle w:val="enumlev1"/>
      </w:pPr>
      <w:r w:rsidRPr="00F05A8A">
        <w:t>•</w:t>
      </w:r>
      <w:r w:rsidRPr="00F05A8A">
        <w:tab/>
        <w:t>Troisième groupe d'agents du changement.</w:t>
      </w:r>
    </w:p>
    <w:p w14:paraId="7411D313" w14:textId="77777777" w:rsidR="00D80461" w:rsidRPr="00F05A8A" w:rsidRDefault="00D80461" w:rsidP="002F075E">
      <w:pPr>
        <w:pStyle w:val="Headingb"/>
      </w:pPr>
      <w:bookmarkStart w:id="465" w:name="_Toc95387535"/>
      <w:r w:rsidRPr="00F05A8A">
        <w:t>Un BDT en adéquation avec sa mission: faits marquants en 2021</w:t>
      </w:r>
      <w:bookmarkEnd w:id="465"/>
    </w:p>
    <w:p w14:paraId="6ADB796F" w14:textId="77777777" w:rsidR="00D80461" w:rsidRPr="00F05A8A" w:rsidRDefault="00D80461" w:rsidP="002F075E">
      <w:pPr>
        <w:pStyle w:val="enumlev1"/>
      </w:pPr>
      <w:r w:rsidRPr="00F05A8A">
        <w:t>•</w:t>
      </w:r>
      <w:r w:rsidRPr="00F05A8A">
        <w:tab/>
        <w:t>Amélioration des contrôles et des responsabilités internes, y compris modernisation de divers systèmes de gestion via le projet IT4BDT.</w:t>
      </w:r>
    </w:p>
    <w:p w14:paraId="00CE8925" w14:textId="77777777" w:rsidR="00D80461" w:rsidRPr="00F05A8A" w:rsidRDefault="00D80461" w:rsidP="002F075E">
      <w:pPr>
        <w:pStyle w:val="enumlev1"/>
      </w:pPr>
      <w:r w:rsidRPr="00F05A8A">
        <w:t>•</w:t>
      </w:r>
      <w:r w:rsidRPr="00F05A8A">
        <w:tab/>
        <w:t>Évaluation de la culture en matière de leadership.</w:t>
      </w:r>
    </w:p>
    <w:p w14:paraId="0E7000A0" w14:textId="77777777" w:rsidR="00D80461" w:rsidRPr="00F05A8A" w:rsidRDefault="00D80461" w:rsidP="002F075E">
      <w:pPr>
        <w:pStyle w:val="enumlev1"/>
      </w:pPr>
      <w:r w:rsidRPr="00F05A8A">
        <w:t>•</w:t>
      </w:r>
      <w:r w:rsidRPr="00F05A8A">
        <w:tab/>
        <w:t>Plan d'évaluation et de développement des capacités internes.</w:t>
      </w:r>
    </w:p>
    <w:p w14:paraId="79D4A5BB" w14:textId="77777777" w:rsidR="00D80461" w:rsidRPr="00F05A8A" w:rsidRDefault="00D80461" w:rsidP="002F075E">
      <w:pPr>
        <w:pStyle w:val="enumlev1"/>
      </w:pPr>
      <w:r w:rsidRPr="00F05A8A">
        <w:t>•</w:t>
      </w:r>
      <w:r w:rsidRPr="00F05A8A">
        <w:tab/>
        <w:t>Amélioration du Réseau du changement du BDT.</w:t>
      </w:r>
    </w:p>
    <w:p w14:paraId="6DE6F7B2" w14:textId="77777777" w:rsidR="00D80461" w:rsidRPr="00F05A8A" w:rsidRDefault="00D80461" w:rsidP="002F075E">
      <w:pPr>
        <w:pStyle w:val="enumlev1"/>
      </w:pPr>
      <w:r w:rsidRPr="00F05A8A">
        <w:t>•</w:t>
      </w:r>
      <w:r w:rsidRPr="00F05A8A">
        <w:tab/>
        <w:t>Mise en place du Comité directeur des projets.</w:t>
      </w:r>
    </w:p>
    <w:p w14:paraId="50B95A87" w14:textId="77777777" w:rsidR="00D80461" w:rsidRPr="00F05A8A" w:rsidRDefault="00D80461" w:rsidP="002F075E">
      <w:pPr>
        <w:pStyle w:val="enumlev1"/>
      </w:pPr>
      <w:r w:rsidRPr="00F05A8A">
        <w:t>•</w:t>
      </w:r>
      <w:r w:rsidRPr="00F05A8A">
        <w:tab/>
        <w:t>Poursuite des réunions publiques pour tenir informé le personnel du BDT et le mobiliser.</w:t>
      </w:r>
    </w:p>
    <w:p w14:paraId="71D2D86A" w14:textId="77777777" w:rsidR="00D80461" w:rsidRPr="00F05A8A" w:rsidRDefault="00D80461" w:rsidP="002F075E">
      <w:pPr>
        <w:pStyle w:val="enumlev1"/>
        <w:rPr>
          <w:rFonts w:eastAsia="Calibri"/>
          <w:lang w:eastAsia="zh-TW"/>
        </w:rPr>
      </w:pPr>
      <w:r w:rsidRPr="00F05A8A">
        <w:t>•</w:t>
      </w:r>
      <w:r w:rsidRPr="00F05A8A">
        <w:tab/>
        <w:t>Examen des processus.</w:t>
      </w:r>
    </w:p>
    <w:p w14:paraId="40C53F83" w14:textId="77777777" w:rsidR="00D80461" w:rsidRPr="00F05A8A" w:rsidRDefault="00D80461" w:rsidP="002F075E">
      <w:pPr>
        <w:pStyle w:val="enumlev1"/>
        <w:rPr>
          <w:rFonts w:eastAsia="Calibri"/>
          <w:lang w:eastAsia="zh-TW"/>
        </w:rPr>
      </w:pPr>
      <w:r w:rsidRPr="00F05A8A">
        <w:t>•</w:t>
      </w:r>
      <w:r w:rsidRPr="00F05A8A">
        <w:tab/>
        <w:t>Stratégie de mobilisation des ressources.</w:t>
      </w:r>
    </w:p>
    <w:p w14:paraId="6A2258BB" w14:textId="77777777" w:rsidR="00D80461" w:rsidRPr="00F05A8A" w:rsidRDefault="00D80461" w:rsidP="002F075E">
      <w:pPr>
        <w:pStyle w:val="enumlev1"/>
        <w:rPr>
          <w:rFonts w:eastAsia="Calibri"/>
          <w:lang w:eastAsia="zh-TW"/>
        </w:rPr>
      </w:pPr>
      <w:r w:rsidRPr="00F05A8A">
        <w:t>•</w:t>
      </w:r>
      <w:r w:rsidRPr="00F05A8A">
        <w:tab/>
      </w:r>
      <w:r w:rsidRPr="00F05A8A">
        <w:rPr>
          <w:rFonts w:eastAsia="Calibri"/>
          <w:lang w:eastAsia="zh-TW"/>
        </w:rPr>
        <w:t>Innovation (iCodi).</w:t>
      </w:r>
    </w:p>
    <w:p w14:paraId="42B2FD76" w14:textId="77777777" w:rsidR="00D80461" w:rsidRPr="00F05A8A" w:rsidRDefault="00D80461" w:rsidP="002F075E">
      <w:pPr>
        <w:pStyle w:val="enumlev1"/>
      </w:pPr>
      <w:r w:rsidRPr="00F05A8A">
        <w:lastRenderedPageBreak/>
        <w:t>•</w:t>
      </w:r>
      <w:r w:rsidRPr="00F05A8A">
        <w:tab/>
        <w:t>Renforcement des communications internes.</w:t>
      </w:r>
    </w:p>
    <w:p w14:paraId="67B2778C" w14:textId="77777777" w:rsidR="00D80461" w:rsidRPr="00F05A8A" w:rsidRDefault="00D80461" w:rsidP="002F075E">
      <w:pPr>
        <w:pStyle w:val="enumlev1"/>
      </w:pPr>
      <w:r w:rsidRPr="00F05A8A">
        <w:t>•</w:t>
      </w:r>
      <w:r w:rsidRPr="00F05A8A">
        <w:tab/>
        <w:t>Mise au point de tableaux de bord et d'outils de visualisation améliorés.</w:t>
      </w:r>
    </w:p>
    <w:p w14:paraId="44A13457" w14:textId="77777777" w:rsidR="00D80461" w:rsidRPr="00F05A8A" w:rsidRDefault="00D80461" w:rsidP="002F075E">
      <w:pPr>
        <w:pStyle w:val="enumlev1"/>
      </w:pPr>
      <w:r w:rsidRPr="00F05A8A">
        <w:t>•</w:t>
      </w:r>
      <w:r w:rsidRPr="00F05A8A">
        <w:tab/>
        <w:t>Approche GAR renforcée.</w:t>
      </w:r>
    </w:p>
    <w:p w14:paraId="7761B875" w14:textId="77777777" w:rsidR="00D80461" w:rsidRPr="00F05A8A" w:rsidRDefault="00D80461" w:rsidP="002F075E">
      <w:pPr>
        <w:pStyle w:val="Headingb"/>
      </w:pPr>
      <w:bookmarkStart w:id="466" w:name="_Toc72845095"/>
      <w:bookmarkStart w:id="467" w:name="_Toc72846430"/>
      <w:bookmarkStart w:id="468" w:name="_Toc72846669"/>
      <w:bookmarkStart w:id="469" w:name="_Toc95387536"/>
      <w:r w:rsidRPr="00F05A8A">
        <w:t>Champions du changement (C4C): ce qu'il faut retenir</w:t>
      </w:r>
      <w:bookmarkEnd w:id="466"/>
      <w:bookmarkEnd w:id="467"/>
      <w:bookmarkEnd w:id="468"/>
      <w:bookmarkEnd w:id="469"/>
    </w:p>
    <w:p w14:paraId="7AEE4BF3" w14:textId="77777777" w:rsidR="00D80461" w:rsidRPr="00F05A8A" w:rsidRDefault="00D80461" w:rsidP="002F075E">
      <w:pPr>
        <w:rPr>
          <w:color w:val="000000"/>
        </w:rPr>
      </w:pPr>
      <w:r w:rsidRPr="00F05A8A">
        <w:rPr>
          <w:color w:val="000000"/>
        </w:rPr>
        <w:t>La pandémie a insufflé une nouvelle dynamique au processus de changement initial du BDT. Chacun s'est retrouvé dans un environnement de travail radicalement nouveau et a été amené à s'adapter et à faire face aux nouvelles pressions résultant du changement, tout en cherchant à faire en sorte que le BDT soit "en adéquation avec sa mission" dans un contexte mondial inédit. Il est de plus en plus urgent de fournir des services aux États Membres dont les populations, les institutions et les économies sont mises à très rude épreuve et ont besoin de l'assistance du BDT. Les plans et les programmes existants ont été rapidement réorganisés, en réponse aux nouvelles demandes – ainsi qu'à la possibilité d'améliorer la connectivité. Ces douze derniers mois, 34 fonctionnaires ont suivi une formation sur la gestion du changement – et ont par conséquent mis en œuvre de nouvelles stratégies dans leur travail, contribuant ainsi à un certain nombre d'initiatives essentielles du BDT.</w:t>
      </w:r>
    </w:p>
    <w:p w14:paraId="22E49567" w14:textId="77777777" w:rsidR="00D80461" w:rsidRPr="00F05A8A" w:rsidRDefault="00D80461" w:rsidP="002F075E">
      <w:pPr>
        <w:pStyle w:val="Heading2"/>
      </w:pPr>
      <w:bookmarkStart w:id="470" w:name="_Toc41032108"/>
      <w:bookmarkStart w:id="471" w:name="_Toc72846670"/>
      <w:bookmarkStart w:id="472" w:name="_Toc98513615"/>
      <w:bookmarkStart w:id="473" w:name="_Toc107466580"/>
      <w:r w:rsidRPr="00F05A8A">
        <w:t>2.4</w:t>
      </w:r>
      <w:r w:rsidRPr="00F05A8A">
        <w:tab/>
        <w:t>Secrétariat général</w:t>
      </w:r>
      <w:bookmarkEnd w:id="470"/>
      <w:bookmarkEnd w:id="471"/>
      <w:bookmarkEnd w:id="472"/>
      <w:bookmarkEnd w:id="473"/>
    </w:p>
    <w:p w14:paraId="17D0168E" w14:textId="77777777" w:rsidR="00D80461" w:rsidRPr="00F05A8A" w:rsidRDefault="00D80461" w:rsidP="002F075E">
      <w:pPr>
        <w:pStyle w:val="Headingb"/>
      </w:pPr>
      <w:bookmarkStart w:id="474" w:name="_Toc72845097"/>
      <w:bookmarkStart w:id="475" w:name="_Toc72846431"/>
      <w:bookmarkStart w:id="476" w:name="_Toc72846671"/>
      <w:bookmarkStart w:id="477" w:name="_Toc95387539"/>
      <w:r w:rsidRPr="00F05A8A">
        <w:t>Renforcer l'efficience et l'efficacité de l'organisation</w:t>
      </w:r>
      <w:bookmarkEnd w:id="474"/>
      <w:bookmarkEnd w:id="475"/>
      <w:bookmarkEnd w:id="476"/>
      <w:bookmarkEnd w:id="477"/>
    </w:p>
    <w:p w14:paraId="24FE0281" w14:textId="77777777" w:rsidR="00D80461" w:rsidRPr="00F05A8A" w:rsidRDefault="00D80461" w:rsidP="002F075E">
      <w:r w:rsidRPr="00F05A8A">
        <w:t>Afin d'élaborer des stratégies de long terme en matière de gestion pour l'organisation, de maintenir les performances et des compétences adaptées, de favoriser la prise de décisions éclairées et de démontrer les effets positifs des travaux de l'UIT, plusieurs projets/initiatives ont été entrepris, dans le cadre d'une coordination entre le Secrétariat général et les Bureaux, notamment:</w:t>
      </w:r>
    </w:p>
    <w:p w14:paraId="3FB2DC31" w14:textId="77777777" w:rsidR="00D80461" w:rsidRPr="00F05A8A" w:rsidRDefault="00D80461" w:rsidP="002F075E">
      <w:pPr>
        <w:pStyle w:val="enumlev1"/>
      </w:pPr>
      <w:r w:rsidRPr="00F05A8A">
        <w:t>•</w:t>
      </w:r>
      <w:r w:rsidRPr="00F05A8A">
        <w:tab/>
        <w:t>La gestion axée sur les résultats/l'élaboration d'un cadre pour la délégation de pouvoir.</w:t>
      </w:r>
    </w:p>
    <w:p w14:paraId="4BB608A9" w14:textId="77777777" w:rsidR="00D80461" w:rsidRPr="00F05A8A" w:rsidRDefault="00D80461" w:rsidP="002F075E">
      <w:pPr>
        <w:pStyle w:val="enumlev1"/>
      </w:pPr>
      <w:r w:rsidRPr="00F05A8A">
        <w:t>•</w:t>
      </w:r>
      <w:r w:rsidRPr="00F05A8A">
        <w:tab/>
        <w:t>La mise en œuvre du Plan d'action pour la gestion des risques (à savoir du cadre du COSO et du modèle des trois lignes de défense).</w:t>
      </w:r>
    </w:p>
    <w:p w14:paraId="21771277" w14:textId="77777777" w:rsidR="00D80461" w:rsidRPr="00F05A8A" w:rsidRDefault="00D80461" w:rsidP="002F075E">
      <w:pPr>
        <w:pStyle w:val="enumlev1"/>
      </w:pPr>
      <w:r w:rsidRPr="00F05A8A">
        <w:t>•</w:t>
      </w:r>
      <w:r w:rsidRPr="00F05A8A">
        <w:tab/>
        <w:t>Le renforcement du cadre de responsabilisation de l'UIT.</w:t>
      </w:r>
    </w:p>
    <w:p w14:paraId="700C1540" w14:textId="77777777" w:rsidR="00D80461" w:rsidRPr="00F05A8A" w:rsidRDefault="00D80461" w:rsidP="002F075E">
      <w:pPr>
        <w:pStyle w:val="enumlev1"/>
      </w:pPr>
      <w:r w:rsidRPr="00F05A8A">
        <w:t>•</w:t>
      </w:r>
      <w:r w:rsidRPr="00F05A8A">
        <w:tab/>
        <w:t>La création du tableau de bord de la conformité à l'échelle de l'UIT.</w:t>
      </w:r>
    </w:p>
    <w:p w14:paraId="1A983708" w14:textId="77777777" w:rsidR="00D80461" w:rsidRPr="00F05A8A" w:rsidRDefault="00D80461" w:rsidP="002F075E">
      <w:pPr>
        <w:pStyle w:val="enumlev1"/>
      </w:pPr>
      <w:r w:rsidRPr="00F05A8A">
        <w:t>•</w:t>
      </w:r>
      <w:r w:rsidRPr="00F05A8A">
        <w:tab/>
        <w:t>La réalisation d'une évaluation de la culture en matière de leadership ainsi que d'un diagnostic culturel et d'une analyse des lacunes en matière de compétences.</w:t>
      </w:r>
    </w:p>
    <w:p w14:paraId="5C83EE45" w14:textId="77777777" w:rsidR="00D80461" w:rsidRPr="00F05A8A" w:rsidRDefault="00D80461" w:rsidP="002F075E">
      <w:pPr>
        <w:pStyle w:val="Headingb"/>
        <w:ind w:left="0" w:firstLine="0"/>
      </w:pPr>
      <w:bookmarkStart w:id="478" w:name="_Toc41032109"/>
      <w:bookmarkStart w:id="479" w:name="_Toc72845098"/>
      <w:bookmarkStart w:id="480" w:name="_Toc72846432"/>
      <w:bookmarkStart w:id="481" w:name="_Toc72846672"/>
      <w:bookmarkStart w:id="482" w:name="_Toc95387540"/>
      <w:bookmarkStart w:id="483" w:name="lt_pId863"/>
      <w:r w:rsidRPr="00F05A8A">
        <w:t>Membres de Secteur et Associés de l'UIT et établissements universitaires: les grands groupes de parties prenantes participant aux activités de l'UIT</w:t>
      </w:r>
      <w:bookmarkEnd w:id="478"/>
      <w:bookmarkEnd w:id="479"/>
      <w:bookmarkEnd w:id="480"/>
      <w:bookmarkEnd w:id="481"/>
      <w:bookmarkEnd w:id="482"/>
    </w:p>
    <w:bookmarkEnd w:id="483"/>
    <w:p w14:paraId="4C58A807" w14:textId="77777777" w:rsidR="00D80461" w:rsidRPr="00F05A8A" w:rsidRDefault="00D80461" w:rsidP="002F075E">
      <w:pPr>
        <w:spacing w:after="120"/>
      </w:pPr>
      <w:r w:rsidRPr="00F05A8A">
        <w:t>Les Membres de Secteur et les Associés de l'UIT ainsi que les établissements universitaires jouent un rôle fondamental dans le cadre des activités de l'Union. Parmi les membres de l'UIT à l'échelle mondiale figurent des entreprises, des universités, des instituts de recherche et des organisations internationales et régionales représentant un large éventail du secteur mondial des TIC, qu'il s'agisse de grands équipementiers et exploitants mondiaux ou de petites entreprises novatrices utilisant des technologies nouvelles ou émergentes.</w:t>
      </w:r>
    </w:p>
    <w:p w14:paraId="00330204" w14:textId="77777777" w:rsidR="00D80461" w:rsidRPr="00F05A8A" w:rsidRDefault="00D80461" w:rsidP="002F075E">
      <w:pPr>
        <w:spacing w:after="120"/>
      </w:pPr>
      <w:r w:rsidRPr="00F05A8A">
        <w:t>Le Secrétariat de l'UIT a poursuivi la mise en œuvre d'une stratégie coordonnée afin de toucher de nouveaux publics, en vue d'élargir et de diversifier la base de membres de l'UIT tout en adoptant une approche axée sur les clients pour améliorer les services fournis aux membres, de façon à ce qu'ils jouent un rôle actif dans les activités de l'UIT et en tirent parti.</w:t>
      </w:r>
    </w:p>
    <w:p w14:paraId="3FE11564" w14:textId="77777777" w:rsidR="00D80461" w:rsidRPr="00F05A8A" w:rsidRDefault="00D80461" w:rsidP="002F075E">
      <w:r w:rsidRPr="00F05A8A">
        <w:lastRenderedPageBreak/>
        <w:t xml:space="preserve">Un élément important de cette approche coordonnée centrée sur la sensibilisation a été le renforcement des capacités internes et la mise en œuvre de campagnes de marketing numérique en vue d'atteindre de nouveaux publics. Le passage aux manifestations virtuelles en 2020 et 2021, l'application effective du marketing numérique et un travail de promotion à l'échelle de l'UIT ont permis d'accroître de manière significative la participation aux diverses manifestations des Secteurs et du Secrétariat général. Des milliers de nouveaux experts ont pris part aux webinaires organisés par l'Union et ont téléchargé les publications et les nouvelles de l'UIT. Il sera fondamental de mobiliser cette communauté grandissante pour élargir la composition de l'UIT dans les prochaines années. </w:t>
      </w:r>
    </w:p>
    <w:p w14:paraId="38FE712D" w14:textId="77777777" w:rsidR="00D80461" w:rsidRPr="00F05A8A" w:rsidRDefault="00D80461" w:rsidP="002F075E">
      <w:pPr>
        <w:pStyle w:val="Headingb"/>
        <w:rPr>
          <w:rFonts w:eastAsia="Calibri"/>
        </w:rPr>
      </w:pPr>
      <w:bookmarkStart w:id="484" w:name="_Toc95387541"/>
      <w:r w:rsidRPr="00F05A8A">
        <w:rPr>
          <w:rFonts w:eastAsia="Calibri"/>
        </w:rPr>
        <w:t>Le nombre de membres de l'UIT a progressé</w:t>
      </w:r>
      <w:bookmarkEnd w:id="484"/>
    </w:p>
    <w:p w14:paraId="14489707" w14:textId="77777777" w:rsidR="00D80461" w:rsidRPr="00F05A8A" w:rsidRDefault="00D80461" w:rsidP="002F075E">
      <w:pPr>
        <w:spacing w:after="240"/>
        <w:rPr>
          <w:rFonts w:eastAsia="Calibri"/>
        </w:rPr>
      </w:pPr>
      <w:r w:rsidRPr="00F05A8A">
        <w:rPr>
          <w:rFonts w:eastAsia="Calibri"/>
        </w:rPr>
        <w:t>La participation et la fidélisation des membres actuels sont également des éléments clé de la stratégie. L'amélioration de l'analyse des données, des sondages et des rapports aide le Secrétariat à mieux comprendre les besoins et les intérêts des membres ainsi que leur participation, notamment en identifiant les domaines pouvant être améliorés et les membres "à risques". De cette façon, le Secrétariat peut mieux cibler ses efforts, compte tenu de ses ressources limitées. Il a par ailleurs mis en avant les travaux menés par les membres dans des articles publiés sur la page ITU News et dans la revue Nouvelles de l'UIT.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0FB4B473" w14:textId="77777777" w:rsidTr="00142C01">
        <w:tc>
          <w:tcPr>
            <w:tcW w:w="9629" w:type="dxa"/>
            <w:shd w:val="clear" w:color="auto" w:fill="DBE5F1" w:themeFill="accent1" w:themeFillTint="33"/>
          </w:tcPr>
          <w:p w14:paraId="3FD6AC8D" w14:textId="77777777" w:rsidR="00D80461" w:rsidRPr="00F05A8A" w:rsidRDefault="00D80461" w:rsidP="002F075E">
            <w:pPr>
              <w:spacing w:after="120"/>
              <w:rPr>
                <w:b/>
                <w:bCs/>
                <w:sz w:val="22"/>
                <w:szCs w:val="22"/>
                <w:u w:val="single"/>
              </w:rPr>
            </w:pPr>
            <w:bookmarkStart w:id="485" w:name="lt_pId868"/>
            <w:r w:rsidRPr="00F05A8A">
              <w:rPr>
                <w:b/>
                <w:bCs/>
                <w:sz w:val="22"/>
                <w:szCs w:val="22"/>
                <w:u w:val="single"/>
              </w:rPr>
              <w:t>Encadré 1</w:t>
            </w:r>
            <w:bookmarkEnd w:id="485"/>
            <w:r w:rsidRPr="00F05A8A">
              <w:rPr>
                <w:b/>
                <w:bCs/>
                <w:sz w:val="22"/>
                <w:szCs w:val="22"/>
                <w:u w:val="single"/>
              </w:rPr>
              <w:t>: Enquête menée auprès des membres de l'UIT en 2021</w:t>
            </w:r>
          </w:p>
          <w:p w14:paraId="29A6823A" w14:textId="77777777" w:rsidR="00D80461" w:rsidRPr="00F05A8A" w:rsidRDefault="00D80461" w:rsidP="002F075E">
            <w:pPr>
              <w:pStyle w:val="enumlev1"/>
              <w:ind w:left="0" w:firstLine="0"/>
              <w:rPr>
                <w:sz w:val="22"/>
                <w:szCs w:val="22"/>
              </w:rPr>
            </w:pPr>
            <w:r w:rsidRPr="00F05A8A">
              <w:rPr>
                <w:b/>
                <w:bCs/>
                <w:sz w:val="22"/>
                <w:szCs w:val="22"/>
                <w:u w:val="single"/>
              </w:rPr>
              <w:t>Taux de réponse élevé: 21% des membres de l'UIT issus de 55 pays. Bonne représentation des Secteurs, des catégories et des régions.</w:t>
            </w:r>
          </w:p>
          <w:p w14:paraId="73DEBF36" w14:textId="77777777" w:rsidR="00D80461" w:rsidRPr="00F05A8A" w:rsidRDefault="00D80461" w:rsidP="002F075E">
            <w:pPr>
              <w:pStyle w:val="enumlev1"/>
              <w:rPr>
                <w:sz w:val="22"/>
                <w:szCs w:val="22"/>
              </w:rPr>
            </w:pPr>
            <w:r w:rsidRPr="00F05A8A">
              <w:rPr>
                <w:sz w:val="22"/>
                <w:szCs w:val="22"/>
              </w:rPr>
              <w:t>•</w:t>
            </w:r>
            <w:r w:rsidRPr="00F05A8A">
              <w:rPr>
                <w:sz w:val="22"/>
                <w:szCs w:val="22"/>
              </w:rPr>
              <w:tab/>
              <w:t xml:space="preserve">Niveau de satisfaction très élevé: </w:t>
            </w:r>
          </w:p>
          <w:p w14:paraId="435A7A25" w14:textId="77777777" w:rsidR="00D80461" w:rsidRPr="00F05A8A" w:rsidRDefault="00D80461" w:rsidP="002F075E">
            <w:pPr>
              <w:pStyle w:val="enumlev2"/>
              <w:rPr>
                <w:sz w:val="22"/>
                <w:szCs w:val="22"/>
              </w:rPr>
            </w:pPr>
            <w:r w:rsidRPr="00F05A8A">
              <w:rPr>
                <w:sz w:val="22"/>
                <w:szCs w:val="22"/>
              </w:rPr>
              <w:t>−</w:t>
            </w:r>
            <w:r w:rsidRPr="00F05A8A">
              <w:rPr>
                <w:sz w:val="22"/>
                <w:szCs w:val="22"/>
              </w:rPr>
              <w:tab/>
            </w:r>
            <w:r w:rsidRPr="00F05A8A">
              <w:rPr>
                <w:b/>
                <w:bCs/>
                <w:sz w:val="22"/>
                <w:szCs w:val="22"/>
              </w:rPr>
              <w:t>96,3%</w:t>
            </w:r>
            <w:r w:rsidRPr="00F05A8A">
              <w:rPr>
                <w:sz w:val="22"/>
                <w:szCs w:val="22"/>
              </w:rPr>
              <w:t xml:space="preserve"> (</w:t>
            </w:r>
            <w:r w:rsidRPr="00F05A8A">
              <w:rPr>
                <w:b/>
                <w:bCs/>
                <w:sz w:val="22"/>
                <w:szCs w:val="22"/>
              </w:rPr>
              <w:t>98% en 2020) des membres ayant répondu se disent satisfaits/très satisfaits de l'UIT</w:t>
            </w:r>
          </w:p>
          <w:p w14:paraId="010CBD47" w14:textId="77777777" w:rsidR="00D80461" w:rsidRPr="00F05A8A" w:rsidRDefault="00D80461" w:rsidP="002F075E">
            <w:pPr>
              <w:pStyle w:val="enumlev2"/>
              <w:rPr>
                <w:sz w:val="22"/>
                <w:szCs w:val="22"/>
              </w:rPr>
            </w:pPr>
            <w:r w:rsidRPr="00F05A8A">
              <w:rPr>
                <w:sz w:val="22"/>
                <w:szCs w:val="22"/>
              </w:rPr>
              <w:t>−</w:t>
            </w:r>
            <w:r w:rsidRPr="00F05A8A">
              <w:rPr>
                <w:sz w:val="22"/>
                <w:szCs w:val="22"/>
              </w:rPr>
              <w:tab/>
            </w:r>
            <w:r w:rsidRPr="00F05A8A">
              <w:rPr>
                <w:b/>
                <w:bCs/>
                <w:sz w:val="22"/>
                <w:szCs w:val="22"/>
              </w:rPr>
              <w:t>98,1%</w:t>
            </w:r>
            <w:r w:rsidRPr="00F05A8A">
              <w:rPr>
                <w:sz w:val="22"/>
                <w:szCs w:val="22"/>
              </w:rPr>
              <w:t xml:space="preserve"> (</w:t>
            </w:r>
            <w:r w:rsidRPr="00F05A8A">
              <w:rPr>
                <w:b/>
                <w:bCs/>
                <w:sz w:val="22"/>
                <w:szCs w:val="22"/>
              </w:rPr>
              <w:t>99% en 2020) des membres se disent satisfaits/très satisfaits des avantages qu'ils retirent de leur statut de membre.</w:t>
            </w:r>
          </w:p>
          <w:p w14:paraId="60C60C7B" w14:textId="77777777" w:rsidR="00D80461" w:rsidRPr="00F05A8A" w:rsidRDefault="00D80461" w:rsidP="002F075E">
            <w:pPr>
              <w:pStyle w:val="enumlev1"/>
              <w:rPr>
                <w:sz w:val="22"/>
                <w:szCs w:val="22"/>
              </w:rPr>
            </w:pPr>
            <w:r w:rsidRPr="00F05A8A">
              <w:rPr>
                <w:sz w:val="22"/>
                <w:szCs w:val="22"/>
              </w:rPr>
              <w:t>•</w:t>
            </w:r>
            <w:r w:rsidRPr="00F05A8A">
              <w:rPr>
                <w:sz w:val="22"/>
                <w:szCs w:val="22"/>
              </w:rPr>
              <w:tab/>
              <w:t xml:space="preserve">Principaux centres d'intérêt: </w:t>
            </w:r>
          </w:p>
          <w:p w14:paraId="28D9B3A9" w14:textId="77777777" w:rsidR="00D80461" w:rsidRPr="00F05A8A" w:rsidRDefault="00D80461" w:rsidP="002F075E">
            <w:pPr>
              <w:pStyle w:val="enumlev2"/>
              <w:rPr>
                <w:sz w:val="22"/>
                <w:szCs w:val="22"/>
              </w:rPr>
            </w:pPr>
            <w:r w:rsidRPr="00F05A8A">
              <w:rPr>
                <w:sz w:val="22"/>
                <w:szCs w:val="22"/>
              </w:rPr>
              <w:t>−</w:t>
            </w:r>
            <w:r w:rsidRPr="00F05A8A">
              <w:rPr>
                <w:sz w:val="22"/>
                <w:szCs w:val="22"/>
              </w:rPr>
              <w:tab/>
            </w:r>
            <w:r w:rsidRPr="00F05A8A">
              <w:rPr>
                <w:b/>
                <w:bCs/>
                <w:sz w:val="22"/>
                <w:szCs w:val="22"/>
              </w:rPr>
              <w:t>5G</w:t>
            </w:r>
            <w:r w:rsidRPr="00F05A8A">
              <w:rPr>
                <w:sz w:val="22"/>
                <w:szCs w:val="22"/>
              </w:rPr>
              <w:t xml:space="preserve"> (66%, 71% en 2020), </w:t>
            </w:r>
            <w:r w:rsidRPr="00F05A8A">
              <w:rPr>
                <w:b/>
                <w:bCs/>
                <w:sz w:val="22"/>
                <w:szCs w:val="22"/>
              </w:rPr>
              <w:t>normes</w:t>
            </w:r>
            <w:r w:rsidRPr="00F05A8A">
              <w:rPr>
                <w:sz w:val="22"/>
                <w:szCs w:val="22"/>
              </w:rPr>
              <w:t xml:space="preserve"> (53%, 57% en 2020), </w:t>
            </w:r>
            <w:r w:rsidRPr="00F05A8A">
              <w:rPr>
                <w:b/>
                <w:bCs/>
                <w:sz w:val="22"/>
                <w:szCs w:val="22"/>
              </w:rPr>
              <w:t>Internet des objets</w:t>
            </w:r>
            <w:r w:rsidRPr="00F05A8A">
              <w:rPr>
                <w:sz w:val="22"/>
                <w:szCs w:val="22"/>
              </w:rPr>
              <w:t xml:space="preserve"> (54%), </w:t>
            </w:r>
            <w:r w:rsidRPr="00F05A8A">
              <w:rPr>
                <w:b/>
                <w:bCs/>
                <w:sz w:val="22"/>
                <w:szCs w:val="22"/>
              </w:rPr>
              <w:t>intelligence artificielle</w:t>
            </w:r>
            <w:r w:rsidRPr="00F05A8A">
              <w:rPr>
                <w:sz w:val="22"/>
                <w:szCs w:val="22"/>
              </w:rPr>
              <w:t xml:space="preserve"> (38%, 50% en 2020), </w:t>
            </w:r>
            <w:r w:rsidRPr="00F05A8A">
              <w:rPr>
                <w:b/>
                <w:bCs/>
                <w:sz w:val="22"/>
                <w:szCs w:val="22"/>
              </w:rPr>
              <w:t>villes intelligentes</w:t>
            </w:r>
            <w:r w:rsidRPr="00F05A8A">
              <w:rPr>
                <w:sz w:val="22"/>
                <w:szCs w:val="22"/>
              </w:rPr>
              <w:t xml:space="preserve"> (35%, 37% en 2020), </w:t>
            </w:r>
            <w:r w:rsidRPr="00F05A8A">
              <w:rPr>
                <w:b/>
                <w:bCs/>
                <w:sz w:val="22"/>
                <w:szCs w:val="22"/>
              </w:rPr>
              <w:t>transformation numérique</w:t>
            </w:r>
            <w:r w:rsidRPr="00F05A8A">
              <w:rPr>
                <w:sz w:val="22"/>
                <w:szCs w:val="22"/>
              </w:rPr>
              <w:t xml:space="preserve"> (35%, 37% en 2020),</w:t>
            </w:r>
            <w:r w:rsidRPr="00F05A8A">
              <w:rPr>
                <w:b/>
                <w:bCs/>
                <w:sz w:val="22"/>
                <w:szCs w:val="22"/>
              </w:rPr>
              <w:t xml:space="preserve"> infrastructure</w:t>
            </w:r>
            <w:r w:rsidRPr="00F05A8A">
              <w:rPr>
                <w:sz w:val="22"/>
                <w:szCs w:val="22"/>
              </w:rPr>
              <w:t xml:space="preserve"> (35%, stable), </w:t>
            </w:r>
            <w:r w:rsidRPr="00F05A8A">
              <w:rPr>
                <w:b/>
                <w:bCs/>
                <w:sz w:val="22"/>
                <w:szCs w:val="22"/>
              </w:rPr>
              <w:t>cybersécurité</w:t>
            </w:r>
            <w:r w:rsidRPr="00F05A8A">
              <w:rPr>
                <w:sz w:val="22"/>
                <w:szCs w:val="22"/>
              </w:rPr>
              <w:t xml:space="preserve"> (35%, 34% en 2020) </w:t>
            </w:r>
            <w:r w:rsidRPr="00F05A8A">
              <w:rPr>
                <w:bCs/>
                <w:sz w:val="22"/>
                <w:szCs w:val="22"/>
              </w:rPr>
              <w:t xml:space="preserve">et </w:t>
            </w:r>
            <w:r w:rsidRPr="00F05A8A">
              <w:rPr>
                <w:b/>
                <w:bCs/>
                <w:sz w:val="22"/>
                <w:szCs w:val="22"/>
              </w:rPr>
              <w:t xml:space="preserve">services par satellite </w:t>
            </w:r>
            <w:r w:rsidRPr="00F05A8A">
              <w:rPr>
                <w:sz w:val="22"/>
                <w:szCs w:val="22"/>
              </w:rPr>
              <w:t>(34%, 32% en 2020).</w:t>
            </w:r>
          </w:p>
          <w:p w14:paraId="42CE2BB1" w14:textId="77777777" w:rsidR="00D80461" w:rsidRPr="00F05A8A" w:rsidRDefault="00D80461" w:rsidP="002F075E">
            <w:pPr>
              <w:pStyle w:val="enumlev1"/>
              <w:rPr>
                <w:sz w:val="22"/>
                <w:szCs w:val="22"/>
              </w:rPr>
            </w:pPr>
            <w:r w:rsidRPr="00F05A8A">
              <w:rPr>
                <w:sz w:val="22"/>
                <w:szCs w:val="22"/>
              </w:rPr>
              <w:t>•</w:t>
            </w:r>
            <w:r w:rsidRPr="00F05A8A">
              <w:rPr>
                <w:sz w:val="22"/>
                <w:szCs w:val="22"/>
              </w:rPr>
              <w:tab/>
              <w:t>62% des membres ayant répondu ont participé à un minimum d'une réunion/manifestation et à un maximum de cinq réunions/manifestations en 2021; 49% des répondants déclarent avoir participé davantage aux manifestations de l'UIT en raison de la pandémie de COVID-19 et du passage du format physique au format virtuel. Cette tendance va certainement se poursuivre, puisque 44% des membres ayant répondu prévoient de participer davantage ces deux prochaines années (seulement 6% prévoient de réduire leur participation).</w:t>
            </w:r>
          </w:p>
          <w:p w14:paraId="7A6F0235" w14:textId="77777777" w:rsidR="00D80461" w:rsidRPr="00F05A8A" w:rsidRDefault="00D80461" w:rsidP="002F075E">
            <w:pPr>
              <w:pStyle w:val="enumlev1"/>
              <w:spacing w:after="120"/>
              <w:rPr>
                <w:sz w:val="22"/>
                <w:szCs w:val="22"/>
              </w:rPr>
            </w:pPr>
            <w:r w:rsidRPr="00F05A8A">
              <w:rPr>
                <w:sz w:val="22"/>
                <w:szCs w:val="22"/>
              </w:rPr>
              <w:t>•</w:t>
            </w:r>
            <w:r w:rsidRPr="00F05A8A">
              <w:rPr>
                <w:sz w:val="22"/>
                <w:szCs w:val="22"/>
              </w:rPr>
              <w:tab/>
              <w:t>74% des répondants prévoient de participer aux travaux des commissions d'études en 2022, 53% de participer à des webinaires, à des ateliers et à des séminaires, 36% de participer à des manifestations mondiales et 35% de participer à des manifestations régionales.</w:t>
            </w:r>
          </w:p>
        </w:tc>
      </w:tr>
    </w:tbl>
    <w:p w14:paraId="1470AD4B" w14:textId="77777777" w:rsidR="00F804E5" w:rsidRPr="00F05A8A" w:rsidRDefault="00F804E5" w:rsidP="002F075E">
      <w:pPr>
        <w:spacing w:before="240"/>
      </w:pPr>
      <w:bookmarkStart w:id="486" w:name="lt_pId884"/>
      <w:r w:rsidRPr="00F05A8A">
        <w:br w:type="page"/>
      </w:r>
    </w:p>
    <w:p w14:paraId="227B69BC" w14:textId="71062970" w:rsidR="00D80461" w:rsidRPr="00F05A8A" w:rsidRDefault="00D80461" w:rsidP="002F075E">
      <w:pPr>
        <w:spacing w:before="240"/>
      </w:pPr>
      <w:r w:rsidRPr="00F05A8A">
        <w:lastRenderedPageBreak/>
        <w:t>Malgré les difficultés liées au COVID, le ralentissement économique mondial et les fusions qui en ont résulté dans le secteur, le nombre de membre de l'UIT est resté stable – il a même progressé, pour atteindre un nouveau record de 9</w:t>
      </w:r>
      <w:r w:rsidR="00BA70FE" w:rsidRPr="00F05A8A">
        <w:t>51</w:t>
      </w:r>
      <w:r w:rsidRPr="00F05A8A">
        <w:t xml:space="preserve"> entités et 1 28</w:t>
      </w:r>
      <w:r w:rsidR="00BA70FE" w:rsidRPr="00F05A8A">
        <w:t>3</w:t>
      </w:r>
      <w:r w:rsidRPr="00F05A8A">
        <w:t xml:space="preserve"> membres dans les trois Secteurs au </w:t>
      </w:r>
      <w:r w:rsidR="00BA70FE" w:rsidRPr="00F05A8A">
        <w:t>30 avril 2022</w:t>
      </w:r>
      <w:r w:rsidRPr="00F05A8A">
        <w:t xml:space="preserve"> (voir le tableau ci-dessous pour plus de précisions en fonction des secteurs et des catégories de membres).</w:t>
      </w:r>
      <w:bookmarkEnd w:id="486"/>
    </w:p>
    <w:p w14:paraId="73940F7C" w14:textId="335BAD65" w:rsidR="00D80461" w:rsidRPr="00F05A8A" w:rsidRDefault="00D80461" w:rsidP="00A4263D">
      <w:pPr>
        <w:spacing w:after="120"/>
      </w:pPr>
      <w:bookmarkStart w:id="487" w:name="_Toc41032111"/>
      <w:bookmarkStart w:id="488" w:name="_Toc72845099"/>
      <w:bookmarkStart w:id="489" w:name="_Toc72846433"/>
      <w:bookmarkStart w:id="490" w:name="_Toc72846673"/>
      <w:bookmarkStart w:id="491" w:name="_Toc95387542"/>
      <w:r w:rsidRPr="00F05A8A">
        <w:t xml:space="preserve">Nombre de membres par Secteur/catégorie </w:t>
      </w:r>
      <w:r w:rsidRPr="00F05A8A">
        <w:rPr>
          <w:bCs/>
        </w:rPr>
        <w:t>(2018-202</w:t>
      </w:r>
      <w:r w:rsidR="00BA70FE" w:rsidRPr="00F05A8A">
        <w:rPr>
          <w:bCs/>
        </w:rPr>
        <w:t>2</w:t>
      </w:r>
      <w:r w:rsidRPr="00F05A8A">
        <w:rPr>
          <w:bCs/>
        </w:rPr>
        <w:t xml:space="preserve">, </w:t>
      </w:r>
      <w:r w:rsidRPr="00F05A8A">
        <w:rPr>
          <w:rFonts w:eastAsia="Calibri"/>
          <w:bCs/>
        </w:rPr>
        <w:t xml:space="preserve">au </w:t>
      </w:r>
      <w:r w:rsidR="00BA70FE" w:rsidRPr="00F05A8A">
        <w:rPr>
          <w:rFonts w:eastAsia="Calibri"/>
          <w:bCs/>
        </w:rPr>
        <w:t>30 avril 2022</w:t>
      </w:r>
      <w:r w:rsidRPr="00F05A8A">
        <w:rPr>
          <w:bCs/>
        </w:rPr>
        <w:t>)</w:t>
      </w:r>
      <w:bookmarkEnd w:id="487"/>
      <w:bookmarkEnd w:id="488"/>
      <w:bookmarkEnd w:id="489"/>
      <w:bookmarkEnd w:id="490"/>
      <w:bookmarkEnd w:id="491"/>
    </w:p>
    <w:p w14:paraId="2D4B57E7" w14:textId="533398AD" w:rsidR="00BA70FE" w:rsidRPr="00F05A8A" w:rsidRDefault="00A4263D" w:rsidP="002F075E">
      <w:pPr>
        <w:jc w:val="center"/>
      </w:pPr>
      <w:r w:rsidRPr="00F05A8A">
        <w:rPr>
          <w:lang w:eastAsia="fr-FR"/>
        </w:rPr>
        <mc:AlternateContent>
          <mc:Choice Requires="wps">
            <w:drawing>
              <wp:anchor distT="0" distB="0" distL="114300" distR="114300" simplePos="0" relativeHeight="251718656" behindDoc="0" locked="0" layoutInCell="1" allowOverlap="1" wp14:anchorId="1C26C293" wp14:editId="7A9B21AA">
                <wp:simplePos x="0" y="0"/>
                <wp:positionH relativeFrom="margin">
                  <wp:posOffset>1467817</wp:posOffset>
                </wp:positionH>
                <wp:positionV relativeFrom="paragraph">
                  <wp:posOffset>1455337</wp:posOffset>
                </wp:positionV>
                <wp:extent cx="824199" cy="21717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824199" cy="217170"/>
                        </a:xfrm>
                        <a:prstGeom prst="rect">
                          <a:avLst/>
                        </a:prstGeom>
                        <a:solidFill>
                          <a:schemeClr val="lt1"/>
                        </a:solidFill>
                        <a:ln w="6350">
                          <a:noFill/>
                        </a:ln>
                      </wps:spPr>
                      <wps:txbx>
                        <w:txbxContent>
                          <w:p w14:paraId="2049F4A3" w14:textId="77777777" w:rsidR="00756EAD" w:rsidRPr="008A0E3E" w:rsidRDefault="00756EAD" w:rsidP="00D80461">
                            <w:pPr>
                              <w:spacing w:before="0"/>
                              <w:rPr>
                                <w:sz w:val="2"/>
                                <w:szCs w:val="2"/>
                              </w:rPr>
                            </w:pPr>
                            <w:r w:rsidRPr="001D629D">
                              <w:rPr>
                                <w:sz w:val="14"/>
                                <w:szCs w:val="14"/>
                              </w:rPr>
                              <w:t>Établissements</w:t>
                            </w:r>
                            <w:r w:rsidRPr="001D629D">
                              <w:rPr>
                                <w:sz w:val="14"/>
                                <w:szCs w:val="14"/>
                              </w:rPr>
                              <w:br/>
                              <w:t>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6C293" id="_x0000_t202" coordsize="21600,21600" o:spt="202" path="m,l,21600r21600,l21600,xe">
                <v:stroke joinstyle="miter"/>
                <v:path gradientshapeok="t" o:connecttype="rect"/>
              </v:shapetype>
              <v:shape id="Text Box 54" o:spid="_x0000_s1026" type="#_x0000_t202" style="position:absolute;left:0;text-align:left;margin-left:115.6pt;margin-top:114.6pt;width:64.9pt;height:17.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" fillcolor="white [3201]" stroked="f" strokeweight=".5pt">
                <v:textbox inset="0,0,0,0">
                  <w:txbxContent>
                    <w:p w14:paraId="2049F4A3" w14:textId="77777777" w:rsidR="00756EAD" w:rsidRPr="008A0E3E" w:rsidRDefault="00756EAD" w:rsidP="00D80461">
                      <w:pPr>
                        <w:spacing w:before="0"/>
                        <w:rPr>
                          <w:sz w:val="2"/>
                          <w:szCs w:val="2"/>
                        </w:rPr>
                      </w:pPr>
                      <w:r w:rsidRPr="001D629D">
                        <w:rPr>
                          <w:sz w:val="14"/>
                          <w:szCs w:val="14"/>
                        </w:rPr>
                        <w:t>Établissements</w:t>
                      </w:r>
                      <w:r w:rsidRPr="001D629D">
                        <w:rPr>
                          <w:sz w:val="14"/>
                          <w:szCs w:val="14"/>
                        </w:rPr>
                        <w:br/>
                        <w:t>universitaires</w:t>
                      </w:r>
                    </w:p>
                  </w:txbxContent>
                </v:textbox>
                <w10:wrap anchorx="margin"/>
              </v:shape>
            </w:pict>
          </mc:Fallback>
        </mc:AlternateContent>
      </w:r>
      <w:r w:rsidRPr="00F05A8A">
        <w:rPr>
          <w:lang w:eastAsia="fr-FR"/>
        </w:rPr>
        <mc:AlternateContent>
          <mc:Choice Requires="wps">
            <w:drawing>
              <wp:anchor distT="0" distB="0" distL="114300" distR="114300" simplePos="0" relativeHeight="251717632" behindDoc="0" locked="0" layoutInCell="1" allowOverlap="1" wp14:anchorId="144FAA91" wp14:editId="106AFF1E">
                <wp:simplePos x="0" y="0"/>
                <wp:positionH relativeFrom="margin">
                  <wp:posOffset>822656</wp:posOffset>
                </wp:positionH>
                <wp:positionV relativeFrom="paragraph">
                  <wp:posOffset>1459175</wp:posOffset>
                </wp:positionV>
                <wp:extent cx="644577" cy="217357"/>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644577" cy="217357"/>
                        </a:xfrm>
                        <a:prstGeom prst="rect">
                          <a:avLst/>
                        </a:prstGeom>
                        <a:solidFill>
                          <a:schemeClr val="lt1"/>
                        </a:solidFill>
                        <a:ln w="6350">
                          <a:noFill/>
                        </a:ln>
                      </wps:spPr>
                      <wps:txbx>
                        <w:txbxContent>
                          <w:p w14:paraId="7D082465" w14:textId="77777777" w:rsidR="00756EAD" w:rsidRPr="008A0E3E" w:rsidRDefault="00756EAD" w:rsidP="00D80461">
                            <w:pPr>
                              <w:spacing w:before="0"/>
                              <w:rPr>
                                <w:sz w:val="2"/>
                                <w:szCs w:val="2"/>
                              </w:rPr>
                            </w:pPr>
                            <w:r w:rsidRPr="001D629D">
                              <w:rPr>
                                <w:sz w:val="14"/>
                                <w:szCs w:val="14"/>
                              </w:rPr>
                              <w:t>Établissements</w:t>
                            </w:r>
                            <w:r w:rsidRPr="001D629D">
                              <w:rPr>
                                <w:sz w:val="14"/>
                                <w:szCs w:val="14"/>
                              </w:rPr>
                              <w:br/>
                              <w:t>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AA91" id="Text Box 53" o:spid="_x0000_s1027" type="#_x0000_t202" style="position:absolute;left:0;text-align:left;margin-left:64.8pt;margin-top:114.9pt;width:50.75pt;height:17.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" fillcolor="white [3201]" stroked="f" strokeweight=".5pt">
                <v:textbox inset="0,0,0,0">
                  <w:txbxContent>
                    <w:p w14:paraId="7D082465" w14:textId="77777777" w:rsidR="00756EAD" w:rsidRPr="008A0E3E" w:rsidRDefault="00756EAD" w:rsidP="00D80461">
                      <w:pPr>
                        <w:spacing w:before="0"/>
                        <w:rPr>
                          <w:sz w:val="2"/>
                          <w:szCs w:val="2"/>
                        </w:rPr>
                      </w:pPr>
                      <w:r w:rsidRPr="001D629D">
                        <w:rPr>
                          <w:sz w:val="14"/>
                          <w:szCs w:val="14"/>
                        </w:rPr>
                        <w:t>Établissements</w:t>
                      </w:r>
                      <w:r w:rsidRPr="001D629D">
                        <w:rPr>
                          <w:sz w:val="14"/>
                          <w:szCs w:val="14"/>
                        </w:rPr>
                        <w:br/>
                        <w:t>universitaires</w:t>
                      </w:r>
                    </w:p>
                  </w:txbxContent>
                </v:textbox>
                <w10:wrap anchorx="margin"/>
              </v:shape>
            </w:pict>
          </mc:Fallback>
        </mc:AlternateContent>
      </w:r>
      <w:r w:rsidRPr="00F05A8A">
        <w:rPr>
          <w:lang w:eastAsia="fr-FR"/>
        </w:rPr>
        <mc:AlternateContent>
          <mc:Choice Requires="wps">
            <w:drawing>
              <wp:anchor distT="0" distB="0" distL="114300" distR="114300" simplePos="0" relativeHeight="251712512" behindDoc="0" locked="0" layoutInCell="1" allowOverlap="1" wp14:anchorId="5608F177" wp14:editId="3B1F0892">
                <wp:simplePos x="0" y="0"/>
                <wp:positionH relativeFrom="column">
                  <wp:posOffset>1465856</wp:posOffset>
                </wp:positionH>
                <wp:positionV relativeFrom="paragraph">
                  <wp:posOffset>512390</wp:posOffset>
                </wp:positionV>
                <wp:extent cx="666750" cy="189781"/>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666750" cy="189781"/>
                        </a:xfrm>
                        <a:prstGeom prst="rect">
                          <a:avLst/>
                        </a:prstGeom>
                        <a:solidFill>
                          <a:schemeClr val="lt1"/>
                        </a:solidFill>
                        <a:ln w="6350">
                          <a:noFill/>
                        </a:ln>
                      </wps:spPr>
                      <wps:txbx>
                        <w:txbxContent>
                          <w:p w14:paraId="32CB101C" w14:textId="77777777" w:rsidR="00756EAD" w:rsidRPr="008A0E3E" w:rsidRDefault="00756EAD" w:rsidP="00D80461">
                            <w:pPr>
                              <w:spacing w:before="0"/>
                              <w:rPr>
                                <w:sz w:val="2"/>
                                <w:szCs w:val="2"/>
                              </w:rPr>
                            </w:pPr>
                            <w:r w:rsidRPr="001D629D">
                              <w:rPr>
                                <w:sz w:val="18"/>
                                <w:szCs w:val="18"/>
                              </w:rPr>
                              <w:t>Associé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8F177" id="Text Box 24" o:spid="_x0000_s1028" type="#_x0000_t202" style="position:absolute;left:0;text-align:left;margin-left:115.4pt;margin-top:40.35pt;width:52.5pt;height:1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" fillcolor="white [3201]" stroked="f" strokeweight=".5pt">
                <v:textbox inset="0,0,0,0">
                  <w:txbxContent>
                    <w:p w14:paraId="32CB101C" w14:textId="77777777" w:rsidR="00756EAD" w:rsidRPr="008A0E3E" w:rsidRDefault="00756EAD" w:rsidP="00D80461">
                      <w:pPr>
                        <w:spacing w:before="0"/>
                        <w:rPr>
                          <w:sz w:val="2"/>
                          <w:szCs w:val="2"/>
                        </w:rPr>
                      </w:pPr>
                      <w:r w:rsidRPr="001D629D">
                        <w:rPr>
                          <w:sz w:val="18"/>
                          <w:szCs w:val="18"/>
                        </w:rPr>
                        <w:t>Associé</w:t>
                      </w:r>
                    </w:p>
                  </w:txbxContent>
                </v:textbox>
              </v:shape>
            </w:pict>
          </mc:Fallback>
        </mc:AlternateContent>
      </w:r>
      <w:r w:rsidR="00BA70FE" w:rsidRPr="00F05A8A">
        <w:rPr>
          <w:lang w:eastAsia="fr-FR"/>
        </w:rPr>
        <mc:AlternateContent>
          <mc:Choice Requires="wps">
            <w:drawing>
              <wp:anchor distT="0" distB="0" distL="114300" distR="114300" simplePos="0" relativeHeight="251710464" behindDoc="0" locked="0" layoutInCell="1" allowOverlap="1" wp14:anchorId="3C70749F" wp14:editId="5E0F9C4C">
                <wp:simplePos x="0" y="0"/>
                <wp:positionH relativeFrom="column">
                  <wp:posOffset>1462393</wp:posOffset>
                </wp:positionH>
                <wp:positionV relativeFrom="paragraph">
                  <wp:posOffset>125730</wp:posOffset>
                </wp:positionV>
                <wp:extent cx="936625" cy="164465"/>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936625" cy="164465"/>
                        </a:xfrm>
                        <a:prstGeom prst="rect">
                          <a:avLst/>
                        </a:prstGeom>
                        <a:solidFill>
                          <a:schemeClr val="lt1"/>
                        </a:solidFill>
                        <a:ln w="6350">
                          <a:noFill/>
                        </a:ln>
                      </wps:spPr>
                      <wps:txbx>
                        <w:txbxContent>
                          <w:p w14:paraId="609837A4" w14:textId="77777777" w:rsidR="00756EAD" w:rsidRPr="008A0E3E" w:rsidRDefault="00756EAD" w:rsidP="00D80461">
                            <w:pPr>
                              <w:spacing w:before="0"/>
                              <w:rPr>
                                <w:sz w:val="2"/>
                                <w:szCs w:val="2"/>
                              </w:rPr>
                            </w:pPr>
                            <w:r>
                              <w:rPr>
                                <w:sz w:val="20"/>
                              </w:rPr>
                              <w:t>Catégorie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749F" id="Text Box 18" o:spid="_x0000_s1029" type="#_x0000_t202" style="position:absolute;left:0;text-align:left;margin-left:115.15pt;margin-top:9.9pt;width:73.75pt;height:1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" fillcolor="white [3201]" stroked="f" strokeweight=".5pt">
                <v:textbox inset="0,0,0,0">
                  <w:txbxContent>
                    <w:p w14:paraId="609837A4" w14:textId="77777777" w:rsidR="00756EAD" w:rsidRPr="008A0E3E" w:rsidRDefault="00756EAD" w:rsidP="00D80461">
                      <w:pPr>
                        <w:spacing w:before="0"/>
                        <w:rPr>
                          <w:sz w:val="2"/>
                          <w:szCs w:val="2"/>
                        </w:rPr>
                      </w:pPr>
                      <w:r>
                        <w:rPr>
                          <w:sz w:val="20"/>
                        </w:rPr>
                        <w:t>Catégorie</w:t>
                      </w:r>
                    </w:p>
                  </w:txbxContent>
                </v:textbox>
              </v:shape>
            </w:pict>
          </mc:Fallback>
        </mc:AlternateContent>
      </w:r>
      <w:r w:rsidR="00BA70FE" w:rsidRPr="00F05A8A">
        <w:rPr>
          <w:lang w:eastAsia="fr-FR"/>
        </w:rPr>
        <mc:AlternateContent>
          <mc:Choice Requires="wps">
            <w:drawing>
              <wp:anchor distT="0" distB="0" distL="114300" distR="114300" simplePos="0" relativeHeight="251716608" behindDoc="0" locked="0" layoutInCell="1" allowOverlap="1" wp14:anchorId="2F8EF075" wp14:editId="2B122096">
                <wp:simplePos x="0" y="0"/>
                <wp:positionH relativeFrom="column">
                  <wp:posOffset>1461135</wp:posOffset>
                </wp:positionH>
                <wp:positionV relativeFrom="paragraph">
                  <wp:posOffset>1298707</wp:posOffset>
                </wp:positionV>
                <wp:extent cx="936885" cy="164891"/>
                <wp:effectExtent l="0" t="0" r="0" b="6985"/>
                <wp:wrapNone/>
                <wp:docPr id="52" name="Text Box 52"/>
                <wp:cNvGraphicFramePr/>
                <a:graphic xmlns:a="http://schemas.openxmlformats.org/drawingml/2006/main">
                  <a:graphicData uri="http://schemas.microsoft.com/office/word/2010/wordprocessingShape">
                    <wps:wsp>
                      <wps:cNvSpPr txBox="1"/>
                      <wps:spPr>
                        <a:xfrm>
                          <a:off x="0" y="0"/>
                          <a:ext cx="936885" cy="164891"/>
                        </a:xfrm>
                        <a:prstGeom prst="rect">
                          <a:avLst/>
                        </a:prstGeom>
                        <a:solidFill>
                          <a:schemeClr val="lt1"/>
                        </a:solidFill>
                        <a:ln w="6350">
                          <a:noFill/>
                        </a:ln>
                      </wps:spPr>
                      <wps:txbx>
                        <w:txbxContent>
                          <w:p w14:paraId="2C18392E" w14:textId="77777777" w:rsidR="00756EAD" w:rsidRPr="008A0E3E" w:rsidRDefault="00756EAD" w:rsidP="00D80461">
                            <w:pPr>
                              <w:spacing w:before="0"/>
                              <w:rPr>
                                <w:sz w:val="2"/>
                                <w:szCs w:val="2"/>
                              </w:rPr>
                            </w:pPr>
                            <w:r w:rsidRPr="001D629D">
                              <w:rPr>
                                <w:sz w:val="18"/>
                                <w:szCs w:val="18"/>
                              </w:rPr>
                              <w:t>Associé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F075" id="Text Box 52" o:spid="_x0000_s1030" type="#_x0000_t202" style="position:absolute;left:0;text-align:left;margin-left:115.05pt;margin-top:102.25pt;width:73.75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" fillcolor="white [3201]" stroked="f" strokeweight=".5pt">
                <v:textbox inset="0,0,0,0">
                  <w:txbxContent>
                    <w:p w14:paraId="2C18392E" w14:textId="77777777" w:rsidR="00756EAD" w:rsidRPr="008A0E3E" w:rsidRDefault="00756EAD" w:rsidP="00D80461">
                      <w:pPr>
                        <w:spacing w:before="0"/>
                        <w:rPr>
                          <w:sz w:val="2"/>
                          <w:szCs w:val="2"/>
                        </w:rPr>
                      </w:pPr>
                      <w:r w:rsidRPr="001D629D">
                        <w:rPr>
                          <w:sz w:val="18"/>
                          <w:szCs w:val="18"/>
                        </w:rPr>
                        <w:t>Associé</w:t>
                      </w:r>
                    </w:p>
                  </w:txbxContent>
                </v:textbox>
              </v:shape>
            </w:pict>
          </mc:Fallback>
        </mc:AlternateContent>
      </w:r>
      <w:r w:rsidR="00BA70FE" w:rsidRPr="00F05A8A">
        <w:rPr>
          <w:lang w:eastAsia="fr-FR"/>
        </w:rPr>
        <mc:AlternateContent>
          <mc:Choice Requires="wps">
            <w:drawing>
              <wp:anchor distT="0" distB="0" distL="114300" distR="114300" simplePos="0" relativeHeight="251708416" behindDoc="0" locked="0" layoutInCell="1" allowOverlap="1" wp14:anchorId="125DCF2D" wp14:editId="598B56ED">
                <wp:simplePos x="0" y="0"/>
                <wp:positionH relativeFrom="column">
                  <wp:posOffset>887095</wp:posOffset>
                </wp:positionH>
                <wp:positionV relativeFrom="paragraph">
                  <wp:posOffset>1109980</wp:posOffset>
                </wp:positionV>
                <wp:extent cx="434340" cy="187325"/>
                <wp:effectExtent l="0" t="0" r="3810" b="3175"/>
                <wp:wrapNone/>
                <wp:docPr id="14" name="Text Box 14"/>
                <wp:cNvGraphicFramePr/>
                <a:graphic xmlns:a="http://schemas.openxmlformats.org/drawingml/2006/main">
                  <a:graphicData uri="http://schemas.microsoft.com/office/word/2010/wordprocessingShape">
                    <wps:wsp>
                      <wps:cNvSpPr txBox="1"/>
                      <wps:spPr>
                        <a:xfrm>
                          <a:off x="0" y="0"/>
                          <a:ext cx="434340" cy="187325"/>
                        </a:xfrm>
                        <a:prstGeom prst="rect">
                          <a:avLst/>
                        </a:prstGeom>
                        <a:solidFill>
                          <a:schemeClr val="lt1"/>
                        </a:solidFill>
                        <a:ln w="6350">
                          <a:noFill/>
                        </a:ln>
                      </wps:spPr>
                      <wps:txbx>
                        <w:txbxContent>
                          <w:p w14:paraId="025278C5" w14:textId="77777777" w:rsidR="00756EAD" w:rsidRPr="008A0E3E" w:rsidRDefault="00756EAD" w:rsidP="00D80461">
                            <w:pPr>
                              <w:spacing w:before="0"/>
                              <w:rPr>
                                <w:sz w:val="2"/>
                                <w:szCs w:val="2"/>
                              </w:rPr>
                            </w:pPr>
                            <w:r w:rsidRPr="001D629D">
                              <w:rPr>
                                <w:sz w:val="20"/>
                              </w:rPr>
                              <w:t>UIT-D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DCF2D" id="Text Box 14" o:spid="_x0000_s1031" type="#_x0000_t202" style="position:absolute;left:0;text-align:left;margin-left:69.85pt;margin-top:87.4pt;width:34.2pt;height:1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" fillcolor="white [3201]" stroked="f" strokeweight=".5pt">
                <v:textbox inset="0,0,0,0">
                  <w:txbxContent>
                    <w:p w14:paraId="025278C5" w14:textId="77777777" w:rsidR="00756EAD" w:rsidRPr="008A0E3E" w:rsidRDefault="00756EAD" w:rsidP="00D80461">
                      <w:pPr>
                        <w:spacing w:before="0"/>
                        <w:rPr>
                          <w:sz w:val="2"/>
                          <w:szCs w:val="2"/>
                        </w:rPr>
                      </w:pPr>
                      <w:r w:rsidRPr="001D629D">
                        <w:rPr>
                          <w:sz w:val="20"/>
                        </w:rPr>
                        <w:t>UIT-D</w:t>
                      </w:r>
                    </w:p>
                  </w:txbxContent>
                </v:textbox>
              </v:shape>
            </w:pict>
          </mc:Fallback>
        </mc:AlternateContent>
      </w:r>
      <w:r w:rsidR="00BA70FE" w:rsidRPr="00F05A8A">
        <w:rPr>
          <w:lang w:eastAsia="fr-FR"/>
        </w:rPr>
        <mc:AlternateContent>
          <mc:Choice Requires="wps">
            <w:drawing>
              <wp:anchor distT="0" distB="0" distL="114300" distR="114300" simplePos="0" relativeHeight="251714560" behindDoc="0" locked="0" layoutInCell="1" allowOverlap="1" wp14:anchorId="63E0E53F" wp14:editId="41F928C7">
                <wp:simplePos x="0" y="0"/>
                <wp:positionH relativeFrom="column">
                  <wp:posOffset>1333500</wp:posOffset>
                </wp:positionH>
                <wp:positionV relativeFrom="paragraph">
                  <wp:posOffset>1124154</wp:posOffset>
                </wp:positionV>
                <wp:extent cx="1064042" cy="172387"/>
                <wp:effectExtent l="0" t="0" r="3175" b="0"/>
                <wp:wrapNone/>
                <wp:docPr id="50" name="Text Box 50"/>
                <wp:cNvGraphicFramePr/>
                <a:graphic xmlns:a="http://schemas.openxmlformats.org/drawingml/2006/main">
                  <a:graphicData uri="http://schemas.microsoft.com/office/word/2010/wordprocessingShape">
                    <wps:wsp>
                      <wps:cNvSpPr txBox="1"/>
                      <wps:spPr>
                        <a:xfrm>
                          <a:off x="0" y="0"/>
                          <a:ext cx="1064042" cy="172387"/>
                        </a:xfrm>
                        <a:prstGeom prst="rect">
                          <a:avLst/>
                        </a:prstGeom>
                        <a:solidFill>
                          <a:schemeClr val="lt1"/>
                        </a:solidFill>
                        <a:ln w="6350">
                          <a:noFill/>
                        </a:ln>
                      </wps:spPr>
                      <wps:txbx>
                        <w:txbxContent>
                          <w:p w14:paraId="66066C21" w14:textId="77777777" w:rsidR="00756EAD" w:rsidRPr="001D629D" w:rsidRDefault="00756EAD" w:rsidP="00D80461">
                            <w:pPr>
                              <w:spacing w:before="0"/>
                              <w:jc w:val="right"/>
                              <w:rPr>
                                <w:sz w:val="16"/>
                                <w:szCs w:val="16"/>
                              </w:rPr>
                            </w:pPr>
                            <w:r w:rsidRPr="001D629D">
                              <w:rPr>
                                <w:sz w:val="18"/>
                                <w:szCs w:val="18"/>
                              </w:rPr>
                              <w:t>Membre du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E53F" id="Text Box 50" o:spid="_x0000_s1032" type="#_x0000_t202" style="position:absolute;left:0;text-align:left;margin-left:105pt;margin-top:88.5pt;width:83.8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" fillcolor="white [3201]" stroked="f" strokeweight=".5pt">
                <v:textbox inset="0,0,0,0">
                  <w:txbxContent>
                    <w:p w14:paraId="66066C21" w14:textId="77777777" w:rsidR="00756EAD" w:rsidRPr="001D629D" w:rsidRDefault="00756EAD" w:rsidP="00D80461">
                      <w:pPr>
                        <w:spacing w:before="0"/>
                        <w:jc w:val="right"/>
                        <w:rPr>
                          <w:sz w:val="16"/>
                          <w:szCs w:val="16"/>
                        </w:rPr>
                      </w:pPr>
                      <w:r w:rsidRPr="001D629D">
                        <w:rPr>
                          <w:sz w:val="18"/>
                          <w:szCs w:val="18"/>
                        </w:rPr>
                        <w:t>Membre du Secteur</w:t>
                      </w:r>
                    </w:p>
                  </w:txbxContent>
                </v:textbox>
              </v:shape>
            </w:pict>
          </mc:Fallback>
        </mc:AlternateContent>
      </w:r>
      <w:r w:rsidR="00BA70FE" w:rsidRPr="00F05A8A">
        <w:rPr>
          <w:lang w:eastAsia="fr-FR"/>
        </w:rPr>
        <mc:AlternateContent>
          <mc:Choice Requires="wps">
            <w:drawing>
              <wp:anchor distT="0" distB="0" distL="114300" distR="114300" simplePos="0" relativeHeight="251715584" behindDoc="0" locked="0" layoutInCell="1" allowOverlap="1" wp14:anchorId="79B6C97C" wp14:editId="3D7211A4">
                <wp:simplePos x="0" y="0"/>
                <wp:positionH relativeFrom="column">
                  <wp:posOffset>1459865</wp:posOffset>
                </wp:positionH>
                <wp:positionV relativeFrom="paragraph">
                  <wp:posOffset>881296</wp:posOffset>
                </wp:positionV>
                <wp:extent cx="936885" cy="164891"/>
                <wp:effectExtent l="0" t="0" r="0" b="6985"/>
                <wp:wrapNone/>
                <wp:docPr id="51" name="Text Box 51"/>
                <wp:cNvGraphicFramePr/>
                <a:graphic xmlns:a="http://schemas.openxmlformats.org/drawingml/2006/main">
                  <a:graphicData uri="http://schemas.microsoft.com/office/word/2010/wordprocessingShape">
                    <wps:wsp>
                      <wps:cNvSpPr txBox="1"/>
                      <wps:spPr>
                        <a:xfrm>
                          <a:off x="0" y="0"/>
                          <a:ext cx="936885" cy="164891"/>
                        </a:xfrm>
                        <a:prstGeom prst="rect">
                          <a:avLst/>
                        </a:prstGeom>
                        <a:solidFill>
                          <a:schemeClr val="lt1"/>
                        </a:solidFill>
                        <a:ln w="6350">
                          <a:noFill/>
                        </a:ln>
                      </wps:spPr>
                      <wps:txbx>
                        <w:txbxContent>
                          <w:p w14:paraId="301EA09D" w14:textId="77777777" w:rsidR="00756EAD" w:rsidRPr="008A0E3E" w:rsidRDefault="00756EAD" w:rsidP="00D80461">
                            <w:pPr>
                              <w:spacing w:before="0"/>
                              <w:rPr>
                                <w:sz w:val="2"/>
                                <w:szCs w:val="2"/>
                              </w:rPr>
                            </w:pPr>
                            <w:r w:rsidRPr="001D629D">
                              <w:rPr>
                                <w:sz w:val="18"/>
                                <w:szCs w:val="18"/>
                              </w:rPr>
                              <w:t>Associé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C97C" id="Text Box 51" o:spid="_x0000_s1033" type="#_x0000_t202" style="position:absolute;left:0;text-align:left;margin-left:114.95pt;margin-top:69.4pt;width:73.75pt;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" fillcolor="white [3201]" stroked="f" strokeweight=".5pt">
                <v:textbox inset="0,0,0,0">
                  <w:txbxContent>
                    <w:p w14:paraId="301EA09D" w14:textId="77777777" w:rsidR="00756EAD" w:rsidRPr="008A0E3E" w:rsidRDefault="00756EAD" w:rsidP="00D80461">
                      <w:pPr>
                        <w:spacing w:before="0"/>
                        <w:rPr>
                          <w:sz w:val="2"/>
                          <w:szCs w:val="2"/>
                        </w:rPr>
                      </w:pPr>
                      <w:r w:rsidRPr="001D629D">
                        <w:rPr>
                          <w:sz w:val="18"/>
                          <w:szCs w:val="18"/>
                        </w:rPr>
                        <w:t>Associé</w:t>
                      </w:r>
                    </w:p>
                  </w:txbxContent>
                </v:textbox>
              </v:shape>
            </w:pict>
          </mc:Fallback>
        </mc:AlternateContent>
      </w:r>
      <w:r w:rsidR="00BA70FE" w:rsidRPr="00F05A8A">
        <w:rPr>
          <w:lang w:eastAsia="fr-FR"/>
        </w:rPr>
        <mc:AlternateContent>
          <mc:Choice Requires="wps">
            <w:drawing>
              <wp:anchor distT="0" distB="0" distL="114300" distR="114300" simplePos="0" relativeHeight="251713536" behindDoc="0" locked="0" layoutInCell="1" allowOverlap="1" wp14:anchorId="716350FF" wp14:editId="27B7533A">
                <wp:simplePos x="0" y="0"/>
                <wp:positionH relativeFrom="column">
                  <wp:posOffset>1325245</wp:posOffset>
                </wp:positionH>
                <wp:positionV relativeFrom="paragraph">
                  <wp:posOffset>714183</wp:posOffset>
                </wp:positionV>
                <wp:extent cx="1064042" cy="172387"/>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1064042" cy="172387"/>
                        </a:xfrm>
                        <a:prstGeom prst="rect">
                          <a:avLst/>
                        </a:prstGeom>
                        <a:solidFill>
                          <a:schemeClr val="lt1"/>
                        </a:solidFill>
                        <a:ln w="6350">
                          <a:noFill/>
                        </a:ln>
                      </wps:spPr>
                      <wps:txbx>
                        <w:txbxContent>
                          <w:p w14:paraId="78C3A0BB" w14:textId="77777777" w:rsidR="00756EAD" w:rsidRPr="001D629D" w:rsidRDefault="00756EAD" w:rsidP="00D80461">
                            <w:pPr>
                              <w:spacing w:before="0"/>
                              <w:jc w:val="right"/>
                              <w:rPr>
                                <w:sz w:val="18"/>
                                <w:szCs w:val="18"/>
                              </w:rPr>
                            </w:pPr>
                            <w:r w:rsidRPr="001D629D">
                              <w:rPr>
                                <w:sz w:val="18"/>
                                <w:szCs w:val="18"/>
                              </w:rPr>
                              <w:t>Membre du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50FF" id="Text Box 49" o:spid="_x0000_s1034" type="#_x0000_t202" style="position:absolute;left:0;text-align:left;margin-left:104.35pt;margin-top:56.25pt;width:83.8pt;height:1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" fillcolor="white [3201]" stroked="f" strokeweight=".5pt">
                <v:textbox inset="0,0,0,0">
                  <w:txbxContent>
                    <w:p w14:paraId="78C3A0BB" w14:textId="77777777" w:rsidR="00756EAD" w:rsidRPr="001D629D" w:rsidRDefault="00756EAD" w:rsidP="00D80461">
                      <w:pPr>
                        <w:spacing w:before="0"/>
                        <w:jc w:val="right"/>
                        <w:rPr>
                          <w:sz w:val="18"/>
                          <w:szCs w:val="18"/>
                        </w:rPr>
                      </w:pPr>
                      <w:r w:rsidRPr="001D629D">
                        <w:rPr>
                          <w:sz w:val="18"/>
                          <w:szCs w:val="18"/>
                        </w:rPr>
                        <w:t>Membre du Secteur</w:t>
                      </w:r>
                    </w:p>
                  </w:txbxContent>
                </v:textbox>
              </v:shape>
            </w:pict>
          </mc:Fallback>
        </mc:AlternateContent>
      </w:r>
      <w:r w:rsidR="00BA70FE" w:rsidRPr="00F05A8A">
        <w:rPr>
          <w:lang w:eastAsia="fr-FR"/>
        </w:rPr>
        <mc:AlternateContent>
          <mc:Choice Requires="wps">
            <w:drawing>
              <wp:anchor distT="0" distB="0" distL="114300" distR="114300" simplePos="0" relativeHeight="251711488" behindDoc="0" locked="0" layoutInCell="1" allowOverlap="1" wp14:anchorId="6BD74D67" wp14:editId="53D00676">
                <wp:simplePos x="0" y="0"/>
                <wp:positionH relativeFrom="column">
                  <wp:posOffset>1320165</wp:posOffset>
                </wp:positionH>
                <wp:positionV relativeFrom="paragraph">
                  <wp:posOffset>346075</wp:posOffset>
                </wp:positionV>
                <wp:extent cx="1063625" cy="172085"/>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1063625" cy="172085"/>
                        </a:xfrm>
                        <a:prstGeom prst="rect">
                          <a:avLst/>
                        </a:prstGeom>
                        <a:solidFill>
                          <a:schemeClr val="lt1"/>
                        </a:solidFill>
                        <a:ln w="6350">
                          <a:noFill/>
                        </a:ln>
                      </wps:spPr>
                      <wps:txbx>
                        <w:txbxContent>
                          <w:p w14:paraId="2D7A71A2" w14:textId="77777777" w:rsidR="00756EAD" w:rsidRPr="001D629D" w:rsidRDefault="00756EAD" w:rsidP="00D80461">
                            <w:pPr>
                              <w:spacing w:before="0"/>
                              <w:jc w:val="right"/>
                              <w:rPr>
                                <w:sz w:val="18"/>
                                <w:szCs w:val="18"/>
                              </w:rPr>
                            </w:pPr>
                            <w:r w:rsidRPr="001D629D">
                              <w:rPr>
                                <w:sz w:val="18"/>
                                <w:szCs w:val="18"/>
                              </w:rPr>
                              <w:t>Membre du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4D67" id="Text Box 23" o:spid="_x0000_s1035" type="#_x0000_t202" style="position:absolute;left:0;text-align:left;margin-left:103.95pt;margin-top:27.25pt;width:83.75pt;height:1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" fillcolor="white [3201]" stroked="f" strokeweight=".5pt">
                <v:textbox inset="0,0,0,0">
                  <w:txbxContent>
                    <w:p w14:paraId="2D7A71A2" w14:textId="77777777" w:rsidR="00756EAD" w:rsidRPr="001D629D" w:rsidRDefault="00756EAD" w:rsidP="00D80461">
                      <w:pPr>
                        <w:spacing w:before="0"/>
                        <w:jc w:val="right"/>
                        <w:rPr>
                          <w:sz w:val="18"/>
                          <w:szCs w:val="18"/>
                        </w:rPr>
                      </w:pPr>
                      <w:r w:rsidRPr="001D629D">
                        <w:rPr>
                          <w:sz w:val="18"/>
                          <w:szCs w:val="18"/>
                        </w:rPr>
                        <w:t>Membre du Secteur</w:t>
                      </w:r>
                    </w:p>
                  </w:txbxContent>
                </v:textbox>
              </v:shape>
            </w:pict>
          </mc:Fallback>
        </mc:AlternateContent>
      </w:r>
      <w:r w:rsidR="00BA70FE" w:rsidRPr="00F05A8A">
        <w:rPr>
          <w:lang w:eastAsia="fr-FR"/>
        </w:rPr>
        <mc:AlternateContent>
          <mc:Choice Requires="wps">
            <w:drawing>
              <wp:anchor distT="0" distB="0" distL="114300" distR="114300" simplePos="0" relativeHeight="251707392" behindDoc="0" locked="0" layoutInCell="1" allowOverlap="1" wp14:anchorId="1D0C97ED" wp14:editId="38186F9E">
                <wp:simplePos x="0" y="0"/>
                <wp:positionH relativeFrom="column">
                  <wp:posOffset>881380</wp:posOffset>
                </wp:positionH>
                <wp:positionV relativeFrom="paragraph">
                  <wp:posOffset>740062</wp:posOffset>
                </wp:positionV>
                <wp:extent cx="434340" cy="254635"/>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434340" cy="254635"/>
                        </a:xfrm>
                        <a:prstGeom prst="rect">
                          <a:avLst/>
                        </a:prstGeom>
                        <a:solidFill>
                          <a:schemeClr val="lt1"/>
                        </a:solidFill>
                        <a:ln w="6350">
                          <a:noFill/>
                        </a:ln>
                      </wps:spPr>
                      <wps:txbx>
                        <w:txbxContent>
                          <w:p w14:paraId="2E006530" w14:textId="77777777" w:rsidR="00756EAD" w:rsidRPr="008A0E3E" w:rsidRDefault="00756EAD" w:rsidP="00D80461">
                            <w:pPr>
                              <w:spacing w:before="0"/>
                              <w:rPr>
                                <w:sz w:val="2"/>
                                <w:szCs w:val="2"/>
                              </w:rPr>
                            </w:pPr>
                            <w:r w:rsidRPr="001D629D">
                              <w:rPr>
                                <w:sz w:val="20"/>
                              </w:rPr>
                              <w:t>UIT-T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97ED" id="Text Box 11" o:spid="_x0000_s1036" type="#_x0000_t202" style="position:absolute;left:0;text-align:left;margin-left:69.4pt;margin-top:58.25pt;width:34.2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" fillcolor="white [3201]" stroked="f" strokeweight=".5pt">
                <v:textbox inset="0,0,0,0">
                  <w:txbxContent>
                    <w:p w14:paraId="2E006530" w14:textId="77777777" w:rsidR="00756EAD" w:rsidRPr="008A0E3E" w:rsidRDefault="00756EAD" w:rsidP="00D80461">
                      <w:pPr>
                        <w:spacing w:before="0"/>
                        <w:rPr>
                          <w:sz w:val="2"/>
                          <w:szCs w:val="2"/>
                        </w:rPr>
                      </w:pPr>
                      <w:r w:rsidRPr="001D629D">
                        <w:rPr>
                          <w:sz w:val="20"/>
                        </w:rPr>
                        <w:t>UIT-T</w:t>
                      </w:r>
                    </w:p>
                  </w:txbxContent>
                </v:textbox>
              </v:shape>
            </w:pict>
          </mc:Fallback>
        </mc:AlternateContent>
      </w:r>
      <w:r w:rsidR="00BA70FE" w:rsidRPr="00F05A8A">
        <w:rPr>
          <w:lang w:eastAsia="fr-FR"/>
        </w:rPr>
        <mc:AlternateContent>
          <mc:Choice Requires="wps">
            <w:drawing>
              <wp:anchor distT="0" distB="0" distL="114300" distR="114300" simplePos="0" relativeHeight="251706368" behindDoc="0" locked="0" layoutInCell="1" allowOverlap="1" wp14:anchorId="6C6A9144" wp14:editId="3336CBC4">
                <wp:simplePos x="0" y="0"/>
                <wp:positionH relativeFrom="column">
                  <wp:posOffset>885190</wp:posOffset>
                </wp:positionH>
                <wp:positionV relativeFrom="paragraph">
                  <wp:posOffset>344985</wp:posOffset>
                </wp:positionV>
                <wp:extent cx="434340" cy="20955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434340" cy="209550"/>
                        </a:xfrm>
                        <a:prstGeom prst="rect">
                          <a:avLst/>
                        </a:prstGeom>
                        <a:solidFill>
                          <a:schemeClr val="lt1"/>
                        </a:solidFill>
                        <a:ln w="6350">
                          <a:noFill/>
                        </a:ln>
                      </wps:spPr>
                      <wps:txbx>
                        <w:txbxContent>
                          <w:p w14:paraId="479FBB6E" w14:textId="77777777" w:rsidR="00756EAD" w:rsidRPr="008A0E3E" w:rsidRDefault="00756EAD" w:rsidP="00D80461">
                            <w:pPr>
                              <w:spacing w:before="0"/>
                              <w:rPr>
                                <w:sz w:val="2"/>
                                <w:szCs w:val="2"/>
                              </w:rPr>
                            </w:pPr>
                            <w:r w:rsidRPr="001D629D">
                              <w:rPr>
                                <w:sz w:val="20"/>
                              </w:rPr>
                              <w:t>UIT-R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9144" id="Text Box 1" o:spid="_x0000_s1037" type="#_x0000_t202" style="position:absolute;left:0;text-align:left;margin-left:69.7pt;margin-top:27.15pt;width:34.2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" fillcolor="white [3201]" stroked="f" strokeweight=".5pt">
                <v:textbox inset="0,0,0,0">
                  <w:txbxContent>
                    <w:p w14:paraId="479FBB6E" w14:textId="77777777" w:rsidR="00756EAD" w:rsidRPr="008A0E3E" w:rsidRDefault="00756EAD" w:rsidP="00D80461">
                      <w:pPr>
                        <w:spacing w:before="0"/>
                        <w:rPr>
                          <w:sz w:val="2"/>
                          <w:szCs w:val="2"/>
                        </w:rPr>
                      </w:pPr>
                      <w:r w:rsidRPr="001D629D">
                        <w:rPr>
                          <w:sz w:val="20"/>
                        </w:rPr>
                        <w:t>UIT-R</w:t>
                      </w:r>
                    </w:p>
                  </w:txbxContent>
                </v:textbox>
              </v:shape>
            </w:pict>
          </mc:Fallback>
        </mc:AlternateContent>
      </w:r>
      <w:r w:rsidR="00BA70FE" w:rsidRPr="00F05A8A">
        <w:rPr>
          <w:lang w:eastAsia="fr-FR"/>
        </w:rPr>
        <mc:AlternateContent>
          <mc:Choice Requires="wps">
            <w:drawing>
              <wp:anchor distT="0" distB="0" distL="114300" distR="114300" simplePos="0" relativeHeight="251709440" behindDoc="0" locked="0" layoutInCell="1" allowOverlap="1" wp14:anchorId="5C47638D" wp14:editId="67C18983">
                <wp:simplePos x="0" y="0"/>
                <wp:positionH relativeFrom="column">
                  <wp:posOffset>885190</wp:posOffset>
                </wp:positionH>
                <wp:positionV relativeFrom="paragraph">
                  <wp:posOffset>140970</wp:posOffset>
                </wp:positionV>
                <wp:extent cx="576580" cy="15684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6580" cy="156845"/>
                        </a:xfrm>
                        <a:prstGeom prst="rect">
                          <a:avLst/>
                        </a:prstGeom>
                        <a:solidFill>
                          <a:schemeClr val="lt1"/>
                        </a:solidFill>
                        <a:ln w="6350">
                          <a:noFill/>
                        </a:ln>
                      </wps:spPr>
                      <wps:txbx>
                        <w:txbxContent>
                          <w:p w14:paraId="7E6018D7" w14:textId="77777777" w:rsidR="00756EAD" w:rsidRPr="008A0E3E" w:rsidRDefault="00756EAD" w:rsidP="00D80461">
                            <w:pPr>
                              <w:spacing w:before="0"/>
                              <w:jc w:val="both"/>
                              <w:rPr>
                                <w:sz w:val="2"/>
                                <w:szCs w:val="2"/>
                              </w:rPr>
                            </w:pPr>
                            <w:r w:rsidRPr="00245BCA">
                              <w:rPr>
                                <w:sz w:val="20"/>
                              </w:rPr>
                              <w:t>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7638D" id="Text Box 16" o:spid="_x0000_s1038" type="#_x0000_t202" style="position:absolute;left:0;text-align:left;margin-left:69.7pt;margin-top:11.1pt;width:45.4pt;height:12.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" fillcolor="white [3201]" stroked="f" strokeweight=".5pt">
                <v:textbox inset="0,0,0,0">
                  <w:txbxContent>
                    <w:p w14:paraId="7E6018D7" w14:textId="77777777" w:rsidR="00756EAD" w:rsidRPr="008A0E3E" w:rsidRDefault="00756EAD" w:rsidP="00D80461">
                      <w:pPr>
                        <w:spacing w:before="0"/>
                        <w:jc w:val="both"/>
                        <w:rPr>
                          <w:sz w:val="2"/>
                          <w:szCs w:val="2"/>
                        </w:rPr>
                      </w:pPr>
                      <w:r w:rsidRPr="00245BCA">
                        <w:rPr>
                          <w:sz w:val="20"/>
                        </w:rPr>
                        <w:t>Secteur</w:t>
                      </w:r>
                    </w:p>
                  </w:txbxContent>
                </v:textbox>
              </v:shape>
            </w:pict>
          </mc:Fallback>
        </mc:AlternateContent>
      </w:r>
      <w:r w:rsidR="00BA70FE" w:rsidRPr="00F05A8A">
        <w:rPr>
          <w:lang w:eastAsia="fr-FR"/>
        </w:rPr>
        <w:drawing>
          <wp:inline distT="0" distB="0" distL="0" distR="0" wp14:anchorId="4625352E" wp14:editId="1C75FF8D">
            <wp:extent cx="4460875" cy="1654175"/>
            <wp:effectExtent l="0" t="0" r="15875" b="317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367" r:link="rId368">
                      <a:extLst>
                        <a:ext uri="{28A0092B-C50C-407E-A947-70E740481C1C}">
                          <a14:useLocalDpi xmlns:a14="http://schemas.microsoft.com/office/drawing/2010/main" val="0"/>
                        </a:ext>
                      </a:extLst>
                    </a:blip>
                    <a:srcRect/>
                    <a:stretch>
                      <a:fillRect/>
                    </a:stretch>
                  </pic:blipFill>
                  <pic:spPr bwMode="auto">
                    <a:xfrm>
                      <a:off x="0" y="0"/>
                      <a:ext cx="4460875" cy="1654175"/>
                    </a:xfrm>
                    <a:prstGeom prst="rect">
                      <a:avLst/>
                    </a:prstGeom>
                    <a:noFill/>
                    <a:ln>
                      <a:noFill/>
                    </a:ln>
                  </pic:spPr>
                </pic:pic>
              </a:graphicData>
            </a:graphic>
          </wp:inline>
        </w:drawing>
      </w:r>
    </w:p>
    <w:p w14:paraId="63A1A0C6" w14:textId="77777777" w:rsidR="00D80461" w:rsidRPr="00F05A8A" w:rsidRDefault="00D80461" w:rsidP="002F075E">
      <w:pPr>
        <w:pStyle w:val="Headingb"/>
      </w:pPr>
      <w:bookmarkStart w:id="492" w:name="_Toc41032112"/>
      <w:bookmarkStart w:id="493" w:name="_Toc72845100"/>
      <w:bookmarkStart w:id="494" w:name="_Toc72846434"/>
      <w:bookmarkStart w:id="495" w:name="_Toc72846674"/>
      <w:bookmarkStart w:id="496" w:name="_Toc95387543"/>
      <w:bookmarkStart w:id="497" w:name="lt_pId887"/>
      <w:r w:rsidRPr="00F05A8A">
        <w:t>Faciliter la participation des PME aux travaux de l'UIT</w:t>
      </w:r>
      <w:bookmarkEnd w:id="492"/>
      <w:bookmarkEnd w:id="493"/>
      <w:bookmarkEnd w:id="494"/>
      <w:bookmarkEnd w:id="495"/>
      <w:bookmarkEnd w:id="496"/>
    </w:p>
    <w:bookmarkEnd w:id="497"/>
    <w:p w14:paraId="4AA1B055" w14:textId="44CE2E70" w:rsidR="00D80461" w:rsidRPr="00F05A8A" w:rsidRDefault="00D80461" w:rsidP="002F075E">
      <w:r w:rsidRPr="00F05A8A">
        <w:t xml:space="preserve">Selon les estimations, </w:t>
      </w:r>
      <w:r w:rsidR="00554F44" w:rsidRPr="00F05A8A">
        <w:t>10</w:t>
      </w:r>
      <w:r w:rsidRPr="00F05A8A">
        <w:t xml:space="preserve">% des membres actuels de l'UIT, principalement des Associés, pourraient être considérés comme des PME. En vertu de la Résolution 209 (Dubaï, 2018) de la Conférence de plénipotentiaires, avec l'appui des États Membres, l'UIT a encouragé les PME remplissant les conditions requises à participer aux travaux des Commissions d'études de l'UIT-R et de l'UIT-T en tant qu'Associés, moyennant une contribution financière réduite. Depuis l'introduction de cette possibilité de participation financière réduite en 2020, grâce aux campagnes intenses de communication et de marketing numérique, </w:t>
      </w:r>
      <w:r w:rsidR="00BA70FE" w:rsidRPr="00F05A8A">
        <w:t>61</w:t>
      </w:r>
      <w:r w:rsidRPr="00F05A8A">
        <w:t xml:space="preserve"> PME sont devenues membres de l'UIT, </w:t>
      </w:r>
      <w:r w:rsidR="00E72AB9" w:rsidRPr="00F05A8A">
        <w:t>47</w:t>
      </w:r>
      <w:r w:rsidRPr="00F05A8A">
        <w:t xml:space="preserve"> prenant part aux travaux de l'UIT-T et </w:t>
      </w:r>
      <w:r w:rsidR="00BD452F" w:rsidRPr="00F05A8A">
        <w:t xml:space="preserve">14 </w:t>
      </w:r>
      <w:r w:rsidRPr="00F05A8A">
        <w:t>à ceux de l'UIT-R (au </w:t>
      </w:r>
      <w:r w:rsidR="00E72AB9" w:rsidRPr="00F05A8A">
        <w:t>30 avril 2022</w:t>
      </w:r>
      <w:r w:rsidRPr="00F05A8A">
        <w:t>).</w:t>
      </w:r>
    </w:p>
    <w:p w14:paraId="37F69601" w14:textId="77777777" w:rsidR="00D80461" w:rsidRPr="00F05A8A" w:rsidRDefault="00D80461" w:rsidP="002F075E">
      <w:r w:rsidRPr="00F05A8A">
        <w:t>Les PME des pays développés remplissant les conditions requises acquittent désormais 3 975 CHF par an, et les PME des pays en développement acquittent 1 987,50 CHF par an pour participer aux travaux d'une commission d'études, contre des droits standard de 10 600 CHF pour l'UIT-R et l'UIT</w:t>
      </w:r>
      <w:r w:rsidRPr="00F05A8A">
        <w:noBreakHyphen/>
        <w:t>T. Les Associés participant aux travaux des Commissions d'études de l'UIT-D acquittent déjà ces montants. Les États Membres décident si des entreprises remplissent les conditions nécessaires pour être qualifiées de PME en fonction de définitions nationales, mais la Conférence de plénipotentiaires (Dubaï, 2018) a décidé que les entreprises devaient compter 250 employés au maximum et, à sa session de 2019, le Conseil a fixé le montant maximal de leur chiffre d'affaires à 15 millions CHF par an.</w:t>
      </w:r>
    </w:p>
    <w:p w14:paraId="09E57823" w14:textId="6FDF3D82" w:rsidR="00D80461" w:rsidRPr="00F05A8A" w:rsidRDefault="00D80461" w:rsidP="002F075E">
      <w:r w:rsidRPr="00F05A8A">
        <w:t>Outres les commissions d'études et les groupes spécialisés de l'UIT, auxquels les PME peuvent participer, l'UIT compte également des activités et des plates-formes spécialement adaptées aux PME, parmi lesquelles le programme pour les PME (voir la section 1.11), qui comprend des master classes en ligne et les Prix pour les PME dans le cadre d'ITU Digital World, ainsi que le programme de pépinière intelligente de l'UIT, les défis de l'UIT en matière d'innovation, l'usine d'innovations dans le domaine de l'intelligence artificielle au service du bien social et les formations de l'UIT, notamment.</w:t>
      </w:r>
    </w:p>
    <w:p w14:paraId="244064D7" w14:textId="77777777" w:rsidR="00F804E5" w:rsidRPr="00F05A8A" w:rsidRDefault="00F804E5" w:rsidP="002F075E">
      <w:pPr>
        <w:pStyle w:val="Headingb"/>
        <w:rPr>
          <w:rFonts w:eastAsia="Calibri"/>
          <w:lang w:eastAsia="en-GB"/>
        </w:rPr>
      </w:pPr>
      <w:r w:rsidRPr="00F05A8A">
        <w:rPr>
          <w:rFonts w:eastAsia="Calibri"/>
          <w:lang w:eastAsia="en-GB"/>
        </w:rPr>
        <w:br w:type="page"/>
      </w:r>
    </w:p>
    <w:p w14:paraId="71568376" w14:textId="6BC29E50" w:rsidR="00E72AB9" w:rsidRPr="00F05A8A" w:rsidRDefault="007D74F5" w:rsidP="002F075E">
      <w:pPr>
        <w:pStyle w:val="Headingb"/>
        <w:rPr>
          <w:rFonts w:eastAsia="Calibri"/>
          <w:lang w:eastAsia="en-GB"/>
        </w:rPr>
      </w:pPr>
      <w:r w:rsidRPr="00F05A8A">
        <w:rPr>
          <w:rFonts w:eastAsia="Calibri"/>
          <w:lang w:eastAsia="en-GB"/>
        </w:rPr>
        <w:lastRenderedPageBreak/>
        <w:t>Mémorandums d'accord</w:t>
      </w:r>
    </w:p>
    <w:p w14:paraId="5244CFB3" w14:textId="627947FE" w:rsidR="00D026ED" w:rsidRPr="00F05A8A" w:rsidRDefault="00D026ED" w:rsidP="002F075E">
      <w:pPr>
        <w:rPr>
          <w:rFonts w:eastAsia="Calibri"/>
        </w:rPr>
      </w:pPr>
      <w:r w:rsidRPr="00F05A8A">
        <w:rPr>
          <w:rFonts w:eastAsia="Calibri"/>
        </w:rPr>
        <w:t xml:space="preserve">Le Secrétaire général a présenté à la </w:t>
      </w:r>
      <w:r w:rsidR="00292DF2" w:rsidRPr="00F05A8A">
        <w:rPr>
          <w:rFonts w:eastAsia="Calibri"/>
        </w:rPr>
        <w:t>c</w:t>
      </w:r>
      <w:r w:rsidRPr="00F05A8A">
        <w:rPr>
          <w:rFonts w:eastAsia="Calibri"/>
        </w:rPr>
        <w:t xml:space="preserve">onsultation virtuelle des Conseillers de 2021 </w:t>
      </w:r>
      <w:r w:rsidR="00B80E7A" w:rsidRPr="00F05A8A">
        <w:rPr>
          <w:rFonts w:eastAsia="Calibri"/>
        </w:rPr>
        <w:t>(</w:t>
      </w:r>
      <w:r w:rsidR="001A44A7" w:rsidRPr="00F05A8A">
        <w:rPr>
          <w:rFonts w:eastAsia="Calibri"/>
        </w:rPr>
        <w:t>dans</w:t>
      </w:r>
      <w:r w:rsidR="00CF5980" w:rsidRPr="00F05A8A">
        <w:rPr>
          <w:rFonts w:eastAsia="Calibri"/>
        </w:rPr>
        <w:t xml:space="preserve"> </w:t>
      </w:r>
      <w:r w:rsidR="00B80E7A" w:rsidRPr="00F05A8A">
        <w:rPr>
          <w:rFonts w:eastAsia="Calibri"/>
        </w:rPr>
        <w:t xml:space="preserve">un document initialement distribué sous la cote C20/45 en vue d'être soumis à la session de 2020 du Conseil, mais qui n'a </w:t>
      </w:r>
      <w:r w:rsidR="00FD356F" w:rsidRPr="00F05A8A">
        <w:rPr>
          <w:rFonts w:eastAsia="Calibri"/>
        </w:rPr>
        <w:t xml:space="preserve">finalement pas été examiné à </w:t>
      </w:r>
      <w:r w:rsidR="001A44A7" w:rsidRPr="00F05A8A">
        <w:rPr>
          <w:rFonts w:eastAsia="Calibri"/>
        </w:rPr>
        <w:t>cette occasion</w:t>
      </w:r>
      <w:r w:rsidR="00FD356F" w:rsidRPr="00F05A8A">
        <w:rPr>
          <w:rFonts w:eastAsia="Calibri"/>
        </w:rPr>
        <w:t>) une liste des mémorandums d'accord</w:t>
      </w:r>
      <w:r w:rsidR="004A41C0" w:rsidRPr="00F05A8A">
        <w:rPr>
          <w:rFonts w:eastAsia="Calibri"/>
        </w:rPr>
        <w:t xml:space="preserve"> et des accords</w:t>
      </w:r>
      <w:r w:rsidR="00CF5980" w:rsidRPr="00F05A8A">
        <w:rPr>
          <w:rFonts w:eastAsia="Calibri"/>
        </w:rPr>
        <w:t xml:space="preserve"> </w:t>
      </w:r>
      <w:r w:rsidR="00AC50CE" w:rsidRPr="00F05A8A">
        <w:rPr>
          <w:rFonts w:eastAsia="Calibri"/>
        </w:rPr>
        <w:t xml:space="preserve">signés par l'UIT depuis la dernière session </w:t>
      </w:r>
      <w:r w:rsidR="00CE5D2F" w:rsidRPr="00F05A8A">
        <w:rPr>
          <w:rFonts w:eastAsia="Calibri"/>
        </w:rPr>
        <w:t>physique du Conseil</w:t>
      </w:r>
      <w:r w:rsidR="001A44A7" w:rsidRPr="00F05A8A">
        <w:rPr>
          <w:rFonts w:eastAsia="Calibri"/>
        </w:rPr>
        <w:t xml:space="preserve"> tenue </w:t>
      </w:r>
      <w:r w:rsidR="00CE5D2F" w:rsidRPr="00F05A8A">
        <w:rPr>
          <w:rFonts w:eastAsia="Calibri"/>
        </w:rPr>
        <w:t>en</w:t>
      </w:r>
      <w:r w:rsidR="00F804E5" w:rsidRPr="00F05A8A">
        <w:rPr>
          <w:rFonts w:eastAsia="Calibri"/>
        </w:rPr>
        <w:t> </w:t>
      </w:r>
      <w:r w:rsidR="00CE5D2F" w:rsidRPr="00F05A8A">
        <w:rPr>
          <w:rFonts w:eastAsia="Calibri"/>
        </w:rPr>
        <w:t xml:space="preserve">2019, et </w:t>
      </w:r>
      <w:r w:rsidR="001A44A7" w:rsidRPr="00F05A8A">
        <w:rPr>
          <w:rFonts w:eastAsia="Calibri"/>
        </w:rPr>
        <w:t>susceptibles d</w:t>
      </w:r>
      <w:r w:rsidR="00CF5980" w:rsidRPr="00F05A8A">
        <w:rPr>
          <w:rFonts w:eastAsia="Calibri"/>
        </w:rPr>
        <w:t>'</w:t>
      </w:r>
      <w:r w:rsidR="00CE5D2F" w:rsidRPr="00F05A8A">
        <w:rPr>
          <w:rFonts w:eastAsia="Calibri"/>
        </w:rPr>
        <w:t>avoir des incidences financières ou stratégiques pour l'Union (Document</w:t>
      </w:r>
      <w:r w:rsidR="00F804E5" w:rsidRPr="00F05A8A">
        <w:rPr>
          <w:rFonts w:eastAsia="Calibri"/>
        </w:rPr>
        <w:t> </w:t>
      </w:r>
      <w:r w:rsidR="00227EB4" w:rsidRPr="00F05A8A">
        <w:rPr>
          <w:rFonts w:eastAsia="Calibri"/>
        </w:rPr>
        <w:t xml:space="preserve">VCC21/45). </w:t>
      </w:r>
      <w:r w:rsidR="009E4825" w:rsidRPr="00F05A8A">
        <w:rPr>
          <w:rFonts w:eastAsia="Calibri"/>
        </w:rPr>
        <w:t>Tous les mémorandums d'accord et accords figurant dans la liste sont reproduits dans l'annexe dudit document.</w:t>
      </w:r>
    </w:p>
    <w:p w14:paraId="434E05A4" w14:textId="726497E8" w:rsidR="00026984" w:rsidRPr="00F05A8A" w:rsidRDefault="00026984" w:rsidP="002F075E">
      <w:pPr>
        <w:rPr>
          <w:rFonts w:eastAsia="Calibri"/>
        </w:rPr>
      </w:pPr>
      <w:r w:rsidRPr="00F05A8A">
        <w:rPr>
          <w:rFonts w:eastAsia="Calibri"/>
        </w:rPr>
        <w:t>En outre, un exposé oral a été présenté à la session de 2022 du Conseil</w:t>
      </w:r>
      <w:r w:rsidR="001A44A7" w:rsidRPr="00F05A8A">
        <w:rPr>
          <w:rFonts w:eastAsia="Calibri"/>
        </w:rPr>
        <w:t>,</w:t>
      </w:r>
      <w:r w:rsidRPr="00F05A8A">
        <w:rPr>
          <w:rFonts w:eastAsia="Calibri"/>
        </w:rPr>
        <w:t xml:space="preserve"> </w:t>
      </w:r>
      <w:r w:rsidR="00071FEF" w:rsidRPr="00F05A8A">
        <w:rPr>
          <w:rFonts w:eastAsia="Calibri"/>
        </w:rPr>
        <w:t>pour faire</w:t>
      </w:r>
      <w:r w:rsidRPr="00F05A8A">
        <w:rPr>
          <w:rFonts w:eastAsia="Calibri"/>
        </w:rPr>
        <w:t xml:space="preserve"> la synthèse de tous les mémorandums d'accord ayant des incidences financières ou stratégiques (</w:t>
      </w:r>
      <w:r w:rsidR="001A44A7" w:rsidRPr="00F05A8A">
        <w:rPr>
          <w:rFonts w:eastAsia="Calibri"/>
        </w:rPr>
        <w:t>ceux-ci</w:t>
      </w:r>
      <w:r w:rsidR="00CF5980" w:rsidRPr="00F05A8A">
        <w:rPr>
          <w:rFonts w:eastAsia="Calibri"/>
        </w:rPr>
        <w:t xml:space="preserve"> </w:t>
      </w:r>
      <w:r w:rsidRPr="00F05A8A">
        <w:rPr>
          <w:rFonts w:eastAsia="Calibri"/>
        </w:rPr>
        <w:t>sont désormais disponibles sur le Tableau de bord du Conseil</w:t>
      </w:r>
      <w:r w:rsidR="007751D0" w:rsidRPr="00F05A8A">
        <w:rPr>
          <w:rFonts w:eastAsia="Calibri"/>
        </w:rPr>
        <w:t>)</w:t>
      </w:r>
      <w:r w:rsidR="002B63F2" w:rsidRPr="00F05A8A">
        <w:rPr>
          <w:rFonts w:eastAsia="Calibri"/>
        </w:rPr>
        <w:t xml:space="preserve">. </w:t>
      </w:r>
      <w:r w:rsidR="004C6D11" w:rsidRPr="00F05A8A">
        <w:rPr>
          <w:rFonts w:eastAsia="Calibri"/>
        </w:rPr>
        <w:t>Q</w:t>
      </w:r>
      <w:r w:rsidR="002B63F2" w:rsidRPr="00F05A8A">
        <w:rPr>
          <w:rFonts w:eastAsia="Calibri"/>
        </w:rPr>
        <w:t>uatre nouveaux mémorandums d'accord ont été ajoutés en 2022</w:t>
      </w:r>
      <w:r w:rsidR="004C6D11" w:rsidRPr="00F05A8A">
        <w:rPr>
          <w:rFonts w:eastAsia="Calibri"/>
        </w:rPr>
        <w:t>, à savoir</w:t>
      </w:r>
      <w:r w:rsidR="002B63F2" w:rsidRPr="00F05A8A">
        <w:rPr>
          <w:rFonts w:eastAsia="Calibri"/>
        </w:rPr>
        <w:t>:</w:t>
      </w:r>
    </w:p>
    <w:p w14:paraId="1B62D7A8" w14:textId="619C989A" w:rsidR="009153B7" w:rsidRPr="00F05A8A" w:rsidRDefault="00E72AB9" w:rsidP="002F075E">
      <w:pPr>
        <w:pStyle w:val="enumlev1"/>
      </w:pPr>
      <w:r w:rsidRPr="00F05A8A">
        <w:t>•</w:t>
      </w:r>
      <w:r w:rsidRPr="00F05A8A">
        <w:tab/>
      </w:r>
      <w:r w:rsidR="009153B7" w:rsidRPr="00F05A8A">
        <w:t xml:space="preserve">Mémorandum d'accord entre l'UIT et le Ministère de l'information et de la communication (MIC) du Viet Nam </w:t>
      </w:r>
      <w:r w:rsidR="00142C01" w:rsidRPr="00F05A8A">
        <w:t>sur la manifestation Digital World 2021</w:t>
      </w:r>
      <w:r w:rsidR="00F804E5" w:rsidRPr="00F05A8A">
        <w:t>.</w:t>
      </w:r>
    </w:p>
    <w:p w14:paraId="55D647D1" w14:textId="78E13007" w:rsidR="00111A4E" w:rsidRPr="00F05A8A" w:rsidRDefault="00E72AB9" w:rsidP="002F075E">
      <w:pPr>
        <w:pStyle w:val="enumlev1"/>
      </w:pPr>
      <w:r w:rsidRPr="00F05A8A">
        <w:t>•</w:t>
      </w:r>
      <w:r w:rsidR="00F804E5" w:rsidRPr="00F05A8A">
        <w:tab/>
      </w:r>
      <w:r w:rsidR="00811835" w:rsidRPr="00F05A8A">
        <w:t>Mémorandum d'accord entre l'UIT et le PNUD sur le Fonds commun pour les ODD</w:t>
      </w:r>
      <w:r w:rsidR="00F804E5" w:rsidRPr="00F05A8A">
        <w:t>.</w:t>
      </w:r>
    </w:p>
    <w:p w14:paraId="4A4DF88E" w14:textId="7CC94E76" w:rsidR="00811835" w:rsidRPr="00F05A8A" w:rsidRDefault="00E72AB9" w:rsidP="002F075E">
      <w:pPr>
        <w:pStyle w:val="enumlev1"/>
      </w:pPr>
      <w:r w:rsidRPr="00F05A8A">
        <w:t>•</w:t>
      </w:r>
      <w:r w:rsidR="00F804E5" w:rsidRPr="00F05A8A">
        <w:tab/>
      </w:r>
      <w:r w:rsidR="00811835" w:rsidRPr="00F05A8A">
        <w:t xml:space="preserve">Mémorandum d'accord entre l'UIT et le Département de l'infrastructure, des transports, du développement régional et des communications (DITRDC) de l'Australie sur la mise en </w:t>
      </w:r>
      <w:r w:rsidR="00721340" w:rsidRPr="00F05A8A">
        <w:t>œuvre</w:t>
      </w:r>
      <w:r w:rsidR="00811835" w:rsidRPr="00F05A8A">
        <w:t xml:space="preserve"> des initiatives régionales </w:t>
      </w:r>
      <w:r w:rsidR="00721340" w:rsidRPr="00F05A8A">
        <w:t>pour la région Asie-Pacifique</w:t>
      </w:r>
      <w:r w:rsidR="00F804E5" w:rsidRPr="00F05A8A">
        <w:t>.</w:t>
      </w:r>
    </w:p>
    <w:p w14:paraId="6DFB2850" w14:textId="4B5531FF" w:rsidR="00E72AB9" w:rsidRPr="00F05A8A" w:rsidRDefault="00E72AB9" w:rsidP="002F075E">
      <w:pPr>
        <w:pStyle w:val="enumlev1"/>
        <w:rPr>
          <w:rFonts w:eastAsia="Calibri"/>
        </w:rPr>
      </w:pPr>
      <w:r w:rsidRPr="00F05A8A">
        <w:t>•</w:t>
      </w:r>
      <w:r w:rsidR="00F804E5" w:rsidRPr="00F05A8A">
        <w:tab/>
      </w:r>
      <w:r w:rsidR="007D0A71" w:rsidRPr="00F05A8A">
        <w:rPr>
          <w:rFonts w:eastAsia="Calibri"/>
        </w:rPr>
        <w:t>Mémorandum</w:t>
      </w:r>
      <w:r w:rsidR="00111A4E" w:rsidRPr="00F05A8A">
        <w:rPr>
          <w:rFonts w:eastAsia="Calibri"/>
        </w:rPr>
        <w:t xml:space="preserve"> d'accord entre l'UIT et la Fondation des immeubles pour les organisations internationales à Genève (FIPO)</w:t>
      </w:r>
      <w:r w:rsidR="007D0A71" w:rsidRPr="00F05A8A">
        <w:rPr>
          <w:rFonts w:eastAsia="Calibri"/>
        </w:rPr>
        <w:t>, intitulé "</w:t>
      </w:r>
      <w:r w:rsidRPr="00F05A8A">
        <w:rPr>
          <w:rFonts w:eastAsia="Calibri"/>
        </w:rPr>
        <w:t>Contrat de prêt pour les études, la démolition du bâtiment Varembé et la reconstruction d</w:t>
      </w:r>
      <w:r w:rsidR="007D0A71" w:rsidRPr="00F05A8A">
        <w:rPr>
          <w:rFonts w:eastAsia="Calibri"/>
        </w:rPr>
        <w:t>'</w:t>
      </w:r>
      <w:r w:rsidRPr="00F05A8A">
        <w:rPr>
          <w:rFonts w:eastAsia="Calibri"/>
        </w:rPr>
        <w:t>u</w:t>
      </w:r>
      <w:r w:rsidR="007D0A71" w:rsidRPr="00F05A8A">
        <w:rPr>
          <w:rFonts w:eastAsia="Calibri"/>
        </w:rPr>
        <w:t>n</w:t>
      </w:r>
      <w:r w:rsidRPr="00F05A8A">
        <w:rPr>
          <w:rFonts w:eastAsia="Calibri"/>
        </w:rPr>
        <w:t xml:space="preserve"> nouveau bâtiment du siège de l</w:t>
      </w:r>
      <w:r w:rsidR="00CF5980" w:rsidRPr="00F05A8A">
        <w:rPr>
          <w:rFonts w:eastAsia="Calibri"/>
        </w:rPr>
        <w:t>'</w:t>
      </w:r>
      <w:r w:rsidRPr="00F05A8A">
        <w:rPr>
          <w:rFonts w:eastAsia="Calibri"/>
        </w:rPr>
        <w:t>UIT</w:t>
      </w:r>
      <w:r w:rsidR="007D0A71" w:rsidRPr="00F05A8A">
        <w:rPr>
          <w:rFonts w:eastAsia="Calibri"/>
        </w:rPr>
        <w:t>"</w:t>
      </w:r>
      <w:r w:rsidR="000F0D4C" w:rsidRPr="00F05A8A">
        <w:rPr>
          <w:rFonts w:eastAsia="Calibri"/>
        </w:rPr>
        <w:t>.</w:t>
      </w:r>
    </w:p>
    <w:p w14:paraId="5C11BC40" w14:textId="0E21EC30" w:rsidR="007D0A71" w:rsidRPr="00F05A8A" w:rsidRDefault="00E15601" w:rsidP="002F075E">
      <w:pPr>
        <w:pStyle w:val="Figure"/>
        <w:rPr>
          <w:rFonts w:eastAsia="Calibri"/>
        </w:rPr>
      </w:pPr>
      <w:r w:rsidRPr="00F05A8A">
        <w:rPr>
          <w:lang w:eastAsia="fr-FR"/>
        </w:rPr>
        <w:lastRenderedPageBreak/>
        <mc:AlternateContent>
          <mc:Choice Requires="wps">
            <w:drawing>
              <wp:anchor distT="0" distB="0" distL="114300" distR="114300" simplePos="0" relativeHeight="251872256" behindDoc="0" locked="0" layoutInCell="1" allowOverlap="1" wp14:anchorId="2CC0A2D8" wp14:editId="342B72D3">
                <wp:simplePos x="0" y="0"/>
                <wp:positionH relativeFrom="leftMargin">
                  <wp:posOffset>179705</wp:posOffset>
                </wp:positionH>
                <wp:positionV relativeFrom="paragraph">
                  <wp:posOffset>1127760</wp:posOffset>
                </wp:positionV>
                <wp:extent cx="1572266" cy="135213"/>
                <wp:effectExtent l="0" t="5080" r="3810" b="3810"/>
                <wp:wrapNone/>
                <wp:docPr id="203575362" name="Text Box 203575362"/>
                <wp:cNvGraphicFramePr/>
                <a:graphic xmlns:a="http://schemas.openxmlformats.org/drawingml/2006/main">
                  <a:graphicData uri="http://schemas.microsoft.com/office/word/2010/wordprocessingShape">
                    <wps:wsp>
                      <wps:cNvSpPr txBox="1"/>
                      <wps:spPr>
                        <a:xfrm rot="16200000">
                          <a:off x="0" y="0"/>
                          <a:ext cx="1572266" cy="135213"/>
                        </a:xfrm>
                        <a:prstGeom prst="rect">
                          <a:avLst/>
                        </a:prstGeom>
                        <a:solidFill>
                          <a:schemeClr val="lt1"/>
                        </a:solidFill>
                        <a:ln w="6350">
                          <a:noFill/>
                        </a:ln>
                      </wps:spPr>
                      <wps:txbx>
                        <w:txbxContent>
                          <w:p w14:paraId="6191EE89" w14:textId="42783A20" w:rsidR="00F804E5" w:rsidRPr="00F804E5" w:rsidRDefault="00F804E5" w:rsidP="00F804E5">
                            <w:pPr>
                              <w:spacing w:before="0"/>
                              <w:rPr>
                                <w:bCs/>
                                <w:sz w:val="16"/>
                                <w:szCs w:val="16"/>
                              </w:rPr>
                            </w:pPr>
                            <w:r w:rsidRPr="00F804E5">
                              <w:rPr>
                                <w:bCs/>
                                <w:sz w:val="16"/>
                                <w:szCs w:val="16"/>
                              </w:rPr>
                              <w:t>Nombre de mémorandums d'accord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A2D8" id="Text Box 203575362" o:spid="_x0000_s1039" type="#_x0000_t202" style="position:absolute;left:0;text-align:left;margin-left:14.15pt;margin-top:88.8pt;width:123.8pt;height:10.65pt;rotation:-90;z-index:251872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" fillcolor="white [3201]" stroked="f" strokeweight=".5pt">
                <v:textbox inset="0,0,0,0">
                  <w:txbxContent>
                    <w:p w14:paraId="6191EE89" w14:textId="42783A20" w:rsidR="00F804E5" w:rsidRPr="00F804E5" w:rsidRDefault="00F804E5" w:rsidP="00F804E5">
                      <w:pPr>
                        <w:spacing w:before="0"/>
                        <w:rPr>
                          <w:bCs/>
                          <w:sz w:val="16"/>
                          <w:szCs w:val="16"/>
                        </w:rPr>
                      </w:pPr>
                      <w:r w:rsidRPr="00F804E5">
                        <w:rPr>
                          <w:bCs/>
                          <w:sz w:val="16"/>
                          <w:szCs w:val="16"/>
                        </w:rPr>
                        <w:t>Nombre de mémorandums d'accord</w:t>
                      </w:r>
                    </w:p>
                  </w:txbxContent>
                </v:textbox>
                <w10:wrap anchorx="margin"/>
              </v:shape>
            </w:pict>
          </mc:Fallback>
        </mc:AlternateContent>
      </w:r>
      <w:r w:rsidR="00F804E5" w:rsidRPr="00F05A8A">
        <w:rPr>
          <w:lang w:eastAsia="fr-FR"/>
        </w:rPr>
        <mc:AlternateContent>
          <mc:Choice Requires="wps">
            <w:drawing>
              <wp:anchor distT="0" distB="0" distL="114300" distR="114300" simplePos="0" relativeHeight="251874304" behindDoc="0" locked="0" layoutInCell="1" allowOverlap="1" wp14:anchorId="0FB3B844" wp14:editId="6408514E">
                <wp:simplePos x="0" y="0"/>
                <wp:positionH relativeFrom="column">
                  <wp:posOffset>3221990</wp:posOffset>
                </wp:positionH>
                <wp:positionV relativeFrom="paragraph">
                  <wp:posOffset>2103982</wp:posOffset>
                </wp:positionV>
                <wp:extent cx="370936" cy="135213"/>
                <wp:effectExtent l="0" t="0" r="0" b="0"/>
                <wp:wrapNone/>
                <wp:docPr id="203575363" name="Text Box 203575363"/>
                <wp:cNvGraphicFramePr/>
                <a:graphic xmlns:a="http://schemas.openxmlformats.org/drawingml/2006/main">
                  <a:graphicData uri="http://schemas.microsoft.com/office/word/2010/wordprocessingShape">
                    <wps:wsp>
                      <wps:cNvSpPr txBox="1"/>
                      <wps:spPr>
                        <a:xfrm>
                          <a:off x="0" y="0"/>
                          <a:ext cx="370936" cy="135213"/>
                        </a:xfrm>
                        <a:prstGeom prst="rect">
                          <a:avLst/>
                        </a:prstGeom>
                        <a:solidFill>
                          <a:schemeClr val="lt1"/>
                        </a:solidFill>
                        <a:ln w="6350">
                          <a:noFill/>
                        </a:ln>
                      </wps:spPr>
                      <wps:txbx>
                        <w:txbxContent>
                          <w:p w14:paraId="7CB6D3E5" w14:textId="07A47E1A" w:rsidR="00F804E5" w:rsidRPr="00F804E5" w:rsidRDefault="00F804E5" w:rsidP="00F804E5">
                            <w:pPr>
                              <w:spacing w:before="0"/>
                              <w:rPr>
                                <w:bCs/>
                                <w:sz w:val="16"/>
                                <w:szCs w:val="16"/>
                              </w:rPr>
                            </w:pPr>
                            <w:r w:rsidRPr="00F804E5">
                              <w:rPr>
                                <w:bCs/>
                                <w:sz w:val="16"/>
                                <w:szCs w:val="16"/>
                              </w:rPr>
                              <w:t>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B844" id="Text Box 203575363" o:spid="_x0000_s1040" type="#_x0000_t202" style="position:absolute;left:0;text-align:left;margin-left:253.7pt;margin-top:165.65pt;width:29.2pt;height:10.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" fillcolor="white [3201]" stroked="f" strokeweight=".5pt">
                <v:textbox inset="0,0,0,0">
                  <w:txbxContent>
                    <w:p w14:paraId="7CB6D3E5" w14:textId="07A47E1A" w:rsidR="00F804E5" w:rsidRPr="00F804E5" w:rsidRDefault="00F804E5" w:rsidP="00F804E5">
                      <w:pPr>
                        <w:spacing w:before="0"/>
                        <w:rPr>
                          <w:bCs/>
                          <w:sz w:val="16"/>
                          <w:szCs w:val="16"/>
                        </w:rPr>
                      </w:pPr>
                      <w:r w:rsidRPr="00F804E5">
                        <w:rPr>
                          <w:bCs/>
                          <w:sz w:val="16"/>
                          <w:szCs w:val="16"/>
                        </w:rPr>
                        <w:t>Année</w:t>
                      </w:r>
                    </w:p>
                  </w:txbxContent>
                </v:textbox>
              </v:shape>
            </w:pict>
          </mc:Fallback>
        </mc:AlternateContent>
      </w:r>
      <w:r w:rsidR="00F804E5" w:rsidRPr="00F05A8A">
        <w:rPr>
          <w:lang w:eastAsia="fr-FR"/>
        </w:rPr>
        <mc:AlternateContent>
          <mc:Choice Requires="wps">
            <w:drawing>
              <wp:anchor distT="0" distB="0" distL="114300" distR="114300" simplePos="0" relativeHeight="251870208" behindDoc="0" locked="0" layoutInCell="1" allowOverlap="1" wp14:anchorId="3A5CA024" wp14:editId="03787495">
                <wp:simplePos x="0" y="0"/>
                <wp:positionH relativeFrom="column">
                  <wp:posOffset>193675</wp:posOffset>
                </wp:positionH>
                <wp:positionV relativeFrom="paragraph">
                  <wp:posOffset>100953</wp:posOffset>
                </wp:positionV>
                <wp:extent cx="2329132" cy="189781"/>
                <wp:effectExtent l="0" t="0" r="0" b="1270"/>
                <wp:wrapNone/>
                <wp:docPr id="203575361" name="Text Box 203575361"/>
                <wp:cNvGraphicFramePr/>
                <a:graphic xmlns:a="http://schemas.openxmlformats.org/drawingml/2006/main">
                  <a:graphicData uri="http://schemas.microsoft.com/office/word/2010/wordprocessingShape">
                    <wps:wsp>
                      <wps:cNvSpPr txBox="1"/>
                      <wps:spPr>
                        <a:xfrm>
                          <a:off x="0" y="0"/>
                          <a:ext cx="2329132" cy="189781"/>
                        </a:xfrm>
                        <a:prstGeom prst="rect">
                          <a:avLst/>
                        </a:prstGeom>
                        <a:solidFill>
                          <a:schemeClr val="lt1"/>
                        </a:solidFill>
                        <a:ln w="6350">
                          <a:noFill/>
                        </a:ln>
                      </wps:spPr>
                      <wps:txbx>
                        <w:txbxContent>
                          <w:p w14:paraId="12D1FE5D" w14:textId="6E390816" w:rsidR="00F804E5" w:rsidRPr="008A0E3E" w:rsidRDefault="00F804E5" w:rsidP="00F804E5">
                            <w:pPr>
                              <w:spacing w:before="0"/>
                              <w:rPr>
                                <w:sz w:val="2"/>
                                <w:szCs w:val="2"/>
                              </w:rPr>
                            </w:pPr>
                            <w:r w:rsidRPr="00F804E5">
                              <w:rPr>
                                <w:b/>
                                <w:sz w:val="20"/>
                              </w:rPr>
                              <w:t>Nombre de mémorandums d'accord par 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A024" id="Text Box 203575361" o:spid="_x0000_s1041" type="#_x0000_t202" style="position:absolute;left:0;text-align:left;margin-left:15.25pt;margin-top:7.95pt;width:183.4pt;height:14.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" fillcolor="white [3201]" stroked="f" strokeweight=".5pt">
                <v:textbox inset="0,0,0,0">
                  <w:txbxContent>
                    <w:p w14:paraId="12D1FE5D" w14:textId="6E390816" w:rsidR="00F804E5" w:rsidRPr="008A0E3E" w:rsidRDefault="00F804E5" w:rsidP="00F804E5">
                      <w:pPr>
                        <w:spacing w:before="0"/>
                        <w:rPr>
                          <w:sz w:val="2"/>
                          <w:szCs w:val="2"/>
                        </w:rPr>
                      </w:pPr>
                      <w:r w:rsidRPr="00F804E5">
                        <w:rPr>
                          <w:b/>
                          <w:sz w:val="20"/>
                        </w:rPr>
                        <w:t>Nombre de mémorandums d'accord par an</w:t>
                      </w:r>
                    </w:p>
                  </w:txbxContent>
                </v:textbox>
              </v:shape>
            </w:pict>
          </mc:Fallback>
        </mc:AlternateContent>
      </w:r>
      <w:r w:rsidR="00E72AB9" w:rsidRPr="00F05A8A">
        <w:rPr>
          <w:lang w:eastAsia="fr-FR"/>
        </w:rPr>
        <w:drawing>
          <wp:inline distT="0" distB="0" distL="0" distR="0" wp14:anchorId="5E8773F2" wp14:editId="004484CE">
            <wp:extent cx="5731510" cy="2249170"/>
            <wp:effectExtent l="0" t="0" r="254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369"/>
                    <a:stretch>
                      <a:fillRect/>
                    </a:stretch>
                  </pic:blipFill>
                  <pic:spPr>
                    <a:xfrm>
                      <a:off x="0" y="0"/>
                      <a:ext cx="5731510" cy="2249170"/>
                    </a:xfrm>
                    <a:prstGeom prst="rect">
                      <a:avLst/>
                    </a:prstGeom>
                  </pic:spPr>
                </pic:pic>
              </a:graphicData>
            </a:graphic>
          </wp:inline>
        </w:drawing>
      </w:r>
    </w:p>
    <w:p w14:paraId="792BB5C5" w14:textId="22C3D3D2" w:rsidR="00A540A8" w:rsidRPr="00F05A8A" w:rsidRDefault="00A540A8" w:rsidP="0043461A">
      <w:pPr>
        <w:pStyle w:val="Figuretitle"/>
        <w:rPr>
          <w:rFonts w:eastAsia="Calibri"/>
        </w:rPr>
      </w:pPr>
    </w:p>
    <w:p w14:paraId="568CA312" w14:textId="7A82DE93" w:rsidR="00E72AB9" w:rsidRPr="00F05A8A" w:rsidRDefault="00E15601" w:rsidP="002F075E">
      <w:pPr>
        <w:pStyle w:val="Figure"/>
        <w:rPr>
          <w:rFonts w:eastAsia="Calibri"/>
        </w:rPr>
      </w:pPr>
      <w:r w:rsidRPr="00F05A8A">
        <w:rPr>
          <w:lang w:eastAsia="fr-FR"/>
        </w:rPr>
        <mc:AlternateContent>
          <mc:Choice Requires="wps">
            <w:drawing>
              <wp:anchor distT="0" distB="0" distL="114300" distR="114300" simplePos="0" relativeHeight="251880448" behindDoc="0" locked="0" layoutInCell="1" allowOverlap="1" wp14:anchorId="1B7F8932" wp14:editId="3D60451E">
                <wp:simplePos x="0" y="0"/>
                <wp:positionH relativeFrom="column">
                  <wp:posOffset>670560</wp:posOffset>
                </wp:positionH>
                <wp:positionV relativeFrom="paragraph">
                  <wp:posOffset>1909445</wp:posOffset>
                </wp:positionV>
                <wp:extent cx="755650" cy="457200"/>
                <wp:effectExtent l="0" t="0" r="6350" b="0"/>
                <wp:wrapNone/>
                <wp:docPr id="203575367" name="Text Box 203575367"/>
                <wp:cNvGraphicFramePr/>
                <a:graphic xmlns:a="http://schemas.openxmlformats.org/drawingml/2006/main">
                  <a:graphicData uri="http://schemas.microsoft.com/office/word/2010/wordprocessingShape">
                    <wps:wsp>
                      <wps:cNvSpPr txBox="1"/>
                      <wps:spPr>
                        <a:xfrm>
                          <a:off x="0" y="0"/>
                          <a:ext cx="755650" cy="457200"/>
                        </a:xfrm>
                        <a:prstGeom prst="rect">
                          <a:avLst/>
                        </a:prstGeom>
                        <a:solidFill>
                          <a:schemeClr val="lt1"/>
                        </a:solidFill>
                        <a:ln w="6350">
                          <a:noFill/>
                        </a:ln>
                      </wps:spPr>
                      <wps:txbx>
                        <w:txbxContent>
                          <w:p w14:paraId="092F8536" w14:textId="4DE5052B" w:rsidR="00F804E5" w:rsidRPr="00F804E5" w:rsidRDefault="00F804E5" w:rsidP="00F804E5">
                            <w:pPr>
                              <w:spacing w:before="0"/>
                              <w:jc w:val="center"/>
                              <w:rPr>
                                <w:bCs/>
                                <w:sz w:val="16"/>
                                <w:szCs w:val="16"/>
                              </w:rPr>
                            </w:pPr>
                            <w:r w:rsidRPr="00F804E5">
                              <w:rPr>
                                <w:bCs/>
                                <w:sz w:val="16"/>
                                <w:szCs w:val="16"/>
                              </w:rPr>
                              <w:t>Échelle mondiale ou multi-régionale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8932" id="Text Box 203575367" o:spid="_x0000_s1042" type="#_x0000_t202" style="position:absolute;left:0;text-align:left;margin-left:52.8pt;margin-top:150.35pt;width:59.5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" fillcolor="white [3201]" stroked="f" strokeweight=".5pt">
                <v:textbox inset="0,0,0,0">
                  <w:txbxContent>
                    <w:p w14:paraId="092F8536" w14:textId="4DE5052B" w:rsidR="00F804E5" w:rsidRPr="00F804E5" w:rsidRDefault="00F804E5" w:rsidP="00F804E5">
                      <w:pPr>
                        <w:spacing w:before="0"/>
                        <w:jc w:val="center"/>
                        <w:rPr>
                          <w:bCs/>
                          <w:sz w:val="16"/>
                          <w:szCs w:val="16"/>
                        </w:rPr>
                      </w:pPr>
                      <w:r w:rsidRPr="00F804E5">
                        <w:rPr>
                          <w:bCs/>
                          <w:sz w:val="16"/>
                          <w:szCs w:val="16"/>
                        </w:rPr>
                        <w:t>Échelle mondiale ou multi-régionale</w:t>
                      </w:r>
                    </w:p>
                  </w:txbxContent>
                </v:textbox>
              </v:shape>
            </w:pict>
          </mc:Fallback>
        </mc:AlternateContent>
      </w:r>
      <w:r w:rsidRPr="00F05A8A">
        <w:rPr>
          <w:lang w:eastAsia="fr-FR"/>
        </w:rPr>
        <mc:AlternateContent>
          <mc:Choice Requires="wps">
            <w:drawing>
              <wp:anchor distT="0" distB="0" distL="114300" distR="114300" simplePos="0" relativeHeight="251892736" behindDoc="0" locked="0" layoutInCell="1" allowOverlap="1" wp14:anchorId="3CBC4914" wp14:editId="21AE8C00">
                <wp:simplePos x="0" y="0"/>
                <wp:positionH relativeFrom="column">
                  <wp:posOffset>3101340</wp:posOffset>
                </wp:positionH>
                <wp:positionV relativeFrom="paragraph">
                  <wp:posOffset>2112010</wp:posOffset>
                </wp:positionV>
                <wp:extent cx="457200" cy="129396"/>
                <wp:effectExtent l="0" t="0" r="0" b="4445"/>
                <wp:wrapNone/>
                <wp:docPr id="203575375" name="Text Box 203575375"/>
                <wp:cNvGraphicFramePr/>
                <a:graphic xmlns:a="http://schemas.openxmlformats.org/drawingml/2006/main">
                  <a:graphicData uri="http://schemas.microsoft.com/office/word/2010/wordprocessingShape">
                    <wps:wsp>
                      <wps:cNvSpPr txBox="1"/>
                      <wps:spPr>
                        <a:xfrm>
                          <a:off x="0" y="0"/>
                          <a:ext cx="457200" cy="129396"/>
                        </a:xfrm>
                        <a:prstGeom prst="rect">
                          <a:avLst/>
                        </a:prstGeom>
                        <a:solidFill>
                          <a:schemeClr val="lt1"/>
                        </a:solidFill>
                        <a:ln w="6350">
                          <a:noFill/>
                        </a:ln>
                      </wps:spPr>
                      <wps:txbx>
                        <w:txbxContent>
                          <w:p w14:paraId="60D3E049" w14:textId="3A98F98D" w:rsidR="00F804E5" w:rsidRPr="00F804E5" w:rsidRDefault="00F804E5" w:rsidP="00F804E5">
                            <w:pPr>
                              <w:spacing w:before="0"/>
                              <w:jc w:val="center"/>
                              <w:rPr>
                                <w:bCs/>
                                <w:sz w:val="16"/>
                                <w:szCs w:val="16"/>
                              </w:rPr>
                            </w:pPr>
                            <w:r w:rsidRPr="00F804E5">
                              <w:rPr>
                                <w:b/>
                                <w:bCs/>
                                <w:sz w:val="16"/>
                                <w:szCs w:val="16"/>
                              </w:rPr>
                              <w:t>Régions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4914" id="Text Box 203575375" o:spid="_x0000_s1043" type="#_x0000_t202" style="position:absolute;left:0;text-align:left;margin-left:244.2pt;margin-top:166.3pt;width:36pt;height:10.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" fillcolor="white [3201]" stroked="f" strokeweight=".5pt">
                <v:textbox inset="0,0,0,0">
                  <w:txbxContent>
                    <w:p w14:paraId="60D3E049" w14:textId="3A98F98D" w:rsidR="00F804E5" w:rsidRPr="00F804E5" w:rsidRDefault="00F804E5" w:rsidP="00F804E5">
                      <w:pPr>
                        <w:spacing w:before="0"/>
                        <w:jc w:val="center"/>
                        <w:rPr>
                          <w:bCs/>
                          <w:sz w:val="16"/>
                          <w:szCs w:val="16"/>
                        </w:rPr>
                      </w:pPr>
                      <w:r w:rsidRPr="00F804E5">
                        <w:rPr>
                          <w:b/>
                          <w:bCs/>
                          <w:sz w:val="16"/>
                          <w:szCs w:val="16"/>
                        </w:rPr>
                        <w:t>Régions</w:t>
                      </w:r>
                    </w:p>
                  </w:txbxContent>
                </v:textbox>
              </v:shape>
            </w:pict>
          </mc:Fallback>
        </mc:AlternateContent>
      </w:r>
      <w:r w:rsidRPr="00F05A8A">
        <w:rPr>
          <w:lang w:eastAsia="fr-FR"/>
        </w:rPr>
        <mc:AlternateContent>
          <mc:Choice Requires="wps">
            <w:drawing>
              <wp:anchor distT="0" distB="0" distL="114300" distR="114300" simplePos="0" relativeHeight="251878400" behindDoc="0" locked="0" layoutInCell="1" allowOverlap="1" wp14:anchorId="42EEF0EB" wp14:editId="7310D70D">
                <wp:simplePos x="0" y="0"/>
                <wp:positionH relativeFrom="column">
                  <wp:posOffset>-544196</wp:posOffset>
                </wp:positionH>
                <wp:positionV relativeFrom="paragraph">
                  <wp:posOffset>1086485</wp:posOffset>
                </wp:positionV>
                <wp:extent cx="1572266" cy="135213"/>
                <wp:effectExtent l="0" t="5080" r="3810" b="3810"/>
                <wp:wrapNone/>
                <wp:docPr id="203575365" name="Text Box 203575365"/>
                <wp:cNvGraphicFramePr/>
                <a:graphic xmlns:a="http://schemas.openxmlformats.org/drawingml/2006/main">
                  <a:graphicData uri="http://schemas.microsoft.com/office/word/2010/wordprocessingShape">
                    <wps:wsp>
                      <wps:cNvSpPr txBox="1"/>
                      <wps:spPr>
                        <a:xfrm rot="16200000">
                          <a:off x="0" y="0"/>
                          <a:ext cx="1572266" cy="135213"/>
                        </a:xfrm>
                        <a:prstGeom prst="rect">
                          <a:avLst/>
                        </a:prstGeom>
                        <a:solidFill>
                          <a:schemeClr val="lt1"/>
                        </a:solidFill>
                        <a:ln w="6350">
                          <a:noFill/>
                        </a:ln>
                      </wps:spPr>
                      <wps:txbx>
                        <w:txbxContent>
                          <w:p w14:paraId="0023E506" w14:textId="36A414BC" w:rsidR="00F804E5" w:rsidRPr="00F804E5" w:rsidRDefault="00F804E5" w:rsidP="00F804E5">
                            <w:pPr>
                              <w:spacing w:before="0"/>
                              <w:rPr>
                                <w:bCs/>
                                <w:sz w:val="16"/>
                                <w:szCs w:val="16"/>
                              </w:rPr>
                            </w:pPr>
                            <w:r w:rsidRPr="00F804E5">
                              <w:rPr>
                                <w:bCs/>
                                <w:sz w:val="16"/>
                                <w:szCs w:val="16"/>
                              </w:rPr>
                              <w:t>Nombre de mémorandums d'accord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F0EB" id="Text Box 203575365" o:spid="_x0000_s1044" type="#_x0000_t202" style="position:absolute;left:0;text-align:left;margin-left:-42.85pt;margin-top:85.55pt;width:123.8pt;height:10.6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" fillcolor="white [3201]" stroked="f" strokeweight=".5pt">
                <v:textbox inset="0,0,0,0">
                  <w:txbxContent>
                    <w:p w14:paraId="0023E506" w14:textId="36A414BC" w:rsidR="00F804E5" w:rsidRPr="00F804E5" w:rsidRDefault="00F804E5" w:rsidP="00F804E5">
                      <w:pPr>
                        <w:spacing w:before="0"/>
                        <w:rPr>
                          <w:bCs/>
                          <w:sz w:val="16"/>
                          <w:szCs w:val="16"/>
                        </w:rPr>
                      </w:pPr>
                      <w:r w:rsidRPr="00F804E5">
                        <w:rPr>
                          <w:bCs/>
                          <w:sz w:val="16"/>
                          <w:szCs w:val="16"/>
                        </w:rPr>
                        <w:t>Nombre de mémorandums d'accord</w:t>
                      </w:r>
                    </w:p>
                  </w:txbxContent>
                </v:textbox>
              </v:shape>
            </w:pict>
          </mc:Fallback>
        </mc:AlternateContent>
      </w:r>
      <w:r w:rsidRPr="00F05A8A">
        <w:rPr>
          <w:lang w:eastAsia="fr-FR"/>
        </w:rPr>
        <mc:AlternateContent>
          <mc:Choice Requires="wps">
            <w:drawing>
              <wp:anchor distT="0" distB="0" distL="114300" distR="114300" simplePos="0" relativeHeight="251890688" behindDoc="0" locked="0" layoutInCell="1" allowOverlap="1" wp14:anchorId="759F9B4E" wp14:editId="75F5528F">
                <wp:simplePos x="0" y="0"/>
                <wp:positionH relativeFrom="column">
                  <wp:posOffset>5172710</wp:posOffset>
                </wp:positionH>
                <wp:positionV relativeFrom="paragraph">
                  <wp:posOffset>1931670</wp:posOffset>
                </wp:positionV>
                <wp:extent cx="787400" cy="317500"/>
                <wp:effectExtent l="0" t="0" r="0" b="6350"/>
                <wp:wrapNone/>
                <wp:docPr id="203575373" name="Text Box 203575373"/>
                <wp:cNvGraphicFramePr/>
                <a:graphic xmlns:a="http://schemas.openxmlformats.org/drawingml/2006/main">
                  <a:graphicData uri="http://schemas.microsoft.com/office/word/2010/wordprocessingShape">
                    <wps:wsp>
                      <wps:cNvSpPr txBox="1"/>
                      <wps:spPr>
                        <a:xfrm>
                          <a:off x="0" y="0"/>
                          <a:ext cx="787400" cy="317500"/>
                        </a:xfrm>
                        <a:prstGeom prst="rect">
                          <a:avLst/>
                        </a:prstGeom>
                        <a:solidFill>
                          <a:schemeClr val="lt1"/>
                        </a:solidFill>
                        <a:ln w="6350">
                          <a:noFill/>
                        </a:ln>
                      </wps:spPr>
                      <wps:txbx>
                        <w:txbxContent>
                          <w:p w14:paraId="193FE937" w14:textId="1EFF7A74" w:rsidR="00F804E5" w:rsidRPr="00F804E5" w:rsidRDefault="00F804E5" w:rsidP="00F804E5">
                            <w:pPr>
                              <w:spacing w:before="0"/>
                              <w:jc w:val="center"/>
                              <w:rPr>
                                <w:bCs/>
                                <w:sz w:val="16"/>
                                <w:szCs w:val="16"/>
                              </w:rPr>
                            </w:pPr>
                            <w:r w:rsidRPr="00F804E5">
                              <w:rPr>
                                <w:bCs/>
                                <w:sz w:val="16"/>
                                <w:szCs w:val="16"/>
                              </w:rPr>
                              <w:t>Pays 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9B4E" id="Text Box 203575373" o:spid="_x0000_s1045" type="#_x0000_t202" style="position:absolute;left:0;text-align:left;margin-left:407.3pt;margin-top:152.1pt;width:62pt;height: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" fillcolor="white [3201]" stroked="f" strokeweight=".5pt">
                <v:textbox inset="0,0,0,0">
                  <w:txbxContent>
                    <w:p w14:paraId="193FE937" w14:textId="1EFF7A74" w:rsidR="00F804E5" w:rsidRPr="00F804E5" w:rsidRDefault="00F804E5" w:rsidP="00F804E5">
                      <w:pPr>
                        <w:spacing w:before="0"/>
                        <w:jc w:val="center"/>
                        <w:rPr>
                          <w:bCs/>
                          <w:sz w:val="16"/>
                          <w:szCs w:val="16"/>
                        </w:rPr>
                      </w:pPr>
                      <w:r w:rsidRPr="00F804E5">
                        <w:rPr>
                          <w:bCs/>
                          <w:sz w:val="16"/>
                          <w:szCs w:val="16"/>
                        </w:rPr>
                        <w:t>Pays de la CEI</w:t>
                      </w:r>
                    </w:p>
                  </w:txbxContent>
                </v:textbox>
              </v:shape>
            </w:pict>
          </mc:Fallback>
        </mc:AlternateContent>
      </w:r>
      <w:r w:rsidRPr="00F05A8A">
        <w:rPr>
          <w:lang w:eastAsia="fr-FR"/>
        </w:rPr>
        <mc:AlternateContent>
          <mc:Choice Requires="wps">
            <w:drawing>
              <wp:anchor distT="0" distB="0" distL="114300" distR="114300" simplePos="0" relativeHeight="251886592" behindDoc="0" locked="0" layoutInCell="1" allowOverlap="1" wp14:anchorId="14ECED17" wp14:editId="7AE5C157">
                <wp:simplePos x="0" y="0"/>
                <wp:positionH relativeFrom="column">
                  <wp:posOffset>3712210</wp:posOffset>
                </wp:positionH>
                <wp:positionV relativeFrom="paragraph">
                  <wp:posOffset>1899920</wp:posOffset>
                </wp:positionV>
                <wp:extent cx="717550" cy="274727"/>
                <wp:effectExtent l="0" t="0" r="6350" b="0"/>
                <wp:wrapNone/>
                <wp:docPr id="203575371" name="Text Box 203575371"/>
                <wp:cNvGraphicFramePr/>
                <a:graphic xmlns:a="http://schemas.openxmlformats.org/drawingml/2006/main">
                  <a:graphicData uri="http://schemas.microsoft.com/office/word/2010/wordprocessingShape">
                    <wps:wsp>
                      <wps:cNvSpPr txBox="1"/>
                      <wps:spPr>
                        <a:xfrm>
                          <a:off x="0" y="0"/>
                          <a:ext cx="717550" cy="274727"/>
                        </a:xfrm>
                        <a:prstGeom prst="rect">
                          <a:avLst/>
                        </a:prstGeom>
                        <a:solidFill>
                          <a:schemeClr val="lt1"/>
                        </a:solidFill>
                        <a:ln w="6350">
                          <a:noFill/>
                        </a:ln>
                      </wps:spPr>
                      <wps:txbx>
                        <w:txbxContent>
                          <w:p w14:paraId="31B258DA" w14:textId="56A29AB3" w:rsidR="00F804E5" w:rsidRPr="00F804E5" w:rsidRDefault="00F804E5" w:rsidP="00F804E5">
                            <w:pPr>
                              <w:spacing w:before="0"/>
                              <w:jc w:val="center"/>
                              <w:rPr>
                                <w:bCs/>
                                <w:sz w:val="16"/>
                                <w:szCs w:val="16"/>
                              </w:rPr>
                            </w:pPr>
                            <w:r w:rsidRPr="00F804E5">
                              <w:rPr>
                                <w:bCs/>
                                <w:sz w:val="16"/>
                                <w:szCs w:val="16"/>
                              </w:rPr>
                              <w:t>États arabes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ED17" id="Text Box 203575371" o:spid="_x0000_s1046" type="#_x0000_t202" style="position:absolute;left:0;text-align:left;margin-left:292.3pt;margin-top:149.6pt;width:56.5pt;height:21.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" fillcolor="white [3201]" stroked="f" strokeweight=".5pt">
                <v:textbox inset="0,0,0,0">
                  <w:txbxContent>
                    <w:p w14:paraId="31B258DA" w14:textId="56A29AB3" w:rsidR="00F804E5" w:rsidRPr="00F804E5" w:rsidRDefault="00F804E5" w:rsidP="00F804E5">
                      <w:pPr>
                        <w:spacing w:before="0"/>
                        <w:jc w:val="center"/>
                        <w:rPr>
                          <w:bCs/>
                          <w:sz w:val="16"/>
                          <w:szCs w:val="16"/>
                        </w:rPr>
                      </w:pPr>
                      <w:r w:rsidRPr="00F804E5">
                        <w:rPr>
                          <w:bCs/>
                          <w:sz w:val="16"/>
                          <w:szCs w:val="16"/>
                        </w:rPr>
                        <w:t>États arabes</w:t>
                      </w:r>
                    </w:p>
                  </w:txbxContent>
                </v:textbox>
              </v:shape>
            </w:pict>
          </mc:Fallback>
        </mc:AlternateContent>
      </w:r>
      <w:r w:rsidRPr="00F05A8A">
        <w:rPr>
          <w:lang w:eastAsia="fr-FR"/>
        </w:rPr>
        <mc:AlternateContent>
          <mc:Choice Requires="wps">
            <w:drawing>
              <wp:anchor distT="0" distB="0" distL="114300" distR="114300" simplePos="0" relativeHeight="251888640" behindDoc="0" locked="0" layoutInCell="1" allowOverlap="1" wp14:anchorId="58E87585" wp14:editId="4B1E33EB">
                <wp:simplePos x="0" y="0"/>
                <wp:positionH relativeFrom="margin">
                  <wp:posOffset>3022600</wp:posOffset>
                </wp:positionH>
                <wp:positionV relativeFrom="paragraph">
                  <wp:posOffset>1887220</wp:posOffset>
                </wp:positionV>
                <wp:extent cx="619760" cy="184150"/>
                <wp:effectExtent l="0" t="0" r="8890" b="6350"/>
                <wp:wrapNone/>
                <wp:docPr id="203575372" name="Text Box 203575372"/>
                <wp:cNvGraphicFramePr/>
                <a:graphic xmlns:a="http://schemas.openxmlformats.org/drawingml/2006/main">
                  <a:graphicData uri="http://schemas.microsoft.com/office/word/2010/wordprocessingShape">
                    <wps:wsp>
                      <wps:cNvSpPr txBox="1"/>
                      <wps:spPr>
                        <a:xfrm>
                          <a:off x="0" y="0"/>
                          <a:ext cx="619760" cy="184150"/>
                        </a:xfrm>
                        <a:prstGeom prst="rect">
                          <a:avLst/>
                        </a:prstGeom>
                        <a:solidFill>
                          <a:schemeClr val="lt1"/>
                        </a:solidFill>
                        <a:ln w="6350">
                          <a:noFill/>
                        </a:ln>
                      </wps:spPr>
                      <wps:txbx>
                        <w:txbxContent>
                          <w:p w14:paraId="585D847B" w14:textId="77777777" w:rsidR="00F804E5" w:rsidRPr="00F804E5" w:rsidRDefault="00F804E5" w:rsidP="00F804E5">
                            <w:pPr>
                              <w:spacing w:before="0"/>
                              <w:jc w:val="center"/>
                              <w:rPr>
                                <w:bCs/>
                                <w:sz w:val="16"/>
                                <w:szCs w:val="16"/>
                              </w:rPr>
                            </w:pPr>
                            <w:r w:rsidRPr="00F804E5">
                              <w:rPr>
                                <w:bCs/>
                                <w:sz w:val="16"/>
                                <w:szCs w:val="16"/>
                              </w:rPr>
                              <w:t>Amériques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7585" id="Text Box 203575372" o:spid="_x0000_s1047" type="#_x0000_t202" style="position:absolute;left:0;text-align:left;margin-left:238pt;margin-top:148.6pt;width:48.8pt;height:1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" fillcolor="white [3201]" stroked="f" strokeweight=".5pt">
                <v:textbox inset="0,0,0,0">
                  <w:txbxContent>
                    <w:p w14:paraId="585D847B" w14:textId="77777777" w:rsidR="00F804E5" w:rsidRPr="00F804E5" w:rsidRDefault="00F804E5" w:rsidP="00F804E5">
                      <w:pPr>
                        <w:spacing w:before="0"/>
                        <w:jc w:val="center"/>
                        <w:rPr>
                          <w:bCs/>
                          <w:sz w:val="16"/>
                          <w:szCs w:val="16"/>
                        </w:rPr>
                      </w:pPr>
                      <w:r w:rsidRPr="00F804E5">
                        <w:rPr>
                          <w:bCs/>
                          <w:sz w:val="16"/>
                          <w:szCs w:val="16"/>
                        </w:rPr>
                        <w:t>Amériques</w:t>
                      </w:r>
                    </w:p>
                  </w:txbxContent>
                </v:textbox>
                <w10:wrap anchorx="margin"/>
              </v:shape>
            </w:pict>
          </mc:Fallback>
        </mc:AlternateContent>
      </w:r>
      <w:r w:rsidRPr="00F05A8A">
        <w:rPr>
          <w:lang w:eastAsia="fr-FR"/>
        </w:rPr>
        <mc:AlternateContent>
          <mc:Choice Requires="wps">
            <w:drawing>
              <wp:anchor distT="0" distB="0" distL="114300" distR="114300" simplePos="0" relativeHeight="251884544" behindDoc="0" locked="0" layoutInCell="1" allowOverlap="1" wp14:anchorId="650790B9" wp14:editId="65126D9C">
                <wp:simplePos x="0" y="0"/>
                <wp:positionH relativeFrom="column">
                  <wp:posOffset>2386965</wp:posOffset>
                </wp:positionH>
                <wp:positionV relativeFrom="paragraph">
                  <wp:posOffset>1915795</wp:posOffset>
                </wp:positionV>
                <wp:extent cx="457200" cy="198407"/>
                <wp:effectExtent l="0" t="0" r="0" b="0"/>
                <wp:wrapNone/>
                <wp:docPr id="203575369" name="Text Box 203575369"/>
                <wp:cNvGraphicFramePr/>
                <a:graphic xmlns:a="http://schemas.openxmlformats.org/drawingml/2006/main">
                  <a:graphicData uri="http://schemas.microsoft.com/office/word/2010/wordprocessingShape">
                    <wps:wsp>
                      <wps:cNvSpPr txBox="1"/>
                      <wps:spPr>
                        <a:xfrm>
                          <a:off x="0" y="0"/>
                          <a:ext cx="457200" cy="198407"/>
                        </a:xfrm>
                        <a:prstGeom prst="rect">
                          <a:avLst/>
                        </a:prstGeom>
                        <a:solidFill>
                          <a:schemeClr val="lt1"/>
                        </a:solidFill>
                        <a:ln w="6350">
                          <a:noFill/>
                        </a:ln>
                      </wps:spPr>
                      <wps:txbx>
                        <w:txbxContent>
                          <w:p w14:paraId="21716163" w14:textId="192855BE" w:rsidR="00F804E5" w:rsidRPr="00F804E5" w:rsidRDefault="00F804E5" w:rsidP="00F804E5">
                            <w:pPr>
                              <w:spacing w:before="0"/>
                              <w:jc w:val="center"/>
                              <w:rPr>
                                <w:bCs/>
                                <w:sz w:val="16"/>
                                <w:szCs w:val="16"/>
                              </w:rPr>
                            </w:pPr>
                            <w:r w:rsidRPr="00F804E5">
                              <w:rPr>
                                <w:bCs/>
                                <w:sz w:val="16"/>
                                <w:szCs w:val="16"/>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790B9" id="Text Box 203575369" o:spid="_x0000_s1048" type="#_x0000_t202" style="position:absolute;left:0;text-align:left;margin-left:187.95pt;margin-top:150.85pt;width:36pt;height:15.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" fillcolor="white [3201]" stroked="f" strokeweight=".5pt">
                <v:textbox inset="0,0,0,0">
                  <w:txbxContent>
                    <w:p w14:paraId="21716163" w14:textId="192855BE" w:rsidR="00F804E5" w:rsidRPr="00F804E5" w:rsidRDefault="00F804E5" w:rsidP="00F804E5">
                      <w:pPr>
                        <w:spacing w:before="0"/>
                        <w:jc w:val="center"/>
                        <w:rPr>
                          <w:bCs/>
                          <w:sz w:val="16"/>
                          <w:szCs w:val="16"/>
                        </w:rPr>
                      </w:pPr>
                      <w:r w:rsidRPr="00F804E5">
                        <w:rPr>
                          <w:bCs/>
                          <w:sz w:val="16"/>
                          <w:szCs w:val="16"/>
                        </w:rPr>
                        <w:t>Afrique</w:t>
                      </w:r>
                    </w:p>
                  </w:txbxContent>
                </v:textbox>
              </v:shape>
            </w:pict>
          </mc:Fallback>
        </mc:AlternateContent>
      </w:r>
      <w:r w:rsidRPr="00F05A8A">
        <w:rPr>
          <w:lang w:eastAsia="fr-FR"/>
        </w:rPr>
        <mc:AlternateContent>
          <mc:Choice Requires="wps">
            <w:drawing>
              <wp:anchor distT="0" distB="0" distL="114300" distR="114300" simplePos="0" relativeHeight="251882496" behindDoc="0" locked="0" layoutInCell="1" allowOverlap="1" wp14:anchorId="17017238" wp14:editId="424DEE8A">
                <wp:simplePos x="0" y="0"/>
                <wp:positionH relativeFrom="column">
                  <wp:posOffset>1400810</wp:posOffset>
                </wp:positionH>
                <wp:positionV relativeFrom="paragraph">
                  <wp:posOffset>1925320</wp:posOffset>
                </wp:positionV>
                <wp:extent cx="863600" cy="298450"/>
                <wp:effectExtent l="0" t="0" r="0" b="6350"/>
                <wp:wrapNone/>
                <wp:docPr id="203575368" name="Text Box 203575368"/>
                <wp:cNvGraphicFramePr/>
                <a:graphic xmlns:a="http://schemas.openxmlformats.org/drawingml/2006/main">
                  <a:graphicData uri="http://schemas.microsoft.com/office/word/2010/wordprocessingShape">
                    <wps:wsp>
                      <wps:cNvSpPr txBox="1"/>
                      <wps:spPr>
                        <a:xfrm>
                          <a:off x="0" y="0"/>
                          <a:ext cx="863600" cy="298450"/>
                        </a:xfrm>
                        <a:prstGeom prst="rect">
                          <a:avLst/>
                        </a:prstGeom>
                        <a:solidFill>
                          <a:schemeClr val="lt1"/>
                        </a:solidFill>
                        <a:ln w="6350">
                          <a:noFill/>
                        </a:ln>
                      </wps:spPr>
                      <wps:txbx>
                        <w:txbxContent>
                          <w:p w14:paraId="4BACE6F3" w14:textId="799BA3D5" w:rsidR="00F804E5" w:rsidRPr="00F804E5" w:rsidRDefault="00F804E5" w:rsidP="00F804E5">
                            <w:pPr>
                              <w:spacing w:before="0"/>
                              <w:jc w:val="center"/>
                              <w:rPr>
                                <w:bCs/>
                                <w:sz w:val="16"/>
                                <w:szCs w:val="16"/>
                              </w:rPr>
                            </w:pPr>
                            <w:r w:rsidRPr="00F804E5">
                              <w:rPr>
                                <w:bCs/>
                                <w:sz w:val="16"/>
                                <w:szCs w:val="16"/>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17238" id="Text Box 203575368" o:spid="_x0000_s1049" type="#_x0000_t202" style="position:absolute;left:0;text-align:left;margin-left:110.3pt;margin-top:151.6pt;width:68pt;height:2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" fillcolor="white [3201]" stroked="f" strokeweight=".5pt">
                <v:textbox inset="0,0,0,0">
                  <w:txbxContent>
                    <w:p w14:paraId="4BACE6F3" w14:textId="799BA3D5" w:rsidR="00F804E5" w:rsidRPr="00F804E5" w:rsidRDefault="00F804E5" w:rsidP="00F804E5">
                      <w:pPr>
                        <w:spacing w:before="0"/>
                        <w:jc w:val="center"/>
                        <w:rPr>
                          <w:bCs/>
                          <w:sz w:val="16"/>
                          <w:szCs w:val="16"/>
                        </w:rPr>
                      </w:pPr>
                      <w:r w:rsidRPr="00F804E5">
                        <w:rPr>
                          <w:bCs/>
                          <w:sz w:val="16"/>
                          <w:szCs w:val="16"/>
                        </w:rPr>
                        <w:t>Asie-Pacifique</w:t>
                      </w:r>
                    </w:p>
                  </w:txbxContent>
                </v:textbox>
              </v:shape>
            </w:pict>
          </mc:Fallback>
        </mc:AlternateContent>
      </w:r>
      <w:r w:rsidR="00F804E5" w:rsidRPr="00F05A8A">
        <w:rPr>
          <w:lang w:eastAsia="fr-FR"/>
        </w:rPr>
        <mc:AlternateContent>
          <mc:Choice Requires="wps">
            <w:drawing>
              <wp:anchor distT="0" distB="0" distL="114300" distR="114300" simplePos="0" relativeHeight="251876352" behindDoc="0" locked="0" layoutInCell="1" allowOverlap="1" wp14:anchorId="074AEC59" wp14:editId="62D079AF">
                <wp:simplePos x="0" y="0"/>
                <wp:positionH relativeFrom="column">
                  <wp:posOffset>194310</wp:posOffset>
                </wp:positionH>
                <wp:positionV relativeFrom="paragraph">
                  <wp:posOffset>73588</wp:posOffset>
                </wp:positionV>
                <wp:extent cx="2562045" cy="189230"/>
                <wp:effectExtent l="0" t="0" r="0" b="1270"/>
                <wp:wrapNone/>
                <wp:docPr id="203575364" name="Text Box 203575364"/>
                <wp:cNvGraphicFramePr/>
                <a:graphic xmlns:a="http://schemas.openxmlformats.org/drawingml/2006/main">
                  <a:graphicData uri="http://schemas.microsoft.com/office/word/2010/wordprocessingShape">
                    <wps:wsp>
                      <wps:cNvSpPr txBox="1"/>
                      <wps:spPr>
                        <a:xfrm>
                          <a:off x="0" y="0"/>
                          <a:ext cx="2562045" cy="189230"/>
                        </a:xfrm>
                        <a:prstGeom prst="rect">
                          <a:avLst/>
                        </a:prstGeom>
                        <a:solidFill>
                          <a:schemeClr val="lt1"/>
                        </a:solidFill>
                        <a:ln w="6350">
                          <a:noFill/>
                        </a:ln>
                      </wps:spPr>
                      <wps:txbx>
                        <w:txbxContent>
                          <w:p w14:paraId="7DC546A2" w14:textId="03053C2A" w:rsidR="00F804E5" w:rsidRPr="008A0E3E" w:rsidRDefault="00F804E5" w:rsidP="00F804E5">
                            <w:pPr>
                              <w:spacing w:before="0"/>
                              <w:rPr>
                                <w:sz w:val="2"/>
                                <w:szCs w:val="2"/>
                              </w:rPr>
                            </w:pPr>
                            <w:r w:rsidRPr="00F804E5">
                              <w:rPr>
                                <w:b/>
                                <w:sz w:val="20"/>
                              </w:rPr>
                              <w:t>Nombre de mémorandums d'accord par</w:t>
                            </w:r>
                            <w:r w:rsidRPr="00F804E5">
                              <w:rPr>
                                <w:rFonts w:eastAsia="Calibri"/>
                                <w:b/>
                              </w:rPr>
                              <w:t xml:space="preserve"> </w:t>
                            </w:r>
                            <w:r w:rsidRPr="00F804E5">
                              <w:rPr>
                                <w:b/>
                                <w:sz w:val="20"/>
                              </w:rPr>
                              <w:t>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EC59" id="Text Box 203575364" o:spid="_x0000_s1050" type="#_x0000_t202" style="position:absolute;left:0;text-align:left;margin-left:15.3pt;margin-top:5.8pt;width:201.75pt;height:14.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" fillcolor="white [3201]" stroked="f" strokeweight=".5pt">
                <v:textbox inset="0,0,0,0">
                  <w:txbxContent>
                    <w:p w14:paraId="7DC546A2" w14:textId="03053C2A" w:rsidR="00F804E5" w:rsidRPr="008A0E3E" w:rsidRDefault="00F804E5" w:rsidP="00F804E5">
                      <w:pPr>
                        <w:spacing w:before="0"/>
                        <w:rPr>
                          <w:sz w:val="2"/>
                          <w:szCs w:val="2"/>
                        </w:rPr>
                      </w:pPr>
                      <w:r w:rsidRPr="00F804E5">
                        <w:rPr>
                          <w:b/>
                          <w:sz w:val="20"/>
                        </w:rPr>
                        <w:t>Nombre de mémorandums d'accord par</w:t>
                      </w:r>
                      <w:r w:rsidRPr="00F804E5">
                        <w:rPr>
                          <w:rFonts w:eastAsia="Calibri"/>
                          <w:b/>
                        </w:rPr>
                        <w:t xml:space="preserve"> </w:t>
                      </w:r>
                      <w:r w:rsidRPr="00F804E5">
                        <w:rPr>
                          <w:b/>
                          <w:sz w:val="20"/>
                        </w:rPr>
                        <w:t>région</w:t>
                      </w:r>
                    </w:p>
                  </w:txbxContent>
                </v:textbox>
              </v:shape>
            </w:pict>
          </mc:Fallback>
        </mc:AlternateContent>
      </w:r>
      <w:r w:rsidR="00A540A8" w:rsidRPr="00F05A8A">
        <w:t xml:space="preserve"> </w:t>
      </w:r>
      <w:r w:rsidR="00E72AB9" w:rsidRPr="00F05A8A">
        <w:rPr>
          <w:lang w:eastAsia="fr-FR"/>
        </w:rPr>
        <w:drawing>
          <wp:inline distT="0" distB="0" distL="0" distR="0" wp14:anchorId="4F5E05F1" wp14:editId="4856831F">
            <wp:extent cx="5731510" cy="2241550"/>
            <wp:effectExtent l="0" t="0" r="2540" b="635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370"/>
                    <a:stretch>
                      <a:fillRect/>
                    </a:stretch>
                  </pic:blipFill>
                  <pic:spPr>
                    <a:xfrm>
                      <a:off x="0" y="0"/>
                      <a:ext cx="5731510" cy="2241550"/>
                    </a:xfrm>
                    <a:prstGeom prst="rect">
                      <a:avLst/>
                    </a:prstGeom>
                  </pic:spPr>
                </pic:pic>
              </a:graphicData>
            </a:graphic>
          </wp:inline>
        </w:drawing>
      </w:r>
    </w:p>
    <w:p w14:paraId="6247A374" w14:textId="22338D2B" w:rsidR="00E72AB9" w:rsidRPr="00F05A8A" w:rsidRDefault="007751D0" w:rsidP="002F075E">
      <w:pPr>
        <w:spacing w:before="600"/>
      </w:pPr>
      <w:r w:rsidRPr="00F05A8A">
        <w:rPr>
          <w:rFonts w:eastAsia="Calibri"/>
        </w:rPr>
        <w:t>Le Conseil a pris note de l'exposé oral et</w:t>
      </w:r>
      <w:r w:rsidR="00CF5980" w:rsidRPr="00F05A8A">
        <w:rPr>
          <w:rFonts w:eastAsia="Calibri"/>
        </w:rPr>
        <w:t xml:space="preserve"> </w:t>
      </w:r>
      <w:r w:rsidRPr="00F05A8A">
        <w:rPr>
          <w:rFonts w:eastAsia="Calibri"/>
        </w:rPr>
        <w:t>demandé</w:t>
      </w:r>
      <w:r w:rsidR="00E72AB9" w:rsidRPr="00F05A8A">
        <w:rPr>
          <w:rFonts w:eastAsia="Calibri"/>
        </w:rPr>
        <w:t xml:space="preserve"> au secrétariat d'élaborer un rapport détaillé à l'intention de la session de 2023 du Conseil, afin de donner des éclaircissements sur les dispositions juridiques et le statut des mémorandums d'accord, ainsi qu'un aperçu des incidences stratégiques et financières.</w:t>
      </w:r>
    </w:p>
    <w:p w14:paraId="433E8D0A" w14:textId="77777777" w:rsidR="00D80461" w:rsidRPr="00F05A8A" w:rsidRDefault="00D80461" w:rsidP="002F075E">
      <w:pPr>
        <w:pStyle w:val="Heading1"/>
      </w:pPr>
      <w:bookmarkStart w:id="498" w:name="_3_Mise_en"/>
      <w:bookmarkStart w:id="499" w:name="_Toc98513616"/>
      <w:bookmarkStart w:id="500" w:name="_Toc107466581"/>
      <w:bookmarkEnd w:id="498"/>
      <w:r w:rsidRPr="00F05A8A">
        <w:t>3</w:t>
      </w:r>
      <w:r w:rsidRPr="00F05A8A">
        <w:tab/>
        <w:t>Mise en œuvre du Plan stratégique de l'UIT: progrès accomplis en vue d'atteindre les buts et objectifs stratégiques</w:t>
      </w:r>
      <w:bookmarkStart w:id="501" w:name="Section_3"/>
      <w:bookmarkEnd w:id="499"/>
      <w:bookmarkEnd w:id="500"/>
    </w:p>
    <w:p w14:paraId="51B5868F" w14:textId="77777777" w:rsidR="00D80461" w:rsidRPr="00F05A8A" w:rsidRDefault="00D80461" w:rsidP="002F075E">
      <w:bookmarkStart w:id="502" w:name="lt_pId903"/>
      <w:bookmarkEnd w:id="501"/>
      <w:r w:rsidRPr="00F05A8A">
        <w:t xml:space="preserve">La Conférence de plénipotentiaires a adopté le Programme Connect 2030 dans le cadre du Plan stratégique de l'UIT pour la période quadriennale 2020-2023. Ce programme et le Plan stratégique de l'UIT comportent cinq buts. Ces derniers sont assortis de 24 cibles stratégiques visant à suivre les progrès accomplis et à aider l'UIT et les parties prenantes à se concentrer sur leurs priorités. Ces buts/cibles sont étroitement liés aux incidences des travaux de l'UIT sur le quotidien des populations et figurent clairement dans les objectifs sectoriels et intersectoriels. La contribution du Secrétariat de l'UIT (Secrétariat général et Bureaux) est évaluée au moyen d'indicateurs appelés "catalyseurs", qui rendent compte de l'efficacité des services d'appui ainsi que du rôle de ces </w:t>
      </w:r>
      <w:r w:rsidRPr="00F05A8A">
        <w:lastRenderedPageBreak/>
        <w:t>services dans l'obtention des produits. Cet aspect du cadre de présentation des résultats relève de l'UIT.</w:t>
      </w:r>
    </w:p>
    <w:p w14:paraId="3BF7F231" w14:textId="77777777" w:rsidR="00D80461" w:rsidRPr="00F05A8A" w:rsidRDefault="00D80461" w:rsidP="002F075E">
      <w:pPr>
        <w:pStyle w:val="Headingb"/>
      </w:pPr>
      <w:bookmarkStart w:id="503" w:name="_Toc41032114"/>
      <w:bookmarkStart w:id="504" w:name="_Toc72845102"/>
      <w:bookmarkStart w:id="505" w:name="_Toc72846435"/>
      <w:bookmarkStart w:id="506" w:name="_Toc72846676"/>
      <w:bookmarkStart w:id="507" w:name="_Toc95387545"/>
      <w:bookmarkStart w:id="508" w:name="lt_pId905"/>
      <w:bookmarkEnd w:id="502"/>
      <w:r w:rsidRPr="00F05A8A">
        <w:t>Progrès accomplis au regard des buts et objectifs stratégiques</w:t>
      </w:r>
      <w:bookmarkEnd w:id="503"/>
      <w:bookmarkEnd w:id="504"/>
      <w:bookmarkEnd w:id="505"/>
      <w:bookmarkEnd w:id="506"/>
      <w:bookmarkEnd w:id="507"/>
    </w:p>
    <w:p w14:paraId="32131E43" w14:textId="77777777" w:rsidR="00D80461" w:rsidRPr="00F05A8A" w:rsidRDefault="00D80461" w:rsidP="002F075E">
      <w:bookmarkStart w:id="509" w:name="lt_pId906"/>
      <w:bookmarkEnd w:id="508"/>
      <w:r w:rsidRPr="00F05A8A">
        <w:t>Les progrès accomplis dans la mise en œuvre du Plan stratégique sont évalués au moyen d'indicateurs à différents niveaux du cadre de présentation des résultats de l'UIT (voir la figure ci</w:t>
      </w:r>
      <w:r w:rsidRPr="00F05A8A">
        <w:noBreakHyphen/>
        <w:t>dessous). Les progrès accomplis au regard des buts et objectifs stratégiques sont mesurés grâce aux éléments suivants:</w:t>
      </w:r>
      <w:bookmarkEnd w:id="509"/>
    </w:p>
    <w:p w14:paraId="227CCFBA" w14:textId="77777777" w:rsidR="00D80461" w:rsidRPr="00F05A8A" w:rsidRDefault="00D80461" w:rsidP="002F075E">
      <w:pPr>
        <w:pStyle w:val="enumlev1"/>
      </w:pPr>
      <w:bookmarkStart w:id="510" w:name="lt_pId907"/>
      <w:r w:rsidRPr="00F05A8A">
        <w:rPr>
          <w:bCs/>
        </w:rPr>
        <w:t>•</w:t>
      </w:r>
      <w:r w:rsidRPr="00F05A8A">
        <w:rPr>
          <w:bCs/>
        </w:rPr>
        <w:tab/>
      </w:r>
      <w:r w:rsidRPr="00F05A8A">
        <w:rPr>
          <w:b/>
        </w:rPr>
        <w:t xml:space="preserve">24 cibles </w:t>
      </w:r>
      <w:r w:rsidRPr="00F05A8A">
        <w:t>liées aux incidences;</w:t>
      </w:r>
      <w:bookmarkEnd w:id="510"/>
    </w:p>
    <w:p w14:paraId="2939CED0" w14:textId="77777777" w:rsidR="00D80461" w:rsidRPr="00F05A8A" w:rsidRDefault="00D80461" w:rsidP="002F075E">
      <w:pPr>
        <w:pStyle w:val="enumlev1"/>
      </w:pPr>
      <w:bookmarkStart w:id="511" w:name="lt_pId908"/>
      <w:r w:rsidRPr="00F05A8A">
        <w:rPr>
          <w:bCs/>
        </w:rPr>
        <w:t>•</w:t>
      </w:r>
      <w:r w:rsidRPr="00F05A8A">
        <w:rPr>
          <w:bCs/>
        </w:rPr>
        <w:tab/>
      </w:r>
      <w:r w:rsidRPr="00F05A8A">
        <w:rPr>
          <w:b/>
        </w:rPr>
        <w:t xml:space="preserve">64 </w:t>
      </w:r>
      <w:bookmarkStart w:id="512" w:name="lt_pId909"/>
      <w:bookmarkEnd w:id="511"/>
      <w:r w:rsidRPr="00F05A8A">
        <w:rPr>
          <w:b/>
        </w:rPr>
        <w:t>indicateurs de résultats</w:t>
      </w:r>
      <w:r w:rsidRPr="00F05A8A">
        <w:rPr>
          <w:bCs/>
        </w:rPr>
        <w:t>. Cette partie du cadre de présentation des résultats comprend: pour l'UIT-R: 3 objectifs et 15 résultats; pour l'UIT-T: 5 objectifs et 14 résultats; pour l'UIT-D: 4 objectifs et 16 résultats; au niveau intersectoriel: 6 objectifs et 19 résultats</w:t>
      </w:r>
      <w:r w:rsidRPr="00F05A8A">
        <w:t>;</w:t>
      </w:r>
      <w:bookmarkEnd w:id="512"/>
    </w:p>
    <w:p w14:paraId="29BFDCE7" w14:textId="77777777" w:rsidR="00D80461" w:rsidRPr="00F05A8A" w:rsidRDefault="00D80461" w:rsidP="002F075E">
      <w:pPr>
        <w:pStyle w:val="enumlev1"/>
      </w:pPr>
      <w:bookmarkStart w:id="513" w:name="lt_pId910"/>
      <w:r w:rsidRPr="00F05A8A">
        <w:rPr>
          <w:bCs/>
        </w:rPr>
        <w:t>•</w:t>
      </w:r>
      <w:r w:rsidRPr="00F05A8A">
        <w:rPr>
          <w:bCs/>
        </w:rPr>
        <w:tab/>
      </w:r>
      <w:r w:rsidRPr="00F05A8A">
        <w:rPr>
          <w:b/>
        </w:rPr>
        <w:t>40 catalyseurs</w:t>
      </w:r>
      <w:r w:rsidRPr="00F05A8A">
        <w:rPr>
          <w:bCs/>
        </w:rPr>
        <w:t>.</w:t>
      </w:r>
      <w:bookmarkEnd w:id="513"/>
    </w:p>
    <w:p w14:paraId="408A4D81" w14:textId="77777777" w:rsidR="00D80461" w:rsidRPr="00F05A8A" w:rsidRDefault="00D80461" w:rsidP="002F075E">
      <w:bookmarkStart w:id="514" w:name="lt_pId911"/>
      <w:r w:rsidRPr="00F05A8A">
        <w:t>Les sections ci-après constituent un résumé des tableaux de bord présentant l'évaluation des résultats de l'UIT.</w:t>
      </w:r>
      <w:bookmarkEnd w:id="514"/>
    </w:p>
    <w:tbl>
      <w:tblPr>
        <w:tblW w:w="10206" w:type="dxa"/>
        <w:jc w:val="center"/>
        <w:tblLayout w:type="fixed"/>
        <w:tblLook w:val="04A0" w:firstRow="1" w:lastRow="0" w:firstColumn="1" w:lastColumn="0" w:noHBand="0" w:noVBand="1"/>
      </w:tblPr>
      <w:tblGrid>
        <w:gridCol w:w="3544"/>
        <w:gridCol w:w="6662"/>
      </w:tblGrid>
      <w:tr w:rsidR="00D80461" w:rsidRPr="00F05A8A" w14:paraId="342DB22B" w14:textId="77777777" w:rsidTr="00142C01">
        <w:trPr>
          <w:trHeight w:val="4550"/>
          <w:jc w:val="center"/>
        </w:trPr>
        <w:tc>
          <w:tcPr>
            <w:tcW w:w="3544" w:type="dxa"/>
            <w:vAlign w:val="center"/>
          </w:tcPr>
          <w:p w14:paraId="14CC2190" w14:textId="77777777" w:rsidR="00D80461" w:rsidRPr="00F05A8A" w:rsidRDefault="00D80461" w:rsidP="002F075E">
            <w:pPr>
              <w:jc w:val="center"/>
            </w:pPr>
            <w:r w:rsidRPr="00F05A8A">
              <w:rPr>
                <w:lang w:eastAsia="fr-FR"/>
              </w:rPr>
              <mc:AlternateContent>
                <mc:Choice Requires="wps">
                  <w:drawing>
                    <wp:anchor distT="45720" distB="45720" distL="114300" distR="114300" simplePos="0" relativeHeight="251662336" behindDoc="0" locked="0" layoutInCell="1" allowOverlap="1" wp14:anchorId="179ACE44" wp14:editId="28E7C831">
                      <wp:simplePos x="0" y="0"/>
                      <wp:positionH relativeFrom="column">
                        <wp:posOffset>-321945</wp:posOffset>
                      </wp:positionH>
                      <wp:positionV relativeFrom="paragraph">
                        <wp:posOffset>1863090</wp:posOffset>
                      </wp:positionV>
                      <wp:extent cx="915670" cy="248285"/>
                      <wp:effectExtent l="0" t="9208" r="8573" b="8572"/>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5670" cy="248285"/>
                              </a:xfrm>
                              <a:prstGeom prst="rect">
                                <a:avLst/>
                              </a:prstGeom>
                              <a:solidFill>
                                <a:srgbClr val="FFFFFF"/>
                              </a:solidFill>
                              <a:ln w="9525">
                                <a:noFill/>
                                <a:miter lim="800000"/>
                                <a:headEnd/>
                                <a:tailEnd/>
                              </a:ln>
                            </wps:spPr>
                            <wps:txbx>
                              <w:txbxContent>
                                <w:p w14:paraId="419C9411" w14:textId="77777777" w:rsidR="00756EAD" w:rsidRPr="00951592" w:rsidRDefault="00756EAD" w:rsidP="00D80461">
                                  <w:pPr>
                                    <w:spacing w:before="0"/>
                                    <w:rPr>
                                      <w:rFonts w:cstheme="minorHAnsi"/>
                                      <w:b/>
                                      <w:bCs/>
                                      <w:color w:val="002060"/>
                                      <w:sz w:val="2"/>
                                      <w:szCs w:val="2"/>
                                      <w:lang w:val="en-GB"/>
                                    </w:rPr>
                                  </w:pPr>
                                  <w:r w:rsidRPr="00A04471">
                                    <w:rPr>
                                      <w:rFonts w:cstheme="minorHAnsi"/>
                                      <w:b/>
                                      <w:bCs/>
                                      <w:color w:val="002060"/>
                                    </w:rPr>
                                    <w:t>Effi</w:t>
                                  </w:r>
                                  <w:r>
                                    <w:rPr>
                                      <w:rFonts w:cstheme="minorHAnsi"/>
                                      <w:b/>
                                      <w:bCs/>
                                      <w:color w:val="002060"/>
                                    </w:rPr>
                                    <w:t>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ACE44" id="Text Box 2" o:spid="_x0000_s1051" type="#_x0000_t202" style="position:absolute;left:0;text-align:left;margin-left:-25.35pt;margin-top:146.7pt;width:72.1pt;height:19.5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" stroked="f">
                      <v:textbox>
                        <w:txbxContent>
                          <w:p w14:paraId="419C9411" w14:textId="77777777" w:rsidR="00756EAD" w:rsidRPr="00951592" w:rsidRDefault="00756EAD" w:rsidP="00D80461">
                            <w:pPr>
                              <w:spacing w:before="0"/>
                              <w:rPr>
                                <w:rFonts w:cstheme="minorHAnsi"/>
                                <w:b/>
                                <w:bCs/>
                                <w:color w:val="002060"/>
                                <w:sz w:val="2"/>
                                <w:szCs w:val="2"/>
                                <w:lang w:val="en-GB"/>
                              </w:rPr>
                            </w:pPr>
                            <w:r w:rsidRPr="00A04471">
                              <w:rPr>
                                <w:rFonts w:cstheme="minorHAnsi"/>
                                <w:b/>
                                <w:bCs/>
                                <w:color w:val="002060"/>
                              </w:rPr>
                              <w:t>Effi</w:t>
                            </w:r>
                            <w:r>
                              <w:rPr>
                                <w:rFonts w:cstheme="minorHAnsi"/>
                                <w:b/>
                                <w:bCs/>
                                <w:color w:val="002060"/>
                              </w:rPr>
                              <w:t>cience</w:t>
                            </w:r>
                          </w:p>
                        </w:txbxContent>
                      </v:textbox>
                    </v:shape>
                  </w:pict>
                </mc:Fallback>
              </mc:AlternateContent>
            </w:r>
            <w:r w:rsidRPr="00F05A8A">
              <w:rPr>
                <w:lang w:eastAsia="fr-FR"/>
              </w:rPr>
              <mc:AlternateContent>
                <mc:Choice Requires="wps">
                  <w:drawing>
                    <wp:anchor distT="45720" distB="45720" distL="114300" distR="114300" simplePos="0" relativeHeight="251661312" behindDoc="0" locked="0" layoutInCell="1" allowOverlap="1" wp14:anchorId="5EF7D033" wp14:editId="63FB0A8B">
                      <wp:simplePos x="0" y="0"/>
                      <wp:positionH relativeFrom="column">
                        <wp:posOffset>-318135</wp:posOffset>
                      </wp:positionH>
                      <wp:positionV relativeFrom="paragraph">
                        <wp:posOffset>920115</wp:posOffset>
                      </wp:positionV>
                      <wp:extent cx="915670" cy="248285"/>
                      <wp:effectExtent l="0" t="9208" r="8573" b="8572"/>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5670" cy="248285"/>
                              </a:xfrm>
                              <a:prstGeom prst="rect">
                                <a:avLst/>
                              </a:prstGeom>
                              <a:solidFill>
                                <a:srgbClr val="FFFFFF"/>
                              </a:solidFill>
                              <a:ln w="9525">
                                <a:noFill/>
                                <a:miter lim="800000"/>
                                <a:headEnd/>
                                <a:tailEnd/>
                              </a:ln>
                            </wps:spPr>
                            <wps:txbx>
                              <w:txbxContent>
                                <w:p w14:paraId="4353BDBC" w14:textId="77777777" w:rsidR="00756EAD" w:rsidRPr="00951592" w:rsidRDefault="00756EAD" w:rsidP="00D80461">
                                  <w:pPr>
                                    <w:spacing w:before="0"/>
                                    <w:rPr>
                                      <w:rFonts w:cstheme="minorHAnsi"/>
                                      <w:b/>
                                      <w:bCs/>
                                      <w:color w:val="002060"/>
                                      <w:sz w:val="2"/>
                                      <w:szCs w:val="2"/>
                                      <w:lang w:val="en-GB"/>
                                    </w:rPr>
                                  </w:pPr>
                                  <w:r w:rsidRPr="00A04471">
                                    <w:rPr>
                                      <w:rFonts w:cstheme="minorHAnsi"/>
                                      <w:b/>
                                      <w:bCs/>
                                      <w:color w:val="002060"/>
                                    </w:rPr>
                                    <w:t>Efficacité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7D033" id="Text Box 7" o:spid="_x0000_s1052" type="#_x0000_t202" style="position:absolute;left:0;text-align:left;margin-left:-25.05pt;margin-top:72.45pt;width:72.1pt;height:19.5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" stroked="f">
                      <v:textbox>
                        <w:txbxContent>
                          <w:p w14:paraId="4353BDBC" w14:textId="77777777" w:rsidR="00756EAD" w:rsidRPr="00951592" w:rsidRDefault="00756EAD" w:rsidP="00D80461">
                            <w:pPr>
                              <w:spacing w:before="0"/>
                              <w:rPr>
                                <w:rFonts w:cstheme="minorHAnsi"/>
                                <w:b/>
                                <w:bCs/>
                                <w:color w:val="002060"/>
                                <w:sz w:val="2"/>
                                <w:szCs w:val="2"/>
                                <w:lang w:val="en-GB"/>
                              </w:rPr>
                            </w:pPr>
                            <w:r w:rsidRPr="00A04471">
                              <w:rPr>
                                <w:rFonts w:cstheme="minorHAnsi"/>
                                <w:b/>
                                <w:bCs/>
                                <w:color w:val="002060"/>
                              </w:rPr>
                              <w:t>Efficacité</w:t>
                            </w:r>
                          </w:p>
                        </w:txbxContent>
                      </v:textbox>
                    </v:shape>
                  </w:pict>
                </mc:Fallback>
              </mc:AlternateContent>
            </w:r>
            <w:r w:rsidRPr="00F05A8A">
              <w:rPr>
                <w:lang w:eastAsia="fr-FR"/>
              </w:rPr>
              <w:drawing>
                <wp:inline distT="0" distB="0" distL="0" distR="0" wp14:anchorId="30D0646B" wp14:editId="45A92241">
                  <wp:extent cx="2040873" cy="2528515"/>
                  <wp:effectExtent l="0" t="0" r="0" b="5715"/>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pic:nvPicPr>
                        <pic:blipFill>
                          <a:blip r:embed="rId371">
                            <a:extLst>
                              <a:ext uri="{28A0092B-C50C-407E-A947-70E740481C1C}">
                                <a14:useLocalDpi xmlns:a14="http://schemas.microsoft.com/office/drawing/2010/main" val="0"/>
                              </a:ext>
                            </a:extLst>
                          </a:blip>
                          <a:stretch>
                            <a:fillRect/>
                          </a:stretch>
                        </pic:blipFill>
                        <pic:spPr>
                          <a:xfrm>
                            <a:off x="0" y="0"/>
                            <a:ext cx="2040873" cy="2528515"/>
                          </a:xfrm>
                          <a:prstGeom prst="rect">
                            <a:avLst/>
                          </a:prstGeom>
                        </pic:spPr>
                      </pic:pic>
                    </a:graphicData>
                  </a:graphic>
                </wp:inline>
              </w:drawing>
            </w:r>
          </w:p>
        </w:tc>
        <w:tc>
          <w:tcPr>
            <w:tcW w:w="6662" w:type="dxa"/>
          </w:tcPr>
          <w:p w14:paraId="763040AA" w14:textId="77777777" w:rsidR="00D80461" w:rsidRPr="00F05A8A" w:rsidRDefault="00D80461" w:rsidP="002F075E">
            <w:r w:rsidRPr="00F05A8A">
              <w:object w:dxaOrig="8788" w:dyaOrig="4957" w14:anchorId="25C5D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85pt;height:209.95pt" o:ole="">
                  <v:imagedata r:id="rId372" o:title=""/>
                </v:shape>
                <o:OLEObject Type="Embed" ProgID="PowerPoint.Slide.12" ShapeID="_x0000_i1025" DrawAspect="Content" ObjectID="_1719819902" r:id="rId373"/>
              </w:object>
            </w:r>
          </w:p>
        </w:tc>
      </w:tr>
    </w:tbl>
    <w:p w14:paraId="5818F190" w14:textId="77777777" w:rsidR="00D80461" w:rsidRPr="00F05A8A" w:rsidRDefault="00D80461" w:rsidP="002F075E">
      <w:pPr>
        <w:spacing w:before="240"/>
      </w:pPr>
      <w:bookmarkStart w:id="515" w:name="lt_pId912"/>
      <w:r w:rsidRPr="00F05A8A">
        <w:t>L'analyse des résultats présentés dans les graphiques ci-après, qui montrent les progrès accomplis au regard des cibles stratégiques, met en relief les conclusions suivantes (voir l'édition de 2021 de la publication de l'UIT "</w:t>
      </w:r>
      <w:hyperlink r:id="rId374" w:history="1">
        <w:r w:rsidRPr="00F05A8A">
          <w:rPr>
            <w:rStyle w:val="Hyperlink"/>
          </w:rPr>
          <w:t>Données et chiffres</w:t>
        </w:r>
      </w:hyperlink>
      <w:r w:rsidRPr="00F05A8A">
        <w:t>"</w:t>
      </w:r>
      <w:bookmarkEnd w:id="515"/>
      <w:r w:rsidRPr="00F05A8A">
        <w:t>):</w:t>
      </w:r>
    </w:p>
    <w:p w14:paraId="4FF80843" w14:textId="77777777" w:rsidR="00D80461" w:rsidRPr="00F05A8A" w:rsidRDefault="00D80461" w:rsidP="002F075E">
      <w:pPr>
        <w:pStyle w:val="enumlev1"/>
      </w:pPr>
      <w:bookmarkStart w:id="516" w:name="lt_pId913"/>
      <w:r w:rsidRPr="00F05A8A">
        <w:t>•</w:t>
      </w:r>
      <w:r w:rsidRPr="00F05A8A">
        <w:tab/>
      </w:r>
      <w:bookmarkEnd w:id="516"/>
      <w:r w:rsidRPr="00F05A8A">
        <w:rPr>
          <w:b/>
        </w:rPr>
        <w:t>L'adoption de l'Internet s'est accélérée pendant la pandémie</w:t>
      </w:r>
      <w:r w:rsidRPr="00F05A8A">
        <w:rPr>
          <w:bCs/>
        </w:rPr>
        <w:t>:</w:t>
      </w:r>
      <w:r w:rsidRPr="00F05A8A">
        <w:t xml:space="preserve"> les dernières données de l'UIT montrent que l'adoption d'Internet s'est accélérée pendant la pandémie. En 2019, 4,1 milliards de personnes (soit 54% de la population mondiale) utilisaient l'Internet. Depuis, le nombre d'utilisateurs a augmenté de 800 millions, pour atteindre 4,9 milliards de personnes en 2021, soit 63% de la population. En 2020, première année de la pandémie, le nombre d'internautes a augmenté de 10,2%. Il s'agit de la plus forte croissance des dix dernières années. Elle a été portée par les pays en développement, dans lesquels la hausse de l'utilisation de l'Internet a atteint 13,3%. En 2021, la croissance est redescendue à un plus modeste 5,8%, proche des valeurs d'avant la crise.</w:t>
      </w:r>
    </w:p>
    <w:p w14:paraId="7961E234" w14:textId="77777777" w:rsidR="00D80461" w:rsidRPr="00F05A8A" w:rsidRDefault="00D80461" w:rsidP="002F075E">
      <w:pPr>
        <w:pStyle w:val="enumlev1"/>
      </w:pPr>
      <w:r w:rsidRPr="00F05A8A">
        <w:t>•</w:t>
      </w:r>
      <w:r w:rsidRPr="00F05A8A">
        <w:tab/>
      </w:r>
      <w:r w:rsidRPr="00F05A8A">
        <w:rPr>
          <w:b/>
        </w:rPr>
        <w:t>Légère diminution de l'écart entre les pays les plus connectés et les pays les moins connectés dans le monde</w:t>
      </w:r>
      <w:r w:rsidRPr="00F05A8A">
        <w:rPr>
          <w:bCs/>
        </w:rPr>
        <w:t>:</w:t>
      </w:r>
      <w:r w:rsidRPr="00F05A8A">
        <w:t xml:space="preserve"> entre 2019 et 2021, l'utilisation de l'Internet a fait un bon de 23% </w:t>
      </w:r>
      <w:r w:rsidRPr="00F05A8A">
        <w:lastRenderedPageBreak/>
        <w:t>en Afrique et de 24% dans la région Asie-Pacifique. Sur la même période, le nombre d'internautes dans les pays les moins avancés (PMA) a augmenté de 20% et s'élève désormais à 27% de la population. La progression a logiquement été bien plus faible dans les pays développés, étant donné que l'utilisation de l'Internet y est déjà quasiment universelle et dépasse les 90% de la population. Cet écart de progression a contribué à combler légèrement l'écart entre les pays les plus connectés et les pays les moins connectés dans le monde: par exemple, l'écart entre les pays développés et les PMA est passé de 66 points de pourcentage en 2017 à 63 points de pourcentage en 2021.</w:t>
      </w:r>
    </w:p>
    <w:p w14:paraId="3B2FEC5D" w14:textId="77777777" w:rsidR="00D80461" w:rsidRPr="00F05A8A" w:rsidRDefault="00D80461" w:rsidP="002F075E">
      <w:pPr>
        <w:pStyle w:val="enumlev1"/>
        <w:rPr>
          <w:b/>
        </w:rPr>
      </w:pPr>
      <w:r w:rsidRPr="00F05A8A">
        <w:t>•</w:t>
      </w:r>
      <w:r w:rsidRPr="00F05A8A">
        <w:tab/>
      </w:r>
      <w:r w:rsidRPr="00F05A8A">
        <w:rPr>
          <w:b/>
        </w:rPr>
        <w:t>L'utilisation de l'Internet se rapproche de la parité hommes/femmes</w:t>
      </w:r>
      <w:r w:rsidRPr="00F05A8A">
        <w:rPr>
          <w:bCs/>
        </w:rPr>
        <w:t xml:space="preserve">: </w:t>
      </w:r>
      <w:r w:rsidRPr="00F05A8A">
        <w:t>en 2020, à l'échelle mondiale, 62% des hommes utilisaient l'Internet, contre 57% des femmes. On considère que la parité est atteinte lorsque la note de parité entre les sexes, définie comme le pourcentage pour les femmes divisé par le pourcentage pour les hommes, est comprise entre 0,98 et 1,02. Dans toutes les régions, les disparités entre hommes et femmes concernant l'utilisation de l'Internet ont diminué ces dernières années (voir la figure en page suivante). Ainsi, la note globale de parité entre les sexes s'est améliorée, passant de 0,89 en 2018 à 0,92 en 2020. La parité a été atteinte dans les pays développés considérés dans leur ensemble ainsi que dans la région Amériques. Elle est presque atteinte (la note est comprise entre 0,95 et 0,98) dans la région de la Communauté des États indépendants (CEI), dans les petits États insulaires en développement (PEID) ainsi qu'en Europe. Des écarts importants persistent dans les PMA, où seulement 19% des femmes utilisent l'Internet (soit 12 points de pourcentage de moins que les hommes), dans les pays en développement sans littoral (PDSL) (27% des femmes contre 38% des hommes), en Afrique (24% contre 35%) et dans les États arabes (56% contre 68%).</w:t>
      </w:r>
    </w:p>
    <w:p w14:paraId="388B6ED9" w14:textId="77777777" w:rsidR="00D80461" w:rsidRPr="00F05A8A" w:rsidRDefault="00D80461" w:rsidP="002F075E">
      <w:pPr>
        <w:pStyle w:val="enumlev1"/>
      </w:pPr>
      <w:r w:rsidRPr="00F05A8A">
        <w:t>•</w:t>
      </w:r>
      <w:r w:rsidRPr="00F05A8A">
        <w:tab/>
      </w:r>
      <w:r w:rsidRPr="00F05A8A">
        <w:rPr>
          <w:b/>
        </w:rPr>
        <w:t>Des jeunes plus connectés que le reste de la population</w:t>
      </w:r>
      <w:r w:rsidRPr="00F05A8A">
        <w:rPr>
          <w:bCs/>
        </w:rPr>
        <w:t>:</w:t>
      </w:r>
      <w:r w:rsidRPr="00F05A8A">
        <w:t xml:space="preserve"> en 2020, 71% des jeunes (âgés de 15 à 24 ans) dans le monde utilisaient l'Internet, contre 57% des personnes des autres tranches d'âge. À l'échelle mondiale, les jeunes étaient donc 1,24 fois plus susceptibles de se connecter que le reste de la population. Dans les pays développés, où 90% de la population est déjà en ligne, ce rapport était faible (1,14). Il s'élève à 1,32 dans les pays en développement et atteint 1,53 dans les PMA, où 34% des jeunes étaient connectés, contre 22% seulement du reste de la population. Le rapport était de 1,47 pour l'Afrique et de 1,35 pour la région Asie-Pacifique. La plus grande adoption de l'Internet chez les jeunes est de bon augure pour la connectivité dans les zones où le profil démographique montre une surreprésentation des jeunes, comme les PMA, où la moitié de la population a moins de 20 ans. Cela signifie que la population active sera davantage connectée et technophile à mesure que les jeunes rejoindront ses rangs, ce qui pourrait à son tour améliorer les perspectives de développement de ces régions.</w:t>
      </w:r>
    </w:p>
    <w:p w14:paraId="6B332610" w14:textId="77777777" w:rsidR="0066212F" w:rsidRPr="00F05A8A" w:rsidRDefault="00D80461" w:rsidP="002F075E">
      <w:pPr>
        <w:pStyle w:val="enumlev1"/>
      </w:pPr>
      <w:bookmarkStart w:id="517" w:name="_Toc37860471"/>
      <w:r w:rsidRPr="00F05A8A">
        <w:t>•</w:t>
      </w:r>
      <w:r w:rsidRPr="00F05A8A">
        <w:tab/>
      </w:r>
      <w:r w:rsidRPr="00F05A8A">
        <w:rPr>
          <w:b/>
        </w:rPr>
        <w:t>La plus grande partie de la population mondiale est desservie par un signal mobile large bande, mais des zones blanches subsistent</w:t>
      </w:r>
      <w:r w:rsidRPr="00F05A8A">
        <w:rPr>
          <w:bCs/>
        </w:rPr>
        <w:t>:</w:t>
      </w:r>
      <w:r w:rsidRPr="00F05A8A">
        <w:t xml:space="preserve"> dans la plupart des pays en développement, le large bande mobile (3G ou plus) constitue le principal, et souvent le seul, moyen d'accès à l'Internet. Néanmoins, les utilisateurs potentiels font face à d'autres obstacles pour accéder à la connectivité. Quatre-vingt-quinze pour cent de la population mondiale a désormais accès à un réseau mobile large bande. Entre 2015 et 2021, la couverture des réseaux 4G a doublé pour atteindre 88% de la population mondiale. Dans quatre des six régions, le large bande mobile (3G ou plus) dessert 90% de la population et, avec 89%, la région de la CEI est très proche de cette valeur. La couverture reste encore très insuffisante en Afrique, où, malgré une augmentation de 21% de la couverture 4G depuis 2020, 18% de la population n'a </w:t>
      </w:r>
      <w:r w:rsidRPr="00F05A8A">
        <w:lastRenderedPageBreak/>
        <w:t xml:space="preserve">toujours pas accès à un réseau large bande mobile. Une part presque égale (17%) de la population des PMA et des PDSL ne bénéficie pas non plus d'un tel accès, un résultat qui est </w:t>
      </w:r>
      <w:r w:rsidR="0066212F" w:rsidRPr="00F05A8A">
        <w:br w:type="page"/>
      </w:r>
    </w:p>
    <w:p w14:paraId="5828441C" w14:textId="2448263B" w:rsidR="00D80461" w:rsidRPr="00F05A8A" w:rsidRDefault="0066212F" w:rsidP="002F075E">
      <w:pPr>
        <w:pStyle w:val="enumlev1"/>
      </w:pPr>
      <w:r w:rsidRPr="00F05A8A">
        <w:lastRenderedPageBreak/>
        <w:tab/>
      </w:r>
      <w:r w:rsidR="00D80461" w:rsidRPr="00F05A8A">
        <w:t>loin de la cible 9.c de l'ODD 9, à savoir "accroître nettement l'accès aux technologies de l'information et de la communication et faire en sorte que tous les habitants des pays les moins avancés aient accès à Internet à un coût abordable d'ici à 2020".</w:t>
      </w:r>
    </w:p>
    <w:bookmarkEnd w:id="517"/>
    <w:p w14:paraId="298C9A16" w14:textId="20064D8B" w:rsidR="00D80461" w:rsidRPr="00F05A8A" w:rsidRDefault="00D80461" w:rsidP="002F075E">
      <w:pPr>
        <w:pStyle w:val="enumlev1"/>
      </w:pPr>
      <w:r w:rsidRPr="00F05A8A">
        <w:t>•</w:t>
      </w:r>
      <w:r w:rsidRPr="00F05A8A">
        <w:tab/>
      </w:r>
      <w:r w:rsidRPr="00F05A8A">
        <w:rPr>
          <w:b/>
        </w:rPr>
        <w:t>L'utilisation de la bande passante internationale continue d'augmenter fortement</w:t>
      </w:r>
      <w:r w:rsidRPr="00F05A8A">
        <w:rPr>
          <w:bCs/>
        </w:rPr>
        <w:t>:</w:t>
      </w:r>
      <w:r w:rsidRPr="00F05A8A">
        <w:t xml:space="preserve"> L'utilisation de la bande passante internationale au niveau mondial en 2021 a atteint un total de 932 Tbit/s, contre 719 Tbit/s en 2020, soit une augmentation de 30%, similaire à celle enregistrée l'année précédente. La région où l'utilisation de la bande passante internationale a été la plus élevée est l'Asie-Pacifique, avec plus de 400 Tbit/s, soit deux fois plus qu'en Europe (204 Tbit/s) ou que dans la région Amériques (180 Tbit/s). Si l'on regarde les chiffres par utilisateur, l'Europe arrive en tête avec 340 kbit/s par internaute, suivie par la région Amériques avec 214 kbit/s et par les États arabes avec 174 kbit/s (pour la première fois, la valeur par utilisateur dans les États arabes est supérieure à celle pour la région Asie</w:t>
      </w:r>
      <w:r w:rsidRPr="00F05A8A">
        <w:noBreakHyphen/>
        <w:t>Pacifique). L'utilisation de la bande passante internationale dans les PMA s'élève seulement à 34 kbit/s par internaute, ce qui contraste nettement avec les pays en développement et les pays développés (144 kbit/s et 296 kbit/s, respectivement).</w:t>
      </w:r>
    </w:p>
    <w:p w14:paraId="12000627" w14:textId="77777777" w:rsidR="00D80461" w:rsidRPr="00F05A8A" w:rsidRDefault="00D80461" w:rsidP="002F075E">
      <w:pPr>
        <w:pStyle w:val="enumlev1"/>
      </w:pPr>
      <w:r w:rsidRPr="00F05A8A">
        <w:t>•</w:t>
      </w:r>
      <w:r w:rsidRPr="00F05A8A">
        <w:tab/>
      </w:r>
      <w:r w:rsidRPr="00F05A8A">
        <w:rPr>
          <w:b/>
        </w:rPr>
        <w:t>Malgré une diminution constante, le coût de la connexion reste élevé dans les pays en développement</w:t>
      </w:r>
      <w:r w:rsidRPr="00F05A8A">
        <w:rPr>
          <w:bCs/>
        </w:rPr>
        <w:t xml:space="preserve">: </w:t>
      </w:r>
      <w:r w:rsidRPr="00F05A8A">
        <w:t>les prix restent prohibitifs dans de nombreuses régions du monde. En ce qui concerne le large bande mobile, un peu moins de la moitié des pays pour lesquels l'UIT a recueilli des informations en 2020 ne remplissent toujours pas l'objectif</w:t>
      </w:r>
      <w:r w:rsidRPr="00F05A8A">
        <w:rPr>
          <w:rStyle w:val="FootnoteReference"/>
        </w:rPr>
        <w:footnoteReference w:id="1"/>
      </w:r>
      <w:r w:rsidRPr="00F05A8A">
        <w:t xml:space="preserve"> (84 sur 195) et, en ce qui concerne le large bande fixe, ils sont plus de la moitié dans ce cas (56%). Dans les PMA, le prix médian pour le large bande d'entrée de gamme a diminué, mais il reste hors de portée pour le consommateur moyen dans tous les PMA sauf quatre sur les 43 pour lesquels des données ont pu être recueillies. Pour ce qui est du large bande fixe, sur les 33 PMA pour lesquels des données sont disponibles, un seul a atteint l'objectif des 2%.</w:t>
      </w:r>
    </w:p>
    <w:p w14:paraId="25F8B693" w14:textId="77777777" w:rsidR="00D80461" w:rsidRPr="00F05A8A" w:rsidRDefault="00D80461" w:rsidP="002F075E">
      <w:pPr>
        <w:pStyle w:val="enumlev1"/>
      </w:pPr>
      <w:r w:rsidRPr="00F05A8A">
        <w:t>•</w:t>
      </w:r>
      <w:r w:rsidRPr="00F05A8A">
        <w:tab/>
      </w:r>
      <w:r w:rsidRPr="00F05A8A">
        <w:rPr>
          <w:b/>
        </w:rPr>
        <w:t>Les téléphones mobiles sont de plus en plus présents partout</w:t>
      </w:r>
      <w:r w:rsidRPr="00F05A8A">
        <w:rPr>
          <w:bCs/>
        </w:rPr>
        <w:t xml:space="preserve">: </w:t>
      </w:r>
      <w:r w:rsidRPr="00F05A8A">
        <w:t>dans près de la moitié des pays pour lesquels des données sont disponibles pour la période 2018-2020, plus de 90% de la population possède un téléphone mobile. Dans dix autres pays, cette proportion est comprise entre 80 et 90%. Elle est inférieure à 50% dans seulement trois pays, avec un minimum à 45%. Il est établi que la possession d'un téléphone mobile est un important outil d'autonomisation des femmes et le monde évolue vers une plus grande égalité hommes/femmes en la matière. Dans la moitié des 60 pays pour lesquels des données sont disponibles pour la période 2018-2020, autant d'hommes que de femmes possèdent un téléphone mobile et dans dix autres pays, les femmes sont plus nombreuses à posséder un téléphone mobile que les hommes. Néanmoins, dans 21 pays, les femmes sont moins nombreuses à posséder un téléphone mobile que les hommes et, dans certains cas, la différence est considérable.</w:t>
      </w:r>
    </w:p>
    <w:p w14:paraId="5180E5EA" w14:textId="77777777" w:rsidR="00D80461" w:rsidRPr="00F05A8A" w:rsidRDefault="00D80461" w:rsidP="002F075E">
      <w:pPr>
        <w:pStyle w:val="enumlev1"/>
      </w:pPr>
      <w:r w:rsidRPr="00F05A8A">
        <w:t>•</w:t>
      </w:r>
      <w:r w:rsidRPr="00F05A8A">
        <w:tab/>
      </w:r>
      <w:r w:rsidRPr="00F05A8A">
        <w:rPr>
          <w:b/>
        </w:rPr>
        <w:t>Les problèmes au sein du secteur des TIC se multiplient</w:t>
      </w:r>
      <w:r w:rsidRPr="00F05A8A">
        <w:rPr>
          <w:bCs/>
        </w:rPr>
        <w:t>:</w:t>
      </w:r>
      <w:r w:rsidRPr="00F05A8A">
        <w:t xml:space="preserve"> on lit dans le rapport "Carbon impact of video streaming" (L'emprunte carbone du streaming vidéo) que les émissions de carbone liées au secteur des TIC ont augmenté pendant la période allant du début des années 90 à 2010. Cependant, la courbe pour ces émissions a atteint un plateau et est restée relativement stable au cours de la dernière décennie, malgré des volumes de données échangés sur les réseaux qui ne cessent de croître, année après année. La courbe des émissions liées aux TIC s'est aplanie et a même diminué puisqu'elle est passée de 1,5% </w:t>
      </w:r>
      <w:r w:rsidRPr="00F05A8A">
        <w:lastRenderedPageBreak/>
        <w:t>à 1,3% des émissions totales de carbone au cours des dix dernières années et qu'en termes absolus, les émissions liées aux TIC ont légèrement diminué par rapport au pic de </w:t>
      </w:r>
      <w:r w:rsidRPr="00F05A8A">
        <w:rPr>
          <w:rFonts w:asciiTheme="minorHAnsi" w:hAnsiTheme="minorHAnsi" w:cstheme="minorBidi"/>
        </w:rPr>
        <w:t>730 Mt de CO</w:t>
      </w:r>
      <w:r w:rsidRPr="00F05A8A">
        <w:rPr>
          <w:rFonts w:asciiTheme="minorHAnsi" w:hAnsiTheme="minorHAnsi" w:cstheme="minorBidi"/>
          <w:vertAlign w:val="subscript"/>
        </w:rPr>
        <w:t>2</w:t>
      </w:r>
      <w:r w:rsidRPr="00F05A8A">
        <w:rPr>
          <w:rFonts w:asciiTheme="minorHAnsi" w:hAnsiTheme="minorHAnsi" w:cstheme="minorBidi"/>
        </w:rPr>
        <w:t>e atteint en 2015, pour revenir à 710 Mt de CO</w:t>
      </w:r>
      <w:r w:rsidRPr="00F05A8A">
        <w:rPr>
          <w:rFonts w:asciiTheme="minorHAnsi" w:hAnsiTheme="minorHAnsi" w:cstheme="minorBidi"/>
          <w:vertAlign w:val="subscript"/>
        </w:rPr>
        <w:t>2</w:t>
      </w:r>
      <w:r w:rsidRPr="00F05A8A">
        <w:rPr>
          <w:rFonts w:asciiTheme="minorHAnsi" w:hAnsiTheme="minorHAnsi" w:cstheme="minorBidi"/>
        </w:rPr>
        <w:t>e en 2018 puis à environ 690 Mt de CO</w:t>
      </w:r>
      <w:r w:rsidRPr="00F05A8A">
        <w:rPr>
          <w:rFonts w:asciiTheme="minorHAnsi" w:hAnsiTheme="minorHAnsi" w:cstheme="minorBidi"/>
          <w:vertAlign w:val="subscript"/>
        </w:rPr>
        <w:t>2</w:t>
      </w:r>
      <w:r w:rsidRPr="00F05A8A">
        <w:rPr>
          <w:rFonts w:asciiTheme="minorHAnsi" w:hAnsiTheme="minorHAnsi" w:cstheme="minorBidi"/>
        </w:rPr>
        <w:t>e en 2020. En revanche, le volume des déchets d'équipements électriques et électroniques est en hausse</w:t>
      </w:r>
      <w:r w:rsidRPr="00F05A8A">
        <w:rPr>
          <w:rStyle w:val="normaltextrun"/>
          <w:rFonts w:eastAsiaTheme="majorEastAsia"/>
        </w:rPr>
        <w:t xml:space="preserve">, </w:t>
      </w:r>
      <w:bookmarkStart w:id="518" w:name="lt_pId937"/>
      <w:r w:rsidRPr="00F05A8A">
        <w:t xml:space="preserve">passant de 44,7 mégatonnes produites en 2016 à 53,6 mégatonnes en 2019, tandis que le pourcentage de ces déchets (répertoriés comme étant collectés et recyclés de manière adaptée) est passé de 20 à 17,4% sur la même période. Les cybermenaces sont également en augmentation. Toutefois, le pourcentage de pays qui ont mis en place une équipe CIRT, CERT ou CSIRT a augmenté </w:t>
      </w:r>
      <w:bookmarkEnd w:id="518"/>
      <w:r w:rsidRPr="00F05A8A">
        <w:t>de 56% en 2019 à 60,82% en 2020.</w:t>
      </w:r>
      <w:bookmarkStart w:id="519" w:name="lt_pId938"/>
    </w:p>
    <w:p w14:paraId="1CD7EB83" w14:textId="77777777" w:rsidR="00D80461" w:rsidRPr="00F05A8A" w:rsidRDefault="00D80461" w:rsidP="002F075E">
      <w:pPr>
        <w:pStyle w:val="enumlev1"/>
        <w:rPr>
          <w:b/>
          <w:bCs/>
        </w:rPr>
      </w:pPr>
      <w:r w:rsidRPr="00F05A8A">
        <w:t>•</w:t>
      </w:r>
      <w:r w:rsidRPr="00F05A8A">
        <w:tab/>
      </w:r>
      <w:bookmarkStart w:id="520" w:name="lt_pId939"/>
      <w:bookmarkEnd w:id="519"/>
      <w:r w:rsidRPr="00F05A8A">
        <w:rPr>
          <w:b/>
          <w:bCs/>
        </w:rPr>
        <w:t>De plus en plus de pays mettent en place des politiques générales/stratégies visant à promouvoir l'innovation centrée sur les télécommunications/TIC</w:t>
      </w:r>
      <w:r w:rsidRPr="00F05A8A">
        <w:t xml:space="preserve">: les données indiquent qu'en 2019, 66 pays disposaient de politiques/stratégies visant à promouvoir l'innovation centrée sur les télécommunications/TIC. </w:t>
      </w:r>
      <w:bookmarkEnd w:id="520"/>
      <w:r w:rsidRPr="00F05A8A">
        <w:t>Ce chiffre a augmenté en 2020 pour atteindre 74 pays, ce qui confirme que des progrès ont été accomplis, mais pas au rythme nécessaire pour atteindre la cible de 100 pays d'ici à 2023.</w:t>
      </w:r>
    </w:p>
    <w:p w14:paraId="2272C347" w14:textId="77777777" w:rsidR="00D80461" w:rsidRPr="00F05A8A" w:rsidRDefault="00D80461" w:rsidP="002F075E">
      <w:pPr>
        <w:pStyle w:val="enumlev1"/>
      </w:pPr>
      <w:bookmarkStart w:id="521" w:name="lt_pId940"/>
      <w:r w:rsidRPr="00F05A8A">
        <w:t>•</w:t>
      </w:r>
      <w:r w:rsidRPr="00F05A8A">
        <w:tab/>
      </w:r>
      <w:r w:rsidRPr="00F05A8A">
        <w:rPr>
          <w:b/>
          <w:bCs/>
        </w:rPr>
        <w:t>Les membres considèrent que les partenariats dans le secteur des télécommunications/TIC constituent une tendance positive</w:t>
      </w:r>
      <w:r w:rsidRPr="00F05A8A">
        <w:t>: seuls 4% des membres de l'UIT ayant répondu à l'enquête de 2020 n'étaient pas d'accord ou pas du tout d'accord avec le postulat suivant: "Votre organisation collabore davantage avec d'autres parties prenantes par rapport aux années précédentes" (cette valeur a légèrement diminué en 2021); et seuls 2% n'étaient pas d'accord avec le postulat suivant: "Votre organisation tire parti de meilleures synergies en collaborant avec d'autres acteurs" dans le cadre de cette même enquête, réalisée en 2020 ainsi qu'en 2021.</w:t>
      </w:r>
      <w:bookmarkEnd w:id="521"/>
    </w:p>
    <w:p w14:paraId="27BA4799" w14:textId="77777777" w:rsidR="00D80461" w:rsidRPr="00F05A8A" w:rsidRDefault="00D80461" w:rsidP="002F075E">
      <w:pPr>
        <w:pStyle w:val="Headingb"/>
        <w:ind w:left="0" w:firstLine="0"/>
      </w:pPr>
      <w:bookmarkStart w:id="522" w:name="lt_pId946"/>
      <w:bookmarkStart w:id="523" w:name="_Toc41032116"/>
      <w:bookmarkStart w:id="524" w:name="_Toc72845104"/>
      <w:bookmarkStart w:id="525" w:name="_Toc72846437"/>
      <w:bookmarkStart w:id="526" w:name="_Toc72846678"/>
      <w:bookmarkStart w:id="527" w:name="_Toc95387546"/>
      <w:r w:rsidRPr="00F05A8A">
        <w:t>Dans quelle mesure les TIC/télécommunications contribuent-elles aux Objectifs de développement durable?</w:t>
      </w:r>
      <w:bookmarkEnd w:id="522"/>
      <w:bookmarkEnd w:id="523"/>
      <w:bookmarkEnd w:id="524"/>
      <w:bookmarkEnd w:id="525"/>
      <w:bookmarkEnd w:id="526"/>
      <w:bookmarkEnd w:id="527"/>
    </w:p>
    <w:p w14:paraId="30597307" w14:textId="7EEF66FE" w:rsidR="00D80461" w:rsidRPr="00F05A8A" w:rsidRDefault="00D80461" w:rsidP="002F075E">
      <w:pPr>
        <w:spacing w:after="240"/>
      </w:pPr>
      <w:bookmarkStart w:id="528" w:name="lt_pId948"/>
      <w:r w:rsidRPr="00F05A8A">
        <w:t xml:space="preserve">Afin d'évaluer la perception qu'ont les membres de l'UIT à propos de la façon dont les TIC/télécommunications contribuent aux Objectifs de développement durable, une nouvelle question a été ajoutée dans le cadre de l'enquête de 2020 menée auprès des membres de l'UIT. Les résultats sont encourageants: en 2019, seulement 1% des membres n'étaient pas d'accord et plus de 60% étaient d'accord ou tout à fait d'accord avec le postulat suivant: "Les TIC/télécommunications contribuent </w:t>
      </w:r>
      <w:r w:rsidRPr="00F05A8A">
        <w:rPr>
          <w:b/>
          <w:bCs/>
        </w:rPr>
        <w:t>dans une large mesure</w:t>
      </w:r>
      <w:r w:rsidRPr="00F05A8A">
        <w:t xml:space="preserve"> à la réalisation des Objectifs de développement durable" (voir le graphique ci-dessous).</w:t>
      </w:r>
      <w:bookmarkEnd w:id="528"/>
      <w:r w:rsidRPr="00F05A8A">
        <w:t xml:space="preserve"> Il y a lieu de noter que le pourcentage de personnes ayant répondu être tout à fait d'accord avec ce postulat est passé de 19 à 22% en 2020, puis à 27,4% en 2021.</w:t>
      </w:r>
    </w:p>
    <w:p w14:paraId="414F1C01" w14:textId="6F4C239A" w:rsidR="0066212F" w:rsidRPr="00F05A8A" w:rsidRDefault="0066212F" w:rsidP="002F075E">
      <w:pPr>
        <w:spacing w:after="240"/>
      </w:pPr>
      <w:r w:rsidRPr="00F05A8A">
        <w:br w:type="page"/>
      </w:r>
    </w:p>
    <w:tbl>
      <w:tblPr>
        <w:tblW w:w="0" w:type="auto"/>
        <w:tblLook w:val="04A0" w:firstRow="1" w:lastRow="0" w:firstColumn="1" w:lastColumn="0" w:noHBand="0" w:noVBand="1"/>
      </w:tblPr>
      <w:tblGrid>
        <w:gridCol w:w="4814"/>
        <w:gridCol w:w="4815"/>
      </w:tblGrid>
      <w:tr w:rsidR="00D80461" w:rsidRPr="00F05A8A" w14:paraId="1B6E32E7" w14:textId="77777777" w:rsidTr="00142C01">
        <w:tc>
          <w:tcPr>
            <w:tcW w:w="4814" w:type="dxa"/>
          </w:tcPr>
          <w:p w14:paraId="729EA117" w14:textId="77777777" w:rsidR="00D80461" w:rsidRPr="00F05A8A" w:rsidRDefault="00D80461" w:rsidP="002F075E">
            <w:pPr>
              <w:spacing w:before="0"/>
              <w:jc w:val="center"/>
              <w:rPr>
                <w:b/>
              </w:rPr>
            </w:pPr>
            <w:r w:rsidRPr="00F05A8A">
              <w:rPr>
                <w:b/>
              </w:rPr>
              <w:lastRenderedPageBreak/>
              <w:t>2019</w:t>
            </w:r>
          </w:p>
        </w:tc>
        <w:tc>
          <w:tcPr>
            <w:tcW w:w="4815" w:type="dxa"/>
          </w:tcPr>
          <w:p w14:paraId="4A96EF7C" w14:textId="77777777" w:rsidR="00D80461" w:rsidRPr="00F05A8A" w:rsidRDefault="00D80461" w:rsidP="002F075E">
            <w:pPr>
              <w:spacing w:before="0"/>
              <w:jc w:val="center"/>
              <w:rPr>
                <w:b/>
              </w:rPr>
            </w:pPr>
            <w:r w:rsidRPr="00F05A8A">
              <w:rPr>
                <w:b/>
              </w:rPr>
              <w:t>2020</w:t>
            </w:r>
          </w:p>
        </w:tc>
      </w:tr>
      <w:tr w:rsidR="00D80461" w:rsidRPr="00F05A8A" w14:paraId="6148348E" w14:textId="77777777" w:rsidTr="00142C01">
        <w:tc>
          <w:tcPr>
            <w:tcW w:w="4814" w:type="dxa"/>
          </w:tcPr>
          <w:p w14:paraId="6DA38D00" w14:textId="77777777" w:rsidR="00D80461" w:rsidRPr="00F05A8A" w:rsidRDefault="00D80461" w:rsidP="002F075E">
            <w:pPr>
              <w:spacing w:after="240"/>
              <w:jc w:val="center"/>
            </w:pPr>
            <w:r w:rsidRPr="00F05A8A">
              <w:rPr>
                <w:b/>
                <w:bCs/>
                <w:szCs w:val="24"/>
                <w:lang w:eastAsia="fr-FR"/>
              </w:rPr>
              <mc:AlternateContent>
                <mc:Choice Requires="wps">
                  <w:drawing>
                    <wp:anchor distT="0" distB="0" distL="114300" distR="114300" simplePos="0" relativeHeight="251665408" behindDoc="0" locked="0" layoutInCell="1" allowOverlap="1" wp14:anchorId="0493F919" wp14:editId="3BC7F39F">
                      <wp:simplePos x="0" y="0"/>
                      <wp:positionH relativeFrom="column">
                        <wp:posOffset>57491</wp:posOffset>
                      </wp:positionH>
                      <wp:positionV relativeFrom="paragraph">
                        <wp:posOffset>555217</wp:posOffset>
                      </wp:positionV>
                      <wp:extent cx="941562" cy="129653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562" cy="1296538"/>
                              </a:xfrm>
                              <a:prstGeom prst="rect">
                                <a:avLst/>
                              </a:prstGeom>
                              <a:solidFill>
                                <a:schemeClr val="bg1"/>
                              </a:solidFill>
                              <a:ln w="9525">
                                <a:noFill/>
                                <a:miter lim="800000"/>
                                <a:headEnd/>
                                <a:tailEnd/>
                              </a:ln>
                            </wps:spPr>
                            <wps:txbx>
                              <w:txbxContent>
                                <w:p w14:paraId="435375CF" w14:textId="77777777" w:rsidR="00756EAD" w:rsidRDefault="00756EAD" w:rsidP="00D8046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73DB54F2" w14:textId="77777777" w:rsidR="00756EAD" w:rsidRDefault="00756EAD" w:rsidP="00D80461">
                                  <w:pPr>
                                    <w:jc w:val="right"/>
                                    <w:rPr>
                                      <w:sz w:val="16"/>
                                      <w:szCs w:val="16"/>
                                    </w:rPr>
                                  </w:pPr>
                                  <w:r w:rsidRPr="00B31767">
                                    <w:rPr>
                                      <w:sz w:val="16"/>
                                      <w:szCs w:val="16"/>
                                    </w:rPr>
                                    <w:t>D</w:t>
                                  </w:r>
                                  <w:r>
                                    <w:rPr>
                                      <w:sz w:val="16"/>
                                      <w:szCs w:val="16"/>
                                    </w:rPr>
                                    <w:t>'</w:t>
                                  </w:r>
                                  <w:r w:rsidRPr="00B31767">
                                    <w:rPr>
                                      <w:sz w:val="16"/>
                                      <w:szCs w:val="16"/>
                                    </w:rPr>
                                    <w:t>accord</w:t>
                                  </w:r>
                                </w:p>
                                <w:p w14:paraId="4056C472" w14:textId="77777777" w:rsidR="00756EAD" w:rsidRDefault="00756EAD" w:rsidP="00D80461">
                                  <w:pPr>
                                    <w:spacing w:before="180"/>
                                    <w:jc w:val="right"/>
                                    <w:rPr>
                                      <w:sz w:val="16"/>
                                      <w:szCs w:val="16"/>
                                    </w:rPr>
                                  </w:pPr>
                                  <w:r w:rsidRPr="00B31767">
                                    <w:rPr>
                                      <w:sz w:val="16"/>
                                      <w:szCs w:val="16"/>
                                    </w:rPr>
                                    <w:t>Sans opinion</w:t>
                                  </w:r>
                                </w:p>
                                <w:p w14:paraId="5BBB1F0E" w14:textId="77777777" w:rsidR="00756EAD" w:rsidRDefault="00756EAD" w:rsidP="00D80461">
                                  <w:pPr>
                                    <w:spacing w:before="180"/>
                                    <w:jc w:val="right"/>
                                    <w:rPr>
                                      <w:sz w:val="16"/>
                                      <w:szCs w:val="16"/>
                                    </w:rPr>
                                  </w:pPr>
                                  <w:r w:rsidRPr="00B31767">
                                    <w:rPr>
                                      <w:sz w:val="16"/>
                                      <w:szCs w:val="16"/>
                                    </w:rPr>
                                    <w:t>Pas d</w:t>
                                  </w:r>
                                  <w:r>
                                    <w:rPr>
                                      <w:sz w:val="16"/>
                                      <w:szCs w:val="16"/>
                                    </w:rPr>
                                    <w:t>'</w:t>
                                  </w:r>
                                  <w:r w:rsidRPr="00B31767">
                                    <w:rPr>
                                      <w:sz w:val="16"/>
                                      <w:szCs w:val="16"/>
                                    </w:rPr>
                                    <w:t>accord</w:t>
                                  </w:r>
                                </w:p>
                                <w:p w14:paraId="34A34D87" w14:textId="77777777" w:rsidR="00756EAD" w:rsidRDefault="00756EAD" w:rsidP="00D80461">
                                  <w:pPr>
                                    <w:spacing w:before="160"/>
                                    <w:jc w:val="right"/>
                                    <w:rPr>
                                      <w:sz w:val="16"/>
                                      <w:szCs w:val="16"/>
                                    </w:rPr>
                                  </w:pPr>
                                  <w:r w:rsidRPr="00B31767">
                                    <w:rPr>
                                      <w:sz w:val="16"/>
                                      <w:szCs w:val="16"/>
                                    </w:rPr>
                                    <w:t>Pas du tout d</w:t>
                                  </w:r>
                                  <w:r>
                                    <w:rPr>
                                      <w:sz w:val="16"/>
                                      <w:szCs w:val="16"/>
                                    </w:rPr>
                                    <w:t>'</w:t>
                                  </w:r>
                                  <w:r w:rsidRPr="00B31767">
                                    <w:rPr>
                                      <w:sz w:val="16"/>
                                      <w:szCs w:val="16"/>
                                    </w:rPr>
                                    <w:t>accord</w:t>
                                  </w:r>
                                </w:p>
                                <w:p w14:paraId="77E20E07" w14:textId="77777777" w:rsidR="00756EAD" w:rsidRDefault="00756EAD" w:rsidP="00D80461">
                                  <w:pPr>
                                    <w:spacing w:before="140"/>
                                    <w:jc w:val="right"/>
                                    <w:rPr>
                                      <w:sz w:val="16"/>
                                      <w:szCs w:val="16"/>
                                    </w:rPr>
                                  </w:pPr>
                                  <w:r w:rsidRPr="00B31767">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3F919" id="_x0000_s1053" type="#_x0000_t202" style="position:absolute;left:0;text-align:left;margin-left:4.55pt;margin-top:43.7pt;width:74.15pt;height:10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" fillcolor="white [3212]" stroked="f">
                      <v:textbox inset="0,0,0,0">
                        <w:txbxContent>
                          <w:p w14:paraId="435375CF" w14:textId="77777777" w:rsidR="00756EAD" w:rsidRDefault="00756EAD" w:rsidP="00D8046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73DB54F2" w14:textId="77777777" w:rsidR="00756EAD" w:rsidRDefault="00756EAD" w:rsidP="00D80461">
                            <w:pPr>
                              <w:jc w:val="right"/>
                              <w:rPr>
                                <w:sz w:val="16"/>
                                <w:szCs w:val="16"/>
                              </w:rPr>
                            </w:pPr>
                            <w:r w:rsidRPr="00B31767">
                              <w:rPr>
                                <w:sz w:val="16"/>
                                <w:szCs w:val="16"/>
                              </w:rPr>
                              <w:t>D</w:t>
                            </w:r>
                            <w:r>
                              <w:rPr>
                                <w:sz w:val="16"/>
                                <w:szCs w:val="16"/>
                              </w:rPr>
                              <w:t>'</w:t>
                            </w:r>
                            <w:r w:rsidRPr="00B31767">
                              <w:rPr>
                                <w:sz w:val="16"/>
                                <w:szCs w:val="16"/>
                              </w:rPr>
                              <w:t>accord</w:t>
                            </w:r>
                          </w:p>
                          <w:p w14:paraId="4056C472" w14:textId="77777777" w:rsidR="00756EAD" w:rsidRDefault="00756EAD" w:rsidP="00D80461">
                            <w:pPr>
                              <w:spacing w:before="180"/>
                              <w:jc w:val="right"/>
                              <w:rPr>
                                <w:sz w:val="16"/>
                                <w:szCs w:val="16"/>
                              </w:rPr>
                            </w:pPr>
                            <w:r w:rsidRPr="00B31767">
                              <w:rPr>
                                <w:sz w:val="16"/>
                                <w:szCs w:val="16"/>
                              </w:rPr>
                              <w:t>Sans opinion</w:t>
                            </w:r>
                          </w:p>
                          <w:p w14:paraId="5BBB1F0E" w14:textId="77777777" w:rsidR="00756EAD" w:rsidRDefault="00756EAD" w:rsidP="00D80461">
                            <w:pPr>
                              <w:spacing w:before="180"/>
                              <w:jc w:val="right"/>
                              <w:rPr>
                                <w:sz w:val="16"/>
                                <w:szCs w:val="16"/>
                              </w:rPr>
                            </w:pPr>
                            <w:r w:rsidRPr="00B31767">
                              <w:rPr>
                                <w:sz w:val="16"/>
                                <w:szCs w:val="16"/>
                              </w:rPr>
                              <w:t>Pas d</w:t>
                            </w:r>
                            <w:r>
                              <w:rPr>
                                <w:sz w:val="16"/>
                                <w:szCs w:val="16"/>
                              </w:rPr>
                              <w:t>'</w:t>
                            </w:r>
                            <w:r w:rsidRPr="00B31767">
                              <w:rPr>
                                <w:sz w:val="16"/>
                                <w:szCs w:val="16"/>
                              </w:rPr>
                              <w:t>accord</w:t>
                            </w:r>
                          </w:p>
                          <w:p w14:paraId="34A34D87" w14:textId="77777777" w:rsidR="00756EAD" w:rsidRDefault="00756EAD" w:rsidP="00D80461">
                            <w:pPr>
                              <w:spacing w:before="160"/>
                              <w:jc w:val="right"/>
                              <w:rPr>
                                <w:sz w:val="16"/>
                                <w:szCs w:val="16"/>
                              </w:rPr>
                            </w:pPr>
                            <w:r w:rsidRPr="00B31767">
                              <w:rPr>
                                <w:sz w:val="16"/>
                                <w:szCs w:val="16"/>
                              </w:rPr>
                              <w:t>Pas du tout d</w:t>
                            </w:r>
                            <w:r>
                              <w:rPr>
                                <w:sz w:val="16"/>
                                <w:szCs w:val="16"/>
                              </w:rPr>
                              <w:t>'</w:t>
                            </w:r>
                            <w:r w:rsidRPr="00B31767">
                              <w:rPr>
                                <w:sz w:val="16"/>
                                <w:szCs w:val="16"/>
                              </w:rPr>
                              <w:t>accord</w:t>
                            </w:r>
                          </w:p>
                          <w:p w14:paraId="77E20E07" w14:textId="77777777" w:rsidR="00756EAD" w:rsidRDefault="00756EAD" w:rsidP="00D80461">
                            <w:pPr>
                              <w:spacing w:before="140"/>
                              <w:jc w:val="right"/>
                              <w:rPr>
                                <w:sz w:val="16"/>
                                <w:szCs w:val="16"/>
                              </w:rPr>
                            </w:pPr>
                            <w:r w:rsidRPr="00B31767">
                              <w:rPr>
                                <w:sz w:val="16"/>
                                <w:szCs w:val="16"/>
                              </w:rPr>
                              <w:t>Aucune réponse</w:t>
                            </w:r>
                          </w:p>
                        </w:txbxContent>
                      </v:textbox>
                    </v:shape>
                  </w:pict>
                </mc:Fallback>
              </mc:AlternateContent>
            </w:r>
            <w:r w:rsidRPr="00F05A8A">
              <w:rPr>
                <w:b/>
                <w:bCs/>
                <w:szCs w:val="24"/>
                <w:lang w:eastAsia="fr-FR"/>
              </w:rPr>
              <mc:AlternateContent>
                <mc:Choice Requires="wps">
                  <w:drawing>
                    <wp:anchor distT="0" distB="0" distL="114300" distR="114300" simplePos="0" relativeHeight="251663360" behindDoc="0" locked="0" layoutInCell="1" allowOverlap="1" wp14:anchorId="00D9F5CE" wp14:editId="44B7878C">
                      <wp:simplePos x="0" y="0"/>
                      <wp:positionH relativeFrom="column">
                        <wp:posOffset>269031</wp:posOffset>
                      </wp:positionH>
                      <wp:positionV relativeFrom="paragraph">
                        <wp:posOffset>152609</wp:posOffset>
                      </wp:positionV>
                      <wp:extent cx="2360930" cy="292432"/>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32"/>
                              </a:xfrm>
                              <a:prstGeom prst="rect">
                                <a:avLst/>
                              </a:prstGeom>
                              <a:solidFill>
                                <a:schemeClr val="bg1"/>
                              </a:solidFill>
                              <a:ln w="9525">
                                <a:noFill/>
                                <a:miter lim="800000"/>
                                <a:headEnd/>
                                <a:tailEnd/>
                              </a:ln>
                            </wps:spPr>
                            <wps:txbx>
                              <w:txbxContent>
                                <w:p w14:paraId="7CBC2119" w14:textId="77777777" w:rsidR="00756EAD" w:rsidRPr="00255FB2" w:rsidRDefault="00756EAD" w:rsidP="00D80461">
                                  <w:pPr>
                                    <w:spacing w:before="0"/>
                                    <w:jc w:val="center"/>
                                    <w:rPr>
                                      <w:b/>
                                      <w:sz w:val="16"/>
                                      <w:szCs w:val="16"/>
                                    </w:rPr>
                                  </w:pPr>
                                  <w:r w:rsidRPr="00255FB2">
                                    <w:rPr>
                                      <w:b/>
                                      <w:sz w:val="16"/>
                                      <w:szCs w:val="16"/>
                                    </w:rPr>
                                    <w:t xml:space="preserve">Les TIC/télécommunications contribuent dans </w:t>
                                  </w:r>
                                  <w:r>
                                    <w:rPr>
                                      <w:b/>
                                      <w:sz w:val="16"/>
                                      <w:szCs w:val="16"/>
                                    </w:rPr>
                                    <w:br/>
                                  </w:r>
                                  <w:r w:rsidRPr="00255FB2">
                                    <w:rPr>
                                      <w:b/>
                                      <w:sz w:val="16"/>
                                      <w:szCs w:val="16"/>
                                    </w:rPr>
                                    <w:t>une large mesure à la réalisation des ODD</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0D9F5CE" id="_x0000_s1054" type="#_x0000_t202" style="position:absolute;left:0;text-align:left;margin-left:21.2pt;margin-top:12pt;width:185.9pt;height:2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" fillcolor="white [3212]" stroked="f">
                      <v:textbox inset="0,0,0,0">
                        <w:txbxContent>
                          <w:p w14:paraId="7CBC2119" w14:textId="77777777" w:rsidR="00756EAD" w:rsidRPr="00255FB2" w:rsidRDefault="00756EAD" w:rsidP="00D80461">
                            <w:pPr>
                              <w:spacing w:before="0"/>
                              <w:jc w:val="center"/>
                              <w:rPr>
                                <w:b/>
                                <w:sz w:val="16"/>
                                <w:szCs w:val="16"/>
                              </w:rPr>
                            </w:pPr>
                            <w:r w:rsidRPr="00255FB2">
                              <w:rPr>
                                <w:b/>
                                <w:sz w:val="16"/>
                                <w:szCs w:val="16"/>
                              </w:rPr>
                              <w:t xml:space="preserve">Les TIC/télécommunications contribuent dans </w:t>
                            </w:r>
                            <w:r>
                              <w:rPr>
                                <w:b/>
                                <w:sz w:val="16"/>
                                <w:szCs w:val="16"/>
                              </w:rPr>
                              <w:br/>
                            </w:r>
                            <w:r w:rsidRPr="00255FB2">
                              <w:rPr>
                                <w:b/>
                                <w:sz w:val="16"/>
                                <w:szCs w:val="16"/>
                              </w:rPr>
                              <w:t>une large mesure à la réalisation des ODD</w:t>
                            </w:r>
                          </w:p>
                        </w:txbxContent>
                      </v:textbox>
                    </v:shape>
                  </w:pict>
                </mc:Fallback>
              </mc:AlternateContent>
            </w:r>
            <w:r w:rsidRPr="00F05A8A">
              <w:rPr>
                <w:lang w:eastAsia="fr-FR"/>
              </w:rPr>
              <w:drawing>
                <wp:inline distT="0" distB="0" distL="0" distR="0" wp14:anchorId="4FD7EA0A" wp14:editId="293A6151">
                  <wp:extent cx="2379600" cy="2253600"/>
                  <wp:effectExtent l="0" t="0" r="1905" b="0"/>
                  <wp:docPr id="28" name="Picture 2933175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3317557" descr="Chart, bar chart&#10;&#10;Description automatically generated"/>
                          <pic:cNvPicPr/>
                        </pic:nvPicPr>
                        <pic:blipFill>
                          <a:blip r:embed="rId375">
                            <a:extLst>
                              <a:ext uri="{28A0092B-C50C-407E-A947-70E740481C1C}">
                                <a14:useLocalDpi xmlns:a14="http://schemas.microsoft.com/office/drawing/2010/main" val="0"/>
                              </a:ext>
                            </a:extLst>
                          </a:blip>
                          <a:stretch>
                            <a:fillRect/>
                          </a:stretch>
                        </pic:blipFill>
                        <pic:spPr>
                          <a:xfrm>
                            <a:off x="0" y="0"/>
                            <a:ext cx="2379600" cy="2253600"/>
                          </a:xfrm>
                          <a:prstGeom prst="rect">
                            <a:avLst/>
                          </a:prstGeom>
                        </pic:spPr>
                      </pic:pic>
                    </a:graphicData>
                  </a:graphic>
                </wp:inline>
              </w:drawing>
            </w:r>
          </w:p>
        </w:tc>
        <w:tc>
          <w:tcPr>
            <w:tcW w:w="4815" w:type="dxa"/>
          </w:tcPr>
          <w:p w14:paraId="366524F9" w14:textId="77777777" w:rsidR="00D80461" w:rsidRPr="00F05A8A" w:rsidRDefault="00D80461" w:rsidP="002F075E">
            <w:pPr>
              <w:spacing w:after="240"/>
              <w:jc w:val="center"/>
            </w:pPr>
            <w:r w:rsidRPr="00F05A8A">
              <w:rPr>
                <w:b/>
                <w:bCs/>
                <w:szCs w:val="24"/>
                <w:lang w:eastAsia="fr-FR"/>
              </w:rPr>
              <mc:AlternateContent>
                <mc:Choice Requires="wps">
                  <w:drawing>
                    <wp:anchor distT="0" distB="0" distL="114300" distR="114300" simplePos="0" relativeHeight="251666432" behindDoc="0" locked="0" layoutInCell="1" allowOverlap="1" wp14:anchorId="3FB4388B" wp14:editId="7FE9F759">
                      <wp:simplePos x="0" y="0"/>
                      <wp:positionH relativeFrom="column">
                        <wp:posOffset>9932</wp:posOffset>
                      </wp:positionH>
                      <wp:positionV relativeFrom="paragraph">
                        <wp:posOffset>568865</wp:posOffset>
                      </wp:positionV>
                      <wp:extent cx="838711" cy="1296538"/>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711" cy="1296538"/>
                              </a:xfrm>
                              <a:prstGeom prst="rect">
                                <a:avLst/>
                              </a:prstGeom>
                              <a:solidFill>
                                <a:schemeClr val="bg1"/>
                              </a:solidFill>
                              <a:ln w="9525">
                                <a:noFill/>
                                <a:miter lim="800000"/>
                                <a:headEnd/>
                                <a:tailEnd/>
                              </a:ln>
                            </wps:spPr>
                            <wps:txbx>
                              <w:txbxContent>
                                <w:p w14:paraId="5DF94118" w14:textId="77777777" w:rsidR="00756EAD" w:rsidRDefault="00756EAD" w:rsidP="00D8046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3E430CC9" w14:textId="77777777" w:rsidR="00756EAD" w:rsidRDefault="00756EAD" w:rsidP="00D80461">
                                  <w:pPr>
                                    <w:spacing w:before="240"/>
                                    <w:jc w:val="right"/>
                                    <w:rPr>
                                      <w:sz w:val="16"/>
                                      <w:szCs w:val="16"/>
                                    </w:rPr>
                                  </w:pPr>
                                  <w:r w:rsidRPr="00B31767">
                                    <w:rPr>
                                      <w:sz w:val="16"/>
                                      <w:szCs w:val="16"/>
                                    </w:rPr>
                                    <w:t>D</w:t>
                                  </w:r>
                                  <w:r>
                                    <w:rPr>
                                      <w:sz w:val="16"/>
                                      <w:szCs w:val="16"/>
                                    </w:rPr>
                                    <w:t>'</w:t>
                                  </w:r>
                                  <w:r w:rsidRPr="00B31767">
                                    <w:rPr>
                                      <w:sz w:val="16"/>
                                      <w:szCs w:val="16"/>
                                    </w:rPr>
                                    <w:t>accord</w:t>
                                  </w:r>
                                </w:p>
                                <w:p w14:paraId="2D4E5768" w14:textId="77777777" w:rsidR="00756EAD" w:rsidRDefault="00756EAD" w:rsidP="00D80461">
                                  <w:pPr>
                                    <w:spacing w:before="240"/>
                                    <w:jc w:val="right"/>
                                    <w:rPr>
                                      <w:sz w:val="16"/>
                                      <w:szCs w:val="16"/>
                                    </w:rPr>
                                  </w:pPr>
                                  <w:r w:rsidRPr="00B31767">
                                    <w:rPr>
                                      <w:sz w:val="16"/>
                                      <w:szCs w:val="16"/>
                                    </w:rPr>
                                    <w:t>Sans opinion</w:t>
                                  </w:r>
                                </w:p>
                                <w:p w14:paraId="317C0933" w14:textId="77777777" w:rsidR="00756EAD" w:rsidRDefault="00756EAD" w:rsidP="00D80461">
                                  <w:pPr>
                                    <w:spacing w:before="240"/>
                                    <w:jc w:val="right"/>
                                    <w:rPr>
                                      <w:sz w:val="16"/>
                                      <w:szCs w:val="16"/>
                                    </w:rPr>
                                  </w:pPr>
                                  <w:r w:rsidRPr="00B31767">
                                    <w:rPr>
                                      <w:sz w:val="16"/>
                                      <w:szCs w:val="16"/>
                                    </w:rPr>
                                    <w:t>Pas d</w:t>
                                  </w:r>
                                  <w:r>
                                    <w:rPr>
                                      <w:sz w:val="16"/>
                                      <w:szCs w:val="16"/>
                                    </w:rPr>
                                    <w:t>'</w:t>
                                  </w:r>
                                  <w:r w:rsidRPr="00B31767">
                                    <w:rPr>
                                      <w:sz w:val="16"/>
                                      <w:szCs w:val="16"/>
                                    </w:rPr>
                                    <w:t>accord</w:t>
                                  </w:r>
                                </w:p>
                                <w:p w14:paraId="7E79A9E3" w14:textId="77777777" w:rsidR="00756EAD" w:rsidRDefault="00756EAD" w:rsidP="00D80461">
                                  <w:pPr>
                                    <w:spacing w:before="240"/>
                                    <w:jc w:val="right"/>
                                    <w:rPr>
                                      <w:sz w:val="16"/>
                                      <w:szCs w:val="16"/>
                                    </w:rPr>
                                  </w:pPr>
                                  <w:r w:rsidRPr="00B31767">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4388B" id="_x0000_s1055" type="#_x0000_t202" style="position:absolute;left:0;text-align:left;margin-left:.8pt;margin-top:44.8pt;width:66.05pt;height:10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" fillcolor="white [3212]" stroked="f">
                      <v:textbox inset="0,0,0,0">
                        <w:txbxContent>
                          <w:p w14:paraId="5DF94118" w14:textId="77777777" w:rsidR="00756EAD" w:rsidRDefault="00756EAD" w:rsidP="00D8046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3E430CC9" w14:textId="77777777" w:rsidR="00756EAD" w:rsidRDefault="00756EAD" w:rsidP="00D80461">
                            <w:pPr>
                              <w:spacing w:before="240"/>
                              <w:jc w:val="right"/>
                              <w:rPr>
                                <w:sz w:val="16"/>
                                <w:szCs w:val="16"/>
                              </w:rPr>
                            </w:pPr>
                            <w:r w:rsidRPr="00B31767">
                              <w:rPr>
                                <w:sz w:val="16"/>
                                <w:szCs w:val="16"/>
                              </w:rPr>
                              <w:t>D</w:t>
                            </w:r>
                            <w:r>
                              <w:rPr>
                                <w:sz w:val="16"/>
                                <w:szCs w:val="16"/>
                              </w:rPr>
                              <w:t>'</w:t>
                            </w:r>
                            <w:r w:rsidRPr="00B31767">
                              <w:rPr>
                                <w:sz w:val="16"/>
                                <w:szCs w:val="16"/>
                              </w:rPr>
                              <w:t>accord</w:t>
                            </w:r>
                          </w:p>
                          <w:p w14:paraId="2D4E5768" w14:textId="77777777" w:rsidR="00756EAD" w:rsidRDefault="00756EAD" w:rsidP="00D80461">
                            <w:pPr>
                              <w:spacing w:before="240"/>
                              <w:jc w:val="right"/>
                              <w:rPr>
                                <w:sz w:val="16"/>
                                <w:szCs w:val="16"/>
                              </w:rPr>
                            </w:pPr>
                            <w:r w:rsidRPr="00B31767">
                              <w:rPr>
                                <w:sz w:val="16"/>
                                <w:szCs w:val="16"/>
                              </w:rPr>
                              <w:t>Sans opinion</w:t>
                            </w:r>
                          </w:p>
                          <w:p w14:paraId="317C0933" w14:textId="77777777" w:rsidR="00756EAD" w:rsidRDefault="00756EAD" w:rsidP="00D80461">
                            <w:pPr>
                              <w:spacing w:before="240"/>
                              <w:jc w:val="right"/>
                              <w:rPr>
                                <w:sz w:val="16"/>
                                <w:szCs w:val="16"/>
                              </w:rPr>
                            </w:pPr>
                            <w:r w:rsidRPr="00B31767">
                              <w:rPr>
                                <w:sz w:val="16"/>
                                <w:szCs w:val="16"/>
                              </w:rPr>
                              <w:t>Pas d</w:t>
                            </w:r>
                            <w:r>
                              <w:rPr>
                                <w:sz w:val="16"/>
                                <w:szCs w:val="16"/>
                              </w:rPr>
                              <w:t>'</w:t>
                            </w:r>
                            <w:r w:rsidRPr="00B31767">
                              <w:rPr>
                                <w:sz w:val="16"/>
                                <w:szCs w:val="16"/>
                              </w:rPr>
                              <w:t>accord</w:t>
                            </w:r>
                          </w:p>
                          <w:p w14:paraId="7E79A9E3" w14:textId="77777777" w:rsidR="00756EAD" w:rsidRDefault="00756EAD" w:rsidP="00D80461">
                            <w:pPr>
                              <w:spacing w:before="240"/>
                              <w:jc w:val="right"/>
                              <w:rPr>
                                <w:sz w:val="16"/>
                                <w:szCs w:val="16"/>
                              </w:rPr>
                            </w:pPr>
                            <w:r w:rsidRPr="00B31767">
                              <w:rPr>
                                <w:sz w:val="16"/>
                                <w:szCs w:val="16"/>
                              </w:rPr>
                              <w:t>Aucune réponse</w:t>
                            </w:r>
                          </w:p>
                        </w:txbxContent>
                      </v:textbox>
                    </v:shape>
                  </w:pict>
                </mc:Fallback>
              </mc:AlternateContent>
            </w:r>
            <w:r w:rsidRPr="00F05A8A">
              <w:rPr>
                <w:b/>
                <w:bCs/>
                <w:szCs w:val="24"/>
                <w:lang w:eastAsia="fr-FR"/>
              </w:rPr>
              <mc:AlternateContent>
                <mc:Choice Requires="wps">
                  <w:drawing>
                    <wp:anchor distT="0" distB="0" distL="114300" distR="114300" simplePos="0" relativeHeight="251664384" behindDoc="0" locked="0" layoutInCell="1" allowOverlap="1" wp14:anchorId="4DC2FCC7" wp14:editId="4C684A6A">
                      <wp:simplePos x="0" y="0"/>
                      <wp:positionH relativeFrom="column">
                        <wp:posOffset>177421</wp:posOffset>
                      </wp:positionH>
                      <wp:positionV relativeFrom="paragraph">
                        <wp:posOffset>150069</wp:posOffset>
                      </wp:positionV>
                      <wp:extent cx="2360930" cy="292432"/>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32"/>
                              </a:xfrm>
                              <a:prstGeom prst="rect">
                                <a:avLst/>
                              </a:prstGeom>
                              <a:solidFill>
                                <a:schemeClr val="bg1"/>
                              </a:solidFill>
                              <a:ln w="9525">
                                <a:noFill/>
                                <a:miter lim="800000"/>
                                <a:headEnd/>
                                <a:tailEnd/>
                              </a:ln>
                            </wps:spPr>
                            <wps:txbx>
                              <w:txbxContent>
                                <w:p w14:paraId="2C48B501" w14:textId="77777777" w:rsidR="00756EAD" w:rsidRPr="00255FB2" w:rsidRDefault="00756EAD" w:rsidP="00D80461">
                                  <w:pPr>
                                    <w:spacing w:before="0"/>
                                    <w:jc w:val="center"/>
                                    <w:rPr>
                                      <w:b/>
                                      <w:sz w:val="16"/>
                                      <w:szCs w:val="16"/>
                                    </w:rPr>
                                  </w:pPr>
                                  <w:r w:rsidRPr="00255FB2">
                                    <w:rPr>
                                      <w:b/>
                                      <w:sz w:val="16"/>
                                      <w:szCs w:val="16"/>
                                    </w:rPr>
                                    <w:t xml:space="preserve">Les TIC/télécommunications contribuent dans </w:t>
                                  </w:r>
                                  <w:r>
                                    <w:rPr>
                                      <w:b/>
                                      <w:sz w:val="16"/>
                                      <w:szCs w:val="16"/>
                                    </w:rPr>
                                    <w:br/>
                                  </w:r>
                                  <w:r w:rsidRPr="00255FB2">
                                    <w:rPr>
                                      <w:b/>
                                      <w:sz w:val="16"/>
                                      <w:szCs w:val="16"/>
                                    </w:rPr>
                                    <w:t>une large mesure à la réalisation des ODD</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DC2FCC7" id="_x0000_s1056" type="#_x0000_t202" style="position:absolute;left:0;text-align:left;margin-left:13.95pt;margin-top:11.8pt;width:185.9pt;height:2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" fillcolor="white [3212]" stroked="f">
                      <v:textbox inset="0,0,0,0">
                        <w:txbxContent>
                          <w:p w14:paraId="2C48B501" w14:textId="77777777" w:rsidR="00756EAD" w:rsidRPr="00255FB2" w:rsidRDefault="00756EAD" w:rsidP="00D80461">
                            <w:pPr>
                              <w:spacing w:before="0"/>
                              <w:jc w:val="center"/>
                              <w:rPr>
                                <w:b/>
                                <w:sz w:val="16"/>
                                <w:szCs w:val="16"/>
                              </w:rPr>
                            </w:pPr>
                            <w:r w:rsidRPr="00255FB2">
                              <w:rPr>
                                <w:b/>
                                <w:sz w:val="16"/>
                                <w:szCs w:val="16"/>
                              </w:rPr>
                              <w:t xml:space="preserve">Les TIC/télécommunications contribuent dans </w:t>
                            </w:r>
                            <w:r>
                              <w:rPr>
                                <w:b/>
                                <w:sz w:val="16"/>
                                <w:szCs w:val="16"/>
                              </w:rPr>
                              <w:br/>
                            </w:r>
                            <w:r w:rsidRPr="00255FB2">
                              <w:rPr>
                                <w:b/>
                                <w:sz w:val="16"/>
                                <w:szCs w:val="16"/>
                              </w:rPr>
                              <w:t>une large mesure à la réalisation des ODD</w:t>
                            </w:r>
                          </w:p>
                        </w:txbxContent>
                      </v:textbox>
                    </v:shape>
                  </w:pict>
                </mc:Fallback>
              </mc:AlternateContent>
            </w:r>
            <w:r w:rsidRPr="00F05A8A">
              <w:rPr>
                <w:lang w:eastAsia="fr-FR"/>
              </w:rPr>
              <w:drawing>
                <wp:inline distT="0" distB="0" distL="0" distR="0" wp14:anchorId="57FBA277" wp14:editId="6B94A6E3">
                  <wp:extent cx="2548800" cy="2138400"/>
                  <wp:effectExtent l="0" t="0" r="4445" b="0"/>
                  <wp:docPr id="1193504121" name="Picture 11935041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21" name="Picture 1193504121" descr="Chart, bar chart&#10;&#10;Description automatically generated"/>
                          <pic:cNvPicPr/>
                        </pic:nvPicPr>
                        <pic:blipFill>
                          <a:blip r:embed="rId376"/>
                          <a:stretch>
                            <a:fillRect/>
                          </a:stretch>
                        </pic:blipFill>
                        <pic:spPr>
                          <a:xfrm>
                            <a:off x="0" y="0"/>
                            <a:ext cx="2548800" cy="2138400"/>
                          </a:xfrm>
                          <a:prstGeom prst="rect">
                            <a:avLst/>
                          </a:prstGeom>
                        </pic:spPr>
                      </pic:pic>
                    </a:graphicData>
                  </a:graphic>
                </wp:inline>
              </w:drawing>
            </w:r>
          </w:p>
        </w:tc>
      </w:tr>
      <w:tr w:rsidR="00D80461" w:rsidRPr="00F05A8A" w14:paraId="047DCCC3" w14:textId="77777777" w:rsidTr="00142C01">
        <w:trPr>
          <w:trHeight w:val="336"/>
        </w:trPr>
        <w:tc>
          <w:tcPr>
            <w:tcW w:w="9629" w:type="dxa"/>
            <w:gridSpan w:val="2"/>
          </w:tcPr>
          <w:p w14:paraId="2A150C18" w14:textId="77777777" w:rsidR="00D80461" w:rsidRPr="00F05A8A" w:rsidRDefault="00D80461" w:rsidP="002F075E">
            <w:pPr>
              <w:keepNext/>
              <w:keepLines/>
              <w:jc w:val="center"/>
              <w:rPr>
                <w:b/>
                <w:bCs/>
                <w:szCs w:val="24"/>
              </w:rPr>
            </w:pPr>
            <w:r w:rsidRPr="00F05A8A">
              <w:rPr>
                <w:b/>
                <w:bCs/>
                <w:szCs w:val="24"/>
              </w:rPr>
              <w:t>2021</w:t>
            </w:r>
          </w:p>
        </w:tc>
      </w:tr>
      <w:tr w:rsidR="00D80461" w:rsidRPr="00F05A8A" w14:paraId="4F3260C6" w14:textId="77777777" w:rsidTr="00142C01">
        <w:tc>
          <w:tcPr>
            <w:tcW w:w="9629" w:type="dxa"/>
            <w:gridSpan w:val="2"/>
          </w:tcPr>
          <w:p w14:paraId="692518B9" w14:textId="77777777" w:rsidR="00D80461" w:rsidRPr="00F05A8A" w:rsidRDefault="00D80461" w:rsidP="002F075E">
            <w:pPr>
              <w:keepNext/>
              <w:keepLines/>
              <w:spacing w:after="240"/>
              <w:jc w:val="center"/>
              <w:rPr>
                <w:b/>
                <w:bCs/>
                <w:szCs w:val="24"/>
              </w:rPr>
            </w:pPr>
            <w:r w:rsidRPr="00F05A8A">
              <w:rPr>
                <w:b/>
                <w:bCs/>
                <w:szCs w:val="24"/>
                <w:lang w:eastAsia="fr-FR"/>
              </w:rPr>
              <mc:AlternateContent>
                <mc:Choice Requires="wps">
                  <w:drawing>
                    <wp:anchor distT="0" distB="0" distL="114300" distR="114300" simplePos="0" relativeHeight="251696128" behindDoc="0" locked="0" layoutInCell="1" allowOverlap="1" wp14:anchorId="40D355BD" wp14:editId="068D167F">
                      <wp:simplePos x="0" y="0"/>
                      <wp:positionH relativeFrom="column">
                        <wp:posOffset>3884939</wp:posOffset>
                      </wp:positionH>
                      <wp:positionV relativeFrom="paragraph">
                        <wp:posOffset>1995493</wp:posOffset>
                      </wp:positionV>
                      <wp:extent cx="586596" cy="267419"/>
                      <wp:effectExtent l="0" t="0" r="4445" b="0"/>
                      <wp:wrapNone/>
                      <wp:docPr id="1820415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267419"/>
                              </a:xfrm>
                              <a:prstGeom prst="rect">
                                <a:avLst/>
                              </a:prstGeom>
                              <a:solidFill>
                                <a:schemeClr val="bg1"/>
                              </a:solidFill>
                              <a:ln w="9525">
                                <a:noFill/>
                                <a:miter lim="800000"/>
                                <a:headEnd/>
                                <a:tailEnd/>
                              </a:ln>
                            </wps:spPr>
                            <wps:txbx>
                              <w:txbxContent>
                                <w:p w14:paraId="59066AC3" w14:textId="77777777" w:rsidR="00756EAD" w:rsidRDefault="00756EAD" w:rsidP="00D80461">
                                  <w:pPr>
                                    <w:spacing w:before="0"/>
                                    <w:rPr>
                                      <w:sz w:val="16"/>
                                      <w:szCs w:val="16"/>
                                    </w:rPr>
                                  </w:pPr>
                                  <w:r w:rsidRPr="00B31767">
                                    <w:rPr>
                                      <w:sz w:val="16"/>
                                      <w:szCs w:val="16"/>
                                    </w:rPr>
                                    <w:t>Pas du tout d</w:t>
                                  </w:r>
                                  <w:r>
                                    <w:rPr>
                                      <w:sz w:val="16"/>
                                      <w:szCs w:val="16"/>
                                    </w:rPr>
                                    <w:t>'</w:t>
                                  </w:r>
                                  <w:r w:rsidRPr="00B31767">
                                    <w:rPr>
                                      <w:sz w:val="16"/>
                                      <w:szCs w:val="16"/>
                                    </w:rPr>
                                    <w:t>accord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355BD" id="_x0000_s1057" type="#_x0000_t202" style="position:absolute;left:0;text-align:left;margin-left:305.9pt;margin-top:157.15pt;width:46.2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" fillcolor="white [3212]" stroked="f">
                      <v:textbox inset="0,0,0,0">
                        <w:txbxContent>
                          <w:p w14:paraId="59066AC3" w14:textId="77777777" w:rsidR="00756EAD" w:rsidRDefault="00756EAD" w:rsidP="00D80461">
                            <w:pPr>
                              <w:spacing w:before="0"/>
                              <w:rPr>
                                <w:sz w:val="16"/>
                                <w:szCs w:val="16"/>
                              </w:rPr>
                            </w:pPr>
                            <w:r w:rsidRPr="00B31767">
                              <w:rPr>
                                <w:sz w:val="16"/>
                                <w:szCs w:val="16"/>
                              </w:rPr>
                              <w:t>Pas du tout d</w:t>
                            </w:r>
                            <w:r>
                              <w:rPr>
                                <w:sz w:val="16"/>
                                <w:szCs w:val="16"/>
                              </w:rPr>
                              <w:t>'</w:t>
                            </w:r>
                            <w:r w:rsidRPr="00B31767">
                              <w:rPr>
                                <w:sz w:val="16"/>
                                <w:szCs w:val="16"/>
                              </w:rPr>
                              <w:t>accord</w:t>
                            </w:r>
                          </w:p>
                        </w:txbxContent>
                      </v:textbox>
                    </v:shape>
                  </w:pict>
                </mc:Fallback>
              </mc:AlternateContent>
            </w:r>
            <w:r w:rsidRPr="00F05A8A">
              <w:rPr>
                <w:b/>
                <w:bCs/>
                <w:szCs w:val="24"/>
                <w:lang w:eastAsia="fr-FR"/>
              </w:rPr>
              <mc:AlternateContent>
                <mc:Choice Requires="wps">
                  <w:drawing>
                    <wp:anchor distT="0" distB="0" distL="114300" distR="114300" simplePos="0" relativeHeight="251692032" behindDoc="0" locked="0" layoutInCell="1" allowOverlap="1" wp14:anchorId="6DA4A9A6" wp14:editId="610D4940">
                      <wp:simplePos x="0" y="0"/>
                      <wp:positionH relativeFrom="column">
                        <wp:posOffset>1997141</wp:posOffset>
                      </wp:positionH>
                      <wp:positionV relativeFrom="paragraph">
                        <wp:posOffset>1985171</wp:posOffset>
                      </wp:positionV>
                      <wp:extent cx="465826" cy="327804"/>
                      <wp:effectExtent l="0" t="0" r="0" b="0"/>
                      <wp:wrapNone/>
                      <wp:docPr id="1820414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327804"/>
                              </a:xfrm>
                              <a:prstGeom prst="rect">
                                <a:avLst/>
                              </a:prstGeom>
                              <a:solidFill>
                                <a:schemeClr val="bg1"/>
                              </a:solidFill>
                              <a:ln w="9525">
                                <a:noFill/>
                                <a:miter lim="800000"/>
                                <a:headEnd/>
                                <a:tailEnd/>
                              </a:ln>
                            </wps:spPr>
                            <wps:txbx>
                              <w:txbxContent>
                                <w:p w14:paraId="71FED684" w14:textId="77777777" w:rsidR="00756EAD" w:rsidRDefault="00756EAD" w:rsidP="00D80461">
                                  <w:pPr>
                                    <w:spacing w:before="0"/>
                                    <w:rPr>
                                      <w:sz w:val="16"/>
                                      <w:szCs w:val="16"/>
                                    </w:rPr>
                                  </w:pPr>
                                  <w:r w:rsidRPr="00B31767">
                                    <w:rPr>
                                      <w:sz w:val="16"/>
                                      <w:szCs w:val="16"/>
                                    </w:rPr>
                                    <w:t>Tout à fait d</w:t>
                                  </w:r>
                                  <w:r>
                                    <w:rPr>
                                      <w:sz w:val="16"/>
                                      <w:szCs w:val="16"/>
                                    </w:rPr>
                                    <w:t>'</w:t>
                                  </w:r>
                                  <w:r w:rsidRPr="00B31767">
                                    <w:rPr>
                                      <w:sz w:val="16"/>
                                      <w:szCs w:val="16"/>
                                    </w:rPr>
                                    <w:t>accord</w:t>
                                  </w:r>
                                </w:p>
                                <w:p w14:paraId="58787BF7" w14:textId="77777777" w:rsidR="00756EAD" w:rsidRDefault="00756EAD" w:rsidP="00D80461">
                                  <w:pPr>
                                    <w:spacing w:before="140"/>
                                    <w:jc w:val="right"/>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4A9A6" id="_x0000_s1058" type="#_x0000_t202" style="position:absolute;left:0;text-align:left;margin-left:157.25pt;margin-top:156.3pt;width:36.7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" fillcolor="white [3212]" stroked="f">
                      <v:textbox inset="0,0,0,0">
                        <w:txbxContent>
                          <w:p w14:paraId="71FED684" w14:textId="77777777" w:rsidR="00756EAD" w:rsidRDefault="00756EAD" w:rsidP="00D80461">
                            <w:pPr>
                              <w:spacing w:before="0"/>
                              <w:rPr>
                                <w:sz w:val="16"/>
                                <w:szCs w:val="16"/>
                              </w:rPr>
                            </w:pPr>
                            <w:r w:rsidRPr="00B31767">
                              <w:rPr>
                                <w:sz w:val="16"/>
                                <w:szCs w:val="16"/>
                              </w:rPr>
                              <w:t>Tout à fait d</w:t>
                            </w:r>
                            <w:r>
                              <w:rPr>
                                <w:sz w:val="16"/>
                                <w:szCs w:val="16"/>
                              </w:rPr>
                              <w:t>'</w:t>
                            </w:r>
                            <w:r w:rsidRPr="00B31767">
                              <w:rPr>
                                <w:sz w:val="16"/>
                                <w:szCs w:val="16"/>
                              </w:rPr>
                              <w:t>accord</w:t>
                            </w:r>
                          </w:p>
                          <w:p w14:paraId="58787BF7" w14:textId="77777777" w:rsidR="00756EAD" w:rsidRDefault="00756EAD" w:rsidP="00D80461">
                            <w:pPr>
                              <w:spacing w:before="140"/>
                              <w:jc w:val="right"/>
                              <w:rPr>
                                <w:sz w:val="16"/>
                                <w:szCs w:val="16"/>
                              </w:rPr>
                            </w:pPr>
                          </w:p>
                        </w:txbxContent>
                      </v:textbox>
                    </v:shape>
                  </w:pict>
                </mc:Fallback>
              </mc:AlternateContent>
            </w:r>
            <w:r w:rsidRPr="00F05A8A">
              <w:rPr>
                <w:b/>
                <w:bCs/>
                <w:szCs w:val="24"/>
                <w:lang w:eastAsia="fr-FR"/>
              </w:rPr>
              <mc:AlternateContent>
                <mc:Choice Requires="wps">
                  <w:drawing>
                    <wp:anchor distT="0" distB="0" distL="114300" distR="114300" simplePos="0" relativeHeight="251719680" behindDoc="0" locked="0" layoutInCell="1" allowOverlap="1" wp14:anchorId="55C01782" wp14:editId="4552A859">
                      <wp:simplePos x="0" y="0"/>
                      <wp:positionH relativeFrom="column">
                        <wp:posOffset>923973</wp:posOffset>
                      </wp:positionH>
                      <wp:positionV relativeFrom="paragraph">
                        <wp:posOffset>843024</wp:posOffset>
                      </wp:positionV>
                      <wp:extent cx="1071349" cy="238836"/>
                      <wp:effectExtent l="0" t="0" r="0" b="8890"/>
                      <wp:wrapNone/>
                      <wp:docPr id="44" name="Text Box 44"/>
                      <wp:cNvGraphicFramePr/>
                      <a:graphic xmlns:a="http://schemas.openxmlformats.org/drawingml/2006/main">
                        <a:graphicData uri="http://schemas.microsoft.com/office/word/2010/wordprocessingShape">
                          <wps:wsp>
                            <wps:cNvSpPr txBox="1"/>
                            <wps:spPr>
                              <a:xfrm>
                                <a:off x="0" y="0"/>
                                <a:ext cx="1071349" cy="238836"/>
                              </a:xfrm>
                              <a:prstGeom prst="rect">
                                <a:avLst/>
                              </a:prstGeom>
                              <a:solidFill>
                                <a:schemeClr val="lt1"/>
                              </a:solidFill>
                              <a:ln w="6350">
                                <a:noFill/>
                              </a:ln>
                            </wps:spPr>
                            <wps:txbx>
                              <w:txbxContent>
                                <w:p w14:paraId="11F40906" w14:textId="77777777" w:rsidR="00756EAD" w:rsidRPr="00BD3833" w:rsidRDefault="00756EAD" w:rsidP="00D80461">
                                  <w:pPr>
                                    <w:spacing w:before="0"/>
                                    <w:jc w:val="right"/>
                                    <w:rPr>
                                      <w:sz w:val="14"/>
                                      <w:szCs w:val="14"/>
                                      <w14:textOutline w14:w="9525" w14:cap="rnd" w14:cmpd="sng" w14:algn="ctr">
                                        <w14:noFill/>
                                        <w14:prstDash w14:val="solid"/>
                                        <w14:bevel/>
                                      </w14:textOutline>
                                    </w:rPr>
                                  </w:pPr>
                                  <w:r w:rsidRPr="00BD3833">
                                    <w:rPr>
                                      <w:sz w:val="14"/>
                                      <w:szCs w:val="14"/>
                                      <w14:textOutline w14:w="9525" w14:cap="rnd" w14:cmpd="sng" w14:algn="ctr">
                                        <w14:noFill/>
                                        <w14:prstDash w14:val="solid"/>
                                        <w14:bevel/>
                                      </w14:textOutline>
                                    </w:rPr>
                                    <w:t>TIC/</w:t>
                                  </w:r>
                                  <w:r w:rsidRPr="00BD3833">
                                    <w:rPr>
                                      <w:sz w:val="14"/>
                                      <w:szCs w:val="14"/>
                                      <w14:textOutline w14:w="9525" w14:cap="rnd" w14:cmpd="sng" w14:algn="ctr">
                                        <w14:noFill/>
                                        <w14:prstDash w14:val="solid"/>
                                        <w14:bevel/>
                                      </w14:textOutline>
                                    </w:rPr>
                                    <w:br/>
                                    <w:t>Télécommunications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01782" id="Text Box 44" o:spid="_x0000_s1059" type="#_x0000_t202" style="position:absolute;left:0;text-align:left;margin-left:72.75pt;margin-top:66.4pt;width:84.35pt;height:1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" fillcolor="white [3201]" stroked="f" strokeweight=".5pt">
                      <v:textbox inset="0,0,0,0">
                        <w:txbxContent>
                          <w:p w14:paraId="11F40906" w14:textId="77777777" w:rsidR="00756EAD" w:rsidRPr="00BD3833" w:rsidRDefault="00756EAD" w:rsidP="00D80461">
                            <w:pPr>
                              <w:spacing w:before="0"/>
                              <w:jc w:val="right"/>
                              <w:rPr>
                                <w:sz w:val="14"/>
                                <w:szCs w:val="14"/>
                                <w14:textOutline w14:w="9525" w14:cap="rnd" w14:cmpd="sng" w14:algn="ctr">
                                  <w14:noFill/>
                                  <w14:prstDash w14:val="solid"/>
                                  <w14:bevel/>
                                </w14:textOutline>
                              </w:rPr>
                            </w:pPr>
                            <w:r w:rsidRPr="00BD3833">
                              <w:rPr>
                                <w:sz w:val="14"/>
                                <w:szCs w:val="14"/>
                                <w14:textOutline w14:w="9525" w14:cap="rnd" w14:cmpd="sng" w14:algn="ctr">
                                  <w14:noFill/>
                                  <w14:prstDash w14:val="solid"/>
                                  <w14:bevel/>
                                </w14:textOutline>
                              </w:rPr>
                              <w:t>TIC/</w:t>
                            </w:r>
                            <w:r w:rsidRPr="00BD3833">
                              <w:rPr>
                                <w:sz w:val="14"/>
                                <w:szCs w:val="14"/>
                                <w14:textOutline w14:w="9525" w14:cap="rnd" w14:cmpd="sng" w14:algn="ctr">
                                  <w14:noFill/>
                                  <w14:prstDash w14:val="solid"/>
                                  <w14:bevel/>
                                </w14:textOutline>
                              </w:rPr>
                              <w:br/>
                              <w:t>Télécommunications</w:t>
                            </w:r>
                          </w:p>
                        </w:txbxContent>
                      </v:textbox>
                    </v:shape>
                  </w:pict>
                </mc:Fallback>
              </mc:AlternateContent>
            </w:r>
            <w:r w:rsidRPr="00F05A8A">
              <w:rPr>
                <w:b/>
                <w:bCs/>
                <w:szCs w:val="24"/>
                <w:lang w:eastAsia="fr-FR"/>
              </w:rPr>
              <mc:AlternateContent>
                <mc:Choice Requires="wps">
                  <w:drawing>
                    <wp:anchor distT="0" distB="0" distL="114300" distR="114300" simplePos="0" relativeHeight="251695104" behindDoc="0" locked="0" layoutInCell="1" allowOverlap="1" wp14:anchorId="0F113B2C" wp14:editId="2317BC7C">
                      <wp:simplePos x="0" y="0"/>
                      <wp:positionH relativeFrom="column">
                        <wp:posOffset>3403325</wp:posOffset>
                      </wp:positionH>
                      <wp:positionV relativeFrom="paragraph">
                        <wp:posOffset>2001688</wp:posOffset>
                      </wp:positionV>
                      <wp:extent cx="406880" cy="267419"/>
                      <wp:effectExtent l="0" t="0" r="0" b="0"/>
                      <wp:wrapNone/>
                      <wp:docPr id="1820415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80" cy="267419"/>
                              </a:xfrm>
                              <a:prstGeom prst="rect">
                                <a:avLst/>
                              </a:prstGeom>
                              <a:solidFill>
                                <a:schemeClr val="bg1"/>
                              </a:solidFill>
                              <a:ln w="9525">
                                <a:noFill/>
                                <a:miter lim="800000"/>
                                <a:headEnd/>
                                <a:tailEnd/>
                              </a:ln>
                            </wps:spPr>
                            <wps:txbx>
                              <w:txbxContent>
                                <w:p w14:paraId="6F8DD35F" w14:textId="77777777" w:rsidR="00756EAD" w:rsidRDefault="00756EAD" w:rsidP="00D80461">
                                  <w:pPr>
                                    <w:spacing w:before="0"/>
                                    <w:rPr>
                                      <w:sz w:val="16"/>
                                      <w:szCs w:val="16"/>
                                    </w:rPr>
                                  </w:pPr>
                                  <w:r w:rsidRPr="00B31767">
                                    <w:rPr>
                                      <w:sz w:val="16"/>
                                      <w:szCs w:val="16"/>
                                    </w:rPr>
                                    <w:t>Pas d</w:t>
                                  </w:r>
                                  <w:r>
                                    <w:rPr>
                                      <w:sz w:val="16"/>
                                      <w:szCs w:val="16"/>
                                    </w:rPr>
                                    <w:t>'</w:t>
                                  </w:r>
                                  <w:r w:rsidRPr="00B31767">
                                    <w:rPr>
                                      <w:sz w:val="16"/>
                                      <w:szCs w:val="16"/>
                                    </w:rPr>
                                    <w:t>accord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13B2C" id="_x0000_s1060" type="#_x0000_t202" style="position:absolute;left:0;text-align:left;margin-left:268pt;margin-top:157.6pt;width:32.05pt;height:2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" fillcolor="white [3212]" stroked="f">
                      <v:textbox inset="0,0,0,0">
                        <w:txbxContent>
                          <w:p w14:paraId="6F8DD35F" w14:textId="77777777" w:rsidR="00756EAD" w:rsidRDefault="00756EAD" w:rsidP="00D80461">
                            <w:pPr>
                              <w:spacing w:before="0"/>
                              <w:rPr>
                                <w:sz w:val="16"/>
                                <w:szCs w:val="16"/>
                              </w:rPr>
                            </w:pPr>
                            <w:r w:rsidRPr="00B31767">
                              <w:rPr>
                                <w:sz w:val="16"/>
                                <w:szCs w:val="16"/>
                              </w:rPr>
                              <w:t>Pas d</w:t>
                            </w:r>
                            <w:r>
                              <w:rPr>
                                <w:sz w:val="16"/>
                                <w:szCs w:val="16"/>
                              </w:rPr>
                              <w:t>'</w:t>
                            </w:r>
                            <w:r w:rsidRPr="00B31767">
                              <w:rPr>
                                <w:sz w:val="16"/>
                                <w:szCs w:val="16"/>
                              </w:rPr>
                              <w:t>accord</w:t>
                            </w:r>
                          </w:p>
                        </w:txbxContent>
                      </v:textbox>
                    </v:shape>
                  </w:pict>
                </mc:Fallback>
              </mc:AlternateContent>
            </w:r>
            <w:r w:rsidRPr="00F05A8A">
              <w:rPr>
                <w:b/>
                <w:bCs/>
                <w:szCs w:val="24"/>
                <w:lang w:eastAsia="fr-FR"/>
              </w:rPr>
              <mc:AlternateContent>
                <mc:Choice Requires="wps">
                  <w:drawing>
                    <wp:anchor distT="0" distB="0" distL="114300" distR="114300" simplePos="0" relativeHeight="251694080" behindDoc="0" locked="0" layoutInCell="1" allowOverlap="1" wp14:anchorId="60A6AF0C" wp14:editId="75963C91">
                      <wp:simplePos x="0" y="0"/>
                      <wp:positionH relativeFrom="column">
                        <wp:posOffset>2997907</wp:posOffset>
                      </wp:positionH>
                      <wp:positionV relativeFrom="paragraph">
                        <wp:posOffset>2000957</wp:posOffset>
                      </wp:positionV>
                      <wp:extent cx="345056" cy="267419"/>
                      <wp:effectExtent l="0" t="0" r="0" b="0"/>
                      <wp:wrapNone/>
                      <wp:docPr id="1820415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 cy="267419"/>
                              </a:xfrm>
                              <a:prstGeom prst="rect">
                                <a:avLst/>
                              </a:prstGeom>
                              <a:solidFill>
                                <a:schemeClr val="bg1"/>
                              </a:solidFill>
                              <a:ln w="9525">
                                <a:noFill/>
                                <a:miter lim="800000"/>
                                <a:headEnd/>
                                <a:tailEnd/>
                              </a:ln>
                            </wps:spPr>
                            <wps:txbx>
                              <w:txbxContent>
                                <w:p w14:paraId="34C0D021" w14:textId="77777777" w:rsidR="00756EAD" w:rsidRDefault="00756EAD" w:rsidP="00D80461">
                                  <w:pPr>
                                    <w:spacing w:before="0"/>
                                    <w:rPr>
                                      <w:sz w:val="16"/>
                                      <w:szCs w:val="16"/>
                                    </w:rPr>
                                  </w:pPr>
                                  <w:r w:rsidRPr="00B31767">
                                    <w:rPr>
                                      <w:sz w:val="16"/>
                                      <w:szCs w:val="16"/>
                                    </w:rPr>
                                    <w:t>Sans opinion</w:t>
                                  </w:r>
                                  <w:r w:rsidRPr="00694A13">
                                    <w:rPr>
                                      <w:sz w:val="14"/>
                                      <w:szCs w:val="1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6AF0C" id="_x0000_s1061" type="#_x0000_t202" style="position:absolute;left:0;text-align:left;margin-left:236.05pt;margin-top:157.55pt;width:27.15pt;height:2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" fillcolor="white [3212]" stroked="f">
                      <v:textbox inset="0,0,0,0">
                        <w:txbxContent>
                          <w:p w14:paraId="34C0D021" w14:textId="77777777" w:rsidR="00756EAD" w:rsidRDefault="00756EAD" w:rsidP="00D80461">
                            <w:pPr>
                              <w:spacing w:before="0"/>
                              <w:rPr>
                                <w:sz w:val="16"/>
                                <w:szCs w:val="16"/>
                              </w:rPr>
                            </w:pPr>
                            <w:r w:rsidRPr="00B31767">
                              <w:rPr>
                                <w:sz w:val="16"/>
                                <w:szCs w:val="16"/>
                              </w:rPr>
                              <w:t>Sans opinion</w:t>
                            </w:r>
                            <w:r w:rsidRPr="00694A13">
                              <w:rPr>
                                <w:sz w:val="14"/>
                                <w:szCs w:val="14"/>
                              </w:rPr>
                              <w:t xml:space="preserve"> </w:t>
                            </w:r>
                          </w:p>
                        </w:txbxContent>
                      </v:textbox>
                    </v:shape>
                  </w:pict>
                </mc:Fallback>
              </mc:AlternateContent>
            </w:r>
            <w:r w:rsidRPr="00F05A8A">
              <w:rPr>
                <w:b/>
                <w:bCs/>
                <w:szCs w:val="24"/>
                <w:lang w:eastAsia="fr-FR"/>
              </w:rPr>
              <mc:AlternateContent>
                <mc:Choice Requires="wps">
                  <w:drawing>
                    <wp:anchor distT="0" distB="0" distL="114300" distR="114300" simplePos="0" relativeHeight="251693056" behindDoc="0" locked="0" layoutInCell="1" allowOverlap="1" wp14:anchorId="1F9E8562" wp14:editId="1F6FBA13">
                      <wp:simplePos x="0" y="0"/>
                      <wp:positionH relativeFrom="column">
                        <wp:posOffset>2575392</wp:posOffset>
                      </wp:positionH>
                      <wp:positionV relativeFrom="paragraph">
                        <wp:posOffset>1994403</wp:posOffset>
                      </wp:positionV>
                      <wp:extent cx="345056" cy="155275"/>
                      <wp:effectExtent l="0" t="0" r="0" b="0"/>
                      <wp:wrapNone/>
                      <wp:docPr id="1820415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 cy="155275"/>
                              </a:xfrm>
                              <a:prstGeom prst="rect">
                                <a:avLst/>
                              </a:prstGeom>
                              <a:solidFill>
                                <a:schemeClr val="bg1"/>
                              </a:solidFill>
                              <a:ln w="9525">
                                <a:noFill/>
                                <a:miter lim="800000"/>
                                <a:headEnd/>
                                <a:tailEnd/>
                              </a:ln>
                            </wps:spPr>
                            <wps:txbx>
                              <w:txbxContent>
                                <w:p w14:paraId="06ECE5E5" w14:textId="77777777" w:rsidR="00756EAD" w:rsidRPr="00694A13" w:rsidRDefault="00756EAD" w:rsidP="00D80461">
                                  <w:pPr>
                                    <w:spacing w:before="0"/>
                                    <w:rPr>
                                      <w:sz w:val="14"/>
                                      <w:szCs w:val="14"/>
                                    </w:rPr>
                                  </w:pPr>
                                  <w:r w:rsidRPr="00694A13">
                                    <w:rPr>
                                      <w:sz w:val="14"/>
                                      <w:szCs w:val="14"/>
                                    </w:rPr>
                                    <w:t>D</w:t>
                                  </w:r>
                                  <w:r>
                                    <w:rPr>
                                      <w:sz w:val="14"/>
                                      <w:szCs w:val="14"/>
                                    </w:rPr>
                                    <w:t>'</w:t>
                                  </w:r>
                                  <w:r w:rsidRPr="00694A13">
                                    <w:rPr>
                                      <w:sz w:val="14"/>
                                      <w:szCs w:val="14"/>
                                    </w:rPr>
                                    <w:t>accord</w:t>
                                  </w:r>
                                </w:p>
                                <w:p w14:paraId="493C2B8D" w14:textId="77777777" w:rsidR="00756EAD" w:rsidRDefault="00756EAD" w:rsidP="00D80461">
                                  <w:pPr>
                                    <w:spacing w:before="140"/>
                                    <w:jc w:val="right"/>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8562" id="_x0000_s1062" type="#_x0000_t202" style="position:absolute;left:0;text-align:left;margin-left:202.8pt;margin-top:157.05pt;width:27.15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" fillcolor="white [3212]" stroked="f">
                      <v:textbox inset="0,0,0,0">
                        <w:txbxContent>
                          <w:p w14:paraId="06ECE5E5" w14:textId="77777777" w:rsidR="00756EAD" w:rsidRPr="00694A13" w:rsidRDefault="00756EAD" w:rsidP="00D80461">
                            <w:pPr>
                              <w:spacing w:before="0"/>
                              <w:rPr>
                                <w:sz w:val="14"/>
                                <w:szCs w:val="14"/>
                              </w:rPr>
                            </w:pPr>
                            <w:r w:rsidRPr="00694A13">
                              <w:rPr>
                                <w:sz w:val="14"/>
                                <w:szCs w:val="14"/>
                              </w:rPr>
                              <w:t>D</w:t>
                            </w:r>
                            <w:r>
                              <w:rPr>
                                <w:sz w:val="14"/>
                                <w:szCs w:val="14"/>
                              </w:rPr>
                              <w:t>'</w:t>
                            </w:r>
                            <w:r w:rsidRPr="00694A13">
                              <w:rPr>
                                <w:sz w:val="14"/>
                                <w:szCs w:val="14"/>
                              </w:rPr>
                              <w:t>accord</w:t>
                            </w:r>
                          </w:p>
                          <w:p w14:paraId="493C2B8D" w14:textId="77777777" w:rsidR="00756EAD" w:rsidRDefault="00756EAD" w:rsidP="00D80461">
                            <w:pPr>
                              <w:spacing w:before="140"/>
                              <w:jc w:val="right"/>
                              <w:rPr>
                                <w:sz w:val="16"/>
                                <w:szCs w:val="16"/>
                              </w:rPr>
                            </w:pPr>
                          </w:p>
                        </w:txbxContent>
                      </v:textbox>
                    </v:shape>
                  </w:pict>
                </mc:Fallback>
              </mc:AlternateContent>
            </w:r>
            <w:r w:rsidRPr="00F05A8A">
              <w:rPr>
                <w:lang w:eastAsia="fr-FR"/>
              </w:rPr>
              <w:drawing>
                <wp:inline distT="0" distB="0" distL="0" distR="0" wp14:anchorId="1C422A98" wp14:editId="3168CBD5">
                  <wp:extent cx="3536289" cy="2156604"/>
                  <wp:effectExtent l="0" t="0" r="7620" b="0"/>
                  <wp:docPr id="1820414991" name="Picture 182041499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pic:cNvPicPr>
                        </pic:nvPicPr>
                        <pic:blipFill>
                          <a:blip r:embed="rId377"/>
                          <a:stretch>
                            <a:fillRect/>
                          </a:stretch>
                        </pic:blipFill>
                        <pic:spPr>
                          <a:xfrm>
                            <a:off x="0" y="0"/>
                            <a:ext cx="3549502" cy="2164662"/>
                          </a:xfrm>
                          <a:prstGeom prst="rect">
                            <a:avLst/>
                          </a:prstGeom>
                        </pic:spPr>
                      </pic:pic>
                    </a:graphicData>
                  </a:graphic>
                </wp:inline>
              </w:drawing>
            </w:r>
          </w:p>
        </w:tc>
      </w:tr>
    </w:tbl>
    <w:p w14:paraId="5AB77787" w14:textId="77777777" w:rsidR="00D80461" w:rsidRPr="00F05A8A" w:rsidRDefault="00D80461" w:rsidP="002F075E">
      <w:pPr>
        <w:pStyle w:val="Heading2"/>
      </w:pPr>
      <w:bookmarkStart w:id="529" w:name="_3.1_Résultats_par"/>
      <w:bookmarkStart w:id="530" w:name="_Toc98513617"/>
      <w:bookmarkStart w:id="531" w:name="_Toc107466582"/>
      <w:bookmarkStart w:id="532" w:name="Section_3_1"/>
      <w:bookmarkStart w:id="533" w:name="_Toc41032117"/>
      <w:bookmarkStart w:id="534" w:name="_Toc72846679"/>
      <w:bookmarkEnd w:id="529"/>
      <w:r w:rsidRPr="00F05A8A">
        <w:t>3.1</w:t>
      </w:r>
      <w:r w:rsidRPr="00F05A8A">
        <w:tab/>
        <w:t>Contribution de l'UIT à la réalisation des Objectifs de développement durable et des grandes orientations du SMSI</w:t>
      </w:r>
      <w:bookmarkEnd w:id="530"/>
      <w:bookmarkEnd w:id="531"/>
    </w:p>
    <w:p w14:paraId="4B714996" w14:textId="77777777" w:rsidR="00D80461" w:rsidRPr="00F05A8A" w:rsidRDefault="00D80461" w:rsidP="002F075E">
      <w:pPr>
        <w:rPr>
          <w:rFonts w:asciiTheme="minorHAnsi" w:hAnsiTheme="minorHAnsi" w:cstheme="minorBidi"/>
        </w:rPr>
      </w:pPr>
      <w:r w:rsidRPr="00F05A8A">
        <w:t>L'UIT, en tant qu'institution spécialisée des Nations Unies pour les technologies de l'information et de la communication (TIC), continue de soutenir ses membres et de contribuer aux efforts déployés à l'échelle mondiale pour faire avancer le Programme de développement durable à l'horizon 2030 des Nations Unies et atteindre les Objectifs de développement durable (ODD).</w:t>
      </w:r>
    </w:p>
    <w:p w14:paraId="5420EDA3" w14:textId="77777777" w:rsidR="00D80461" w:rsidRPr="00F05A8A" w:rsidRDefault="00D80461" w:rsidP="002F075E">
      <w:r w:rsidRPr="00F05A8A">
        <w:t>Les 17 ODD et les 169 cibles qui y sont associées offrent une vision globale au système des Nations Unies. Le rôle et la contribution des TIC en tant que catalyseurs essentiels pour accélérer la réalisation des ODD sont mis expressément en avant dans le Programme de développement durable à l'horizon 2030 et mis en lumière depuis le début de la pandémie de COVID-19. L'infrastructure, la connectivité et les TIC ont montré qu'elles jouaient un rôle important et qu'elles disposaient d'un fort potentiel pour accélérer les progrès humains, réduire les écarts dans le domaine du numérique et édifier des sociétés numériques.</w:t>
      </w:r>
    </w:p>
    <w:p w14:paraId="0E496082" w14:textId="579D50D2" w:rsidR="00D80461" w:rsidRPr="00F05A8A" w:rsidRDefault="00D80461" w:rsidP="002F075E">
      <w:r w:rsidRPr="00F05A8A">
        <w:t xml:space="preserve">Comme l'illustre la figure ci-dessous, l'UIT a un rôle important à jouer, moyennant la réalisation de ses buts </w:t>
      </w:r>
      <w:r w:rsidR="00FB4D0A" w:rsidRPr="00F05A8A">
        <w:t>stratégiques</w:t>
      </w:r>
      <w:r w:rsidRPr="00F05A8A">
        <w:t>, pour contribuer à atteindre les ODD.</w:t>
      </w:r>
    </w:p>
    <w:p w14:paraId="300809FC" w14:textId="77777777" w:rsidR="00D80461" w:rsidRPr="00F05A8A" w:rsidRDefault="00D80461" w:rsidP="002F075E">
      <w:pPr>
        <w:pStyle w:val="Figure"/>
        <w:keepNext w:val="0"/>
        <w:keepLines w:val="0"/>
      </w:pPr>
      <w:r w:rsidRPr="00F05A8A">
        <w:rPr>
          <w:lang w:eastAsia="fr-FR"/>
        </w:rPr>
        <w:lastRenderedPageBreak/>
        <w:drawing>
          <wp:inline distT="0" distB="0" distL="0" distR="0" wp14:anchorId="1C607037" wp14:editId="3ABDAC8C">
            <wp:extent cx="5922000" cy="4525200"/>
            <wp:effectExtent l="0" t="0" r="3175" b="8890"/>
            <wp:docPr id="203575360" name="Picture 203575360" descr="cid:image004.png@01D83B87.EF98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83B87.EF987740"/>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5922000" cy="4525200"/>
                    </a:xfrm>
                    <a:prstGeom prst="rect">
                      <a:avLst/>
                    </a:prstGeom>
                    <a:noFill/>
                    <a:ln>
                      <a:noFill/>
                    </a:ln>
                  </pic:spPr>
                </pic:pic>
              </a:graphicData>
            </a:graphic>
          </wp:inline>
        </w:drawing>
      </w:r>
    </w:p>
    <w:p w14:paraId="3F73C936" w14:textId="77777777" w:rsidR="00D80461" w:rsidRPr="00F05A8A" w:rsidRDefault="00D80461" w:rsidP="002F075E">
      <w:pPr>
        <w:spacing w:before="360"/>
        <w:jc w:val="both"/>
      </w:pPr>
      <w:r w:rsidRPr="00F05A8A">
        <w:t xml:space="preserve">La figure illustre la contribution de l'UIT à la réalisation des ODD avec 4 niveaux d'implication, présentés sous la forme d'anneaux concentriques. Ces 4 niveaux d'implication sont en phase avec l'analyse présentée précédemment à l'aide de l'outil de l'UIT de mise en correspondance des ODD. </w:t>
      </w:r>
    </w:p>
    <w:p w14:paraId="57FAED17" w14:textId="77777777" w:rsidR="00D80461" w:rsidRPr="00F05A8A" w:rsidRDefault="00D80461" w:rsidP="002F075E">
      <w:pPr>
        <w:pStyle w:val="enumlev1"/>
      </w:pPr>
      <w:r w:rsidRPr="00F05A8A">
        <w:t>1)</w:t>
      </w:r>
      <w:r w:rsidRPr="00F05A8A">
        <w:tab/>
      </w:r>
      <w:r w:rsidRPr="00F05A8A">
        <w:rPr>
          <w:b/>
        </w:rPr>
        <w:t>Les TIC en tant que catalyseur</w:t>
      </w:r>
      <w:r w:rsidRPr="00F05A8A">
        <w:t xml:space="preserve">: l'UIT peut être considérée comme contributrice à la réalisation de tous les ODD compte tenu des avantages que les TIC offrent aux sociétés et aux économies. </w:t>
      </w:r>
    </w:p>
    <w:p w14:paraId="50666857" w14:textId="77777777" w:rsidR="00D80461" w:rsidRPr="00F05A8A" w:rsidRDefault="00D80461" w:rsidP="002F075E">
      <w:pPr>
        <w:pStyle w:val="enumlev1"/>
      </w:pPr>
      <w:r w:rsidRPr="00F05A8A">
        <w:t>2)</w:t>
      </w:r>
      <w:r w:rsidRPr="00F05A8A">
        <w:tab/>
      </w:r>
      <w:r w:rsidRPr="00F05A8A">
        <w:rPr>
          <w:b/>
          <w:bCs/>
        </w:rPr>
        <w:t>Objectif</w:t>
      </w:r>
      <w:r w:rsidRPr="00F05A8A">
        <w:rPr>
          <w:bCs/>
        </w:rPr>
        <w:t>:</w:t>
      </w:r>
      <w:r w:rsidRPr="00F05A8A">
        <w:rPr>
          <w:b/>
          <w:bCs/>
        </w:rPr>
        <w:t xml:space="preserve"> </w:t>
      </w:r>
      <w:r w:rsidRPr="00F05A8A">
        <w:rPr>
          <w:bCs/>
        </w:rPr>
        <w:t xml:space="preserve">ODD ne faisant pas expressément mention des TIC, mais relevant de domaines dans lesquels l'UIT a montré qu'elle avait des effets évidents compte tenu des avantages que les TIC apportent à des secteurs et à des activités spécifiques </w:t>
      </w:r>
      <w:r w:rsidRPr="00F05A8A">
        <w:t>(par exemple la cybersanté, l'inclusion numérique, les villes intelligentes, les déchets d'équipements électriques et électroniques, ou encore les changements climatiques). Il s'agit des ODD 1, 3, 10, 11, 12 et 13.</w:t>
      </w:r>
    </w:p>
    <w:p w14:paraId="03BDBB69" w14:textId="510BCE5C" w:rsidR="00D80461" w:rsidRPr="00F05A8A" w:rsidRDefault="00D80461" w:rsidP="002F075E">
      <w:pPr>
        <w:pStyle w:val="enumlev1"/>
      </w:pPr>
      <w:r w:rsidRPr="00F05A8A">
        <w:t>3)</w:t>
      </w:r>
      <w:r w:rsidRPr="00F05A8A">
        <w:tab/>
      </w:r>
      <w:r w:rsidRPr="00F05A8A">
        <w:rPr>
          <w:b/>
          <w:bCs/>
        </w:rPr>
        <w:t>Objectif clé</w:t>
      </w:r>
      <w:r w:rsidRPr="00F05A8A">
        <w:rPr>
          <w:bCs/>
        </w:rPr>
        <w:t>:</w:t>
      </w:r>
      <w:r w:rsidRPr="00F05A8A">
        <w:rPr>
          <w:b/>
          <w:bCs/>
        </w:rPr>
        <w:t xml:space="preserve"> </w:t>
      </w:r>
      <w:r w:rsidRPr="00F05A8A">
        <w:rPr>
          <w:bCs/>
        </w:rPr>
        <w:t>ODD relevant de domaines dans lesquels l'UIT joue un rôle particulièrement important compte tenu des initiatives qu'elle entreprend, et associés à des indicateurs dont l'UIT est responsable. Il s'agit de l'ODD 4 (Éducation de qualité)</w:t>
      </w:r>
      <w:r w:rsidRPr="00F05A8A">
        <w:t>, et de sa Cible 4b visant à augmenter à l'échelle mondiale le nombre de bourses d'études offertes pour financer le suivi d'études supérieures, y compris la formation professionnelle, les cursus informatiques, techniques et scientifiques et les études d</w:t>
      </w:r>
      <w:r w:rsidR="00CF5980" w:rsidRPr="00F05A8A">
        <w:t>'</w:t>
      </w:r>
      <w:r w:rsidRPr="00F05A8A">
        <w:t>ingénieur; de l'ODD 5 (Égalité entre les sexes), Cible 5b sur l'utilisation des technologies clés, en particulier les TIC, pour promouvoir l</w:t>
      </w:r>
      <w:r w:rsidR="00CF5980" w:rsidRPr="00F05A8A">
        <w:t>'</w:t>
      </w:r>
      <w:r w:rsidRPr="00F05A8A">
        <w:t>autonomisation des femmes; et de l'Indicateur 5b.1 sur la possession de téléphones mobiles, selon le sexe.</w:t>
      </w:r>
    </w:p>
    <w:p w14:paraId="20CB4A8B" w14:textId="77777777" w:rsidR="00D80461" w:rsidRPr="00F05A8A" w:rsidRDefault="00D80461" w:rsidP="002F075E">
      <w:pPr>
        <w:pStyle w:val="enumlev1"/>
      </w:pPr>
      <w:r w:rsidRPr="00F05A8A">
        <w:lastRenderedPageBreak/>
        <w:t>4)</w:t>
      </w:r>
      <w:r w:rsidRPr="00F05A8A">
        <w:tab/>
      </w:r>
      <w:r w:rsidRPr="00F05A8A">
        <w:rPr>
          <w:b/>
          <w:bCs/>
        </w:rPr>
        <w:t>Principal objectif clé</w:t>
      </w:r>
      <w:r w:rsidRPr="00F05A8A">
        <w:rPr>
          <w:bCs/>
        </w:rPr>
        <w:t>:</w:t>
      </w:r>
      <w:r w:rsidRPr="00F05A8A">
        <w:rPr>
          <w:b/>
          <w:bCs/>
        </w:rPr>
        <w:t xml:space="preserve"> </w:t>
      </w:r>
      <w:r w:rsidRPr="00F05A8A">
        <w:rPr>
          <w:bCs/>
        </w:rPr>
        <w:t>ODD auxquels l'UIT contribue le plus, comme l'ODD 9 (Industrie, innovation et infrastructure) et l'ODD 17 (Partenariats pour la réalisation des objectifs). L'UIT est responsable de la Cible 9c associée sur l'accès aux TIC en vue de faire en sorte que chacun ait accès à l'Internet à un coût abordable, et de son Indicateur 9c.1 sur la couverture par réseau mobile et par technologie, ainsi que de la Cible 17.8 sur le renforcement de l'utilisation des technologies clés, en particulier des technologies de l'information et de la communication, et de son Indicateur 17.8.1 sur l'utilisation de l'Internet par les individus.</w:t>
      </w:r>
    </w:p>
    <w:p w14:paraId="31F76E18" w14:textId="77777777" w:rsidR="00D80461" w:rsidRPr="00F05A8A" w:rsidRDefault="00D80461" w:rsidP="002F075E">
      <w:pPr>
        <w:snapToGrid w:val="0"/>
        <w:spacing w:after="480"/>
        <w:rPr>
          <w:rFonts w:cstheme="minorHAnsi"/>
          <w:szCs w:val="24"/>
        </w:rPr>
      </w:pPr>
      <w:r w:rsidRPr="00F05A8A">
        <w:rPr>
          <w:rFonts w:cstheme="minorHAnsi"/>
          <w:szCs w:val="24"/>
        </w:rPr>
        <w:t>L'UIT joue le rôle de coordonnateur principal dans le processus de mise en œuvre des résultats du SMSI, en collaboration avec plus de 30 institutions des Nations Unies, en vue de créer un environnement pour des sociétés de l'information et du savoir justes et équitables. Le cadre du SMSI peut être perçu comme le socle sur lequel l'UIT s'appuie pour aider le monde à tirer parti des TIC afin de contribuer à la réalisation du Programme de développement durable à l'horizon 2030, compte tenu du Tableau de correspondance SMSI-ODD élaboré par les institutions des Nations Unies.</w:t>
      </w:r>
    </w:p>
    <w:p w14:paraId="7C476003" w14:textId="77777777" w:rsidR="00D80461" w:rsidRPr="00F05A8A" w:rsidRDefault="00D80461" w:rsidP="002F075E">
      <w:pPr>
        <w:snapToGrid w:val="0"/>
        <w:spacing w:after="480"/>
        <w:jc w:val="center"/>
        <w:rPr>
          <w:rFonts w:cstheme="minorHAnsi"/>
          <w:szCs w:val="24"/>
        </w:rPr>
      </w:pPr>
      <w:r w:rsidRPr="00F05A8A">
        <w:rPr>
          <w:lang w:eastAsia="fr-FR"/>
        </w:rPr>
        <w:drawing>
          <wp:inline distT="0" distB="0" distL="0" distR="0" wp14:anchorId="1991440A" wp14:editId="74EBEA8D">
            <wp:extent cx="5895975" cy="4638675"/>
            <wp:effectExtent l="0" t="0" r="9525" b="9525"/>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380"/>
                    <a:stretch>
                      <a:fillRect/>
                    </a:stretch>
                  </pic:blipFill>
                  <pic:spPr>
                    <a:xfrm>
                      <a:off x="0" y="0"/>
                      <a:ext cx="5895975" cy="4638675"/>
                    </a:xfrm>
                    <a:prstGeom prst="rect">
                      <a:avLst/>
                    </a:prstGeom>
                  </pic:spPr>
                </pic:pic>
              </a:graphicData>
            </a:graphic>
          </wp:inline>
        </w:drawing>
      </w:r>
    </w:p>
    <w:p w14:paraId="546D109D" w14:textId="77777777" w:rsidR="00D80461" w:rsidRPr="00F05A8A" w:rsidRDefault="00D80461" w:rsidP="002F075E">
      <w:pPr>
        <w:pStyle w:val="Heading2"/>
        <w:spacing w:after="240"/>
      </w:pPr>
      <w:bookmarkStart w:id="535" w:name="_Toc98513618"/>
      <w:r w:rsidRPr="00F05A8A">
        <w:br w:type="page"/>
      </w:r>
    </w:p>
    <w:p w14:paraId="77234746" w14:textId="77777777" w:rsidR="00D80461" w:rsidRPr="00F05A8A" w:rsidRDefault="00D80461" w:rsidP="002F075E">
      <w:pPr>
        <w:pStyle w:val="Heading2"/>
        <w:spacing w:after="240"/>
      </w:pPr>
      <w:bookmarkStart w:id="536" w:name="_Toc107466583"/>
      <w:r w:rsidRPr="00F05A8A">
        <w:lastRenderedPageBreak/>
        <w:t>3.2</w:t>
      </w:r>
      <w:r w:rsidRPr="00F05A8A">
        <w:tab/>
        <w:t>Résultats des progrès vis-à-vis des buts stratégique</w:t>
      </w:r>
      <w:bookmarkEnd w:id="532"/>
      <w:bookmarkEnd w:id="533"/>
      <w:bookmarkEnd w:id="534"/>
      <w:r w:rsidRPr="00F05A8A">
        <w:t>s</w:t>
      </w:r>
      <w:bookmarkEnd w:id="535"/>
      <w:bookmarkEnd w:id="536"/>
    </w:p>
    <w:tbl>
      <w:tblPr>
        <w:tblStyle w:val="ListTable3-Accent11"/>
        <w:tblW w:w="8789" w:type="dxa"/>
        <w:tblInd w:w="-5" w:type="dxa"/>
        <w:tblLook w:val="0420" w:firstRow="1" w:lastRow="0" w:firstColumn="0" w:lastColumn="0" w:noHBand="0" w:noVBand="1"/>
      </w:tblPr>
      <w:tblGrid>
        <w:gridCol w:w="1110"/>
        <w:gridCol w:w="7679"/>
      </w:tblGrid>
      <w:tr w:rsidR="00D80461" w:rsidRPr="00F05A8A" w14:paraId="4AD0BC79" w14:textId="77777777" w:rsidTr="00142C01">
        <w:trPr>
          <w:cnfStyle w:val="100000000000" w:firstRow="1" w:lastRow="0" w:firstColumn="0" w:lastColumn="0" w:oddVBand="0" w:evenVBand="0" w:oddHBand="0" w:evenHBand="0" w:firstRowFirstColumn="0" w:firstRowLastColumn="0" w:lastRowFirstColumn="0" w:lastRowLastColumn="0"/>
          <w:trHeight w:val="20"/>
        </w:trPr>
        <w:tc>
          <w:tcPr>
            <w:tcW w:w="735" w:type="dxa"/>
            <w:tcBorders>
              <w:top w:val="single" w:sz="4" w:space="0" w:color="5B9BD5"/>
              <w:left w:val="single" w:sz="4" w:space="0" w:color="5B9BD5"/>
              <w:bottom w:val="nil"/>
              <w:right w:val="nil"/>
            </w:tcBorders>
            <w:hideMark/>
          </w:tcPr>
          <w:p w14:paraId="1F724C61" w14:textId="77777777" w:rsidR="00D80461" w:rsidRPr="00F05A8A" w:rsidRDefault="00D80461" w:rsidP="002F075E">
            <w:pPr>
              <w:pStyle w:val="Tablehead"/>
              <w:rPr>
                <w:b/>
                <w:sz w:val="18"/>
                <w:szCs w:val="18"/>
                <w:lang w:eastAsia="en-GB"/>
              </w:rPr>
            </w:pPr>
            <w:r w:rsidRPr="00F05A8A">
              <w:rPr>
                <w:b/>
                <w:sz w:val="18"/>
                <w:szCs w:val="18"/>
                <w:lang w:eastAsia="en-GB"/>
              </w:rPr>
              <w:t xml:space="preserve">But </w:t>
            </w:r>
          </w:p>
        </w:tc>
        <w:tc>
          <w:tcPr>
            <w:tcW w:w="8054" w:type="dxa"/>
            <w:tcBorders>
              <w:top w:val="single" w:sz="4" w:space="0" w:color="5B9BD5"/>
              <w:left w:val="nil"/>
              <w:bottom w:val="nil"/>
              <w:right w:val="single" w:sz="4" w:space="0" w:color="5B9BD5"/>
            </w:tcBorders>
            <w:hideMark/>
          </w:tcPr>
          <w:p w14:paraId="7EE8FA21" w14:textId="77777777" w:rsidR="00D80461" w:rsidRPr="00F05A8A" w:rsidRDefault="00D80461" w:rsidP="002F075E">
            <w:pPr>
              <w:pStyle w:val="Tablehead"/>
              <w:rPr>
                <w:rFonts w:ascii="Arial" w:hAnsi="Arial" w:cs="Arial"/>
                <w:b/>
                <w:sz w:val="18"/>
                <w:szCs w:val="18"/>
                <w:lang w:eastAsia="en-GB"/>
              </w:rPr>
            </w:pPr>
            <w:r w:rsidRPr="00F05A8A">
              <w:rPr>
                <w:b/>
                <w:sz w:val="18"/>
                <w:szCs w:val="18"/>
                <w:lang w:eastAsia="en-GB"/>
              </w:rPr>
              <w:t>Cible, d'ici à 2023</w:t>
            </w:r>
          </w:p>
        </w:tc>
      </w:tr>
      <w:tr w:rsidR="00D80461" w:rsidRPr="00F05A8A" w14:paraId="123613AD"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735" w:type="dxa"/>
            <w:vMerge w:val="restart"/>
            <w:tcBorders>
              <w:left w:val="single" w:sz="4" w:space="0" w:color="5B9BD5"/>
              <w:right w:val="nil"/>
            </w:tcBorders>
            <w:hideMark/>
          </w:tcPr>
          <w:p w14:paraId="44DB4ACB" w14:textId="77777777" w:rsidR="00D80461" w:rsidRPr="00F05A8A" w:rsidRDefault="00D80461" w:rsidP="002F075E">
            <w:pPr>
              <w:pStyle w:val="Tabletext"/>
              <w:rPr>
                <w:rFonts w:cs="Calibri"/>
                <w:sz w:val="18"/>
                <w:szCs w:val="18"/>
                <w:lang w:eastAsia="en-GB"/>
              </w:rPr>
            </w:pPr>
            <w:r w:rsidRPr="00F05A8A">
              <w:rPr>
                <w:sz w:val="18"/>
                <w:szCs w:val="18"/>
                <w:lang w:eastAsia="en-GB"/>
              </w:rPr>
              <w:t>Croissance</w:t>
            </w:r>
          </w:p>
        </w:tc>
        <w:tc>
          <w:tcPr>
            <w:tcW w:w="8054" w:type="dxa"/>
            <w:tcBorders>
              <w:left w:val="nil"/>
              <w:right w:val="single" w:sz="4" w:space="0" w:color="5B9BD5"/>
            </w:tcBorders>
            <w:hideMark/>
          </w:tcPr>
          <w:p w14:paraId="2BD1299C"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1.1: 65% des ménages dans le monde auront accès à l'Internet</w:t>
            </w:r>
          </w:p>
        </w:tc>
      </w:tr>
      <w:tr w:rsidR="00D80461" w:rsidRPr="00F05A8A" w14:paraId="0DB9B120" w14:textId="77777777" w:rsidTr="00142C01">
        <w:trPr>
          <w:trHeight w:val="20"/>
        </w:trPr>
        <w:tc>
          <w:tcPr>
            <w:tcW w:w="0" w:type="auto"/>
            <w:vMerge/>
            <w:tcBorders>
              <w:top w:val="single" w:sz="4" w:space="0" w:color="5B9BD5"/>
              <w:left w:val="single" w:sz="4" w:space="0" w:color="5B9BD5"/>
              <w:bottom w:val="single" w:sz="4" w:space="0" w:color="5B9BD5"/>
              <w:right w:val="nil"/>
            </w:tcBorders>
            <w:vAlign w:val="center"/>
            <w:hideMark/>
          </w:tcPr>
          <w:p w14:paraId="3F9D8AB2"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19DEA702"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1.2: 70% de la population dans le monde utilisera l'Internet</w:t>
            </w:r>
          </w:p>
        </w:tc>
      </w:tr>
      <w:tr w:rsidR="00D80461" w:rsidRPr="00F05A8A" w14:paraId="38F6F3A3"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single" w:sz="4" w:space="0" w:color="5B9BD5"/>
              <w:right w:val="nil"/>
            </w:tcBorders>
            <w:vAlign w:val="center"/>
            <w:hideMark/>
          </w:tcPr>
          <w:p w14:paraId="27CCD159"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77880A10"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1.3: L'accès à Internet devrait être 25% moins cher (année de référence 2017)</w:t>
            </w:r>
          </w:p>
        </w:tc>
      </w:tr>
      <w:tr w:rsidR="00D80461" w:rsidRPr="00F05A8A" w14:paraId="29C0B691" w14:textId="77777777" w:rsidTr="00142C01">
        <w:trPr>
          <w:trHeight w:val="20"/>
        </w:trPr>
        <w:tc>
          <w:tcPr>
            <w:tcW w:w="0" w:type="auto"/>
            <w:vMerge/>
            <w:tcBorders>
              <w:top w:val="single" w:sz="4" w:space="0" w:color="5B9BD5"/>
              <w:left w:val="single" w:sz="4" w:space="0" w:color="5B9BD5"/>
              <w:bottom w:val="single" w:sz="4" w:space="0" w:color="5B9BD5"/>
              <w:right w:val="nil"/>
            </w:tcBorders>
            <w:vAlign w:val="center"/>
            <w:hideMark/>
          </w:tcPr>
          <w:p w14:paraId="74ED7660"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54E329A0"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1.4: Tous les pays adopteront un programme/une stratégie en matière de numérique</w:t>
            </w:r>
          </w:p>
        </w:tc>
      </w:tr>
      <w:tr w:rsidR="00D80461" w:rsidRPr="00F05A8A" w14:paraId="557CC9EF"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single" w:sz="4" w:space="0" w:color="5B9BD5"/>
              <w:right w:val="nil"/>
            </w:tcBorders>
            <w:vAlign w:val="center"/>
            <w:hideMark/>
          </w:tcPr>
          <w:p w14:paraId="6128B18A"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712FE54E"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1.5: Le nombre d'abonnements au large bande aura progressé de 50%</w:t>
            </w:r>
          </w:p>
        </w:tc>
      </w:tr>
      <w:tr w:rsidR="00D80461" w:rsidRPr="00F05A8A" w14:paraId="5FA8C36C" w14:textId="77777777" w:rsidTr="00142C01">
        <w:trPr>
          <w:trHeight w:val="20"/>
        </w:trPr>
        <w:tc>
          <w:tcPr>
            <w:tcW w:w="0" w:type="auto"/>
            <w:vMerge/>
            <w:tcBorders>
              <w:top w:val="single" w:sz="4" w:space="0" w:color="5B9BD5"/>
              <w:left w:val="single" w:sz="4" w:space="0" w:color="5B9BD5"/>
              <w:bottom w:val="single" w:sz="4" w:space="0" w:color="5B9BD5"/>
              <w:right w:val="nil"/>
            </w:tcBorders>
            <w:vAlign w:val="center"/>
            <w:hideMark/>
          </w:tcPr>
          <w:p w14:paraId="2F5BC58B"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6EB638AA"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1.6: 40% des pays auront plus de la moitié des abonnements au large bande avec un débit supérieur à 10 Mbit/s</w:t>
            </w:r>
          </w:p>
        </w:tc>
      </w:tr>
      <w:tr w:rsidR="00D80461" w:rsidRPr="00F05A8A" w14:paraId="1CB527F6"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single" w:sz="4" w:space="0" w:color="5B9BD5"/>
              <w:right w:val="nil"/>
            </w:tcBorders>
            <w:vAlign w:val="center"/>
            <w:hideMark/>
          </w:tcPr>
          <w:p w14:paraId="685DF533"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7794A61A"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1.7: 40% de la population devrait utiliser les services publics en ligne</w:t>
            </w:r>
          </w:p>
        </w:tc>
      </w:tr>
      <w:tr w:rsidR="00D80461" w:rsidRPr="00F05A8A" w14:paraId="3BA87840" w14:textId="77777777" w:rsidTr="00142C01">
        <w:trPr>
          <w:trHeight w:val="20"/>
        </w:trPr>
        <w:tc>
          <w:tcPr>
            <w:tcW w:w="735" w:type="dxa"/>
            <w:vMerge w:val="restart"/>
            <w:tcBorders>
              <w:top w:val="nil"/>
              <w:left w:val="single" w:sz="4" w:space="0" w:color="5B9BD5"/>
              <w:bottom w:val="single" w:sz="4" w:space="0" w:color="5B9BD5"/>
              <w:right w:val="nil"/>
            </w:tcBorders>
            <w:hideMark/>
          </w:tcPr>
          <w:p w14:paraId="6CCACD39" w14:textId="77777777" w:rsidR="00D80461" w:rsidRPr="00F05A8A" w:rsidRDefault="00D80461" w:rsidP="002F075E">
            <w:pPr>
              <w:pStyle w:val="Tabletext"/>
              <w:rPr>
                <w:rFonts w:cs="Calibri"/>
                <w:sz w:val="18"/>
                <w:szCs w:val="18"/>
                <w:lang w:eastAsia="en-GB"/>
              </w:rPr>
            </w:pPr>
            <w:r w:rsidRPr="00F05A8A">
              <w:rPr>
                <w:sz w:val="18"/>
                <w:szCs w:val="18"/>
                <w:lang w:eastAsia="en-GB"/>
              </w:rPr>
              <w:t>Inclusion</w:t>
            </w:r>
          </w:p>
        </w:tc>
        <w:tc>
          <w:tcPr>
            <w:tcW w:w="8054" w:type="dxa"/>
            <w:tcBorders>
              <w:top w:val="nil"/>
              <w:left w:val="nil"/>
              <w:bottom w:val="nil"/>
              <w:right w:val="single" w:sz="4" w:space="0" w:color="5B9BD5"/>
            </w:tcBorders>
            <w:hideMark/>
          </w:tcPr>
          <w:p w14:paraId="3B300123"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2.1: Dans les pays en développement, 60% des ménages devraient avoir accès à l'Internet</w:t>
            </w:r>
          </w:p>
        </w:tc>
      </w:tr>
      <w:tr w:rsidR="00D80461" w:rsidRPr="00F05A8A" w14:paraId="1F13BEAD"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491A159A"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08BB936F"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2.2: Dans les pays les moins avancés, 30% des ménages devraient avoir accès à l'Internet</w:t>
            </w:r>
          </w:p>
        </w:tc>
      </w:tr>
      <w:tr w:rsidR="00D80461" w:rsidRPr="00F05A8A" w14:paraId="687AE8AC" w14:textId="77777777" w:rsidTr="00142C01">
        <w:trPr>
          <w:trHeight w:val="20"/>
        </w:trPr>
        <w:tc>
          <w:tcPr>
            <w:tcW w:w="0" w:type="auto"/>
            <w:vMerge/>
            <w:tcBorders>
              <w:top w:val="nil"/>
              <w:left w:val="single" w:sz="4" w:space="0" w:color="5B9BD5"/>
              <w:bottom w:val="single" w:sz="4" w:space="0" w:color="5B9BD5"/>
              <w:right w:val="nil"/>
            </w:tcBorders>
            <w:vAlign w:val="center"/>
            <w:hideMark/>
          </w:tcPr>
          <w:p w14:paraId="5386B2E9"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718A7A18"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2.3: Dans les pays en développement, 60% de la population utilisera l'Internet</w:t>
            </w:r>
          </w:p>
        </w:tc>
      </w:tr>
      <w:tr w:rsidR="00D80461" w:rsidRPr="00F05A8A" w14:paraId="23F53605"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4E3CF55C"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139DB353"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2.4: Dans les pays les moins avancés, 30% de la population utilisera l'Internet</w:t>
            </w:r>
          </w:p>
        </w:tc>
      </w:tr>
      <w:tr w:rsidR="00D80461" w:rsidRPr="00F05A8A" w14:paraId="37477791" w14:textId="77777777" w:rsidTr="00142C01">
        <w:trPr>
          <w:trHeight w:val="20"/>
        </w:trPr>
        <w:tc>
          <w:tcPr>
            <w:tcW w:w="0" w:type="auto"/>
            <w:vMerge/>
            <w:tcBorders>
              <w:top w:val="nil"/>
              <w:left w:val="single" w:sz="4" w:space="0" w:color="5B9BD5"/>
              <w:bottom w:val="single" w:sz="4" w:space="0" w:color="5B9BD5"/>
              <w:right w:val="nil"/>
            </w:tcBorders>
            <w:vAlign w:val="center"/>
            <w:hideMark/>
          </w:tcPr>
          <w:p w14:paraId="11262081"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7EB9C1A9"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2.5: L'écart en matière d'accessibilité économique entre pays développés et pays en développement devrait être réduit de 25% (année de référence 2017)</w:t>
            </w:r>
          </w:p>
        </w:tc>
      </w:tr>
      <w:tr w:rsidR="00D80461" w:rsidRPr="00F05A8A" w14:paraId="675E1972"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4BC2C33A"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09C861D7"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2.6: Le prix des services large bande ne devrait pas représenter plus de 3% du revenu mensuel moyen dans les pays en développement</w:t>
            </w:r>
          </w:p>
        </w:tc>
      </w:tr>
      <w:tr w:rsidR="00D80461" w:rsidRPr="00F05A8A" w14:paraId="3F50258D" w14:textId="77777777" w:rsidTr="00142C01">
        <w:trPr>
          <w:trHeight w:val="20"/>
        </w:trPr>
        <w:tc>
          <w:tcPr>
            <w:tcW w:w="0" w:type="auto"/>
            <w:vMerge/>
            <w:tcBorders>
              <w:top w:val="nil"/>
              <w:left w:val="single" w:sz="4" w:space="0" w:color="5B9BD5"/>
              <w:bottom w:val="single" w:sz="4" w:space="0" w:color="5B9BD5"/>
              <w:right w:val="nil"/>
            </w:tcBorders>
            <w:vAlign w:val="center"/>
            <w:hideMark/>
          </w:tcPr>
          <w:p w14:paraId="200307ED"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2F53DCF3"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2.7: 96% de la population mondiale sera desservie par le large bande</w:t>
            </w:r>
          </w:p>
        </w:tc>
      </w:tr>
      <w:tr w:rsidR="00D80461" w:rsidRPr="00F05A8A" w14:paraId="78076F98"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00BD72CF"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7EEA27D7"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2.8: L'égalité hommes-femmes en matière d'utilisation de l'Internet et de possession de téléphone mobile devrait être assurée</w:t>
            </w:r>
          </w:p>
        </w:tc>
      </w:tr>
      <w:tr w:rsidR="00D80461" w:rsidRPr="00F05A8A" w14:paraId="638D4252" w14:textId="77777777" w:rsidTr="00142C01">
        <w:trPr>
          <w:trHeight w:val="20"/>
        </w:trPr>
        <w:tc>
          <w:tcPr>
            <w:tcW w:w="0" w:type="auto"/>
            <w:vMerge/>
            <w:tcBorders>
              <w:top w:val="nil"/>
              <w:left w:val="single" w:sz="4" w:space="0" w:color="5B9BD5"/>
              <w:bottom w:val="single" w:sz="4" w:space="0" w:color="5B9BD5"/>
              <w:right w:val="nil"/>
            </w:tcBorders>
            <w:vAlign w:val="center"/>
            <w:hideMark/>
          </w:tcPr>
          <w:p w14:paraId="505115C6"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51BD3B00"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2.9: Des environnements propices garantissant l'accessibilité des télécommunications/TIC pour les personnes handicapées devraient être mis en place dans tous les pays</w:t>
            </w:r>
          </w:p>
        </w:tc>
      </w:tr>
      <w:tr w:rsidR="00D80461" w:rsidRPr="00F05A8A" w14:paraId="271D5E29"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3D361D07"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60047C31"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2.10: La proportion de jeunes et d'adultes disposant de compétences dans le domaine des télécommunications/TIC augmentera de 40%</w:t>
            </w:r>
          </w:p>
        </w:tc>
      </w:tr>
      <w:tr w:rsidR="00D80461" w:rsidRPr="00F05A8A" w14:paraId="077387CF" w14:textId="77777777" w:rsidTr="00142C01">
        <w:trPr>
          <w:trHeight w:val="20"/>
        </w:trPr>
        <w:tc>
          <w:tcPr>
            <w:tcW w:w="735" w:type="dxa"/>
            <w:vMerge w:val="restart"/>
            <w:tcBorders>
              <w:top w:val="nil"/>
              <w:left w:val="single" w:sz="4" w:space="0" w:color="5B9BD5"/>
              <w:bottom w:val="nil"/>
              <w:right w:val="nil"/>
            </w:tcBorders>
            <w:hideMark/>
          </w:tcPr>
          <w:p w14:paraId="2CB21620" w14:textId="77777777" w:rsidR="00D80461" w:rsidRPr="00F05A8A" w:rsidRDefault="00D80461" w:rsidP="002F075E">
            <w:pPr>
              <w:pStyle w:val="Tabletext"/>
              <w:keepNext/>
              <w:keepLines/>
              <w:rPr>
                <w:rFonts w:cs="Calibri"/>
                <w:sz w:val="18"/>
                <w:szCs w:val="18"/>
                <w:lang w:eastAsia="en-GB"/>
              </w:rPr>
            </w:pPr>
            <w:r w:rsidRPr="00F05A8A">
              <w:rPr>
                <w:sz w:val="18"/>
                <w:szCs w:val="18"/>
                <w:lang w:eastAsia="en-GB"/>
              </w:rPr>
              <w:t>Durabilité</w:t>
            </w:r>
          </w:p>
        </w:tc>
        <w:tc>
          <w:tcPr>
            <w:tcW w:w="8054" w:type="dxa"/>
            <w:tcBorders>
              <w:top w:val="nil"/>
              <w:left w:val="nil"/>
              <w:bottom w:val="nil"/>
              <w:right w:val="single" w:sz="4" w:space="0" w:color="5B9BD5"/>
            </w:tcBorders>
            <w:hideMark/>
          </w:tcPr>
          <w:p w14:paraId="47078B30" w14:textId="77777777" w:rsidR="00D80461" w:rsidRPr="00F05A8A" w:rsidRDefault="00D80461" w:rsidP="002F075E">
            <w:pPr>
              <w:pStyle w:val="Tabletext"/>
              <w:keepNext/>
              <w:keepLines/>
              <w:rPr>
                <w:rFonts w:ascii="Arial" w:hAnsi="Arial" w:cs="Arial"/>
                <w:sz w:val="18"/>
                <w:szCs w:val="18"/>
                <w:lang w:eastAsia="en-GB"/>
              </w:rPr>
            </w:pPr>
            <w:r w:rsidRPr="00F05A8A">
              <w:rPr>
                <w:sz w:val="18"/>
                <w:szCs w:val="18"/>
                <w:lang w:eastAsia="en-GB"/>
              </w:rPr>
              <w:t>Cible 3.2: Le taux de recyclage des déchets d'équipements électriques et électroniques dans le monde sera porté à 30%</w:t>
            </w:r>
          </w:p>
        </w:tc>
      </w:tr>
      <w:tr w:rsidR="00D80461" w:rsidRPr="00F05A8A" w14:paraId="1F25104C"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bottom w:val="nil"/>
              <w:right w:val="nil"/>
            </w:tcBorders>
            <w:vAlign w:val="center"/>
            <w:hideMark/>
          </w:tcPr>
          <w:p w14:paraId="762DBBBB" w14:textId="77777777" w:rsidR="00D80461" w:rsidRPr="00F05A8A" w:rsidRDefault="00D80461" w:rsidP="002F075E">
            <w:pPr>
              <w:pStyle w:val="Tabletext"/>
              <w:keepNext/>
              <w:keepLines/>
              <w:rPr>
                <w:rFonts w:cs="Calibri"/>
                <w:sz w:val="18"/>
                <w:szCs w:val="18"/>
                <w:lang w:eastAsia="en-GB"/>
              </w:rPr>
            </w:pPr>
          </w:p>
        </w:tc>
        <w:tc>
          <w:tcPr>
            <w:tcW w:w="8054" w:type="dxa"/>
            <w:tcBorders>
              <w:left w:val="nil"/>
              <w:right w:val="single" w:sz="4" w:space="0" w:color="5B9BD5"/>
            </w:tcBorders>
            <w:hideMark/>
          </w:tcPr>
          <w:p w14:paraId="5387E33A" w14:textId="77777777" w:rsidR="00D80461" w:rsidRPr="00F05A8A" w:rsidRDefault="00D80461" w:rsidP="002F075E">
            <w:pPr>
              <w:pStyle w:val="Tabletext"/>
              <w:keepNext/>
              <w:keepLines/>
              <w:rPr>
                <w:rFonts w:ascii="Arial" w:hAnsi="Arial" w:cs="Arial"/>
                <w:sz w:val="18"/>
                <w:szCs w:val="18"/>
                <w:lang w:eastAsia="en-GB"/>
              </w:rPr>
            </w:pPr>
            <w:r w:rsidRPr="00F05A8A">
              <w:rPr>
                <w:sz w:val="18"/>
                <w:szCs w:val="18"/>
                <w:lang w:eastAsia="en-GB"/>
              </w:rPr>
              <w:t>Cible 3.1: L'état de préparation des pays en matière de cybersécurité, avec des capacités essentielles (existence d'une stratégie, d'équipes nationales d'intervention en cas d'incident/d'urgence informatique et d'une législation) sera renforcé</w:t>
            </w:r>
          </w:p>
        </w:tc>
      </w:tr>
      <w:tr w:rsidR="00D80461" w:rsidRPr="00F05A8A" w14:paraId="53AB7428" w14:textId="77777777" w:rsidTr="00142C01">
        <w:trPr>
          <w:trHeight w:val="20"/>
        </w:trPr>
        <w:tc>
          <w:tcPr>
            <w:tcW w:w="0" w:type="auto"/>
            <w:vMerge/>
            <w:tcBorders>
              <w:top w:val="nil"/>
              <w:left w:val="single" w:sz="4" w:space="0" w:color="5B9BD5"/>
              <w:bottom w:val="nil"/>
              <w:right w:val="nil"/>
            </w:tcBorders>
            <w:vAlign w:val="center"/>
            <w:hideMark/>
          </w:tcPr>
          <w:p w14:paraId="6BEF007C"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4AF27CD2"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3.3: Le pourcentage de pays dotés d'une législation relative aux déchets d'équipements électriques et électroniques sera porté à 50%</w:t>
            </w:r>
          </w:p>
        </w:tc>
      </w:tr>
      <w:tr w:rsidR="00D80461" w:rsidRPr="00F05A8A" w14:paraId="44E6F5EF"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bottom w:val="nil"/>
              <w:right w:val="nil"/>
            </w:tcBorders>
            <w:vAlign w:val="center"/>
            <w:hideMark/>
          </w:tcPr>
          <w:p w14:paraId="739403A3" w14:textId="77777777" w:rsidR="00D80461" w:rsidRPr="00F05A8A" w:rsidRDefault="00D80461" w:rsidP="002F075E">
            <w:pPr>
              <w:pStyle w:val="Tabletext"/>
              <w:rPr>
                <w:rFonts w:cs="Calibri"/>
                <w:sz w:val="18"/>
                <w:szCs w:val="18"/>
                <w:lang w:eastAsia="en-GB"/>
              </w:rPr>
            </w:pPr>
          </w:p>
        </w:tc>
        <w:tc>
          <w:tcPr>
            <w:tcW w:w="8054" w:type="dxa"/>
            <w:tcBorders>
              <w:left w:val="nil"/>
              <w:right w:val="single" w:sz="4" w:space="0" w:color="5B9BD5"/>
            </w:tcBorders>
            <w:hideMark/>
          </w:tcPr>
          <w:p w14:paraId="105C6DA4"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3.5: Tous les pays devraient avoir un plan national pour les télécommunications d'urgence dans le cadre de leurs stratégies nationales et locales de réduction des risques de catastrophe</w:t>
            </w:r>
          </w:p>
        </w:tc>
      </w:tr>
      <w:tr w:rsidR="00D80461" w:rsidRPr="00F05A8A" w14:paraId="24500729" w14:textId="77777777" w:rsidTr="00142C01">
        <w:trPr>
          <w:trHeight w:val="20"/>
        </w:trPr>
        <w:tc>
          <w:tcPr>
            <w:tcW w:w="0" w:type="auto"/>
            <w:vMerge/>
            <w:tcBorders>
              <w:top w:val="nil"/>
              <w:left w:val="single" w:sz="4" w:space="0" w:color="5B9BD5"/>
              <w:bottom w:val="nil"/>
              <w:right w:val="nil"/>
            </w:tcBorders>
            <w:vAlign w:val="center"/>
            <w:hideMark/>
          </w:tcPr>
          <w:p w14:paraId="6B75A4FE" w14:textId="77777777" w:rsidR="00D80461" w:rsidRPr="00F05A8A" w:rsidRDefault="00D80461" w:rsidP="002F075E">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1B4795F1"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3.4: La part nette de la réduction des émissions de gaz à effet de serre grâce aux télécommunications/TIC devrait augmenter de 30% par rapport à l'année de référence 2010</w:t>
            </w:r>
          </w:p>
        </w:tc>
      </w:tr>
      <w:tr w:rsidR="00D80461" w:rsidRPr="00F05A8A" w14:paraId="72A7C6EA" w14:textId="77777777" w:rsidTr="00142C01">
        <w:trPr>
          <w:cnfStyle w:val="000000100000" w:firstRow="0" w:lastRow="0" w:firstColumn="0" w:lastColumn="0" w:oddVBand="0" w:evenVBand="0" w:oddHBand="1" w:evenHBand="0" w:firstRowFirstColumn="0" w:firstRowLastColumn="0" w:lastRowFirstColumn="0" w:lastRowLastColumn="0"/>
          <w:trHeight w:val="20"/>
        </w:trPr>
        <w:tc>
          <w:tcPr>
            <w:tcW w:w="735" w:type="dxa"/>
            <w:tcBorders>
              <w:left w:val="single" w:sz="4" w:space="0" w:color="5B9BD5"/>
              <w:right w:val="nil"/>
            </w:tcBorders>
            <w:hideMark/>
          </w:tcPr>
          <w:p w14:paraId="2D2F63BF" w14:textId="77777777" w:rsidR="00D80461" w:rsidRPr="00F05A8A" w:rsidRDefault="00D80461" w:rsidP="002F075E">
            <w:pPr>
              <w:pStyle w:val="Tabletext"/>
              <w:rPr>
                <w:rFonts w:cs="Calibri"/>
                <w:sz w:val="18"/>
                <w:szCs w:val="18"/>
                <w:lang w:eastAsia="en-GB"/>
              </w:rPr>
            </w:pPr>
            <w:r w:rsidRPr="00F05A8A">
              <w:rPr>
                <w:sz w:val="18"/>
                <w:szCs w:val="18"/>
                <w:lang w:eastAsia="en-GB"/>
              </w:rPr>
              <w:t>Innovation</w:t>
            </w:r>
          </w:p>
        </w:tc>
        <w:tc>
          <w:tcPr>
            <w:tcW w:w="8054" w:type="dxa"/>
            <w:tcBorders>
              <w:left w:val="nil"/>
              <w:right w:val="single" w:sz="4" w:space="0" w:color="5B9BD5"/>
            </w:tcBorders>
            <w:hideMark/>
          </w:tcPr>
          <w:p w14:paraId="0E12648A"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4.1: Tous les pays devraient être dotés de politiques/stratégies encourageant l'innovation centrée sur les télécommunications/TIC</w:t>
            </w:r>
          </w:p>
        </w:tc>
      </w:tr>
      <w:tr w:rsidR="00D80461" w:rsidRPr="00F05A8A" w14:paraId="12C8E65C" w14:textId="77777777" w:rsidTr="00142C01">
        <w:trPr>
          <w:trHeight w:val="20"/>
        </w:trPr>
        <w:tc>
          <w:tcPr>
            <w:tcW w:w="735" w:type="dxa"/>
            <w:tcBorders>
              <w:top w:val="nil"/>
              <w:left w:val="single" w:sz="4" w:space="0" w:color="5B9BD5"/>
              <w:bottom w:val="single" w:sz="4" w:space="0" w:color="5B9BD5"/>
              <w:right w:val="nil"/>
            </w:tcBorders>
            <w:hideMark/>
          </w:tcPr>
          <w:p w14:paraId="2986F579" w14:textId="77777777" w:rsidR="00D80461" w:rsidRPr="00F05A8A" w:rsidRDefault="00D80461" w:rsidP="002F075E">
            <w:pPr>
              <w:pStyle w:val="Tabletext"/>
              <w:rPr>
                <w:rFonts w:cs="Calibri"/>
                <w:sz w:val="18"/>
                <w:szCs w:val="18"/>
                <w:lang w:eastAsia="en-GB"/>
              </w:rPr>
            </w:pPr>
            <w:r w:rsidRPr="00F05A8A">
              <w:rPr>
                <w:sz w:val="18"/>
                <w:szCs w:val="18"/>
                <w:lang w:eastAsia="en-GB"/>
              </w:rPr>
              <w:t>Partenariats</w:t>
            </w:r>
          </w:p>
        </w:tc>
        <w:tc>
          <w:tcPr>
            <w:tcW w:w="8054" w:type="dxa"/>
            <w:tcBorders>
              <w:top w:val="nil"/>
              <w:left w:val="nil"/>
              <w:bottom w:val="single" w:sz="4" w:space="0" w:color="5B9BD5"/>
              <w:right w:val="single" w:sz="4" w:space="0" w:color="5B9BD5"/>
            </w:tcBorders>
            <w:hideMark/>
          </w:tcPr>
          <w:p w14:paraId="3983DD2D" w14:textId="77777777" w:rsidR="00D80461" w:rsidRPr="00F05A8A" w:rsidRDefault="00D80461" w:rsidP="002F075E">
            <w:pPr>
              <w:pStyle w:val="Tabletext"/>
              <w:rPr>
                <w:rFonts w:ascii="Arial" w:hAnsi="Arial" w:cs="Arial"/>
                <w:sz w:val="18"/>
                <w:szCs w:val="18"/>
                <w:lang w:eastAsia="en-GB"/>
              </w:rPr>
            </w:pPr>
            <w:r w:rsidRPr="00F05A8A">
              <w:rPr>
                <w:sz w:val="18"/>
                <w:szCs w:val="18"/>
                <w:lang w:eastAsia="en-GB"/>
              </w:rPr>
              <w:t>Cible 5.1: L'efficacité des partenariats avec les parties prenantes et la coopération avec d'autres organisations et entités de l'environnement des télécommunications/TIC sera renforcée</w:t>
            </w:r>
          </w:p>
        </w:tc>
      </w:tr>
    </w:tbl>
    <w:p w14:paraId="403A1730" w14:textId="77777777" w:rsidR="00D80461" w:rsidRPr="00F05A8A" w:rsidRDefault="00D80461" w:rsidP="002F075E">
      <w:pPr>
        <w:pStyle w:val="Headingb"/>
        <w:spacing w:after="120"/>
        <w:rPr>
          <w:rFonts w:eastAsia="Calibri"/>
        </w:rPr>
      </w:pPr>
      <w:r w:rsidRPr="00F05A8A">
        <w:rPr>
          <w:rFonts w:eastAsia="Calibri"/>
        </w:rPr>
        <w:br w:type="page"/>
      </w:r>
    </w:p>
    <w:p w14:paraId="0F985605" w14:textId="77777777" w:rsidR="00D80461" w:rsidRPr="00F05A8A" w:rsidRDefault="00D80461" w:rsidP="002F075E">
      <w:pPr>
        <w:pStyle w:val="Headingb"/>
        <w:spacing w:after="120"/>
        <w:rPr>
          <w:rFonts w:eastAsia="Calibri"/>
        </w:rPr>
      </w:pPr>
      <w:bookmarkStart w:id="537" w:name="_Toc95387548"/>
      <w:r w:rsidRPr="00F05A8A">
        <w:rPr>
          <w:rFonts w:eastAsia="Calibri"/>
        </w:rPr>
        <w:lastRenderedPageBreak/>
        <w:t>Résultats:</w:t>
      </w:r>
      <w:bookmarkEnd w:id="537"/>
    </w:p>
    <w:tbl>
      <w:tblPr>
        <w:tblW w:w="10065" w:type="dxa"/>
        <w:jc w:val="center"/>
        <w:tblLayout w:type="fixed"/>
        <w:tblLook w:val="04A0" w:firstRow="1" w:lastRow="0" w:firstColumn="1" w:lastColumn="0" w:noHBand="0" w:noVBand="1"/>
      </w:tblPr>
      <w:tblGrid>
        <w:gridCol w:w="5245"/>
        <w:gridCol w:w="4820"/>
      </w:tblGrid>
      <w:tr w:rsidR="00D80461" w:rsidRPr="00F05A8A" w14:paraId="08E3B6FD" w14:textId="77777777" w:rsidTr="00142C01">
        <w:trPr>
          <w:jc w:val="center"/>
        </w:trPr>
        <w:tc>
          <w:tcPr>
            <w:tcW w:w="5245" w:type="dxa"/>
            <w:shd w:val="clear" w:color="auto" w:fill="FFFFFF" w:themeFill="background1"/>
            <w:vAlign w:val="center"/>
          </w:tcPr>
          <w:p w14:paraId="6228BF87" w14:textId="77777777" w:rsidR="00D80461" w:rsidRPr="00F05A8A" w:rsidRDefault="00D80461" w:rsidP="002F075E">
            <w:pPr>
              <w:spacing w:after="120"/>
              <w:jc w:val="center"/>
              <w:rPr>
                <w:rFonts w:eastAsia="Calibri"/>
              </w:rPr>
            </w:pPr>
            <w:r w:rsidRPr="00F05A8A">
              <w:rPr>
                <w:b/>
                <w:bCs/>
              </w:rPr>
              <w:t>Cibles 1.1, 2.1, 2.2</w:t>
            </w:r>
          </w:p>
        </w:tc>
        <w:tc>
          <w:tcPr>
            <w:tcW w:w="4820" w:type="dxa"/>
            <w:shd w:val="clear" w:color="auto" w:fill="FFFFFF" w:themeFill="background1"/>
            <w:vAlign w:val="center"/>
          </w:tcPr>
          <w:p w14:paraId="50488358" w14:textId="77777777" w:rsidR="00D80461" w:rsidRPr="00F05A8A" w:rsidRDefault="00D80461" w:rsidP="002F075E">
            <w:pPr>
              <w:spacing w:after="120"/>
              <w:jc w:val="center"/>
              <w:rPr>
                <w:rFonts w:eastAsia="Calibri"/>
              </w:rPr>
            </w:pPr>
            <w:r w:rsidRPr="00F05A8A">
              <w:rPr>
                <w:b/>
                <w:bCs/>
              </w:rPr>
              <w:t>Cibles 1.2, 2.3, 2.4</w:t>
            </w:r>
          </w:p>
        </w:tc>
      </w:tr>
      <w:tr w:rsidR="00D80461" w:rsidRPr="00F05A8A" w14:paraId="671AD3A9" w14:textId="77777777" w:rsidTr="00142C01">
        <w:trPr>
          <w:jc w:val="center"/>
        </w:trPr>
        <w:tc>
          <w:tcPr>
            <w:tcW w:w="5245" w:type="dxa"/>
            <w:vAlign w:val="center"/>
          </w:tcPr>
          <w:p w14:paraId="22EFD098" w14:textId="77777777" w:rsidR="00D80461" w:rsidRPr="00F05A8A" w:rsidRDefault="00D80461" w:rsidP="002F075E">
            <w:pPr>
              <w:jc w:val="center"/>
              <w:rPr>
                <w:b/>
                <w:bCs/>
                <w:szCs w:val="24"/>
              </w:rPr>
            </w:pPr>
            <w:r w:rsidRPr="00F05A8A">
              <w:rPr>
                <w:b/>
                <w:bCs/>
                <w:szCs w:val="24"/>
                <w:lang w:eastAsia="fr-FR"/>
              </w:rPr>
              <w:drawing>
                <wp:inline distT="0" distB="0" distL="0" distR="0" wp14:anchorId="199228E6" wp14:editId="1737B4D5">
                  <wp:extent cx="3258000" cy="1497600"/>
                  <wp:effectExtent l="0" t="0" r="0" b="762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258000" cy="1497600"/>
                          </a:xfrm>
                          <a:prstGeom prst="rect">
                            <a:avLst/>
                          </a:prstGeom>
                          <a:noFill/>
                        </pic:spPr>
                      </pic:pic>
                    </a:graphicData>
                  </a:graphic>
                </wp:inline>
              </w:drawing>
            </w:r>
          </w:p>
        </w:tc>
        <w:tc>
          <w:tcPr>
            <w:tcW w:w="4820" w:type="dxa"/>
            <w:vAlign w:val="center"/>
          </w:tcPr>
          <w:p w14:paraId="65221209" w14:textId="77777777" w:rsidR="00D80461" w:rsidRPr="00F05A8A" w:rsidRDefault="00D80461" w:rsidP="002F075E">
            <w:pPr>
              <w:jc w:val="center"/>
              <w:rPr>
                <w:b/>
                <w:bCs/>
              </w:rPr>
            </w:pPr>
            <w:r w:rsidRPr="00F05A8A">
              <w:rPr>
                <w:b/>
                <w:bCs/>
                <w:szCs w:val="24"/>
                <w:lang w:eastAsia="fr-FR"/>
              </w:rPr>
              <mc:AlternateContent>
                <mc:Choice Requires="wps">
                  <w:drawing>
                    <wp:anchor distT="0" distB="0" distL="114300" distR="114300" simplePos="0" relativeHeight="251720704" behindDoc="0" locked="0" layoutInCell="1" allowOverlap="1" wp14:anchorId="4F210879" wp14:editId="414EF388">
                      <wp:simplePos x="0" y="0"/>
                      <wp:positionH relativeFrom="column">
                        <wp:posOffset>528320</wp:posOffset>
                      </wp:positionH>
                      <wp:positionV relativeFrom="paragraph">
                        <wp:posOffset>1597660</wp:posOffset>
                      </wp:positionV>
                      <wp:extent cx="222250" cy="86995"/>
                      <wp:effectExtent l="0" t="0" r="6350" b="8255"/>
                      <wp:wrapNone/>
                      <wp:docPr id="1257977743" name="Text Box 1257977743"/>
                      <wp:cNvGraphicFramePr/>
                      <a:graphic xmlns:a="http://schemas.openxmlformats.org/drawingml/2006/main">
                        <a:graphicData uri="http://schemas.microsoft.com/office/word/2010/wordprocessingShape">
                          <wps:wsp>
                            <wps:cNvSpPr txBox="1"/>
                            <wps:spPr>
                              <a:xfrm>
                                <a:off x="0" y="0"/>
                                <a:ext cx="222250" cy="86995"/>
                              </a:xfrm>
                              <a:prstGeom prst="rect">
                                <a:avLst/>
                              </a:prstGeom>
                              <a:solidFill>
                                <a:schemeClr val="lt1"/>
                              </a:solidFill>
                              <a:ln w="6350">
                                <a:noFill/>
                              </a:ln>
                            </wps:spPr>
                            <wps:txbx>
                              <w:txbxContent>
                                <w:p w14:paraId="042D17E6" w14:textId="77777777" w:rsidR="00756EAD" w:rsidRPr="00262A66" w:rsidRDefault="00756EAD" w:rsidP="00D80461">
                                  <w:pPr>
                                    <w:spacing w:before="0" w:line="480" w:lineRule="auto"/>
                                    <w:rPr>
                                      <w:sz w:val="10"/>
                                      <w:szCs w:val="10"/>
                                    </w:rPr>
                                  </w:pPr>
                                  <w:r w:rsidRPr="00262A66">
                                    <w:rPr>
                                      <w:sz w:val="10"/>
                                      <w:szCs w:val="10"/>
                                    </w:rPr>
                                    <w:t>Monde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0879" id="Text Box 1257977743" o:spid="_x0000_s1063" type="#_x0000_t202" style="position:absolute;left:0;text-align:left;margin-left:41.6pt;margin-top:125.8pt;width:17.5pt;height: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" fillcolor="white [3201]" stroked="f" strokeweight=".5pt">
                      <v:textbox inset="0,0,0,0">
                        <w:txbxContent>
                          <w:p w14:paraId="042D17E6" w14:textId="77777777" w:rsidR="00756EAD" w:rsidRPr="00262A66" w:rsidRDefault="00756EAD" w:rsidP="00D80461">
                            <w:pPr>
                              <w:spacing w:before="0" w:line="480" w:lineRule="auto"/>
                              <w:rPr>
                                <w:sz w:val="10"/>
                                <w:szCs w:val="10"/>
                              </w:rPr>
                            </w:pPr>
                            <w:r w:rsidRPr="00262A66">
                              <w:rPr>
                                <w:sz w:val="10"/>
                                <w:szCs w:val="10"/>
                              </w:rPr>
                              <w:t>Monde</w:t>
                            </w:r>
                          </w:p>
                        </w:txbxContent>
                      </v:textbox>
                    </v:shape>
                  </w:pict>
                </mc:Fallback>
              </mc:AlternateContent>
            </w:r>
            <w:r w:rsidRPr="00F05A8A">
              <w:rPr>
                <w:b/>
                <w:bCs/>
                <w:lang w:eastAsia="fr-FR"/>
              </w:rPr>
              <w:drawing>
                <wp:inline distT="0" distB="0" distL="0" distR="0" wp14:anchorId="0CE17FA0" wp14:editId="41E9E116">
                  <wp:extent cx="2552400" cy="1497600"/>
                  <wp:effectExtent l="0" t="0" r="635" b="762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52400" cy="1497600"/>
                          </a:xfrm>
                          <a:prstGeom prst="rect">
                            <a:avLst/>
                          </a:prstGeom>
                          <a:noFill/>
                        </pic:spPr>
                      </pic:pic>
                    </a:graphicData>
                  </a:graphic>
                </wp:inline>
              </w:drawing>
            </w:r>
          </w:p>
        </w:tc>
      </w:tr>
      <w:tr w:rsidR="00D80461" w:rsidRPr="00F05A8A" w14:paraId="4C3F1A2E" w14:textId="77777777" w:rsidTr="00142C01">
        <w:trPr>
          <w:jc w:val="center"/>
        </w:trPr>
        <w:tc>
          <w:tcPr>
            <w:tcW w:w="5245" w:type="dxa"/>
            <w:shd w:val="clear" w:color="auto" w:fill="FFFFFF" w:themeFill="background1"/>
            <w:vAlign w:val="center"/>
          </w:tcPr>
          <w:p w14:paraId="0B36E5EC" w14:textId="77777777" w:rsidR="00D80461" w:rsidRPr="00F05A8A" w:rsidRDefault="00D80461" w:rsidP="002F075E">
            <w:pPr>
              <w:spacing w:after="120"/>
              <w:jc w:val="center"/>
              <w:rPr>
                <w:b/>
                <w:bCs/>
              </w:rPr>
            </w:pPr>
            <w:r w:rsidRPr="00F05A8A">
              <w:rPr>
                <w:b/>
                <w:bCs/>
              </w:rPr>
              <w:t>Cibles 1.3, 2.5 et 2.6</w:t>
            </w:r>
          </w:p>
        </w:tc>
        <w:tc>
          <w:tcPr>
            <w:tcW w:w="4820" w:type="dxa"/>
            <w:shd w:val="clear" w:color="auto" w:fill="FFFFFF" w:themeFill="background1"/>
            <w:vAlign w:val="center"/>
          </w:tcPr>
          <w:p w14:paraId="541F34F2" w14:textId="77777777" w:rsidR="00D80461" w:rsidRPr="00F05A8A" w:rsidRDefault="00D80461" w:rsidP="002F075E">
            <w:pPr>
              <w:spacing w:after="120"/>
              <w:jc w:val="center"/>
              <w:rPr>
                <w:b/>
                <w:bCs/>
              </w:rPr>
            </w:pPr>
            <w:r w:rsidRPr="00F05A8A">
              <w:rPr>
                <w:b/>
                <w:bCs/>
              </w:rPr>
              <w:t>Cible 1.4</w:t>
            </w:r>
          </w:p>
        </w:tc>
      </w:tr>
      <w:tr w:rsidR="00D80461" w:rsidRPr="00F05A8A" w14:paraId="3E082E79" w14:textId="77777777" w:rsidTr="00142C01">
        <w:trPr>
          <w:jc w:val="center"/>
        </w:trPr>
        <w:tc>
          <w:tcPr>
            <w:tcW w:w="5245" w:type="dxa"/>
            <w:vAlign w:val="center"/>
          </w:tcPr>
          <w:p w14:paraId="2BDC30A0" w14:textId="77777777" w:rsidR="00D80461" w:rsidRPr="00F05A8A" w:rsidRDefault="00D80461" w:rsidP="002F075E">
            <w:pPr>
              <w:jc w:val="center"/>
              <w:rPr>
                <w:b/>
                <w:bCs/>
              </w:rPr>
            </w:pPr>
            <w:r w:rsidRPr="00F05A8A">
              <w:rPr>
                <w:highlight w:val="green"/>
                <w:lang w:eastAsia="fr-FR"/>
              </w:rPr>
              <mc:AlternateContent>
                <mc:Choice Requires="wps">
                  <w:drawing>
                    <wp:anchor distT="45720" distB="45720" distL="114300" distR="114300" simplePos="0" relativeHeight="251854848" behindDoc="0" locked="0" layoutInCell="1" allowOverlap="1" wp14:anchorId="446CD92A" wp14:editId="1ED407BC">
                      <wp:simplePos x="0" y="0"/>
                      <wp:positionH relativeFrom="margin">
                        <wp:posOffset>342900</wp:posOffset>
                      </wp:positionH>
                      <wp:positionV relativeFrom="paragraph">
                        <wp:posOffset>1756410</wp:posOffset>
                      </wp:positionV>
                      <wp:extent cx="380365" cy="198755"/>
                      <wp:effectExtent l="0" t="0" r="635" b="0"/>
                      <wp:wrapNone/>
                      <wp:docPr id="544008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8755"/>
                              </a:xfrm>
                              <a:prstGeom prst="rect">
                                <a:avLst/>
                              </a:prstGeom>
                              <a:solidFill>
                                <a:schemeClr val="bg1"/>
                              </a:solidFill>
                              <a:ln w="9525">
                                <a:noFill/>
                                <a:miter lim="800000"/>
                                <a:headEnd/>
                                <a:tailEnd/>
                              </a:ln>
                            </wps:spPr>
                            <wps:txbx>
                              <w:txbxContent>
                                <w:p w14:paraId="3822597D" w14:textId="77777777" w:rsidR="00756EAD" w:rsidRPr="00524289" w:rsidRDefault="00756EAD" w:rsidP="00D80461">
                                  <w:pPr>
                                    <w:shd w:val="clear" w:color="auto" w:fill="FFFFFF" w:themeFill="background1"/>
                                    <w:spacing w:before="0" w:line="80" w:lineRule="exact"/>
                                    <w:ind w:left="-142" w:right="-227"/>
                                    <w:rPr>
                                      <w:sz w:val="8"/>
                                      <w:szCs w:val="8"/>
                                      <w:lang w:val="fr-CH"/>
                                    </w:rPr>
                                  </w:pPr>
                                  <w:r>
                                    <w:rPr>
                                      <w:sz w:val="8"/>
                                      <w:szCs w:val="8"/>
                                      <w:lang w:val="fr-CH"/>
                                    </w:rPr>
                                    <w:t>Pays en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CD92A" id="_x0000_s1064" type="#_x0000_t202" style="position:absolute;left:0;text-align:left;margin-left:27pt;margin-top:138.3pt;width:29.95pt;height:15.6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" fillcolor="white [3212]" stroked="f">
                      <v:textbox>
                        <w:txbxContent>
                          <w:p w14:paraId="3822597D" w14:textId="77777777" w:rsidR="00756EAD" w:rsidRPr="00524289" w:rsidRDefault="00756EAD" w:rsidP="00D80461">
                            <w:pPr>
                              <w:shd w:val="clear" w:color="auto" w:fill="FFFFFF" w:themeFill="background1"/>
                              <w:spacing w:before="0" w:line="80" w:lineRule="exact"/>
                              <w:ind w:left="-142" w:right="-227"/>
                              <w:rPr>
                                <w:sz w:val="8"/>
                                <w:szCs w:val="8"/>
                                <w:lang w:val="fr-CH"/>
                              </w:rPr>
                            </w:pPr>
                            <w:r>
                              <w:rPr>
                                <w:sz w:val="8"/>
                                <w:szCs w:val="8"/>
                                <w:lang w:val="fr-CH"/>
                              </w:rPr>
                              <w:t>Pays en développement</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64064" behindDoc="0" locked="0" layoutInCell="1" allowOverlap="1" wp14:anchorId="47398B37" wp14:editId="059EA79B">
                      <wp:simplePos x="0" y="0"/>
                      <wp:positionH relativeFrom="margin">
                        <wp:posOffset>847090</wp:posOffset>
                      </wp:positionH>
                      <wp:positionV relativeFrom="paragraph">
                        <wp:posOffset>424180</wp:posOffset>
                      </wp:positionV>
                      <wp:extent cx="1358265" cy="76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6835"/>
                              </a:xfrm>
                              <a:prstGeom prst="rect">
                                <a:avLst/>
                              </a:prstGeom>
                              <a:solidFill>
                                <a:schemeClr val="bg1"/>
                              </a:solidFill>
                              <a:ln w="9525">
                                <a:noFill/>
                                <a:miter lim="800000"/>
                                <a:headEnd/>
                                <a:tailEnd/>
                              </a:ln>
                            </wps:spPr>
                            <wps:txbx>
                              <w:txbxContent>
                                <w:p w14:paraId="7C34E117" w14:textId="77777777" w:rsidR="00756EAD" w:rsidRPr="00524289" w:rsidRDefault="00756EAD" w:rsidP="00D80461">
                                  <w:pPr>
                                    <w:spacing w:before="0"/>
                                    <w:ind w:left="-142" w:right="-227"/>
                                    <w:rPr>
                                      <w:sz w:val="8"/>
                                      <w:szCs w:val="8"/>
                                      <w:lang w:val="fr-CH"/>
                                    </w:rPr>
                                  </w:pPr>
                                  <w:r w:rsidRPr="003966EF">
                                    <w:rPr>
                                      <w:sz w:val="8"/>
                                      <w:szCs w:val="8"/>
                                      <w:lang w:val="fr-CH"/>
                                    </w:rPr>
                                    <w:t>Large bande mobile pour les données uniquement 1,2%</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98B37" id="_x0000_s1065" type="#_x0000_t202" style="position:absolute;left:0;text-align:left;margin-left:66.7pt;margin-top:33.4pt;width:106.95pt;height:6.0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" fillcolor="white [3212]" stroked="f">
                      <v:textbox inset=",0,,0">
                        <w:txbxContent>
                          <w:p w14:paraId="7C34E117" w14:textId="77777777" w:rsidR="00756EAD" w:rsidRPr="00524289" w:rsidRDefault="00756EAD" w:rsidP="00D80461">
                            <w:pPr>
                              <w:spacing w:before="0"/>
                              <w:ind w:left="-142" w:right="-227"/>
                              <w:rPr>
                                <w:sz w:val="8"/>
                                <w:szCs w:val="8"/>
                                <w:lang w:val="fr-CH"/>
                              </w:rPr>
                            </w:pPr>
                            <w:r w:rsidRPr="003966EF">
                              <w:rPr>
                                <w:sz w:val="8"/>
                                <w:szCs w:val="8"/>
                                <w:lang w:val="fr-CH"/>
                              </w:rPr>
                              <w:t>Large bande mobile pour les données uniquement 1,2%</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60992" behindDoc="0" locked="0" layoutInCell="1" allowOverlap="1" wp14:anchorId="3290AAFE" wp14:editId="72FCA943">
                      <wp:simplePos x="0" y="0"/>
                      <wp:positionH relativeFrom="margin">
                        <wp:posOffset>1003935</wp:posOffset>
                      </wp:positionH>
                      <wp:positionV relativeFrom="paragraph">
                        <wp:posOffset>350520</wp:posOffset>
                      </wp:positionV>
                      <wp:extent cx="1358265" cy="76835"/>
                      <wp:effectExtent l="0" t="0" r="0" b="0"/>
                      <wp:wrapNone/>
                      <wp:docPr id="544008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6835"/>
                              </a:xfrm>
                              <a:prstGeom prst="rect">
                                <a:avLst/>
                              </a:prstGeom>
                              <a:solidFill>
                                <a:schemeClr val="bg1"/>
                              </a:solidFill>
                              <a:ln w="9525">
                                <a:noFill/>
                                <a:miter lim="800000"/>
                                <a:headEnd/>
                                <a:tailEnd/>
                              </a:ln>
                            </wps:spPr>
                            <wps:txbx>
                              <w:txbxContent>
                                <w:p w14:paraId="4EA69E56" w14:textId="77777777" w:rsidR="00756EAD" w:rsidRPr="00524289" w:rsidRDefault="00756EAD" w:rsidP="00D80461">
                                  <w:pPr>
                                    <w:spacing w:before="0"/>
                                    <w:ind w:left="-142" w:right="-227"/>
                                    <w:rPr>
                                      <w:sz w:val="8"/>
                                      <w:szCs w:val="8"/>
                                      <w:lang w:val="fr-CH"/>
                                    </w:rPr>
                                  </w:pPr>
                                  <w:r>
                                    <w:rPr>
                                      <w:sz w:val="8"/>
                                      <w:szCs w:val="8"/>
                                      <w:lang w:val="fr-CH"/>
                                    </w:rPr>
                                    <w:t>Large bande fixe 2,8%</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0AAFE" id="_x0000_s1066" type="#_x0000_t202" style="position:absolute;left:0;text-align:left;margin-left:79.05pt;margin-top:27.6pt;width:106.95pt;height:6.0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" fillcolor="white [3212]" stroked="f">
                      <v:textbox inset=",0,,0">
                        <w:txbxContent>
                          <w:p w14:paraId="4EA69E56" w14:textId="77777777" w:rsidR="00756EAD" w:rsidRPr="00524289" w:rsidRDefault="00756EAD" w:rsidP="00D80461">
                            <w:pPr>
                              <w:spacing w:before="0"/>
                              <w:ind w:left="-142" w:right="-227"/>
                              <w:rPr>
                                <w:sz w:val="8"/>
                                <w:szCs w:val="8"/>
                                <w:lang w:val="fr-CH"/>
                              </w:rPr>
                            </w:pPr>
                            <w:r>
                              <w:rPr>
                                <w:sz w:val="8"/>
                                <w:szCs w:val="8"/>
                                <w:lang w:val="fr-CH"/>
                              </w:rPr>
                              <w:t>Large bande fixe 2,8%</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7920" behindDoc="0" locked="0" layoutInCell="1" allowOverlap="1" wp14:anchorId="61F66B1F" wp14:editId="457860CC">
                      <wp:simplePos x="0" y="0"/>
                      <wp:positionH relativeFrom="margin">
                        <wp:posOffset>338455</wp:posOffset>
                      </wp:positionH>
                      <wp:positionV relativeFrom="paragraph">
                        <wp:posOffset>1612265</wp:posOffset>
                      </wp:positionV>
                      <wp:extent cx="380365" cy="185420"/>
                      <wp:effectExtent l="0" t="0" r="635" b="5080"/>
                      <wp:wrapNone/>
                      <wp:docPr id="544008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85420"/>
                              </a:xfrm>
                              <a:prstGeom prst="rect">
                                <a:avLst/>
                              </a:prstGeom>
                              <a:solidFill>
                                <a:schemeClr val="bg1">
                                  <a:lumMod val="95000"/>
                                </a:schemeClr>
                              </a:solidFill>
                              <a:ln w="9525">
                                <a:noFill/>
                                <a:miter lim="800000"/>
                                <a:headEnd/>
                                <a:tailEnd/>
                              </a:ln>
                            </wps:spPr>
                            <wps:txbx>
                              <w:txbxContent>
                                <w:p w14:paraId="6A011908" w14:textId="77777777" w:rsidR="00756EAD" w:rsidRPr="00524289" w:rsidRDefault="00756EAD" w:rsidP="00D80461">
                                  <w:pPr>
                                    <w:spacing w:before="0"/>
                                    <w:ind w:left="-142" w:right="-227"/>
                                    <w:rPr>
                                      <w:sz w:val="8"/>
                                      <w:szCs w:val="8"/>
                                      <w:lang w:val="fr-CH"/>
                                    </w:rPr>
                                  </w:pPr>
                                  <w:r>
                                    <w:rPr>
                                      <w:sz w:val="8"/>
                                      <w:szCs w:val="8"/>
                                      <w:lang w:val="fr-CH"/>
                                    </w:rPr>
                                    <w:t>Pays développés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66B1F" id="_x0000_s1067" type="#_x0000_t202" style="position:absolute;left:0;text-align:left;margin-left:26.65pt;margin-top:126.95pt;width:29.95pt;height:14.6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" fillcolor="#f2f2f2 [3052]" stroked="f">
                      <v:textbox>
                        <w:txbxContent>
                          <w:p w14:paraId="6A011908" w14:textId="77777777" w:rsidR="00756EAD" w:rsidRPr="00524289" w:rsidRDefault="00756EAD" w:rsidP="00D80461">
                            <w:pPr>
                              <w:spacing w:before="0"/>
                              <w:ind w:left="-142" w:right="-227"/>
                              <w:rPr>
                                <w:sz w:val="8"/>
                                <w:szCs w:val="8"/>
                                <w:lang w:val="fr-CH"/>
                              </w:rPr>
                            </w:pPr>
                            <w:r>
                              <w:rPr>
                                <w:sz w:val="8"/>
                                <w:szCs w:val="8"/>
                                <w:lang w:val="fr-CH"/>
                              </w:rPr>
                              <w:t>Pays développés</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62016" behindDoc="0" locked="0" layoutInCell="1" allowOverlap="1" wp14:anchorId="36265876" wp14:editId="781C8559">
                      <wp:simplePos x="0" y="0"/>
                      <wp:positionH relativeFrom="margin">
                        <wp:posOffset>390525</wp:posOffset>
                      </wp:positionH>
                      <wp:positionV relativeFrom="paragraph">
                        <wp:posOffset>2484120</wp:posOffset>
                      </wp:positionV>
                      <wp:extent cx="280035" cy="155575"/>
                      <wp:effectExtent l="0" t="0" r="5715" b="0"/>
                      <wp:wrapNone/>
                      <wp:docPr id="544008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5575"/>
                              </a:xfrm>
                              <a:prstGeom prst="rect">
                                <a:avLst/>
                              </a:prstGeom>
                              <a:solidFill>
                                <a:schemeClr val="bg1"/>
                              </a:solidFill>
                              <a:ln w="9525">
                                <a:noFill/>
                                <a:miter lim="800000"/>
                                <a:headEnd/>
                                <a:tailEnd/>
                              </a:ln>
                            </wps:spPr>
                            <wps:txbx>
                              <w:txbxContent>
                                <w:p w14:paraId="3B90522E" w14:textId="77777777" w:rsidR="00756EAD" w:rsidRPr="00524289" w:rsidRDefault="00756EAD" w:rsidP="00D80461">
                                  <w:pPr>
                                    <w:spacing w:before="0"/>
                                    <w:ind w:left="-142" w:right="-226"/>
                                    <w:rPr>
                                      <w:sz w:val="8"/>
                                      <w:szCs w:val="8"/>
                                      <w:lang w:val="fr-CH"/>
                                    </w:rPr>
                                  </w:pPr>
                                  <w:r>
                                    <w:rPr>
                                      <w:sz w:val="8"/>
                                      <w:szCs w:val="8"/>
                                      <w:lang w:val="fr-CH"/>
                                    </w:rPr>
                                    <w:t>Source: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65876" id="_x0000_s1068" type="#_x0000_t202" style="position:absolute;left:0;text-align:left;margin-left:30.75pt;margin-top:195.6pt;width:22.05pt;height:12.2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" fillcolor="white [3212]" stroked="f">
                      <v:textbox>
                        <w:txbxContent>
                          <w:p w14:paraId="3B90522E" w14:textId="77777777" w:rsidR="00756EAD" w:rsidRPr="00524289" w:rsidRDefault="00756EAD" w:rsidP="00D80461">
                            <w:pPr>
                              <w:spacing w:before="0"/>
                              <w:ind w:left="-142" w:right="-226"/>
                              <w:rPr>
                                <w:sz w:val="8"/>
                                <w:szCs w:val="8"/>
                                <w:lang w:val="fr-CH"/>
                              </w:rPr>
                            </w:pPr>
                            <w:r>
                              <w:rPr>
                                <w:sz w:val="8"/>
                                <w:szCs w:val="8"/>
                                <w:lang w:val="fr-CH"/>
                              </w:rPr>
                              <w:t>Source: UIT</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63040" behindDoc="0" locked="0" layoutInCell="1" allowOverlap="1" wp14:anchorId="7934A968" wp14:editId="7453E135">
                      <wp:simplePos x="0" y="0"/>
                      <wp:positionH relativeFrom="margin">
                        <wp:posOffset>929640</wp:posOffset>
                      </wp:positionH>
                      <wp:positionV relativeFrom="paragraph">
                        <wp:posOffset>487680</wp:posOffset>
                      </wp:positionV>
                      <wp:extent cx="1595755" cy="155575"/>
                      <wp:effectExtent l="0" t="0" r="4445" b="0"/>
                      <wp:wrapNone/>
                      <wp:docPr id="54400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55575"/>
                              </a:xfrm>
                              <a:prstGeom prst="rect">
                                <a:avLst/>
                              </a:prstGeom>
                              <a:solidFill>
                                <a:schemeClr val="bg1">
                                  <a:lumMod val="95000"/>
                                </a:schemeClr>
                              </a:solidFill>
                              <a:ln w="9525">
                                <a:noFill/>
                                <a:miter lim="800000"/>
                                <a:headEnd/>
                                <a:tailEnd/>
                              </a:ln>
                            </wps:spPr>
                            <wps:txbx>
                              <w:txbxContent>
                                <w:p w14:paraId="5FCF2A36" w14:textId="77777777" w:rsidR="00756EAD" w:rsidRPr="00524289" w:rsidRDefault="00756EAD" w:rsidP="00D80461">
                                  <w:pPr>
                                    <w:spacing w:before="0"/>
                                    <w:ind w:left="-142" w:right="-226"/>
                                    <w:rPr>
                                      <w:sz w:val="8"/>
                                      <w:szCs w:val="8"/>
                                      <w:lang w:val="fr-CH"/>
                                    </w:rPr>
                                  </w:pPr>
                                  <w:r w:rsidRPr="006C65A9">
                                    <w:rPr>
                                      <w:color w:val="FF0000"/>
                                      <w:sz w:val="8"/>
                                      <w:szCs w:val="8"/>
                                      <w:lang w:val="fr-CH"/>
                                    </w:rPr>
                                    <w:t>Objectif d'accessibilité financière de la Commission sur le large bande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4A968" id="_x0000_s1069" type="#_x0000_t202" style="position:absolute;left:0;text-align:left;margin-left:73.2pt;margin-top:38.4pt;width:125.65pt;height:12.2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" fillcolor="#f2f2f2 [3052]" stroked="f">
                      <v:textbox>
                        <w:txbxContent>
                          <w:p w14:paraId="5FCF2A36" w14:textId="77777777" w:rsidR="00756EAD" w:rsidRPr="00524289" w:rsidRDefault="00756EAD" w:rsidP="00D80461">
                            <w:pPr>
                              <w:spacing w:before="0"/>
                              <w:ind w:left="-142" w:right="-226"/>
                              <w:rPr>
                                <w:sz w:val="8"/>
                                <w:szCs w:val="8"/>
                                <w:lang w:val="fr-CH"/>
                              </w:rPr>
                            </w:pPr>
                            <w:r w:rsidRPr="006C65A9">
                              <w:rPr>
                                <w:color w:val="FF0000"/>
                                <w:sz w:val="8"/>
                                <w:szCs w:val="8"/>
                                <w:lang w:val="fr-CH"/>
                              </w:rPr>
                              <w:t>Objectif d'accessibilité financière de la Commission sur le large bande</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9968" behindDoc="0" locked="0" layoutInCell="1" allowOverlap="1" wp14:anchorId="50F393C8" wp14:editId="2B793E4B">
                      <wp:simplePos x="0" y="0"/>
                      <wp:positionH relativeFrom="margin">
                        <wp:posOffset>321310</wp:posOffset>
                      </wp:positionH>
                      <wp:positionV relativeFrom="paragraph">
                        <wp:posOffset>2228850</wp:posOffset>
                      </wp:positionV>
                      <wp:extent cx="380365" cy="155575"/>
                      <wp:effectExtent l="0" t="0" r="635" b="0"/>
                      <wp:wrapNone/>
                      <wp:docPr id="544008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0FEA7884" w14:textId="77777777" w:rsidR="00756EAD" w:rsidRPr="00524289" w:rsidRDefault="00756EAD" w:rsidP="00D80461">
                                  <w:pPr>
                                    <w:spacing w:before="0"/>
                                    <w:ind w:left="-142" w:right="-226"/>
                                    <w:rPr>
                                      <w:sz w:val="8"/>
                                      <w:szCs w:val="8"/>
                                      <w:lang w:val="fr-CH"/>
                                    </w:rPr>
                                  </w:pPr>
                                  <w:r>
                                    <w:rPr>
                                      <w:sz w:val="8"/>
                                      <w:szCs w:val="8"/>
                                      <w:lang w:val="fr-CH"/>
                                    </w:rPr>
                                    <w:t>PEID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93C8" id="_x0000_s1070" type="#_x0000_t202" style="position:absolute;left:0;text-align:left;margin-left:25.3pt;margin-top:175.5pt;width:29.95pt;height:12.2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nIJA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" fillcolor="#f2f2f2 [3052]" stroked="f">
                      <v:textbox>
                        <w:txbxContent>
                          <w:p w14:paraId="0FEA7884" w14:textId="77777777" w:rsidR="00756EAD" w:rsidRPr="00524289" w:rsidRDefault="00756EAD" w:rsidP="00D80461">
                            <w:pPr>
                              <w:spacing w:before="0"/>
                              <w:ind w:left="-142" w:right="-226"/>
                              <w:rPr>
                                <w:sz w:val="8"/>
                                <w:szCs w:val="8"/>
                                <w:lang w:val="fr-CH"/>
                              </w:rPr>
                            </w:pPr>
                            <w:r>
                              <w:rPr>
                                <w:sz w:val="8"/>
                                <w:szCs w:val="8"/>
                                <w:lang w:val="fr-CH"/>
                              </w:rPr>
                              <w:t>PEID</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0752" behindDoc="0" locked="0" layoutInCell="1" allowOverlap="1" wp14:anchorId="65578688" wp14:editId="69D0ED97">
                      <wp:simplePos x="0" y="0"/>
                      <wp:positionH relativeFrom="margin">
                        <wp:posOffset>321945</wp:posOffset>
                      </wp:positionH>
                      <wp:positionV relativeFrom="paragraph">
                        <wp:posOffset>628650</wp:posOffset>
                      </wp:positionV>
                      <wp:extent cx="400685" cy="155575"/>
                      <wp:effectExtent l="0" t="0" r="0" b="0"/>
                      <wp:wrapNone/>
                      <wp:docPr id="544008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55575"/>
                              </a:xfrm>
                              <a:prstGeom prst="rect">
                                <a:avLst/>
                              </a:prstGeom>
                              <a:solidFill>
                                <a:srgbClr val="FFFFFF"/>
                              </a:solidFill>
                              <a:ln w="9525">
                                <a:noFill/>
                                <a:miter lim="800000"/>
                                <a:headEnd/>
                                <a:tailEnd/>
                              </a:ln>
                            </wps:spPr>
                            <wps:txbx>
                              <w:txbxContent>
                                <w:p w14:paraId="68A8A278" w14:textId="77777777" w:rsidR="00756EAD" w:rsidRPr="00524289" w:rsidRDefault="00756EAD" w:rsidP="00D80461">
                                  <w:pPr>
                                    <w:spacing w:before="0"/>
                                    <w:ind w:left="-142" w:right="-226"/>
                                    <w:rPr>
                                      <w:sz w:val="8"/>
                                      <w:szCs w:val="8"/>
                                      <w:lang w:val="fr-CH"/>
                                    </w:rPr>
                                  </w:pPr>
                                  <w:r w:rsidRPr="00524289">
                                    <w:rPr>
                                      <w:sz w:val="8"/>
                                      <w:szCs w:val="8"/>
                                      <w:lang w:val="fr-CH"/>
                                    </w:rPr>
                                    <w:t>Afrique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78688" id="_x0000_s1071" type="#_x0000_t202" style="position:absolute;left:0;text-align:left;margin-left:25.35pt;margin-top:49.5pt;width:31.55pt;height:12.2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" stroked="f">
                      <v:textbox>
                        <w:txbxContent>
                          <w:p w14:paraId="68A8A278" w14:textId="77777777" w:rsidR="00756EAD" w:rsidRPr="00524289" w:rsidRDefault="00756EAD" w:rsidP="00D80461">
                            <w:pPr>
                              <w:spacing w:before="0"/>
                              <w:ind w:left="-142" w:right="-226"/>
                              <w:rPr>
                                <w:sz w:val="8"/>
                                <w:szCs w:val="8"/>
                                <w:lang w:val="fr-CH"/>
                              </w:rPr>
                            </w:pPr>
                            <w:r w:rsidRPr="00524289">
                              <w:rPr>
                                <w:sz w:val="8"/>
                                <w:szCs w:val="8"/>
                                <w:lang w:val="fr-CH"/>
                              </w:rPr>
                              <w:t>Afrique</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8944" behindDoc="0" locked="0" layoutInCell="1" allowOverlap="1" wp14:anchorId="0F37A010" wp14:editId="64042FFF">
                      <wp:simplePos x="0" y="0"/>
                      <wp:positionH relativeFrom="margin">
                        <wp:posOffset>323850</wp:posOffset>
                      </wp:positionH>
                      <wp:positionV relativeFrom="paragraph">
                        <wp:posOffset>2084705</wp:posOffset>
                      </wp:positionV>
                      <wp:extent cx="380365" cy="155575"/>
                      <wp:effectExtent l="0" t="0" r="635" b="0"/>
                      <wp:wrapNone/>
                      <wp:docPr id="544008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solidFill>
                              <a:ln w="9525">
                                <a:noFill/>
                                <a:miter lim="800000"/>
                                <a:headEnd/>
                                <a:tailEnd/>
                              </a:ln>
                            </wps:spPr>
                            <wps:txbx>
                              <w:txbxContent>
                                <w:p w14:paraId="15B6070E" w14:textId="77777777" w:rsidR="00756EAD" w:rsidRPr="00524289" w:rsidRDefault="00756EAD" w:rsidP="00D80461">
                                  <w:pPr>
                                    <w:spacing w:before="0"/>
                                    <w:ind w:left="-142" w:right="-226"/>
                                    <w:rPr>
                                      <w:sz w:val="8"/>
                                      <w:szCs w:val="8"/>
                                      <w:lang w:val="fr-CH"/>
                                    </w:rPr>
                                  </w:pPr>
                                  <w:r>
                                    <w:rPr>
                                      <w:sz w:val="8"/>
                                      <w:szCs w:val="8"/>
                                      <w:lang w:val="fr-CH"/>
                                    </w:rPr>
                                    <w:t>PDSL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7A010" id="_x0000_s1072" type="#_x0000_t202" style="position:absolute;left:0;text-align:left;margin-left:25.5pt;margin-top:164.15pt;width:29.95pt;height:12.2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" fillcolor="white [3212]" stroked="f">
                      <v:textbox>
                        <w:txbxContent>
                          <w:p w14:paraId="15B6070E" w14:textId="77777777" w:rsidR="00756EAD" w:rsidRPr="00524289" w:rsidRDefault="00756EAD" w:rsidP="00D80461">
                            <w:pPr>
                              <w:spacing w:before="0"/>
                              <w:ind w:left="-142" w:right="-226"/>
                              <w:rPr>
                                <w:sz w:val="8"/>
                                <w:szCs w:val="8"/>
                                <w:lang w:val="fr-CH"/>
                              </w:rPr>
                            </w:pPr>
                            <w:r>
                              <w:rPr>
                                <w:sz w:val="8"/>
                                <w:szCs w:val="8"/>
                                <w:lang w:val="fr-CH"/>
                              </w:rPr>
                              <w:t>PDSL</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5872" behindDoc="0" locked="0" layoutInCell="1" allowOverlap="1" wp14:anchorId="0FB22D98" wp14:editId="418BDF89">
                      <wp:simplePos x="0" y="0"/>
                      <wp:positionH relativeFrom="margin">
                        <wp:posOffset>334010</wp:posOffset>
                      </wp:positionH>
                      <wp:positionV relativeFrom="paragraph">
                        <wp:posOffset>1958340</wp:posOffset>
                      </wp:positionV>
                      <wp:extent cx="380365" cy="155575"/>
                      <wp:effectExtent l="0" t="0" r="635" b="0"/>
                      <wp:wrapNone/>
                      <wp:docPr id="544008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4C7EC2DA" w14:textId="77777777" w:rsidR="00756EAD" w:rsidRPr="00524289" w:rsidRDefault="00756EAD" w:rsidP="00D80461">
                                  <w:pPr>
                                    <w:spacing w:before="0"/>
                                    <w:ind w:left="-142" w:right="-226"/>
                                    <w:rPr>
                                      <w:sz w:val="8"/>
                                      <w:szCs w:val="8"/>
                                      <w:lang w:val="fr-CH"/>
                                    </w:rPr>
                                  </w:pPr>
                                  <w:r w:rsidRPr="00007D98">
                                    <w:rPr>
                                      <w:sz w:val="8"/>
                                      <w:szCs w:val="8"/>
                                      <w:lang w:val="fr-CH"/>
                                    </w:rPr>
                                    <w:t>PMA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22D98" id="_x0000_s1073" type="#_x0000_t202" style="position:absolute;left:0;text-align:left;margin-left:26.3pt;margin-top:154.2pt;width:29.95pt;height:12.25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" fillcolor="#f2f2f2 [3052]" stroked="f">
                      <v:textbox>
                        <w:txbxContent>
                          <w:p w14:paraId="4C7EC2DA" w14:textId="77777777" w:rsidR="00756EAD" w:rsidRPr="00524289" w:rsidRDefault="00756EAD" w:rsidP="00D80461">
                            <w:pPr>
                              <w:spacing w:before="0"/>
                              <w:ind w:left="-142" w:right="-226"/>
                              <w:rPr>
                                <w:sz w:val="8"/>
                                <w:szCs w:val="8"/>
                                <w:lang w:val="fr-CH"/>
                              </w:rPr>
                            </w:pPr>
                            <w:r w:rsidRPr="00007D98">
                              <w:rPr>
                                <w:sz w:val="8"/>
                                <w:szCs w:val="8"/>
                                <w:lang w:val="fr-CH"/>
                              </w:rPr>
                              <w:t>PMA</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3824" behindDoc="0" locked="0" layoutInCell="1" allowOverlap="1" wp14:anchorId="2E0B50E7" wp14:editId="032B885C">
                      <wp:simplePos x="0" y="0"/>
                      <wp:positionH relativeFrom="margin">
                        <wp:posOffset>322580</wp:posOffset>
                      </wp:positionH>
                      <wp:positionV relativeFrom="paragraph">
                        <wp:posOffset>1064895</wp:posOffset>
                      </wp:positionV>
                      <wp:extent cx="380365" cy="155575"/>
                      <wp:effectExtent l="0" t="0" r="635" b="0"/>
                      <wp:wrapNone/>
                      <wp:docPr id="54400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1ED987AA" w14:textId="77777777" w:rsidR="00756EAD" w:rsidRPr="00524289" w:rsidRDefault="00756EAD" w:rsidP="00D80461">
                                  <w:pPr>
                                    <w:spacing w:before="0"/>
                                    <w:ind w:left="-142" w:right="-226"/>
                                    <w:rPr>
                                      <w:sz w:val="8"/>
                                      <w:szCs w:val="8"/>
                                      <w:lang w:val="fr-CH"/>
                                    </w:rPr>
                                  </w:pPr>
                                  <w:r w:rsidRPr="00007D98">
                                    <w:rPr>
                                      <w:sz w:val="8"/>
                                      <w:szCs w:val="8"/>
                                      <w:lang w:val="fr-CH"/>
                                    </w:rPr>
                                    <w:t>CEI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B50E7" id="_x0000_s1074" type="#_x0000_t202" style="position:absolute;left:0;text-align:left;margin-left:25.4pt;margin-top:83.85pt;width:29.95pt;height:12.25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B5JA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" fillcolor="#f2f2f2 [3052]" stroked="f">
                      <v:textbox>
                        <w:txbxContent>
                          <w:p w14:paraId="1ED987AA" w14:textId="77777777" w:rsidR="00756EAD" w:rsidRPr="00524289" w:rsidRDefault="00756EAD" w:rsidP="00D80461">
                            <w:pPr>
                              <w:spacing w:before="0"/>
                              <w:ind w:left="-142" w:right="-226"/>
                              <w:rPr>
                                <w:sz w:val="8"/>
                                <w:szCs w:val="8"/>
                                <w:lang w:val="fr-CH"/>
                              </w:rPr>
                            </w:pPr>
                            <w:r w:rsidRPr="00007D98">
                              <w:rPr>
                                <w:sz w:val="8"/>
                                <w:szCs w:val="8"/>
                                <w:lang w:val="fr-CH"/>
                              </w:rPr>
                              <w:t>CEI</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6896" behindDoc="0" locked="0" layoutInCell="1" allowOverlap="1" wp14:anchorId="381AEE1D" wp14:editId="7C2DAD52">
                      <wp:simplePos x="0" y="0"/>
                      <wp:positionH relativeFrom="margin">
                        <wp:posOffset>321310</wp:posOffset>
                      </wp:positionH>
                      <wp:positionV relativeFrom="paragraph">
                        <wp:posOffset>1363345</wp:posOffset>
                      </wp:positionV>
                      <wp:extent cx="380365" cy="155575"/>
                      <wp:effectExtent l="0" t="0" r="635" b="0"/>
                      <wp:wrapNone/>
                      <wp:docPr id="544008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2D23A6F4" w14:textId="77777777" w:rsidR="00756EAD" w:rsidRPr="00524289" w:rsidRDefault="00756EAD" w:rsidP="00D80461">
                                  <w:pPr>
                                    <w:spacing w:before="0"/>
                                    <w:ind w:left="-142" w:right="-226"/>
                                    <w:rPr>
                                      <w:sz w:val="8"/>
                                      <w:szCs w:val="8"/>
                                      <w:lang w:val="fr-CH"/>
                                    </w:rPr>
                                  </w:pPr>
                                  <w:r>
                                    <w:rPr>
                                      <w:sz w:val="8"/>
                                      <w:szCs w:val="8"/>
                                      <w:lang w:val="fr-CH"/>
                                    </w:rPr>
                                    <w:t>Amériques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EE1D" id="_x0000_s1075" type="#_x0000_t202" style="position:absolute;left:0;text-align:left;margin-left:25.3pt;margin-top:107.35pt;width:29.95pt;height:12.2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6PJA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" fillcolor="#f2f2f2 [3052]" stroked="f">
                      <v:textbox>
                        <w:txbxContent>
                          <w:p w14:paraId="2D23A6F4" w14:textId="77777777" w:rsidR="00756EAD" w:rsidRPr="00524289" w:rsidRDefault="00756EAD" w:rsidP="00D80461">
                            <w:pPr>
                              <w:spacing w:before="0"/>
                              <w:ind w:left="-142" w:right="-226"/>
                              <w:rPr>
                                <w:sz w:val="8"/>
                                <w:szCs w:val="8"/>
                                <w:lang w:val="fr-CH"/>
                              </w:rPr>
                            </w:pPr>
                            <w:r>
                              <w:rPr>
                                <w:sz w:val="8"/>
                                <w:szCs w:val="8"/>
                                <w:lang w:val="fr-CH"/>
                              </w:rPr>
                              <w:t>Amériques</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2800" behindDoc="0" locked="0" layoutInCell="1" allowOverlap="1" wp14:anchorId="7F5F0B03" wp14:editId="7C366567">
                      <wp:simplePos x="0" y="0"/>
                      <wp:positionH relativeFrom="margin">
                        <wp:posOffset>318135</wp:posOffset>
                      </wp:positionH>
                      <wp:positionV relativeFrom="paragraph">
                        <wp:posOffset>918845</wp:posOffset>
                      </wp:positionV>
                      <wp:extent cx="380365" cy="155575"/>
                      <wp:effectExtent l="0" t="0" r="635" b="0"/>
                      <wp:wrapNone/>
                      <wp:docPr id="544008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solidFill>
                              <a:ln w="9525">
                                <a:noFill/>
                                <a:miter lim="800000"/>
                                <a:headEnd/>
                                <a:tailEnd/>
                              </a:ln>
                            </wps:spPr>
                            <wps:txbx>
                              <w:txbxContent>
                                <w:p w14:paraId="6BD07595" w14:textId="77777777" w:rsidR="00756EAD" w:rsidRPr="00524289" w:rsidRDefault="00756EAD" w:rsidP="00D80461">
                                  <w:pPr>
                                    <w:spacing w:before="0"/>
                                    <w:ind w:left="-142" w:right="-226"/>
                                    <w:rPr>
                                      <w:sz w:val="8"/>
                                      <w:szCs w:val="8"/>
                                      <w:lang w:val="fr-CH"/>
                                    </w:rPr>
                                  </w:pPr>
                                  <w:r w:rsidRPr="00007D98">
                                    <w:rPr>
                                      <w:sz w:val="8"/>
                                      <w:szCs w:val="8"/>
                                      <w:lang w:val="fr-CH"/>
                                    </w:rPr>
                                    <w:t>Asie-Pacifique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F0B03" id="_x0000_s1076" type="#_x0000_t202" style="position:absolute;left:0;text-align:left;margin-left:25.05pt;margin-top:72.35pt;width:29.95pt;height:12.2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" fillcolor="white [3212]" stroked="f">
                      <v:textbox>
                        <w:txbxContent>
                          <w:p w14:paraId="6BD07595" w14:textId="77777777" w:rsidR="00756EAD" w:rsidRPr="00524289" w:rsidRDefault="00756EAD" w:rsidP="00D80461">
                            <w:pPr>
                              <w:spacing w:before="0"/>
                              <w:ind w:left="-142" w:right="-226"/>
                              <w:rPr>
                                <w:sz w:val="8"/>
                                <w:szCs w:val="8"/>
                                <w:lang w:val="fr-CH"/>
                              </w:rPr>
                            </w:pPr>
                            <w:r w:rsidRPr="00007D98">
                              <w:rPr>
                                <w:sz w:val="8"/>
                                <w:szCs w:val="8"/>
                                <w:lang w:val="fr-CH"/>
                              </w:rPr>
                              <w:t>Asie-Pacifique</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51776" behindDoc="0" locked="0" layoutInCell="1" allowOverlap="1" wp14:anchorId="4DDD0F3D" wp14:editId="349E6383">
                      <wp:simplePos x="0" y="0"/>
                      <wp:positionH relativeFrom="margin">
                        <wp:posOffset>321945</wp:posOffset>
                      </wp:positionH>
                      <wp:positionV relativeFrom="paragraph">
                        <wp:posOffset>771525</wp:posOffset>
                      </wp:positionV>
                      <wp:extent cx="380365" cy="155575"/>
                      <wp:effectExtent l="0" t="0" r="635" b="0"/>
                      <wp:wrapNone/>
                      <wp:docPr id="544008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093B2042" w14:textId="77777777" w:rsidR="00756EAD" w:rsidRPr="00524289" w:rsidRDefault="00756EAD" w:rsidP="00D80461">
                                  <w:pPr>
                                    <w:spacing w:before="0"/>
                                    <w:ind w:left="-142" w:right="-226"/>
                                    <w:rPr>
                                      <w:sz w:val="8"/>
                                      <w:szCs w:val="8"/>
                                      <w:lang w:val="fr-CH"/>
                                    </w:rPr>
                                  </w:pPr>
                                  <w:r w:rsidRPr="00007D98">
                                    <w:rPr>
                                      <w:sz w:val="8"/>
                                      <w:szCs w:val="8"/>
                                      <w:lang w:val="fr-CH"/>
                                    </w:rPr>
                                    <w:t>États arabes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D0F3D" id="_x0000_s1077" type="#_x0000_t202" style="position:absolute;left:0;text-align:left;margin-left:25.35pt;margin-top:60.75pt;width:29.95pt;height:12.2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Q5Iw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" fillcolor="#f2f2f2 [3052]" stroked="f">
                      <v:textbox>
                        <w:txbxContent>
                          <w:p w14:paraId="093B2042" w14:textId="77777777" w:rsidR="00756EAD" w:rsidRPr="00524289" w:rsidRDefault="00756EAD" w:rsidP="00D80461">
                            <w:pPr>
                              <w:spacing w:before="0"/>
                              <w:ind w:left="-142" w:right="-226"/>
                              <w:rPr>
                                <w:sz w:val="8"/>
                                <w:szCs w:val="8"/>
                                <w:lang w:val="fr-CH"/>
                              </w:rPr>
                            </w:pPr>
                            <w:r w:rsidRPr="00007D98">
                              <w:rPr>
                                <w:sz w:val="8"/>
                                <w:szCs w:val="8"/>
                                <w:lang w:val="fr-CH"/>
                              </w:rPr>
                              <w:t>États arabes</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49728" behindDoc="0" locked="0" layoutInCell="1" allowOverlap="1" wp14:anchorId="3B5C75F3" wp14:editId="6525D18D">
                      <wp:simplePos x="0" y="0"/>
                      <wp:positionH relativeFrom="margin">
                        <wp:posOffset>343535</wp:posOffset>
                      </wp:positionH>
                      <wp:positionV relativeFrom="paragraph">
                        <wp:posOffset>300990</wp:posOffset>
                      </wp:positionV>
                      <wp:extent cx="269240" cy="168910"/>
                      <wp:effectExtent l="0" t="0" r="4445" b="2540"/>
                      <wp:wrapNone/>
                      <wp:docPr id="544008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solidFill>
                                <a:srgbClr val="FFFFFF"/>
                              </a:solidFill>
                              <a:ln w="9525">
                                <a:noFill/>
                                <a:miter lim="800000"/>
                                <a:headEnd/>
                                <a:tailEnd/>
                              </a:ln>
                            </wps:spPr>
                            <wps:txbx>
                              <w:txbxContent>
                                <w:p w14:paraId="10426BEA" w14:textId="77777777" w:rsidR="00756EAD" w:rsidRPr="00524289" w:rsidRDefault="00756EAD" w:rsidP="00D80461">
                                  <w:pPr>
                                    <w:spacing w:before="0"/>
                                    <w:ind w:left="-142" w:right="-226"/>
                                    <w:rPr>
                                      <w:sz w:val="8"/>
                                      <w:szCs w:val="8"/>
                                      <w:lang w:val="fr-CH"/>
                                    </w:rPr>
                                  </w:pPr>
                                  <w:r w:rsidRPr="00524289">
                                    <w:rPr>
                                      <w:sz w:val="8"/>
                                      <w:szCs w:val="8"/>
                                      <w:lang w:val="fr-CH"/>
                                    </w:rPr>
                                    <w:t>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C75F3" id="_x0000_s1078" type="#_x0000_t202" style="position:absolute;left:0;text-align:left;margin-left:27.05pt;margin-top:23.7pt;width:21.2pt;height:13.3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" stroked="f">
                      <v:textbox>
                        <w:txbxContent>
                          <w:p w14:paraId="10426BEA" w14:textId="77777777" w:rsidR="00756EAD" w:rsidRPr="00524289" w:rsidRDefault="00756EAD" w:rsidP="00D80461">
                            <w:pPr>
                              <w:spacing w:before="0"/>
                              <w:ind w:left="-142" w:right="-226"/>
                              <w:rPr>
                                <w:sz w:val="8"/>
                                <w:szCs w:val="8"/>
                                <w:lang w:val="fr-CH"/>
                              </w:rPr>
                            </w:pPr>
                            <w:r w:rsidRPr="00524289">
                              <w:rPr>
                                <w:sz w:val="8"/>
                                <w:szCs w:val="8"/>
                                <w:lang w:val="fr-CH"/>
                              </w:rPr>
                              <w:t>Monde</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48704" behindDoc="0" locked="0" layoutInCell="1" allowOverlap="1" wp14:anchorId="76E50C19" wp14:editId="4C0E2147">
                      <wp:simplePos x="0" y="0"/>
                      <wp:positionH relativeFrom="column">
                        <wp:posOffset>323850</wp:posOffset>
                      </wp:positionH>
                      <wp:positionV relativeFrom="paragraph">
                        <wp:posOffset>147955</wp:posOffset>
                      </wp:positionV>
                      <wp:extent cx="2700655" cy="187960"/>
                      <wp:effectExtent l="0" t="0" r="4445" b="2540"/>
                      <wp:wrapNone/>
                      <wp:docPr id="544008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87960"/>
                              </a:xfrm>
                              <a:prstGeom prst="rect">
                                <a:avLst/>
                              </a:prstGeom>
                              <a:solidFill>
                                <a:srgbClr val="FFFFFF"/>
                              </a:solidFill>
                              <a:ln w="9525">
                                <a:noFill/>
                                <a:miter lim="800000"/>
                                <a:headEnd/>
                                <a:tailEnd/>
                              </a:ln>
                            </wps:spPr>
                            <wps:txbx>
                              <w:txbxContent>
                                <w:p w14:paraId="359F733F" w14:textId="77777777" w:rsidR="00756EAD" w:rsidRPr="00524289" w:rsidRDefault="00756EAD" w:rsidP="00D80461">
                                  <w:pPr>
                                    <w:spacing w:before="0"/>
                                    <w:ind w:left="-142"/>
                                    <w:rPr>
                                      <w:color w:val="4F81BD" w:themeColor="accent1"/>
                                      <w:sz w:val="11"/>
                                      <w:szCs w:val="11"/>
                                    </w:rPr>
                                  </w:pPr>
                                  <w:r w:rsidRPr="00524289">
                                    <w:rPr>
                                      <w:color w:val="4F81BD" w:themeColor="accent1"/>
                                      <w:sz w:val="11"/>
                                      <w:szCs w:val="11"/>
                                    </w:rPr>
                                    <w:t>Prix du panier du large bande fixe et des données mobiles en % du PNB par habitant,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50C19" id="_x0000_s1079" type="#_x0000_t202" style="position:absolute;left:0;text-align:left;margin-left:25.5pt;margin-top:11.65pt;width:212.65pt;height:14.8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g+Ew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" stroked="f">
                      <v:textbox>
                        <w:txbxContent>
                          <w:p w14:paraId="359F733F" w14:textId="77777777" w:rsidR="00756EAD" w:rsidRPr="00524289" w:rsidRDefault="00756EAD" w:rsidP="00D80461">
                            <w:pPr>
                              <w:spacing w:before="0"/>
                              <w:ind w:left="-142"/>
                              <w:rPr>
                                <w:color w:val="4F81BD" w:themeColor="accent1"/>
                                <w:sz w:val="11"/>
                                <w:szCs w:val="11"/>
                              </w:rPr>
                            </w:pPr>
                            <w:r w:rsidRPr="00524289">
                              <w:rPr>
                                <w:color w:val="4F81BD" w:themeColor="accent1"/>
                                <w:sz w:val="11"/>
                                <w:szCs w:val="11"/>
                              </w:rPr>
                              <w:t>Prix du panier du large bande fixe et des données mobiles en % du PNB par habitant, 2020</w:t>
                            </w:r>
                          </w:p>
                        </w:txbxContent>
                      </v:textbox>
                    </v:shape>
                  </w:pict>
                </mc:Fallback>
              </mc:AlternateContent>
            </w:r>
            <w:r w:rsidRPr="00F05A8A">
              <w:rPr>
                <w:lang w:eastAsia="fr-FR"/>
              </w:rPr>
              <w:drawing>
                <wp:inline distT="0" distB="0" distL="0" distR="0" wp14:anchorId="551F86EB" wp14:editId="3587D551">
                  <wp:extent cx="3482420" cy="2541016"/>
                  <wp:effectExtent l="0" t="0" r="3810" b="0"/>
                  <wp:docPr id="1802487825" name="Picture 18024878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25" name="Picture 1802487825" descr="A picture containing graphical user interface&#10;&#10;Description automatically generated"/>
                          <pic:cNvPicPr/>
                        </pic:nvPicPr>
                        <pic:blipFill>
                          <a:blip r:embed="rId383"/>
                          <a:stretch>
                            <a:fillRect/>
                          </a:stretch>
                        </pic:blipFill>
                        <pic:spPr>
                          <a:xfrm>
                            <a:off x="0" y="0"/>
                            <a:ext cx="3513266" cy="2563523"/>
                          </a:xfrm>
                          <a:prstGeom prst="rect">
                            <a:avLst/>
                          </a:prstGeom>
                        </pic:spPr>
                      </pic:pic>
                    </a:graphicData>
                  </a:graphic>
                </wp:inline>
              </w:drawing>
            </w:r>
          </w:p>
        </w:tc>
        <w:tc>
          <w:tcPr>
            <w:tcW w:w="4820" w:type="dxa"/>
            <w:vAlign w:val="center"/>
          </w:tcPr>
          <w:p w14:paraId="394242C4" w14:textId="77777777" w:rsidR="00D80461" w:rsidRPr="00F05A8A" w:rsidRDefault="00D80461" w:rsidP="002F075E">
            <w:pPr>
              <w:jc w:val="center"/>
              <w:rPr>
                <w:b/>
                <w:bCs/>
              </w:rPr>
            </w:pPr>
            <w:r w:rsidRPr="00F05A8A">
              <w:rPr>
                <w:b/>
                <w:bCs/>
                <w:lang w:eastAsia="fr-FR"/>
              </w:rPr>
              <w:drawing>
                <wp:inline distT="0" distB="0" distL="0" distR="0" wp14:anchorId="370F4624" wp14:editId="60029204">
                  <wp:extent cx="2677490" cy="1618979"/>
                  <wp:effectExtent l="0" t="0" r="8890" b="63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697004" cy="1630779"/>
                          </a:xfrm>
                          <a:prstGeom prst="rect">
                            <a:avLst/>
                          </a:prstGeom>
                          <a:noFill/>
                        </pic:spPr>
                      </pic:pic>
                    </a:graphicData>
                  </a:graphic>
                </wp:inline>
              </w:drawing>
            </w:r>
          </w:p>
        </w:tc>
      </w:tr>
    </w:tbl>
    <w:p w14:paraId="5AEBA68E" w14:textId="77777777" w:rsidR="00D80461" w:rsidRPr="00F05A8A" w:rsidRDefault="00D80461" w:rsidP="002F075E"/>
    <w:tbl>
      <w:tblPr>
        <w:tblW w:w="0" w:type="auto"/>
        <w:jc w:val="center"/>
        <w:tblLook w:val="04A0" w:firstRow="1" w:lastRow="0" w:firstColumn="1" w:lastColumn="0" w:noHBand="0" w:noVBand="1"/>
      </w:tblPr>
      <w:tblGrid>
        <w:gridCol w:w="5185"/>
        <w:gridCol w:w="13"/>
        <w:gridCol w:w="4447"/>
      </w:tblGrid>
      <w:tr w:rsidR="00D80461" w:rsidRPr="00F05A8A" w14:paraId="6C1C162B" w14:textId="77777777" w:rsidTr="00142C01">
        <w:trPr>
          <w:jc w:val="center"/>
        </w:trPr>
        <w:tc>
          <w:tcPr>
            <w:tcW w:w="5058" w:type="dxa"/>
            <w:shd w:val="clear" w:color="auto" w:fill="FFFFFF" w:themeFill="background1"/>
            <w:vAlign w:val="center"/>
          </w:tcPr>
          <w:p w14:paraId="1D61842F" w14:textId="77777777" w:rsidR="00D80461" w:rsidRPr="00F05A8A" w:rsidRDefault="00D80461" w:rsidP="002F075E">
            <w:pPr>
              <w:spacing w:after="120"/>
              <w:jc w:val="center"/>
              <w:rPr>
                <w:b/>
                <w:bCs/>
              </w:rPr>
            </w:pPr>
            <w:r w:rsidRPr="00F05A8A">
              <w:rPr>
                <w:b/>
                <w:bCs/>
              </w:rPr>
              <w:t>Cible 1.5</w:t>
            </w:r>
          </w:p>
        </w:tc>
        <w:tc>
          <w:tcPr>
            <w:tcW w:w="4581" w:type="dxa"/>
            <w:gridSpan w:val="2"/>
            <w:shd w:val="clear" w:color="auto" w:fill="auto"/>
            <w:vAlign w:val="center"/>
          </w:tcPr>
          <w:p w14:paraId="4118B672" w14:textId="77777777" w:rsidR="00D80461" w:rsidRPr="00F05A8A" w:rsidRDefault="00D80461" w:rsidP="002F075E">
            <w:pPr>
              <w:spacing w:after="120"/>
              <w:jc w:val="center"/>
              <w:rPr>
                <w:b/>
                <w:bCs/>
              </w:rPr>
            </w:pPr>
          </w:p>
        </w:tc>
      </w:tr>
      <w:tr w:rsidR="00D80461" w:rsidRPr="00F05A8A" w14:paraId="5E236DDE" w14:textId="77777777" w:rsidTr="00142C01">
        <w:trPr>
          <w:jc w:val="center"/>
        </w:trPr>
        <w:tc>
          <w:tcPr>
            <w:tcW w:w="5058" w:type="dxa"/>
            <w:vAlign w:val="center"/>
          </w:tcPr>
          <w:p w14:paraId="0C8B58E6" w14:textId="77777777" w:rsidR="00D80461" w:rsidRPr="00F05A8A" w:rsidRDefault="00D80461" w:rsidP="002F075E">
            <w:pPr>
              <w:jc w:val="center"/>
              <w:rPr>
                <w:b/>
                <w:bCs/>
              </w:rPr>
            </w:pPr>
            <w:r w:rsidRPr="00F05A8A">
              <w:rPr>
                <w:b/>
                <w:bCs/>
                <w:lang w:eastAsia="fr-FR"/>
              </w:rPr>
              <w:drawing>
                <wp:inline distT="0" distB="0" distL="0" distR="0" wp14:anchorId="5DA89378" wp14:editId="272E51A4">
                  <wp:extent cx="3274127" cy="1922461"/>
                  <wp:effectExtent l="0" t="0" r="2540" b="1905"/>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289072" cy="1931236"/>
                          </a:xfrm>
                          <a:prstGeom prst="rect">
                            <a:avLst/>
                          </a:prstGeom>
                          <a:noFill/>
                        </pic:spPr>
                      </pic:pic>
                    </a:graphicData>
                  </a:graphic>
                </wp:inline>
              </w:drawing>
            </w:r>
          </w:p>
        </w:tc>
        <w:tc>
          <w:tcPr>
            <w:tcW w:w="4581" w:type="dxa"/>
            <w:gridSpan w:val="2"/>
            <w:vAlign w:val="center"/>
          </w:tcPr>
          <w:p w14:paraId="58DE2AF9" w14:textId="77777777" w:rsidR="00D80461" w:rsidRPr="00F05A8A" w:rsidRDefault="00D80461" w:rsidP="002F075E">
            <w:pPr>
              <w:jc w:val="center"/>
              <w:rPr>
                <w:b/>
                <w:bCs/>
              </w:rPr>
            </w:pPr>
            <w:r w:rsidRPr="00F05A8A">
              <w:t xml:space="preserve"> </w:t>
            </w:r>
          </w:p>
        </w:tc>
      </w:tr>
      <w:tr w:rsidR="00D80461" w:rsidRPr="00F05A8A" w14:paraId="3B136040" w14:textId="77777777" w:rsidTr="00142C01">
        <w:trPr>
          <w:jc w:val="center"/>
        </w:trPr>
        <w:tc>
          <w:tcPr>
            <w:tcW w:w="9639" w:type="dxa"/>
            <w:gridSpan w:val="3"/>
            <w:shd w:val="clear" w:color="auto" w:fill="FFFFFF" w:themeFill="background1"/>
            <w:vAlign w:val="center"/>
          </w:tcPr>
          <w:p w14:paraId="103ACE92" w14:textId="77777777" w:rsidR="00D80461" w:rsidRPr="00F05A8A" w:rsidRDefault="00D80461" w:rsidP="002F075E">
            <w:pPr>
              <w:keepNext/>
              <w:keepLines/>
              <w:jc w:val="center"/>
            </w:pPr>
            <w:r w:rsidRPr="00F05A8A">
              <w:rPr>
                <w:b/>
                <w:bCs/>
              </w:rPr>
              <w:lastRenderedPageBreak/>
              <w:t>Cible 1.6</w:t>
            </w:r>
          </w:p>
        </w:tc>
      </w:tr>
      <w:tr w:rsidR="00D80461" w:rsidRPr="00F05A8A" w14:paraId="5FBA8466" w14:textId="77777777" w:rsidTr="00142C01">
        <w:trPr>
          <w:jc w:val="center"/>
        </w:trPr>
        <w:tc>
          <w:tcPr>
            <w:tcW w:w="5067" w:type="dxa"/>
            <w:gridSpan w:val="2"/>
            <w:shd w:val="clear" w:color="auto" w:fill="auto"/>
            <w:vAlign w:val="center"/>
          </w:tcPr>
          <w:p w14:paraId="71604D57" w14:textId="77777777" w:rsidR="00D80461" w:rsidRPr="00F05A8A" w:rsidRDefault="00D80461" w:rsidP="002F075E">
            <w:pPr>
              <w:keepNext/>
              <w:keepLines/>
              <w:jc w:val="center"/>
              <w:rPr>
                <w:b/>
                <w:bCs/>
                <w:szCs w:val="24"/>
              </w:rPr>
            </w:pPr>
            <w:r w:rsidRPr="00F05A8A">
              <w:rPr>
                <w:highlight w:val="green"/>
                <w:lang w:eastAsia="fr-FR"/>
              </w:rPr>
              <mc:AlternateContent>
                <mc:Choice Requires="wps">
                  <w:drawing>
                    <wp:anchor distT="45720" distB="45720" distL="114300" distR="114300" simplePos="0" relativeHeight="251845632" behindDoc="0" locked="0" layoutInCell="1" allowOverlap="1" wp14:anchorId="36FEBB66" wp14:editId="65680215">
                      <wp:simplePos x="0" y="0"/>
                      <wp:positionH relativeFrom="column">
                        <wp:posOffset>1560195</wp:posOffset>
                      </wp:positionH>
                      <wp:positionV relativeFrom="paragraph">
                        <wp:posOffset>578485</wp:posOffset>
                      </wp:positionV>
                      <wp:extent cx="363855" cy="2348230"/>
                      <wp:effectExtent l="0" t="1587" r="0" b="0"/>
                      <wp:wrapNone/>
                      <wp:docPr id="544008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3855" cy="2348230"/>
                              </a:xfrm>
                              <a:prstGeom prst="rect">
                                <a:avLst/>
                              </a:prstGeom>
                              <a:solidFill>
                                <a:srgbClr val="FFFFFF"/>
                              </a:solidFill>
                              <a:ln w="9525">
                                <a:noFill/>
                                <a:miter lim="800000"/>
                                <a:headEnd/>
                                <a:tailEnd/>
                              </a:ln>
                            </wps:spPr>
                            <wps:txbx>
                              <w:txbxContent>
                                <w:p w14:paraId="5C3CAD72" w14:textId="77777777" w:rsidR="00756EAD" w:rsidRPr="006A44D2" w:rsidRDefault="00756EAD" w:rsidP="00D80461">
                                  <w:pPr>
                                    <w:tabs>
                                      <w:tab w:val="clear" w:pos="2268"/>
                                    </w:tabs>
                                    <w:spacing w:before="0"/>
                                    <w:ind w:left="-142" w:right="-161"/>
                                    <w:jc w:val="right"/>
                                    <w:rPr>
                                      <w:sz w:val="8"/>
                                      <w:szCs w:val="8"/>
                                    </w:rPr>
                                  </w:pPr>
                                  <w:r w:rsidRPr="006A44D2">
                                    <w:rPr>
                                      <w:sz w:val="8"/>
                                      <w:szCs w:val="8"/>
                                    </w:rPr>
                                    <w:t>Monde</w:t>
                                  </w:r>
                                </w:p>
                                <w:p w14:paraId="1ED6CFD3" w14:textId="77777777" w:rsidR="00756EAD" w:rsidRPr="006A44D2" w:rsidRDefault="00756EAD" w:rsidP="00D80461">
                                  <w:pPr>
                                    <w:tabs>
                                      <w:tab w:val="clear" w:pos="2268"/>
                                    </w:tabs>
                                    <w:spacing w:before="420"/>
                                    <w:ind w:left="-142" w:right="-159"/>
                                    <w:jc w:val="right"/>
                                    <w:rPr>
                                      <w:sz w:val="8"/>
                                      <w:szCs w:val="8"/>
                                    </w:rPr>
                                  </w:pPr>
                                  <w:r w:rsidRPr="006A44D2">
                                    <w:rPr>
                                      <w:sz w:val="8"/>
                                      <w:szCs w:val="8"/>
                                    </w:rPr>
                                    <w:t>Afrique</w:t>
                                  </w:r>
                                </w:p>
                                <w:p w14:paraId="31EF8A39" w14:textId="77777777" w:rsidR="00756EAD" w:rsidRPr="006A44D2" w:rsidRDefault="00756EAD" w:rsidP="00D80461">
                                  <w:pPr>
                                    <w:tabs>
                                      <w:tab w:val="clear" w:pos="2268"/>
                                    </w:tabs>
                                    <w:spacing w:before="180"/>
                                    <w:ind w:left="-142" w:right="-159"/>
                                    <w:jc w:val="right"/>
                                    <w:rPr>
                                      <w:sz w:val="8"/>
                                      <w:szCs w:val="8"/>
                                    </w:rPr>
                                  </w:pPr>
                                  <w:r w:rsidRPr="006A44D2">
                                    <w:rPr>
                                      <w:sz w:val="8"/>
                                      <w:szCs w:val="8"/>
                                    </w:rPr>
                                    <w:t>États arabes</w:t>
                                  </w:r>
                                </w:p>
                                <w:p w14:paraId="4D968BDE" w14:textId="77777777" w:rsidR="00756EAD" w:rsidRPr="006A44D2" w:rsidRDefault="00756EAD" w:rsidP="00D80461">
                                  <w:pPr>
                                    <w:tabs>
                                      <w:tab w:val="clear" w:pos="2268"/>
                                    </w:tabs>
                                    <w:spacing w:before="180"/>
                                    <w:ind w:left="-142" w:right="-159"/>
                                    <w:jc w:val="right"/>
                                    <w:rPr>
                                      <w:sz w:val="8"/>
                                      <w:szCs w:val="8"/>
                                    </w:rPr>
                                  </w:pPr>
                                  <w:r w:rsidRPr="006A44D2">
                                    <w:rPr>
                                      <w:sz w:val="8"/>
                                      <w:szCs w:val="8"/>
                                    </w:rPr>
                                    <w:t>Asie-Pacifique</w:t>
                                  </w:r>
                                </w:p>
                                <w:p w14:paraId="2380915A" w14:textId="77777777" w:rsidR="00756EAD" w:rsidRPr="006A44D2" w:rsidRDefault="00756EAD" w:rsidP="00D80461">
                                  <w:pPr>
                                    <w:tabs>
                                      <w:tab w:val="clear" w:pos="2268"/>
                                    </w:tabs>
                                    <w:spacing w:before="180"/>
                                    <w:ind w:left="-142" w:right="-159"/>
                                    <w:jc w:val="right"/>
                                    <w:rPr>
                                      <w:sz w:val="8"/>
                                      <w:szCs w:val="8"/>
                                    </w:rPr>
                                  </w:pPr>
                                  <w:r w:rsidRPr="006A44D2">
                                    <w:rPr>
                                      <w:sz w:val="8"/>
                                      <w:szCs w:val="8"/>
                                    </w:rPr>
                                    <w:t>CEI</w:t>
                                  </w:r>
                                </w:p>
                                <w:p w14:paraId="1654EB09" w14:textId="77777777" w:rsidR="00756EAD" w:rsidRPr="006A44D2" w:rsidRDefault="00756EAD" w:rsidP="00D80461">
                                  <w:pPr>
                                    <w:tabs>
                                      <w:tab w:val="clear" w:pos="2268"/>
                                    </w:tabs>
                                    <w:spacing w:before="180"/>
                                    <w:ind w:left="-142" w:right="-159"/>
                                    <w:jc w:val="right"/>
                                    <w:rPr>
                                      <w:sz w:val="8"/>
                                      <w:szCs w:val="8"/>
                                    </w:rPr>
                                  </w:pPr>
                                  <w:r w:rsidRPr="006A44D2">
                                    <w:rPr>
                                      <w:sz w:val="8"/>
                                      <w:szCs w:val="8"/>
                                    </w:rPr>
                                    <w:t>Europe</w:t>
                                  </w:r>
                                </w:p>
                                <w:p w14:paraId="52C97ABB" w14:textId="77777777" w:rsidR="00756EAD" w:rsidRPr="006A44D2" w:rsidRDefault="00756EAD" w:rsidP="00D80461">
                                  <w:pPr>
                                    <w:tabs>
                                      <w:tab w:val="clear" w:pos="2268"/>
                                    </w:tabs>
                                    <w:spacing w:before="180"/>
                                    <w:ind w:left="-142" w:right="-159"/>
                                    <w:jc w:val="right"/>
                                    <w:rPr>
                                      <w:sz w:val="8"/>
                                      <w:szCs w:val="8"/>
                                    </w:rPr>
                                  </w:pPr>
                                  <w:r w:rsidRPr="006A44D2">
                                    <w:rPr>
                                      <w:sz w:val="8"/>
                                      <w:szCs w:val="8"/>
                                    </w:rPr>
                                    <w:t>Amériques</w:t>
                                  </w:r>
                                </w:p>
                                <w:p w14:paraId="16763632" w14:textId="77777777" w:rsidR="00756EAD" w:rsidRPr="006A44D2" w:rsidRDefault="00756EAD" w:rsidP="00D80461">
                                  <w:pPr>
                                    <w:tabs>
                                      <w:tab w:val="clear" w:pos="2268"/>
                                    </w:tabs>
                                    <w:spacing w:before="420"/>
                                    <w:ind w:left="-142" w:right="-159"/>
                                    <w:jc w:val="right"/>
                                    <w:rPr>
                                      <w:sz w:val="8"/>
                                      <w:szCs w:val="8"/>
                                    </w:rPr>
                                  </w:pPr>
                                  <w:r w:rsidRPr="006A44D2">
                                    <w:rPr>
                                      <w:sz w:val="8"/>
                                      <w:szCs w:val="8"/>
                                    </w:rPr>
                                    <w:t>Pays développés</w:t>
                                  </w:r>
                                </w:p>
                                <w:p w14:paraId="5009E2F8" w14:textId="77777777" w:rsidR="00756EAD" w:rsidRPr="006A44D2" w:rsidRDefault="00756EAD" w:rsidP="00D80461">
                                  <w:pPr>
                                    <w:tabs>
                                      <w:tab w:val="clear" w:pos="2268"/>
                                    </w:tabs>
                                    <w:spacing w:before="180"/>
                                    <w:ind w:left="-142" w:right="-159"/>
                                    <w:jc w:val="right"/>
                                    <w:rPr>
                                      <w:sz w:val="8"/>
                                      <w:szCs w:val="8"/>
                                    </w:rPr>
                                  </w:pPr>
                                  <w:r w:rsidRPr="006A44D2">
                                    <w:rPr>
                                      <w:sz w:val="8"/>
                                      <w:szCs w:val="8"/>
                                    </w:rPr>
                                    <w:t>Pays en</w:t>
                                  </w:r>
                                  <w:r w:rsidRPr="006A44D2">
                                    <w:rPr>
                                      <w:sz w:val="8"/>
                                      <w:szCs w:val="8"/>
                                    </w:rPr>
                                    <w:br/>
                                    <w:t>développement</w:t>
                                  </w:r>
                                </w:p>
                                <w:p w14:paraId="265536E3" w14:textId="77777777" w:rsidR="00756EAD" w:rsidRPr="006A44D2" w:rsidRDefault="00756EAD" w:rsidP="00D80461">
                                  <w:pPr>
                                    <w:tabs>
                                      <w:tab w:val="clear" w:pos="2268"/>
                                    </w:tabs>
                                    <w:spacing w:before="180"/>
                                    <w:ind w:left="-142" w:right="-159"/>
                                    <w:jc w:val="right"/>
                                    <w:rPr>
                                      <w:sz w:val="8"/>
                                      <w:szCs w:val="8"/>
                                    </w:rPr>
                                  </w:pPr>
                                  <w:r w:rsidRPr="006A44D2">
                                    <w:rPr>
                                      <w:sz w:val="8"/>
                                      <w:szCs w:val="8"/>
                                    </w:rPr>
                                    <w:t>PMA</w:t>
                                  </w:r>
                                </w:p>
                                <w:p w14:paraId="2E27606F" w14:textId="77777777" w:rsidR="00756EAD" w:rsidRPr="006A44D2" w:rsidRDefault="00756EAD" w:rsidP="00D80461">
                                  <w:pPr>
                                    <w:tabs>
                                      <w:tab w:val="clear" w:pos="2268"/>
                                    </w:tabs>
                                    <w:spacing w:before="180"/>
                                    <w:ind w:left="-142" w:right="-159"/>
                                    <w:jc w:val="right"/>
                                    <w:rPr>
                                      <w:sz w:val="8"/>
                                      <w:szCs w:val="8"/>
                                    </w:rPr>
                                  </w:pPr>
                                  <w:r w:rsidRPr="006A44D2">
                                    <w:rPr>
                                      <w:sz w:val="8"/>
                                      <w:szCs w:val="8"/>
                                    </w:rPr>
                                    <w:t>PDSL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EBB66" id="_x0000_s1080" type="#_x0000_t202" style="position:absolute;left:0;text-align:left;margin-left:122.85pt;margin-top:45.55pt;width:28.65pt;height:184.9pt;rotation:-90;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" stroked="f">
                      <v:textbox>
                        <w:txbxContent>
                          <w:p w14:paraId="5C3CAD72" w14:textId="77777777" w:rsidR="00756EAD" w:rsidRPr="006A44D2" w:rsidRDefault="00756EAD" w:rsidP="00D80461">
                            <w:pPr>
                              <w:tabs>
                                <w:tab w:val="clear" w:pos="2268"/>
                              </w:tabs>
                              <w:spacing w:before="0"/>
                              <w:ind w:left="-142" w:right="-161"/>
                              <w:jc w:val="right"/>
                              <w:rPr>
                                <w:sz w:val="8"/>
                                <w:szCs w:val="8"/>
                              </w:rPr>
                            </w:pPr>
                            <w:r w:rsidRPr="006A44D2">
                              <w:rPr>
                                <w:sz w:val="8"/>
                                <w:szCs w:val="8"/>
                              </w:rPr>
                              <w:t>Monde</w:t>
                            </w:r>
                          </w:p>
                          <w:p w14:paraId="1ED6CFD3" w14:textId="77777777" w:rsidR="00756EAD" w:rsidRPr="006A44D2" w:rsidRDefault="00756EAD" w:rsidP="00D80461">
                            <w:pPr>
                              <w:tabs>
                                <w:tab w:val="clear" w:pos="2268"/>
                              </w:tabs>
                              <w:spacing w:before="420"/>
                              <w:ind w:left="-142" w:right="-159"/>
                              <w:jc w:val="right"/>
                              <w:rPr>
                                <w:sz w:val="8"/>
                                <w:szCs w:val="8"/>
                              </w:rPr>
                            </w:pPr>
                            <w:r w:rsidRPr="006A44D2">
                              <w:rPr>
                                <w:sz w:val="8"/>
                                <w:szCs w:val="8"/>
                              </w:rPr>
                              <w:t>Afrique</w:t>
                            </w:r>
                          </w:p>
                          <w:p w14:paraId="31EF8A39" w14:textId="77777777" w:rsidR="00756EAD" w:rsidRPr="006A44D2" w:rsidRDefault="00756EAD" w:rsidP="00D80461">
                            <w:pPr>
                              <w:tabs>
                                <w:tab w:val="clear" w:pos="2268"/>
                              </w:tabs>
                              <w:spacing w:before="180"/>
                              <w:ind w:left="-142" w:right="-159"/>
                              <w:jc w:val="right"/>
                              <w:rPr>
                                <w:sz w:val="8"/>
                                <w:szCs w:val="8"/>
                              </w:rPr>
                            </w:pPr>
                            <w:r w:rsidRPr="006A44D2">
                              <w:rPr>
                                <w:sz w:val="8"/>
                                <w:szCs w:val="8"/>
                              </w:rPr>
                              <w:t>États arabes</w:t>
                            </w:r>
                          </w:p>
                          <w:p w14:paraId="4D968BDE" w14:textId="77777777" w:rsidR="00756EAD" w:rsidRPr="006A44D2" w:rsidRDefault="00756EAD" w:rsidP="00D80461">
                            <w:pPr>
                              <w:tabs>
                                <w:tab w:val="clear" w:pos="2268"/>
                              </w:tabs>
                              <w:spacing w:before="180"/>
                              <w:ind w:left="-142" w:right="-159"/>
                              <w:jc w:val="right"/>
                              <w:rPr>
                                <w:sz w:val="8"/>
                                <w:szCs w:val="8"/>
                              </w:rPr>
                            </w:pPr>
                            <w:r w:rsidRPr="006A44D2">
                              <w:rPr>
                                <w:sz w:val="8"/>
                                <w:szCs w:val="8"/>
                              </w:rPr>
                              <w:t>Asie-Pacifique</w:t>
                            </w:r>
                          </w:p>
                          <w:p w14:paraId="2380915A" w14:textId="77777777" w:rsidR="00756EAD" w:rsidRPr="006A44D2" w:rsidRDefault="00756EAD" w:rsidP="00D80461">
                            <w:pPr>
                              <w:tabs>
                                <w:tab w:val="clear" w:pos="2268"/>
                              </w:tabs>
                              <w:spacing w:before="180"/>
                              <w:ind w:left="-142" w:right="-159"/>
                              <w:jc w:val="right"/>
                              <w:rPr>
                                <w:sz w:val="8"/>
                                <w:szCs w:val="8"/>
                              </w:rPr>
                            </w:pPr>
                            <w:r w:rsidRPr="006A44D2">
                              <w:rPr>
                                <w:sz w:val="8"/>
                                <w:szCs w:val="8"/>
                              </w:rPr>
                              <w:t>CEI</w:t>
                            </w:r>
                          </w:p>
                          <w:p w14:paraId="1654EB09" w14:textId="77777777" w:rsidR="00756EAD" w:rsidRPr="006A44D2" w:rsidRDefault="00756EAD" w:rsidP="00D80461">
                            <w:pPr>
                              <w:tabs>
                                <w:tab w:val="clear" w:pos="2268"/>
                              </w:tabs>
                              <w:spacing w:before="180"/>
                              <w:ind w:left="-142" w:right="-159"/>
                              <w:jc w:val="right"/>
                              <w:rPr>
                                <w:sz w:val="8"/>
                                <w:szCs w:val="8"/>
                              </w:rPr>
                            </w:pPr>
                            <w:r w:rsidRPr="006A44D2">
                              <w:rPr>
                                <w:sz w:val="8"/>
                                <w:szCs w:val="8"/>
                              </w:rPr>
                              <w:t>Europe</w:t>
                            </w:r>
                          </w:p>
                          <w:p w14:paraId="52C97ABB" w14:textId="77777777" w:rsidR="00756EAD" w:rsidRPr="006A44D2" w:rsidRDefault="00756EAD" w:rsidP="00D80461">
                            <w:pPr>
                              <w:tabs>
                                <w:tab w:val="clear" w:pos="2268"/>
                              </w:tabs>
                              <w:spacing w:before="180"/>
                              <w:ind w:left="-142" w:right="-159"/>
                              <w:jc w:val="right"/>
                              <w:rPr>
                                <w:sz w:val="8"/>
                                <w:szCs w:val="8"/>
                              </w:rPr>
                            </w:pPr>
                            <w:r w:rsidRPr="006A44D2">
                              <w:rPr>
                                <w:sz w:val="8"/>
                                <w:szCs w:val="8"/>
                              </w:rPr>
                              <w:t>Amériques</w:t>
                            </w:r>
                          </w:p>
                          <w:p w14:paraId="16763632" w14:textId="77777777" w:rsidR="00756EAD" w:rsidRPr="006A44D2" w:rsidRDefault="00756EAD" w:rsidP="00D80461">
                            <w:pPr>
                              <w:tabs>
                                <w:tab w:val="clear" w:pos="2268"/>
                              </w:tabs>
                              <w:spacing w:before="420"/>
                              <w:ind w:left="-142" w:right="-159"/>
                              <w:jc w:val="right"/>
                              <w:rPr>
                                <w:sz w:val="8"/>
                                <w:szCs w:val="8"/>
                              </w:rPr>
                            </w:pPr>
                            <w:r w:rsidRPr="006A44D2">
                              <w:rPr>
                                <w:sz w:val="8"/>
                                <w:szCs w:val="8"/>
                              </w:rPr>
                              <w:t>Pays développés</w:t>
                            </w:r>
                          </w:p>
                          <w:p w14:paraId="5009E2F8" w14:textId="77777777" w:rsidR="00756EAD" w:rsidRPr="006A44D2" w:rsidRDefault="00756EAD" w:rsidP="00D80461">
                            <w:pPr>
                              <w:tabs>
                                <w:tab w:val="clear" w:pos="2268"/>
                              </w:tabs>
                              <w:spacing w:before="180"/>
                              <w:ind w:left="-142" w:right="-159"/>
                              <w:jc w:val="right"/>
                              <w:rPr>
                                <w:sz w:val="8"/>
                                <w:szCs w:val="8"/>
                              </w:rPr>
                            </w:pPr>
                            <w:r w:rsidRPr="006A44D2">
                              <w:rPr>
                                <w:sz w:val="8"/>
                                <w:szCs w:val="8"/>
                              </w:rPr>
                              <w:t>Pays en</w:t>
                            </w:r>
                            <w:r w:rsidRPr="006A44D2">
                              <w:rPr>
                                <w:sz w:val="8"/>
                                <w:szCs w:val="8"/>
                              </w:rPr>
                              <w:br/>
                              <w:t>développement</w:t>
                            </w:r>
                          </w:p>
                          <w:p w14:paraId="265536E3" w14:textId="77777777" w:rsidR="00756EAD" w:rsidRPr="006A44D2" w:rsidRDefault="00756EAD" w:rsidP="00D80461">
                            <w:pPr>
                              <w:tabs>
                                <w:tab w:val="clear" w:pos="2268"/>
                              </w:tabs>
                              <w:spacing w:before="180"/>
                              <w:ind w:left="-142" w:right="-159"/>
                              <w:jc w:val="right"/>
                              <w:rPr>
                                <w:sz w:val="8"/>
                                <w:szCs w:val="8"/>
                              </w:rPr>
                            </w:pPr>
                            <w:r w:rsidRPr="006A44D2">
                              <w:rPr>
                                <w:sz w:val="8"/>
                                <w:szCs w:val="8"/>
                              </w:rPr>
                              <w:t>PMA</w:t>
                            </w:r>
                          </w:p>
                          <w:p w14:paraId="2E27606F" w14:textId="77777777" w:rsidR="00756EAD" w:rsidRPr="006A44D2" w:rsidRDefault="00756EAD" w:rsidP="00D80461">
                            <w:pPr>
                              <w:tabs>
                                <w:tab w:val="clear" w:pos="2268"/>
                              </w:tabs>
                              <w:spacing w:before="180"/>
                              <w:ind w:left="-142" w:right="-159"/>
                              <w:jc w:val="right"/>
                              <w:rPr>
                                <w:sz w:val="8"/>
                                <w:szCs w:val="8"/>
                              </w:rPr>
                            </w:pPr>
                            <w:r w:rsidRPr="006A44D2">
                              <w:rPr>
                                <w:sz w:val="8"/>
                                <w:szCs w:val="8"/>
                              </w:rPr>
                              <w:t>PDSL</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44608" behindDoc="0" locked="0" layoutInCell="1" allowOverlap="1" wp14:anchorId="6224CB26" wp14:editId="389263BF">
                      <wp:simplePos x="0" y="0"/>
                      <wp:positionH relativeFrom="column">
                        <wp:posOffset>-417830</wp:posOffset>
                      </wp:positionH>
                      <wp:positionV relativeFrom="paragraph">
                        <wp:posOffset>919480</wp:posOffset>
                      </wp:positionV>
                      <wp:extent cx="1470660" cy="166370"/>
                      <wp:effectExtent l="4445" t="0" r="635" b="635"/>
                      <wp:wrapNone/>
                      <wp:docPr id="544008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166370"/>
                              </a:xfrm>
                              <a:prstGeom prst="rect">
                                <a:avLst/>
                              </a:prstGeom>
                              <a:solidFill>
                                <a:srgbClr val="FFFFFF"/>
                              </a:solidFill>
                              <a:ln w="9525">
                                <a:noFill/>
                                <a:miter lim="800000"/>
                                <a:headEnd/>
                                <a:tailEnd/>
                              </a:ln>
                            </wps:spPr>
                            <wps:txbx>
                              <w:txbxContent>
                                <w:p w14:paraId="3F7ADCCA" w14:textId="77777777" w:rsidR="00756EAD" w:rsidRPr="006A44D2" w:rsidRDefault="00756EAD" w:rsidP="00D80461">
                                  <w:pPr>
                                    <w:tabs>
                                      <w:tab w:val="clear" w:pos="2268"/>
                                    </w:tabs>
                                    <w:spacing w:before="0"/>
                                    <w:ind w:left="-142" w:right="-161"/>
                                    <w:rPr>
                                      <w:sz w:val="10"/>
                                      <w:szCs w:val="10"/>
                                    </w:rPr>
                                  </w:pPr>
                                  <w:r w:rsidRPr="006A44D2">
                                    <w:rPr>
                                      <w:sz w:val="10"/>
                                      <w:szCs w:val="10"/>
                                    </w:rPr>
                                    <w:t>Largeur de bande par utilisateur de l'Internet, en kbit/s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4CB26" id="_x0000_s1081" type="#_x0000_t202" style="position:absolute;left:0;text-align:left;margin-left:-32.9pt;margin-top:72.4pt;width:115.8pt;height:13.1pt;rotation:-90;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" stroked="f">
                      <v:textbox>
                        <w:txbxContent>
                          <w:p w14:paraId="3F7ADCCA" w14:textId="77777777" w:rsidR="00756EAD" w:rsidRPr="006A44D2" w:rsidRDefault="00756EAD" w:rsidP="00D80461">
                            <w:pPr>
                              <w:tabs>
                                <w:tab w:val="clear" w:pos="2268"/>
                              </w:tabs>
                              <w:spacing w:before="0"/>
                              <w:ind w:left="-142" w:right="-161"/>
                              <w:rPr>
                                <w:sz w:val="10"/>
                                <w:szCs w:val="10"/>
                              </w:rPr>
                            </w:pPr>
                            <w:r w:rsidRPr="006A44D2">
                              <w:rPr>
                                <w:sz w:val="10"/>
                                <w:szCs w:val="10"/>
                              </w:rPr>
                              <w:t>Largeur de bande par utilisateur de l'Internet, en kbit/s</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38464" behindDoc="0" locked="0" layoutInCell="1" allowOverlap="1" wp14:anchorId="6309624A" wp14:editId="7A0C8ACB">
                      <wp:simplePos x="0" y="0"/>
                      <wp:positionH relativeFrom="column">
                        <wp:posOffset>311150</wp:posOffset>
                      </wp:positionH>
                      <wp:positionV relativeFrom="paragraph">
                        <wp:posOffset>114935</wp:posOffset>
                      </wp:positionV>
                      <wp:extent cx="2397125" cy="254000"/>
                      <wp:effectExtent l="0" t="0" r="3175" b="0"/>
                      <wp:wrapNone/>
                      <wp:docPr id="1820415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54000"/>
                              </a:xfrm>
                              <a:prstGeom prst="rect">
                                <a:avLst/>
                              </a:prstGeom>
                              <a:solidFill>
                                <a:srgbClr val="FFFFFF"/>
                              </a:solidFill>
                              <a:ln w="9525">
                                <a:noFill/>
                                <a:miter lim="800000"/>
                                <a:headEnd/>
                                <a:tailEnd/>
                              </a:ln>
                            </wps:spPr>
                            <wps:txbx>
                              <w:txbxContent>
                                <w:p w14:paraId="109B371D" w14:textId="77777777" w:rsidR="00756EAD" w:rsidRPr="00F1317E" w:rsidRDefault="00756EAD" w:rsidP="00D80461">
                                  <w:pPr>
                                    <w:spacing w:before="0"/>
                                    <w:ind w:left="-142"/>
                                    <w:rPr>
                                      <w:color w:val="4F81BD" w:themeColor="accent1"/>
                                      <w:sz w:val="10"/>
                                      <w:szCs w:val="10"/>
                                    </w:rPr>
                                  </w:pPr>
                                  <w:r w:rsidRPr="00F1317E">
                                    <w:rPr>
                                      <w:color w:val="4F81BD" w:themeColor="accent1"/>
                                      <w:sz w:val="10"/>
                                      <w:szCs w:val="10"/>
                                    </w:rPr>
                                    <w:t>Largeur de bande internationale par utilisateur de l'Internet, en kbit/s,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09624A" id="_x0000_s1082" type="#_x0000_t202" style="position:absolute;left:0;text-align:left;margin-left:24.5pt;margin-top:9.05pt;width:188.75pt;height:20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" stroked="f">
                      <v:textbox style="mso-fit-shape-to-text:t">
                        <w:txbxContent>
                          <w:p w14:paraId="109B371D" w14:textId="77777777" w:rsidR="00756EAD" w:rsidRPr="00F1317E" w:rsidRDefault="00756EAD" w:rsidP="00D80461">
                            <w:pPr>
                              <w:spacing w:before="0"/>
                              <w:ind w:left="-142"/>
                              <w:rPr>
                                <w:color w:val="4F81BD" w:themeColor="accent1"/>
                                <w:sz w:val="10"/>
                                <w:szCs w:val="10"/>
                              </w:rPr>
                            </w:pPr>
                            <w:r w:rsidRPr="00F1317E">
                              <w:rPr>
                                <w:color w:val="4F81BD" w:themeColor="accent1"/>
                                <w:sz w:val="10"/>
                                <w:szCs w:val="10"/>
                              </w:rPr>
                              <w:t>Largeur de bande internationale par utilisateur de l'Internet, en kbit/s, 2021*</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39488" behindDoc="0" locked="0" layoutInCell="1" allowOverlap="1" wp14:anchorId="4E358CC0" wp14:editId="77657717">
                      <wp:simplePos x="0" y="0"/>
                      <wp:positionH relativeFrom="column">
                        <wp:posOffset>368300</wp:posOffset>
                      </wp:positionH>
                      <wp:positionV relativeFrom="paragraph">
                        <wp:posOffset>1896110</wp:posOffset>
                      </wp:positionV>
                      <wp:extent cx="604520" cy="228600"/>
                      <wp:effectExtent l="0" t="0" r="5080" b="0"/>
                      <wp:wrapNone/>
                      <wp:docPr id="54400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28600"/>
                              </a:xfrm>
                              <a:prstGeom prst="rect">
                                <a:avLst/>
                              </a:prstGeom>
                              <a:solidFill>
                                <a:srgbClr val="FFFFFF"/>
                              </a:solidFill>
                              <a:ln w="9525">
                                <a:noFill/>
                                <a:miter lim="800000"/>
                                <a:headEnd/>
                                <a:tailEnd/>
                              </a:ln>
                            </wps:spPr>
                            <wps:txbx>
                              <w:txbxContent>
                                <w:p w14:paraId="250C5268" w14:textId="77777777" w:rsidR="00756EAD" w:rsidRPr="00F1317E" w:rsidRDefault="00756EAD" w:rsidP="00D80461">
                                  <w:pPr>
                                    <w:tabs>
                                      <w:tab w:val="clear" w:pos="567"/>
                                    </w:tabs>
                                    <w:spacing w:before="100" w:beforeAutospacing="1"/>
                                    <w:ind w:left="-142" w:right="-258"/>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8CC0" id="_x0000_s1083" type="#_x0000_t202" style="position:absolute;left:0;text-align:left;margin-left:29pt;margin-top:149.3pt;width:47.6pt;height:18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X5EQ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" stroked="f">
                      <v:textbox>
                        <w:txbxContent>
                          <w:p w14:paraId="250C5268" w14:textId="77777777" w:rsidR="00756EAD" w:rsidRPr="00F1317E" w:rsidRDefault="00756EAD" w:rsidP="00D80461">
                            <w:pPr>
                              <w:tabs>
                                <w:tab w:val="clear" w:pos="567"/>
                              </w:tabs>
                              <w:spacing w:before="100" w:beforeAutospacing="1"/>
                              <w:ind w:left="-142" w:right="-258"/>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v:textbox>
                    </v:shape>
                  </w:pict>
                </mc:Fallback>
              </mc:AlternateContent>
            </w:r>
            <w:r w:rsidRPr="00F05A8A">
              <w:rPr>
                <w:lang w:eastAsia="fr-FR"/>
              </w:rPr>
              <w:drawing>
                <wp:inline distT="0" distB="0" distL="0" distR="0" wp14:anchorId="0A96A94A" wp14:editId="50E94024">
                  <wp:extent cx="3102460" cy="2048256"/>
                  <wp:effectExtent l="0" t="0" r="3175" b="9525"/>
                  <wp:docPr id="1802487827" name="Picture 18024878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27" name="Picture 1802487827" descr="Chart, bar chart&#10;&#10;Description automatically generated"/>
                          <pic:cNvPicPr/>
                        </pic:nvPicPr>
                        <pic:blipFill>
                          <a:blip r:embed="rId386"/>
                          <a:stretch>
                            <a:fillRect/>
                          </a:stretch>
                        </pic:blipFill>
                        <pic:spPr>
                          <a:xfrm>
                            <a:off x="0" y="0"/>
                            <a:ext cx="3112906" cy="2055152"/>
                          </a:xfrm>
                          <a:prstGeom prst="rect">
                            <a:avLst/>
                          </a:prstGeom>
                        </pic:spPr>
                      </pic:pic>
                    </a:graphicData>
                  </a:graphic>
                </wp:inline>
              </w:drawing>
            </w:r>
          </w:p>
        </w:tc>
        <w:tc>
          <w:tcPr>
            <w:tcW w:w="4572" w:type="dxa"/>
            <w:shd w:val="clear" w:color="auto" w:fill="auto"/>
            <w:vAlign w:val="center"/>
          </w:tcPr>
          <w:p w14:paraId="1683F77F" w14:textId="77777777" w:rsidR="00D80461" w:rsidRPr="00F05A8A" w:rsidRDefault="00D80461" w:rsidP="002F075E">
            <w:pPr>
              <w:keepNext/>
              <w:keepLines/>
              <w:jc w:val="center"/>
              <w:rPr>
                <w:b/>
                <w:bCs/>
                <w:szCs w:val="24"/>
              </w:rPr>
            </w:pPr>
            <w:r w:rsidRPr="00F05A8A">
              <w:rPr>
                <w:highlight w:val="green"/>
                <w:lang w:eastAsia="fr-FR"/>
              </w:rPr>
              <mc:AlternateContent>
                <mc:Choice Requires="wps">
                  <w:drawing>
                    <wp:anchor distT="45720" distB="45720" distL="114300" distR="114300" simplePos="0" relativeHeight="251846656" behindDoc="0" locked="0" layoutInCell="1" allowOverlap="1" wp14:anchorId="1F4E9121" wp14:editId="24224F9E">
                      <wp:simplePos x="0" y="0"/>
                      <wp:positionH relativeFrom="column">
                        <wp:posOffset>2311400</wp:posOffset>
                      </wp:positionH>
                      <wp:positionV relativeFrom="paragraph">
                        <wp:posOffset>304800</wp:posOffset>
                      </wp:positionV>
                      <wp:extent cx="438150" cy="1438275"/>
                      <wp:effectExtent l="0" t="0" r="0" b="9525"/>
                      <wp:wrapNone/>
                      <wp:docPr id="544008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38275"/>
                              </a:xfrm>
                              <a:prstGeom prst="rect">
                                <a:avLst/>
                              </a:prstGeom>
                              <a:solidFill>
                                <a:srgbClr val="FFFFFF"/>
                              </a:solidFill>
                              <a:ln w="9525">
                                <a:noFill/>
                                <a:miter lim="800000"/>
                                <a:headEnd/>
                                <a:tailEnd/>
                              </a:ln>
                            </wps:spPr>
                            <wps:txbx>
                              <w:txbxContent>
                                <w:p w14:paraId="07E1D4B1" w14:textId="77777777" w:rsidR="00756EAD" w:rsidRDefault="00756EAD" w:rsidP="00D80461">
                                  <w:pPr>
                                    <w:tabs>
                                      <w:tab w:val="clear" w:pos="2268"/>
                                    </w:tabs>
                                    <w:spacing w:before="0"/>
                                    <w:ind w:left="-142" w:right="-159"/>
                                    <w:rPr>
                                      <w:sz w:val="8"/>
                                      <w:szCs w:val="8"/>
                                    </w:rPr>
                                  </w:pPr>
                                  <w:r w:rsidRPr="000D6849">
                                    <w:rPr>
                                      <w:color w:val="7030A0"/>
                                      <w:sz w:val="8"/>
                                      <w:szCs w:val="8"/>
                                    </w:rPr>
                                    <w:t>Afrique</w:t>
                                  </w:r>
                                </w:p>
                                <w:p w14:paraId="7DA935E8" w14:textId="77777777" w:rsidR="00756EAD" w:rsidRDefault="00756EAD" w:rsidP="00D80461">
                                  <w:pPr>
                                    <w:tabs>
                                      <w:tab w:val="clear" w:pos="2268"/>
                                    </w:tabs>
                                    <w:spacing w:before="0"/>
                                    <w:ind w:left="-142" w:right="-159"/>
                                    <w:rPr>
                                      <w:sz w:val="8"/>
                                      <w:szCs w:val="8"/>
                                    </w:rPr>
                                  </w:pPr>
                                  <w:r w:rsidRPr="000D6849">
                                    <w:rPr>
                                      <w:color w:val="1F497D" w:themeColor="text2"/>
                                      <w:sz w:val="8"/>
                                      <w:szCs w:val="8"/>
                                    </w:rPr>
                                    <w:t>CEI</w:t>
                                  </w:r>
                                </w:p>
                                <w:p w14:paraId="5F85FA8B" w14:textId="77777777" w:rsidR="00756EAD" w:rsidRDefault="00756EAD" w:rsidP="00D80461">
                                  <w:pPr>
                                    <w:tabs>
                                      <w:tab w:val="clear" w:pos="2268"/>
                                    </w:tabs>
                                    <w:spacing w:before="0"/>
                                    <w:ind w:left="-142" w:right="-159"/>
                                    <w:rPr>
                                      <w:sz w:val="8"/>
                                      <w:szCs w:val="8"/>
                                    </w:rPr>
                                  </w:pPr>
                                  <w:r w:rsidRPr="000D6849">
                                    <w:rPr>
                                      <w:color w:val="1F497D" w:themeColor="text2"/>
                                      <w:sz w:val="8"/>
                                      <w:szCs w:val="8"/>
                                    </w:rPr>
                                    <w:t>États arabes</w:t>
                                  </w:r>
                                </w:p>
                                <w:p w14:paraId="31E98AAD" w14:textId="77777777" w:rsidR="00756EAD" w:rsidRDefault="00756EAD" w:rsidP="00D80461">
                                  <w:pPr>
                                    <w:tabs>
                                      <w:tab w:val="clear" w:pos="2268"/>
                                    </w:tabs>
                                    <w:spacing w:before="0"/>
                                    <w:ind w:left="-142" w:right="-159"/>
                                    <w:rPr>
                                      <w:sz w:val="8"/>
                                      <w:szCs w:val="8"/>
                                    </w:rPr>
                                  </w:pPr>
                                  <w:r w:rsidRPr="000D6849">
                                    <w:rPr>
                                      <w:color w:val="4F81BD" w:themeColor="accent1"/>
                                      <w:sz w:val="8"/>
                                      <w:szCs w:val="8"/>
                                    </w:rPr>
                                    <w:t>Autres économies</w:t>
                                  </w:r>
                                </w:p>
                                <w:p w14:paraId="6779E311" w14:textId="77777777" w:rsidR="00756EAD" w:rsidRDefault="00756EAD" w:rsidP="00D80461">
                                  <w:pPr>
                                    <w:tabs>
                                      <w:tab w:val="clear" w:pos="2268"/>
                                    </w:tabs>
                                    <w:spacing w:before="240"/>
                                    <w:ind w:left="-142" w:right="-159"/>
                                    <w:rPr>
                                      <w:sz w:val="8"/>
                                      <w:szCs w:val="8"/>
                                    </w:rPr>
                                  </w:pPr>
                                  <w:r w:rsidRPr="000D6849">
                                    <w:rPr>
                                      <w:color w:val="00B0F0"/>
                                      <w:sz w:val="8"/>
                                      <w:szCs w:val="8"/>
                                    </w:rPr>
                                    <w:t>Amériques</w:t>
                                  </w:r>
                                </w:p>
                                <w:p w14:paraId="4A08E34F" w14:textId="77777777" w:rsidR="00756EAD" w:rsidRDefault="00756EAD" w:rsidP="00D80461">
                                  <w:pPr>
                                    <w:tabs>
                                      <w:tab w:val="clear" w:pos="2268"/>
                                    </w:tabs>
                                    <w:spacing w:before="240"/>
                                    <w:ind w:left="-142" w:right="-159"/>
                                    <w:rPr>
                                      <w:sz w:val="8"/>
                                      <w:szCs w:val="8"/>
                                    </w:rPr>
                                  </w:pPr>
                                  <w:r w:rsidRPr="000D6849">
                                    <w:rPr>
                                      <w:color w:val="8DB3E2" w:themeColor="text2" w:themeTint="66"/>
                                      <w:sz w:val="8"/>
                                      <w:szCs w:val="8"/>
                                    </w:rPr>
                                    <w:t>Europe</w:t>
                                  </w:r>
                                </w:p>
                                <w:p w14:paraId="52052943" w14:textId="77777777" w:rsidR="00756EAD" w:rsidRPr="006A44D2" w:rsidRDefault="00756EAD" w:rsidP="00D80461">
                                  <w:pPr>
                                    <w:tabs>
                                      <w:tab w:val="clear" w:pos="2268"/>
                                    </w:tabs>
                                    <w:spacing w:before="720"/>
                                    <w:ind w:left="-142" w:right="-159"/>
                                    <w:rPr>
                                      <w:sz w:val="8"/>
                                      <w:szCs w:val="8"/>
                                    </w:rPr>
                                  </w:pPr>
                                  <w:r w:rsidRPr="000D6849">
                                    <w:rPr>
                                      <w:color w:val="8DB3E2" w:themeColor="text2" w:themeTint="66"/>
                                      <w:sz w:val="8"/>
                                      <w:szCs w:val="8"/>
                                    </w:rPr>
                                    <w:t>Asie-Pacifique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E9121" id="_x0000_s1084" type="#_x0000_t202" style="position:absolute;left:0;text-align:left;margin-left:182pt;margin-top:24pt;width:34.5pt;height:113.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" stroked="f">
                      <v:textbox>
                        <w:txbxContent>
                          <w:p w14:paraId="07E1D4B1" w14:textId="77777777" w:rsidR="00756EAD" w:rsidRDefault="00756EAD" w:rsidP="00D80461">
                            <w:pPr>
                              <w:tabs>
                                <w:tab w:val="clear" w:pos="2268"/>
                              </w:tabs>
                              <w:spacing w:before="0"/>
                              <w:ind w:left="-142" w:right="-159"/>
                              <w:rPr>
                                <w:sz w:val="8"/>
                                <w:szCs w:val="8"/>
                              </w:rPr>
                            </w:pPr>
                            <w:r w:rsidRPr="000D6849">
                              <w:rPr>
                                <w:color w:val="7030A0"/>
                                <w:sz w:val="8"/>
                                <w:szCs w:val="8"/>
                              </w:rPr>
                              <w:t>Afrique</w:t>
                            </w:r>
                          </w:p>
                          <w:p w14:paraId="7DA935E8" w14:textId="77777777" w:rsidR="00756EAD" w:rsidRDefault="00756EAD" w:rsidP="00D80461">
                            <w:pPr>
                              <w:tabs>
                                <w:tab w:val="clear" w:pos="2268"/>
                              </w:tabs>
                              <w:spacing w:before="0"/>
                              <w:ind w:left="-142" w:right="-159"/>
                              <w:rPr>
                                <w:sz w:val="8"/>
                                <w:szCs w:val="8"/>
                              </w:rPr>
                            </w:pPr>
                            <w:r w:rsidRPr="000D6849">
                              <w:rPr>
                                <w:color w:val="1F497D" w:themeColor="text2"/>
                                <w:sz w:val="8"/>
                                <w:szCs w:val="8"/>
                              </w:rPr>
                              <w:t>CEI</w:t>
                            </w:r>
                          </w:p>
                          <w:p w14:paraId="5F85FA8B" w14:textId="77777777" w:rsidR="00756EAD" w:rsidRDefault="00756EAD" w:rsidP="00D80461">
                            <w:pPr>
                              <w:tabs>
                                <w:tab w:val="clear" w:pos="2268"/>
                              </w:tabs>
                              <w:spacing w:before="0"/>
                              <w:ind w:left="-142" w:right="-159"/>
                              <w:rPr>
                                <w:sz w:val="8"/>
                                <w:szCs w:val="8"/>
                              </w:rPr>
                            </w:pPr>
                            <w:r w:rsidRPr="000D6849">
                              <w:rPr>
                                <w:color w:val="1F497D" w:themeColor="text2"/>
                                <w:sz w:val="8"/>
                                <w:szCs w:val="8"/>
                              </w:rPr>
                              <w:t>États arabes</w:t>
                            </w:r>
                          </w:p>
                          <w:p w14:paraId="31E98AAD" w14:textId="77777777" w:rsidR="00756EAD" w:rsidRDefault="00756EAD" w:rsidP="00D80461">
                            <w:pPr>
                              <w:tabs>
                                <w:tab w:val="clear" w:pos="2268"/>
                              </w:tabs>
                              <w:spacing w:before="0"/>
                              <w:ind w:left="-142" w:right="-159"/>
                              <w:rPr>
                                <w:sz w:val="8"/>
                                <w:szCs w:val="8"/>
                              </w:rPr>
                            </w:pPr>
                            <w:r w:rsidRPr="000D6849">
                              <w:rPr>
                                <w:color w:val="4F81BD" w:themeColor="accent1"/>
                                <w:sz w:val="8"/>
                                <w:szCs w:val="8"/>
                              </w:rPr>
                              <w:t>Autres économies</w:t>
                            </w:r>
                          </w:p>
                          <w:p w14:paraId="6779E311" w14:textId="77777777" w:rsidR="00756EAD" w:rsidRDefault="00756EAD" w:rsidP="00D80461">
                            <w:pPr>
                              <w:tabs>
                                <w:tab w:val="clear" w:pos="2268"/>
                              </w:tabs>
                              <w:spacing w:before="240"/>
                              <w:ind w:left="-142" w:right="-159"/>
                              <w:rPr>
                                <w:sz w:val="8"/>
                                <w:szCs w:val="8"/>
                              </w:rPr>
                            </w:pPr>
                            <w:r w:rsidRPr="000D6849">
                              <w:rPr>
                                <w:color w:val="00B0F0"/>
                                <w:sz w:val="8"/>
                                <w:szCs w:val="8"/>
                              </w:rPr>
                              <w:t>Amériques</w:t>
                            </w:r>
                          </w:p>
                          <w:p w14:paraId="4A08E34F" w14:textId="77777777" w:rsidR="00756EAD" w:rsidRDefault="00756EAD" w:rsidP="00D80461">
                            <w:pPr>
                              <w:tabs>
                                <w:tab w:val="clear" w:pos="2268"/>
                              </w:tabs>
                              <w:spacing w:before="240"/>
                              <w:ind w:left="-142" w:right="-159"/>
                              <w:rPr>
                                <w:sz w:val="8"/>
                                <w:szCs w:val="8"/>
                              </w:rPr>
                            </w:pPr>
                            <w:r w:rsidRPr="000D6849">
                              <w:rPr>
                                <w:color w:val="8DB3E2" w:themeColor="text2" w:themeTint="66"/>
                                <w:sz w:val="8"/>
                                <w:szCs w:val="8"/>
                              </w:rPr>
                              <w:t>Europe</w:t>
                            </w:r>
                          </w:p>
                          <w:p w14:paraId="52052943" w14:textId="77777777" w:rsidR="00756EAD" w:rsidRPr="006A44D2" w:rsidRDefault="00756EAD" w:rsidP="00D80461">
                            <w:pPr>
                              <w:tabs>
                                <w:tab w:val="clear" w:pos="2268"/>
                              </w:tabs>
                              <w:spacing w:before="720"/>
                              <w:ind w:left="-142" w:right="-159"/>
                              <w:rPr>
                                <w:sz w:val="8"/>
                                <w:szCs w:val="8"/>
                              </w:rPr>
                            </w:pPr>
                            <w:r w:rsidRPr="000D6849">
                              <w:rPr>
                                <w:color w:val="8DB3E2" w:themeColor="text2" w:themeTint="66"/>
                                <w:sz w:val="8"/>
                                <w:szCs w:val="8"/>
                              </w:rPr>
                              <w:t>Asie-Pacifique</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42560" behindDoc="0" locked="0" layoutInCell="1" allowOverlap="1" wp14:anchorId="535535D1" wp14:editId="06FE6F77">
                      <wp:simplePos x="0" y="0"/>
                      <wp:positionH relativeFrom="column">
                        <wp:posOffset>261620</wp:posOffset>
                      </wp:positionH>
                      <wp:positionV relativeFrom="paragraph">
                        <wp:posOffset>155575</wp:posOffset>
                      </wp:positionV>
                      <wp:extent cx="1566545" cy="254000"/>
                      <wp:effectExtent l="0" t="0" r="0" b="0"/>
                      <wp:wrapNone/>
                      <wp:docPr id="54400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4000"/>
                              </a:xfrm>
                              <a:prstGeom prst="rect">
                                <a:avLst/>
                              </a:prstGeom>
                              <a:solidFill>
                                <a:srgbClr val="FFFFFF"/>
                              </a:solidFill>
                              <a:ln w="9525">
                                <a:noFill/>
                                <a:miter lim="800000"/>
                                <a:headEnd/>
                                <a:tailEnd/>
                              </a:ln>
                            </wps:spPr>
                            <wps:txbx>
                              <w:txbxContent>
                                <w:p w14:paraId="245AFDB6" w14:textId="77777777" w:rsidR="00756EAD" w:rsidRPr="00F1317E" w:rsidRDefault="00756EAD" w:rsidP="00D80461">
                                  <w:pPr>
                                    <w:spacing w:before="0"/>
                                    <w:ind w:left="-142"/>
                                    <w:rPr>
                                      <w:color w:val="4F81BD" w:themeColor="accent1"/>
                                      <w:sz w:val="10"/>
                                      <w:szCs w:val="10"/>
                                    </w:rPr>
                                  </w:pPr>
                                  <w:r w:rsidRPr="006A44D2">
                                    <w:rPr>
                                      <w:color w:val="4F81BD" w:themeColor="accent1"/>
                                      <w:sz w:val="10"/>
                                      <w:szCs w:val="10"/>
                                    </w:rPr>
                                    <w:t>Largeur de bande internationale par région, en Tbit/s**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5535D1" id="_x0000_s1085" type="#_x0000_t202" style="position:absolute;left:0;text-align:left;margin-left:20.6pt;margin-top:12.25pt;width:123.35pt;height:20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" stroked="f">
                      <v:textbox style="mso-fit-shape-to-text:t">
                        <w:txbxContent>
                          <w:p w14:paraId="245AFDB6" w14:textId="77777777" w:rsidR="00756EAD" w:rsidRPr="00F1317E" w:rsidRDefault="00756EAD" w:rsidP="00D80461">
                            <w:pPr>
                              <w:spacing w:before="0"/>
                              <w:ind w:left="-142"/>
                              <w:rPr>
                                <w:color w:val="4F81BD" w:themeColor="accent1"/>
                                <w:sz w:val="10"/>
                                <w:szCs w:val="10"/>
                              </w:rPr>
                            </w:pPr>
                            <w:r w:rsidRPr="006A44D2">
                              <w:rPr>
                                <w:color w:val="4F81BD" w:themeColor="accent1"/>
                                <w:sz w:val="10"/>
                                <w:szCs w:val="10"/>
                              </w:rPr>
                              <w:t>Largeur de bande internationale par région, en Tbit/s**</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41536" behindDoc="0" locked="0" layoutInCell="1" allowOverlap="1" wp14:anchorId="6A06E838" wp14:editId="26078AD5">
                      <wp:simplePos x="0" y="0"/>
                      <wp:positionH relativeFrom="column">
                        <wp:posOffset>380365</wp:posOffset>
                      </wp:positionH>
                      <wp:positionV relativeFrom="paragraph">
                        <wp:posOffset>1892935</wp:posOffset>
                      </wp:positionV>
                      <wp:extent cx="814070" cy="252095"/>
                      <wp:effectExtent l="0" t="0" r="5080" b="0"/>
                      <wp:wrapNone/>
                      <wp:docPr id="544008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52095"/>
                              </a:xfrm>
                              <a:prstGeom prst="rect">
                                <a:avLst/>
                              </a:prstGeom>
                              <a:solidFill>
                                <a:srgbClr val="FFFFFF"/>
                              </a:solidFill>
                              <a:ln w="9525">
                                <a:noFill/>
                                <a:miter lim="800000"/>
                                <a:headEnd/>
                                <a:tailEnd/>
                              </a:ln>
                            </wps:spPr>
                            <wps:txbx>
                              <w:txbxContent>
                                <w:p w14:paraId="682575D9" w14:textId="77777777" w:rsidR="00756EAD" w:rsidRPr="00F1317E" w:rsidRDefault="00756EAD" w:rsidP="00D80461">
                                  <w:pPr>
                                    <w:tabs>
                                      <w:tab w:val="clear" w:pos="567"/>
                                    </w:tabs>
                                    <w:spacing w:before="100" w:beforeAutospacing="1" w:line="80" w:lineRule="exact"/>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r>
                                    <w:rPr>
                                      <w:sz w:val="8"/>
                                      <w:szCs w:val="8"/>
                                    </w:rPr>
                                    <w:br/>
                                  </w:r>
                                  <w:r w:rsidRPr="006A44D2">
                                    <w:rPr>
                                      <w:sz w:val="8"/>
                                      <w:szCs w:val="8"/>
                                    </w:rPr>
                                    <w:t>** 1 Térabit = 1 000 000 Mégabits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E838" id="_x0000_s1086" type="#_x0000_t202" style="position:absolute;left:0;text-align:left;margin-left:29.95pt;margin-top:149.05pt;width:64.1pt;height:19.8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ihEAIAAP0DAAAOAAAAZHJzL2Uyb0RvYy54bWysU9tu2zAMfR+wfxD0vtgJkrYx4hRdugwD&#10;ugvQ7QNkWY6FyaJGKbG7rx8lu2m2vQ3Tg0CK1BF5eLS5HTrDTgq9Blvy+SznTFkJtbaHkn/7un9z&#10;w5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" stroked="f">
                      <v:textbox>
                        <w:txbxContent>
                          <w:p w14:paraId="682575D9" w14:textId="77777777" w:rsidR="00756EAD" w:rsidRPr="00F1317E" w:rsidRDefault="00756EAD" w:rsidP="00D80461">
                            <w:pPr>
                              <w:tabs>
                                <w:tab w:val="clear" w:pos="567"/>
                              </w:tabs>
                              <w:spacing w:before="100" w:beforeAutospacing="1" w:line="80" w:lineRule="exact"/>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r>
                              <w:rPr>
                                <w:sz w:val="8"/>
                                <w:szCs w:val="8"/>
                              </w:rPr>
                              <w:br/>
                            </w:r>
                            <w:r w:rsidRPr="006A44D2">
                              <w:rPr>
                                <w:sz w:val="8"/>
                                <w:szCs w:val="8"/>
                              </w:rPr>
                              <w:t>** 1 Térabit = 1 000 000 Mégabits</w:t>
                            </w:r>
                          </w:p>
                        </w:txbxContent>
                      </v:textbox>
                    </v:shape>
                  </w:pict>
                </mc:Fallback>
              </mc:AlternateContent>
            </w:r>
            <w:r w:rsidRPr="00F05A8A">
              <w:rPr>
                <w:lang w:eastAsia="fr-FR"/>
              </w:rPr>
              <w:drawing>
                <wp:inline distT="0" distB="0" distL="0" distR="0" wp14:anchorId="0A65C2BB" wp14:editId="7CEC3FFE">
                  <wp:extent cx="2790182" cy="2049822"/>
                  <wp:effectExtent l="0" t="0" r="0" b="7620"/>
                  <wp:docPr id="1802487831" name="Picture 18024878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1" name="Picture 1802487831" descr="Chart&#10;&#10;Description automatically generated with medium confidence"/>
                          <pic:cNvPicPr/>
                        </pic:nvPicPr>
                        <pic:blipFill>
                          <a:blip r:embed="rId387"/>
                          <a:stretch>
                            <a:fillRect/>
                          </a:stretch>
                        </pic:blipFill>
                        <pic:spPr>
                          <a:xfrm>
                            <a:off x="0" y="0"/>
                            <a:ext cx="2806374" cy="2061717"/>
                          </a:xfrm>
                          <a:prstGeom prst="rect">
                            <a:avLst/>
                          </a:prstGeom>
                        </pic:spPr>
                      </pic:pic>
                    </a:graphicData>
                  </a:graphic>
                </wp:inline>
              </w:drawing>
            </w:r>
          </w:p>
        </w:tc>
      </w:tr>
      <w:tr w:rsidR="00D80461" w:rsidRPr="00F05A8A" w14:paraId="5FBCD9F9" w14:textId="77777777" w:rsidTr="00142C01">
        <w:trPr>
          <w:jc w:val="center"/>
        </w:trPr>
        <w:tc>
          <w:tcPr>
            <w:tcW w:w="5067" w:type="dxa"/>
            <w:gridSpan w:val="2"/>
            <w:shd w:val="clear" w:color="auto" w:fill="auto"/>
            <w:vAlign w:val="center"/>
          </w:tcPr>
          <w:p w14:paraId="11761EEA" w14:textId="77777777" w:rsidR="00D80461" w:rsidRPr="00F05A8A" w:rsidRDefault="00D80461" w:rsidP="002F075E">
            <w:pPr>
              <w:jc w:val="center"/>
            </w:pPr>
            <w:r w:rsidRPr="00F05A8A">
              <w:rPr>
                <w:highlight w:val="green"/>
                <w:lang w:eastAsia="fr-FR"/>
              </w:rPr>
              <mc:AlternateContent>
                <mc:Choice Requires="wps">
                  <w:drawing>
                    <wp:anchor distT="45720" distB="45720" distL="114300" distR="114300" simplePos="0" relativeHeight="251847680" behindDoc="0" locked="0" layoutInCell="1" allowOverlap="1" wp14:anchorId="0E5FFF18" wp14:editId="13C9ED19">
                      <wp:simplePos x="0" y="0"/>
                      <wp:positionH relativeFrom="column">
                        <wp:posOffset>375920</wp:posOffset>
                      </wp:positionH>
                      <wp:positionV relativeFrom="paragraph">
                        <wp:posOffset>1617980</wp:posOffset>
                      </wp:positionV>
                      <wp:extent cx="2633345" cy="213995"/>
                      <wp:effectExtent l="0" t="0" r="0" b="0"/>
                      <wp:wrapNone/>
                      <wp:docPr id="544008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13995"/>
                              </a:xfrm>
                              <a:prstGeom prst="rect">
                                <a:avLst/>
                              </a:prstGeom>
                              <a:solidFill>
                                <a:srgbClr val="FFFFFF"/>
                              </a:solidFill>
                              <a:ln w="9525">
                                <a:noFill/>
                                <a:miter lim="800000"/>
                                <a:headEnd/>
                                <a:tailEnd/>
                              </a:ln>
                            </wps:spPr>
                            <wps:txbx>
                              <w:txbxContent>
                                <w:p w14:paraId="70034846" w14:textId="77777777" w:rsidR="00756EAD" w:rsidRPr="00F1317E" w:rsidRDefault="00756EAD" w:rsidP="00D80461">
                                  <w:pPr>
                                    <w:tabs>
                                      <w:tab w:val="clear" w:pos="567"/>
                                    </w:tabs>
                                    <w:spacing w:before="0" w:line="100" w:lineRule="exact"/>
                                    <w:ind w:left="-142" w:right="-255"/>
                                    <w:rPr>
                                      <w:sz w:val="8"/>
                                      <w:szCs w:val="8"/>
                                    </w:rPr>
                                  </w:pPr>
                                  <w:r w:rsidRPr="000D6849">
                                    <w:rPr>
                                      <w:sz w:val="8"/>
                                      <w:szCs w:val="8"/>
                                    </w:rPr>
                                    <w:t>Note: Les valeurs pour les réseaux 2G et 3G montrent le pourcentage cumulé de la population non desservie par un réseau technologique plus évolué (par exemple, 95% de la population mondiale est desservie par un réseau 3G (7% + 88%)).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FF18" id="_x0000_s1087" type="#_x0000_t202" style="position:absolute;left:0;text-align:left;margin-left:29.6pt;margin-top:127.4pt;width:207.35pt;height:16.8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" stroked="f">
                      <v:textbox>
                        <w:txbxContent>
                          <w:p w14:paraId="70034846" w14:textId="77777777" w:rsidR="00756EAD" w:rsidRPr="00F1317E" w:rsidRDefault="00756EAD" w:rsidP="00D80461">
                            <w:pPr>
                              <w:tabs>
                                <w:tab w:val="clear" w:pos="567"/>
                              </w:tabs>
                              <w:spacing w:before="0" w:line="100" w:lineRule="exact"/>
                              <w:ind w:left="-142" w:right="-255"/>
                              <w:rPr>
                                <w:sz w:val="8"/>
                                <w:szCs w:val="8"/>
                              </w:rPr>
                            </w:pPr>
                            <w:r w:rsidRPr="000D6849">
                              <w:rPr>
                                <w:sz w:val="8"/>
                                <w:szCs w:val="8"/>
                              </w:rPr>
                              <w:t>Note: Les valeurs pour les réseaux 2G et 3G montrent le pourcentage cumulé de la population non desservie par un réseau technologique plus évolué (par exemple, 95% de la population mondiale est desservie par un réseau 3G (7% + 88%)).</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43584" behindDoc="0" locked="0" layoutInCell="1" allowOverlap="1" wp14:anchorId="4499A675" wp14:editId="5593B031">
                      <wp:simplePos x="0" y="0"/>
                      <wp:positionH relativeFrom="column">
                        <wp:posOffset>368300</wp:posOffset>
                      </wp:positionH>
                      <wp:positionV relativeFrom="paragraph">
                        <wp:posOffset>48260</wp:posOffset>
                      </wp:positionV>
                      <wp:extent cx="1880870" cy="190500"/>
                      <wp:effectExtent l="0" t="0" r="5080" b="0"/>
                      <wp:wrapNone/>
                      <wp:docPr id="544008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90500"/>
                              </a:xfrm>
                              <a:prstGeom prst="rect">
                                <a:avLst/>
                              </a:prstGeom>
                              <a:solidFill>
                                <a:srgbClr val="FFFFFF"/>
                              </a:solidFill>
                              <a:ln w="9525">
                                <a:noFill/>
                                <a:miter lim="800000"/>
                                <a:headEnd/>
                                <a:tailEnd/>
                              </a:ln>
                            </wps:spPr>
                            <wps:txbx>
                              <w:txbxContent>
                                <w:p w14:paraId="01F7C607" w14:textId="77777777" w:rsidR="00756EAD" w:rsidRPr="00F1317E" w:rsidRDefault="00756EAD" w:rsidP="00D80461">
                                  <w:pPr>
                                    <w:spacing w:before="0"/>
                                    <w:ind w:left="-142"/>
                                    <w:rPr>
                                      <w:color w:val="4F81BD" w:themeColor="accent1"/>
                                      <w:sz w:val="10"/>
                                      <w:szCs w:val="10"/>
                                    </w:rPr>
                                  </w:pPr>
                                  <w:r w:rsidRPr="006A44D2">
                                    <w:rPr>
                                      <w:color w:val="4F81BD" w:themeColor="accent1"/>
                                      <w:sz w:val="10"/>
                                      <w:szCs w:val="10"/>
                                    </w:rPr>
                                    <w:t>Couverture de la population par type de réseau mobile, 2015-2021*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9A675" id="_x0000_s1088" type="#_x0000_t202" style="position:absolute;left:0;text-align:left;margin-left:29pt;margin-top:3.8pt;width:148.1pt;height:1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" stroked="f">
                      <v:textbox>
                        <w:txbxContent>
                          <w:p w14:paraId="01F7C607" w14:textId="77777777" w:rsidR="00756EAD" w:rsidRPr="00F1317E" w:rsidRDefault="00756EAD" w:rsidP="00D80461">
                            <w:pPr>
                              <w:spacing w:before="0"/>
                              <w:ind w:left="-142"/>
                              <w:rPr>
                                <w:color w:val="4F81BD" w:themeColor="accent1"/>
                                <w:sz w:val="10"/>
                                <w:szCs w:val="10"/>
                              </w:rPr>
                            </w:pPr>
                            <w:r w:rsidRPr="006A44D2">
                              <w:rPr>
                                <w:color w:val="4F81BD" w:themeColor="accent1"/>
                                <w:sz w:val="10"/>
                                <w:szCs w:val="10"/>
                              </w:rPr>
                              <w:t>Couverture de la population par type de réseau mobile, 2015-2021*</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40512" behindDoc="0" locked="0" layoutInCell="1" allowOverlap="1" wp14:anchorId="1DDB31E7" wp14:editId="7D16262F">
                      <wp:simplePos x="0" y="0"/>
                      <wp:positionH relativeFrom="column">
                        <wp:posOffset>376555</wp:posOffset>
                      </wp:positionH>
                      <wp:positionV relativeFrom="paragraph">
                        <wp:posOffset>1788795</wp:posOffset>
                      </wp:positionV>
                      <wp:extent cx="604520" cy="228600"/>
                      <wp:effectExtent l="0" t="0" r="5080" b="0"/>
                      <wp:wrapNone/>
                      <wp:docPr id="544008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28600"/>
                              </a:xfrm>
                              <a:prstGeom prst="rect">
                                <a:avLst/>
                              </a:prstGeom>
                              <a:solidFill>
                                <a:srgbClr val="FFFFFF"/>
                              </a:solidFill>
                              <a:ln w="9525">
                                <a:noFill/>
                                <a:miter lim="800000"/>
                                <a:headEnd/>
                                <a:tailEnd/>
                              </a:ln>
                            </wps:spPr>
                            <wps:txbx>
                              <w:txbxContent>
                                <w:p w14:paraId="2DEB547B" w14:textId="77777777" w:rsidR="00756EAD" w:rsidRPr="00F1317E" w:rsidRDefault="00756EAD" w:rsidP="00D80461">
                                  <w:pPr>
                                    <w:tabs>
                                      <w:tab w:val="clear" w:pos="567"/>
                                    </w:tabs>
                                    <w:spacing w:before="0"/>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31E7" id="_x0000_s1089" type="#_x0000_t202" style="position:absolute;left:0;text-align:left;margin-left:29.65pt;margin-top:140.85pt;width:47.6pt;height:18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EuEQIAAP0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" stroked="f">
                      <v:textbox>
                        <w:txbxContent>
                          <w:p w14:paraId="2DEB547B" w14:textId="77777777" w:rsidR="00756EAD" w:rsidRPr="00F1317E" w:rsidRDefault="00756EAD" w:rsidP="00D80461">
                            <w:pPr>
                              <w:tabs>
                                <w:tab w:val="clear" w:pos="567"/>
                              </w:tabs>
                              <w:spacing w:before="0"/>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v:textbox>
                    </v:shape>
                  </w:pict>
                </mc:Fallback>
              </mc:AlternateContent>
            </w:r>
            <w:r w:rsidRPr="00F05A8A">
              <w:rPr>
                <w:lang w:eastAsia="fr-FR"/>
              </w:rPr>
              <w:drawing>
                <wp:inline distT="0" distB="0" distL="0" distR="0" wp14:anchorId="55C3CCEA" wp14:editId="5398FFF4">
                  <wp:extent cx="2814727" cy="1901952"/>
                  <wp:effectExtent l="0" t="0" r="5080" b="3175"/>
                  <wp:docPr id="1802487830" name="Picture 18024878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0" name="Picture 1802487830" descr="Chart&#10;&#10;Description automatically generated"/>
                          <pic:cNvPicPr/>
                        </pic:nvPicPr>
                        <pic:blipFill>
                          <a:blip r:embed="rId388"/>
                          <a:stretch>
                            <a:fillRect/>
                          </a:stretch>
                        </pic:blipFill>
                        <pic:spPr>
                          <a:xfrm>
                            <a:off x="0" y="0"/>
                            <a:ext cx="2827137" cy="1910337"/>
                          </a:xfrm>
                          <a:prstGeom prst="rect">
                            <a:avLst/>
                          </a:prstGeom>
                        </pic:spPr>
                      </pic:pic>
                    </a:graphicData>
                  </a:graphic>
                </wp:inline>
              </w:drawing>
            </w:r>
          </w:p>
        </w:tc>
        <w:tc>
          <w:tcPr>
            <w:tcW w:w="4572" w:type="dxa"/>
            <w:shd w:val="clear" w:color="auto" w:fill="auto"/>
            <w:vAlign w:val="center"/>
          </w:tcPr>
          <w:p w14:paraId="7B8CB306" w14:textId="77777777" w:rsidR="00D80461" w:rsidRPr="00F05A8A" w:rsidRDefault="00D80461" w:rsidP="002F075E">
            <w:pPr>
              <w:jc w:val="center"/>
            </w:pPr>
          </w:p>
        </w:tc>
      </w:tr>
    </w:tbl>
    <w:p w14:paraId="6B031BC4" w14:textId="77777777" w:rsidR="00D80461" w:rsidRPr="00F05A8A" w:rsidRDefault="00D80461" w:rsidP="002F075E"/>
    <w:tbl>
      <w:tblPr>
        <w:tblW w:w="0" w:type="auto"/>
        <w:jc w:val="center"/>
        <w:tblLook w:val="04A0" w:firstRow="1" w:lastRow="0" w:firstColumn="1" w:lastColumn="0" w:noHBand="0" w:noVBand="1"/>
      </w:tblPr>
      <w:tblGrid>
        <w:gridCol w:w="4814"/>
        <w:gridCol w:w="306"/>
        <w:gridCol w:w="4509"/>
        <w:gridCol w:w="10"/>
      </w:tblGrid>
      <w:tr w:rsidR="00D80461" w:rsidRPr="00F05A8A" w14:paraId="37E34A26" w14:textId="77777777" w:rsidTr="00142C01">
        <w:trPr>
          <w:gridAfter w:val="1"/>
          <w:wAfter w:w="10" w:type="dxa"/>
          <w:jc w:val="center"/>
        </w:trPr>
        <w:tc>
          <w:tcPr>
            <w:tcW w:w="9629" w:type="dxa"/>
            <w:gridSpan w:val="3"/>
            <w:shd w:val="clear" w:color="auto" w:fill="auto"/>
            <w:vAlign w:val="center"/>
          </w:tcPr>
          <w:p w14:paraId="714D2722" w14:textId="77A8576D" w:rsidR="00D80461" w:rsidRPr="00F05A8A" w:rsidRDefault="00D80461" w:rsidP="002F075E">
            <w:pPr>
              <w:spacing w:after="120"/>
              <w:jc w:val="center"/>
              <w:rPr>
                <w:b/>
                <w:bCs/>
                <w:sz w:val="20"/>
              </w:rPr>
            </w:pPr>
            <w:r w:rsidRPr="00F05A8A">
              <w:rPr>
                <w:b/>
                <w:bCs/>
              </w:rPr>
              <w:t>Cible 1.7</w:t>
            </w:r>
          </w:p>
        </w:tc>
      </w:tr>
      <w:tr w:rsidR="00D80461" w:rsidRPr="00F05A8A" w14:paraId="60F0791B" w14:textId="77777777" w:rsidTr="00142C01">
        <w:trPr>
          <w:gridAfter w:val="1"/>
          <w:wAfter w:w="10" w:type="dxa"/>
          <w:jc w:val="center"/>
        </w:trPr>
        <w:tc>
          <w:tcPr>
            <w:tcW w:w="4814" w:type="dxa"/>
            <w:shd w:val="clear" w:color="auto" w:fill="auto"/>
            <w:vAlign w:val="center"/>
          </w:tcPr>
          <w:p w14:paraId="25A064F4" w14:textId="77777777" w:rsidR="00D80461" w:rsidRPr="00F05A8A" w:rsidRDefault="00D80461" w:rsidP="002F075E">
            <w:pPr>
              <w:spacing w:after="120"/>
              <w:jc w:val="center"/>
              <w:rPr>
                <w:b/>
                <w:bCs/>
                <w:sz w:val="20"/>
              </w:rPr>
            </w:pPr>
            <w:r w:rsidRPr="00F05A8A">
              <w:rPr>
                <w:b/>
                <w:bCs/>
                <w:szCs w:val="24"/>
                <w:lang w:eastAsia="fr-FR"/>
              </w:rPr>
              <mc:AlternateContent>
                <mc:Choice Requires="wps">
                  <w:drawing>
                    <wp:anchor distT="0" distB="0" distL="114300" distR="114300" simplePos="0" relativeHeight="251667456" behindDoc="0" locked="0" layoutInCell="1" allowOverlap="1" wp14:anchorId="2FA01067" wp14:editId="2AA21450">
                      <wp:simplePos x="0" y="0"/>
                      <wp:positionH relativeFrom="column">
                        <wp:posOffset>104775</wp:posOffset>
                      </wp:positionH>
                      <wp:positionV relativeFrom="paragraph">
                        <wp:posOffset>66040</wp:posOffset>
                      </wp:positionV>
                      <wp:extent cx="2736215" cy="414020"/>
                      <wp:effectExtent l="0" t="0" r="6985"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414020"/>
                              </a:xfrm>
                              <a:prstGeom prst="rect">
                                <a:avLst/>
                              </a:prstGeom>
                              <a:solidFill>
                                <a:schemeClr val="bg1"/>
                              </a:solidFill>
                              <a:ln w="9525">
                                <a:noFill/>
                                <a:miter lim="800000"/>
                                <a:headEnd/>
                                <a:tailEnd/>
                              </a:ln>
                            </wps:spPr>
                            <wps:txbx>
                              <w:txbxContent>
                                <w:p w14:paraId="0FCC0FCE" w14:textId="77777777" w:rsidR="00756EAD" w:rsidRDefault="00756EAD" w:rsidP="00D80461">
                                  <w:pPr>
                                    <w:spacing w:before="0"/>
                                    <w:jc w:val="center"/>
                                    <w:rPr>
                                      <w:b/>
                                      <w:sz w:val="16"/>
                                      <w:szCs w:val="16"/>
                                    </w:rPr>
                                  </w:pPr>
                                  <w:r w:rsidRPr="003647A4">
                                    <w:rPr>
                                      <w:b/>
                                      <w:sz w:val="16"/>
                                      <w:szCs w:val="16"/>
                                    </w:rPr>
                                    <w:t>Pourcentage de la population interagissant avec les services d</w:t>
                                  </w:r>
                                  <w:r>
                                    <w:rPr>
                                      <w:b/>
                                      <w:sz w:val="16"/>
                                      <w:szCs w:val="16"/>
                                    </w:rPr>
                                    <w:t>'</w:t>
                                  </w:r>
                                  <w:r w:rsidRPr="003647A4">
                                    <w:rPr>
                                      <w:b/>
                                      <w:sz w:val="16"/>
                                      <w:szCs w:val="16"/>
                                    </w:rPr>
                                    <w:t>administration publique en ligne</w:t>
                                  </w:r>
                                </w:p>
                                <w:p w14:paraId="22870B75" w14:textId="77777777" w:rsidR="00756EAD" w:rsidRPr="00255FB2" w:rsidRDefault="00756EAD" w:rsidP="00D80461">
                                  <w:pPr>
                                    <w:spacing w:before="0"/>
                                    <w:jc w:val="center"/>
                                    <w:rPr>
                                      <w:b/>
                                      <w:sz w:val="16"/>
                                      <w:szCs w:val="16"/>
                                    </w:rPr>
                                  </w:pPr>
                                  <w:r w:rsidRPr="003647A4">
                                    <w:rPr>
                                      <w:b/>
                                      <w:bCs/>
                                      <w:sz w:val="16"/>
                                      <w:szCs w:val="16"/>
                                    </w:rPr>
                                    <w:t>(Données disponibles pour 44 pays)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1067" id="_x0000_s1090" type="#_x0000_t202" style="position:absolute;left:0;text-align:left;margin-left:8.25pt;margin-top:5.2pt;width:215.4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" fillcolor="white [3212]" stroked="f">
                      <v:textbox inset="0,0,0,0">
                        <w:txbxContent>
                          <w:p w14:paraId="0FCC0FCE" w14:textId="77777777" w:rsidR="00756EAD" w:rsidRDefault="00756EAD" w:rsidP="00D80461">
                            <w:pPr>
                              <w:spacing w:before="0"/>
                              <w:jc w:val="center"/>
                              <w:rPr>
                                <w:b/>
                                <w:sz w:val="16"/>
                                <w:szCs w:val="16"/>
                              </w:rPr>
                            </w:pPr>
                            <w:r w:rsidRPr="003647A4">
                              <w:rPr>
                                <w:b/>
                                <w:sz w:val="16"/>
                                <w:szCs w:val="16"/>
                              </w:rPr>
                              <w:t>Pourcentage de la population interagissant avec les services d</w:t>
                            </w:r>
                            <w:r>
                              <w:rPr>
                                <w:b/>
                                <w:sz w:val="16"/>
                                <w:szCs w:val="16"/>
                              </w:rPr>
                              <w:t>'</w:t>
                            </w:r>
                            <w:r w:rsidRPr="003647A4">
                              <w:rPr>
                                <w:b/>
                                <w:sz w:val="16"/>
                                <w:szCs w:val="16"/>
                              </w:rPr>
                              <w:t>administration publique en ligne</w:t>
                            </w:r>
                          </w:p>
                          <w:p w14:paraId="22870B75" w14:textId="77777777" w:rsidR="00756EAD" w:rsidRPr="00255FB2" w:rsidRDefault="00756EAD" w:rsidP="00D80461">
                            <w:pPr>
                              <w:spacing w:before="0"/>
                              <w:jc w:val="center"/>
                              <w:rPr>
                                <w:b/>
                                <w:sz w:val="16"/>
                                <w:szCs w:val="16"/>
                              </w:rPr>
                            </w:pPr>
                            <w:r w:rsidRPr="003647A4">
                              <w:rPr>
                                <w:b/>
                                <w:bCs/>
                                <w:sz w:val="16"/>
                                <w:szCs w:val="16"/>
                              </w:rPr>
                              <w:t>(Données disponibles pour 44 pays)</w:t>
                            </w:r>
                          </w:p>
                        </w:txbxContent>
                      </v:textbox>
                    </v:shape>
                  </w:pict>
                </mc:Fallback>
              </mc:AlternateContent>
            </w:r>
            <w:r w:rsidRPr="00F05A8A">
              <w:rPr>
                <w:b/>
                <w:bCs/>
                <w:szCs w:val="24"/>
                <w:lang w:eastAsia="fr-FR"/>
              </w:rPr>
              <mc:AlternateContent>
                <mc:Choice Requires="wps">
                  <w:drawing>
                    <wp:anchor distT="0" distB="0" distL="114300" distR="114300" simplePos="0" relativeHeight="251668480" behindDoc="0" locked="0" layoutInCell="1" allowOverlap="1" wp14:anchorId="26F21330" wp14:editId="2FD6CEE9">
                      <wp:simplePos x="0" y="0"/>
                      <wp:positionH relativeFrom="column">
                        <wp:posOffset>169545</wp:posOffset>
                      </wp:positionH>
                      <wp:positionV relativeFrom="paragraph">
                        <wp:posOffset>1566545</wp:posOffset>
                      </wp:positionV>
                      <wp:extent cx="2674620" cy="186690"/>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86690"/>
                              </a:xfrm>
                              <a:prstGeom prst="rect">
                                <a:avLst/>
                              </a:prstGeom>
                              <a:solidFill>
                                <a:schemeClr val="bg1"/>
                              </a:solidFill>
                              <a:ln w="9525">
                                <a:noFill/>
                                <a:miter lim="800000"/>
                                <a:headEnd/>
                                <a:tailEnd/>
                              </a:ln>
                            </wps:spPr>
                            <wps:txbx>
                              <w:txbxContent>
                                <w:p w14:paraId="7A01B3B8" w14:textId="77777777" w:rsidR="00756EAD" w:rsidRPr="00255FB2" w:rsidRDefault="00756EAD" w:rsidP="00D80461">
                                  <w:pPr>
                                    <w:spacing w:before="0"/>
                                    <w:jc w:val="center"/>
                                    <w:rPr>
                                      <w:b/>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21330" id="_x0000_s1091" type="#_x0000_t202" style="position:absolute;left:0;text-align:left;margin-left:13.35pt;margin-top:123.35pt;width:210.6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" fillcolor="white [3212]" stroked="f">
                      <v:textbox inset="0,0,0,0">
                        <w:txbxContent>
                          <w:p w14:paraId="7A01B3B8" w14:textId="77777777" w:rsidR="00756EAD" w:rsidRPr="00255FB2" w:rsidRDefault="00756EAD" w:rsidP="00D80461">
                            <w:pPr>
                              <w:spacing w:before="0"/>
                              <w:jc w:val="center"/>
                              <w:rPr>
                                <w:b/>
                                <w:sz w:val="16"/>
                                <w:szCs w:val="16"/>
                              </w:rPr>
                            </w:pPr>
                          </w:p>
                        </w:txbxContent>
                      </v:textbox>
                    </v:shape>
                  </w:pict>
                </mc:Fallback>
              </mc:AlternateContent>
            </w:r>
            <w:r w:rsidRPr="00F05A8A">
              <w:t xml:space="preserve"> </w:t>
            </w:r>
            <w:r w:rsidRPr="00F05A8A">
              <w:rPr>
                <w:lang w:eastAsia="fr-FR"/>
              </w:rPr>
              <w:drawing>
                <wp:inline distT="0" distB="0" distL="0" distR="0" wp14:anchorId="5ECC9C81" wp14:editId="6A9CF53A">
                  <wp:extent cx="2369820" cy="1486535"/>
                  <wp:effectExtent l="0" t="0" r="0" b="0"/>
                  <wp:docPr id="1257977761" name="Picture 12579777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1" name="Picture 1257977761" descr="Chart&#10;&#10;Description automatically generated"/>
                          <pic:cNvPicPr>
                            <a:picLocks noChangeAspect="1"/>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2369820" cy="1486535"/>
                          </a:xfrm>
                          <a:prstGeom prst="rect">
                            <a:avLst/>
                          </a:prstGeom>
                        </pic:spPr>
                      </pic:pic>
                    </a:graphicData>
                  </a:graphic>
                </wp:inline>
              </w:drawing>
            </w:r>
          </w:p>
        </w:tc>
        <w:tc>
          <w:tcPr>
            <w:tcW w:w="4815" w:type="dxa"/>
            <w:gridSpan w:val="2"/>
            <w:shd w:val="clear" w:color="auto" w:fill="auto"/>
            <w:vAlign w:val="center"/>
          </w:tcPr>
          <w:p w14:paraId="154DB39E" w14:textId="77777777" w:rsidR="00D80461" w:rsidRPr="00F05A8A" w:rsidRDefault="00D80461" w:rsidP="002F075E">
            <w:pPr>
              <w:spacing w:after="120"/>
              <w:rPr>
                <w:b/>
                <w:bCs/>
                <w:sz w:val="20"/>
              </w:rPr>
            </w:pPr>
            <w:r w:rsidRPr="00F05A8A">
              <w:rPr>
                <w:b/>
                <w:bCs/>
                <w:szCs w:val="24"/>
                <w:lang w:eastAsia="fr-FR"/>
              </w:rPr>
              <mc:AlternateContent>
                <mc:Choice Requires="wps">
                  <w:drawing>
                    <wp:anchor distT="0" distB="0" distL="114300" distR="114300" simplePos="0" relativeHeight="251671552" behindDoc="0" locked="0" layoutInCell="1" allowOverlap="1" wp14:anchorId="22788F49" wp14:editId="061D9580">
                      <wp:simplePos x="0" y="0"/>
                      <wp:positionH relativeFrom="column">
                        <wp:posOffset>2278380</wp:posOffset>
                      </wp:positionH>
                      <wp:positionV relativeFrom="paragraph">
                        <wp:posOffset>1144905</wp:posOffset>
                      </wp:positionV>
                      <wp:extent cx="537845" cy="622300"/>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622300"/>
                              </a:xfrm>
                              <a:prstGeom prst="rect">
                                <a:avLst/>
                              </a:prstGeom>
                              <a:solidFill>
                                <a:schemeClr val="bg1"/>
                              </a:solidFill>
                              <a:ln w="9525">
                                <a:noFill/>
                                <a:miter lim="800000"/>
                                <a:headEnd/>
                                <a:tailEnd/>
                              </a:ln>
                            </wps:spPr>
                            <wps:txbx>
                              <w:txbxContent>
                                <w:p w14:paraId="1537D16C" w14:textId="77777777" w:rsidR="00756EAD" w:rsidRPr="004B4E08" w:rsidRDefault="00756EAD" w:rsidP="00D80461">
                                  <w:pPr>
                                    <w:spacing w:before="40"/>
                                    <w:rPr>
                                      <w:sz w:val="12"/>
                                      <w:szCs w:val="12"/>
                                    </w:rPr>
                                  </w:pPr>
                                  <w:r w:rsidRPr="004B4E08">
                                    <w:rPr>
                                      <w:sz w:val="12"/>
                                      <w:szCs w:val="12"/>
                                    </w:rPr>
                                    <w:t>EGDI très élevé</w:t>
                                  </w:r>
                                </w:p>
                                <w:p w14:paraId="1969CE24" w14:textId="77777777" w:rsidR="00756EAD" w:rsidRPr="004B4E08" w:rsidRDefault="00756EAD" w:rsidP="00D80461">
                                  <w:pPr>
                                    <w:spacing w:before="80"/>
                                    <w:rPr>
                                      <w:sz w:val="12"/>
                                      <w:szCs w:val="12"/>
                                    </w:rPr>
                                  </w:pPr>
                                  <w:r w:rsidRPr="004B4E08">
                                    <w:rPr>
                                      <w:sz w:val="12"/>
                                      <w:szCs w:val="12"/>
                                    </w:rPr>
                                    <w:t>EGDI élevé</w:t>
                                  </w:r>
                                </w:p>
                                <w:p w14:paraId="0B15ED82" w14:textId="77777777" w:rsidR="00756EAD" w:rsidRPr="004B4E08" w:rsidRDefault="00756EAD" w:rsidP="00D80461">
                                  <w:pPr>
                                    <w:spacing w:before="100"/>
                                    <w:rPr>
                                      <w:sz w:val="12"/>
                                      <w:szCs w:val="12"/>
                                    </w:rPr>
                                  </w:pPr>
                                  <w:r w:rsidRPr="004B4E08">
                                    <w:rPr>
                                      <w:sz w:val="12"/>
                                      <w:szCs w:val="12"/>
                                    </w:rPr>
                                    <w:t>EGDI moyen</w:t>
                                  </w:r>
                                </w:p>
                                <w:p w14:paraId="63455111" w14:textId="77777777" w:rsidR="00756EAD" w:rsidRPr="004B4E08" w:rsidRDefault="00756EAD" w:rsidP="00D80461">
                                  <w:pPr>
                                    <w:spacing w:before="100"/>
                                    <w:rPr>
                                      <w:sz w:val="12"/>
                                      <w:szCs w:val="12"/>
                                    </w:rPr>
                                  </w:pPr>
                                  <w:r w:rsidRPr="004B4E08">
                                    <w:rPr>
                                      <w:sz w:val="12"/>
                                      <w:szCs w:val="12"/>
                                    </w:rPr>
                                    <w:t>EGDI faible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88F49" id="_x0000_s1092" type="#_x0000_t202" style="position:absolute;margin-left:179.4pt;margin-top:90.15pt;width:42.35pt;height: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" fillcolor="white [3212]" stroked="f">
                      <v:textbox inset="0,0,0,0">
                        <w:txbxContent>
                          <w:p w14:paraId="1537D16C" w14:textId="77777777" w:rsidR="00756EAD" w:rsidRPr="004B4E08" w:rsidRDefault="00756EAD" w:rsidP="00D80461">
                            <w:pPr>
                              <w:spacing w:before="40"/>
                              <w:rPr>
                                <w:sz w:val="12"/>
                                <w:szCs w:val="12"/>
                              </w:rPr>
                            </w:pPr>
                            <w:r w:rsidRPr="004B4E08">
                              <w:rPr>
                                <w:sz w:val="12"/>
                                <w:szCs w:val="12"/>
                              </w:rPr>
                              <w:t>EGDI très élevé</w:t>
                            </w:r>
                          </w:p>
                          <w:p w14:paraId="1969CE24" w14:textId="77777777" w:rsidR="00756EAD" w:rsidRPr="004B4E08" w:rsidRDefault="00756EAD" w:rsidP="00D80461">
                            <w:pPr>
                              <w:spacing w:before="80"/>
                              <w:rPr>
                                <w:sz w:val="12"/>
                                <w:szCs w:val="12"/>
                              </w:rPr>
                            </w:pPr>
                            <w:r w:rsidRPr="004B4E08">
                              <w:rPr>
                                <w:sz w:val="12"/>
                                <w:szCs w:val="12"/>
                              </w:rPr>
                              <w:t>EGDI élevé</w:t>
                            </w:r>
                          </w:p>
                          <w:p w14:paraId="0B15ED82" w14:textId="77777777" w:rsidR="00756EAD" w:rsidRPr="004B4E08" w:rsidRDefault="00756EAD" w:rsidP="00D80461">
                            <w:pPr>
                              <w:spacing w:before="100"/>
                              <w:rPr>
                                <w:sz w:val="12"/>
                                <w:szCs w:val="12"/>
                              </w:rPr>
                            </w:pPr>
                            <w:r w:rsidRPr="004B4E08">
                              <w:rPr>
                                <w:sz w:val="12"/>
                                <w:szCs w:val="12"/>
                              </w:rPr>
                              <w:t>EGDI moyen</w:t>
                            </w:r>
                          </w:p>
                          <w:p w14:paraId="63455111" w14:textId="77777777" w:rsidR="00756EAD" w:rsidRPr="004B4E08" w:rsidRDefault="00756EAD" w:rsidP="00D80461">
                            <w:pPr>
                              <w:spacing w:before="100"/>
                              <w:rPr>
                                <w:sz w:val="12"/>
                                <w:szCs w:val="12"/>
                              </w:rPr>
                            </w:pPr>
                            <w:r w:rsidRPr="004B4E08">
                              <w:rPr>
                                <w:sz w:val="12"/>
                                <w:szCs w:val="12"/>
                              </w:rPr>
                              <w:t>EGDI faible</w:t>
                            </w:r>
                          </w:p>
                        </w:txbxContent>
                      </v:textbox>
                    </v:shape>
                  </w:pict>
                </mc:Fallback>
              </mc:AlternateContent>
            </w:r>
            <w:r w:rsidRPr="00F05A8A">
              <w:rPr>
                <w:b/>
                <w:bCs/>
                <w:szCs w:val="24"/>
                <w:lang w:eastAsia="fr-FR"/>
              </w:rPr>
              <mc:AlternateContent>
                <mc:Choice Requires="wps">
                  <w:drawing>
                    <wp:anchor distT="0" distB="0" distL="114300" distR="114300" simplePos="0" relativeHeight="251674624" behindDoc="0" locked="0" layoutInCell="1" allowOverlap="1" wp14:anchorId="37FD08E5" wp14:editId="014B1848">
                      <wp:simplePos x="0" y="0"/>
                      <wp:positionH relativeFrom="column">
                        <wp:posOffset>51435</wp:posOffset>
                      </wp:positionH>
                      <wp:positionV relativeFrom="paragraph">
                        <wp:posOffset>1007745</wp:posOffset>
                      </wp:positionV>
                      <wp:extent cx="251460" cy="94615"/>
                      <wp:effectExtent l="2222"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1460" cy="94615"/>
                              </a:xfrm>
                              <a:prstGeom prst="rect">
                                <a:avLst/>
                              </a:prstGeom>
                              <a:solidFill>
                                <a:schemeClr val="bg1"/>
                              </a:solidFill>
                              <a:ln w="9525">
                                <a:noFill/>
                                <a:miter lim="800000"/>
                                <a:headEnd/>
                                <a:tailEnd/>
                              </a:ln>
                            </wps:spPr>
                            <wps:txbx>
                              <w:txbxContent>
                                <w:p w14:paraId="48D77189" w14:textId="77777777" w:rsidR="00756EAD" w:rsidRPr="006E2E27" w:rsidRDefault="00756EAD" w:rsidP="00D80461">
                                  <w:pPr>
                                    <w:spacing w:before="0"/>
                                    <w:jc w:val="center"/>
                                    <w:rPr>
                                      <w:sz w:val="10"/>
                                      <w:szCs w:val="10"/>
                                    </w:rPr>
                                  </w:pPr>
                                  <w:r w:rsidRPr="006E2E27">
                                    <w:rPr>
                                      <w:sz w:val="10"/>
                                      <w:szCs w:val="10"/>
                                    </w:rPr>
                                    <w:t>Asie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D08E5" id="_x0000_s1093" type="#_x0000_t202" style="position:absolute;margin-left:4.05pt;margin-top:79.35pt;width:19.8pt;height:7.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" fillcolor="white [3212]" stroked="f">
                      <v:textbox inset="0,0,0,0">
                        <w:txbxContent>
                          <w:p w14:paraId="48D77189" w14:textId="77777777" w:rsidR="00756EAD" w:rsidRPr="006E2E27" w:rsidRDefault="00756EAD" w:rsidP="00D80461">
                            <w:pPr>
                              <w:spacing w:before="0"/>
                              <w:jc w:val="center"/>
                              <w:rPr>
                                <w:sz w:val="10"/>
                                <w:szCs w:val="10"/>
                              </w:rPr>
                            </w:pPr>
                            <w:r w:rsidRPr="006E2E27">
                              <w:rPr>
                                <w:sz w:val="10"/>
                                <w:szCs w:val="10"/>
                              </w:rPr>
                              <w:t>Asie</w:t>
                            </w:r>
                          </w:p>
                        </w:txbxContent>
                      </v:textbox>
                    </v:shape>
                  </w:pict>
                </mc:Fallback>
              </mc:AlternateContent>
            </w:r>
            <w:r w:rsidRPr="00F05A8A">
              <w:rPr>
                <w:b/>
                <w:bCs/>
                <w:szCs w:val="24"/>
                <w:lang w:eastAsia="fr-FR"/>
              </w:rPr>
              <mc:AlternateContent>
                <mc:Choice Requires="wps">
                  <w:drawing>
                    <wp:anchor distT="0" distB="0" distL="114300" distR="114300" simplePos="0" relativeHeight="251672576" behindDoc="0" locked="0" layoutInCell="1" allowOverlap="1" wp14:anchorId="38EF2287" wp14:editId="490C5A81">
                      <wp:simplePos x="0" y="0"/>
                      <wp:positionH relativeFrom="column">
                        <wp:posOffset>29845</wp:posOffset>
                      </wp:positionH>
                      <wp:positionV relativeFrom="paragraph">
                        <wp:posOffset>378460</wp:posOffset>
                      </wp:positionV>
                      <wp:extent cx="293370" cy="101600"/>
                      <wp:effectExtent l="635"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78CC2D83" w14:textId="77777777" w:rsidR="00756EAD" w:rsidRPr="006E2E27" w:rsidRDefault="00756EAD" w:rsidP="00D80461">
                                  <w:pPr>
                                    <w:spacing w:before="20"/>
                                    <w:jc w:val="center"/>
                                    <w:rPr>
                                      <w:sz w:val="10"/>
                                      <w:szCs w:val="10"/>
                                    </w:rPr>
                                  </w:pPr>
                                  <w:r w:rsidRPr="006E2E27">
                                    <w:rPr>
                                      <w:sz w:val="10"/>
                                      <w:szCs w:val="10"/>
                                    </w:rPr>
                                    <w:t>Afrique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2287" id="_x0000_s1094" type="#_x0000_t202" style="position:absolute;margin-left:2.35pt;margin-top:29.8pt;width:23.1pt;height: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" fillcolor="white [3212]" stroked="f">
                      <v:textbox inset="0,0,0,0">
                        <w:txbxContent>
                          <w:p w14:paraId="78CC2D83" w14:textId="77777777" w:rsidR="00756EAD" w:rsidRPr="006E2E27" w:rsidRDefault="00756EAD" w:rsidP="00D80461">
                            <w:pPr>
                              <w:spacing w:before="20"/>
                              <w:jc w:val="center"/>
                              <w:rPr>
                                <w:sz w:val="10"/>
                                <w:szCs w:val="10"/>
                              </w:rPr>
                            </w:pPr>
                            <w:r w:rsidRPr="006E2E27">
                              <w:rPr>
                                <w:sz w:val="10"/>
                                <w:szCs w:val="10"/>
                              </w:rPr>
                              <w:t>Afrique</w:t>
                            </w:r>
                          </w:p>
                        </w:txbxContent>
                      </v:textbox>
                    </v:shape>
                  </w:pict>
                </mc:Fallback>
              </mc:AlternateContent>
            </w:r>
            <w:r w:rsidRPr="00F05A8A">
              <w:rPr>
                <w:b/>
                <w:bCs/>
                <w:szCs w:val="24"/>
                <w:lang w:eastAsia="fr-FR"/>
              </w:rPr>
              <mc:AlternateContent>
                <mc:Choice Requires="wps">
                  <w:drawing>
                    <wp:anchor distT="0" distB="0" distL="114300" distR="114300" simplePos="0" relativeHeight="251673600" behindDoc="0" locked="0" layoutInCell="1" allowOverlap="1" wp14:anchorId="79F8D469" wp14:editId="59F9C045">
                      <wp:simplePos x="0" y="0"/>
                      <wp:positionH relativeFrom="column">
                        <wp:posOffset>20955</wp:posOffset>
                      </wp:positionH>
                      <wp:positionV relativeFrom="paragraph">
                        <wp:posOffset>696595</wp:posOffset>
                      </wp:positionV>
                      <wp:extent cx="301625" cy="82550"/>
                      <wp:effectExtent l="0" t="4762"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1625" cy="82550"/>
                              </a:xfrm>
                              <a:prstGeom prst="rect">
                                <a:avLst/>
                              </a:prstGeom>
                              <a:solidFill>
                                <a:schemeClr val="bg1"/>
                              </a:solidFill>
                              <a:ln w="9525">
                                <a:noFill/>
                                <a:miter lim="800000"/>
                                <a:headEnd/>
                                <a:tailEnd/>
                              </a:ln>
                            </wps:spPr>
                            <wps:txbx>
                              <w:txbxContent>
                                <w:p w14:paraId="7817BC9C" w14:textId="77777777" w:rsidR="00756EAD" w:rsidRPr="006E2E27" w:rsidRDefault="00756EAD" w:rsidP="00D80461">
                                  <w:pPr>
                                    <w:spacing w:before="0"/>
                                    <w:jc w:val="center"/>
                                    <w:rPr>
                                      <w:sz w:val="10"/>
                                      <w:szCs w:val="10"/>
                                    </w:rPr>
                                  </w:pPr>
                                  <w:r w:rsidRPr="006E2E27">
                                    <w:rPr>
                                      <w:sz w:val="10"/>
                                      <w:szCs w:val="10"/>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8D469" id="_x0000_s1095" type="#_x0000_t202" style="position:absolute;margin-left:1.65pt;margin-top:54.85pt;width:23.75pt;height:6.5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" fillcolor="white [3212]" stroked="f">
                      <v:textbox inset="0,0,0,0">
                        <w:txbxContent>
                          <w:p w14:paraId="7817BC9C" w14:textId="77777777" w:rsidR="00756EAD" w:rsidRPr="006E2E27" w:rsidRDefault="00756EAD" w:rsidP="00D80461">
                            <w:pPr>
                              <w:spacing w:before="0"/>
                              <w:jc w:val="center"/>
                              <w:rPr>
                                <w:sz w:val="10"/>
                                <w:szCs w:val="10"/>
                              </w:rPr>
                            </w:pPr>
                            <w:r w:rsidRPr="006E2E27">
                              <w:rPr>
                                <w:sz w:val="10"/>
                                <w:szCs w:val="10"/>
                              </w:rPr>
                              <w:t>Amériques</w:t>
                            </w:r>
                          </w:p>
                        </w:txbxContent>
                      </v:textbox>
                    </v:shape>
                  </w:pict>
                </mc:Fallback>
              </mc:AlternateContent>
            </w:r>
            <w:r w:rsidRPr="00F05A8A">
              <w:rPr>
                <w:b/>
                <w:bCs/>
                <w:szCs w:val="24"/>
                <w:lang w:eastAsia="fr-FR"/>
              </w:rPr>
              <mc:AlternateContent>
                <mc:Choice Requires="wps">
                  <w:drawing>
                    <wp:anchor distT="0" distB="0" distL="114300" distR="114300" simplePos="0" relativeHeight="251675648" behindDoc="0" locked="0" layoutInCell="1" allowOverlap="1" wp14:anchorId="5D520848" wp14:editId="2F149D9B">
                      <wp:simplePos x="0" y="0"/>
                      <wp:positionH relativeFrom="column">
                        <wp:posOffset>95250</wp:posOffset>
                      </wp:positionH>
                      <wp:positionV relativeFrom="paragraph">
                        <wp:posOffset>1327150</wp:posOffset>
                      </wp:positionV>
                      <wp:extent cx="206375" cy="115570"/>
                      <wp:effectExtent l="7303"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06375" cy="115570"/>
                              </a:xfrm>
                              <a:prstGeom prst="rect">
                                <a:avLst/>
                              </a:prstGeom>
                              <a:solidFill>
                                <a:schemeClr val="bg1"/>
                              </a:solidFill>
                              <a:ln w="9525">
                                <a:noFill/>
                                <a:miter lim="800000"/>
                                <a:headEnd/>
                                <a:tailEnd/>
                              </a:ln>
                            </wps:spPr>
                            <wps:txbx>
                              <w:txbxContent>
                                <w:p w14:paraId="6F1FE10F" w14:textId="77777777" w:rsidR="00756EAD" w:rsidRPr="006E2E27" w:rsidRDefault="00756EAD" w:rsidP="00D80461">
                                  <w:pPr>
                                    <w:spacing w:before="0"/>
                                    <w:jc w:val="center"/>
                                    <w:rPr>
                                      <w:sz w:val="10"/>
                                      <w:szCs w:val="10"/>
                                    </w:rPr>
                                  </w:pPr>
                                  <w:r w:rsidRPr="006E2E27">
                                    <w:rPr>
                                      <w:sz w:val="10"/>
                                      <w:szCs w:val="10"/>
                                    </w:rPr>
                                    <w:t>Europe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0848" id="_x0000_s1096" type="#_x0000_t202" style="position:absolute;margin-left:7.5pt;margin-top:104.5pt;width:16.25pt;height:9.1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" fillcolor="white [3212]" stroked="f">
                      <v:textbox inset="0,0,0,0">
                        <w:txbxContent>
                          <w:p w14:paraId="6F1FE10F" w14:textId="77777777" w:rsidR="00756EAD" w:rsidRPr="006E2E27" w:rsidRDefault="00756EAD" w:rsidP="00D80461">
                            <w:pPr>
                              <w:spacing w:before="0"/>
                              <w:jc w:val="center"/>
                              <w:rPr>
                                <w:sz w:val="10"/>
                                <w:szCs w:val="10"/>
                              </w:rPr>
                            </w:pPr>
                            <w:r w:rsidRPr="006E2E27">
                              <w:rPr>
                                <w:sz w:val="10"/>
                                <w:szCs w:val="10"/>
                              </w:rPr>
                              <w:t>Europe</w:t>
                            </w:r>
                          </w:p>
                        </w:txbxContent>
                      </v:textbox>
                    </v:shape>
                  </w:pict>
                </mc:Fallback>
              </mc:AlternateContent>
            </w:r>
            <w:r w:rsidRPr="00F05A8A">
              <w:rPr>
                <w:b/>
                <w:bCs/>
                <w:szCs w:val="24"/>
                <w:lang w:eastAsia="fr-FR"/>
              </w:rPr>
              <mc:AlternateContent>
                <mc:Choice Requires="wps">
                  <w:drawing>
                    <wp:anchor distT="0" distB="0" distL="114300" distR="114300" simplePos="0" relativeHeight="251676672" behindDoc="0" locked="0" layoutInCell="1" allowOverlap="1" wp14:anchorId="44EF08EB" wp14:editId="2135EF66">
                      <wp:simplePos x="0" y="0"/>
                      <wp:positionH relativeFrom="column">
                        <wp:posOffset>0</wp:posOffset>
                      </wp:positionH>
                      <wp:positionV relativeFrom="paragraph">
                        <wp:posOffset>1662430</wp:posOffset>
                      </wp:positionV>
                      <wp:extent cx="368300" cy="83185"/>
                      <wp:effectExtent l="9207" t="0" r="2858" b="2857"/>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8300" cy="83185"/>
                              </a:xfrm>
                              <a:prstGeom prst="rect">
                                <a:avLst/>
                              </a:prstGeom>
                              <a:solidFill>
                                <a:schemeClr val="bg1"/>
                              </a:solidFill>
                              <a:ln w="9525">
                                <a:noFill/>
                                <a:miter lim="800000"/>
                                <a:headEnd/>
                                <a:tailEnd/>
                              </a:ln>
                            </wps:spPr>
                            <wps:txbx>
                              <w:txbxContent>
                                <w:p w14:paraId="56D036CC" w14:textId="77777777" w:rsidR="00756EAD" w:rsidRPr="006E2E27" w:rsidRDefault="00756EAD" w:rsidP="00D80461">
                                  <w:pPr>
                                    <w:spacing w:before="0"/>
                                    <w:jc w:val="center"/>
                                    <w:rPr>
                                      <w:sz w:val="10"/>
                                      <w:szCs w:val="10"/>
                                    </w:rPr>
                                  </w:pPr>
                                  <w:r w:rsidRPr="006E2E27">
                                    <w:rPr>
                                      <w:sz w:val="10"/>
                                      <w:szCs w:val="10"/>
                                    </w:rPr>
                                    <w:t>Océanie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F08EB" id="_x0000_s1097" type="#_x0000_t202" style="position:absolute;margin-left:0;margin-top:130.9pt;width:29pt;height:6.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" fillcolor="white [3212]" stroked="f">
                      <v:textbox inset="0,0,0,0">
                        <w:txbxContent>
                          <w:p w14:paraId="56D036CC" w14:textId="77777777" w:rsidR="00756EAD" w:rsidRPr="006E2E27" w:rsidRDefault="00756EAD" w:rsidP="00D80461">
                            <w:pPr>
                              <w:spacing w:before="0"/>
                              <w:jc w:val="center"/>
                              <w:rPr>
                                <w:sz w:val="10"/>
                                <w:szCs w:val="10"/>
                              </w:rPr>
                            </w:pPr>
                            <w:r w:rsidRPr="006E2E27">
                              <w:rPr>
                                <w:sz w:val="10"/>
                                <w:szCs w:val="10"/>
                              </w:rPr>
                              <w:t>Océanie</w:t>
                            </w:r>
                          </w:p>
                        </w:txbxContent>
                      </v:textbox>
                    </v:shape>
                  </w:pict>
                </mc:Fallback>
              </mc:AlternateContent>
            </w:r>
            <w:r w:rsidRPr="00F05A8A">
              <w:rPr>
                <w:b/>
                <w:bCs/>
                <w:szCs w:val="24"/>
                <w:lang w:eastAsia="fr-FR"/>
              </w:rPr>
              <mc:AlternateContent>
                <mc:Choice Requires="wps">
                  <w:drawing>
                    <wp:anchor distT="0" distB="0" distL="114300" distR="114300" simplePos="0" relativeHeight="251670528" behindDoc="0" locked="0" layoutInCell="1" allowOverlap="1" wp14:anchorId="2D2DCF3B" wp14:editId="5173E698">
                      <wp:simplePos x="0" y="0"/>
                      <wp:positionH relativeFrom="column">
                        <wp:posOffset>101600</wp:posOffset>
                      </wp:positionH>
                      <wp:positionV relativeFrom="paragraph">
                        <wp:posOffset>1894205</wp:posOffset>
                      </wp:positionV>
                      <wp:extent cx="2585720" cy="129540"/>
                      <wp:effectExtent l="0" t="0" r="5080" b="38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29540"/>
                              </a:xfrm>
                              <a:prstGeom prst="rect">
                                <a:avLst/>
                              </a:prstGeom>
                              <a:solidFill>
                                <a:schemeClr val="bg1"/>
                              </a:solidFill>
                              <a:ln w="9525">
                                <a:noFill/>
                                <a:miter lim="800000"/>
                                <a:headEnd/>
                                <a:tailEnd/>
                              </a:ln>
                            </wps:spPr>
                            <wps:txbx>
                              <w:txbxContent>
                                <w:p w14:paraId="17FD97C5" w14:textId="77777777" w:rsidR="00756EAD" w:rsidRPr="004B4E08" w:rsidRDefault="00756EAD" w:rsidP="00D80461">
                                  <w:pPr>
                                    <w:spacing w:before="0"/>
                                    <w:rPr>
                                      <w:sz w:val="12"/>
                                      <w:szCs w:val="12"/>
                                    </w:rPr>
                                  </w:pPr>
                                  <w:r w:rsidRPr="004B4E08">
                                    <w:rPr>
                                      <w:bCs/>
                                      <w:color w:val="00B0F0"/>
                                      <w:sz w:val="12"/>
                                      <w:szCs w:val="12"/>
                                    </w:rPr>
                                    <w:t>Source</w:t>
                                  </w:r>
                                  <w:r w:rsidRPr="004B4E08">
                                    <w:rPr>
                                      <w:bCs/>
                                      <w:sz w:val="12"/>
                                      <w:szCs w:val="12"/>
                                    </w:rPr>
                                    <w:t>: Études des Nations Unies sur l</w:t>
                                  </w:r>
                                  <w:r>
                                    <w:rPr>
                                      <w:bCs/>
                                      <w:sz w:val="12"/>
                                      <w:szCs w:val="12"/>
                                    </w:rPr>
                                    <w:t>'</w:t>
                                  </w:r>
                                  <w:r w:rsidRPr="004B4E08">
                                    <w:rPr>
                                      <w:bCs/>
                                      <w:sz w:val="12"/>
                                      <w:szCs w:val="12"/>
                                    </w:rPr>
                                    <w:t>administration en ligne (2016, 2018 et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DCF3B" id="_x0000_s1098" type="#_x0000_t202" style="position:absolute;margin-left:8pt;margin-top:149.15pt;width:203.6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" fillcolor="white [3212]" stroked="f">
                      <v:textbox inset="0,0,0,0">
                        <w:txbxContent>
                          <w:p w14:paraId="17FD97C5" w14:textId="77777777" w:rsidR="00756EAD" w:rsidRPr="004B4E08" w:rsidRDefault="00756EAD" w:rsidP="00D80461">
                            <w:pPr>
                              <w:spacing w:before="0"/>
                              <w:rPr>
                                <w:sz w:val="12"/>
                                <w:szCs w:val="12"/>
                              </w:rPr>
                            </w:pPr>
                            <w:r w:rsidRPr="004B4E08">
                              <w:rPr>
                                <w:bCs/>
                                <w:color w:val="00B0F0"/>
                                <w:sz w:val="12"/>
                                <w:szCs w:val="12"/>
                              </w:rPr>
                              <w:t>Source</w:t>
                            </w:r>
                            <w:r w:rsidRPr="004B4E08">
                              <w:rPr>
                                <w:bCs/>
                                <w:sz w:val="12"/>
                                <w:szCs w:val="12"/>
                              </w:rPr>
                              <w:t>: Études des Nations Unies sur l</w:t>
                            </w:r>
                            <w:r>
                              <w:rPr>
                                <w:bCs/>
                                <w:sz w:val="12"/>
                                <w:szCs w:val="12"/>
                              </w:rPr>
                              <w:t>'</w:t>
                            </w:r>
                            <w:r w:rsidRPr="004B4E08">
                              <w:rPr>
                                <w:bCs/>
                                <w:sz w:val="12"/>
                                <w:szCs w:val="12"/>
                              </w:rPr>
                              <w:t>administration en ligne (2016, 2018 et 2020)</w:t>
                            </w:r>
                          </w:p>
                        </w:txbxContent>
                      </v:textbox>
                    </v:shape>
                  </w:pict>
                </mc:Fallback>
              </mc:AlternateContent>
            </w:r>
            <w:r w:rsidRPr="00F05A8A">
              <w:rPr>
                <w:b/>
                <w:bCs/>
                <w:szCs w:val="24"/>
                <w:lang w:eastAsia="fr-FR"/>
              </w:rPr>
              <mc:AlternateContent>
                <mc:Choice Requires="wps">
                  <w:drawing>
                    <wp:anchor distT="0" distB="0" distL="114300" distR="114300" simplePos="0" relativeHeight="251669504" behindDoc="0" locked="0" layoutInCell="1" allowOverlap="1" wp14:anchorId="66623F17" wp14:editId="621B4872">
                      <wp:simplePos x="0" y="0"/>
                      <wp:positionH relativeFrom="column">
                        <wp:posOffset>87630</wp:posOffset>
                      </wp:positionH>
                      <wp:positionV relativeFrom="paragraph">
                        <wp:posOffset>24765</wp:posOffset>
                      </wp:positionV>
                      <wp:extent cx="2708275" cy="1905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90500"/>
                              </a:xfrm>
                              <a:prstGeom prst="rect">
                                <a:avLst/>
                              </a:prstGeom>
                              <a:solidFill>
                                <a:schemeClr val="bg1"/>
                              </a:solidFill>
                              <a:ln w="9525">
                                <a:noFill/>
                                <a:miter lim="800000"/>
                                <a:headEnd/>
                                <a:tailEnd/>
                              </a:ln>
                            </wps:spPr>
                            <wps:txbx>
                              <w:txbxContent>
                                <w:p w14:paraId="778583BD" w14:textId="77777777" w:rsidR="00756EAD" w:rsidRPr="004B4E08" w:rsidRDefault="00756EAD" w:rsidP="00D80461">
                                  <w:pPr>
                                    <w:spacing w:before="0"/>
                                    <w:rPr>
                                      <w:sz w:val="14"/>
                                      <w:szCs w:val="14"/>
                                    </w:rPr>
                                  </w:pPr>
                                  <w:r w:rsidRPr="004B4E08">
                                    <w:rPr>
                                      <w:bCs/>
                                      <w:sz w:val="14"/>
                                      <w:szCs w:val="14"/>
                                    </w:rPr>
                                    <w:t>Répartition régionale des pays par niveau EGDI, 2016, 2018 et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23F17" id="_x0000_s1099" type="#_x0000_t202" style="position:absolute;margin-left:6.9pt;margin-top:1.95pt;width:213.2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" fillcolor="white [3212]" stroked="f">
                      <v:textbox inset="0,0,0,0">
                        <w:txbxContent>
                          <w:p w14:paraId="778583BD" w14:textId="77777777" w:rsidR="00756EAD" w:rsidRPr="004B4E08" w:rsidRDefault="00756EAD" w:rsidP="00D80461">
                            <w:pPr>
                              <w:spacing w:before="0"/>
                              <w:rPr>
                                <w:sz w:val="14"/>
                                <w:szCs w:val="14"/>
                              </w:rPr>
                            </w:pPr>
                            <w:r w:rsidRPr="004B4E08">
                              <w:rPr>
                                <w:bCs/>
                                <w:sz w:val="14"/>
                                <w:szCs w:val="14"/>
                              </w:rPr>
                              <w:t>Répartition régionale des pays par niveau EGDI, 2016, 2018 et 2020</w:t>
                            </w:r>
                          </w:p>
                        </w:txbxContent>
                      </v:textbox>
                    </v:shape>
                  </w:pict>
                </mc:Fallback>
              </mc:AlternateContent>
            </w:r>
            <w:r w:rsidRPr="00F05A8A">
              <w:rPr>
                <w:lang w:eastAsia="fr-FR"/>
              </w:rPr>
              <w:drawing>
                <wp:inline distT="0" distB="0" distL="0" distR="0" wp14:anchorId="4BB71741" wp14:editId="4A03EA49">
                  <wp:extent cx="2771758" cy="2009571"/>
                  <wp:effectExtent l="0" t="0" r="0" b="0"/>
                  <wp:docPr id="1837948298" name="Picture 18379482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98" name="Picture 1837948298" descr="Chart, bar chart&#10;&#10;Description automatically generated"/>
                          <pic:cNvPicPr/>
                        </pic:nvPicPr>
                        <pic:blipFill>
                          <a:blip r:embed="rId390"/>
                          <a:stretch>
                            <a:fillRect/>
                          </a:stretch>
                        </pic:blipFill>
                        <pic:spPr>
                          <a:xfrm>
                            <a:off x="0" y="0"/>
                            <a:ext cx="2777082" cy="2013431"/>
                          </a:xfrm>
                          <a:prstGeom prst="rect">
                            <a:avLst/>
                          </a:prstGeom>
                        </pic:spPr>
                      </pic:pic>
                    </a:graphicData>
                  </a:graphic>
                </wp:inline>
              </w:drawing>
            </w:r>
          </w:p>
        </w:tc>
      </w:tr>
      <w:tr w:rsidR="00D80461" w:rsidRPr="00F05A8A" w14:paraId="2036519D" w14:textId="77777777" w:rsidTr="00142C01">
        <w:trPr>
          <w:gridAfter w:val="1"/>
          <w:wAfter w:w="10" w:type="dxa"/>
          <w:jc w:val="center"/>
        </w:trPr>
        <w:tc>
          <w:tcPr>
            <w:tcW w:w="4814" w:type="dxa"/>
            <w:vAlign w:val="center"/>
          </w:tcPr>
          <w:p w14:paraId="0462F04E" w14:textId="77777777" w:rsidR="00D80461" w:rsidRPr="00F05A8A" w:rsidRDefault="00D80461" w:rsidP="002F075E">
            <w:pPr>
              <w:spacing w:after="120"/>
              <w:rPr>
                <w:b/>
                <w:bCs/>
                <w:sz w:val="20"/>
              </w:rPr>
            </w:pPr>
            <w:bookmarkStart w:id="538" w:name="_3.1.2_But_2"/>
            <w:bookmarkEnd w:id="538"/>
          </w:p>
        </w:tc>
        <w:tc>
          <w:tcPr>
            <w:tcW w:w="4815" w:type="dxa"/>
            <w:gridSpan w:val="2"/>
            <w:vAlign w:val="center"/>
          </w:tcPr>
          <w:p w14:paraId="62A99E99" w14:textId="77777777" w:rsidR="00D80461" w:rsidRPr="00F05A8A" w:rsidRDefault="00D80461" w:rsidP="002F075E">
            <w:pPr>
              <w:spacing w:after="120"/>
              <w:rPr>
                <w:b/>
                <w:bCs/>
                <w:sz w:val="20"/>
              </w:rPr>
            </w:pPr>
          </w:p>
        </w:tc>
      </w:tr>
      <w:tr w:rsidR="00D80461" w:rsidRPr="00F05A8A" w14:paraId="03B7D0A6" w14:textId="77777777" w:rsidTr="00142C01">
        <w:trPr>
          <w:jc w:val="center"/>
        </w:trPr>
        <w:tc>
          <w:tcPr>
            <w:tcW w:w="5120" w:type="dxa"/>
            <w:gridSpan w:val="2"/>
            <w:shd w:val="clear" w:color="auto" w:fill="FFFFFF" w:themeFill="background1"/>
            <w:vAlign w:val="center"/>
          </w:tcPr>
          <w:p w14:paraId="5EE5BB71" w14:textId="77777777" w:rsidR="00D80461" w:rsidRPr="00F05A8A" w:rsidRDefault="00D80461" w:rsidP="002F075E">
            <w:pPr>
              <w:keepNext/>
              <w:spacing w:after="120"/>
              <w:jc w:val="center"/>
              <w:rPr>
                <w:rFonts w:eastAsia="Calibri"/>
              </w:rPr>
            </w:pPr>
            <w:r w:rsidRPr="00F05A8A">
              <w:rPr>
                <w:b/>
                <w:bCs/>
              </w:rPr>
              <w:lastRenderedPageBreak/>
              <w:t>Cible 2.7</w:t>
            </w:r>
          </w:p>
        </w:tc>
        <w:tc>
          <w:tcPr>
            <w:tcW w:w="4519" w:type="dxa"/>
            <w:gridSpan w:val="2"/>
            <w:shd w:val="clear" w:color="auto" w:fill="FFFFFF" w:themeFill="background1"/>
            <w:vAlign w:val="center"/>
          </w:tcPr>
          <w:p w14:paraId="2E54BBDD" w14:textId="77777777" w:rsidR="00D80461" w:rsidRPr="00F05A8A" w:rsidRDefault="00D80461" w:rsidP="002F075E">
            <w:pPr>
              <w:spacing w:after="120"/>
              <w:jc w:val="center"/>
              <w:rPr>
                <w:rFonts w:eastAsia="Calibri"/>
              </w:rPr>
            </w:pPr>
          </w:p>
        </w:tc>
      </w:tr>
      <w:tr w:rsidR="00D80461" w:rsidRPr="00F05A8A" w14:paraId="3747C265" w14:textId="77777777" w:rsidTr="00142C01">
        <w:trPr>
          <w:jc w:val="center"/>
        </w:trPr>
        <w:tc>
          <w:tcPr>
            <w:tcW w:w="5120" w:type="dxa"/>
            <w:gridSpan w:val="2"/>
            <w:vAlign w:val="center"/>
          </w:tcPr>
          <w:p w14:paraId="3DCC2F18" w14:textId="4ED696F3" w:rsidR="00D80461" w:rsidRPr="00F05A8A" w:rsidRDefault="00D80461" w:rsidP="002F075E">
            <w:pPr>
              <w:keepNext/>
              <w:jc w:val="center"/>
              <w:rPr>
                <w:b/>
                <w:bCs/>
              </w:rPr>
            </w:pPr>
            <w:r w:rsidRPr="00F05A8A">
              <w:rPr>
                <w:b/>
                <w:bCs/>
                <w:lang w:eastAsia="fr-FR"/>
              </w:rPr>
              <w:drawing>
                <wp:inline distT="0" distB="0" distL="0" distR="0" wp14:anchorId="133FCBE9" wp14:editId="117E77DF">
                  <wp:extent cx="3114614" cy="1828800"/>
                  <wp:effectExtent l="0" t="0" r="0" b="0"/>
                  <wp:docPr id="1802487813" name="Picture 18024878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3" name="Picture 1802487813" descr="Chart, bar chart&#10;&#10;Description automatically generated"/>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133453" cy="1839862"/>
                          </a:xfrm>
                          <a:prstGeom prst="rect">
                            <a:avLst/>
                          </a:prstGeom>
                          <a:noFill/>
                        </pic:spPr>
                      </pic:pic>
                    </a:graphicData>
                  </a:graphic>
                </wp:inline>
              </w:drawing>
            </w:r>
            <w:r w:rsidR="00CF5980" w:rsidRPr="00F05A8A">
              <w:rPr>
                <w:b/>
                <w:bCs/>
                <w:szCs w:val="24"/>
              </w:rPr>
              <w:t xml:space="preserve"> </w:t>
            </w:r>
          </w:p>
        </w:tc>
        <w:tc>
          <w:tcPr>
            <w:tcW w:w="4519" w:type="dxa"/>
            <w:gridSpan w:val="2"/>
            <w:vAlign w:val="center"/>
          </w:tcPr>
          <w:p w14:paraId="5D378DCC" w14:textId="77777777" w:rsidR="00D80461" w:rsidRPr="00F05A8A" w:rsidRDefault="00D80461" w:rsidP="002F075E">
            <w:pPr>
              <w:jc w:val="center"/>
              <w:rPr>
                <w:b/>
                <w:bCs/>
              </w:rPr>
            </w:pPr>
          </w:p>
        </w:tc>
      </w:tr>
      <w:tr w:rsidR="00D80461" w:rsidRPr="00F05A8A" w14:paraId="4BE16C08" w14:textId="77777777" w:rsidTr="00142C01">
        <w:trPr>
          <w:jc w:val="center"/>
        </w:trPr>
        <w:tc>
          <w:tcPr>
            <w:tcW w:w="5120" w:type="dxa"/>
            <w:gridSpan w:val="2"/>
            <w:vAlign w:val="center"/>
          </w:tcPr>
          <w:p w14:paraId="56F97D1F" w14:textId="77777777" w:rsidR="00D80461" w:rsidRPr="00F05A8A" w:rsidRDefault="00D80461" w:rsidP="002F075E">
            <w:pPr>
              <w:spacing w:after="120"/>
              <w:rPr>
                <w:b/>
                <w:bCs/>
                <w:sz w:val="20"/>
              </w:rPr>
            </w:pPr>
          </w:p>
        </w:tc>
        <w:tc>
          <w:tcPr>
            <w:tcW w:w="4519" w:type="dxa"/>
            <w:gridSpan w:val="2"/>
            <w:vAlign w:val="center"/>
          </w:tcPr>
          <w:p w14:paraId="3C4205B3" w14:textId="77777777" w:rsidR="00D80461" w:rsidRPr="00F05A8A" w:rsidRDefault="00D80461" w:rsidP="002F075E">
            <w:pPr>
              <w:spacing w:after="120"/>
              <w:rPr>
                <w:b/>
                <w:bCs/>
                <w:sz w:val="20"/>
              </w:rPr>
            </w:pPr>
            <w:r w:rsidRPr="00F05A8A">
              <w:rPr>
                <w:b/>
                <w:bCs/>
                <w:szCs w:val="24"/>
              </w:rPr>
              <w:t xml:space="preserve"> </w:t>
            </w:r>
          </w:p>
        </w:tc>
      </w:tr>
    </w:tbl>
    <w:p w14:paraId="21FA5E1A" w14:textId="77777777" w:rsidR="00D80461" w:rsidRPr="00F05A8A" w:rsidRDefault="00D80461" w:rsidP="002F075E">
      <w:r w:rsidRPr="00F05A8A">
        <w:rPr>
          <w:sz w:val="2"/>
          <w:szCs w:val="2"/>
          <w:lang w:eastAsia="fr-FR"/>
        </w:rPr>
        <mc:AlternateContent>
          <mc:Choice Requires="wps">
            <w:drawing>
              <wp:anchor distT="0" distB="0" distL="114300" distR="114300" simplePos="0" relativeHeight="251756544" behindDoc="0" locked="0" layoutInCell="1" allowOverlap="1" wp14:anchorId="3BC971C4" wp14:editId="3A1E382E">
                <wp:simplePos x="0" y="0"/>
                <wp:positionH relativeFrom="column">
                  <wp:posOffset>1313815</wp:posOffset>
                </wp:positionH>
                <wp:positionV relativeFrom="paragraph">
                  <wp:posOffset>6026150</wp:posOffset>
                </wp:positionV>
                <wp:extent cx="4782820" cy="332740"/>
                <wp:effectExtent l="0" t="0" r="0" b="0"/>
                <wp:wrapNone/>
                <wp:docPr id="1257977733" name="Text Box 1257977733"/>
                <wp:cNvGraphicFramePr/>
                <a:graphic xmlns:a="http://schemas.openxmlformats.org/drawingml/2006/main">
                  <a:graphicData uri="http://schemas.microsoft.com/office/word/2010/wordprocessingShape">
                    <wps:wsp>
                      <wps:cNvSpPr txBox="1"/>
                      <wps:spPr>
                        <a:xfrm>
                          <a:off x="0" y="0"/>
                          <a:ext cx="4782820" cy="332740"/>
                        </a:xfrm>
                        <a:prstGeom prst="rect">
                          <a:avLst/>
                        </a:prstGeom>
                        <a:solidFill>
                          <a:schemeClr val="lt1"/>
                        </a:solidFill>
                        <a:ln w="6350">
                          <a:noFill/>
                        </a:ln>
                      </wps:spPr>
                      <wps:txbx>
                        <w:txbxContent>
                          <w:p w14:paraId="42940D46" w14:textId="77777777" w:rsidR="00756EAD" w:rsidRPr="00E602D7" w:rsidRDefault="00756EAD" w:rsidP="00D80461">
                            <w:pPr>
                              <w:spacing w:before="0"/>
                              <w:rPr>
                                <w:sz w:val="12"/>
                                <w:szCs w:val="12"/>
                              </w:rPr>
                            </w:pPr>
                            <w:r w:rsidRPr="00E602D7">
                              <w:rPr>
                                <w:b/>
                                <w:bCs/>
                                <w:noProof/>
                                <w:sz w:val="12"/>
                                <w:szCs w:val="12"/>
                                <w:lang w:eastAsia="en-GB"/>
                              </w:rPr>
                              <w:t>Note</w:t>
                            </w:r>
                            <w:r>
                              <w:rPr>
                                <w:noProof/>
                                <w:sz w:val="12"/>
                                <w:szCs w:val="12"/>
                                <w:lang w:eastAsia="en-GB"/>
                              </w:rPr>
                              <w:t>: L</w:t>
                            </w:r>
                            <w:r w:rsidRPr="00E602D7">
                              <w:rPr>
                                <w:noProof/>
                                <w:sz w:val="12"/>
                                <w:szCs w:val="12"/>
                                <w:lang w:eastAsia="en-GB"/>
                              </w:rPr>
                              <w:t>a</w:t>
                            </w:r>
                            <w:r w:rsidRPr="007127F5">
                              <w:rPr>
                                <w:noProof/>
                                <w:sz w:val="7"/>
                                <w:szCs w:val="7"/>
                                <w:lang w:eastAsia="en-GB"/>
                              </w:rPr>
                              <w:t xml:space="preserve"> </w:t>
                            </w:r>
                            <w:r w:rsidRPr="00E602D7">
                              <w:rPr>
                                <w:noProof/>
                                <w:sz w:val="12"/>
                                <w:szCs w:val="12"/>
                                <w:lang w:eastAsia="en-GB"/>
                              </w:rPr>
                              <w:t>note de parité des sexes est calculée comme la proportion de femmes qui utilisent Internet divisée par la proportion d'hommes. Une valeur inférieure à 1 indique que les hommes sont plus susceptibles d'utiliser Internet que les femmes, tandis qu'une valeur supérieure à 1 indique le contraire. Les valeurs comprises entre 0,98 et 1,02 correspondent à une parité hommes/femmes.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71C4" id="Text Box 1257977733" o:spid="_x0000_s1100" type="#_x0000_t202" style="position:absolute;margin-left:103.45pt;margin-top:474.5pt;width:376.6pt;height:26.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" fillcolor="white [3201]" stroked="f" strokeweight=".5pt">
                <v:textbox inset="0,0,0,0">
                  <w:txbxContent>
                    <w:p w14:paraId="42940D46" w14:textId="77777777" w:rsidR="00756EAD" w:rsidRPr="00E602D7" w:rsidRDefault="00756EAD" w:rsidP="00D80461">
                      <w:pPr>
                        <w:spacing w:before="0"/>
                        <w:rPr>
                          <w:sz w:val="12"/>
                          <w:szCs w:val="12"/>
                        </w:rPr>
                      </w:pPr>
                      <w:r w:rsidRPr="00E602D7">
                        <w:rPr>
                          <w:b/>
                          <w:bCs/>
                          <w:noProof/>
                          <w:sz w:val="12"/>
                          <w:szCs w:val="12"/>
                          <w:lang w:eastAsia="en-GB"/>
                        </w:rPr>
                        <w:t>Note</w:t>
                      </w:r>
                      <w:r>
                        <w:rPr>
                          <w:noProof/>
                          <w:sz w:val="12"/>
                          <w:szCs w:val="12"/>
                          <w:lang w:eastAsia="en-GB"/>
                        </w:rPr>
                        <w:t>: L</w:t>
                      </w:r>
                      <w:r w:rsidRPr="00E602D7">
                        <w:rPr>
                          <w:noProof/>
                          <w:sz w:val="12"/>
                          <w:szCs w:val="12"/>
                          <w:lang w:eastAsia="en-GB"/>
                        </w:rPr>
                        <w:t>a</w:t>
                      </w:r>
                      <w:r w:rsidRPr="007127F5">
                        <w:rPr>
                          <w:noProof/>
                          <w:sz w:val="7"/>
                          <w:szCs w:val="7"/>
                          <w:lang w:eastAsia="en-GB"/>
                        </w:rPr>
                        <w:t xml:space="preserve"> </w:t>
                      </w:r>
                      <w:r w:rsidRPr="00E602D7">
                        <w:rPr>
                          <w:noProof/>
                          <w:sz w:val="12"/>
                          <w:szCs w:val="12"/>
                          <w:lang w:eastAsia="en-GB"/>
                        </w:rPr>
                        <w:t>note de parité des sexes est calculée comme la proportion de femmes qui utilisent Internet divisée par la proportion d'hommes. Une valeur inférieure à 1 indique que les hommes sont plus susceptibles d'utiliser Internet que les femmes, tandis qu'une valeur supérieure à 1 indique le contraire. Les valeurs comprises entre 0,98 et 1,02 correspondent à une parité hommes/femmes.</w:t>
                      </w:r>
                    </w:p>
                  </w:txbxContent>
                </v:textbox>
              </v:shape>
            </w:pict>
          </mc:Fallback>
        </mc:AlternateContent>
      </w:r>
    </w:p>
    <w:tbl>
      <w:tblPr>
        <w:tblW w:w="0" w:type="auto"/>
        <w:jc w:val="center"/>
        <w:tblLook w:val="04A0" w:firstRow="1" w:lastRow="0" w:firstColumn="1" w:lastColumn="0" w:noHBand="0" w:noVBand="1"/>
      </w:tblPr>
      <w:tblGrid>
        <w:gridCol w:w="4527"/>
        <w:gridCol w:w="5118"/>
      </w:tblGrid>
      <w:tr w:rsidR="00D80461" w:rsidRPr="00F05A8A" w14:paraId="10F190AE" w14:textId="77777777" w:rsidTr="00142C01">
        <w:trPr>
          <w:jc w:val="center"/>
        </w:trPr>
        <w:tc>
          <w:tcPr>
            <w:tcW w:w="9639" w:type="dxa"/>
            <w:gridSpan w:val="2"/>
            <w:shd w:val="clear" w:color="auto" w:fill="FFFFFF" w:themeFill="background1"/>
            <w:vAlign w:val="center"/>
          </w:tcPr>
          <w:p w14:paraId="1CF8D434" w14:textId="77777777" w:rsidR="00D80461" w:rsidRPr="00F05A8A" w:rsidRDefault="00D80461" w:rsidP="002F075E">
            <w:pPr>
              <w:spacing w:after="120"/>
              <w:jc w:val="center"/>
              <w:rPr>
                <w:rFonts w:eastAsia="Calibri"/>
              </w:rPr>
            </w:pPr>
            <w:r w:rsidRPr="00F05A8A">
              <w:rPr>
                <w:b/>
                <w:bCs/>
              </w:rPr>
              <w:t>Cible 2.8</w:t>
            </w:r>
          </w:p>
        </w:tc>
      </w:tr>
      <w:tr w:rsidR="00D80461" w:rsidRPr="00F05A8A" w14:paraId="66DE9928" w14:textId="77777777" w:rsidTr="00142C01">
        <w:trPr>
          <w:jc w:val="center"/>
        </w:trPr>
        <w:tc>
          <w:tcPr>
            <w:tcW w:w="4524" w:type="dxa"/>
            <w:vAlign w:val="center"/>
          </w:tcPr>
          <w:p w14:paraId="1E48291F" w14:textId="77777777" w:rsidR="00D80461" w:rsidRPr="00F05A8A" w:rsidRDefault="00D80461" w:rsidP="002F075E">
            <w:pPr>
              <w:spacing w:after="240"/>
              <w:jc w:val="center"/>
            </w:pPr>
            <w:r w:rsidRPr="00F05A8A">
              <w:rPr>
                <w:lang w:eastAsia="fr-FR"/>
              </w:rPr>
              <mc:AlternateContent>
                <mc:Choice Requires="wps">
                  <w:drawing>
                    <wp:anchor distT="0" distB="0" distL="114300" distR="114300" simplePos="0" relativeHeight="251737088" behindDoc="0" locked="0" layoutInCell="1" allowOverlap="1" wp14:anchorId="345E1D98" wp14:editId="19A224BE">
                      <wp:simplePos x="0" y="0"/>
                      <wp:positionH relativeFrom="column">
                        <wp:posOffset>400050</wp:posOffset>
                      </wp:positionH>
                      <wp:positionV relativeFrom="paragraph">
                        <wp:posOffset>2115820</wp:posOffset>
                      </wp:positionV>
                      <wp:extent cx="1112520" cy="12636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1112520" cy="126365"/>
                              </a:xfrm>
                              <a:prstGeom prst="rect">
                                <a:avLst/>
                              </a:prstGeom>
                              <a:solidFill>
                                <a:schemeClr val="lt1"/>
                              </a:solidFill>
                              <a:ln w="6350">
                                <a:noFill/>
                              </a:ln>
                            </wps:spPr>
                            <wps:txbx>
                              <w:txbxContent>
                                <w:p w14:paraId="2EBDAAF9" w14:textId="77777777" w:rsidR="00756EAD" w:rsidRPr="00AC4799" w:rsidRDefault="00756EAD" w:rsidP="00D80461">
                                  <w:pPr>
                                    <w:spacing w:before="0"/>
                                    <w:rPr>
                                      <w:sz w:val="12"/>
                                      <w:szCs w:val="12"/>
                                    </w:rPr>
                                  </w:pPr>
                                  <w:r w:rsidRPr="00AC4799">
                                    <w:rPr>
                                      <w:sz w:val="12"/>
                                      <w:szCs w:val="12"/>
                                    </w:rPr>
                                    <w:t>Source: UIT</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1D98" id="Text Box 3" o:spid="_x0000_s1101" type="#_x0000_t202" style="position:absolute;left:0;text-align:left;margin-left:31.5pt;margin-top:166.6pt;width:87.6pt;height: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" fillcolor="white [3201]" stroked="f" strokeweight=".5pt">
                      <v:textbox inset="0,0,0,0">
                        <w:txbxContent>
                          <w:p w14:paraId="2EBDAAF9" w14:textId="77777777" w:rsidR="00756EAD" w:rsidRPr="00AC4799" w:rsidRDefault="00756EAD" w:rsidP="00D80461">
                            <w:pPr>
                              <w:spacing w:before="0"/>
                              <w:rPr>
                                <w:sz w:val="12"/>
                                <w:szCs w:val="12"/>
                              </w:rPr>
                            </w:pPr>
                            <w:r w:rsidRPr="00AC4799">
                              <w:rPr>
                                <w:sz w:val="12"/>
                                <w:szCs w:val="12"/>
                              </w:rPr>
                              <w:t>Source: UIT</w:t>
                            </w:r>
                            <w:r>
                              <w:rPr>
                                <w:sz w:val="12"/>
                                <w:szCs w:val="12"/>
                              </w:rPr>
                              <w:t>.</w:t>
                            </w:r>
                          </w:p>
                        </w:txbxContent>
                      </v:textbox>
                    </v:shape>
                  </w:pict>
                </mc:Fallback>
              </mc:AlternateContent>
            </w:r>
            <w:r w:rsidRPr="00F05A8A">
              <w:rPr>
                <w:highlight w:val="green"/>
                <w:lang w:eastAsia="fr-FR"/>
              </w:rPr>
              <mc:AlternateContent>
                <mc:Choice Requires="wps">
                  <w:drawing>
                    <wp:anchor distT="45720" distB="45720" distL="114300" distR="114300" simplePos="0" relativeHeight="251866112" behindDoc="0" locked="0" layoutInCell="1" allowOverlap="1" wp14:anchorId="7C683C4D" wp14:editId="45DE476A">
                      <wp:simplePos x="0" y="0"/>
                      <wp:positionH relativeFrom="margin">
                        <wp:posOffset>1590675</wp:posOffset>
                      </wp:positionH>
                      <wp:positionV relativeFrom="paragraph">
                        <wp:posOffset>596900</wp:posOffset>
                      </wp:positionV>
                      <wp:extent cx="1183640" cy="768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76835"/>
                              </a:xfrm>
                              <a:prstGeom prst="rect">
                                <a:avLst/>
                              </a:prstGeom>
                              <a:solidFill>
                                <a:schemeClr val="bg1"/>
                              </a:solidFill>
                              <a:ln w="9525">
                                <a:noFill/>
                                <a:miter lim="800000"/>
                                <a:headEnd/>
                                <a:tailEnd/>
                              </a:ln>
                            </wps:spPr>
                            <wps:txbx>
                              <w:txbxContent>
                                <w:p w14:paraId="7EC0485B" w14:textId="77777777" w:rsidR="00756EAD" w:rsidRPr="00524289" w:rsidRDefault="00756EAD" w:rsidP="00D80461">
                                  <w:pPr>
                                    <w:spacing w:before="0"/>
                                    <w:ind w:left="-142" w:right="-227"/>
                                    <w:rPr>
                                      <w:sz w:val="8"/>
                                      <w:szCs w:val="8"/>
                                      <w:lang w:val="fr-CH"/>
                                    </w:rPr>
                                  </w:pPr>
                                  <w:r>
                                    <w:rPr>
                                      <w:sz w:val="8"/>
                                      <w:szCs w:val="8"/>
                                      <w:lang w:val="fr-CH"/>
                                    </w:rPr>
                                    <w:t>Hommes  62%</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83C4D" id="_x0000_s1102" type="#_x0000_t202" style="position:absolute;left:0;text-align:left;margin-left:125.25pt;margin-top:47pt;width:93.2pt;height:6.0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" fillcolor="white [3212]" stroked="f">
                      <v:textbox inset=",0,,0">
                        <w:txbxContent>
                          <w:p w14:paraId="7EC0485B" w14:textId="77777777" w:rsidR="00756EAD" w:rsidRPr="00524289" w:rsidRDefault="00756EAD" w:rsidP="00D80461">
                            <w:pPr>
                              <w:spacing w:before="0"/>
                              <w:ind w:left="-142" w:right="-227"/>
                              <w:rPr>
                                <w:sz w:val="8"/>
                                <w:szCs w:val="8"/>
                                <w:lang w:val="fr-CH"/>
                              </w:rPr>
                            </w:pPr>
                            <w:r>
                              <w:rPr>
                                <w:sz w:val="8"/>
                                <w:szCs w:val="8"/>
                                <w:lang w:val="fr-CH"/>
                              </w:rPr>
                              <w:t>Hommes  62%</w:t>
                            </w:r>
                          </w:p>
                        </w:txbxContent>
                      </v:textbox>
                      <w10:wrap anchorx="margin"/>
                    </v:shape>
                  </w:pict>
                </mc:Fallback>
              </mc:AlternateContent>
            </w:r>
            <w:r w:rsidRPr="00F05A8A">
              <w:rPr>
                <w:highlight w:val="green"/>
                <w:lang w:eastAsia="fr-FR"/>
              </w:rPr>
              <mc:AlternateContent>
                <mc:Choice Requires="wps">
                  <w:drawing>
                    <wp:anchor distT="45720" distB="45720" distL="114300" distR="114300" simplePos="0" relativeHeight="251865088" behindDoc="0" locked="0" layoutInCell="1" allowOverlap="1" wp14:anchorId="7B6687A5" wp14:editId="276EB27D">
                      <wp:simplePos x="0" y="0"/>
                      <wp:positionH relativeFrom="margin">
                        <wp:posOffset>1518285</wp:posOffset>
                      </wp:positionH>
                      <wp:positionV relativeFrom="paragraph">
                        <wp:posOffset>538480</wp:posOffset>
                      </wp:positionV>
                      <wp:extent cx="1358265" cy="7683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6835"/>
                              </a:xfrm>
                              <a:prstGeom prst="rect">
                                <a:avLst/>
                              </a:prstGeom>
                              <a:solidFill>
                                <a:schemeClr val="bg1"/>
                              </a:solidFill>
                              <a:ln w="9525">
                                <a:noFill/>
                                <a:miter lim="800000"/>
                                <a:headEnd/>
                                <a:tailEnd/>
                              </a:ln>
                            </wps:spPr>
                            <wps:txbx>
                              <w:txbxContent>
                                <w:p w14:paraId="17A6D73A" w14:textId="77777777" w:rsidR="00756EAD" w:rsidRPr="00524289" w:rsidRDefault="00756EAD" w:rsidP="00D80461">
                                  <w:pPr>
                                    <w:spacing w:before="0"/>
                                    <w:ind w:left="-142" w:right="-227"/>
                                    <w:rPr>
                                      <w:sz w:val="8"/>
                                      <w:szCs w:val="8"/>
                                      <w:lang w:val="fr-CH"/>
                                    </w:rPr>
                                  </w:pPr>
                                  <w:r>
                                    <w:rPr>
                                      <w:sz w:val="8"/>
                                      <w:szCs w:val="8"/>
                                      <w:lang w:val="fr-CH"/>
                                    </w:rPr>
                                    <w:t>Femmes  57%</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687A5" id="_x0000_s1103" type="#_x0000_t202" style="position:absolute;left:0;text-align:left;margin-left:119.55pt;margin-top:42.4pt;width:106.95pt;height:6.0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" fillcolor="white [3212]" stroked="f">
                      <v:textbox inset=",0,,0">
                        <w:txbxContent>
                          <w:p w14:paraId="17A6D73A" w14:textId="77777777" w:rsidR="00756EAD" w:rsidRPr="00524289" w:rsidRDefault="00756EAD" w:rsidP="00D80461">
                            <w:pPr>
                              <w:spacing w:before="0"/>
                              <w:ind w:left="-142" w:right="-227"/>
                              <w:rPr>
                                <w:sz w:val="8"/>
                                <w:szCs w:val="8"/>
                                <w:lang w:val="fr-CH"/>
                              </w:rPr>
                            </w:pPr>
                            <w:r>
                              <w:rPr>
                                <w:sz w:val="8"/>
                                <w:szCs w:val="8"/>
                                <w:lang w:val="fr-CH"/>
                              </w:rPr>
                              <w:t>Femmes  57%</w:t>
                            </w:r>
                          </w:p>
                        </w:txbxContent>
                      </v:textbox>
                      <w10:wrap anchorx="margin"/>
                    </v:shape>
                  </w:pict>
                </mc:Fallback>
              </mc:AlternateContent>
            </w:r>
            <w:r w:rsidRPr="00F05A8A">
              <w:rPr>
                <w:lang w:eastAsia="fr-FR"/>
              </w:rPr>
              <mc:AlternateContent>
                <mc:Choice Requires="wps">
                  <w:drawing>
                    <wp:anchor distT="0" distB="0" distL="114300" distR="114300" simplePos="0" relativeHeight="251721728" behindDoc="0" locked="0" layoutInCell="1" allowOverlap="1" wp14:anchorId="5CC22E77" wp14:editId="207D68E5">
                      <wp:simplePos x="0" y="0"/>
                      <wp:positionH relativeFrom="column">
                        <wp:posOffset>213360</wp:posOffset>
                      </wp:positionH>
                      <wp:positionV relativeFrom="paragraph">
                        <wp:posOffset>83185</wp:posOffset>
                      </wp:positionV>
                      <wp:extent cx="2494915" cy="214630"/>
                      <wp:effectExtent l="0" t="0" r="635" b="0"/>
                      <wp:wrapNone/>
                      <wp:docPr id="1667226710" name="Text Box 1667226710"/>
                      <wp:cNvGraphicFramePr/>
                      <a:graphic xmlns:a="http://schemas.openxmlformats.org/drawingml/2006/main">
                        <a:graphicData uri="http://schemas.microsoft.com/office/word/2010/wordprocessingShape">
                          <wps:wsp>
                            <wps:cNvSpPr txBox="1"/>
                            <wps:spPr>
                              <a:xfrm>
                                <a:off x="0" y="0"/>
                                <a:ext cx="2494915" cy="214630"/>
                              </a:xfrm>
                              <a:prstGeom prst="rect">
                                <a:avLst/>
                              </a:prstGeom>
                              <a:solidFill>
                                <a:schemeClr val="lt1"/>
                              </a:solidFill>
                              <a:ln w="6350">
                                <a:noFill/>
                              </a:ln>
                            </wps:spPr>
                            <wps:txbx>
                              <w:txbxContent>
                                <w:p w14:paraId="4A4763B0" w14:textId="77777777" w:rsidR="00756EAD" w:rsidRPr="00FC6401" w:rsidRDefault="00756EAD" w:rsidP="00D80461">
                                  <w:pPr>
                                    <w:spacing w:before="0"/>
                                    <w:rPr>
                                      <w:sz w:val="14"/>
                                      <w:szCs w:val="14"/>
                                    </w:rPr>
                                  </w:pPr>
                                  <w:r w:rsidRPr="00FC6401">
                                    <w:rPr>
                                      <w:noProof/>
                                      <w:color w:val="00B0F0"/>
                                      <w:sz w:val="14"/>
                                      <w:szCs w:val="14"/>
                                      <w:lang w:eastAsia="en-GB"/>
                                    </w:rPr>
                                    <w:t>L</w:t>
                                  </w:r>
                                  <w:r>
                                    <w:rPr>
                                      <w:noProof/>
                                      <w:color w:val="00B0F0"/>
                                      <w:sz w:val="14"/>
                                      <w:szCs w:val="14"/>
                                      <w:lang w:eastAsia="en-GB"/>
                                    </w:rPr>
                                    <w:t>'</w:t>
                                  </w:r>
                                  <w:r w:rsidRPr="00FC6401">
                                    <w:rPr>
                                      <w:noProof/>
                                      <w:color w:val="00B0F0"/>
                                      <w:sz w:val="14"/>
                                      <w:szCs w:val="14"/>
                                      <w:lang w:eastAsia="en-GB"/>
                                    </w:rPr>
                                    <w:t>utilisation de l</w:t>
                                  </w:r>
                                  <w:r>
                                    <w:rPr>
                                      <w:noProof/>
                                      <w:color w:val="00B0F0"/>
                                      <w:sz w:val="14"/>
                                      <w:szCs w:val="14"/>
                                      <w:lang w:eastAsia="en-GB"/>
                                    </w:rPr>
                                    <w:t>'</w:t>
                                  </w:r>
                                  <w:r w:rsidRPr="00FC6401">
                                    <w:rPr>
                                      <w:noProof/>
                                      <w:color w:val="00B0F0"/>
                                      <w:sz w:val="14"/>
                                      <w:szCs w:val="14"/>
                                      <w:lang w:eastAsia="en-GB"/>
                                    </w:rPr>
                                    <w:t>Internet, plus proche de la parité hommes/femmes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2E77" id="Text Box 1667226710" o:spid="_x0000_s1104" type="#_x0000_t202" style="position:absolute;left:0;text-align:left;margin-left:16.8pt;margin-top:6.55pt;width:196.45pt;height:1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" fillcolor="white [3201]" stroked="f" strokeweight=".5pt">
                      <v:textbox inset="0,0,0,0">
                        <w:txbxContent>
                          <w:p w14:paraId="4A4763B0" w14:textId="77777777" w:rsidR="00756EAD" w:rsidRPr="00FC6401" w:rsidRDefault="00756EAD" w:rsidP="00D80461">
                            <w:pPr>
                              <w:spacing w:before="0"/>
                              <w:rPr>
                                <w:sz w:val="14"/>
                                <w:szCs w:val="14"/>
                              </w:rPr>
                            </w:pPr>
                            <w:r w:rsidRPr="00FC6401">
                              <w:rPr>
                                <w:noProof/>
                                <w:color w:val="00B0F0"/>
                                <w:sz w:val="14"/>
                                <w:szCs w:val="14"/>
                                <w:lang w:eastAsia="en-GB"/>
                              </w:rPr>
                              <w:t>L</w:t>
                            </w:r>
                            <w:r>
                              <w:rPr>
                                <w:noProof/>
                                <w:color w:val="00B0F0"/>
                                <w:sz w:val="14"/>
                                <w:szCs w:val="14"/>
                                <w:lang w:eastAsia="en-GB"/>
                              </w:rPr>
                              <w:t>'</w:t>
                            </w:r>
                            <w:r w:rsidRPr="00FC6401">
                              <w:rPr>
                                <w:noProof/>
                                <w:color w:val="00B0F0"/>
                                <w:sz w:val="14"/>
                                <w:szCs w:val="14"/>
                                <w:lang w:eastAsia="en-GB"/>
                              </w:rPr>
                              <w:t>utilisation de l</w:t>
                            </w:r>
                            <w:r>
                              <w:rPr>
                                <w:noProof/>
                                <w:color w:val="00B0F0"/>
                                <w:sz w:val="14"/>
                                <w:szCs w:val="14"/>
                                <w:lang w:eastAsia="en-GB"/>
                              </w:rPr>
                              <w:t>'</w:t>
                            </w:r>
                            <w:r w:rsidRPr="00FC6401">
                              <w:rPr>
                                <w:noProof/>
                                <w:color w:val="00B0F0"/>
                                <w:sz w:val="14"/>
                                <w:szCs w:val="14"/>
                                <w:lang w:eastAsia="en-GB"/>
                              </w:rPr>
                              <w:t>Internet, plus proche de la parité hommes/femmes</w:t>
                            </w:r>
                          </w:p>
                        </w:txbxContent>
                      </v:textbox>
                    </v:shape>
                  </w:pict>
                </mc:Fallback>
              </mc:AlternateContent>
            </w:r>
            <w:r w:rsidRPr="00F05A8A">
              <w:rPr>
                <w:lang w:eastAsia="fr-FR"/>
              </w:rPr>
              <mc:AlternateContent>
                <mc:Choice Requires="wps">
                  <w:drawing>
                    <wp:anchor distT="0" distB="0" distL="114300" distR="114300" simplePos="0" relativeHeight="251735040" behindDoc="0" locked="0" layoutInCell="1" allowOverlap="1" wp14:anchorId="062DCE9E" wp14:editId="265C4A6F">
                      <wp:simplePos x="0" y="0"/>
                      <wp:positionH relativeFrom="column">
                        <wp:posOffset>293370</wp:posOffset>
                      </wp:positionH>
                      <wp:positionV relativeFrom="paragraph">
                        <wp:posOffset>1846580</wp:posOffset>
                      </wp:positionV>
                      <wp:extent cx="301625" cy="116840"/>
                      <wp:effectExtent l="0" t="0" r="3175" b="0"/>
                      <wp:wrapNone/>
                      <wp:docPr id="1667226723" name="Text Box 1667226723"/>
                      <wp:cNvGraphicFramePr/>
                      <a:graphic xmlns:a="http://schemas.openxmlformats.org/drawingml/2006/main">
                        <a:graphicData uri="http://schemas.microsoft.com/office/word/2010/wordprocessingShape">
                          <wps:wsp>
                            <wps:cNvSpPr txBox="1"/>
                            <wps:spPr>
                              <a:xfrm>
                                <a:off x="0" y="0"/>
                                <a:ext cx="301625" cy="116840"/>
                              </a:xfrm>
                              <a:prstGeom prst="rect">
                                <a:avLst/>
                              </a:prstGeom>
                              <a:solidFill>
                                <a:schemeClr val="lt1"/>
                              </a:solidFill>
                              <a:ln w="6350">
                                <a:noFill/>
                              </a:ln>
                            </wps:spPr>
                            <wps:txbx>
                              <w:txbxContent>
                                <w:p w14:paraId="31512DF2" w14:textId="77777777" w:rsidR="00756EAD" w:rsidRPr="0077749F" w:rsidRDefault="00756EAD" w:rsidP="00D80461">
                                  <w:pPr>
                                    <w:spacing w:before="0"/>
                                    <w:rPr>
                                      <w:sz w:val="12"/>
                                      <w:szCs w:val="12"/>
                                    </w:rPr>
                                  </w:pPr>
                                  <w:r w:rsidRPr="0077749F">
                                    <w:rPr>
                                      <w:sz w:val="12"/>
                                      <w:szCs w:val="12"/>
                                    </w:rPr>
                                    <w:t>PDSL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CE9E" id="Text Box 1667226723" o:spid="_x0000_s1105" type="#_x0000_t202" style="position:absolute;left:0;text-align:left;margin-left:23.1pt;margin-top:145.4pt;width:23.75pt;height: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" fillcolor="white [3201]" stroked="f" strokeweight=".5pt">
                      <v:textbox inset="0,0,0,0">
                        <w:txbxContent>
                          <w:p w14:paraId="31512DF2" w14:textId="77777777" w:rsidR="00756EAD" w:rsidRPr="0077749F" w:rsidRDefault="00756EAD" w:rsidP="00D80461">
                            <w:pPr>
                              <w:spacing w:before="0"/>
                              <w:rPr>
                                <w:sz w:val="12"/>
                                <w:szCs w:val="12"/>
                              </w:rPr>
                            </w:pPr>
                            <w:r w:rsidRPr="0077749F">
                              <w:rPr>
                                <w:sz w:val="12"/>
                                <w:szCs w:val="12"/>
                              </w:rPr>
                              <w:t>PDSL</w:t>
                            </w:r>
                          </w:p>
                        </w:txbxContent>
                      </v:textbox>
                    </v:shape>
                  </w:pict>
                </mc:Fallback>
              </mc:AlternateContent>
            </w:r>
            <w:r w:rsidRPr="00F05A8A">
              <w:rPr>
                <w:lang w:eastAsia="fr-FR"/>
              </w:rPr>
              <mc:AlternateContent>
                <mc:Choice Requires="wps">
                  <w:drawing>
                    <wp:anchor distT="0" distB="0" distL="114300" distR="114300" simplePos="0" relativeHeight="251732992" behindDoc="0" locked="0" layoutInCell="1" allowOverlap="1" wp14:anchorId="3DA03F4B" wp14:editId="47A8F836">
                      <wp:simplePos x="0" y="0"/>
                      <wp:positionH relativeFrom="column">
                        <wp:posOffset>-37465</wp:posOffset>
                      </wp:positionH>
                      <wp:positionV relativeFrom="paragraph">
                        <wp:posOffset>1644015</wp:posOffset>
                      </wp:positionV>
                      <wp:extent cx="637540" cy="106045"/>
                      <wp:effectExtent l="0" t="0" r="0" b="8255"/>
                      <wp:wrapNone/>
                      <wp:docPr id="1667226721" name="Text Box 1667226721"/>
                      <wp:cNvGraphicFramePr/>
                      <a:graphic xmlns:a="http://schemas.openxmlformats.org/drawingml/2006/main">
                        <a:graphicData uri="http://schemas.microsoft.com/office/word/2010/wordprocessingShape">
                          <wps:wsp>
                            <wps:cNvSpPr txBox="1"/>
                            <wps:spPr>
                              <a:xfrm>
                                <a:off x="0" y="0"/>
                                <a:ext cx="637540" cy="106045"/>
                              </a:xfrm>
                              <a:prstGeom prst="rect">
                                <a:avLst/>
                              </a:prstGeom>
                              <a:solidFill>
                                <a:schemeClr val="lt1"/>
                              </a:solidFill>
                              <a:ln w="6350">
                                <a:noFill/>
                              </a:ln>
                            </wps:spPr>
                            <wps:txbx>
                              <w:txbxContent>
                                <w:p w14:paraId="7CDAC319" w14:textId="77777777" w:rsidR="00756EAD" w:rsidRPr="0077749F" w:rsidRDefault="00756EAD" w:rsidP="00D80461">
                                  <w:pPr>
                                    <w:spacing w:before="0"/>
                                    <w:rPr>
                                      <w:sz w:val="10"/>
                                      <w:szCs w:val="10"/>
                                    </w:rPr>
                                  </w:pPr>
                                  <w:r w:rsidRPr="0077749F">
                                    <w:rPr>
                                      <w:sz w:val="10"/>
                                      <w:szCs w:val="10"/>
                                    </w:rPr>
                                    <w:t>Pays en développement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3F4B" id="Text Box 1667226721" o:spid="_x0000_s1106" type="#_x0000_t202" style="position:absolute;left:0;text-align:left;margin-left:-2.95pt;margin-top:129.45pt;width:50.2pt;height: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" fillcolor="white [3201]" stroked="f" strokeweight=".5pt">
                      <v:textbox inset="0,0,0,0">
                        <w:txbxContent>
                          <w:p w14:paraId="7CDAC319" w14:textId="77777777" w:rsidR="00756EAD" w:rsidRPr="0077749F" w:rsidRDefault="00756EAD" w:rsidP="00D80461">
                            <w:pPr>
                              <w:spacing w:before="0"/>
                              <w:rPr>
                                <w:sz w:val="10"/>
                                <w:szCs w:val="10"/>
                              </w:rPr>
                            </w:pPr>
                            <w:r w:rsidRPr="0077749F">
                              <w:rPr>
                                <w:sz w:val="10"/>
                                <w:szCs w:val="10"/>
                              </w:rPr>
                              <w:t>Pays en développement</w:t>
                            </w:r>
                          </w:p>
                        </w:txbxContent>
                      </v:textbox>
                    </v:shape>
                  </w:pict>
                </mc:Fallback>
              </mc:AlternateContent>
            </w:r>
            <w:r w:rsidRPr="00F05A8A">
              <w:rPr>
                <w:lang w:eastAsia="fr-FR"/>
              </w:rPr>
              <mc:AlternateContent>
                <mc:Choice Requires="wps">
                  <w:drawing>
                    <wp:anchor distT="0" distB="0" distL="114300" distR="114300" simplePos="0" relativeHeight="251734016" behindDoc="0" locked="0" layoutInCell="1" allowOverlap="1" wp14:anchorId="384712E6" wp14:editId="19ACCEE2">
                      <wp:simplePos x="0" y="0"/>
                      <wp:positionH relativeFrom="column">
                        <wp:posOffset>294005</wp:posOffset>
                      </wp:positionH>
                      <wp:positionV relativeFrom="paragraph">
                        <wp:posOffset>1755775</wp:posOffset>
                      </wp:positionV>
                      <wp:extent cx="269240" cy="89535"/>
                      <wp:effectExtent l="0" t="0" r="0" b="5715"/>
                      <wp:wrapNone/>
                      <wp:docPr id="1667226722" name="Text Box 1667226722"/>
                      <wp:cNvGraphicFramePr/>
                      <a:graphic xmlns:a="http://schemas.openxmlformats.org/drawingml/2006/main">
                        <a:graphicData uri="http://schemas.microsoft.com/office/word/2010/wordprocessingShape">
                          <wps:wsp>
                            <wps:cNvSpPr txBox="1"/>
                            <wps:spPr>
                              <a:xfrm>
                                <a:off x="0" y="0"/>
                                <a:ext cx="269240" cy="89535"/>
                              </a:xfrm>
                              <a:prstGeom prst="rect">
                                <a:avLst/>
                              </a:prstGeom>
                              <a:solidFill>
                                <a:schemeClr val="bg1">
                                  <a:lumMod val="95000"/>
                                </a:schemeClr>
                              </a:solidFill>
                              <a:ln w="6350">
                                <a:noFill/>
                              </a:ln>
                            </wps:spPr>
                            <wps:txbx>
                              <w:txbxContent>
                                <w:p w14:paraId="713617CD" w14:textId="77777777" w:rsidR="00756EAD" w:rsidRPr="0077749F" w:rsidRDefault="00756EAD" w:rsidP="00D80461">
                                  <w:pPr>
                                    <w:spacing w:before="0"/>
                                    <w:rPr>
                                      <w:sz w:val="12"/>
                                      <w:szCs w:val="12"/>
                                    </w:rPr>
                                  </w:pPr>
                                  <w:r w:rsidRPr="0077749F">
                                    <w:rPr>
                                      <w:sz w:val="12"/>
                                      <w:szCs w:val="12"/>
                                    </w:rPr>
                                    <w:t>PMA</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2E6" id="Text Box 1667226722" o:spid="_x0000_s1107" type="#_x0000_t202" style="position:absolute;left:0;text-align:left;margin-left:23.15pt;margin-top:138.25pt;width:21.2pt;height: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" fillcolor="#f2f2f2 [3052]" stroked="f" strokeweight=".5pt">
                      <v:textbox inset=".1mm,0,0,0">
                        <w:txbxContent>
                          <w:p w14:paraId="713617CD" w14:textId="77777777" w:rsidR="00756EAD" w:rsidRPr="0077749F" w:rsidRDefault="00756EAD" w:rsidP="00D80461">
                            <w:pPr>
                              <w:spacing w:before="0"/>
                              <w:rPr>
                                <w:sz w:val="12"/>
                                <w:szCs w:val="12"/>
                              </w:rPr>
                            </w:pPr>
                            <w:r w:rsidRPr="0077749F">
                              <w:rPr>
                                <w:sz w:val="12"/>
                                <w:szCs w:val="12"/>
                              </w:rPr>
                              <w:t>PMA</w:t>
                            </w:r>
                          </w:p>
                        </w:txbxContent>
                      </v:textbox>
                    </v:shape>
                  </w:pict>
                </mc:Fallback>
              </mc:AlternateContent>
            </w:r>
            <w:r w:rsidRPr="00F05A8A">
              <w:rPr>
                <w:lang w:eastAsia="fr-FR"/>
              </w:rPr>
              <mc:AlternateContent>
                <mc:Choice Requires="wps">
                  <w:drawing>
                    <wp:anchor distT="0" distB="0" distL="114300" distR="114300" simplePos="0" relativeHeight="251736064" behindDoc="0" locked="0" layoutInCell="1" allowOverlap="1" wp14:anchorId="158978F7" wp14:editId="55F24C6F">
                      <wp:simplePos x="0" y="0"/>
                      <wp:positionH relativeFrom="column">
                        <wp:posOffset>288290</wp:posOffset>
                      </wp:positionH>
                      <wp:positionV relativeFrom="paragraph">
                        <wp:posOffset>1968500</wp:posOffset>
                      </wp:positionV>
                      <wp:extent cx="293370" cy="102870"/>
                      <wp:effectExtent l="0" t="0" r="0" b="0"/>
                      <wp:wrapNone/>
                      <wp:docPr id="1667226724" name="Text Box 1667226724"/>
                      <wp:cNvGraphicFramePr/>
                      <a:graphic xmlns:a="http://schemas.openxmlformats.org/drawingml/2006/main">
                        <a:graphicData uri="http://schemas.microsoft.com/office/word/2010/wordprocessingShape">
                          <wps:wsp>
                            <wps:cNvSpPr txBox="1"/>
                            <wps:spPr>
                              <a:xfrm>
                                <a:off x="0" y="0"/>
                                <a:ext cx="293370" cy="102870"/>
                              </a:xfrm>
                              <a:prstGeom prst="rect">
                                <a:avLst/>
                              </a:prstGeom>
                              <a:solidFill>
                                <a:schemeClr val="bg1">
                                  <a:lumMod val="95000"/>
                                </a:schemeClr>
                              </a:solidFill>
                              <a:ln w="6350">
                                <a:noFill/>
                              </a:ln>
                            </wps:spPr>
                            <wps:txbx>
                              <w:txbxContent>
                                <w:p w14:paraId="713377F5" w14:textId="77777777" w:rsidR="00756EAD" w:rsidRPr="0077749F" w:rsidRDefault="00756EAD" w:rsidP="00D80461">
                                  <w:pPr>
                                    <w:spacing w:before="0"/>
                                    <w:rPr>
                                      <w:sz w:val="12"/>
                                      <w:szCs w:val="12"/>
                                    </w:rPr>
                                  </w:pPr>
                                  <w:r w:rsidRPr="0077749F">
                                    <w:rPr>
                                      <w:sz w:val="12"/>
                                      <w:szCs w:val="12"/>
                                    </w:rPr>
                                    <w:t>PEID</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78F7" id="Text Box 1667226724" o:spid="_x0000_s1108" type="#_x0000_t202" style="position:absolute;left:0;text-align:left;margin-left:22.7pt;margin-top:155pt;width:23.1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" fillcolor="#f2f2f2 [3052]" stroked="f" strokeweight=".5pt">
                      <v:textbox inset=".1mm,0,0,0">
                        <w:txbxContent>
                          <w:p w14:paraId="713377F5" w14:textId="77777777" w:rsidR="00756EAD" w:rsidRPr="0077749F" w:rsidRDefault="00756EAD" w:rsidP="00D80461">
                            <w:pPr>
                              <w:spacing w:before="0"/>
                              <w:rPr>
                                <w:sz w:val="12"/>
                                <w:szCs w:val="12"/>
                              </w:rPr>
                            </w:pPr>
                            <w:r w:rsidRPr="0077749F">
                              <w:rPr>
                                <w:sz w:val="12"/>
                                <w:szCs w:val="12"/>
                              </w:rPr>
                              <w:t>PEID</w:t>
                            </w:r>
                          </w:p>
                        </w:txbxContent>
                      </v:textbox>
                    </v:shape>
                  </w:pict>
                </mc:Fallback>
              </mc:AlternateContent>
            </w:r>
            <w:r w:rsidRPr="00F05A8A">
              <w:rPr>
                <w:lang w:eastAsia="fr-FR"/>
              </w:rPr>
              <mc:AlternateContent>
                <mc:Choice Requires="wps">
                  <w:drawing>
                    <wp:anchor distT="0" distB="0" distL="114300" distR="114300" simplePos="0" relativeHeight="251731968" behindDoc="0" locked="0" layoutInCell="1" allowOverlap="1" wp14:anchorId="4B6B1AB6" wp14:editId="66EC9088">
                      <wp:simplePos x="0" y="0"/>
                      <wp:positionH relativeFrom="column">
                        <wp:posOffset>35560</wp:posOffset>
                      </wp:positionH>
                      <wp:positionV relativeFrom="paragraph">
                        <wp:posOffset>1530985</wp:posOffset>
                      </wp:positionV>
                      <wp:extent cx="542925" cy="111760"/>
                      <wp:effectExtent l="0" t="0" r="9525" b="2540"/>
                      <wp:wrapNone/>
                      <wp:docPr id="1667226720" name="Text Box 1667226720"/>
                      <wp:cNvGraphicFramePr/>
                      <a:graphic xmlns:a="http://schemas.openxmlformats.org/drawingml/2006/main">
                        <a:graphicData uri="http://schemas.microsoft.com/office/word/2010/wordprocessingShape">
                          <wps:wsp>
                            <wps:cNvSpPr txBox="1"/>
                            <wps:spPr>
                              <a:xfrm>
                                <a:off x="0" y="0"/>
                                <a:ext cx="542925" cy="111760"/>
                              </a:xfrm>
                              <a:prstGeom prst="rect">
                                <a:avLst/>
                              </a:prstGeom>
                              <a:solidFill>
                                <a:schemeClr val="bg1">
                                  <a:lumMod val="95000"/>
                                </a:schemeClr>
                              </a:solidFill>
                              <a:ln w="6350">
                                <a:noFill/>
                              </a:ln>
                            </wps:spPr>
                            <wps:txbx>
                              <w:txbxContent>
                                <w:p w14:paraId="0341B315" w14:textId="77777777" w:rsidR="00756EAD" w:rsidRPr="0077749F" w:rsidRDefault="00756EAD" w:rsidP="00D80461">
                                  <w:pPr>
                                    <w:spacing w:before="0"/>
                                    <w:rPr>
                                      <w:sz w:val="12"/>
                                      <w:szCs w:val="12"/>
                                    </w:rPr>
                                  </w:pPr>
                                  <w:r w:rsidRPr="0077749F">
                                    <w:rPr>
                                      <w:sz w:val="12"/>
                                      <w:szCs w:val="12"/>
                                    </w:rPr>
                                    <w:t>Pays</w:t>
                                  </w:r>
                                  <w:r>
                                    <w:rPr>
                                      <w:sz w:val="12"/>
                                      <w:szCs w:val="12"/>
                                    </w:rPr>
                                    <w:t xml:space="preserve"> </w:t>
                                  </w:r>
                                  <w:r w:rsidRPr="0077749F">
                                    <w:rPr>
                                      <w:sz w:val="12"/>
                                      <w:szCs w:val="12"/>
                                    </w:rPr>
                                    <w:t>développés</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B1AB6" id="Text Box 1667226720" o:spid="_x0000_s1109" type="#_x0000_t202" style="position:absolute;left:0;text-align:left;margin-left:2.8pt;margin-top:120.55pt;width:42.75pt;height: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" fillcolor="#f2f2f2 [3052]" stroked="f" strokeweight=".5pt">
                      <v:textbox inset=".1mm,0,0,0">
                        <w:txbxContent>
                          <w:p w14:paraId="0341B315" w14:textId="77777777" w:rsidR="00756EAD" w:rsidRPr="0077749F" w:rsidRDefault="00756EAD" w:rsidP="00D80461">
                            <w:pPr>
                              <w:spacing w:before="0"/>
                              <w:rPr>
                                <w:sz w:val="12"/>
                                <w:szCs w:val="12"/>
                              </w:rPr>
                            </w:pPr>
                            <w:r w:rsidRPr="0077749F">
                              <w:rPr>
                                <w:sz w:val="12"/>
                                <w:szCs w:val="12"/>
                              </w:rPr>
                              <w:t>Pays</w:t>
                            </w:r>
                            <w:r>
                              <w:rPr>
                                <w:sz w:val="12"/>
                                <w:szCs w:val="12"/>
                              </w:rPr>
                              <w:t xml:space="preserve"> </w:t>
                            </w:r>
                            <w:r w:rsidRPr="0077749F">
                              <w:rPr>
                                <w:sz w:val="12"/>
                                <w:szCs w:val="12"/>
                              </w:rPr>
                              <w:t>développés</w:t>
                            </w:r>
                          </w:p>
                        </w:txbxContent>
                      </v:textbox>
                    </v:shape>
                  </w:pict>
                </mc:Fallback>
              </mc:AlternateContent>
            </w:r>
            <w:r w:rsidRPr="00F05A8A">
              <w:rPr>
                <w:lang w:eastAsia="fr-FR"/>
              </w:rPr>
              <mc:AlternateContent>
                <mc:Choice Requires="wps">
                  <w:drawing>
                    <wp:anchor distT="0" distB="0" distL="114300" distR="114300" simplePos="0" relativeHeight="251730944" behindDoc="0" locked="0" layoutInCell="1" allowOverlap="1" wp14:anchorId="1C719823" wp14:editId="4CE62B50">
                      <wp:simplePos x="0" y="0"/>
                      <wp:positionH relativeFrom="column">
                        <wp:posOffset>215265</wp:posOffset>
                      </wp:positionH>
                      <wp:positionV relativeFrom="paragraph">
                        <wp:posOffset>1318260</wp:posOffset>
                      </wp:positionV>
                      <wp:extent cx="363220" cy="100965"/>
                      <wp:effectExtent l="0" t="0" r="0" b="0"/>
                      <wp:wrapNone/>
                      <wp:docPr id="1667226719" name="Text Box 1667226719"/>
                      <wp:cNvGraphicFramePr/>
                      <a:graphic xmlns:a="http://schemas.openxmlformats.org/drawingml/2006/main">
                        <a:graphicData uri="http://schemas.microsoft.com/office/word/2010/wordprocessingShape">
                          <wps:wsp>
                            <wps:cNvSpPr txBox="1"/>
                            <wps:spPr>
                              <a:xfrm>
                                <a:off x="0" y="0"/>
                                <a:ext cx="363220" cy="100965"/>
                              </a:xfrm>
                              <a:prstGeom prst="rect">
                                <a:avLst/>
                              </a:prstGeom>
                              <a:solidFill>
                                <a:schemeClr val="bg1">
                                  <a:lumMod val="95000"/>
                                </a:schemeClr>
                              </a:solidFill>
                              <a:ln w="6350">
                                <a:noFill/>
                              </a:ln>
                            </wps:spPr>
                            <wps:txbx>
                              <w:txbxContent>
                                <w:p w14:paraId="64EAF2D2" w14:textId="77777777" w:rsidR="00756EAD" w:rsidRPr="002239B8" w:rsidRDefault="00756EAD" w:rsidP="00D80461">
                                  <w:pPr>
                                    <w:spacing w:before="0"/>
                                    <w:rPr>
                                      <w:sz w:val="7"/>
                                      <w:szCs w:val="7"/>
                                    </w:rPr>
                                  </w:pPr>
                                  <w:r w:rsidRPr="0077749F">
                                    <w:rPr>
                                      <w:sz w:val="12"/>
                                      <w:szCs w:val="12"/>
                                    </w:rPr>
                                    <w:t>Amériques</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9823" id="Text Box 1667226719" o:spid="_x0000_s1110" type="#_x0000_t202" style="position:absolute;left:0;text-align:left;margin-left:16.95pt;margin-top:103.8pt;width:28.6pt;height: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" fillcolor="#f2f2f2 [3052]" stroked="f" strokeweight=".5pt">
                      <v:textbox inset=".1mm,0,0,0">
                        <w:txbxContent>
                          <w:p w14:paraId="64EAF2D2" w14:textId="77777777" w:rsidR="00756EAD" w:rsidRPr="002239B8" w:rsidRDefault="00756EAD" w:rsidP="00D80461">
                            <w:pPr>
                              <w:spacing w:before="0"/>
                              <w:rPr>
                                <w:sz w:val="7"/>
                                <w:szCs w:val="7"/>
                              </w:rPr>
                            </w:pPr>
                            <w:r w:rsidRPr="0077749F">
                              <w:rPr>
                                <w:sz w:val="12"/>
                                <w:szCs w:val="12"/>
                              </w:rPr>
                              <w:t>Amériques</w:t>
                            </w:r>
                          </w:p>
                        </w:txbxContent>
                      </v:textbox>
                    </v:shape>
                  </w:pict>
                </mc:Fallback>
              </mc:AlternateContent>
            </w:r>
            <w:r w:rsidRPr="00F05A8A">
              <w:rPr>
                <w:lang w:eastAsia="fr-FR"/>
              </w:rPr>
              <mc:AlternateContent>
                <mc:Choice Requires="wps">
                  <w:drawing>
                    <wp:anchor distT="0" distB="0" distL="114300" distR="114300" simplePos="0" relativeHeight="251729920" behindDoc="0" locked="0" layoutInCell="1" allowOverlap="1" wp14:anchorId="35188989" wp14:editId="09610EB6">
                      <wp:simplePos x="0" y="0"/>
                      <wp:positionH relativeFrom="column">
                        <wp:posOffset>215265</wp:posOffset>
                      </wp:positionH>
                      <wp:positionV relativeFrom="paragraph">
                        <wp:posOffset>1217295</wp:posOffset>
                      </wp:positionV>
                      <wp:extent cx="301625" cy="78105"/>
                      <wp:effectExtent l="0" t="0" r="3175" b="0"/>
                      <wp:wrapNone/>
                      <wp:docPr id="1667226718" name="Text Box 1667226718"/>
                      <wp:cNvGraphicFramePr/>
                      <a:graphic xmlns:a="http://schemas.openxmlformats.org/drawingml/2006/main">
                        <a:graphicData uri="http://schemas.microsoft.com/office/word/2010/wordprocessingShape">
                          <wps:wsp>
                            <wps:cNvSpPr txBox="1"/>
                            <wps:spPr>
                              <a:xfrm>
                                <a:off x="0" y="0"/>
                                <a:ext cx="301625" cy="78105"/>
                              </a:xfrm>
                              <a:prstGeom prst="rect">
                                <a:avLst/>
                              </a:prstGeom>
                              <a:solidFill>
                                <a:schemeClr val="lt1"/>
                              </a:solidFill>
                              <a:ln w="6350">
                                <a:noFill/>
                              </a:ln>
                            </wps:spPr>
                            <wps:txbx>
                              <w:txbxContent>
                                <w:p w14:paraId="4F451EF5" w14:textId="77777777" w:rsidR="00756EAD" w:rsidRPr="0077749F" w:rsidRDefault="00756EAD" w:rsidP="00D80461">
                                  <w:pPr>
                                    <w:spacing w:before="0"/>
                                    <w:rPr>
                                      <w:sz w:val="12"/>
                                      <w:szCs w:val="12"/>
                                    </w:rPr>
                                  </w:pPr>
                                  <w:r w:rsidRPr="0077749F">
                                    <w:rPr>
                                      <w:sz w:val="12"/>
                                      <w:szCs w:val="12"/>
                                    </w:rPr>
                                    <w:t>Europe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8989" id="Text Box 1667226718" o:spid="_x0000_s1111" type="#_x0000_t202" style="position:absolute;left:0;text-align:left;margin-left:16.95pt;margin-top:95.85pt;width:23.75pt;height: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" fillcolor="white [3201]" stroked="f" strokeweight=".5pt">
                      <v:textbox inset="0,0,0,0">
                        <w:txbxContent>
                          <w:p w14:paraId="4F451EF5" w14:textId="77777777" w:rsidR="00756EAD" w:rsidRPr="0077749F" w:rsidRDefault="00756EAD" w:rsidP="00D80461">
                            <w:pPr>
                              <w:spacing w:before="0"/>
                              <w:rPr>
                                <w:sz w:val="12"/>
                                <w:szCs w:val="12"/>
                              </w:rPr>
                            </w:pPr>
                            <w:r w:rsidRPr="0077749F">
                              <w:rPr>
                                <w:sz w:val="12"/>
                                <w:szCs w:val="12"/>
                              </w:rPr>
                              <w:t>Europe</w:t>
                            </w:r>
                          </w:p>
                        </w:txbxContent>
                      </v:textbox>
                    </v:shape>
                  </w:pict>
                </mc:Fallback>
              </mc:AlternateContent>
            </w:r>
            <w:r w:rsidRPr="00F05A8A">
              <w:rPr>
                <w:lang w:eastAsia="fr-FR"/>
              </w:rPr>
              <mc:AlternateContent>
                <mc:Choice Requires="wps">
                  <w:drawing>
                    <wp:anchor distT="0" distB="0" distL="114300" distR="114300" simplePos="0" relativeHeight="251727872" behindDoc="0" locked="0" layoutInCell="1" allowOverlap="1" wp14:anchorId="6B7E0999" wp14:editId="5D43163C">
                      <wp:simplePos x="0" y="0"/>
                      <wp:positionH relativeFrom="column">
                        <wp:posOffset>125730</wp:posOffset>
                      </wp:positionH>
                      <wp:positionV relativeFrom="paragraph">
                        <wp:posOffset>981075</wp:posOffset>
                      </wp:positionV>
                      <wp:extent cx="467360" cy="95250"/>
                      <wp:effectExtent l="0" t="0" r="8890" b="0"/>
                      <wp:wrapNone/>
                      <wp:docPr id="1667226716" name="Text Box 1667226716"/>
                      <wp:cNvGraphicFramePr/>
                      <a:graphic xmlns:a="http://schemas.openxmlformats.org/drawingml/2006/main">
                        <a:graphicData uri="http://schemas.microsoft.com/office/word/2010/wordprocessingShape">
                          <wps:wsp>
                            <wps:cNvSpPr txBox="1"/>
                            <wps:spPr>
                              <a:xfrm>
                                <a:off x="0" y="0"/>
                                <a:ext cx="467360" cy="95250"/>
                              </a:xfrm>
                              <a:prstGeom prst="rect">
                                <a:avLst/>
                              </a:prstGeom>
                              <a:solidFill>
                                <a:schemeClr val="lt1"/>
                              </a:solidFill>
                              <a:ln w="6350">
                                <a:noFill/>
                              </a:ln>
                            </wps:spPr>
                            <wps:txbx>
                              <w:txbxContent>
                                <w:p w14:paraId="7C835EF3" w14:textId="77777777" w:rsidR="00756EAD" w:rsidRPr="00AC4799" w:rsidRDefault="00756EAD" w:rsidP="00D80461">
                                  <w:pPr>
                                    <w:spacing w:before="0"/>
                                    <w:rPr>
                                      <w:sz w:val="12"/>
                                      <w:szCs w:val="12"/>
                                    </w:rPr>
                                  </w:pPr>
                                  <w:r w:rsidRPr="00AC4799">
                                    <w:rPr>
                                      <w:sz w:val="12"/>
                                      <w:szCs w:val="12"/>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0999" id="Text Box 1667226716" o:spid="_x0000_s1112" type="#_x0000_t202" style="position:absolute;left:0;text-align:left;margin-left:9.9pt;margin-top:77.25pt;width:36.8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" fillcolor="white [3201]" stroked="f" strokeweight=".5pt">
                      <v:textbox inset="0,0,0,0">
                        <w:txbxContent>
                          <w:p w14:paraId="7C835EF3" w14:textId="77777777" w:rsidR="00756EAD" w:rsidRPr="00AC4799" w:rsidRDefault="00756EAD" w:rsidP="00D80461">
                            <w:pPr>
                              <w:spacing w:before="0"/>
                              <w:rPr>
                                <w:sz w:val="12"/>
                                <w:szCs w:val="12"/>
                              </w:rPr>
                            </w:pPr>
                            <w:r w:rsidRPr="00AC4799">
                              <w:rPr>
                                <w:sz w:val="12"/>
                                <w:szCs w:val="12"/>
                              </w:rPr>
                              <w:t>Asie-Pacifique</w:t>
                            </w:r>
                          </w:p>
                        </w:txbxContent>
                      </v:textbox>
                    </v:shape>
                  </w:pict>
                </mc:Fallback>
              </mc:AlternateContent>
            </w:r>
            <w:r w:rsidRPr="00F05A8A">
              <w:rPr>
                <w:lang w:eastAsia="fr-FR"/>
              </w:rPr>
              <mc:AlternateContent>
                <mc:Choice Requires="wps">
                  <w:drawing>
                    <wp:anchor distT="0" distB="0" distL="114300" distR="114300" simplePos="0" relativeHeight="251726848" behindDoc="0" locked="0" layoutInCell="1" allowOverlap="1" wp14:anchorId="71B8EC1D" wp14:editId="5E46F916">
                      <wp:simplePos x="0" y="0"/>
                      <wp:positionH relativeFrom="column">
                        <wp:posOffset>125730</wp:posOffset>
                      </wp:positionH>
                      <wp:positionV relativeFrom="paragraph">
                        <wp:posOffset>885825</wp:posOffset>
                      </wp:positionV>
                      <wp:extent cx="436245" cy="100965"/>
                      <wp:effectExtent l="0" t="0" r="1905" b="0"/>
                      <wp:wrapNone/>
                      <wp:docPr id="1667226715" name="Text Box 1667226715"/>
                      <wp:cNvGraphicFramePr/>
                      <a:graphic xmlns:a="http://schemas.openxmlformats.org/drawingml/2006/main">
                        <a:graphicData uri="http://schemas.microsoft.com/office/word/2010/wordprocessingShape">
                          <wps:wsp>
                            <wps:cNvSpPr txBox="1"/>
                            <wps:spPr>
                              <a:xfrm>
                                <a:off x="0" y="0"/>
                                <a:ext cx="436245" cy="100965"/>
                              </a:xfrm>
                              <a:prstGeom prst="rect">
                                <a:avLst/>
                              </a:prstGeom>
                              <a:solidFill>
                                <a:schemeClr val="bg1">
                                  <a:lumMod val="95000"/>
                                </a:schemeClr>
                              </a:solidFill>
                              <a:ln w="6350">
                                <a:noFill/>
                              </a:ln>
                            </wps:spPr>
                            <wps:txbx>
                              <w:txbxContent>
                                <w:p w14:paraId="33149389" w14:textId="77777777" w:rsidR="00756EAD" w:rsidRPr="00AC4799" w:rsidRDefault="00756EAD" w:rsidP="00D80461">
                                  <w:pPr>
                                    <w:spacing w:before="0"/>
                                    <w:rPr>
                                      <w:sz w:val="12"/>
                                      <w:szCs w:val="12"/>
                                    </w:rPr>
                                  </w:pPr>
                                  <w:r w:rsidRPr="00AC4799">
                                    <w:rPr>
                                      <w:sz w:val="12"/>
                                      <w:szCs w:val="12"/>
                                    </w:rPr>
                                    <w:t>États arabes</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EC1D" id="Text Box 1667226715" o:spid="_x0000_s1113" type="#_x0000_t202" style="position:absolute;left:0;text-align:left;margin-left:9.9pt;margin-top:69.75pt;width:34.35pt;height: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" fillcolor="#f2f2f2 [3052]" stroked="f" strokeweight=".5pt">
                      <v:textbox inset=".1mm,0,0,0">
                        <w:txbxContent>
                          <w:p w14:paraId="33149389" w14:textId="77777777" w:rsidR="00756EAD" w:rsidRPr="00AC4799" w:rsidRDefault="00756EAD" w:rsidP="00D80461">
                            <w:pPr>
                              <w:spacing w:before="0"/>
                              <w:rPr>
                                <w:sz w:val="12"/>
                                <w:szCs w:val="12"/>
                              </w:rPr>
                            </w:pPr>
                            <w:r w:rsidRPr="00AC4799">
                              <w:rPr>
                                <w:sz w:val="12"/>
                                <w:szCs w:val="12"/>
                              </w:rPr>
                              <w:t>États arabes</w:t>
                            </w:r>
                          </w:p>
                        </w:txbxContent>
                      </v:textbox>
                    </v:shape>
                  </w:pict>
                </mc:Fallback>
              </mc:AlternateContent>
            </w:r>
            <w:r w:rsidRPr="00F05A8A">
              <w:rPr>
                <w:lang w:eastAsia="fr-FR"/>
              </w:rPr>
              <mc:AlternateContent>
                <mc:Choice Requires="wps">
                  <w:drawing>
                    <wp:anchor distT="0" distB="0" distL="114300" distR="114300" simplePos="0" relativeHeight="251725824" behindDoc="0" locked="0" layoutInCell="1" allowOverlap="1" wp14:anchorId="63CEB834" wp14:editId="0C7D7C5C">
                      <wp:simplePos x="0" y="0"/>
                      <wp:positionH relativeFrom="column">
                        <wp:posOffset>294005</wp:posOffset>
                      </wp:positionH>
                      <wp:positionV relativeFrom="paragraph">
                        <wp:posOffset>768350</wp:posOffset>
                      </wp:positionV>
                      <wp:extent cx="236855" cy="117475"/>
                      <wp:effectExtent l="0" t="0" r="0" b="0"/>
                      <wp:wrapNone/>
                      <wp:docPr id="1667226714" name="Text Box 1667226714"/>
                      <wp:cNvGraphicFramePr/>
                      <a:graphic xmlns:a="http://schemas.openxmlformats.org/drawingml/2006/main">
                        <a:graphicData uri="http://schemas.microsoft.com/office/word/2010/wordprocessingShape">
                          <wps:wsp>
                            <wps:cNvSpPr txBox="1"/>
                            <wps:spPr>
                              <a:xfrm>
                                <a:off x="0" y="0"/>
                                <a:ext cx="236855" cy="117475"/>
                              </a:xfrm>
                              <a:prstGeom prst="rect">
                                <a:avLst/>
                              </a:prstGeom>
                              <a:solidFill>
                                <a:schemeClr val="lt1"/>
                              </a:solidFill>
                              <a:ln w="6350">
                                <a:noFill/>
                              </a:ln>
                            </wps:spPr>
                            <wps:txbx>
                              <w:txbxContent>
                                <w:p w14:paraId="61E60B06" w14:textId="77777777" w:rsidR="00756EAD" w:rsidRPr="00AC4799" w:rsidRDefault="00756EAD" w:rsidP="00D80461">
                                  <w:pPr>
                                    <w:spacing w:before="0"/>
                                    <w:rPr>
                                      <w:sz w:val="12"/>
                                      <w:szCs w:val="12"/>
                                    </w:rPr>
                                  </w:pPr>
                                  <w:r w:rsidRPr="00AC4799">
                                    <w:rPr>
                                      <w:sz w:val="12"/>
                                      <w:szCs w:val="12"/>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B834" id="Text Box 1667226714" o:spid="_x0000_s1114" type="#_x0000_t202" style="position:absolute;left:0;text-align:left;margin-left:23.15pt;margin-top:60.5pt;width:18.65pt;height: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" fillcolor="white [3201]" stroked="f" strokeweight=".5pt">
                      <v:textbox inset="0,0,0,0">
                        <w:txbxContent>
                          <w:p w14:paraId="61E60B06" w14:textId="77777777" w:rsidR="00756EAD" w:rsidRPr="00AC4799" w:rsidRDefault="00756EAD" w:rsidP="00D80461">
                            <w:pPr>
                              <w:spacing w:before="0"/>
                              <w:rPr>
                                <w:sz w:val="12"/>
                                <w:szCs w:val="12"/>
                              </w:rPr>
                            </w:pPr>
                            <w:r w:rsidRPr="00AC4799">
                              <w:rPr>
                                <w:sz w:val="12"/>
                                <w:szCs w:val="12"/>
                              </w:rPr>
                              <w:t>Afrique</w:t>
                            </w:r>
                          </w:p>
                        </w:txbxContent>
                      </v:textbox>
                    </v:shape>
                  </w:pict>
                </mc:Fallback>
              </mc:AlternateContent>
            </w:r>
            <w:r w:rsidRPr="00F05A8A">
              <w:rPr>
                <w:lang w:eastAsia="fr-FR"/>
              </w:rPr>
              <mc:AlternateContent>
                <mc:Choice Requires="wps">
                  <w:drawing>
                    <wp:anchor distT="0" distB="0" distL="114300" distR="114300" simplePos="0" relativeHeight="251724800" behindDoc="0" locked="0" layoutInCell="1" allowOverlap="1" wp14:anchorId="45188441" wp14:editId="5896793E">
                      <wp:simplePos x="0" y="0"/>
                      <wp:positionH relativeFrom="column">
                        <wp:posOffset>321945</wp:posOffset>
                      </wp:positionH>
                      <wp:positionV relativeFrom="paragraph">
                        <wp:posOffset>554990</wp:posOffset>
                      </wp:positionV>
                      <wp:extent cx="243840" cy="100965"/>
                      <wp:effectExtent l="0" t="0" r="3810" b="0"/>
                      <wp:wrapNone/>
                      <wp:docPr id="1667226713" name="Text Box 1667226713"/>
                      <wp:cNvGraphicFramePr/>
                      <a:graphic xmlns:a="http://schemas.openxmlformats.org/drawingml/2006/main">
                        <a:graphicData uri="http://schemas.microsoft.com/office/word/2010/wordprocessingShape">
                          <wps:wsp>
                            <wps:cNvSpPr txBox="1"/>
                            <wps:spPr>
                              <a:xfrm>
                                <a:off x="0" y="0"/>
                                <a:ext cx="243840" cy="100965"/>
                              </a:xfrm>
                              <a:prstGeom prst="rect">
                                <a:avLst/>
                              </a:prstGeom>
                              <a:solidFill>
                                <a:schemeClr val="lt1"/>
                              </a:solidFill>
                              <a:ln w="6350">
                                <a:noFill/>
                              </a:ln>
                            </wps:spPr>
                            <wps:txbx>
                              <w:txbxContent>
                                <w:p w14:paraId="67269C7D" w14:textId="77777777" w:rsidR="00756EAD" w:rsidRPr="00AC4799" w:rsidRDefault="00756EAD" w:rsidP="00D80461">
                                  <w:pPr>
                                    <w:spacing w:before="0"/>
                                    <w:rPr>
                                      <w:sz w:val="12"/>
                                      <w:szCs w:val="12"/>
                                    </w:rPr>
                                  </w:pPr>
                                  <w:r w:rsidRPr="00AC4799">
                                    <w:rPr>
                                      <w:sz w:val="12"/>
                                      <w:szCs w:val="12"/>
                                    </w:rPr>
                                    <w:t>Monde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88441" id="Text Box 1667226713" o:spid="_x0000_s1115" type="#_x0000_t202" style="position:absolute;left:0;text-align:left;margin-left:25.35pt;margin-top:43.7pt;width:19.2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" fillcolor="white [3201]" stroked="f" strokeweight=".5pt">
                      <v:textbox inset="0,0,0,0">
                        <w:txbxContent>
                          <w:p w14:paraId="67269C7D" w14:textId="77777777" w:rsidR="00756EAD" w:rsidRPr="00AC4799" w:rsidRDefault="00756EAD" w:rsidP="00D80461">
                            <w:pPr>
                              <w:spacing w:before="0"/>
                              <w:rPr>
                                <w:sz w:val="12"/>
                                <w:szCs w:val="12"/>
                              </w:rPr>
                            </w:pPr>
                            <w:r w:rsidRPr="00AC4799">
                              <w:rPr>
                                <w:sz w:val="12"/>
                                <w:szCs w:val="12"/>
                              </w:rPr>
                              <w:t>Monde</w:t>
                            </w:r>
                          </w:p>
                        </w:txbxContent>
                      </v:textbox>
                    </v:shape>
                  </w:pict>
                </mc:Fallback>
              </mc:AlternateContent>
            </w:r>
            <w:r w:rsidRPr="00F05A8A">
              <w:rPr>
                <w:lang w:eastAsia="fr-FR"/>
              </w:rPr>
              <mc:AlternateContent>
                <mc:Choice Requires="wps">
                  <w:drawing>
                    <wp:anchor distT="0" distB="0" distL="114300" distR="114300" simplePos="0" relativeHeight="251728896" behindDoc="0" locked="0" layoutInCell="1" allowOverlap="1" wp14:anchorId="1FB6323E" wp14:editId="2BB22B86">
                      <wp:simplePos x="0" y="0"/>
                      <wp:positionH relativeFrom="column">
                        <wp:posOffset>327660</wp:posOffset>
                      </wp:positionH>
                      <wp:positionV relativeFrom="paragraph">
                        <wp:posOffset>1108710</wp:posOffset>
                      </wp:positionV>
                      <wp:extent cx="124460" cy="85090"/>
                      <wp:effectExtent l="0" t="0" r="8890" b="0"/>
                      <wp:wrapNone/>
                      <wp:docPr id="1667226717" name="Text Box 1667226717"/>
                      <wp:cNvGraphicFramePr/>
                      <a:graphic xmlns:a="http://schemas.openxmlformats.org/drawingml/2006/main">
                        <a:graphicData uri="http://schemas.microsoft.com/office/word/2010/wordprocessingShape">
                          <wps:wsp>
                            <wps:cNvSpPr txBox="1"/>
                            <wps:spPr>
                              <a:xfrm>
                                <a:off x="0" y="0"/>
                                <a:ext cx="124460" cy="85090"/>
                              </a:xfrm>
                              <a:prstGeom prst="rect">
                                <a:avLst/>
                              </a:prstGeom>
                              <a:solidFill>
                                <a:schemeClr val="bg1">
                                  <a:lumMod val="95000"/>
                                </a:schemeClr>
                              </a:solidFill>
                              <a:ln w="6350">
                                <a:noFill/>
                              </a:ln>
                            </wps:spPr>
                            <wps:txbx>
                              <w:txbxContent>
                                <w:p w14:paraId="0AE48680" w14:textId="77777777" w:rsidR="00756EAD" w:rsidRPr="00AC4799" w:rsidRDefault="00756EAD" w:rsidP="00D80461">
                                  <w:pPr>
                                    <w:spacing w:before="0"/>
                                    <w:rPr>
                                      <w:sz w:val="12"/>
                                      <w:szCs w:val="12"/>
                                    </w:rPr>
                                  </w:pPr>
                                  <w:r w:rsidRPr="00AC4799">
                                    <w:rPr>
                                      <w:sz w:val="12"/>
                                      <w:szCs w:val="12"/>
                                    </w:rPr>
                                    <w:t>CEI</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323E" id="Text Box 1667226717" o:spid="_x0000_s1116" type="#_x0000_t202" style="position:absolute;left:0;text-align:left;margin-left:25.8pt;margin-top:87.3pt;width:9.8pt;height: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" fillcolor="#f2f2f2 [3052]" stroked="f" strokeweight=".5pt">
                      <v:textbox inset=".1mm,0,0,0">
                        <w:txbxContent>
                          <w:p w14:paraId="0AE48680" w14:textId="77777777" w:rsidR="00756EAD" w:rsidRPr="00AC4799" w:rsidRDefault="00756EAD" w:rsidP="00D80461">
                            <w:pPr>
                              <w:spacing w:before="0"/>
                              <w:rPr>
                                <w:sz w:val="12"/>
                                <w:szCs w:val="12"/>
                              </w:rPr>
                            </w:pPr>
                            <w:r w:rsidRPr="00AC4799">
                              <w:rPr>
                                <w:sz w:val="12"/>
                                <w:szCs w:val="12"/>
                              </w:rPr>
                              <w:t>CEI</w:t>
                            </w:r>
                          </w:p>
                        </w:txbxContent>
                      </v:textbox>
                    </v:shape>
                  </w:pict>
                </mc:Fallback>
              </mc:AlternateContent>
            </w:r>
            <w:r w:rsidRPr="00F05A8A">
              <w:rPr>
                <w:lang w:eastAsia="fr-FR"/>
              </w:rPr>
              <mc:AlternateContent>
                <mc:Choice Requires="wps">
                  <w:drawing>
                    <wp:anchor distT="0" distB="0" distL="114300" distR="114300" simplePos="0" relativeHeight="251723776" behindDoc="0" locked="0" layoutInCell="1" allowOverlap="1" wp14:anchorId="6D3C7397" wp14:editId="432B65BC">
                      <wp:simplePos x="0" y="0"/>
                      <wp:positionH relativeFrom="column">
                        <wp:posOffset>319405</wp:posOffset>
                      </wp:positionH>
                      <wp:positionV relativeFrom="paragraph">
                        <wp:posOffset>460375</wp:posOffset>
                      </wp:positionV>
                      <wp:extent cx="1894840" cy="82550"/>
                      <wp:effectExtent l="0" t="0" r="0" b="0"/>
                      <wp:wrapNone/>
                      <wp:docPr id="1667226712" name="Text Box 1667226712"/>
                      <wp:cNvGraphicFramePr/>
                      <a:graphic xmlns:a="http://schemas.openxmlformats.org/drawingml/2006/main">
                        <a:graphicData uri="http://schemas.microsoft.com/office/word/2010/wordprocessingShape">
                          <wps:wsp>
                            <wps:cNvSpPr txBox="1"/>
                            <wps:spPr>
                              <a:xfrm>
                                <a:off x="0" y="0"/>
                                <a:ext cx="1894840" cy="82550"/>
                              </a:xfrm>
                              <a:prstGeom prst="rect">
                                <a:avLst/>
                              </a:prstGeom>
                              <a:solidFill>
                                <a:schemeClr val="lt1"/>
                              </a:solidFill>
                              <a:ln w="6350">
                                <a:noFill/>
                              </a:ln>
                            </wps:spPr>
                            <wps:txbx>
                              <w:txbxContent>
                                <w:p w14:paraId="6EDEA31F" w14:textId="77777777" w:rsidR="00756EAD" w:rsidRPr="00194493" w:rsidRDefault="00756EAD" w:rsidP="00D80461">
                                  <w:pPr>
                                    <w:spacing w:before="0"/>
                                    <w:rPr>
                                      <w:sz w:val="10"/>
                                      <w:szCs w:val="10"/>
                                    </w:rPr>
                                  </w:pPr>
                                  <w:r w:rsidRPr="00194493">
                                    <w:rPr>
                                      <w:noProof/>
                                      <w:color w:val="00B0F0"/>
                                      <w:sz w:val="10"/>
                                      <w:szCs w:val="10"/>
                                      <w:lang w:eastAsia="en-GB"/>
                                    </w:rPr>
                                    <w:t>Pourcentage des femmes et des hommes qui utilisent Internet,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7397" id="Text Box 1667226712" o:spid="_x0000_s1117" type="#_x0000_t202" style="position:absolute;left:0;text-align:left;margin-left:25.15pt;margin-top:36.25pt;width:149.2pt;height: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" fillcolor="white [3201]" stroked="f" strokeweight=".5pt">
                      <v:textbox inset="0,0,0,0">
                        <w:txbxContent>
                          <w:p w14:paraId="6EDEA31F" w14:textId="77777777" w:rsidR="00756EAD" w:rsidRPr="00194493" w:rsidRDefault="00756EAD" w:rsidP="00D80461">
                            <w:pPr>
                              <w:spacing w:before="0"/>
                              <w:rPr>
                                <w:sz w:val="10"/>
                                <w:szCs w:val="10"/>
                              </w:rPr>
                            </w:pPr>
                            <w:r w:rsidRPr="00194493">
                              <w:rPr>
                                <w:noProof/>
                                <w:color w:val="00B0F0"/>
                                <w:sz w:val="10"/>
                                <w:szCs w:val="10"/>
                                <w:lang w:eastAsia="en-GB"/>
                              </w:rPr>
                              <w:t>Pourcentage des femmes et des hommes qui utilisent Internet, 2020</w:t>
                            </w:r>
                          </w:p>
                        </w:txbxContent>
                      </v:textbox>
                    </v:shape>
                  </w:pict>
                </mc:Fallback>
              </mc:AlternateContent>
            </w:r>
            <w:r w:rsidRPr="00F05A8A">
              <w:rPr>
                <w:lang w:eastAsia="fr-FR"/>
              </w:rPr>
              <w:drawing>
                <wp:inline distT="0" distB="0" distL="0" distR="0" wp14:anchorId="72EABD21" wp14:editId="3266810B">
                  <wp:extent cx="2771775" cy="2211705"/>
                  <wp:effectExtent l="0" t="0" r="9525" b="0"/>
                  <wp:docPr id="1257977763" name="Picture 12579777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3" name="Picture 1257977763" descr="Chart, bar chart&#10;&#10;Description automatically generated"/>
                          <pic:cNvPicPr>
                            <a:picLocks noChangeAspect="1"/>
                          </pic:cNvPicPr>
                        </pic:nvPicPr>
                        <pic:blipFill>
                          <a:blip r:embed="rId391"/>
                          <a:stretch>
                            <a:fillRect/>
                          </a:stretch>
                        </pic:blipFill>
                        <pic:spPr>
                          <a:xfrm>
                            <a:off x="0" y="0"/>
                            <a:ext cx="2771775" cy="2211705"/>
                          </a:xfrm>
                          <a:prstGeom prst="rect">
                            <a:avLst/>
                          </a:prstGeom>
                          <a:solidFill>
                            <a:schemeClr val="bg1">
                              <a:lumMod val="95000"/>
                            </a:schemeClr>
                          </a:solidFill>
                        </pic:spPr>
                      </pic:pic>
                    </a:graphicData>
                  </a:graphic>
                </wp:inline>
              </w:drawing>
            </w:r>
          </w:p>
          <w:p w14:paraId="515E4FCB" w14:textId="77777777" w:rsidR="00D80461" w:rsidRPr="00F05A8A" w:rsidRDefault="00D80461" w:rsidP="002F075E">
            <w:pPr>
              <w:spacing w:after="120"/>
              <w:jc w:val="center"/>
              <w:rPr>
                <w:sz w:val="2"/>
                <w:szCs w:val="2"/>
              </w:rPr>
            </w:pPr>
          </w:p>
          <w:p w14:paraId="2A280E2B" w14:textId="77777777" w:rsidR="00D80461" w:rsidRPr="00F05A8A" w:rsidRDefault="00D80461" w:rsidP="002F075E">
            <w:pPr>
              <w:jc w:val="center"/>
              <w:rPr>
                <w:b/>
                <w:bCs/>
                <w:sz w:val="2"/>
                <w:szCs w:val="2"/>
              </w:rPr>
            </w:pPr>
          </w:p>
        </w:tc>
        <w:tc>
          <w:tcPr>
            <w:tcW w:w="5115" w:type="dxa"/>
            <w:vAlign w:val="center"/>
          </w:tcPr>
          <w:p w14:paraId="5DB43EEB" w14:textId="77777777" w:rsidR="00D80461" w:rsidRPr="00F05A8A" w:rsidRDefault="00D80461" w:rsidP="002F075E">
            <w:pPr>
              <w:jc w:val="center"/>
              <w:rPr>
                <w:b/>
                <w:bCs/>
              </w:rPr>
            </w:pPr>
            <w:r w:rsidRPr="00F05A8A">
              <w:rPr>
                <w:sz w:val="2"/>
                <w:szCs w:val="2"/>
                <w:lang w:eastAsia="fr-FR"/>
              </w:rPr>
              <mc:AlternateContent>
                <mc:Choice Requires="wps">
                  <w:drawing>
                    <wp:anchor distT="0" distB="0" distL="114300" distR="114300" simplePos="0" relativeHeight="251740160" behindDoc="0" locked="0" layoutInCell="1" allowOverlap="1" wp14:anchorId="217145C2" wp14:editId="118DF740">
                      <wp:simplePos x="0" y="0"/>
                      <wp:positionH relativeFrom="column">
                        <wp:posOffset>-100330</wp:posOffset>
                      </wp:positionH>
                      <wp:positionV relativeFrom="paragraph">
                        <wp:posOffset>1782445</wp:posOffset>
                      </wp:positionV>
                      <wp:extent cx="3255645" cy="980440"/>
                      <wp:effectExtent l="0" t="0" r="1905" b="0"/>
                      <wp:wrapNone/>
                      <wp:docPr id="35" name="Text Box 35"/>
                      <wp:cNvGraphicFramePr/>
                      <a:graphic xmlns:a="http://schemas.openxmlformats.org/drawingml/2006/main">
                        <a:graphicData uri="http://schemas.microsoft.com/office/word/2010/wordprocessingShape">
                          <wps:wsp>
                            <wps:cNvSpPr txBox="1"/>
                            <wps:spPr>
                              <a:xfrm>
                                <a:off x="0" y="0"/>
                                <a:ext cx="3255645" cy="980440"/>
                              </a:xfrm>
                              <a:prstGeom prst="rect">
                                <a:avLst/>
                              </a:prstGeom>
                              <a:solidFill>
                                <a:schemeClr val="lt1"/>
                              </a:solidFill>
                              <a:ln w="6350">
                                <a:noFill/>
                              </a:ln>
                            </wps:spPr>
                            <wps:txbx>
                              <w:txbxContent>
                                <w:p w14:paraId="134DBF78" w14:textId="77777777" w:rsidR="00756EAD" w:rsidRPr="00E602D7" w:rsidRDefault="00756EAD" w:rsidP="00D80461">
                                  <w:pPr>
                                    <w:spacing w:before="0"/>
                                    <w:rPr>
                                      <w:noProof/>
                                      <w:sz w:val="12"/>
                                      <w:szCs w:val="12"/>
                                      <w:lang w:eastAsia="en-GB"/>
                                    </w:rPr>
                                  </w:pPr>
                                  <w:r w:rsidRPr="00E602D7">
                                    <w:rPr>
                                      <w:b/>
                                      <w:bCs/>
                                      <w:noProof/>
                                      <w:sz w:val="12"/>
                                      <w:szCs w:val="12"/>
                                      <w:lang w:eastAsia="en-GB"/>
                                    </w:rPr>
                                    <w:t>Notes</w:t>
                                  </w:r>
                                  <w:r w:rsidRPr="00E602D7">
                                    <w:rPr>
                                      <w:noProof/>
                                      <w:sz w:val="12"/>
                                      <w:szCs w:val="12"/>
                                      <w:lang w:eastAsia="en-GB"/>
                                    </w:rPr>
                                    <w:t>: La note de parité des sexes est calculée comme la proportion de femmes possédant un téléphone mobile divisée par la proportion d'hommes possédant un téléphone mobile. Une valeur inférieure à 1 indique qu'une plus grande proportion d'hommes que de femmes possèdent un téléphone mobile. Un valeur supérieure à 1 indique le contraire. Les valeurs comprises entre 0,98 et 1,02 correspondent à une parité hommes/femmes.</w:t>
                                  </w:r>
                                </w:p>
                                <w:p w14:paraId="28B716DE" w14:textId="77777777" w:rsidR="00756EAD" w:rsidRDefault="00756EAD" w:rsidP="00D80461">
                                  <w:pPr>
                                    <w:spacing w:before="0"/>
                                    <w:rPr>
                                      <w:noProof/>
                                      <w:sz w:val="12"/>
                                      <w:szCs w:val="12"/>
                                      <w:lang w:eastAsia="en-GB"/>
                                    </w:rPr>
                                  </w:pPr>
                                  <w:r w:rsidRPr="00E602D7">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p w14:paraId="12F505F0" w14:textId="77777777" w:rsidR="00756EAD" w:rsidRPr="006161A2" w:rsidRDefault="00756EAD" w:rsidP="00D80461">
                                  <w:pPr>
                                    <w:spacing w:before="0"/>
                                    <w:rPr>
                                      <w:sz w:val="7"/>
                                      <w:szCs w:val="7"/>
                                    </w:rPr>
                                  </w:pPr>
                                  <w:r w:rsidRPr="00070D51">
                                    <w:rPr>
                                      <w:noProof/>
                                      <w:sz w:val="12"/>
                                      <w:szCs w:val="12"/>
                                      <w:lang w:eastAsia="en-GB"/>
                                    </w:rPr>
                                    <w:t>Placez le curseur sur les barres pour faire ressortir les pays correspondants</w:t>
                                  </w:r>
                                  <w:r w:rsidRPr="006161A2">
                                    <w:rPr>
                                      <w:noProof/>
                                      <w:sz w:val="12"/>
                                      <w:szCs w:val="12"/>
                                      <w:lang w:eastAsia="en-GB"/>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45C2" id="Text Box 35" o:spid="_x0000_s1118" type="#_x0000_t202" style="position:absolute;left:0;text-align:left;margin-left:-7.9pt;margin-top:140.35pt;width:256.35pt;height:7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" fillcolor="white [3201]" stroked="f" strokeweight=".5pt">
                      <v:textbox inset="0,0,0,0">
                        <w:txbxContent>
                          <w:p w14:paraId="134DBF78" w14:textId="77777777" w:rsidR="00756EAD" w:rsidRPr="00E602D7" w:rsidRDefault="00756EAD" w:rsidP="00D80461">
                            <w:pPr>
                              <w:spacing w:before="0"/>
                              <w:rPr>
                                <w:noProof/>
                                <w:sz w:val="12"/>
                                <w:szCs w:val="12"/>
                                <w:lang w:eastAsia="en-GB"/>
                              </w:rPr>
                            </w:pPr>
                            <w:r w:rsidRPr="00E602D7">
                              <w:rPr>
                                <w:b/>
                                <w:bCs/>
                                <w:noProof/>
                                <w:sz w:val="12"/>
                                <w:szCs w:val="12"/>
                                <w:lang w:eastAsia="en-GB"/>
                              </w:rPr>
                              <w:t>Notes</w:t>
                            </w:r>
                            <w:r w:rsidRPr="00E602D7">
                              <w:rPr>
                                <w:noProof/>
                                <w:sz w:val="12"/>
                                <w:szCs w:val="12"/>
                                <w:lang w:eastAsia="en-GB"/>
                              </w:rPr>
                              <w:t>: La note de parité des sexes est calculée comme la proportion de femmes possédant un téléphone mobile divisée par la proportion d'hommes possédant un téléphone mobile. Une valeur inférieure à 1 indique qu'une plus grande proportion d'hommes que de femmes possèdent un téléphone mobile. Un valeur supérieure à 1 indique le contraire. Les valeurs comprises entre 0,98 et 1,02 correspondent à une parité hommes/femmes.</w:t>
                            </w:r>
                          </w:p>
                          <w:p w14:paraId="28B716DE" w14:textId="77777777" w:rsidR="00756EAD" w:rsidRDefault="00756EAD" w:rsidP="00D80461">
                            <w:pPr>
                              <w:spacing w:before="0"/>
                              <w:rPr>
                                <w:noProof/>
                                <w:sz w:val="12"/>
                                <w:szCs w:val="12"/>
                                <w:lang w:eastAsia="en-GB"/>
                              </w:rPr>
                            </w:pPr>
                            <w:r w:rsidRPr="00E602D7">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p w14:paraId="12F505F0" w14:textId="77777777" w:rsidR="00756EAD" w:rsidRPr="006161A2" w:rsidRDefault="00756EAD" w:rsidP="00D80461">
                            <w:pPr>
                              <w:spacing w:before="0"/>
                              <w:rPr>
                                <w:sz w:val="7"/>
                                <w:szCs w:val="7"/>
                              </w:rPr>
                            </w:pPr>
                            <w:r w:rsidRPr="00070D51">
                              <w:rPr>
                                <w:noProof/>
                                <w:sz w:val="12"/>
                                <w:szCs w:val="12"/>
                                <w:lang w:eastAsia="en-GB"/>
                              </w:rPr>
                              <w:t>Placez le curseur sur les barres pour faire ressortir les pays correspondants</w:t>
                            </w:r>
                            <w:r w:rsidRPr="006161A2">
                              <w:rPr>
                                <w:noProof/>
                                <w:sz w:val="12"/>
                                <w:szCs w:val="12"/>
                                <w:lang w:eastAsia="en-GB"/>
                              </w:rPr>
                              <w:br/>
                            </w:r>
                          </w:p>
                        </w:txbxContent>
                      </v:textbox>
                    </v:shape>
                  </w:pict>
                </mc:Fallback>
              </mc:AlternateContent>
            </w:r>
            <w:r w:rsidRPr="00F05A8A">
              <w:rPr>
                <w:lang w:eastAsia="fr-FR"/>
              </w:rPr>
              <mc:AlternateContent>
                <mc:Choice Requires="wps">
                  <w:drawing>
                    <wp:anchor distT="0" distB="0" distL="114300" distR="114300" simplePos="0" relativeHeight="251722752" behindDoc="0" locked="0" layoutInCell="1" allowOverlap="1" wp14:anchorId="0E530894" wp14:editId="227CBD54">
                      <wp:simplePos x="0" y="0"/>
                      <wp:positionH relativeFrom="column">
                        <wp:posOffset>163195</wp:posOffset>
                      </wp:positionH>
                      <wp:positionV relativeFrom="paragraph">
                        <wp:posOffset>-61595</wp:posOffset>
                      </wp:positionV>
                      <wp:extent cx="2122170" cy="309880"/>
                      <wp:effectExtent l="0" t="0" r="0" b="0"/>
                      <wp:wrapNone/>
                      <wp:docPr id="1667226711" name="Text Box 1667226711"/>
                      <wp:cNvGraphicFramePr/>
                      <a:graphic xmlns:a="http://schemas.openxmlformats.org/drawingml/2006/main">
                        <a:graphicData uri="http://schemas.microsoft.com/office/word/2010/wordprocessingShape">
                          <wps:wsp>
                            <wps:cNvSpPr txBox="1"/>
                            <wps:spPr>
                              <a:xfrm>
                                <a:off x="0" y="0"/>
                                <a:ext cx="2122170" cy="309880"/>
                              </a:xfrm>
                              <a:prstGeom prst="rect">
                                <a:avLst/>
                              </a:prstGeom>
                              <a:solidFill>
                                <a:schemeClr val="lt1"/>
                              </a:solidFill>
                              <a:ln w="6350">
                                <a:noFill/>
                              </a:ln>
                            </wps:spPr>
                            <wps:txbx>
                              <w:txbxContent>
                                <w:p w14:paraId="37C8B2EE" w14:textId="77777777" w:rsidR="00756EAD" w:rsidRPr="00194493" w:rsidRDefault="00756EAD" w:rsidP="00D80461">
                                  <w:pPr>
                                    <w:spacing w:before="0"/>
                                    <w:rPr>
                                      <w:noProof/>
                                      <w:color w:val="00B0F0"/>
                                      <w:sz w:val="14"/>
                                      <w:szCs w:val="14"/>
                                      <w:lang w:eastAsia="en-GB"/>
                                    </w:rPr>
                                  </w:pPr>
                                  <w:r w:rsidRPr="00194493">
                                    <w:rPr>
                                      <w:noProof/>
                                      <w:color w:val="00B0F0"/>
                                      <w:sz w:val="14"/>
                                      <w:szCs w:val="14"/>
                                      <w:lang w:eastAsia="en-GB"/>
                                    </w:rPr>
                                    <w:t>Note de parité des sexes pour la possession de téléphones mobiles, année la plus récente dans la période 2018-2020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0894" id="Text Box 1667226711" o:spid="_x0000_s1119" type="#_x0000_t202" style="position:absolute;left:0;text-align:left;margin-left:12.85pt;margin-top:-4.85pt;width:167.1pt;height:2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" fillcolor="white [3201]" stroked="f" strokeweight=".5pt">
                      <v:textbox inset="0,0,0,0">
                        <w:txbxContent>
                          <w:p w14:paraId="37C8B2EE" w14:textId="77777777" w:rsidR="00756EAD" w:rsidRPr="00194493" w:rsidRDefault="00756EAD" w:rsidP="00D80461">
                            <w:pPr>
                              <w:spacing w:before="0"/>
                              <w:rPr>
                                <w:noProof/>
                                <w:color w:val="00B0F0"/>
                                <w:sz w:val="14"/>
                                <w:szCs w:val="14"/>
                                <w:lang w:eastAsia="en-GB"/>
                              </w:rPr>
                            </w:pPr>
                            <w:r w:rsidRPr="00194493">
                              <w:rPr>
                                <w:noProof/>
                                <w:color w:val="00B0F0"/>
                                <w:sz w:val="14"/>
                                <w:szCs w:val="14"/>
                                <w:lang w:eastAsia="en-GB"/>
                              </w:rPr>
                              <w:t>Note de parité des sexes pour la possession de téléphones mobiles, année la plus récente dans la période 2018-2020</w:t>
                            </w:r>
                          </w:p>
                        </w:txbxContent>
                      </v:textbox>
                    </v:shape>
                  </w:pict>
                </mc:Fallback>
              </mc:AlternateContent>
            </w:r>
            <w:r w:rsidRPr="00F05A8A">
              <w:rPr>
                <w:lang w:eastAsia="fr-FR"/>
              </w:rPr>
              <mc:AlternateContent>
                <mc:Choice Requires="wps">
                  <w:drawing>
                    <wp:anchor distT="0" distB="0" distL="114300" distR="114300" simplePos="0" relativeHeight="251738112" behindDoc="0" locked="0" layoutInCell="1" allowOverlap="1" wp14:anchorId="267815C3" wp14:editId="67E78FF0">
                      <wp:simplePos x="0" y="0"/>
                      <wp:positionH relativeFrom="column">
                        <wp:posOffset>195580</wp:posOffset>
                      </wp:positionH>
                      <wp:positionV relativeFrom="paragraph">
                        <wp:posOffset>1670685</wp:posOffset>
                      </wp:positionV>
                      <wp:extent cx="419100" cy="95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9100" cy="95250"/>
                              </a:xfrm>
                              <a:prstGeom prst="rect">
                                <a:avLst/>
                              </a:prstGeom>
                              <a:solidFill>
                                <a:schemeClr val="lt1"/>
                              </a:solidFill>
                              <a:ln w="6350">
                                <a:noFill/>
                              </a:ln>
                            </wps:spPr>
                            <wps:txbx>
                              <w:txbxContent>
                                <w:p w14:paraId="73E9A1AE" w14:textId="77777777" w:rsidR="00756EAD" w:rsidRPr="00F34EC1" w:rsidRDefault="00756EAD" w:rsidP="00D80461">
                                  <w:pPr>
                                    <w:spacing w:before="0"/>
                                    <w:rPr>
                                      <w:sz w:val="12"/>
                                      <w:szCs w:val="12"/>
                                    </w:rPr>
                                  </w:pPr>
                                  <w:r w:rsidRPr="00F34EC1">
                                    <w:rPr>
                                      <w:sz w:val="12"/>
                                      <w:szCs w:val="12"/>
                                    </w:rPr>
                                    <w:t>Source: UIT</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15C3" id="Text Box 13" o:spid="_x0000_s1120" type="#_x0000_t202" style="position:absolute;left:0;text-align:left;margin-left:15.4pt;margin-top:131.55pt;width:33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" fillcolor="white [3201]" stroked="f" strokeweight=".5pt">
                      <v:textbox inset="0,0,0,0">
                        <w:txbxContent>
                          <w:p w14:paraId="73E9A1AE" w14:textId="77777777" w:rsidR="00756EAD" w:rsidRPr="00F34EC1" w:rsidRDefault="00756EAD" w:rsidP="00D80461">
                            <w:pPr>
                              <w:spacing w:before="0"/>
                              <w:rPr>
                                <w:sz w:val="12"/>
                                <w:szCs w:val="12"/>
                              </w:rPr>
                            </w:pPr>
                            <w:r w:rsidRPr="00F34EC1">
                              <w:rPr>
                                <w:sz w:val="12"/>
                                <w:szCs w:val="12"/>
                              </w:rPr>
                              <w:t>Source: UIT</w:t>
                            </w:r>
                            <w:r>
                              <w:rPr>
                                <w:sz w:val="12"/>
                                <w:szCs w:val="12"/>
                              </w:rPr>
                              <w:t>.</w:t>
                            </w:r>
                          </w:p>
                        </w:txbxContent>
                      </v:textbox>
                    </v:shape>
                  </w:pict>
                </mc:Fallback>
              </mc:AlternateContent>
            </w:r>
            <w:r w:rsidRPr="00F05A8A">
              <w:rPr>
                <w:lang w:eastAsia="fr-FR"/>
              </w:rPr>
              <mc:AlternateContent>
                <mc:Choice Requires="wps">
                  <w:drawing>
                    <wp:anchor distT="0" distB="0" distL="114300" distR="114300" simplePos="0" relativeHeight="251739136" behindDoc="0" locked="0" layoutInCell="1" allowOverlap="1" wp14:anchorId="3989C992" wp14:editId="7606C8A4">
                      <wp:simplePos x="0" y="0"/>
                      <wp:positionH relativeFrom="column">
                        <wp:posOffset>2566670</wp:posOffset>
                      </wp:positionH>
                      <wp:positionV relativeFrom="paragraph">
                        <wp:posOffset>454660</wp:posOffset>
                      </wp:positionV>
                      <wp:extent cx="303530" cy="86360"/>
                      <wp:effectExtent l="0" t="0" r="1270" b="8890"/>
                      <wp:wrapNone/>
                      <wp:docPr id="25" name="Text Box 25"/>
                      <wp:cNvGraphicFramePr/>
                      <a:graphic xmlns:a="http://schemas.openxmlformats.org/drawingml/2006/main">
                        <a:graphicData uri="http://schemas.microsoft.com/office/word/2010/wordprocessingShape">
                          <wps:wsp>
                            <wps:cNvSpPr txBox="1"/>
                            <wps:spPr>
                              <a:xfrm>
                                <a:off x="0" y="0"/>
                                <a:ext cx="303530" cy="86360"/>
                              </a:xfrm>
                              <a:prstGeom prst="rect">
                                <a:avLst/>
                              </a:prstGeom>
                              <a:solidFill>
                                <a:schemeClr val="lt1"/>
                              </a:solidFill>
                              <a:ln w="6350">
                                <a:noFill/>
                              </a:ln>
                            </wps:spPr>
                            <wps:txbx>
                              <w:txbxContent>
                                <w:p w14:paraId="5E737209" w14:textId="77777777" w:rsidR="00756EAD" w:rsidRPr="00743FB5" w:rsidRDefault="00756EAD" w:rsidP="00D80461">
                                  <w:pPr>
                                    <w:spacing w:before="0"/>
                                    <w:rPr>
                                      <w:sz w:val="10"/>
                                      <w:szCs w:val="10"/>
                                    </w:rPr>
                                  </w:pPr>
                                  <w:r w:rsidRPr="00743FB5">
                                    <w:rPr>
                                      <w:sz w:val="10"/>
                                      <w:szCs w:val="10"/>
                                    </w:rPr>
                                    <w:t>2 pays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C992" id="Text Box 25" o:spid="_x0000_s1121" type="#_x0000_t202" style="position:absolute;left:0;text-align:left;margin-left:202.1pt;margin-top:35.8pt;width:23.9pt;height: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" fillcolor="white [3201]" stroked="f" strokeweight=".5pt">
                      <v:textbox inset="0,0,0,0">
                        <w:txbxContent>
                          <w:p w14:paraId="5E737209" w14:textId="77777777" w:rsidR="00756EAD" w:rsidRPr="00743FB5" w:rsidRDefault="00756EAD" w:rsidP="00D80461">
                            <w:pPr>
                              <w:spacing w:before="0"/>
                              <w:rPr>
                                <w:sz w:val="10"/>
                                <w:szCs w:val="10"/>
                              </w:rPr>
                            </w:pPr>
                            <w:r w:rsidRPr="00743FB5">
                              <w:rPr>
                                <w:sz w:val="10"/>
                                <w:szCs w:val="10"/>
                              </w:rPr>
                              <w:t>2 pays</w:t>
                            </w:r>
                          </w:p>
                        </w:txbxContent>
                      </v:textbox>
                    </v:shape>
                  </w:pict>
                </mc:Fallback>
              </mc:AlternateContent>
            </w:r>
            <w:r w:rsidRPr="00F05A8A">
              <w:rPr>
                <w:lang w:eastAsia="fr-FR"/>
              </w:rPr>
              <w:drawing>
                <wp:inline distT="0" distB="0" distL="0" distR="0" wp14:anchorId="7D4C3D47" wp14:editId="70D7B6D0">
                  <wp:extent cx="3154680" cy="2039620"/>
                  <wp:effectExtent l="0" t="0" r="7620" b="0"/>
                  <wp:docPr id="1257977764" name="Picture 125797776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4" name="Picture 1257977764" descr="Map&#10;&#10;Description automatically generated"/>
                          <pic:cNvPicPr>
                            <a:picLocks noChangeAspect="1"/>
                          </pic:cNvPicPr>
                        </pic:nvPicPr>
                        <pic:blipFill>
                          <a:blip r:embed="rId392"/>
                          <a:stretch>
                            <a:fillRect/>
                          </a:stretch>
                        </pic:blipFill>
                        <pic:spPr>
                          <a:xfrm>
                            <a:off x="0" y="0"/>
                            <a:ext cx="3154680" cy="2039620"/>
                          </a:xfrm>
                          <a:prstGeom prst="rect">
                            <a:avLst/>
                          </a:prstGeom>
                        </pic:spPr>
                      </pic:pic>
                    </a:graphicData>
                  </a:graphic>
                </wp:inline>
              </w:drawing>
            </w:r>
          </w:p>
        </w:tc>
      </w:tr>
      <w:tr w:rsidR="00D80461" w:rsidRPr="00F05A8A" w14:paraId="3DEA84ED" w14:textId="77777777" w:rsidTr="00142C01">
        <w:trPr>
          <w:jc w:val="center"/>
        </w:trPr>
        <w:tc>
          <w:tcPr>
            <w:tcW w:w="9639" w:type="dxa"/>
            <w:gridSpan w:val="2"/>
            <w:vAlign w:val="center"/>
          </w:tcPr>
          <w:p w14:paraId="04A680EE" w14:textId="77777777" w:rsidR="00D80461" w:rsidRPr="00F05A8A" w:rsidRDefault="00D80461" w:rsidP="002F075E">
            <w:pPr>
              <w:spacing w:after="120"/>
              <w:jc w:val="center"/>
              <w:rPr>
                <w:b/>
                <w:bCs/>
                <w:sz w:val="20"/>
              </w:rPr>
            </w:pPr>
            <w:r w:rsidRPr="00F05A8A">
              <w:rPr>
                <w:lang w:eastAsia="fr-FR"/>
              </w:rPr>
              <mc:AlternateContent>
                <mc:Choice Requires="wps">
                  <w:drawing>
                    <wp:anchor distT="0" distB="0" distL="114300" distR="114300" simplePos="0" relativeHeight="251755520" behindDoc="0" locked="0" layoutInCell="1" allowOverlap="1" wp14:anchorId="1E8D4AAB" wp14:editId="2D763466">
                      <wp:simplePos x="0" y="0"/>
                      <wp:positionH relativeFrom="column">
                        <wp:posOffset>1248410</wp:posOffset>
                      </wp:positionH>
                      <wp:positionV relativeFrom="paragraph">
                        <wp:posOffset>2798445</wp:posOffset>
                      </wp:positionV>
                      <wp:extent cx="412750" cy="139700"/>
                      <wp:effectExtent l="0" t="0" r="6350" b="0"/>
                      <wp:wrapNone/>
                      <wp:docPr id="1257977732" name="Text Box 1257977732"/>
                      <wp:cNvGraphicFramePr/>
                      <a:graphic xmlns:a="http://schemas.openxmlformats.org/drawingml/2006/main">
                        <a:graphicData uri="http://schemas.microsoft.com/office/word/2010/wordprocessingShape">
                          <wps:wsp>
                            <wps:cNvSpPr txBox="1"/>
                            <wps:spPr>
                              <a:xfrm>
                                <a:off x="0" y="0"/>
                                <a:ext cx="412750" cy="139700"/>
                              </a:xfrm>
                              <a:prstGeom prst="rect">
                                <a:avLst/>
                              </a:prstGeom>
                              <a:solidFill>
                                <a:schemeClr val="lt1"/>
                              </a:solidFill>
                              <a:ln w="6350">
                                <a:noFill/>
                              </a:ln>
                            </wps:spPr>
                            <wps:txbx>
                              <w:txbxContent>
                                <w:p w14:paraId="7DBC5FC7" w14:textId="77777777" w:rsidR="00756EAD" w:rsidRPr="00E602D7" w:rsidRDefault="00756EAD" w:rsidP="00D80461">
                                  <w:pPr>
                                    <w:spacing w:before="0"/>
                                    <w:rPr>
                                      <w:sz w:val="12"/>
                                      <w:szCs w:val="12"/>
                                    </w:rPr>
                                  </w:pPr>
                                  <w:r w:rsidRPr="00E602D7">
                                    <w:rPr>
                                      <w:sz w:val="12"/>
                                      <w:szCs w:val="12"/>
                                    </w:rPr>
                                    <w:t>Source</w:t>
                                  </w:r>
                                  <w:r>
                                    <w:rPr>
                                      <w:sz w:val="12"/>
                                      <w:szCs w:val="12"/>
                                    </w:rPr>
                                    <w:t>:</w:t>
                                  </w:r>
                                  <w:r w:rsidRPr="00E602D7">
                                    <w:rPr>
                                      <w:sz w:val="12"/>
                                      <w:szCs w:val="12"/>
                                    </w:rPr>
                                    <w:t xml:space="preserve"> UIT</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4AAB" id="Text Box 1257977732" o:spid="_x0000_s1122" type="#_x0000_t202" style="position:absolute;left:0;text-align:left;margin-left:98.3pt;margin-top:220.35pt;width:32.5pt;height:1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" fillcolor="white [3201]" stroked="f" strokeweight=".5pt">
                      <v:textbox inset="0,0,0,0">
                        <w:txbxContent>
                          <w:p w14:paraId="7DBC5FC7" w14:textId="77777777" w:rsidR="00756EAD" w:rsidRPr="00E602D7" w:rsidRDefault="00756EAD" w:rsidP="00D80461">
                            <w:pPr>
                              <w:spacing w:before="0"/>
                              <w:rPr>
                                <w:sz w:val="12"/>
                                <w:szCs w:val="12"/>
                              </w:rPr>
                            </w:pPr>
                            <w:r w:rsidRPr="00E602D7">
                              <w:rPr>
                                <w:sz w:val="12"/>
                                <w:szCs w:val="12"/>
                              </w:rPr>
                              <w:t>Source</w:t>
                            </w:r>
                            <w:r>
                              <w:rPr>
                                <w:sz w:val="12"/>
                                <w:szCs w:val="12"/>
                              </w:rPr>
                              <w:t>:</w:t>
                            </w:r>
                            <w:r w:rsidRPr="00E602D7">
                              <w:rPr>
                                <w:sz w:val="12"/>
                                <w:szCs w:val="12"/>
                              </w:rPr>
                              <w:t xml:space="preserve"> UIT</w:t>
                            </w:r>
                            <w:r>
                              <w:rPr>
                                <w:sz w:val="12"/>
                                <w:szCs w:val="12"/>
                              </w:rPr>
                              <w:t>.</w:t>
                            </w:r>
                          </w:p>
                        </w:txbxContent>
                      </v:textbox>
                    </v:shape>
                  </w:pict>
                </mc:Fallback>
              </mc:AlternateContent>
            </w:r>
            <w:r w:rsidRPr="00F05A8A">
              <w:rPr>
                <w:lang w:eastAsia="fr-FR"/>
              </w:rPr>
              <mc:AlternateContent>
                <mc:Choice Requires="wps">
                  <w:drawing>
                    <wp:anchor distT="0" distB="0" distL="114300" distR="114300" simplePos="0" relativeHeight="251754496" behindDoc="0" locked="0" layoutInCell="1" allowOverlap="1" wp14:anchorId="2AC50253" wp14:editId="62F6F8C0">
                      <wp:simplePos x="0" y="0"/>
                      <wp:positionH relativeFrom="column">
                        <wp:posOffset>1308735</wp:posOffset>
                      </wp:positionH>
                      <wp:positionV relativeFrom="paragraph">
                        <wp:posOffset>888365</wp:posOffset>
                      </wp:positionV>
                      <wp:extent cx="848360" cy="78105"/>
                      <wp:effectExtent l="0" t="0" r="8890" b="0"/>
                      <wp:wrapNone/>
                      <wp:docPr id="1257977731" name="Text Box 1257977731"/>
                      <wp:cNvGraphicFramePr/>
                      <a:graphic xmlns:a="http://schemas.openxmlformats.org/drawingml/2006/main">
                        <a:graphicData uri="http://schemas.microsoft.com/office/word/2010/wordprocessingShape">
                          <wps:wsp>
                            <wps:cNvSpPr txBox="1"/>
                            <wps:spPr>
                              <a:xfrm>
                                <a:off x="0" y="0"/>
                                <a:ext cx="848360" cy="78105"/>
                              </a:xfrm>
                              <a:prstGeom prst="rect">
                                <a:avLst/>
                              </a:prstGeom>
                              <a:solidFill>
                                <a:schemeClr val="lt1"/>
                              </a:solidFill>
                              <a:ln w="6350">
                                <a:noFill/>
                              </a:ln>
                            </wps:spPr>
                            <wps:txbx>
                              <w:txbxContent>
                                <w:p w14:paraId="01AFD1C8" w14:textId="77777777" w:rsidR="00756EAD" w:rsidRPr="007127F5" w:rsidRDefault="00756EAD" w:rsidP="00D80461">
                                  <w:pPr>
                                    <w:spacing w:before="0"/>
                                    <w:rPr>
                                      <w:color w:val="548DD4" w:themeColor="text2" w:themeTint="99"/>
                                      <w:sz w:val="9"/>
                                      <w:szCs w:val="9"/>
                                    </w:rPr>
                                  </w:pPr>
                                  <w:r w:rsidRPr="007127F5">
                                    <w:rPr>
                                      <w:noProof/>
                                      <w:color w:val="548DD4" w:themeColor="text2" w:themeTint="99"/>
                                      <w:sz w:val="9"/>
                                      <w:szCs w:val="9"/>
                                      <w:lang w:eastAsia="en-GB"/>
                                    </w:rPr>
                                    <w:t>Parité hommes/femmes (0,98-1,02)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0253" id="Text Box 1257977731" o:spid="_x0000_s1123" type="#_x0000_t202" style="position:absolute;left:0;text-align:left;margin-left:103.05pt;margin-top:69.95pt;width:66.8pt;height:6.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" fillcolor="white [3201]" stroked="f" strokeweight=".5pt">
                      <v:textbox inset="0,0,0,0">
                        <w:txbxContent>
                          <w:p w14:paraId="01AFD1C8" w14:textId="77777777" w:rsidR="00756EAD" w:rsidRPr="007127F5" w:rsidRDefault="00756EAD" w:rsidP="00D80461">
                            <w:pPr>
                              <w:spacing w:before="0"/>
                              <w:rPr>
                                <w:color w:val="548DD4" w:themeColor="text2" w:themeTint="99"/>
                                <w:sz w:val="9"/>
                                <w:szCs w:val="9"/>
                              </w:rPr>
                            </w:pPr>
                            <w:r w:rsidRPr="007127F5">
                              <w:rPr>
                                <w:noProof/>
                                <w:color w:val="548DD4" w:themeColor="text2" w:themeTint="99"/>
                                <w:sz w:val="9"/>
                                <w:szCs w:val="9"/>
                                <w:lang w:eastAsia="en-GB"/>
                              </w:rPr>
                              <w:t>Parité hommes/femmes (0,98-1,02)</w:t>
                            </w:r>
                          </w:p>
                        </w:txbxContent>
                      </v:textbox>
                    </v:shape>
                  </w:pict>
                </mc:Fallback>
              </mc:AlternateContent>
            </w:r>
            <w:r w:rsidRPr="00F05A8A">
              <w:rPr>
                <w:lang w:eastAsia="fr-FR"/>
              </w:rPr>
              <mc:AlternateContent>
                <mc:Choice Requires="wps">
                  <w:drawing>
                    <wp:anchor distT="0" distB="0" distL="114300" distR="114300" simplePos="0" relativeHeight="251753472" behindDoc="0" locked="0" layoutInCell="1" allowOverlap="1" wp14:anchorId="37B1CC58" wp14:editId="3AF929B4">
                      <wp:simplePos x="0" y="0"/>
                      <wp:positionH relativeFrom="column">
                        <wp:posOffset>4504055</wp:posOffset>
                      </wp:positionH>
                      <wp:positionV relativeFrom="paragraph">
                        <wp:posOffset>410210</wp:posOffset>
                      </wp:positionV>
                      <wp:extent cx="117475" cy="196215"/>
                      <wp:effectExtent l="0" t="0" r="0" b="0"/>
                      <wp:wrapNone/>
                      <wp:docPr id="1257977730" name="Text Box 1257977730"/>
                      <wp:cNvGraphicFramePr/>
                      <a:graphic xmlns:a="http://schemas.openxmlformats.org/drawingml/2006/main">
                        <a:graphicData uri="http://schemas.microsoft.com/office/word/2010/wordprocessingShape">
                          <wps:wsp>
                            <wps:cNvSpPr txBox="1"/>
                            <wps:spPr>
                              <a:xfrm>
                                <a:off x="0" y="0"/>
                                <a:ext cx="117475" cy="196215"/>
                              </a:xfrm>
                              <a:prstGeom prst="rect">
                                <a:avLst/>
                              </a:prstGeom>
                              <a:solidFill>
                                <a:schemeClr val="bg1">
                                  <a:lumMod val="95000"/>
                                </a:schemeClr>
                              </a:solidFill>
                              <a:ln w="6350">
                                <a:noFill/>
                              </a:ln>
                            </wps:spPr>
                            <wps:txbx>
                              <w:txbxContent>
                                <w:p w14:paraId="5CDD3142" w14:textId="77777777" w:rsidR="00756EAD" w:rsidRPr="003C75B5" w:rsidRDefault="00756EAD" w:rsidP="00D80461">
                                  <w:pPr>
                                    <w:spacing w:before="0"/>
                                    <w:rPr>
                                      <w:sz w:val="12"/>
                                      <w:szCs w:val="12"/>
                                    </w:rPr>
                                  </w:pPr>
                                  <w:r>
                                    <w:rPr>
                                      <w:sz w:val="12"/>
                                      <w:szCs w:val="12"/>
                                    </w:rPr>
                                    <w:t>PEID</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CC58" id="Text Box 1257977730" o:spid="_x0000_s1124" type="#_x0000_t202" style="position:absolute;left:0;text-align:left;margin-left:354.65pt;margin-top:32.3pt;width:9.25pt;height:15.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" fillcolor="#f2f2f2 [3052]" stroked="f" strokeweight=".5pt">
                      <v:textbox style="layout-flow:vertical;mso-layout-flow-alt:bottom-to-top" inset=".1mm,0,0,0">
                        <w:txbxContent>
                          <w:p w14:paraId="5CDD3142" w14:textId="77777777" w:rsidR="00756EAD" w:rsidRPr="003C75B5" w:rsidRDefault="00756EAD" w:rsidP="00D80461">
                            <w:pPr>
                              <w:spacing w:before="0"/>
                              <w:rPr>
                                <w:sz w:val="12"/>
                                <w:szCs w:val="12"/>
                              </w:rPr>
                            </w:pPr>
                            <w:r>
                              <w:rPr>
                                <w:sz w:val="12"/>
                                <w:szCs w:val="12"/>
                              </w:rPr>
                              <w:t>PEID</w:t>
                            </w:r>
                          </w:p>
                        </w:txbxContent>
                      </v:textbox>
                    </v:shape>
                  </w:pict>
                </mc:Fallback>
              </mc:AlternateContent>
            </w:r>
            <w:r w:rsidRPr="00F05A8A">
              <w:rPr>
                <w:lang w:eastAsia="fr-FR"/>
              </w:rPr>
              <mc:AlternateContent>
                <mc:Choice Requires="wps">
                  <w:drawing>
                    <wp:anchor distT="0" distB="0" distL="114300" distR="114300" simplePos="0" relativeHeight="251752448" behindDoc="0" locked="0" layoutInCell="1" allowOverlap="1" wp14:anchorId="03C1C126" wp14:editId="3B1B91B7">
                      <wp:simplePos x="0" y="0"/>
                      <wp:positionH relativeFrom="column">
                        <wp:posOffset>4263390</wp:posOffset>
                      </wp:positionH>
                      <wp:positionV relativeFrom="paragraph">
                        <wp:posOffset>387350</wp:posOffset>
                      </wp:positionV>
                      <wp:extent cx="127000" cy="266700"/>
                      <wp:effectExtent l="0" t="0" r="6350" b="0"/>
                      <wp:wrapNone/>
                      <wp:docPr id="1257977729" name="Text Box 1257977729"/>
                      <wp:cNvGraphicFramePr/>
                      <a:graphic xmlns:a="http://schemas.openxmlformats.org/drawingml/2006/main">
                        <a:graphicData uri="http://schemas.microsoft.com/office/word/2010/wordprocessingShape">
                          <wps:wsp>
                            <wps:cNvSpPr txBox="1"/>
                            <wps:spPr>
                              <a:xfrm>
                                <a:off x="0" y="0"/>
                                <a:ext cx="127000" cy="266700"/>
                              </a:xfrm>
                              <a:prstGeom prst="rect">
                                <a:avLst/>
                              </a:prstGeom>
                              <a:solidFill>
                                <a:schemeClr val="lt1"/>
                              </a:solidFill>
                              <a:ln w="6350">
                                <a:noFill/>
                              </a:ln>
                            </wps:spPr>
                            <wps:txbx>
                              <w:txbxContent>
                                <w:p w14:paraId="1C8E14F9" w14:textId="77777777" w:rsidR="00756EAD" w:rsidRPr="00743FB5" w:rsidRDefault="00756EAD" w:rsidP="00D80461">
                                  <w:pPr>
                                    <w:spacing w:before="0"/>
                                    <w:jc w:val="center"/>
                                    <w:rPr>
                                      <w:sz w:val="12"/>
                                      <w:szCs w:val="12"/>
                                    </w:rPr>
                                  </w:pPr>
                                  <w:r>
                                    <w:rPr>
                                      <w:sz w:val="12"/>
                                      <w:szCs w:val="12"/>
                                    </w:rPr>
                                    <w:t>PDSL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C126" id="Text Box 1257977729" o:spid="_x0000_s1125" type="#_x0000_t202" style="position:absolute;left:0;text-align:left;margin-left:335.7pt;margin-top:30.5pt;width:10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" fillcolor="white [3201]" stroked="f" strokeweight=".5pt">
                      <v:textbox style="layout-flow:vertical;mso-layout-flow-alt:bottom-to-top" inset="0,0,0,0">
                        <w:txbxContent>
                          <w:p w14:paraId="1C8E14F9" w14:textId="77777777" w:rsidR="00756EAD" w:rsidRPr="00743FB5" w:rsidRDefault="00756EAD" w:rsidP="00D80461">
                            <w:pPr>
                              <w:spacing w:before="0"/>
                              <w:jc w:val="center"/>
                              <w:rPr>
                                <w:sz w:val="12"/>
                                <w:szCs w:val="12"/>
                              </w:rPr>
                            </w:pPr>
                            <w:r>
                              <w:rPr>
                                <w:sz w:val="12"/>
                                <w:szCs w:val="12"/>
                              </w:rPr>
                              <w:t>PDSL</w:t>
                            </w:r>
                          </w:p>
                        </w:txbxContent>
                      </v:textbox>
                    </v:shape>
                  </w:pict>
                </mc:Fallback>
              </mc:AlternateContent>
            </w:r>
            <w:r w:rsidRPr="00F05A8A">
              <w:rPr>
                <w:lang w:eastAsia="fr-FR"/>
              </w:rPr>
              <mc:AlternateContent>
                <mc:Choice Requires="wps">
                  <w:drawing>
                    <wp:anchor distT="0" distB="0" distL="114300" distR="114300" simplePos="0" relativeHeight="251751424" behindDoc="0" locked="0" layoutInCell="1" allowOverlap="1" wp14:anchorId="2BB1FB30" wp14:editId="65FE34E1">
                      <wp:simplePos x="0" y="0"/>
                      <wp:positionH relativeFrom="column">
                        <wp:posOffset>4032885</wp:posOffset>
                      </wp:positionH>
                      <wp:positionV relativeFrom="paragraph">
                        <wp:posOffset>387350</wp:posOffset>
                      </wp:positionV>
                      <wp:extent cx="117475" cy="196215"/>
                      <wp:effectExtent l="0" t="0" r="0" b="0"/>
                      <wp:wrapNone/>
                      <wp:docPr id="1257977728" name="Text Box 1257977728"/>
                      <wp:cNvGraphicFramePr/>
                      <a:graphic xmlns:a="http://schemas.openxmlformats.org/drawingml/2006/main">
                        <a:graphicData uri="http://schemas.microsoft.com/office/word/2010/wordprocessingShape">
                          <wps:wsp>
                            <wps:cNvSpPr txBox="1"/>
                            <wps:spPr>
                              <a:xfrm>
                                <a:off x="0" y="0"/>
                                <a:ext cx="117475" cy="196215"/>
                              </a:xfrm>
                              <a:prstGeom prst="rect">
                                <a:avLst/>
                              </a:prstGeom>
                              <a:solidFill>
                                <a:schemeClr val="bg1">
                                  <a:lumMod val="95000"/>
                                </a:schemeClr>
                              </a:solidFill>
                              <a:ln w="6350">
                                <a:noFill/>
                              </a:ln>
                            </wps:spPr>
                            <wps:txbx>
                              <w:txbxContent>
                                <w:p w14:paraId="288F05ED" w14:textId="77777777" w:rsidR="00756EAD" w:rsidRPr="003C75B5" w:rsidRDefault="00756EAD" w:rsidP="00D80461">
                                  <w:pPr>
                                    <w:spacing w:before="0"/>
                                    <w:rPr>
                                      <w:sz w:val="12"/>
                                      <w:szCs w:val="12"/>
                                    </w:rPr>
                                  </w:pPr>
                                  <w:r>
                                    <w:rPr>
                                      <w:sz w:val="12"/>
                                      <w:szCs w:val="12"/>
                                    </w:rPr>
                                    <w:t>PMA</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B30" id="Text Box 1257977728" o:spid="_x0000_s1126" type="#_x0000_t202" style="position:absolute;left:0;text-align:left;margin-left:317.55pt;margin-top:30.5pt;width:9.25pt;height:15.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" fillcolor="#f2f2f2 [3052]" stroked="f" strokeweight=".5pt">
                      <v:textbox style="layout-flow:vertical;mso-layout-flow-alt:bottom-to-top" inset=".1mm,0,0,0">
                        <w:txbxContent>
                          <w:p w14:paraId="288F05ED" w14:textId="77777777" w:rsidR="00756EAD" w:rsidRPr="003C75B5" w:rsidRDefault="00756EAD" w:rsidP="00D80461">
                            <w:pPr>
                              <w:spacing w:before="0"/>
                              <w:rPr>
                                <w:sz w:val="12"/>
                                <w:szCs w:val="12"/>
                              </w:rPr>
                            </w:pPr>
                            <w:r>
                              <w:rPr>
                                <w:sz w:val="12"/>
                                <w:szCs w:val="12"/>
                              </w:rPr>
                              <w:t>PMA</w:t>
                            </w:r>
                          </w:p>
                        </w:txbxContent>
                      </v:textbox>
                    </v:shape>
                  </w:pict>
                </mc:Fallback>
              </mc:AlternateContent>
            </w:r>
            <w:r w:rsidRPr="00F05A8A">
              <w:rPr>
                <w:lang w:eastAsia="fr-FR"/>
              </w:rPr>
              <mc:AlternateContent>
                <mc:Choice Requires="wps">
                  <w:drawing>
                    <wp:anchor distT="0" distB="0" distL="114300" distR="114300" simplePos="0" relativeHeight="251750400" behindDoc="0" locked="0" layoutInCell="1" allowOverlap="1" wp14:anchorId="643F90C6" wp14:editId="75A1F17D">
                      <wp:simplePos x="0" y="0"/>
                      <wp:positionH relativeFrom="column">
                        <wp:posOffset>3731895</wp:posOffset>
                      </wp:positionH>
                      <wp:positionV relativeFrom="paragraph">
                        <wp:posOffset>321945</wp:posOffset>
                      </wp:positionV>
                      <wp:extent cx="218440" cy="61087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18440" cy="610870"/>
                              </a:xfrm>
                              <a:prstGeom prst="rect">
                                <a:avLst/>
                              </a:prstGeom>
                              <a:solidFill>
                                <a:schemeClr val="lt1"/>
                              </a:solidFill>
                              <a:ln w="6350">
                                <a:noFill/>
                              </a:ln>
                            </wps:spPr>
                            <wps:txbx>
                              <w:txbxContent>
                                <w:p w14:paraId="4E793950" w14:textId="77777777" w:rsidR="00756EAD" w:rsidRPr="00743FB5" w:rsidRDefault="00756EAD" w:rsidP="00D80461">
                                  <w:pPr>
                                    <w:spacing w:before="0"/>
                                    <w:jc w:val="center"/>
                                    <w:rPr>
                                      <w:sz w:val="12"/>
                                      <w:szCs w:val="12"/>
                                    </w:rPr>
                                  </w:pPr>
                                  <w:r>
                                    <w:rPr>
                                      <w:sz w:val="12"/>
                                      <w:szCs w:val="12"/>
                                    </w:rPr>
                                    <w:t xml:space="preserve">Pays en </w:t>
                                  </w:r>
                                  <w:r>
                                    <w:rPr>
                                      <w:sz w:val="12"/>
                                      <w:szCs w:val="12"/>
                                    </w:rPr>
                                    <w:br/>
                                    <w:t>développement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90C6" id="Text Box 63" o:spid="_x0000_s1127" type="#_x0000_t202" style="position:absolute;left:0;text-align:left;margin-left:293.85pt;margin-top:25.35pt;width:17.2pt;height:48.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" fillcolor="white [3201]" stroked="f" strokeweight=".5pt">
                      <v:textbox style="layout-flow:vertical;mso-layout-flow-alt:bottom-to-top" inset="0,0,0,0">
                        <w:txbxContent>
                          <w:p w14:paraId="4E793950" w14:textId="77777777" w:rsidR="00756EAD" w:rsidRPr="00743FB5" w:rsidRDefault="00756EAD" w:rsidP="00D80461">
                            <w:pPr>
                              <w:spacing w:before="0"/>
                              <w:jc w:val="center"/>
                              <w:rPr>
                                <w:sz w:val="12"/>
                                <w:szCs w:val="12"/>
                              </w:rPr>
                            </w:pPr>
                            <w:r>
                              <w:rPr>
                                <w:sz w:val="12"/>
                                <w:szCs w:val="12"/>
                              </w:rPr>
                              <w:t xml:space="preserve">Pays en </w:t>
                            </w:r>
                            <w:r>
                              <w:rPr>
                                <w:sz w:val="12"/>
                                <w:szCs w:val="12"/>
                              </w:rPr>
                              <w:br/>
                              <w:t>développement</w:t>
                            </w:r>
                          </w:p>
                        </w:txbxContent>
                      </v:textbox>
                    </v:shape>
                  </w:pict>
                </mc:Fallback>
              </mc:AlternateContent>
            </w:r>
            <w:r w:rsidRPr="00F05A8A">
              <w:rPr>
                <w:lang w:eastAsia="fr-FR"/>
              </w:rPr>
              <mc:AlternateContent>
                <mc:Choice Requires="wps">
                  <w:drawing>
                    <wp:anchor distT="0" distB="0" distL="114300" distR="114300" simplePos="0" relativeHeight="251749376" behindDoc="0" locked="0" layoutInCell="1" allowOverlap="1" wp14:anchorId="60BA4863" wp14:editId="6577E118">
                      <wp:simplePos x="0" y="0"/>
                      <wp:positionH relativeFrom="column">
                        <wp:posOffset>3535680</wp:posOffset>
                      </wp:positionH>
                      <wp:positionV relativeFrom="paragraph">
                        <wp:posOffset>344170</wp:posOffset>
                      </wp:positionV>
                      <wp:extent cx="156845" cy="55499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6845" cy="554990"/>
                              </a:xfrm>
                              <a:prstGeom prst="rect">
                                <a:avLst/>
                              </a:prstGeom>
                              <a:solidFill>
                                <a:schemeClr val="bg1">
                                  <a:lumMod val="95000"/>
                                </a:schemeClr>
                              </a:solidFill>
                              <a:ln w="6350">
                                <a:noFill/>
                              </a:ln>
                            </wps:spPr>
                            <wps:txbx>
                              <w:txbxContent>
                                <w:p w14:paraId="495B0AA3" w14:textId="77777777" w:rsidR="00756EAD" w:rsidRPr="003C75B5" w:rsidRDefault="00756EAD" w:rsidP="00D80461">
                                  <w:pPr>
                                    <w:spacing w:before="0"/>
                                    <w:jc w:val="right"/>
                                    <w:rPr>
                                      <w:sz w:val="12"/>
                                      <w:szCs w:val="12"/>
                                    </w:rPr>
                                  </w:pPr>
                                  <w:r w:rsidRPr="003C75B5">
                                    <w:rPr>
                                      <w:sz w:val="12"/>
                                      <w:szCs w:val="12"/>
                                    </w:rPr>
                                    <w:t>Pays développés</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4863" id="Text Box 60" o:spid="_x0000_s1128" type="#_x0000_t202" style="position:absolute;left:0;text-align:left;margin-left:278.4pt;margin-top:27.1pt;width:12.35pt;height:4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" fillcolor="#f2f2f2 [3052]" stroked="f" strokeweight=".5pt">
                      <v:textbox style="layout-flow:vertical;mso-layout-flow-alt:bottom-to-top" inset=".1mm,0,0,0">
                        <w:txbxContent>
                          <w:p w14:paraId="495B0AA3" w14:textId="77777777" w:rsidR="00756EAD" w:rsidRPr="003C75B5" w:rsidRDefault="00756EAD" w:rsidP="00D80461">
                            <w:pPr>
                              <w:spacing w:before="0"/>
                              <w:jc w:val="right"/>
                              <w:rPr>
                                <w:sz w:val="12"/>
                                <w:szCs w:val="12"/>
                              </w:rPr>
                            </w:pPr>
                            <w:r w:rsidRPr="003C75B5">
                              <w:rPr>
                                <w:sz w:val="12"/>
                                <w:szCs w:val="12"/>
                              </w:rPr>
                              <w:t>Pays développés</w:t>
                            </w:r>
                          </w:p>
                        </w:txbxContent>
                      </v:textbox>
                    </v:shape>
                  </w:pict>
                </mc:Fallback>
              </mc:AlternateContent>
            </w:r>
            <w:r w:rsidRPr="00F05A8A">
              <w:rPr>
                <w:lang w:eastAsia="fr-FR"/>
              </w:rPr>
              <mc:AlternateContent>
                <mc:Choice Requires="wps">
                  <w:drawing>
                    <wp:anchor distT="0" distB="0" distL="114300" distR="114300" simplePos="0" relativeHeight="251746304" behindDoc="0" locked="0" layoutInCell="1" allowOverlap="1" wp14:anchorId="43033B79" wp14:editId="6E0D5E0E">
                      <wp:simplePos x="0" y="0"/>
                      <wp:positionH relativeFrom="column">
                        <wp:posOffset>2821305</wp:posOffset>
                      </wp:positionH>
                      <wp:positionV relativeFrom="paragraph">
                        <wp:posOffset>391795</wp:posOffset>
                      </wp:positionV>
                      <wp:extent cx="127000" cy="26670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127000" cy="266700"/>
                              </a:xfrm>
                              <a:prstGeom prst="rect">
                                <a:avLst/>
                              </a:prstGeom>
                              <a:solidFill>
                                <a:schemeClr val="lt1"/>
                              </a:solidFill>
                              <a:ln w="6350">
                                <a:noFill/>
                              </a:ln>
                            </wps:spPr>
                            <wps:txbx>
                              <w:txbxContent>
                                <w:p w14:paraId="45B8877B" w14:textId="77777777" w:rsidR="00756EAD" w:rsidRPr="00743FB5" w:rsidRDefault="00756EAD" w:rsidP="00D80461">
                                  <w:pPr>
                                    <w:spacing w:before="0"/>
                                    <w:jc w:val="center"/>
                                    <w:rPr>
                                      <w:sz w:val="12"/>
                                      <w:szCs w:val="12"/>
                                    </w:rPr>
                                  </w:pPr>
                                  <w:r>
                                    <w:rPr>
                                      <w:sz w:val="12"/>
                                      <w:szCs w:val="12"/>
                                    </w:rPr>
                                    <w:t>Europe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3B79" id="Text Box 47" o:spid="_x0000_s1129" type="#_x0000_t202" style="position:absolute;left:0;text-align:left;margin-left:222.15pt;margin-top:30.85pt;width:10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" fillcolor="white [3201]" stroked="f" strokeweight=".5pt">
                      <v:textbox style="layout-flow:vertical;mso-layout-flow-alt:bottom-to-top" inset="0,0,0,0">
                        <w:txbxContent>
                          <w:p w14:paraId="45B8877B" w14:textId="77777777" w:rsidR="00756EAD" w:rsidRPr="00743FB5" w:rsidRDefault="00756EAD" w:rsidP="00D80461">
                            <w:pPr>
                              <w:spacing w:before="0"/>
                              <w:jc w:val="center"/>
                              <w:rPr>
                                <w:sz w:val="12"/>
                                <w:szCs w:val="12"/>
                              </w:rPr>
                            </w:pPr>
                            <w:r>
                              <w:rPr>
                                <w:sz w:val="12"/>
                                <w:szCs w:val="12"/>
                              </w:rPr>
                              <w:t>Europe</w:t>
                            </w:r>
                          </w:p>
                        </w:txbxContent>
                      </v:textbox>
                    </v:shape>
                  </w:pict>
                </mc:Fallback>
              </mc:AlternateContent>
            </w:r>
            <w:r w:rsidRPr="00F05A8A">
              <w:rPr>
                <w:lang w:eastAsia="fr-FR"/>
              </w:rPr>
              <mc:AlternateContent>
                <mc:Choice Requires="wps">
                  <w:drawing>
                    <wp:anchor distT="0" distB="0" distL="114300" distR="114300" simplePos="0" relativeHeight="251743232" behindDoc="0" locked="0" layoutInCell="1" allowOverlap="1" wp14:anchorId="11DE3BC5" wp14:editId="15A7B1A3">
                      <wp:simplePos x="0" y="0"/>
                      <wp:positionH relativeFrom="column">
                        <wp:posOffset>2339340</wp:posOffset>
                      </wp:positionH>
                      <wp:positionV relativeFrom="paragraph">
                        <wp:posOffset>321945</wp:posOffset>
                      </wp:positionV>
                      <wp:extent cx="120650" cy="5016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0650" cy="501650"/>
                              </a:xfrm>
                              <a:prstGeom prst="rect">
                                <a:avLst/>
                              </a:prstGeom>
                              <a:solidFill>
                                <a:schemeClr val="lt1"/>
                              </a:solidFill>
                              <a:ln w="6350">
                                <a:noFill/>
                              </a:ln>
                            </wps:spPr>
                            <wps:txbx>
                              <w:txbxContent>
                                <w:p w14:paraId="4D61C5DA" w14:textId="77777777" w:rsidR="00756EAD" w:rsidRPr="00743FB5" w:rsidRDefault="00756EAD" w:rsidP="00D80461">
                                  <w:pPr>
                                    <w:spacing w:before="0"/>
                                    <w:jc w:val="center"/>
                                    <w:rPr>
                                      <w:sz w:val="12"/>
                                      <w:szCs w:val="12"/>
                                    </w:rPr>
                                  </w:pPr>
                                  <w:r>
                                    <w:rPr>
                                      <w:sz w:val="12"/>
                                      <w:szCs w:val="12"/>
                                    </w:rPr>
                                    <w:t>Asie-Pacifique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3BC5" id="Text Box 48" o:spid="_x0000_s1130" type="#_x0000_t202" style="position:absolute;left:0;text-align:left;margin-left:184.2pt;margin-top:25.35pt;width:9.5pt;height:3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" fillcolor="white [3201]" stroked="f" strokeweight=".5pt">
                      <v:textbox style="layout-flow:vertical;mso-layout-flow-alt:bottom-to-top" inset="0,0,0,0">
                        <w:txbxContent>
                          <w:p w14:paraId="4D61C5DA" w14:textId="77777777" w:rsidR="00756EAD" w:rsidRPr="00743FB5" w:rsidRDefault="00756EAD" w:rsidP="00D80461">
                            <w:pPr>
                              <w:spacing w:before="0"/>
                              <w:jc w:val="center"/>
                              <w:rPr>
                                <w:sz w:val="12"/>
                                <w:szCs w:val="12"/>
                              </w:rPr>
                            </w:pPr>
                            <w:r>
                              <w:rPr>
                                <w:sz w:val="12"/>
                                <w:szCs w:val="12"/>
                              </w:rPr>
                              <w:t>Asie-Pacifique</w:t>
                            </w:r>
                          </w:p>
                        </w:txbxContent>
                      </v:textbox>
                    </v:shape>
                  </w:pict>
                </mc:Fallback>
              </mc:AlternateContent>
            </w:r>
            <w:r w:rsidRPr="00F05A8A">
              <w:rPr>
                <w:lang w:eastAsia="fr-FR"/>
              </w:rPr>
              <mc:AlternateContent>
                <mc:Choice Requires="wps">
                  <w:drawing>
                    <wp:anchor distT="0" distB="0" distL="114300" distR="114300" simplePos="0" relativeHeight="251744256" behindDoc="0" locked="0" layoutInCell="1" allowOverlap="1" wp14:anchorId="5D566F1D" wp14:editId="57F18E84">
                      <wp:simplePos x="0" y="0"/>
                      <wp:positionH relativeFrom="column">
                        <wp:posOffset>2098040</wp:posOffset>
                      </wp:positionH>
                      <wp:positionV relativeFrom="paragraph">
                        <wp:posOffset>343535</wp:posOffset>
                      </wp:positionV>
                      <wp:extent cx="156845" cy="4597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6845" cy="459740"/>
                              </a:xfrm>
                              <a:prstGeom prst="rect">
                                <a:avLst/>
                              </a:prstGeom>
                              <a:solidFill>
                                <a:schemeClr val="bg1">
                                  <a:lumMod val="95000"/>
                                </a:schemeClr>
                              </a:solidFill>
                              <a:ln w="6350">
                                <a:noFill/>
                              </a:ln>
                            </wps:spPr>
                            <wps:txbx>
                              <w:txbxContent>
                                <w:p w14:paraId="2625B8FB" w14:textId="77777777" w:rsidR="00756EAD" w:rsidRPr="003C75B5" w:rsidRDefault="00756EAD" w:rsidP="00D80461">
                                  <w:pPr>
                                    <w:spacing w:before="0"/>
                                    <w:jc w:val="right"/>
                                    <w:rPr>
                                      <w:sz w:val="12"/>
                                      <w:szCs w:val="12"/>
                                    </w:rPr>
                                  </w:pPr>
                                  <w:r w:rsidRPr="003C75B5">
                                    <w:rPr>
                                      <w:sz w:val="12"/>
                                      <w:szCs w:val="12"/>
                                    </w:rPr>
                                    <w:t>États arabes</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6F1D" id="Text Box 55" o:spid="_x0000_s1131" type="#_x0000_t202" style="position:absolute;left:0;text-align:left;margin-left:165.2pt;margin-top:27.05pt;width:12.35pt;height:3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" fillcolor="#f2f2f2 [3052]" stroked="f" strokeweight=".5pt">
                      <v:textbox style="layout-flow:vertical;mso-layout-flow-alt:bottom-to-top" inset=".1mm,0,0,0">
                        <w:txbxContent>
                          <w:p w14:paraId="2625B8FB" w14:textId="77777777" w:rsidR="00756EAD" w:rsidRPr="003C75B5" w:rsidRDefault="00756EAD" w:rsidP="00D80461">
                            <w:pPr>
                              <w:spacing w:before="0"/>
                              <w:jc w:val="right"/>
                              <w:rPr>
                                <w:sz w:val="12"/>
                                <w:szCs w:val="12"/>
                              </w:rPr>
                            </w:pPr>
                            <w:r w:rsidRPr="003C75B5">
                              <w:rPr>
                                <w:sz w:val="12"/>
                                <w:szCs w:val="12"/>
                              </w:rPr>
                              <w:t>États arabes</w:t>
                            </w:r>
                          </w:p>
                        </w:txbxContent>
                      </v:textbox>
                    </v:shape>
                  </w:pict>
                </mc:Fallback>
              </mc:AlternateContent>
            </w:r>
            <w:r w:rsidRPr="00F05A8A">
              <w:rPr>
                <w:lang w:eastAsia="fr-FR"/>
              </w:rPr>
              <mc:AlternateContent>
                <mc:Choice Requires="wps">
                  <w:drawing>
                    <wp:anchor distT="0" distB="0" distL="114300" distR="114300" simplePos="0" relativeHeight="251748352" behindDoc="0" locked="0" layoutInCell="1" allowOverlap="1" wp14:anchorId="68F535C4" wp14:editId="221C9BE9">
                      <wp:simplePos x="0" y="0"/>
                      <wp:positionH relativeFrom="column">
                        <wp:posOffset>1867535</wp:posOffset>
                      </wp:positionH>
                      <wp:positionV relativeFrom="paragraph">
                        <wp:posOffset>367030</wp:posOffset>
                      </wp:positionV>
                      <wp:extent cx="127000" cy="311150"/>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127000" cy="311150"/>
                              </a:xfrm>
                              <a:prstGeom prst="rect">
                                <a:avLst/>
                              </a:prstGeom>
                              <a:solidFill>
                                <a:schemeClr val="lt1"/>
                              </a:solidFill>
                              <a:ln w="6350">
                                <a:noFill/>
                              </a:ln>
                            </wps:spPr>
                            <wps:txbx>
                              <w:txbxContent>
                                <w:p w14:paraId="0A88D8A3" w14:textId="77777777" w:rsidR="00756EAD" w:rsidRPr="00743FB5" w:rsidRDefault="00756EAD" w:rsidP="00D80461">
                                  <w:pPr>
                                    <w:spacing w:before="0"/>
                                    <w:jc w:val="center"/>
                                    <w:rPr>
                                      <w:sz w:val="12"/>
                                      <w:szCs w:val="12"/>
                                    </w:rPr>
                                  </w:pPr>
                                  <w:r>
                                    <w:rPr>
                                      <w:sz w:val="12"/>
                                      <w:szCs w:val="12"/>
                                    </w:rPr>
                                    <w:t>Afrique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35C4" id="Text Box 58" o:spid="_x0000_s1132" type="#_x0000_t202" style="position:absolute;left:0;text-align:left;margin-left:147.05pt;margin-top:28.9pt;width:10pt;height: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" fillcolor="white [3201]" stroked="f" strokeweight=".5pt">
                      <v:textbox style="layout-flow:vertical;mso-layout-flow-alt:bottom-to-top" inset="0,0,0,0">
                        <w:txbxContent>
                          <w:p w14:paraId="0A88D8A3" w14:textId="77777777" w:rsidR="00756EAD" w:rsidRPr="00743FB5" w:rsidRDefault="00756EAD" w:rsidP="00D80461">
                            <w:pPr>
                              <w:spacing w:before="0"/>
                              <w:jc w:val="center"/>
                              <w:rPr>
                                <w:sz w:val="12"/>
                                <w:szCs w:val="12"/>
                              </w:rPr>
                            </w:pPr>
                            <w:r>
                              <w:rPr>
                                <w:sz w:val="12"/>
                                <w:szCs w:val="12"/>
                              </w:rPr>
                              <w:t>Afrique</w:t>
                            </w:r>
                          </w:p>
                        </w:txbxContent>
                      </v:textbox>
                    </v:shape>
                  </w:pict>
                </mc:Fallback>
              </mc:AlternateContent>
            </w:r>
            <w:r w:rsidRPr="00F05A8A">
              <w:rPr>
                <w:lang w:eastAsia="fr-FR"/>
              </w:rPr>
              <mc:AlternateContent>
                <mc:Choice Requires="wps">
                  <w:drawing>
                    <wp:anchor distT="0" distB="0" distL="114300" distR="114300" simplePos="0" relativeHeight="251742208" behindDoc="0" locked="0" layoutInCell="1" allowOverlap="1" wp14:anchorId="3E960F37" wp14:editId="1DD27518">
                      <wp:simplePos x="0" y="0"/>
                      <wp:positionH relativeFrom="column">
                        <wp:posOffset>1359535</wp:posOffset>
                      </wp:positionH>
                      <wp:positionV relativeFrom="paragraph">
                        <wp:posOffset>412115</wp:posOffset>
                      </wp:positionV>
                      <wp:extent cx="158750" cy="257810"/>
                      <wp:effectExtent l="0" t="0" r="0" b="8890"/>
                      <wp:wrapNone/>
                      <wp:docPr id="46" name="Text Box 46"/>
                      <wp:cNvGraphicFramePr/>
                      <a:graphic xmlns:a="http://schemas.openxmlformats.org/drawingml/2006/main">
                        <a:graphicData uri="http://schemas.microsoft.com/office/word/2010/wordprocessingShape">
                          <wps:wsp>
                            <wps:cNvSpPr txBox="1"/>
                            <wps:spPr>
                              <a:xfrm>
                                <a:off x="0" y="0"/>
                                <a:ext cx="158750" cy="257810"/>
                              </a:xfrm>
                              <a:prstGeom prst="rect">
                                <a:avLst/>
                              </a:prstGeom>
                              <a:solidFill>
                                <a:schemeClr val="lt1"/>
                              </a:solidFill>
                              <a:ln w="6350">
                                <a:noFill/>
                              </a:ln>
                            </wps:spPr>
                            <wps:txbx>
                              <w:txbxContent>
                                <w:p w14:paraId="6F648EEF" w14:textId="77777777" w:rsidR="00756EAD" w:rsidRPr="00743FB5" w:rsidRDefault="00756EAD" w:rsidP="00D80461">
                                  <w:pPr>
                                    <w:spacing w:before="0"/>
                                    <w:jc w:val="right"/>
                                    <w:rPr>
                                      <w:sz w:val="12"/>
                                      <w:szCs w:val="12"/>
                                    </w:rPr>
                                  </w:pPr>
                                  <w:r w:rsidRPr="00743FB5">
                                    <w:rPr>
                                      <w:sz w:val="12"/>
                                      <w:szCs w:val="12"/>
                                    </w:rPr>
                                    <w:t>Monde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0F37" id="Text Box 46" o:spid="_x0000_s1133" type="#_x0000_t202" style="position:absolute;left:0;text-align:left;margin-left:107.05pt;margin-top:32.45pt;width:12.5pt;height:2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" fillcolor="white [3201]" stroked="f" strokeweight=".5pt">
                      <v:textbox style="layout-flow:vertical;mso-layout-flow-alt:bottom-to-top" inset="0,0,0,0">
                        <w:txbxContent>
                          <w:p w14:paraId="6F648EEF" w14:textId="77777777" w:rsidR="00756EAD" w:rsidRPr="00743FB5" w:rsidRDefault="00756EAD" w:rsidP="00D80461">
                            <w:pPr>
                              <w:spacing w:before="0"/>
                              <w:jc w:val="right"/>
                              <w:rPr>
                                <w:sz w:val="12"/>
                                <w:szCs w:val="12"/>
                              </w:rPr>
                            </w:pPr>
                            <w:r w:rsidRPr="00743FB5">
                              <w:rPr>
                                <w:sz w:val="12"/>
                                <w:szCs w:val="12"/>
                              </w:rPr>
                              <w:t>Monde</w:t>
                            </w:r>
                          </w:p>
                        </w:txbxContent>
                      </v:textbox>
                    </v:shape>
                  </w:pict>
                </mc:Fallback>
              </mc:AlternateContent>
            </w:r>
            <w:r w:rsidRPr="00F05A8A">
              <w:rPr>
                <w:lang w:eastAsia="fr-FR"/>
              </w:rPr>
              <mc:AlternateContent>
                <mc:Choice Requires="wps">
                  <w:drawing>
                    <wp:anchor distT="0" distB="0" distL="114300" distR="114300" simplePos="0" relativeHeight="251747328" behindDoc="0" locked="0" layoutInCell="1" allowOverlap="1" wp14:anchorId="2DE2D178" wp14:editId="718AA176">
                      <wp:simplePos x="0" y="0"/>
                      <wp:positionH relativeFrom="column">
                        <wp:posOffset>3034665</wp:posOffset>
                      </wp:positionH>
                      <wp:positionV relativeFrom="paragraph">
                        <wp:posOffset>347980</wp:posOffset>
                      </wp:positionV>
                      <wp:extent cx="156845" cy="4597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56845" cy="459740"/>
                              </a:xfrm>
                              <a:prstGeom prst="rect">
                                <a:avLst/>
                              </a:prstGeom>
                              <a:solidFill>
                                <a:schemeClr val="bg1">
                                  <a:lumMod val="95000"/>
                                </a:schemeClr>
                              </a:solidFill>
                              <a:ln w="6350">
                                <a:noFill/>
                              </a:ln>
                            </wps:spPr>
                            <wps:txbx>
                              <w:txbxContent>
                                <w:p w14:paraId="605700C1" w14:textId="77777777" w:rsidR="00756EAD" w:rsidRPr="003C75B5" w:rsidRDefault="00756EAD" w:rsidP="00D80461">
                                  <w:pPr>
                                    <w:spacing w:before="0"/>
                                    <w:jc w:val="right"/>
                                    <w:rPr>
                                      <w:sz w:val="12"/>
                                      <w:szCs w:val="12"/>
                                    </w:rPr>
                                  </w:pPr>
                                  <w:r>
                                    <w:rPr>
                                      <w:sz w:val="12"/>
                                      <w:szCs w:val="12"/>
                                    </w:rPr>
                                    <w:t>Amériques</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D178" id="Text Box 57" o:spid="_x0000_s1134" type="#_x0000_t202" style="position:absolute;left:0;text-align:left;margin-left:238.95pt;margin-top:27.4pt;width:12.35pt;height:3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" fillcolor="#f2f2f2 [3052]" stroked="f" strokeweight=".5pt">
                      <v:textbox style="layout-flow:vertical;mso-layout-flow-alt:bottom-to-top" inset=".1mm,0,0,0">
                        <w:txbxContent>
                          <w:p w14:paraId="605700C1" w14:textId="77777777" w:rsidR="00756EAD" w:rsidRPr="003C75B5" w:rsidRDefault="00756EAD" w:rsidP="00D80461">
                            <w:pPr>
                              <w:spacing w:before="0"/>
                              <w:jc w:val="right"/>
                              <w:rPr>
                                <w:sz w:val="12"/>
                                <w:szCs w:val="12"/>
                              </w:rPr>
                            </w:pPr>
                            <w:r>
                              <w:rPr>
                                <w:sz w:val="12"/>
                                <w:szCs w:val="12"/>
                              </w:rPr>
                              <w:t>Amériques</w:t>
                            </w:r>
                          </w:p>
                        </w:txbxContent>
                      </v:textbox>
                    </v:shape>
                  </w:pict>
                </mc:Fallback>
              </mc:AlternateContent>
            </w:r>
            <w:r w:rsidRPr="00F05A8A">
              <w:rPr>
                <w:lang w:eastAsia="fr-FR"/>
              </w:rPr>
              <mc:AlternateContent>
                <mc:Choice Requires="wps">
                  <w:drawing>
                    <wp:anchor distT="0" distB="0" distL="114300" distR="114300" simplePos="0" relativeHeight="251745280" behindDoc="0" locked="0" layoutInCell="1" allowOverlap="1" wp14:anchorId="6E6126E6" wp14:editId="201E2949">
                      <wp:simplePos x="0" y="0"/>
                      <wp:positionH relativeFrom="column">
                        <wp:posOffset>2590165</wp:posOffset>
                      </wp:positionH>
                      <wp:positionV relativeFrom="paragraph">
                        <wp:posOffset>353695</wp:posOffset>
                      </wp:positionV>
                      <wp:extent cx="117475" cy="1962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475" cy="196215"/>
                              </a:xfrm>
                              <a:prstGeom prst="rect">
                                <a:avLst/>
                              </a:prstGeom>
                              <a:solidFill>
                                <a:schemeClr val="bg1">
                                  <a:lumMod val="95000"/>
                                </a:schemeClr>
                              </a:solidFill>
                              <a:ln w="6350">
                                <a:noFill/>
                              </a:ln>
                            </wps:spPr>
                            <wps:txbx>
                              <w:txbxContent>
                                <w:p w14:paraId="0C63ADE2" w14:textId="77777777" w:rsidR="00756EAD" w:rsidRPr="003C75B5" w:rsidRDefault="00756EAD" w:rsidP="00D80461">
                                  <w:pPr>
                                    <w:spacing w:before="0"/>
                                    <w:rPr>
                                      <w:sz w:val="12"/>
                                      <w:szCs w:val="12"/>
                                    </w:rPr>
                                  </w:pPr>
                                  <w:r w:rsidRPr="003C75B5">
                                    <w:rPr>
                                      <w:sz w:val="12"/>
                                      <w:szCs w:val="12"/>
                                    </w:rPr>
                                    <w:t>CEI</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26E6" id="Text Box 56" o:spid="_x0000_s1135" type="#_x0000_t202" style="position:absolute;left:0;text-align:left;margin-left:203.95pt;margin-top:27.85pt;width:9.25pt;height:1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" fillcolor="#f2f2f2 [3052]" stroked="f" strokeweight=".5pt">
                      <v:textbox style="layout-flow:vertical;mso-layout-flow-alt:bottom-to-top" inset=".1mm,0,0,0">
                        <w:txbxContent>
                          <w:p w14:paraId="0C63ADE2" w14:textId="77777777" w:rsidR="00756EAD" w:rsidRPr="003C75B5" w:rsidRDefault="00756EAD" w:rsidP="00D80461">
                            <w:pPr>
                              <w:spacing w:before="0"/>
                              <w:rPr>
                                <w:sz w:val="12"/>
                                <w:szCs w:val="12"/>
                              </w:rPr>
                            </w:pPr>
                            <w:r w:rsidRPr="003C75B5">
                              <w:rPr>
                                <w:sz w:val="12"/>
                                <w:szCs w:val="12"/>
                              </w:rPr>
                              <w:t>CEI</w:t>
                            </w:r>
                          </w:p>
                        </w:txbxContent>
                      </v:textbox>
                    </v:shape>
                  </w:pict>
                </mc:Fallback>
              </mc:AlternateContent>
            </w:r>
            <w:r w:rsidRPr="00F05A8A">
              <w:rPr>
                <w:lang w:eastAsia="fr-FR"/>
              </w:rPr>
              <mc:AlternateContent>
                <mc:Choice Requires="wps">
                  <w:drawing>
                    <wp:anchor distT="0" distB="0" distL="114300" distR="114300" simplePos="0" relativeHeight="251741184" behindDoc="0" locked="0" layoutInCell="1" allowOverlap="1" wp14:anchorId="4022A65E" wp14:editId="0C553D9E">
                      <wp:simplePos x="0" y="0"/>
                      <wp:positionH relativeFrom="column">
                        <wp:posOffset>1306830</wp:posOffset>
                      </wp:positionH>
                      <wp:positionV relativeFrom="paragraph">
                        <wp:posOffset>86360</wp:posOffset>
                      </wp:positionV>
                      <wp:extent cx="2571750" cy="2032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2571750" cy="203200"/>
                              </a:xfrm>
                              <a:prstGeom prst="rect">
                                <a:avLst/>
                              </a:prstGeom>
                              <a:solidFill>
                                <a:schemeClr val="lt1"/>
                              </a:solidFill>
                              <a:ln w="6350">
                                <a:noFill/>
                              </a:ln>
                            </wps:spPr>
                            <wps:txbx>
                              <w:txbxContent>
                                <w:p w14:paraId="4B4CE1E2" w14:textId="77777777" w:rsidR="00756EAD" w:rsidRPr="00743FB5" w:rsidRDefault="00756EAD" w:rsidP="00D80461">
                                  <w:pPr>
                                    <w:spacing w:before="0"/>
                                    <w:rPr>
                                      <w:sz w:val="14"/>
                                      <w:szCs w:val="14"/>
                                    </w:rPr>
                                  </w:pPr>
                                  <w:r w:rsidRPr="00743FB5">
                                    <w:rPr>
                                      <w:noProof/>
                                      <w:color w:val="00B0F0"/>
                                      <w:sz w:val="14"/>
                                      <w:szCs w:val="14"/>
                                      <w:lang w:eastAsia="en-GB"/>
                                    </w:rPr>
                                    <w:t>Note de parité des sexes pour le nombre d</w:t>
                                  </w:r>
                                  <w:r>
                                    <w:rPr>
                                      <w:noProof/>
                                      <w:color w:val="00B0F0"/>
                                      <w:sz w:val="14"/>
                                      <w:szCs w:val="14"/>
                                      <w:lang w:eastAsia="en-GB"/>
                                    </w:rPr>
                                    <w:t>'</w:t>
                                  </w:r>
                                  <w:r w:rsidRPr="00743FB5">
                                    <w:rPr>
                                      <w:noProof/>
                                      <w:color w:val="00B0F0"/>
                                      <w:sz w:val="14"/>
                                      <w:szCs w:val="14"/>
                                      <w:lang w:eastAsia="en-GB"/>
                                    </w:rPr>
                                    <w:t>internautes, 2018 et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2A65E" id="Text Box 45" o:spid="_x0000_s1136" type="#_x0000_t202" style="position:absolute;left:0;text-align:left;margin-left:102.9pt;margin-top:6.8pt;width:202.5pt;height: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" fillcolor="white [3201]" stroked="f" strokeweight=".5pt">
                      <v:textbox inset="0,0,0,0">
                        <w:txbxContent>
                          <w:p w14:paraId="4B4CE1E2" w14:textId="77777777" w:rsidR="00756EAD" w:rsidRPr="00743FB5" w:rsidRDefault="00756EAD" w:rsidP="00D80461">
                            <w:pPr>
                              <w:spacing w:before="0"/>
                              <w:rPr>
                                <w:sz w:val="14"/>
                                <w:szCs w:val="14"/>
                              </w:rPr>
                            </w:pPr>
                            <w:r w:rsidRPr="00743FB5">
                              <w:rPr>
                                <w:noProof/>
                                <w:color w:val="00B0F0"/>
                                <w:sz w:val="14"/>
                                <w:szCs w:val="14"/>
                                <w:lang w:eastAsia="en-GB"/>
                              </w:rPr>
                              <w:t>Note de parité des sexes pour le nombre d</w:t>
                            </w:r>
                            <w:r>
                              <w:rPr>
                                <w:noProof/>
                                <w:color w:val="00B0F0"/>
                                <w:sz w:val="14"/>
                                <w:szCs w:val="14"/>
                                <w:lang w:eastAsia="en-GB"/>
                              </w:rPr>
                              <w:t>'</w:t>
                            </w:r>
                            <w:r w:rsidRPr="00743FB5">
                              <w:rPr>
                                <w:noProof/>
                                <w:color w:val="00B0F0"/>
                                <w:sz w:val="14"/>
                                <w:szCs w:val="14"/>
                                <w:lang w:eastAsia="en-GB"/>
                              </w:rPr>
                              <w:t>internautes, 2018 et 2020</w:t>
                            </w:r>
                          </w:p>
                        </w:txbxContent>
                      </v:textbox>
                    </v:shape>
                  </w:pict>
                </mc:Fallback>
              </mc:AlternateContent>
            </w:r>
            <w:r w:rsidRPr="00F05A8A">
              <w:rPr>
                <w:lang w:eastAsia="fr-FR"/>
              </w:rPr>
              <w:drawing>
                <wp:inline distT="0" distB="0" distL="0" distR="0" wp14:anchorId="3D29853B" wp14:editId="7CE8F010">
                  <wp:extent cx="3949065" cy="2978150"/>
                  <wp:effectExtent l="0" t="0" r="0" b="0"/>
                  <wp:docPr id="1257977765" name="Picture 125797776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5" name="Picture 1257977765" descr="Chart&#10;&#10;Description automatically generated with low confidence"/>
                          <pic:cNvPicPr>
                            <a:picLocks noChangeAspect="1"/>
                          </pic:cNvPicPr>
                        </pic:nvPicPr>
                        <pic:blipFill>
                          <a:blip r:embed="rId393"/>
                          <a:stretch>
                            <a:fillRect/>
                          </a:stretch>
                        </pic:blipFill>
                        <pic:spPr>
                          <a:xfrm>
                            <a:off x="0" y="0"/>
                            <a:ext cx="3949065" cy="2978150"/>
                          </a:xfrm>
                          <a:prstGeom prst="rect">
                            <a:avLst/>
                          </a:prstGeom>
                        </pic:spPr>
                      </pic:pic>
                    </a:graphicData>
                  </a:graphic>
                </wp:inline>
              </w:drawing>
            </w:r>
          </w:p>
          <w:p w14:paraId="02ACE56F" w14:textId="77777777" w:rsidR="00D80461" w:rsidRPr="00F05A8A" w:rsidRDefault="00D80461" w:rsidP="002F075E">
            <w:pPr>
              <w:spacing w:before="0"/>
              <w:rPr>
                <w:b/>
                <w:bCs/>
                <w:sz w:val="2"/>
                <w:szCs w:val="2"/>
              </w:rPr>
            </w:pPr>
          </w:p>
        </w:tc>
      </w:tr>
    </w:tbl>
    <w:p w14:paraId="68FA5B61" w14:textId="77777777" w:rsidR="00D80461" w:rsidRPr="00F05A8A" w:rsidRDefault="00D80461" w:rsidP="002F075E"/>
    <w:tbl>
      <w:tblPr>
        <w:tblW w:w="0" w:type="auto"/>
        <w:jc w:val="center"/>
        <w:tblLook w:val="04A0" w:firstRow="1" w:lastRow="0" w:firstColumn="1" w:lastColumn="0" w:noHBand="0" w:noVBand="1"/>
      </w:tblPr>
      <w:tblGrid>
        <w:gridCol w:w="4814"/>
        <w:gridCol w:w="4815"/>
      </w:tblGrid>
      <w:tr w:rsidR="00D80461" w:rsidRPr="00F05A8A" w14:paraId="2D07A8D5" w14:textId="77777777" w:rsidTr="00142C01">
        <w:trPr>
          <w:jc w:val="center"/>
        </w:trPr>
        <w:tc>
          <w:tcPr>
            <w:tcW w:w="9629" w:type="dxa"/>
            <w:gridSpan w:val="2"/>
            <w:shd w:val="clear" w:color="auto" w:fill="FFFFFF" w:themeFill="background1"/>
            <w:vAlign w:val="center"/>
          </w:tcPr>
          <w:p w14:paraId="67907C91" w14:textId="77777777" w:rsidR="00D80461" w:rsidRPr="00F05A8A" w:rsidRDefault="00D80461" w:rsidP="002F075E">
            <w:pPr>
              <w:spacing w:after="120"/>
              <w:jc w:val="center"/>
              <w:rPr>
                <w:rFonts w:eastAsia="Calibri"/>
              </w:rPr>
            </w:pPr>
            <w:r w:rsidRPr="00F05A8A">
              <w:rPr>
                <w:b/>
                <w:bCs/>
              </w:rPr>
              <w:t>Cible 2.9</w:t>
            </w:r>
          </w:p>
        </w:tc>
      </w:tr>
      <w:tr w:rsidR="00D80461" w:rsidRPr="00F05A8A" w14:paraId="179D44B0" w14:textId="77777777" w:rsidTr="00142C01">
        <w:trPr>
          <w:jc w:val="center"/>
        </w:trPr>
        <w:tc>
          <w:tcPr>
            <w:tcW w:w="4814" w:type="dxa"/>
            <w:vAlign w:val="center"/>
          </w:tcPr>
          <w:p w14:paraId="19E4CB46" w14:textId="77777777" w:rsidR="00D80461" w:rsidRPr="00F05A8A" w:rsidRDefault="00D80461" w:rsidP="002F075E">
            <w:pPr>
              <w:jc w:val="center"/>
              <w:rPr>
                <w:b/>
                <w:bCs/>
              </w:rPr>
            </w:pPr>
            <w:r w:rsidRPr="00F05A8A">
              <w:rPr>
                <w:b/>
                <w:bCs/>
                <w:szCs w:val="24"/>
                <w:lang w:eastAsia="fr-FR"/>
              </w:rPr>
              <mc:AlternateContent>
                <mc:Choice Requires="wps">
                  <w:drawing>
                    <wp:anchor distT="0" distB="0" distL="114300" distR="114300" simplePos="0" relativeHeight="251699200" behindDoc="0" locked="0" layoutInCell="1" allowOverlap="1" wp14:anchorId="0F4E8888" wp14:editId="52D8807A">
                      <wp:simplePos x="0" y="0"/>
                      <wp:positionH relativeFrom="column">
                        <wp:posOffset>1402715</wp:posOffset>
                      </wp:positionH>
                      <wp:positionV relativeFrom="paragraph">
                        <wp:posOffset>1426210</wp:posOffset>
                      </wp:positionV>
                      <wp:extent cx="1243330" cy="160655"/>
                      <wp:effectExtent l="0" t="0" r="0" b="0"/>
                      <wp:wrapNone/>
                      <wp:docPr id="20357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60655"/>
                              </a:xfrm>
                              <a:prstGeom prst="rect">
                                <a:avLst/>
                              </a:prstGeom>
                              <a:solidFill>
                                <a:schemeClr val="bg1"/>
                              </a:solidFill>
                              <a:ln w="9525">
                                <a:noFill/>
                                <a:miter lim="800000"/>
                                <a:headEnd/>
                                <a:tailEnd/>
                              </a:ln>
                            </wps:spPr>
                            <wps:txbx>
                              <w:txbxContent>
                                <w:p w14:paraId="298561F8" w14:textId="77777777" w:rsidR="00756EAD" w:rsidRPr="009C1351" w:rsidRDefault="00756EAD" w:rsidP="00D80461">
                                  <w:pPr>
                                    <w:spacing w:before="60"/>
                                    <w:rPr>
                                      <w:sz w:val="12"/>
                                      <w:szCs w:val="12"/>
                                    </w:rPr>
                                  </w:pPr>
                                  <w:r w:rsidRPr="00B05A9F">
                                    <w:rPr>
                                      <w:sz w:val="12"/>
                                      <w:szCs w:val="12"/>
                                    </w:rPr>
                                    <w:t>Pourcentage de répondants à l</w:t>
                                  </w:r>
                                  <w:r>
                                    <w:rPr>
                                      <w:sz w:val="12"/>
                                      <w:szCs w:val="12"/>
                                    </w:rPr>
                                    <w:t>'</w:t>
                                  </w:r>
                                  <w:r w:rsidRPr="00B05A9F">
                                    <w:rPr>
                                      <w:sz w:val="12"/>
                                      <w:szCs w:val="12"/>
                                    </w:rPr>
                                    <w:t>enquête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E8888" id="_x0000_s1137" type="#_x0000_t202" style="position:absolute;left:0;text-align:left;margin-left:110.45pt;margin-top:112.3pt;width:97.9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" fillcolor="white [3212]" stroked="f">
                      <v:textbox inset="0,0,0,0">
                        <w:txbxContent>
                          <w:p w14:paraId="298561F8" w14:textId="77777777" w:rsidR="00756EAD" w:rsidRPr="009C1351" w:rsidRDefault="00756EAD" w:rsidP="00D80461">
                            <w:pPr>
                              <w:spacing w:before="60"/>
                              <w:rPr>
                                <w:sz w:val="12"/>
                                <w:szCs w:val="12"/>
                              </w:rPr>
                            </w:pPr>
                            <w:r w:rsidRPr="00B05A9F">
                              <w:rPr>
                                <w:sz w:val="12"/>
                                <w:szCs w:val="12"/>
                              </w:rPr>
                              <w:t>Pourcentage de répondants à l</w:t>
                            </w:r>
                            <w:r>
                              <w:rPr>
                                <w:sz w:val="12"/>
                                <w:szCs w:val="12"/>
                              </w:rPr>
                              <w:t>'</w:t>
                            </w:r>
                            <w:r w:rsidRPr="00B05A9F">
                              <w:rPr>
                                <w:sz w:val="12"/>
                                <w:szCs w:val="12"/>
                              </w:rPr>
                              <w:t>enquête</w:t>
                            </w:r>
                          </w:p>
                        </w:txbxContent>
                      </v:textbox>
                    </v:shape>
                  </w:pict>
                </mc:Fallback>
              </mc:AlternateContent>
            </w:r>
            <w:r w:rsidRPr="00F05A8A">
              <w:rPr>
                <w:b/>
                <w:bCs/>
                <w:szCs w:val="24"/>
                <w:lang w:eastAsia="fr-FR"/>
              </w:rPr>
              <mc:AlternateContent>
                <mc:Choice Requires="wps">
                  <w:drawing>
                    <wp:anchor distT="0" distB="0" distL="114300" distR="114300" simplePos="0" relativeHeight="251697152" behindDoc="0" locked="0" layoutInCell="1" allowOverlap="1" wp14:anchorId="56C5B591" wp14:editId="79D34F11">
                      <wp:simplePos x="0" y="0"/>
                      <wp:positionH relativeFrom="column">
                        <wp:posOffset>985520</wp:posOffset>
                      </wp:positionH>
                      <wp:positionV relativeFrom="paragraph">
                        <wp:posOffset>1426210</wp:posOffset>
                      </wp:positionV>
                      <wp:extent cx="328930" cy="123825"/>
                      <wp:effectExtent l="0" t="0" r="0" b="9525"/>
                      <wp:wrapNone/>
                      <wp:docPr id="203575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23825"/>
                              </a:xfrm>
                              <a:prstGeom prst="rect">
                                <a:avLst/>
                              </a:prstGeom>
                              <a:solidFill>
                                <a:schemeClr val="bg1"/>
                              </a:solidFill>
                              <a:ln w="9525">
                                <a:noFill/>
                                <a:miter lim="800000"/>
                                <a:headEnd/>
                                <a:tailEnd/>
                              </a:ln>
                            </wps:spPr>
                            <wps:txbx>
                              <w:txbxContent>
                                <w:p w14:paraId="55BD1531" w14:textId="77777777" w:rsidR="00756EAD" w:rsidRPr="009C1351" w:rsidRDefault="00756EAD" w:rsidP="00D80461">
                                  <w:pPr>
                                    <w:spacing w:before="60"/>
                                    <w:rPr>
                                      <w:sz w:val="12"/>
                                      <w:szCs w:val="12"/>
                                    </w:rPr>
                                  </w:pPr>
                                  <w:r w:rsidRPr="00B05A9F">
                                    <w:rPr>
                                      <w:sz w:val="12"/>
                                      <w:szCs w:val="12"/>
                                    </w:rPr>
                                    <w:t>Nombre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B591" id="_x0000_s1138" type="#_x0000_t202" style="position:absolute;left:0;text-align:left;margin-left:77.6pt;margin-top:112.3pt;width:25.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" fillcolor="white [3212]" stroked="f">
                      <v:textbox inset="0,0,0,0">
                        <w:txbxContent>
                          <w:p w14:paraId="55BD1531" w14:textId="77777777" w:rsidR="00756EAD" w:rsidRPr="009C1351" w:rsidRDefault="00756EAD" w:rsidP="00D80461">
                            <w:pPr>
                              <w:spacing w:before="60"/>
                              <w:rPr>
                                <w:sz w:val="12"/>
                                <w:szCs w:val="12"/>
                              </w:rPr>
                            </w:pPr>
                            <w:r w:rsidRPr="00B05A9F">
                              <w:rPr>
                                <w:sz w:val="12"/>
                                <w:szCs w:val="12"/>
                              </w:rPr>
                              <w:t>Nombre</w:t>
                            </w:r>
                          </w:p>
                        </w:txbxContent>
                      </v:textbox>
                    </v:shape>
                  </w:pict>
                </mc:Fallback>
              </mc:AlternateContent>
            </w:r>
            <w:r w:rsidRPr="00F05A8A">
              <w:rPr>
                <w:b/>
                <w:bCs/>
                <w:szCs w:val="24"/>
                <w:lang w:eastAsia="fr-FR"/>
              </w:rPr>
              <mc:AlternateContent>
                <mc:Choice Requires="wps">
                  <w:drawing>
                    <wp:anchor distT="0" distB="0" distL="114300" distR="114300" simplePos="0" relativeHeight="251698176" behindDoc="0" locked="0" layoutInCell="1" allowOverlap="1" wp14:anchorId="3A8D45BF" wp14:editId="58B992EB">
                      <wp:simplePos x="0" y="0"/>
                      <wp:positionH relativeFrom="column">
                        <wp:posOffset>391795</wp:posOffset>
                      </wp:positionH>
                      <wp:positionV relativeFrom="paragraph">
                        <wp:posOffset>97155</wp:posOffset>
                      </wp:positionV>
                      <wp:extent cx="2113915" cy="237490"/>
                      <wp:effectExtent l="0" t="0" r="635" b="0"/>
                      <wp:wrapNone/>
                      <wp:docPr id="203575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37490"/>
                              </a:xfrm>
                              <a:prstGeom prst="rect">
                                <a:avLst/>
                              </a:prstGeom>
                              <a:solidFill>
                                <a:schemeClr val="bg1"/>
                              </a:solidFill>
                              <a:ln w="9525">
                                <a:noFill/>
                                <a:miter lim="800000"/>
                                <a:headEnd/>
                                <a:tailEnd/>
                              </a:ln>
                            </wps:spPr>
                            <wps:txbx>
                              <w:txbxContent>
                                <w:p w14:paraId="064D2887" w14:textId="77777777" w:rsidR="00756EAD" w:rsidRPr="00B05A9F" w:rsidRDefault="00756EAD" w:rsidP="00D80461">
                                  <w:pPr>
                                    <w:spacing w:before="20"/>
                                    <w:jc w:val="center"/>
                                    <w:rPr>
                                      <w:b/>
                                      <w:sz w:val="14"/>
                                      <w:szCs w:val="14"/>
                                    </w:rPr>
                                  </w:pPr>
                                  <w:r w:rsidRPr="00B05A9F">
                                    <w:rPr>
                                      <w:b/>
                                      <w:sz w:val="14"/>
                                      <w:szCs w:val="14"/>
                                    </w:rPr>
                                    <w:t>Pays ayant établi un cadre réglementaire pour garantir l</w:t>
                                  </w:r>
                                  <w:r>
                                    <w:rPr>
                                      <w:b/>
                                      <w:sz w:val="14"/>
                                      <w:szCs w:val="14"/>
                                    </w:rPr>
                                    <w:t>'</w:t>
                                  </w:r>
                                  <w:r w:rsidRPr="00B05A9F">
                                    <w:rPr>
                                      <w:b/>
                                      <w:sz w:val="14"/>
                                      <w:szCs w:val="14"/>
                                    </w:rPr>
                                    <w:t>accessibilité des TIC pour les personnes handicapées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D45BF" id="_x0000_s1139" type="#_x0000_t202" style="position:absolute;left:0;text-align:left;margin-left:30.85pt;margin-top:7.65pt;width:166.4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" fillcolor="white [3212]" stroked="f">
                      <v:textbox inset="0,0,0,0">
                        <w:txbxContent>
                          <w:p w14:paraId="064D2887" w14:textId="77777777" w:rsidR="00756EAD" w:rsidRPr="00B05A9F" w:rsidRDefault="00756EAD" w:rsidP="00D80461">
                            <w:pPr>
                              <w:spacing w:before="20"/>
                              <w:jc w:val="center"/>
                              <w:rPr>
                                <w:b/>
                                <w:sz w:val="14"/>
                                <w:szCs w:val="14"/>
                              </w:rPr>
                            </w:pPr>
                            <w:r w:rsidRPr="00B05A9F">
                              <w:rPr>
                                <w:b/>
                                <w:sz w:val="14"/>
                                <w:szCs w:val="14"/>
                              </w:rPr>
                              <w:t>Pays ayant établi un cadre réglementaire pour garantir l</w:t>
                            </w:r>
                            <w:r>
                              <w:rPr>
                                <w:b/>
                                <w:sz w:val="14"/>
                                <w:szCs w:val="14"/>
                              </w:rPr>
                              <w:t>'</w:t>
                            </w:r>
                            <w:r w:rsidRPr="00B05A9F">
                              <w:rPr>
                                <w:b/>
                                <w:sz w:val="14"/>
                                <w:szCs w:val="14"/>
                              </w:rPr>
                              <w:t>accessibilité des TIC pour les personnes handicapées</w:t>
                            </w:r>
                          </w:p>
                        </w:txbxContent>
                      </v:textbox>
                    </v:shape>
                  </w:pict>
                </mc:Fallback>
              </mc:AlternateContent>
            </w:r>
            <w:r w:rsidRPr="00F05A8A">
              <w:t xml:space="preserve"> </w:t>
            </w:r>
            <w:r w:rsidRPr="00F05A8A">
              <w:rPr>
                <w:lang w:eastAsia="fr-FR"/>
              </w:rPr>
              <w:drawing>
                <wp:inline distT="0" distB="0" distL="0" distR="0" wp14:anchorId="624615BD" wp14:editId="35BCE1BB">
                  <wp:extent cx="2602269" cy="1538287"/>
                  <wp:effectExtent l="0" t="0" r="7620" b="5080"/>
                  <wp:docPr id="1193504116" name="Picture 11935041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6" name="Picture 1193504116" descr="Chart, waterfall chart&#10;&#10;Description automatically generated"/>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610551" cy="1543183"/>
                          </a:xfrm>
                          <a:prstGeom prst="rect">
                            <a:avLst/>
                          </a:prstGeom>
                          <a:noFill/>
                        </pic:spPr>
                      </pic:pic>
                    </a:graphicData>
                  </a:graphic>
                </wp:inline>
              </w:drawing>
            </w:r>
            <w:r w:rsidRPr="00F05A8A">
              <w:t xml:space="preserve"> </w:t>
            </w:r>
          </w:p>
        </w:tc>
        <w:tc>
          <w:tcPr>
            <w:tcW w:w="4815" w:type="dxa"/>
            <w:vAlign w:val="center"/>
          </w:tcPr>
          <w:p w14:paraId="7956F260" w14:textId="77777777" w:rsidR="00D80461" w:rsidRPr="00F05A8A" w:rsidRDefault="00D80461" w:rsidP="002F075E">
            <w:pPr>
              <w:jc w:val="center"/>
              <w:rPr>
                <w:b/>
                <w:bCs/>
              </w:rPr>
            </w:pPr>
            <w:r w:rsidRPr="00F05A8A">
              <w:rPr>
                <w:b/>
                <w:bCs/>
                <w:szCs w:val="24"/>
                <w:lang w:eastAsia="fr-FR"/>
              </w:rPr>
              <mc:AlternateContent>
                <mc:Choice Requires="wps">
                  <w:drawing>
                    <wp:anchor distT="0" distB="0" distL="114300" distR="114300" simplePos="0" relativeHeight="251703296" behindDoc="0" locked="0" layoutInCell="1" allowOverlap="1" wp14:anchorId="2A2C9641" wp14:editId="0B8D14DB">
                      <wp:simplePos x="0" y="0"/>
                      <wp:positionH relativeFrom="column">
                        <wp:posOffset>1534160</wp:posOffset>
                      </wp:positionH>
                      <wp:positionV relativeFrom="paragraph">
                        <wp:posOffset>1176655</wp:posOffset>
                      </wp:positionV>
                      <wp:extent cx="1360805" cy="350520"/>
                      <wp:effectExtent l="0" t="0" r="0" b="0"/>
                      <wp:wrapNone/>
                      <wp:docPr id="1257977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50520"/>
                              </a:xfrm>
                              <a:prstGeom prst="rect">
                                <a:avLst/>
                              </a:prstGeom>
                              <a:solidFill>
                                <a:schemeClr val="bg1"/>
                              </a:solidFill>
                              <a:ln w="9525">
                                <a:noFill/>
                                <a:miter lim="800000"/>
                                <a:headEnd/>
                                <a:tailEnd/>
                              </a:ln>
                            </wps:spPr>
                            <wps:txbx>
                              <w:txbxContent>
                                <w:p w14:paraId="1CD7C359" w14:textId="77777777" w:rsidR="00756EAD" w:rsidRDefault="00756EAD" w:rsidP="00D80461">
                                  <w:pPr>
                                    <w:spacing w:before="40"/>
                                    <w:rPr>
                                      <w:sz w:val="10"/>
                                      <w:szCs w:val="10"/>
                                    </w:rPr>
                                  </w:pPr>
                                  <w:r w:rsidRPr="00410D23">
                                    <w:rPr>
                                      <w:sz w:val="10"/>
                                      <w:szCs w:val="10"/>
                                    </w:rPr>
                                    <w:t>Accessibilité des programmes de télévision/vidéo</w:t>
                                  </w:r>
                                </w:p>
                                <w:p w14:paraId="1C6E01C7" w14:textId="77777777" w:rsidR="00756EAD" w:rsidRPr="00410D23" w:rsidRDefault="00756EAD" w:rsidP="00D80461">
                                  <w:pPr>
                                    <w:spacing w:before="40"/>
                                    <w:rPr>
                                      <w:sz w:val="10"/>
                                      <w:szCs w:val="10"/>
                                    </w:rPr>
                                  </w:pPr>
                                  <w:r w:rsidRPr="00410D23">
                                    <w:rPr>
                                      <w:sz w:val="10"/>
                                      <w:szCs w:val="10"/>
                                    </w:rPr>
                                    <w:t>Accessibilité des TIC publiques</w:t>
                                  </w:r>
                                </w:p>
                                <w:p w14:paraId="4346FDF8" w14:textId="77777777" w:rsidR="00756EAD" w:rsidRPr="00410D23" w:rsidRDefault="00756EAD" w:rsidP="00D80461">
                                  <w:pPr>
                                    <w:spacing w:before="40"/>
                                    <w:rPr>
                                      <w:sz w:val="10"/>
                                      <w:szCs w:val="10"/>
                                    </w:rPr>
                                  </w:pPr>
                                  <w:r w:rsidRPr="00410D23">
                                    <w:rPr>
                                      <w:sz w:val="10"/>
                                      <w:szCs w:val="10"/>
                                    </w:rPr>
                                    <w:t>Autre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C9641" id="_x0000_s1140" type="#_x0000_t202" style="position:absolute;left:0;text-align:left;margin-left:120.8pt;margin-top:92.65pt;width:107.1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" fillcolor="white [3212]" stroked="f">
                      <v:textbox inset="0,0,0,0">
                        <w:txbxContent>
                          <w:p w14:paraId="1CD7C359" w14:textId="77777777" w:rsidR="00756EAD" w:rsidRDefault="00756EAD" w:rsidP="00D80461">
                            <w:pPr>
                              <w:spacing w:before="40"/>
                              <w:rPr>
                                <w:sz w:val="10"/>
                                <w:szCs w:val="10"/>
                              </w:rPr>
                            </w:pPr>
                            <w:r w:rsidRPr="00410D23">
                              <w:rPr>
                                <w:sz w:val="10"/>
                                <w:szCs w:val="10"/>
                              </w:rPr>
                              <w:t>Accessibilité des programmes de télévision/vidéo</w:t>
                            </w:r>
                          </w:p>
                          <w:p w14:paraId="1C6E01C7" w14:textId="77777777" w:rsidR="00756EAD" w:rsidRPr="00410D23" w:rsidRDefault="00756EAD" w:rsidP="00D80461">
                            <w:pPr>
                              <w:spacing w:before="40"/>
                              <w:rPr>
                                <w:sz w:val="10"/>
                                <w:szCs w:val="10"/>
                              </w:rPr>
                            </w:pPr>
                            <w:r w:rsidRPr="00410D23">
                              <w:rPr>
                                <w:sz w:val="10"/>
                                <w:szCs w:val="10"/>
                              </w:rPr>
                              <w:t>Accessibilité des TIC publiques</w:t>
                            </w:r>
                          </w:p>
                          <w:p w14:paraId="4346FDF8" w14:textId="77777777" w:rsidR="00756EAD" w:rsidRPr="00410D23" w:rsidRDefault="00756EAD" w:rsidP="00D80461">
                            <w:pPr>
                              <w:spacing w:before="40"/>
                              <w:rPr>
                                <w:sz w:val="10"/>
                                <w:szCs w:val="10"/>
                              </w:rPr>
                            </w:pPr>
                            <w:r w:rsidRPr="00410D23">
                              <w:rPr>
                                <w:sz w:val="10"/>
                                <w:szCs w:val="10"/>
                              </w:rPr>
                              <w:t>Autre</w:t>
                            </w:r>
                          </w:p>
                        </w:txbxContent>
                      </v:textbox>
                    </v:shape>
                  </w:pict>
                </mc:Fallback>
              </mc:AlternateContent>
            </w:r>
            <w:r w:rsidRPr="00F05A8A">
              <w:rPr>
                <w:b/>
                <w:bCs/>
                <w:szCs w:val="24"/>
                <w:lang w:eastAsia="fr-FR"/>
              </w:rPr>
              <mc:AlternateContent>
                <mc:Choice Requires="wps">
                  <w:drawing>
                    <wp:anchor distT="0" distB="0" distL="114300" distR="114300" simplePos="0" relativeHeight="251700224" behindDoc="0" locked="0" layoutInCell="1" allowOverlap="1" wp14:anchorId="3E65D5D9" wp14:editId="63C9B9D3">
                      <wp:simplePos x="0" y="0"/>
                      <wp:positionH relativeFrom="column">
                        <wp:posOffset>546735</wp:posOffset>
                      </wp:positionH>
                      <wp:positionV relativeFrom="paragraph">
                        <wp:posOffset>1184275</wp:posOffset>
                      </wp:positionV>
                      <wp:extent cx="921385" cy="443865"/>
                      <wp:effectExtent l="0" t="0" r="0" b="0"/>
                      <wp:wrapNone/>
                      <wp:docPr id="1257977767" name="Text Box 1257977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443865"/>
                              </a:xfrm>
                              <a:prstGeom prst="rect">
                                <a:avLst/>
                              </a:prstGeom>
                              <a:solidFill>
                                <a:schemeClr val="bg1"/>
                              </a:solidFill>
                              <a:ln w="9525">
                                <a:noFill/>
                                <a:miter lim="800000"/>
                                <a:headEnd/>
                                <a:tailEnd/>
                              </a:ln>
                            </wps:spPr>
                            <wps:txbx>
                              <w:txbxContent>
                                <w:p w14:paraId="65BB30DC" w14:textId="77777777" w:rsidR="00756EAD" w:rsidRPr="00410D23" w:rsidRDefault="00756EAD" w:rsidP="00D80461">
                                  <w:pPr>
                                    <w:spacing w:before="20"/>
                                    <w:rPr>
                                      <w:sz w:val="10"/>
                                      <w:szCs w:val="10"/>
                                    </w:rPr>
                                  </w:pPr>
                                  <w:r w:rsidRPr="00410D23">
                                    <w:rPr>
                                      <w:sz w:val="10"/>
                                      <w:szCs w:val="10"/>
                                    </w:rPr>
                                    <w:t>Accessibilité des comm</w:t>
                                  </w:r>
                                  <w:r>
                                    <w:rPr>
                                      <w:sz w:val="10"/>
                                      <w:szCs w:val="10"/>
                                    </w:rPr>
                                    <w:t>.</w:t>
                                  </w:r>
                                  <w:r w:rsidRPr="00410D23">
                                    <w:rPr>
                                      <w:sz w:val="10"/>
                                      <w:szCs w:val="10"/>
                                    </w:rPr>
                                    <w:t xml:space="preserve"> mobiles</w:t>
                                  </w:r>
                                </w:p>
                                <w:p w14:paraId="594E4B0D" w14:textId="77777777" w:rsidR="00756EAD" w:rsidRPr="00410D23" w:rsidRDefault="00756EAD" w:rsidP="00D80461">
                                  <w:pPr>
                                    <w:spacing w:before="40"/>
                                    <w:rPr>
                                      <w:sz w:val="10"/>
                                      <w:szCs w:val="10"/>
                                    </w:rPr>
                                  </w:pPr>
                                  <w:r w:rsidRPr="00410D23">
                                    <w:rPr>
                                      <w:sz w:val="10"/>
                                      <w:szCs w:val="10"/>
                                    </w:rPr>
                                    <w:t>Accessibilité du web</w:t>
                                  </w:r>
                                </w:p>
                                <w:p w14:paraId="2BA2177A" w14:textId="77777777" w:rsidR="00756EAD" w:rsidRPr="00410D23" w:rsidRDefault="00756EAD" w:rsidP="00D80461">
                                  <w:pPr>
                                    <w:spacing w:before="0"/>
                                    <w:rPr>
                                      <w:sz w:val="10"/>
                                      <w:szCs w:val="10"/>
                                    </w:rPr>
                                  </w:pPr>
                                  <w:r w:rsidRPr="00410D23">
                                    <w:rPr>
                                      <w:sz w:val="10"/>
                                      <w:szCs w:val="10"/>
                                    </w:rPr>
                                    <w:t>Passation de marchés publics – TIC accessibles</w:t>
                                  </w:r>
                                </w:p>
                                <w:p w14:paraId="046B706D" w14:textId="77777777" w:rsidR="00756EAD" w:rsidRPr="00410D23" w:rsidRDefault="00756EAD" w:rsidP="00D80461">
                                  <w:pPr>
                                    <w:spacing w:before="0"/>
                                    <w:rPr>
                                      <w:sz w:val="10"/>
                                      <w:szCs w:val="10"/>
                                    </w:rPr>
                                  </w:pPr>
                                  <w:r w:rsidRPr="00410D23">
                                    <w:rPr>
                                      <w:sz w:val="10"/>
                                      <w:szCs w:val="10"/>
                                    </w:rPr>
                                    <w:t>Pas de cadre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5D5D9" id="Text Box 1257977767" o:spid="_x0000_s1141" type="#_x0000_t202" style="position:absolute;left:0;text-align:left;margin-left:43.05pt;margin-top:93.25pt;width:72.55pt;height:3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" fillcolor="white [3212]" stroked="f">
                      <v:textbox inset="0,0,0,0">
                        <w:txbxContent>
                          <w:p w14:paraId="65BB30DC" w14:textId="77777777" w:rsidR="00756EAD" w:rsidRPr="00410D23" w:rsidRDefault="00756EAD" w:rsidP="00D80461">
                            <w:pPr>
                              <w:spacing w:before="20"/>
                              <w:rPr>
                                <w:sz w:val="10"/>
                                <w:szCs w:val="10"/>
                              </w:rPr>
                            </w:pPr>
                            <w:r w:rsidRPr="00410D23">
                              <w:rPr>
                                <w:sz w:val="10"/>
                                <w:szCs w:val="10"/>
                              </w:rPr>
                              <w:t>Accessibilité des comm</w:t>
                            </w:r>
                            <w:r>
                              <w:rPr>
                                <w:sz w:val="10"/>
                                <w:szCs w:val="10"/>
                              </w:rPr>
                              <w:t>.</w:t>
                            </w:r>
                            <w:r w:rsidRPr="00410D23">
                              <w:rPr>
                                <w:sz w:val="10"/>
                                <w:szCs w:val="10"/>
                              </w:rPr>
                              <w:t xml:space="preserve"> mobiles</w:t>
                            </w:r>
                          </w:p>
                          <w:p w14:paraId="594E4B0D" w14:textId="77777777" w:rsidR="00756EAD" w:rsidRPr="00410D23" w:rsidRDefault="00756EAD" w:rsidP="00D80461">
                            <w:pPr>
                              <w:spacing w:before="40"/>
                              <w:rPr>
                                <w:sz w:val="10"/>
                                <w:szCs w:val="10"/>
                              </w:rPr>
                            </w:pPr>
                            <w:r w:rsidRPr="00410D23">
                              <w:rPr>
                                <w:sz w:val="10"/>
                                <w:szCs w:val="10"/>
                              </w:rPr>
                              <w:t>Accessibilité du web</w:t>
                            </w:r>
                          </w:p>
                          <w:p w14:paraId="2BA2177A" w14:textId="77777777" w:rsidR="00756EAD" w:rsidRPr="00410D23" w:rsidRDefault="00756EAD" w:rsidP="00D80461">
                            <w:pPr>
                              <w:spacing w:before="0"/>
                              <w:rPr>
                                <w:sz w:val="10"/>
                                <w:szCs w:val="10"/>
                              </w:rPr>
                            </w:pPr>
                            <w:r w:rsidRPr="00410D23">
                              <w:rPr>
                                <w:sz w:val="10"/>
                                <w:szCs w:val="10"/>
                              </w:rPr>
                              <w:t>Passation de marchés publics – TIC accessibles</w:t>
                            </w:r>
                          </w:p>
                          <w:p w14:paraId="046B706D" w14:textId="77777777" w:rsidR="00756EAD" w:rsidRPr="00410D23" w:rsidRDefault="00756EAD" w:rsidP="00D80461">
                            <w:pPr>
                              <w:spacing w:before="0"/>
                              <w:rPr>
                                <w:sz w:val="10"/>
                                <w:szCs w:val="10"/>
                              </w:rPr>
                            </w:pPr>
                            <w:r w:rsidRPr="00410D23">
                              <w:rPr>
                                <w:sz w:val="10"/>
                                <w:szCs w:val="10"/>
                              </w:rPr>
                              <w:t>Pas de cadre</w:t>
                            </w:r>
                          </w:p>
                        </w:txbxContent>
                      </v:textbox>
                    </v:shape>
                  </w:pict>
                </mc:Fallback>
              </mc:AlternateContent>
            </w:r>
            <w:r w:rsidRPr="00F05A8A">
              <w:rPr>
                <w:b/>
                <w:bCs/>
                <w:szCs w:val="24"/>
                <w:lang w:eastAsia="fr-FR"/>
              </w:rPr>
              <mc:AlternateContent>
                <mc:Choice Requires="wps">
                  <w:drawing>
                    <wp:anchor distT="0" distB="0" distL="114300" distR="114300" simplePos="0" relativeHeight="251701248" behindDoc="0" locked="0" layoutInCell="1" allowOverlap="1" wp14:anchorId="4CEAC53E" wp14:editId="659DC372">
                      <wp:simplePos x="0" y="0"/>
                      <wp:positionH relativeFrom="column">
                        <wp:posOffset>393065</wp:posOffset>
                      </wp:positionH>
                      <wp:positionV relativeFrom="paragraph">
                        <wp:posOffset>1074420</wp:posOffset>
                      </wp:positionV>
                      <wp:extent cx="2325370" cy="1168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16840"/>
                              </a:xfrm>
                              <a:prstGeom prst="rect">
                                <a:avLst/>
                              </a:prstGeom>
                              <a:solidFill>
                                <a:schemeClr val="bg1"/>
                              </a:solidFill>
                              <a:ln w="9525">
                                <a:noFill/>
                                <a:miter lim="800000"/>
                                <a:headEnd/>
                                <a:tailEnd/>
                              </a:ln>
                            </wps:spPr>
                            <wps:txbx>
                              <w:txbxContent>
                                <w:p w14:paraId="1D75C5A8" w14:textId="77777777" w:rsidR="00756EAD" w:rsidRPr="009C1351" w:rsidRDefault="00756EAD" w:rsidP="00D80461">
                                  <w:pPr>
                                    <w:spacing w:before="0"/>
                                    <w:rPr>
                                      <w:sz w:val="12"/>
                                      <w:szCs w:val="12"/>
                                    </w:rPr>
                                  </w:pPr>
                                  <w:r>
                                    <w:rPr>
                                      <w:sz w:val="12"/>
                                      <w:szCs w:val="12"/>
                                    </w:rPr>
                                    <w:t xml:space="preserve">Afrique    États arabes  Asie-Pacifique    CEI            </w:t>
                                  </w:r>
                                  <w:r w:rsidRPr="00410D23">
                                    <w:rPr>
                                      <w:sz w:val="12"/>
                                      <w:szCs w:val="12"/>
                                    </w:rPr>
                                    <w:t>E</w:t>
                                  </w:r>
                                  <w:r>
                                    <w:rPr>
                                      <w:sz w:val="12"/>
                                      <w:szCs w:val="12"/>
                                    </w:rPr>
                                    <w:t xml:space="preserve">urope     </w:t>
                                  </w:r>
                                  <w:r w:rsidRPr="00410D23">
                                    <w:rPr>
                                      <w:sz w:val="12"/>
                                      <w:szCs w:val="12"/>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C53E" id="_x0000_s1142" type="#_x0000_t202" style="position:absolute;left:0;text-align:left;margin-left:30.95pt;margin-top:84.6pt;width:183.1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" fillcolor="white [3212]" stroked="f">
                      <v:textbox inset="0,0,0,0">
                        <w:txbxContent>
                          <w:p w14:paraId="1D75C5A8" w14:textId="77777777" w:rsidR="00756EAD" w:rsidRPr="009C1351" w:rsidRDefault="00756EAD" w:rsidP="00D80461">
                            <w:pPr>
                              <w:spacing w:before="0"/>
                              <w:rPr>
                                <w:sz w:val="12"/>
                                <w:szCs w:val="12"/>
                              </w:rPr>
                            </w:pPr>
                            <w:r>
                              <w:rPr>
                                <w:sz w:val="12"/>
                                <w:szCs w:val="12"/>
                              </w:rPr>
                              <w:t xml:space="preserve">Afrique    États arabes  Asie-Pacifique    CEI            </w:t>
                            </w:r>
                            <w:r w:rsidRPr="00410D23">
                              <w:rPr>
                                <w:sz w:val="12"/>
                                <w:szCs w:val="12"/>
                              </w:rPr>
                              <w:t>E</w:t>
                            </w:r>
                            <w:r>
                              <w:rPr>
                                <w:sz w:val="12"/>
                                <w:szCs w:val="12"/>
                              </w:rPr>
                              <w:t xml:space="preserve">urope     </w:t>
                            </w:r>
                            <w:r w:rsidRPr="00410D23">
                              <w:rPr>
                                <w:sz w:val="12"/>
                                <w:szCs w:val="12"/>
                              </w:rPr>
                              <w:t>Amériques</w:t>
                            </w:r>
                          </w:p>
                        </w:txbxContent>
                      </v:textbox>
                    </v:shape>
                  </w:pict>
                </mc:Fallback>
              </mc:AlternateContent>
            </w:r>
            <w:r w:rsidRPr="00F05A8A">
              <w:rPr>
                <w:b/>
                <w:bCs/>
                <w:szCs w:val="24"/>
                <w:lang w:eastAsia="fr-FR"/>
              </w:rPr>
              <mc:AlternateContent>
                <mc:Choice Requires="wps">
                  <w:drawing>
                    <wp:anchor distT="0" distB="0" distL="114300" distR="114300" simplePos="0" relativeHeight="251702272" behindDoc="0" locked="0" layoutInCell="1" allowOverlap="1" wp14:anchorId="705FEA24" wp14:editId="2AA65F57">
                      <wp:simplePos x="0" y="0"/>
                      <wp:positionH relativeFrom="column">
                        <wp:posOffset>173355</wp:posOffset>
                      </wp:positionH>
                      <wp:positionV relativeFrom="paragraph">
                        <wp:posOffset>101600</wp:posOffset>
                      </wp:positionV>
                      <wp:extent cx="2545080" cy="394970"/>
                      <wp:effectExtent l="0" t="0" r="7620" b="5080"/>
                      <wp:wrapNone/>
                      <wp:docPr id="1257977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94970"/>
                              </a:xfrm>
                              <a:prstGeom prst="rect">
                                <a:avLst/>
                              </a:prstGeom>
                              <a:solidFill>
                                <a:schemeClr val="bg1"/>
                              </a:solidFill>
                              <a:ln w="9525">
                                <a:noFill/>
                                <a:miter lim="800000"/>
                                <a:headEnd/>
                                <a:tailEnd/>
                              </a:ln>
                            </wps:spPr>
                            <wps:txbx>
                              <w:txbxContent>
                                <w:p w14:paraId="2641F771" w14:textId="77777777" w:rsidR="00756EAD" w:rsidRPr="00B05A9F" w:rsidRDefault="00756EAD" w:rsidP="00D80461">
                                  <w:pPr>
                                    <w:spacing w:before="20"/>
                                    <w:jc w:val="center"/>
                                    <w:rPr>
                                      <w:b/>
                                      <w:sz w:val="14"/>
                                      <w:szCs w:val="14"/>
                                    </w:rPr>
                                  </w:pPr>
                                  <w:r w:rsidRPr="00410D23">
                                    <w:rPr>
                                      <w:b/>
                                      <w:sz w:val="14"/>
                                      <w:szCs w:val="14"/>
                                    </w:rPr>
                                    <w:t>Nombre de pays par domaine couvert par le cadre réglementaire en matière d</w:t>
                                  </w:r>
                                  <w:r>
                                    <w:rPr>
                                      <w:b/>
                                      <w:sz w:val="14"/>
                                      <w:szCs w:val="14"/>
                                    </w:rPr>
                                    <w:t>'</w:t>
                                  </w:r>
                                  <w:r w:rsidRPr="00410D23">
                                    <w:rPr>
                                      <w:b/>
                                      <w:sz w:val="14"/>
                                      <w:szCs w:val="14"/>
                                    </w:rPr>
                                    <w:t>accessibilité des TIC/par région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FEA24" id="_x0000_s1143" type="#_x0000_t202" style="position:absolute;left:0;text-align:left;margin-left:13.65pt;margin-top:8pt;width:200.4pt;height:3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" fillcolor="white [3212]" stroked="f">
                      <v:textbox inset="0,0,0,0">
                        <w:txbxContent>
                          <w:p w14:paraId="2641F771" w14:textId="77777777" w:rsidR="00756EAD" w:rsidRPr="00B05A9F" w:rsidRDefault="00756EAD" w:rsidP="00D80461">
                            <w:pPr>
                              <w:spacing w:before="20"/>
                              <w:jc w:val="center"/>
                              <w:rPr>
                                <w:b/>
                                <w:sz w:val="14"/>
                                <w:szCs w:val="14"/>
                              </w:rPr>
                            </w:pPr>
                            <w:r w:rsidRPr="00410D23">
                              <w:rPr>
                                <w:b/>
                                <w:sz w:val="14"/>
                                <w:szCs w:val="14"/>
                              </w:rPr>
                              <w:t>Nombre de pays par domaine couvert par le cadre réglementaire en matière d</w:t>
                            </w:r>
                            <w:r>
                              <w:rPr>
                                <w:b/>
                                <w:sz w:val="14"/>
                                <w:szCs w:val="14"/>
                              </w:rPr>
                              <w:t>'</w:t>
                            </w:r>
                            <w:r w:rsidRPr="00410D23">
                              <w:rPr>
                                <w:b/>
                                <w:sz w:val="14"/>
                                <w:szCs w:val="14"/>
                              </w:rPr>
                              <w:t>accessibilité des TIC/par région (2020)</w:t>
                            </w:r>
                          </w:p>
                        </w:txbxContent>
                      </v:textbox>
                    </v:shape>
                  </w:pict>
                </mc:Fallback>
              </mc:AlternateContent>
            </w:r>
            <w:r w:rsidRPr="00F05A8A">
              <w:rPr>
                <w:b/>
                <w:bCs/>
                <w:lang w:eastAsia="fr-FR"/>
              </w:rPr>
              <w:drawing>
                <wp:inline distT="0" distB="0" distL="0" distR="0" wp14:anchorId="4BA4549C" wp14:editId="7A4ED3DD">
                  <wp:extent cx="2647950" cy="1556985"/>
                  <wp:effectExtent l="0" t="0" r="0" b="5715"/>
                  <wp:docPr id="1257977771" name="Picture 12579777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7" name="Picture 1193504117" descr="Chart, bar chart&#10;&#10;Description automatically generated"/>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661389" cy="1564887"/>
                          </a:xfrm>
                          <a:prstGeom prst="rect">
                            <a:avLst/>
                          </a:prstGeom>
                          <a:noFill/>
                        </pic:spPr>
                      </pic:pic>
                    </a:graphicData>
                  </a:graphic>
                </wp:inline>
              </w:drawing>
            </w:r>
          </w:p>
        </w:tc>
      </w:tr>
      <w:tr w:rsidR="00D80461" w:rsidRPr="00F05A8A" w14:paraId="295E61B2" w14:textId="77777777" w:rsidTr="00142C01">
        <w:trPr>
          <w:jc w:val="center"/>
        </w:trPr>
        <w:tc>
          <w:tcPr>
            <w:tcW w:w="9629" w:type="dxa"/>
            <w:gridSpan w:val="2"/>
            <w:shd w:val="clear" w:color="auto" w:fill="FFFFFF" w:themeFill="background1"/>
            <w:vAlign w:val="center"/>
          </w:tcPr>
          <w:p w14:paraId="0760D880" w14:textId="77777777" w:rsidR="00D80461" w:rsidRPr="00F05A8A" w:rsidRDefault="00D80461" w:rsidP="002F075E">
            <w:pPr>
              <w:spacing w:after="120"/>
              <w:jc w:val="center"/>
              <w:rPr>
                <w:b/>
                <w:bCs/>
                <w:szCs w:val="24"/>
              </w:rPr>
            </w:pPr>
            <w:r w:rsidRPr="00F05A8A">
              <w:rPr>
                <w:b/>
                <w:bCs/>
              </w:rPr>
              <w:t>Cible 2.10</w:t>
            </w:r>
          </w:p>
        </w:tc>
      </w:tr>
      <w:tr w:rsidR="00D80461" w:rsidRPr="00F05A8A" w14:paraId="1012925F" w14:textId="77777777" w:rsidTr="00142C01">
        <w:trPr>
          <w:jc w:val="center"/>
        </w:trPr>
        <w:tc>
          <w:tcPr>
            <w:tcW w:w="4814" w:type="dxa"/>
            <w:vAlign w:val="center"/>
          </w:tcPr>
          <w:p w14:paraId="24D6B02C" w14:textId="77777777" w:rsidR="00D80461" w:rsidRPr="00F05A8A" w:rsidRDefault="00D80461" w:rsidP="002F075E">
            <w:pPr>
              <w:spacing w:after="120"/>
              <w:jc w:val="center"/>
              <w:rPr>
                <w:b/>
                <w:bCs/>
                <w:sz w:val="20"/>
              </w:rPr>
            </w:pPr>
            <w:r w:rsidRPr="00F05A8A">
              <w:rPr>
                <w:sz w:val="2"/>
                <w:szCs w:val="2"/>
                <w:lang w:eastAsia="fr-FR"/>
              </w:rPr>
              <mc:AlternateContent>
                <mc:Choice Requires="wps">
                  <w:drawing>
                    <wp:anchor distT="0" distB="0" distL="114300" distR="114300" simplePos="0" relativeHeight="251762688" behindDoc="0" locked="0" layoutInCell="1" allowOverlap="1" wp14:anchorId="3D22B468" wp14:editId="776FBBA4">
                      <wp:simplePos x="0" y="0"/>
                      <wp:positionH relativeFrom="column">
                        <wp:posOffset>-42545</wp:posOffset>
                      </wp:positionH>
                      <wp:positionV relativeFrom="paragraph">
                        <wp:posOffset>1360170</wp:posOffset>
                      </wp:positionV>
                      <wp:extent cx="2961640" cy="567055"/>
                      <wp:effectExtent l="0" t="0" r="0" b="4445"/>
                      <wp:wrapNone/>
                      <wp:docPr id="1257977748" name="Text Box 1257977748"/>
                      <wp:cNvGraphicFramePr/>
                      <a:graphic xmlns:a="http://schemas.openxmlformats.org/drawingml/2006/main">
                        <a:graphicData uri="http://schemas.microsoft.com/office/word/2010/wordprocessingShape">
                          <wps:wsp>
                            <wps:cNvSpPr txBox="1"/>
                            <wps:spPr>
                              <a:xfrm>
                                <a:off x="0" y="0"/>
                                <a:ext cx="2961640" cy="567055"/>
                              </a:xfrm>
                              <a:prstGeom prst="rect">
                                <a:avLst/>
                              </a:prstGeom>
                              <a:solidFill>
                                <a:schemeClr val="lt1"/>
                              </a:solidFill>
                              <a:ln w="6350">
                                <a:noFill/>
                              </a:ln>
                            </wps:spPr>
                            <wps:txbx>
                              <w:txbxContent>
                                <w:p w14:paraId="6688F6FD" w14:textId="77777777" w:rsidR="00756EAD" w:rsidRPr="00C339F3" w:rsidRDefault="00756EAD" w:rsidP="00D8046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Pour chaque pays, la valeur des compétences élémentaires est la valeur moyenne des données récentes disponibles pour les quatre activités informatiques suivantes: copier ou déplacer un fichier ou un répertoire, utiliser des fonctions de type copier/coller pour reproduire ou déplacer des informations dans un document, envoyer des courriels avec des fichiers joints et transférer des fichiers entre un ordinateur et d'autres dispositifs.</w:t>
                                  </w:r>
                                </w:p>
                                <w:p w14:paraId="2F7843D8" w14:textId="77777777" w:rsidR="00756EAD" w:rsidRPr="00C339F3" w:rsidRDefault="00756EAD" w:rsidP="00D80461">
                                  <w:pPr>
                                    <w:spacing w:before="0"/>
                                    <w:rPr>
                                      <w:noProof/>
                                      <w:sz w:val="12"/>
                                      <w:szCs w:val="12"/>
                                      <w:lang w:eastAsia="en-GB"/>
                                    </w:rPr>
                                  </w:pPr>
                                </w:p>
                                <w:p w14:paraId="33CF7994" w14:textId="77777777" w:rsidR="00756EAD" w:rsidRPr="00C339F3" w:rsidRDefault="00756EAD" w:rsidP="00D80461">
                                  <w:pPr>
                                    <w:spacing w:before="0"/>
                                    <w:rPr>
                                      <w:sz w:val="12"/>
                                      <w:szCs w:val="12"/>
                                    </w:rPr>
                                  </w:pPr>
                                  <w:r w:rsidRPr="00C339F3">
                                    <w:rPr>
                                      <w:noProof/>
                                      <w:sz w:val="12"/>
                                      <w:szCs w:val="12"/>
                                      <w:lang w:eastAsia="en-GB"/>
                                    </w:rPr>
                                    <w:t xml:space="preserve">Les appellations employées et la présentation des données figurant sur cette carte n'impliquent, de la part de l'UIT et du Secrétariat de l'UIT, aucune </w:t>
                                  </w:r>
                                  <w:r w:rsidRPr="00C339F3">
                                    <w:rPr>
                                      <w:noProof/>
                                      <w:sz w:val="12"/>
                                      <w:szCs w:val="12"/>
                                      <w:lang w:eastAsia="en-GB"/>
                                    </w:rPr>
                                    <w:br/>
                                    <w:t>prise de position quant au statut juridique des pays, territoires, villes ou zones, ou de leurs autorités, ni quant au tracé de leurs frontières ou limites.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B468" id="Text Box 1257977748" o:spid="_x0000_s1144" type="#_x0000_t202" style="position:absolute;left:0;text-align:left;margin-left:-3.35pt;margin-top:107.1pt;width:233.2pt;height:4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" fillcolor="white [3201]" stroked="f" strokeweight=".5pt">
                      <v:textbox inset="0,0,0,0">
                        <w:txbxContent>
                          <w:p w14:paraId="6688F6FD" w14:textId="77777777" w:rsidR="00756EAD" w:rsidRPr="00C339F3" w:rsidRDefault="00756EAD" w:rsidP="00D8046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Pour chaque pays, la valeur des compétences élémentaires est la valeur moyenne des données récentes disponibles pour les quatre activités informatiques suivantes: copier ou déplacer un fichier ou un répertoire, utiliser des fonctions de type copier/coller pour reproduire ou déplacer des informations dans un document, envoyer des courriels avec des fichiers joints et transférer des fichiers entre un ordinateur et d'autres dispositifs.</w:t>
                            </w:r>
                          </w:p>
                          <w:p w14:paraId="2F7843D8" w14:textId="77777777" w:rsidR="00756EAD" w:rsidRPr="00C339F3" w:rsidRDefault="00756EAD" w:rsidP="00D80461">
                            <w:pPr>
                              <w:spacing w:before="0"/>
                              <w:rPr>
                                <w:noProof/>
                                <w:sz w:val="12"/>
                                <w:szCs w:val="12"/>
                                <w:lang w:eastAsia="en-GB"/>
                              </w:rPr>
                            </w:pPr>
                          </w:p>
                          <w:p w14:paraId="33CF7994" w14:textId="77777777" w:rsidR="00756EAD" w:rsidRPr="00C339F3" w:rsidRDefault="00756EAD" w:rsidP="00D80461">
                            <w:pPr>
                              <w:spacing w:before="0"/>
                              <w:rPr>
                                <w:sz w:val="12"/>
                                <w:szCs w:val="12"/>
                              </w:rPr>
                            </w:pPr>
                            <w:r w:rsidRPr="00C339F3">
                              <w:rPr>
                                <w:noProof/>
                                <w:sz w:val="12"/>
                                <w:szCs w:val="12"/>
                                <w:lang w:eastAsia="en-GB"/>
                              </w:rPr>
                              <w:t xml:space="preserve">Les appellations employées et la présentation des données figurant sur cette carte n'impliquent, de la part de l'UIT et du Secrétariat de l'UIT, aucune </w:t>
                            </w:r>
                            <w:r w:rsidRPr="00C339F3">
                              <w:rPr>
                                <w:noProof/>
                                <w:sz w:val="12"/>
                                <w:szCs w:val="12"/>
                                <w:lang w:eastAsia="en-GB"/>
                              </w:rPr>
                              <w:br/>
                              <w:t>prise de position quant au statut juridique des pays, territoires, villes ou zones, ou de leurs autorités, ni quant au tracé de leurs frontières ou limites.</w:t>
                            </w:r>
                          </w:p>
                        </w:txbxContent>
                      </v:textbox>
                    </v:shape>
                  </w:pict>
                </mc:Fallback>
              </mc:AlternateContent>
            </w:r>
            <w:r w:rsidRPr="00F05A8A">
              <w:rPr>
                <w:lang w:eastAsia="fr-FR"/>
              </w:rPr>
              <mc:AlternateContent>
                <mc:Choice Requires="wps">
                  <w:drawing>
                    <wp:anchor distT="0" distB="0" distL="114300" distR="114300" simplePos="0" relativeHeight="251760640" behindDoc="0" locked="0" layoutInCell="1" allowOverlap="1" wp14:anchorId="147E75D2" wp14:editId="527ABADA">
                      <wp:simplePos x="0" y="0"/>
                      <wp:positionH relativeFrom="column">
                        <wp:posOffset>-41910</wp:posOffset>
                      </wp:positionH>
                      <wp:positionV relativeFrom="paragraph">
                        <wp:posOffset>1259840</wp:posOffset>
                      </wp:positionV>
                      <wp:extent cx="699135" cy="109220"/>
                      <wp:effectExtent l="0" t="0" r="5715" b="5080"/>
                      <wp:wrapNone/>
                      <wp:docPr id="1257977746" name="Text Box 1257977746"/>
                      <wp:cNvGraphicFramePr/>
                      <a:graphic xmlns:a="http://schemas.openxmlformats.org/drawingml/2006/main">
                        <a:graphicData uri="http://schemas.microsoft.com/office/word/2010/wordprocessingShape">
                          <wps:wsp>
                            <wps:cNvSpPr txBox="1"/>
                            <wps:spPr>
                              <a:xfrm>
                                <a:off x="0" y="0"/>
                                <a:ext cx="699135" cy="109220"/>
                              </a:xfrm>
                              <a:prstGeom prst="rect">
                                <a:avLst/>
                              </a:prstGeom>
                              <a:solidFill>
                                <a:schemeClr val="lt1"/>
                              </a:solidFill>
                              <a:ln w="6350">
                                <a:noFill/>
                              </a:ln>
                            </wps:spPr>
                            <wps:txbx>
                              <w:txbxContent>
                                <w:p w14:paraId="4BC6709C" w14:textId="77777777" w:rsidR="00756EAD" w:rsidRPr="00C339F3" w:rsidRDefault="00756EAD" w:rsidP="00D80461">
                                  <w:pPr>
                                    <w:spacing w:before="0"/>
                                    <w:rPr>
                                      <w:bCs/>
                                      <w:sz w:val="12"/>
                                      <w:szCs w:val="12"/>
                                    </w:rPr>
                                  </w:pPr>
                                  <w:r w:rsidRPr="00C339F3">
                                    <w:rPr>
                                      <w:bCs/>
                                      <w:sz w:val="12"/>
                                      <w:szCs w:val="12"/>
                                    </w:rPr>
                                    <w:t>Source: UIT</w:t>
                                  </w:r>
                                  <w:r>
                                    <w:rPr>
                                      <w:bCs/>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75D2" id="Text Box 1257977746" o:spid="_x0000_s1145" type="#_x0000_t202" style="position:absolute;left:0;text-align:left;margin-left:-3.3pt;margin-top:99.2pt;width:55.05pt;height: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" fillcolor="white [3201]" stroked="f" strokeweight=".5pt">
                      <v:textbox inset="0,0,0,0">
                        <w:txbxContent>
                          <w:p w14:paraId="4BC6709C" w14:textId="77777777" w:rsidR="00756EAD" w:rsidRPr="00C339F3" w:rsidRDefault="00756EAD" w:rsidP="00D80461">
                            <w:pPr>
                              <w:spacing w:before="0"/>
                              <w:rPr>
                                <w:bCs/>
                                <w:sz w:val="12"/>
                                <w:szCs w:val="12"/>
                              </w:rPr>
                            </w:pPr>
                            <w:r w:rsidRPr="00C339F3">
                              <w:rPr>
                                <w:bCs/>
                                <w:sz w:val="12"/>
                                <w:szCs w:val="12"/>
                              </w:rPr>
                              <w:t>Source: UIT</w:t>
                            </w:r>
                            <w:r>
                              <w:rPr>
                                <w:bCs/>
                                <w:sz w:val="12"/>
                                <w:szCs w:val="12"/>
                              </w:rPr>
                              <w:t>.</w:t>
                            </w:r>
                          </w:p>
                        </w:txbxContent>
                      </v:textbox>
                    </v:shape>
                  </w:pict>
                </mc:Fallback>
              </mc:AlternateContent>
            </w:r>
            <w:r w:rsidRPr="00F05A8A">
              <w:rPr>
                <w:lang w:eastAsia="fr-FR"/>
              </w:rPr>
              <mc:AlternateContent>
                <mc:Choice Requires="wps">
                  <w:drawing>
                    <wp:anchor distT="0" distB="0" distL="114300" distR="114300" simplePos="0" relativeHeight="251759616" behindDoc="0" locked="0" layoutInCell="1" allowOverlap="1" wp14:anchorId="495F1490" wp14:editId="5FA4AA35">
                      <wp:simplePos x="0" y="0"/>
                      <wp:positionH relativeFrom="column">
                        <wp:posOffset>1734820</wp:posOffset>
                      </wp:positionH>
                      <wp:positionV relativeFrom="page">
                        <wp:posOffset>647065</wp:posOffset>
                      </wp:positionV>
                      <wp:extent cx="165100" cy="144145"/>
                      <wp:effectExtent l="0" t="0" r="6350" b="8255"/>
                      <wp:wrapNone/>
                      <wp:docPr id="1257977737" name="Text Box 1257977737"/>
                      <wp:cNvGraphicFramePr/>
                      <a:graphic xmlns:a="http://schemas.openxmlformats.org/drawingml/2006/main">
                        <a:graphicData uri="http://schemas.microsoft.com/office/word/2010/wordprocessingShape">
                          <wps:wsp>
                            <wps:cNvSpPr txBox="1"/>
                            <wps:spPr>
                              <a:xfrm>
                                <a:off x="0" y="0"/>
                                <a:ext cx="165100" cy="144145"/>
                              </a:xfrm>
                              <a:prstGeom prst="rect">
                                <a:avLst/>
                              </a:prstGeom>
                              <a:solidFill>
                                <a:schemeClr val="accent5">
                                  <a:lumMod val="20000"/>
                                  <a:lumOff val="80000"/>
                                </a:schemeClr>
                              </a:solidFill>
                              <a:ln w="6350">
                                <a:noFill/>
                              </a:ln>
                            </wps:spPr>
                            <wps:txbx>
                              <w:txbxContent>
                                <w:p w14:paraId="669D1E2F" w14:textId="77777777" w:rsidR="00756EAD" w:rsidRPr="00CF1AE5" w:rsidRDefault="00756EAD" w:rsidP="00D80461">
                                  <w:pPr>
                                    <w:spacing w:before="0"/>
                                    <w:jc w:val="center"/>
                                    <w:rPr>
                                      <w:sz w:val="8"/>
                                      <w:szCs w:val="8"/>
                                    </w:rPr>
                                  </w:pPr>
                                  <w:r>
                                    <w:rPr>
                                      <w:sz w:val="8"/>
                                      <w:szCs w:val="8"/>
                                    </w:rPr>
                                    <w:t xml:space="preserve">13 </w:t>
                                  </w:r>
                                  <w:r>
                                    <w:rPr>
                                      <w:sz w:val="8"/>
                                      <w:szCs w:val="8"/>
                                    </w:rPr>
                                    <w:br/>
                                    <w:t>pays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1490" id="Text Box 1257977737" o:spid="_x0000_s1146" type="#_x0000_t202" style="position:absolute;left:0;text-align:left;margin-left:136.6pt;margin-top:50.95pt;width:13pt;height:1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" fillcolor="#daeef3 [664]" stroked="f" strokeweight=".5pt">
                      <v:textbox inset="0,0,0,0">
                        <w:txbxContent>
                          <w:p w14:paraId="669D1E2F" w14:textId="77777777" w:rsidR="00756EAD" w:rsidRPr="00CF1AE5" w:rsidRDefault="00756EAD" w:rsidP="00D80461">
                            <w:pPr>
                              <w:spacing w:before="0"/>
                              <w:jc w:val="center"/>
                              <w:rPr>
                                <w:sz w:val="8"/>
                                <w:szCs w:val="8"/>
                              </w:rPr>
                            </w:pPr>
                            <w:r>
                              <w:rPr>
                                <w:sz w:val="8"/>
                                <w:szCs w:val="8"/>
                              </w:rPr>
                              <w:t xml:space="preserve">13 </w:t>
                            </w:r>
                            <w:r>
                              <w:rPr>
                                <w:sz w:val="8"/>
                                <w:szCs w:val="8"/>
                              </w:rPr>
                              <w:br/>
                              <w:t>pays</w:t>
                            </w:r>
                          </w:p>
                        </w:txbxContent>
                      </v:textbox>
                      <w10:wrap anchory="page"/>
                    </v:shape>
                  </w:pict>
                </mc:Fallback>
              </mc:AlternateContent>
            </w:r>
            <w:r w:rsidRPr="00F05A8A">
              <w:rPr>
                <w:lang w:eastAsia="fr-FR"/>
              </w:rPr>
              <mc:AlternateContent>
                <mc:Choice Requires="wps">
                  <w:drawing>
                    <wp:anchor distT="0" distB="0" distL="114300" distR="114300" simplePos="0" relativeHeight="251660288" behindDoc="0" locked="0" layoutInCell="1" allowOverlap="1" wp14:anchorId="4B22A18C" wp14:editId="0A9C6017">
                      <wp:simplePos x="0" y="0"/>
                      <wp:positionH relativeFrom="column">
                        <wp:posOffset>1686551</wp:posOffset>
                      </wp:positionH>
                      <wp:positionV relativeFrom="paragraph">
                        <wp:posOffset>744002</wp:posOffset>
                      </wp:positionV>
                      <wp:extent cx="256529" cy="62063"/>
                      <wp:effectExtent l="0" t="0" r="0" b="0"/>
                      <wp:wrapNone/>
                      <wp:docPr id="1257977741" name="Text Box 1257977741"/>
                      <wp:cNvGraphicFramePr/>
                      <a:graphic xmlns:a="http://schemas.openxmlformats.org/drawingml/2006/main">
                        <a:graphicData uri="http://schemas.microsoft.com/office/word/2010/wordprocessingShape">
                          <wps:wsp>
                            <wps:cNvSpPr txBox="1"/>
                            <wps:spPr>
                              <a:xfrm>
                                <a:off x="0" y="0"/>
                                <a:ext cx="256529" cy="62063"/>
                              </a:xfrm>
                              <a:prstGeom prst="rect">
                                <a:avLst/>
                              </a:prstGeom>
                              <a:solidFill>
                                <a:schemeClr val="lt1"/>
                              </a:solidFill>
                              <a:ln w="6350">
                                <a:noFill/>
                              </a:ln>
                            </wps:spPr>
                            <wps:txbx>
                              <w:txbxContent>
                                <w:p w14:paraId="5A118A2B" w14:textId="77777777" w:rsidR="00756EAD" w:rsidRDefault="00756EAD" w:rsidP="00D80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2A18C" id="Text Box 1257977741" o:spid="_x0000_s1147" type="#_x0000_t202" style="position:absolute;left:0;text-align:left;margin-left:132.8pt;margin-top:58.6pt;width:20.2pt;height: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" fillcolor="white [3201]" stroked="f" strokeweight=".5pt">
                      <v:textbox>
                        <w:txbxContent>
                          <w:p w14:paraId="5A118A2B" w14:textId="77777777" w:rsidR="00756EAD" w:rsidRDefault="00756EAD" w:rsidP="00D80461"/>
                        </w:txbxContent>
                      </v:textbox>
                    </v:shape>
                  </w:pict>
                </mc:Fallback>
              </mc:AlternateContent>
            </w:r>
            <w:r w:rsidRPr="00F05A8A">
              <w:rPr>
                <w:lang w:eastAsia="fr-FR"/>
              </w:rPr>
              <mc:AlternateContent>
                <mc:Choice Requires="wps">
                  <w:drawing>
                    <wp:anchor distT="0" distB="0" distL="114300" distR="114300" simplePos="0" relativeHeight="251758592" behindDoc="0" locked="0" layoutInCell="1" allowOverlap="1" wp14:anchorId="2C1EF8DF" wp14:editId="3B3E446D">
                      <wp:simplePos x="0" y="0"/>
                      <wp:positionH relativeFrom="column">
                        <wp:posOffset>1710690</wp:posOffset>
                      </wp:positionH>
                      <wp:positionV relativeFrom="paragraph">
                        <wp:posOffset>327025</wp:posOffset>
                      </wp:positionV>
                      <wp:extent cx="1236980" cy="144780"/>
                      <wp:effectExtent l="0" t="0" r="1270" b="7620"/>
                      <wp:wrapNone/>
                      <wp:docPr id="1257977736" name="Text Box 1257977736"/>
                      <wp:cNvGraphicFramePr/>
                      <a:graphic xmlns:a="http://schemas.openxmlformats.org/drawingml/2006/main">
                        <a:graphicData uri="http://schemas.microsoft.com/office/word/2010/wordprocessingShape">
                          <wps:wsp>
                            <wps:cNvSpPr txBox="1"/>
                            <wps:spPr>
                              <a:xfrm>
                                <a:off x="0" y="0"/>
                                <a:ext cx="1236980" cy="144780"/>
                              </a:xfrm>
                              <a:prstGeom prst="rect">
                                <a:avLst/>
                              </a:prstGeom>
                              <a:solidFill>
                                <a:schemeClr val="lt1"/>
                              </a:solidFill>
                              <a:ln w="6350">
                                <a:noFill/>
                              </a:ln>
                            </wps:spPr>
                            <wps:txbx>
                              <w:txbxContent>
                                <w:p w14:paraId="6EB93BBC" w14:textId="77777777" w:rsidR="00756EAD" w:rsidRPr="00CF1AE5" w:rsidRDefault="00756EAD" w:rsidP="00D80461">
                                  <w:pPr>
                                    <w:spacing w:before="0"/>
                                    <w:rPr>
                                      <w:sz w:val="8"/>
                                      <w:szCs w:val="8"/>
                                    </w:rPr>
                                  </w:pPr>
                                  <w:r w:rsidRPr="00CF1AE5">
                                    <w:rPr>
                                      <w:sz w:val="8"/>
                                      <w:szCs w:val="8"/>
                                    </w:rPr>
                                    <w:t xml:space="preserve">Répartition des pays selon la proportion de leur population ayant des compétences </w:t>
                                  </w:r>
                                  <w:r w:rsidRPr="00CF1AE5">
                                    <w:rPr>
                                      <w:b/>
                                      <w:sz w:val="8"/>
                                      <w:szCs w:val="8"/>
                                    </w:rPr>
                                    <w:t>élémentaires</w:t>
                                  </w:r>
                                  <w:r w:rsidRPr="00CF1AE5">
                                    <w:rPr>
                                      <w:sz w:val="8"/>
                                      <w:szCs w:val="8"/>
                                    </w:rPr>
                                    <w:t xml:space="preserve"> en matière de 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F8DF" id="Text Box 1257977736" o:spid="_x0000_s1148" type="#_x0000_t202" style="position:absolute;left:0;text-align:left;margin-left:134.7pt;margin-top:25.75pt;width:97.4pt;height:1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" fillcolor="white [3201]" stroked="f" strokeweight=".5pt">
                      <v:textbox inset="0,0,0,0">
                        <w:txbxContent>
                          <w:p w14:paraId="6EB93BBC" w14:textId="77777777" w:rsidR="00756EAD" w:rsidRPr="00CF1AE5" w:rsidRDefault="00756EAD" w:rsidP="00D80461">
                            <w:pPr>
                              <w:spacing w:before="0"/>
                              <w:rPr>
                                <w:sz w:val="8"/>
                                <w:szCs w:val="8"/>
                              </w:rPr>
                            </w:pPr>
                            <w:r w:rsidRPr="00CF1AE5">
                              <w:rPr>
                                <w:sz w:val="8"/>
                                <w:szCs w:val="8"/>
                              </w:rPr>
                              <w:t xml:space="preserve">Répartition des pays selon la proportion de leur population ayant des compétences </w:t>
                            </w:r>
                            <w:r w:rsidRPr="00CF1AE5">
                              <w:rPr>
                                <w:b/>
                                <w:sz w:val="8"/>
                                <w:szCs w:val="8"/>
                              </w:rPr>
                              <w:t>élémentaires</w:t>
                            </w:r>
                            <w:r w:rsidRPr="00CF1AE5">
                              <w:rPr>
                                <w:sz w:val="8"/>
                                <w:szCs w:val="8"/>
                              </w:rPr>
                              <w:t xml:space="preserve"> en matière de TIC</w:t>
                            </w:r>
                          </w:p>
                        </w:txbxContent>
                      </v:textbox>
                    </v:shape>
                  </w:pict>
                </mc:Fallback>
              </mc:AlternateContent>
            </w:r>
            <w:r w:rsidRPr="00F05A8A">
              <w:rPr>
                <w:lang w:eastAsia="fr-FR"/>
              </w:rPr>
              <mc:AlternateContent>
                <mc:Choice Requires="wps">
                  <w:drawing>
                    <wp:anchor distT="0" distB="0" distL="114300" distR="114300" simplePos="0" relativeHeight="251757568" behindDoc="0" locked="0" layoutInCell="1" allowOverlap="1" wp14:anchorId="5ED3D307" wp14:editId="7F538DAE">
                      <wp:simplePos x="0" y="0"/>
                      <wp:positionH relativeFrom="column">
                        <wp:posOffset>97155</wp:posOffset>
                      </wp:positionH>
                      <wp:positionV relativeFrom="paragraph">
                        <wp:posOffset>15875</wp:posOffset>
                      </wp:positionV>
                      <wp:extent cx="2472055" cy="214630"/>
                      <wp:effectExtent l="0" t="0" r="4445" b="0"/>
                      <wp:wrapNone/>
                      <wp:docPr id="1257977734" name="Text Box 1257977734"/>
                      <wp:cNvGraphicFramePr/>
                      <a:graphic xmlns:a="http://schemas.openxmlformats.org/drawingml/2006/main">
                        <a:graphicData uri="http://schemas.microsoft.com/office/word/2010/wordprocessingShape">
                          <wps:wsp>
                            <wps:cNvSpPr txBox="1"/>
                            <wps:spPr>
                              <a:xfrm>
                                <a:off x="0" y="0"/>
                                <a:ext cx="2472055" cy="214630"/>
                              </a:xfrm>
                              <a:prstGeom prst="rect">
                                <a:avLst/>
                              </a:prstGeom>
                              <a:solidFill>
                                <a:schemeClr val="lt1"/>
                              </a:solidFill>
                              <a:ln w="6350">
                                <a:noFill/>
                              </a:ln>
                            </wps:spPr>
                            <wps:txbx>
                              <w:txbxContent>
                                <w:p w14:paraId="498D1B67" w14:textId="77777777" w:rsidR="00756EAD" w:rsidRPr="00154E4A" w:rsidRDefault="00756EAD" w:rsidP="00D80461">
                                  <w:pPr>
                                    <w:spacing w:before="0"/>
                                    <w:rPr>
                                      <w:sz w:val="12"/>
                                      <w:szCs w:val="12"/>
                                    </w:rPr>
                                  </w:pPr>
                                  <w:r w:rsidRPr="00154E4A">
                                    <w:rPr>
                                      <w:noProof/>
                                      <w:color w:val="00B0F0"/>
                                      <w:sz w:val="12"/>
                                      <w:szCs w:val="12"/>
                                      <w:lang w:eastAsia="en-GB"/>
                                    </w:rPr>
                                    <w:t>Pourcentage de personnes ayant des compétences élémentaires en matière de</w:t>
                                  </w:r>
                                  <w:r>
                                    <w:rPr>
                                      <w:noProof/>
                                      <w:color w:val="00B0F0"/>
                                      <w:sz w:val="12"/>
                                      <w:szCs w:val="12"/>
                                      <w:lang w:eastAsia="en-GB"/>
                                    </w:rPr>
                                    <w:t> </w:t>
                                  </w:r>
                                  <w:r w:rsidRPr="00154E4A">
                                    <w:rPr>
                                      <w:noProof/>
                                      <w:color w:val="00B0F0"/>
                                      <w:sz w:val="12"/>
                                      <w:szCs w:val="12"/>
                                      <w:lang w:eastAsia="en-GB"/>
                                    </w:rPr>
                                    <w:t>TIC, année disponible la plus récente dans la période 2018-2020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D307" id="Text Box 1257977734" o:spid="_x0000_s1149" type="#_x0000_t202" style="position:absolute;left:0;text-align:left;margin-left:7.65pt;margin-top:1.25pt;width:194.65pt;height:1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" fillcolor="white [3201]" stroked="f" strokeweight=".5pt">
                      <v:textbox inset="0,0,0,0">
                        <w:txbxContent>
                          <w:p w14:paraId="498D1B67" w14:textId="77777777" w:rsidR="00756EAD" w:rsidRPr="00154E4A" w:rsidRDefault="00756EAD" w:rsidP="00D80461">
                            <w:pPr>
                              <w:spacing w:before="0"/>
                              <w:rPr>
                                <w:sz w:val="12"/>
                                <w:szCs w:val="12"/>
                              </w:rPr>
                            </w:pPr>
                            <w:r w:rsidRPr="00154E4A">
                              <w:rPr>
                                <w:noProof/>
                                <w:color w:val="00B0F0"/>
                                <w:sz w:val="12"/>
                                <w:szCs w:val="12"/>
                                <w:lang w:eastAsia="en-GB"/>
                              </w:rPr>
                              <w:t>Pourcentage de personnes ayant des compétences élémentaires en matière de</w:t>
                            </w:r>
                            <w:r>
                              <w:rPr>
                                <w:noProof/>
                                <w:color w:val="00B0F0"/>
                                <w:sz w:val="12"/>
                                <w:szCs w:val="12"/>
                                <w:lang w:eastAsia="en-GB"/>
                              </w:rPr>
                              <w:t> </w:t>
                            </w:r>
                            <w:r w:rsidRPr="00154E4A">
                              <w:rPr>
                                <w:noProof/>
                                <w:color w:val="00B0F0"/>
                                <w:sz w:val="12"/>
                                <w:szCs w:val="12"/>
                                <w:lang w:eastAsia="en-GB"/>
                              </w:rPr>
                              <w:t>TIC, année disponible la plus récente dans la période 2018-2020</w:t>
                            </w:r>
                          </w:p>
                        </w:txbxContent>
                      </v:textbox>
                    </v:shape>
                  </w:pict>
                </mc:Fallback>
              </mc:AlternateContent>
            </w:r>
            <w:r w:rsidRPr="00F05A8A">
              <w:rPr>
                <w:lang w:eastAsia="fr-FR"/>
              </w:rPr>
              <w:drawing>
                <wp:inline distT="0" distB="0" distL="0" distR="0" wp14:anchorId="436F39C2" wp14:editId="1D079089">
                  <wp:extent cx="2919730" cy="1605280"/>
                  <wp:effectExtent l="0" t="0" r="0" b="0"/>
                  <wp:docPr id="1257977772" name="Picture 12579777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2" name="Picture 1257977772" descr="Chart&#10;&#10;Description automatically generated"/>
                          <pic:cNvPicPr>
                            <a:picLocks noChangeAspect="1"/>
                          </pic:cNvPicPr>
                        </pic:nvPicPr>
                        <pic:blipFill>
                          <a:blip r:embed="rId396"/>
                          <a:stretch>
                            <a:fillRect/>
                          </a:stretch>
                        </pic:blipFill>
                        <pic:spPr>
                          <a:xfrm>
                            <a:off x="0" y="0"/>
                            <a:ext cx="2919730" cy="1605280"/>
                          </a:xfrm>
                          <a:prstGeom prst="rect">
                            <a:avLst/>
                          </a:prstGeom>
                        </pic:spPr>
                      </pic:pic>
                    </a:graphicData>
                  </a:graphic>
                </wp:inline>
              </w:drawing>
            </w:r>
          </w:p>
        </w:tc>
        <w:tc>
          <w:tcPr>
            <w:tcW w:w="4815" w:type="dxa"/>
            <w:vAlign w:val="center"/>
          </w:tcPr>
          <w:p w14:paraId="5B315EE6" w14:textId="77777777" w:rsidR="00D80461" w:rsidRPr="00F05A8A" w:rsidRDefault="00D80461" w:rsidP="002F075E">
            <w:pPr>
              <w:spacing w:after="120"/>
              <w:rPr>
                <w:b/>
                <w:bCs/>
                <w:szCs w:val="24"/>
              </w:rPr>
            </w:pPr>
            <w:r w:rsidRPr="00F05A8A">
              <w:rPr>
                <w:lang w:eastAsia="fr-FR"/>
              </w:rPr>
              <mc:AlternateContent>
                <mc:Choice Requires="wps">
                  <w:drawing>
                    <wp:anchor distT="0" distB="0" distL="114300" distR="114300" simplePos="0" relativeHeight="251761664" behindDoc="0" locked="0" layoutInCell="1" allowOverlap="1" wp14:anchorId="46408F11" wp14:editId="35BD5AF7">
                      <wp:simplePos x="0" y="0"/>
                      <wp:positionH relativeFrom="column">
                        <wp:posOffset>-46990</wp:posOffset>
                      </wp:positionH>
                      <wp:positionV relativeFrom="paragraph">
                        <wp:posOffset>1211580</wp:posOffset>
                      </wp:positionV>
                      <wp:extent cx="699135" cy="100330"/>
                      <wp:effectExtent l="0" t="0" r="5715" b="0"/>
                      <wp:wrapNone/>
                      <wp:docPr id="1257977747" name="Text Box 1257977747"/>
                      <wp:cNvGraphicFramePr/>
                      <a:graphic xmlns:a="http://schemas.openxmlformats.org/drawingml/2006/main">
                        <a:graphicData uri="http://schemas.microsoft.com/office/word/2010/wordprocessingShape">
                          <wps:wsp>
                            <wps:cNvSpPr txBox="1"/>
                            <wps:spPr>
                              <a:xfrm>
                                <a:off x="0" y="0"/>
                                <a:ext cx="699135" cy="100330"/>
                              </a:xfrm>
                              <a:prstGeom prst="rect">
                                <a:avLst/>
                              </a:prstGeom>
                              <a:solidFill>
                                <a:schemeClr val="lt1"/>
                              </a:solidFill>
                              <a:ln w="6350">
                                <a:noFill/>
                              </a:ln>
                            </wps:spPr>
                            <wps:txbx>
                              <w:txbxContent>
                                <w:p w14:paraId="3A763BEE" w14:textId="77777777" w:rsidR="00756EAD" w:rsidRPr="00C339F3" w:rsidRDefault="00756EAD" w:rsidP="00D80461">
                                  <w:pPr>
                                    <w:spacing w:before="0"/>
                                    <w:rPr>
                                      <w:bCs/>
                                      <w:sz w:val="12"/>
                                      <w:szCs w:val="12"/>
                                    </w:rPr>
                                  </w:pPr>
                                  <w:r w:rsidRPr="00C339F3">
                                    <w:rPr>
                                      <w:bCs/>
                                      <w:sz w:val="12"/>
                                      <w:szCs w:val="12"/>
                                    </w:rPr>
                                    <w:t>Source: UIT</w:t>
                                  </w:r>
                                  <w:r>
                                    <w:rPr>
                                      <w:bCs/>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8F11" id="Text Box 1257977747" o:spid="_x0000_s1150" type="#_x0000_t202" style="position:absolute;margin-left:-3.7pt;margin-top:95.4pt;width:55.05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" fillcolor="white [3201]" stroked="f" strokeweight=".5pt">
                      <v:textbox inset="0,0,0,0">
                        <w:txbxContent>
                          <w:p w14:paraId="3A763BEE" w14:textId="77777777" w:rsidR="00756EAD" w:rsidRPr="00C339F3" w:rsidRDefault="00756EAD" w:rsidP="00D80461">
                            <w:pPr>
                              <w:spacing w:before="0"/>
                              <w:rPr>
                                <w:bCs/>
                                <w:sz w:val="12"/>
                                <w:szCs w:val="12"/>
                              </w:rPr>
                            </w:pPr>
                            <w:r w:rsidRPr="00C339F3">
                              <w:rPr>
                                <w:bCs/>
                                <w:sz w:val="12"/>
                                <w:szCs w:val="12"/>
                              </w:rPr>
                              <w:t>Source: UIT</w:t>
                            </w:r>
                            <w:r>
                              <w:rPr>
                                <w:bCs/>
                                <w:sz w:val="12"/>
                                <w:szCs w:val="12"/>
                              </w:rPr>
                              <w:t>.</w:t>
                            </w:r>
                          </w:p>
                        </w:txbxContent>
                      </v:textbox>
                    </v:shape>
                  </w:pict>
                </mc:Fallback>
              </mc:AlternateContent>
            </w:r>
            <w:r w:rsidRPr="00F05A8A">
              <w:rPr>
                <w:lang w:eastAsia="fr-FR"/>
              </w:rPr>
              <mc:AlternateContent>
                <mc:Choice Requires="wps">
                  <w:drawing>
                    <wp:anchor distT="0" distB="0" distL="114300" distR="114300" simplePos="0" relativeHeight="251765760" behindDoc="0" locked="0" layoutInCell="1" allowOverlap="1" wp14:anchorId="3C577CC3" wp14:editId="035A262D">
                      <wp:simplePos x="0" y="0"/>
                      <wp:positionH relativeFrom="column">
                        <wp:posOffset>1614805</wp:posOffset>
                      </wp:positionH>
                      <wp:positionV relativeFrom="page">
                        <wp:posOffset>687705</wp:posOffset>
                      </wp:positionV>
                      <wp:extent cx="169545" cy="293370"/>
                      <wp:effectExtent l="0" t="0" r="1905" b="0"/>
                      <wp:wrapNone/>
                      <wp:docPr id="1257977751" name="Text Box 1257977751"/>
                      <wp:cNvGraphicFramePr/>
                      <a:graphic xmlns:a="http://schemas.openxmlformats.org/drawingml/2006/main">
                        <a:graphicData uri="http://schemas.microsoft.com/office/word/2010/wordprocessingShape">
                          <wps:wsp>
                            <wps:cNvSpPr txBox="1"/>
                            <wps:spPr>
                              <a:xfrm>
                                <a:off x="0" y="0"/>
                                <a:ext cx="169545" cy="293370"/>
                              </a:xfrm>
                              <a:prstGeom prst="rect">
                                <a:avLst/>
                              </a:prstGeom>
                              <a:solidFill>
                                <a:schemeClr val="accent5">
                                  <a:lumMod val="20000"/>
                                  <a:lumOff val="80000"/>
                                </a:schemeClr>
                              </a:solidFill>
                              <a:ln w="6350">
                                <a:noFill/>
                              </a:ln>
                            </wps:spPr>
                            <wps:txbx>
                              <w:txbxContent>
                                <w:p w14:paraId="664330AB" w14:textId="77777777" w:rsidR="00756EAD" w:rsidRPr="00CF1AE5" w:rsidRDefault="00756EAD" w:rsidP="00D80461">
                                  <w:pPr>
                                    <w:spacing w:before="0"/>
                                    <w:jc w:val="center"/>
                                    <w:rPr>
                                      <w:sz w:val="8"/>
                                      <w:szCs w:val="8"/>
                                    </w:rPr>
                                  </w:pPr>
                                  <w:r>
                                    <w:rPr>
                                      <w:sz w:val="8"/>
                                      <w:szCs w:val="8"/>
                                    </w:rPr>
                                    <w:t xml:space="preserve">28 </w:t>
                                  </w:r>
                                  <w:r>
                                    <w:rPr>
                                      <w:sz w:val="8"/>
                                      <w:szCs w:val="8"/>
                                    </w:rPr>
                                    <w:br/>
                                    <w:t>pays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7CC3" id="Text Box 1257977751" o:spid="_x0000_s1151" type="#_x0000_t202" style="position:absolute;margin-left:127.15pt;margin-top:54.15pt;width:13.35pt;height:23.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" fillcolor="#daeef3 [664]" stroked="f" strokeweight=".5pt">
                      <v:textbox inset="0,0,0,0">
                        <w:txbxContent>
                          <w:p w14:paraId="664330AB" w14:textId="77777777" w:rsidR="00756EAD" w:rsidRPr="00CF1AE5" w:rsidRDefault="00756EAD" w:rsidP="00D80461">
                            <w:pPr>
                              <w:spacing w:before="0"/>
                              <w:jc w:val="center"/>
                              <w:rPr>
                                <w:sz w:val="8"/>
                                <w:szCs w:val="8"/>
                              </w:rPr>
                            </w:pPr>
                            <w:r>
                              <w:rPr>
                                <w:sz w:val="8"/>
                                <w:szCs w:val="8"/>
                              </w:rPr>
                              <w:t xml:space="preserve">28 </w:t>
                            </w:r>
                            <w:r>
                              <w:rPr>
                                <w:sz w:val="8"/>
                                <w:szCs w:val="8"/>
                              </w:rPr>
                              <w:br/>
                              <w:t>pays</w:t>
                            </w:r>
                          </w:p>
                        </w:txbxContent>
                      </v:textbox>
                      <w10:wrap anchory="page"/>
                    </v:shape>
                  </w:pict>
                </mc:Fallback>
              </mc:AlternateContent>
            </w:r>
            <w:r w:rsidRPr="00F05A8A">
              <w:rPr>
                <w:lang w:eastAsia="fr-FR"/>
              </w:rPr>
              <mc:AlternateContent>
                <mc:Choice Requires="wps">
                  <w:drawing>
                    <wp:anchor distT="0" distB="0" distL="114300" distR="114300" simplePos="0" relativeHeight="251659264" behindDoc="0" locked="0" layoutInCell="1" allowOverlap="1" wp14:anchorId="34773DF4" wp14:editId="5D90768E">
                      <wp:simplePos x="0" y="0"/>
                      <wp:positionH relativeFrom="column">
                        <wp:posOffset>1590675</wp:posOffset>
                      </wp:positionH>
                      <wp:positionV relativeFrom="paragraph">
                        <wp:posOffset>730250</wp:posOffset>
                      </wp:positionV>
                      <wp:extent cx="227330" cy="57785"/>
                      <wp:effectExtent l="0" t="0" r="1270" b="0"/>
                      <wp:wrapNone/>
                      <wp:docPr id="1257977752" name="Text Box 1257977752"/>
                      <wp:cNvGraphicFramePr/>
                      <a:graphic xmlns:a="http://schemas.openxmlformats.org/drawingml/2006/main">
                        <a:graphicData uri="http://schemas.microsoft.com/office/word/2010/wordprocessingShape">
                          <wps:wsp>
                            <wps:cNvSpPr txBox="1"/>
                            <wps:spPr>
                              <a:xfrm>
                                <a:off x="0" y="0"/>
                                <a:ext cx="227330" cy="57785"/>
                              </a:xfrm>
                              <a:prstGeom prst="rect">
                                <a:avLst/>
                              </a:prstGeom>
                              <a:solidFill>
                                <a:schemeClr val="lt1"/>
                              </a:solidFill>
                              <a:ln w="6350">
                                <a:noFill/>
                              </a:ln>
                            </wps:spPr>
                            <wps:txbx>
                              <w:txbxContent>
                                <w:p w14:paraId="63A5B049" w14:textId="77777777" w:rsidR="00756EAD" w:rsidRDefault="00756EAD" w:rsidP="00D80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3DF4" id="Text Box 1257977752" o:spid="_x0000_s1152" type="#_x0000_t202" style="position:absolute;margin-left:125.25pt;margin-top:57.5pt;width:17.9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" fillcolor="white [3201]" stroked="f" strokeweight=".5pt">
                      <v:textbox>
                        <w:txbxContent>
                          <w:p w14:paraId="63A5B049" w14:textId="77777777" w:rsidR="00756EAD" w:rsidRDefault="00756EAD" w:rsidP="00D80461"/>
                        </w:txbxContent>
                      </v:textbox>
                    </v:shape>
                  </w:pict>
                </mc:Fallback>
              </mc:AlternateContent>
            </w:r>
            <w:r w:rsidRPr="00F05A8A">
              <w:rPr>
                <w:lang w:eastAsia="fr-FR"/>
              </w:rPr>
              <mc:AlternateContent>
                <mc:Choice Requires="wps">
                  <w:drawing>
                    <wp:anchor distT="0" distB="0" distL="114300" distR="114300" simplePos="0" relativeHeight="251764736" behindDoc="0" locked="0" layoutInCell="1" allowOverlap="1" wp14:anchorId="0A211947" wp14:editId="32D37DA7">
                      <wp:simplePos x="0" y="0"/>
                      <wp:positionH relativeFrom="column">
                        <wp:posOffset>1591945</wp:posOffset>
                      </wp:positionH>
                      <wp:positionV relativeFrom="paragraph">
                        <wp:posOffset>320040</wp:posOffset>
                      </wp:positionV>
                      <wp:extent cx="1236980" cy="144780"/>
                      <wp:effectExtent l="0" t="0" r="1270" b="7620"/>
                      <wp:wrapNone/>
                      <wp:docPr id="1257977750" name="Text Box 1257977750"/>
                      <wp:cNvGraphicFramePr/>
                      <a:graphic xmlns:a="http://schemas.openxmlformats.org/drawingml/2006/main">
                        <a:graphicData uri="http://schemas.microsoft.com/office/word/2010/wordprocessingShape">
                          <wps:wsp>
                            <wps:cNvSpPr txBox="1"/>
                            <wps:spPr>
                              <a:xfrm>
                                <a:off x="0" y="0"/>
                                <a:ext cx="1236980" cy="144780"/>
                              </a:xfrm>
                              <a:prstGeom prst="rect">
                                <a:avLst/>
                              </a:prstGeom>
                              <a:solidFill>
                                <a:schemeClr val="lt1"/>
                              </a:solidFill>
                              <a:ln w="6350">
                                <a:noFill/>
                              </a:ln>
                            </wps:spPr>
                            <wps:txbx>
                              <w:txbxContent>
                                <w:p w14:paraId="5FC71349" w14:textId="77777777" w:rsidR="00756EAD" w:rsidRPr="00CF1AE5" w:rsidRDefault="00756EAD" w:rsidP="00D80461">
                                  <w:pPr>
                                    <w:spacing w:before="0"/>
                                    <w:rPr>
                                      <w:sz w:val="8"/>
                                      <w:szCs w:val="8"/>
                                    </w:rPr>
                                  </w:pPr>
                                  <w:r w:rsidRPr="005D3792">
                                    <w:rPr>
                                      <w:sz w:val="8"/>
                                      <w:szCs w:val="8"/>
                                    </w:rPr>
                                    <w:t xml:space="preserve">Répartition des pays selon la proportion de leur population ayant des compétences </w:t>
                                  </w:r>
                                  <w:r w:rsidRPr="005D3792">
                                    <w:rPr>
                                      <w:b/>
                                      <w:sz w:val="8"/>
                                      <w:szCs w:val="8"/>
                                    </w:rPr>
                                    <w:t>courantes</w:t>
                                  </w:r>
                                  <w:r w:rsidRPr="005D3792">
                                    <w:rPr>
                                      <w:sz w:val="8"/>
                                      <w:szCs w:val="8"/>
                                    </w:rPr>
                                    <w:t xml:space="preserve"> en matière de 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1947" id="Text Box 1257977750" o:spid="_x0000_s1153" type="#_x0000_t202" style="position:absolute;margin-left:125.35pt;margin-top:25.2pt;width:97.4pt;height:1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" fillcolor="white [3201]" stroked="f" strokeweight=".5pt">
                      <v:textbox inset="0,0,0,0">
                        <w:txbxContent>
                          <w:p w14:paraId="5FC71349" w14:textId="77777777" w:rsidR="00756EAD" w:rsidRPr="00CF1AE5" w:rsidRDefault="00756EAD" w:rsidP="00D80461">
                            <w:pPr>
                              <w:spacing w:before="0"/>
                              <w:rPr>
                                <w:sz w:val="8"/>
                                <w:szCs w:val="8"/>
                              </w:rPr>
                            </w:pPr>
                            <w:r w:rsidRPr="005D3792">
                              <w:rPr>
                                <w:sz w:val="8"/>
                                <w:szCs w:val="8"/>
                              </w:rPr>
                              <w:t xml:space="preserve">Répartition des pays selon la proportion de leur population ayant des compétences </w:t>
                            </w:r>
                            <w:r w:rsidRPr="005D3792">
                              <w:rPr>
                                <w:b/>
                                <w:sz w:val="8"/>
                                <w:szCs w:val="8"/>
                              </w:rPr>
                              <w:t>courantes</w:t>
                            </w:r>
                            <w:r w:rsidRPr="005D3792">
                              <w:rPr>
                                <w:sz w:val="8"/>
                                <w:szCs w:val="8"/>
                              </w:rPr>
                              <w:t xml:space="preserve"> en matière de TIC</w:t>
                            </w:r>
                          </w:p>
                        </w:txbxContent>
                      </v:textbox>
                    </v:shape>
                  </w:pict>
                </mc:Fallback>
              </mc:AlternateContent>
            </w:r>
            <w:r w:rsidRPr="00F05A8A">
              <w:rPr>
                <w:lang w:eastAsia="fr-FR"/>
              </w:rPr>
              <mc:AlternateContent>
                <mc:Choice Requires="wps">
                  <w:drawing>
                    <wp:anchor distT="0" distB="0" distL="114300" distR="114300" simplePos="0" relativeHeight="251763712" behindDoc="0" locked="0" layoutInCell="1" allowOverlap="1" wp14:anchorId="768846BB" wp14:editId="650E76AE">
                      <wp:simplePos x="0" y="0"/>
                      <wp:positionH relativeFrom="column">
                        <wp:posOffset>85090</wp:posOffset>
                      </wp:positionH>
                      <wp:positionV relativeFrom="paragraph">
                        <wp:posOffset>-41910</wp:posOffset>
                      </wp:positionV>
                      <wp:extent cx="2500630" cy="255905"/>
                      <wp:effectExtent l="0" t="0" r="0" b="0"/>
                      <wp:wrapNone/>
                      <wp:docPr id="1257977749" name="Text Box 1257977749"/>
                      <wp:cNvGraphicFramePr/>
                      <a:graphic xmlns:a="http://schemas.openxmlformats.org/drawingml/2006/main">
                        <a:graphicData uri="http://schemas.microsoft.com/office/word/2010/wordprocessingShape">
                          <wps:wsp>
                            <wps:cNvSpPr txBox="1"/>
                            <wps:spPr>
                              <a:xfrm>
                                <a:off x="0" y="0"/>
                                <a:ext cx="2500630" cy="255905"/>
                              </a:xfrm>
                              <a:prstGeom prst="rect">
                                <a:avLst/>
                              </a:prstGeom>
                              <a:solidFill>
                                <a:schemeClr val="lt1"/>
                              </a:solidFill>
                              <a:ln w="6350">
                                <a:noFill/>
                              </a:ln>
                            </wps:spPr>
                            <wps:txbx>
                              <w:txbxContent>
                                <w:p w14:paraId="53E4CA08" w14:textId="77777777" w:rsidR="00756EAD" w:rsidRPr="00154E4A" w:rsidRDefault="00756EAD" w:rsidP="00D80461">
                                  <w:pPr>
                                    <w:spacing w:before="0"/>
                                    <w:rPr>
                                      <w:sz w:val="12"/>
                                      <w:szCs w:val="12"/>
                                    </w:rPr>
                                  </w:pPr>
                                  <w:r w:rsidRPr="005D3792">
                                    <w:rPr>
                                      <w:noProof/>
                                      <w:color w:val="00B0F0"/>
                                      <w:sz w:val="12"/>
                                      <w:szCs w:val="12"/>
                                      <w:lang w:eastAsia="en-GB"/>
                                    </w:rPr>
                                    <w:t>Pourcentage de personnes ayant des compétences courantes en matière de</w:t>
                                  </w:r>
                                  <w:r>
                                    <w:rPr>
                                      <w:noProof/>
                                      <w:color w:val="00B0F0"/>
                                      <w:sz w:val="12"/>
                                      <w:szCs w:val="12"/>
                                      <w:lang w:eastAsia="en-GB"/>
                                    </w:rPr>
                                    <w:t> </w:t>
                                  </w:r>
                                  <w:r w:rsidRPr="005D3792">
                                    <w:rPr>
                                      <w:noProof/>
                                      <w:color w:val="00B0F0"/>
                                      <w:sz w:val="12"/>
                                      <w:szCs w:val="12"/>
                                      <w:lang w:eastAsia="en-GB"/>
                                    </w:rPr>
                                    <w:t>TIC, année disponible la plus récente dans la période 2018-2020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46BB" id="Text Box 1257977749" o:spid="_x0000_s1154" type="#_x0000_t202" style="position:absolute;margin-left:6.7pt;margin-top:-3.3pt;width:196.9pt;height:2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" fillcolor="white [3201]" stroked="f" strokeweight=".5pt">
                      <v:textbox inset="0,0,0,0">
                        <w:txbxContent>
                          <w:p w14:paraId="53E4CA08" w14:textId="77777777" w:rsidR="00756EAD" w:rsidRPr="00154E4A" w:rsidRDefault="00756EAD" w:rsidP="00D80461">
                            <w:pPr>
                              <w:spacing w:before="0"/>
                              <w:rPr>
                                <w:sz w:val="12"/>
                                <w:szCs w:val="12"/>
                              </w:rPr>
                            </w:pPr>
                            <w:r w:rsidRPr="005D3792">
                              <w:rPr>
                                <w:noProof/>
                                <w:color w:val="00B0F0"/>
                                <w:sz w:val="12"/>
                                <w:szCs w:val="12"/>
                                <w:lang w:eastAsia="en-GB"/>
                              </w:rPr>
                              <w:t>Pourcentage de personnes ayant des compétences courantes en matière de</w:t>
                            </w:r>
                            <w:r>
                              <w:rPr>
                                <w:noProof/>
                                <w:color w:val="00B0F0"/>
                                <w:sz w:val="12"/>
                                <w:szCs w:val="12"/>
                                <w:lang w:eastAsia="en-GB"/>
                              </w:rPr>
                              <w:t> </w:t>
                            </w:r>
                            <w:r w:rsidRPr="005D3792">
                              <w:rPr>
                                <w:noProof/>
                                <w:color w:val="00B0F0"/>
                                <w:sz w:val="12"/>
                                <w:szCs w:val="12"/>
                                <w:lang w:eastAsia="en-GB"/>
                              </w:rPr>
                              <w:t>TIC, année disponible la plus récente dans la période 2018-2020</w:t>
                            </w:r>
                          </w:p>
                        </w:txbxContent>
                      </v:textbox>
                    </v:shape>
                  </w:pict>
                </mc:Fallback>
              </mc:AlternateContent>
            </w:r>
            <w:r w:rsidRPr="00F05A8A">
              <w:rPr>
                <w:lang w:eastAsia="fr-FR"/>
              </w:rPr>
              <w:drawing>
                <wp:inline distT="0" distB="0" distL="0" distR="0" wp14:anchorId="76EBF010" wp14:editId="54658382">
                  <wp:extent cx="2683510" cy="1489075"/>
                  <wp:effectExtent l="0" t="0" r="2540" b="0"/>
                  <wp:docPr id="1257977773" name="Picture 125797777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73" name="Picture 1257977773" descr="Chart&#10;&#10;Description automatically generated"/>
                          <pic:cNvPicPr>
                            <a:picLocks noChangeAspect="1"/>
                          </pic:cNvPicPr>
                        </pic:nvPicPr>
                        <pic:blipFill>
                          <a:blip r:embed="rId397"/>
                          <a:stretch>
                            <a:fillRect/>
                          </a:stretch>
                        </pic:blipFill>
                        <pic:spPr>
                          <a:xfrm>
                            <a:off x="0" y="0"/>
                            <a:ext cx="2683510" cy="1489075"/>
                          </a:xfrm>
                          <a:prstGeom prst="rect">
                            <a:avLst/>
                          </a:prstGeom>
                        </pic:spPr>
                      </pic:pic>
                    </a:graphicData>
                  </a:graphic>
                </wp:inline>
              </w:drawing>
            </w:r>
          </w:p>
        </w:tc>
      </w:tr>
    </w:tbl>
    <w:p w14:paraId="338600CF" w14:textId="77777777" w:rsidR="00D80461" w:rsidRPr="00F05A8A" w:rsidRDefault="00D80461" w:rsidP="002F075E">
      <w:r w:rsidRPr="00F05A8A">
        <w:rPr>
          <w:sz w:val="2"/>
          <w:szCs w:val="2"/>
          <w:lang w:eastAsia="fr-FR"/>
        </w:rPr>
        <mc:AlternateContent>
          <mc:Choice Requires="wps">
            <w:drawing>
              <wp:anchor distT="0" distB="0" distL="114300" distR="114300" simplePos="0" relativeHeight="251766784" behindDoc="0" locked="0" layoutInCell="1" allowOverlap="1" wp14:anchorId="5572E911" wp14:editId="34641F06">
                <wp:simplePos x="0" y="0"/>
                <wp:positionH relativeFrom="column">
                  <wp:posOffset>3081443</wp:posOffset>
                </wp:positionH>
                <wp:positionV relativeFrom="paragraph">
                  <wp:posOffset>-388621</wp:posOffset>
                </wp:positionV>
                <wp:extent cx="3034665" cy="537633"/>
                <wp:effectExtent l="0" t="0" r="0" b="0"/>
                <wp:wrapNone/>
                <wp:docPr id="1257977753" name="Text Box 1257977753"/>
                <wp:cNvGraphicFramePr/>
                <a:graphic xmlns:a="http://schemas.openxmlformats.org/drawingml/2006/main">
                  <a:graphicData uri="http://schemas.microsoft.com/office/word/2010/wordprocessingShape">
                    <wps:wsp>
                      <wps:cNvSpPr txBox="1"/>
                      <wps:spPr>
                        <a:xfrm>
                          <a:off x="0" y="0"/>
                          <a:ext cx="3034665" cy="537633"/>
                        </a:xfrm>
                        <a:prstGeom prst="rect">
                          <a:avLst/>
                        </a:prstGeom>
                        <a:solidFill>
                          <a:schemeClr val="lt1"/>
                        </a:solidFill>
                        <a:ln w="6350">
                          <a:noFill/>
                        </a:ln>
                      </wps:spPr>
                      <wps:txbx>
                        <w:txbxContent>
                          <w:p w14:paraId="0645BF3B" w14:textId="77777777" w:rsidR="00756EAD" w:rsidRPr="00C339F3" w:rsidRDefault="00756EAD" w:rsidP="00D8046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xml:space="preserve">: Pour chaque pays, la valeur des compétences courantes est la valeur moyenne des données récentes disponibles pour les quatre activités informatiques suivantes: utiliser des formules arithmétiques de base dans un tableur, connecter et installer de nouveaux dispositifs, créer des présentations électroniques à l'aide de logiciels de présentation et trouver, </w:t>
                            </w:r>
                            <w:r>
                              <w:rPr>
                                <w:noProof/>
                                <w:sz w:val="12"/>
                                <w:szCs w:val="12"/>
                                <w:lang w:eastAsia="en-GB"/>
                              </w:rPr>
                              <w:t xml:space="preserve">télécharger, </w:t>
                            </w:r>
                            <w:r w:rsidRPr="00C339F3">
                              <w:rPr>
                                <w:noProof/>
                                <w:sz w:val="12"/>
                                <w:szCs w:val="12"/>
                                <w:lang w:eastAsia="en-GB"/>
                              </w:rPr>
                              <w:t>installer et configurer des logiciels.</w:t>
                            </w:r>
                          </w:p>
                          <w:p w14:paraId="3CC5EA2A" w14:textId="77777777" w:rsidR="00756EAD" w:rsidRPr="00C339F3" w:rsidRDefault="00756EAD" w:rsidP="00D80461">
                            <w:pPr>
                              <w:spacing w:before="0"/>
                              <w:rPr>
                                <w:noProof/>
                                <w:sz w:val="12"/>
                                <w:szCs w:val="12"/>
                                <w:lang w:eastAsia="en-GB"/>
                              </w:rPr>
                            </w:pPr>
                          </w:p>
                          <w:p w14:paraId="0FB51BC9" w14:textId="77777777" w:rsidR="00756EAD" w:rsidRPr="00C339F3" w:rsidRDefault="00756EAD" w:rsidP="00D80461">
                            <w:pPr>
                              <w:spacing w:before="0"/>
                              <w:rPr>
                                <w:sz w:val="12"/>
                                <w:szCs w:val="12"/>
                              </w:rPr>
                            </w:pPr>
                            <w:r w:rsidRPr="00C339F3">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E911" id="Text Box 1257977753" o:spid="_x0000_s1155" type="#_x0000_t202" style="position:absolute;margin-left:242.65pt;margin-top:-30.6pt;width:238.95pt;height:42.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" fillcolor="white [3201]" stroked="f" strokeweight=".5pt">
                <v:textbox inset="0,0,0,0">
                  <w:txbxContent>
                    <w:p w14:paraId="0645BF3B" w14:textId="77777777" w:rsidR="00756EAD" w:rsidRPr="00C339F3" w:rsidRDefault="00756EAD" w:rsidP="00D8046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xml:space="preserve">: Pour chaque pays, la valeur des compétences courantes est la valeur moyenne des données récentes disponibles pour les quatre activités informatiques suivantes: utiliser des formules arithmétiques de base dans un tableur, connecter et installer de nouveaux dispositifs, créer des présentations électroniques à l'aide de logiciels de présentation et trouver, </w:t>
                      </w:r>
                      <w:r>
                        <w:rPr>
                          <w:noProof/>
                          <w:sz w:val="12"/>
                          <w:szCs w:val="12"/>
                          <w:lang w:eastAsia="en-GB"/>
                        </w:rPr>
                        <w:t xml:space="preserve">télécharger, </w:t>
                      </w:r>
                      <w:r w:rsidRPr="00C339F3">
                        <w:rPr>
                          <w:noProof/>
                          <w:sz w:val="12"/>
                          <w:szCs w:val="12"/>
                          <w:lang w:eastAsia="en-GB"/>
                        </w:rPr>
                        <w:t>installer et configurer des logiciels.</w:t>
                      </w:r>
                    </w:p>
                    <w:p w14:paraId="3CC5EA2A" w14:textId="77777777" w:rsidR="00756EAD" w:rsidRPr="00C339F3" w:rsidRDefault="00756EAD" w:rsidP="00D80461">
                      <w:pPr>
                        <w:spacing w:before="0"/>
                        <w:rPr>
                          <w:noProof/>
                          <w:sz w:val="12"/>
                          <w:szCs w:val="12"/>
                          <w:lang w:eastAsia="en-GB"/>
                        </w:rPr>
                      </w:pPr>
                    </w:p>
                    <w:p w14:paraId="0FB51BC9" w14:textId="77777777" w:rsidR="00756EAD" w:rsidRPr="00C339F3" w:rsidRDefault="00756EAD" w:rsidP="00D80461">
                      <w:pPr>
                        <w:spacing w:before="0"/>
                        <w:rPr>
                          <w:sz w:val="12"/>
                          <w:szCs w:val="12"/>
                        </w:rPr>
                      </w:pPr>
                      <w:r w:rsidRPr="00C339F3">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txbxContent>
                </v:textbox>
              </v:shape>
            </w:pict>
          </mc:Fallback>
        </mc:AlternateContent>
      </w:r>
    </w:p>
    <w:tbl>
      <w:tblPr>
        <w:tblW w:w="9629" w:type="dxa"/>
        <w:jc w:val="center"/>
        <w:tblLook w:val="04A0" w:firstRow="1" w:lastRow="0" w:firstColumn="1" w:lastColumn="0" w:noHBand="0" w:noVBand="1"/>
      </w:tblPr>
      <w:tblGrid>
        <w:gridCol w:w="4814"/>
        <w:gridCol w:w="4815"/>
      </w:tblGrid>
      <w:tr w:rsidR="00D80461" w:rsidRPr="00F05A8A" w14:paraId="16C047FF" w14:textId="77777777" w:rsidTr="00142C01">
        <w:trPr>
          <w:jc w:val="center"/>
        </w:trPr>
        <w:tc>
          <w:tcPr>
            <w:tcW w:w="9629" w:type="dxa"/>
            <w:gridSpan w:val="2"/>
            <w:shd w:val="clear" w:color="auto" w:fill="FFFFFF" w:themeFill="background1"/>
            <w:vAlign w:val="center"/>
          </w:tcPr>
          <w:p w14:paraId="36D9C4D0" w14:textId="77777777" w:rsidR="00D80461" w:rsidRPr="00F05A8A" w:rsidRDefault="00D80461" w:rsidP="002F075E">
            <w:pPr>
              <w:spacing w:after="120"/>
              <w:jc w:val="center"/>
              <w:rPr>
                <w:b/>
                <w:bCs/>
              </w:rPr>
            </w:pPr>
            <w:r w:rsidRPr="00F05A8A">
              <w:rPr>
                <w:b/>
                <w:bCs/>
              </w:rPr>
              <w:t>Cible 3.1</w:t>
            </w:r>
          </w:p>
          <w:p w14:paraId="5B604191" w14:textId="77777777" w:rsidR="00D80461" w:rsidRPr="00F05A8A" w:rsidRDefault="00D80461" w:rsidP="002F075E">
            <w:pPr>
              <w:spacing w:after="120"/>
              <w:rPr>
                <w:rFonts w:eastAsia="Calibri"/>
              </w:rPr>
            </w:pPr>
            <w:r w:rsidRPr="00F05A8A">
              <w:t xml:space="preserve">Voir les résultats de l'Objectif D.2 pour les données de 2021 </w:t>
            </w:r>
          </w:p>
        </w:tc>
      </w:tr>
      <w:tr w:rsidR="00D80461" w:rsidRPr="00F05A8A" w14:paraId="4BD75002" w14:textId="77777777" w:rsidTr="00142C01">
        <w:trPr>
          <w:jc w:val="center"/>
        </w:trPr>
        <w:tc>
          <w:tcPr>
            <w:tcW w:w="4814" w:type="dxa"/>
            <w:noWrap/>
            <w:tcFitText/>
            <w:vAlign w:val="bottom"/>
          </w:tcPr>
          <w:p w14:paraId="6996BFD3" w14:textId="77777777" w:rsidR="00D80461" w:rsidRPr="00F05A8A" w:rsidRDefault="00D80461" w:rsidP="002F075E">
            <w:pPr>
              <w:jc w:val="center"/>
              <w:rPr>
                <w:b/>
                <w:bCs/>
              </w:rPr>
            </w:pPr>
            <w:r w:rsidRPr="00F05A8A">
              <w:rPr>
                <w:lang w:eastAsia="fr-FR"/>
              </w:rPr>
              <w:drawing>
                <wp:anchor distT="0" distB="0" distL="114300" distR="114300" simplePos="0" relativeHeight="251800576" behindDoc="0" locked="0" layoutInCell="1" allowOverlap="1" wp14:anchorId="0006E799" wp14:editId="23EF97D3">
                  <wp:simplePos x="0" y="0"/>
                  <wp:positionH relativeFrom="column">
                    <wp:posOffset>100609</wp:posOffset>
                  </wp:positionH>
                  <wp:positionV relativeFrom="paragraph">
                    <wp:posOffset>152959</wp:posOffset>
                  </wp:positionV>
                  <wp:extent cx="2718000" cy="1584000"/>
                  <wp:effectExtent l="0" t="0" r="6350" b="0"/>
                  <wp:wrapSquare wrapText="bothSides"/>
                  <wp:docPr id="1802487819" name="Picture 18024878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9" name="Picture 1802487819" descr="Chart, bar chart&#10;&#10;Description automatically generated"/>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718000" cy="1584000"/>
                          </a:xfrm>
                          <a:prstGeom prst="rect">
                            <a:avLst/>
                          </a:prstGeom>
                          <a:noFill/>
                        </pic:spPr>
                      </pic:pic>
                    </a:graphicData>
                  </a:graphic>
                  <wp14:sizeRelH relativeFrom="page">
                    <wp14:pctWidth>0</wp14:pctWidth>
                  </wp14:sizeRelH>
                  <wp14:sizeRelV relativeFrom="page">
                    <wp14:pctHeight>0</wp14:pctHeight>
                  </wp14:sizeRelV>
                </wp:anchor>
              </w:drawing>
            </w:r>
          </w:p>
        </w:tc>
        <w:tc>
          <w:tcPr>
            <w:tcW w:w="4815" w:type="dxa"/>
            <w:noWrap/>
            <w:tcFitText/>
            <w:vAlign w:val="bottom"/>
          </w:tcPr>
          <w:p w14:paraId="5749F8B6" w14:textId="77777777" w:rsidR="00D80461" w:rsidRPr="00F05A8A" w:rsidRDefault="00D80461" w:rsidP="002F075E">
            <w:pPr>
              <w:tabs>
                <w:tab w:val="clear" w:pos="567"/>
                <w:tab w:val="clear" w:pos="1134"/>
                <w:tab w:val="clear" w:pos="1701"/>
                <w:tab w:val="clear" w:pos="2268"/>
                <w:tab w:val="clear" w:pos="2835"/>
              </w:tabs>
              <w:spacing w:after="120"/>
              <w:jc w:val="center"/>
              <w:rPr>
                <w:b/>
                <w:bCs/>
              </w:rPr>
            </w:pPr>
            <w:r w:rsidRPr="00F05A8A">
              <w:rPr>
                <w:b/>
                <w:bCs/>
                <w:szCs w:val="24"/>
                <w:lang w:eastAsia="fr-FR"/>
              </w:rPr>
              <mc:AlternateContent>
                <mc:Choice Requires="wps">
                  <w:drawing>
                    <wp:anchor distT="0" distB="0" distL="114300" distR="114300" simplePos="0" relativeHeight="251868160" behindDoc="0" locked="0" layoutInCell="1" allowOverlap="1" wp14:anchorId="39A038D2" wp14:editId="52B0961F">
                      <wp:simplePos x="0" y="0"/>
                      <wp:positionH relativeFrom="column">
                        <wp:posOffset>1595755</wp:posOffset>
                      </wp:positionH>
                      <wp:positionV relativeFrom="paragraph">
                        <wp:posOffset>1475105</wp:posOffset>
                      </wp:positionV>
                      <wp:extent cx="424180" cy="812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81280"/>
                              </a:xfrm>
                              <a:prstGeom prst="rect">
                                <a:avLst/>
                              </a:prstGeom>
                              <a:solidFill>
                                <a:schemeClr val="bg1"/>
                              </a:solidFill>
                              <a:ln w="9525">
                                <a:noFill/>
                                <a:miter lim="800000"/>
                                <a:headEnd/>
                                <a:tailEnd/>
                              </a:ln>
                            </wps:spPr>
                            <wps:txbx>
                              <w:txbxContent>
                                <w:p w14:paraId="060C3F04" w14:textId="77777777" w:rsidR="00756EAD" w:rsidRPr="001F73D4" w:rsidRDefault="00756EAD" w:rsidP="00D80461">
                                  <w:pPr>
                                    <w:spacing w:before="0"/>
                                    <w:rPr>
                                      <w:sz w:val="2"/>
                                      <w:szCs w:val="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038D2" id="_x0000_s1156" type="#_x0000_t202" style="position:absolute;left:0;text-align:left;margin-left:125.65pt;margin-top:116.15pt;width:33.4pt;height:6.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" fillcolor="white [3212]" stroked="f">
                      <v:textbox inset="0,0,0,0">
                        <w:txbxContent>
                          <w:p w14:paraId="060C3F04" w14:textId="77777777" w:rsidR="00756EAD" w:rsidRPr="001F73D4" w:rsidRDefault="00756EAD" w:rsidP="00D80461">
                            <w:pPr>
                              <w:spacing w:before="0"/>
                              <w:rPr>
                                <w:sz w:val="2"/>
                                <w:szCs w:val="2"/>
                              </w:rPr>
                            </w:pPr>
                            <w:r>
                              <w:rPr>
                                <w:sz w:val="12"/>
                                <w:szCs w:val="12"/>
                              </w:rPr>
                              <w:t>Non</w:t>
                            </w:r>
                          </w:p>
                        </w:txbxContent>
                      </v:textbox>
                    </v:shape>
                  </w:pict>
                </mc:Fallback>
              </mc:AlternateContent>
            </w:r>
            <w:r w:rsidRPr="00F05A8A">
              <w:rPr>
                <w:b/>
                <w:bCs/>
                <w:szCs w:val="24"/>
                <w:lang w:eastAsia="fr-FR"/>
              </w:rPr>
              <mc:AlternateContent>
                <mc:Choice Requires="wps">
                  <w:drawing>
                    <wp:anchor distT="0" distB="0" distL="114300" distR="114300" simplePos="0" relativeHeight="251867136" behindDoc="0" locked="0" layoutInCell="1" allowOverlap="1" wp14:anchorId="5B7C0830" wp14:editId="40530CFA">
                      <wp:simplePos x="0" y="0"/>
                      <wp:positionH relativeFrom="column">
                        <wp:posOffset>1297940</wp:posOffset>
                      </wp:positionH>
                      <wp:positionV relativeFrom="paragraph">
                        <wp:posOffset>1475105</wp:posOffset>
                      </wp:positionV>
                      <wp:extent cx="171450" cy="889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88900"/>
                              </a:xfrm>
                              <a:prstGeom prst="rect">
                                <a:avLst/>
                              </a:prstGeom>
                              <a:solidFill>
                                <a:schemeClr val="bg1"/>
                              </a:solidFill>
                              <a:ln w="9525">
                                <a:noFill/>
                                <a:miter lim="800000"/>
                                <a:headEnd/>
                                <a:tailEnd/>
                              </a:ln>
                            </wps:spPr>
                            <wps:txbx>
                              <w:txbxContent>
                                <w:p w14:paraId="34B54064" w14:textId="77777777" w:rsidR="00756EAD" w:rsidRPr="001F73D4" w:rsidRDefault="00756EAD" w:rsidP="00D80461">
                                  <w:pPr>
                                    <w:spacing w:before="0"/>
                                    <w:rPr>
                                      <w:sz w:val="2"/>
                                      <w:szCs w:val="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C0830" id="_x0000_s1157" type="#_x0000_t202" style="position:absolute;left:0;text-align:left;margin-left:102.2pt;margin-top:116.15pt;width:13.5pt;height: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" fillcolor="white [3212]" stroked="f">
                      <v:textbox inset="0,0,0,0">
                        <w:txbxContent>
                          <w:p w14:paraId="34B54064" w14:textId="77777777" w:rsidR="00756EAD" w:rsidRPr="001F73D4" w:rsidRDefault="00756EAD" w:rsidP="00D80461">
                            <w:pPr>
                              <w:spacing w:before="0"/>
                              <w:rPr>
                                <w:sz w:val="2"/>
                                <w:szCs w:val="2"/>
                              </w:rPr>
                            </w:pPr>
                            <w:r>
                              <w:rPr>
                                <w:sz w:val="12"/>
                                <w:szCs w:val="12"/>
                              </w:rPr>
                              <w:t>Oui</w:t>
                            </w:r>
                          </w:p>
                        </w:txbxContent>
                      </v:textbox>
                    </v:shape>
                  </w:pict>
                </mc:Fallback>
              </mc:AlternateContent>
            </w:r>
            <w:r w:rsidRPr="00F05A8A">
              <w:rPr>
                <w:b/>
                <w:bCs/>
                <w:lang w:eastAsia="fr-FR"/>
              </w:rPr>
              <w:drawing>
                <wp:inline distT="0" distB="0" distL="0" distR="0" wp14:anchorId="4D25B01B" wp14:editId="39E1DB1E">
                  <wp:extent cx="2548800" cy="1584000"/>
                  <wp:effectExtent l="0" t="0" r="4445" b="0"/>
                  <wp:docPr id="1802487814" name="Picture 180248781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4" name="Picture 1802487814" descr="Chart, waterfall chart&#10;&#10;Description automatically generated"/>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548800" cy="1584000"/>
                          </a:xfrm>
                          <a:prstGeom prst="rect">
                            <a:avLst/>
                          </a:prstGeom>
                          <a:noFill/>
                        </pic:spPr>
                      </pic:pic>
                    </a:graphicData>
                  </a:graphic>
                </wp:inline>
              </w:drawing>
            </w:r>
            <w:r w:rsidRPr="00F05A8A">
              <w:rPr>
                <w:b/>
                <w:bCs/>
              </w:rPr>
              <w:br/>
            </w:r>
          </w:p>
        </w:tc>
      </w:tr>
    </w:tbl>
    <w:p w14:paraId="1E253A2A" w14:textId="77777777" w:rsidR="00D80461" w:rsidRPr="00F05A8A" w:rsidRDefault="00D80461" w:rsidP="002F075E"/>
    <w:tbl>
      <w:tblPr>
        <w:tblW w:w="0" w:type="auto"/>
        <w:jc w:val="center"/>
        <w:tblLook w:val="04A0" w:firstRow="1" w:lastRow="0" w:firstColumn="1" w:lastColumn="0" w:noHBand="0" w:noVBand="1"/>
      </w:tblPr>
      <w:tblGrid>
        <w:gridCol w:w="4678"/>
        <w:gridCol w:w="136"/>
        <w:gridCol w:w="4815"/>
      </w:tblGrid>
      <w:tr w:rsidR="00D80461" w:rsidRPr="00F05A8A" w14:paraId="32B84C79" w14:textId="77777777" w:rsidTr="00142C01">
        <w:trPr>
          <w:jc w:val="center"/>
        </w:trPr>
        <w:tc>
          <w:tcPr>
            <w:tcW w:w="9629" w:type="dxa"/>
            <w:gridSpan w:val="3"/>
            <w:shd w:val="clear" w:color="auto" w:fill="FFFFFF" w:themeFill="background1"/>
            <w:vAlign w:val="center"/>
          </w:tcPr>
          <w:p w14:paraId="15352425" w14:textId="77777777" w:rsidR="00D80461" w:rsidRPr="00F05A8A" w:rsidRDefault="00D80461" w:rsidP="002F075E">
            <w:pPr>
              <w:keepNext/>
              <w:keepLines/>
              <w:spacing w:after="120"/>
              <w:jc w:val="center"/>
              <w:rPr>
                <w:rFonts w:eastAsia="Calibri"/>
              </w:rPr>
            </w:pPr>
            <w:r w:rsidRPr="00F05A8A">
              <w:rPr>
                <w:b/>
                <w:bCs/>
              </w:rPr>
              <w:lastRenderedPageBreak/>
              <w:t>Cible 3.2</w:t>
            </w:r>
          </w:p>
        </w:tc>
      </w:tr>
      <w:tr w:rsidR="00D80461" w:rsidRPr="00F05A8A" w14:paraId="530433D2" w14:textId="77777777" w:rsidTr="00142C01">
        <w:trPr>
          <w:jc w:val="center"/>
        </w:trPr>
        <w:tc>
          <w:tcPr>
            <w:tcW w:w="4814" w:type="dxa"/>
            <w:gridSpan w:val="2"/>
            <w:vAlign w:val="center"/>
          </w:tcPr>
          <w:p w14:paraId="635A9E2A" w14:textId="0B76717C" w:rsidR="00D80461" w:rsidRPr="00F05A8A" w:rsidRDefault="00D80461" w:rsidP="002F075E">
            <w:pPr>
              <w:spacing w:after="240"/>
              <w:jc w:val="center"/>
              <w:rPr>
                <w:sz w:val="2"/>
                <w:szCs w:val="2"/>
              </w:rPr>
            </w:pPr>
            <w:r w:rsidRPr="00F05A8A">
              <w:rPr>
                <w:b/>
                <w:bCs/>
                <w:szCs w:val="24"/>
                <w:lang w:eastAsia="fr-FR"/>
              </w:rPr>
              <mc:AlternateContent>
                <mc:Choice Requires="wps">
                  <w:drawing>
                    <wp:anchor distT="0" distB="0" distL="114300" distR="114300" simplePos="0" relativeHeight="251681792" behindDoc="0" locked="0" layoutInCell="1" allowOverlap="1" wp14:anchorId="289FE98A" wp14:editId="19CF0C3B">
                      <wp:simplePos x="0" y="0"/>
                      <wp:positionH relativeFrom="column">
                        <wp:posOffset>615315</wp:posOffset>
                      </wp:positionH>
                      <wp:positionV relativeFrom="paragraph">
                        <wp:posOffset>1558290</wp:posOffset>
                      </wp:positionV>
                      <wp:extent cx="2091690" cy="175260"/>
                      <wp:effectExtent l="0" t="0" r="3810" b="0"/>
                      <wp:wrapNone/>
                      <wp:docPr id="1879157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75260"/>
                              </a:xfrm>
                              <a:prstGeom prst="rect">
                                <a:avLst/>
                              </a:prstGeom>
                              <a:solidFill>
                                <a:schemeClr val="bg1"/>
                              </a:solidFill>
                              <a:ln w="9525">
                                <a:noFill/>
                                <a:miter lim="800000"/>
                                <a:headEnd/>
                                <a:tailEnd/>
                              </a:ln>
                            </wps:spPr>
                            <wps:txbx>
                              <w:txbxContent>
                                <w:p w14:paraId="0707D25E" w14:textId="77777777" w:rsidR="00756EAD" w:rsidRPr="00EF1540" w:rsidRDefault="00756EAD" w:rsidP="00D80461">
                                  <w:pPr>
                                    <w:spacing w:before="80"/>
                                    <w:rPr>
                                      <w:sz w:val="10"/>
                                      <w:szCs w:val="10"/>
                                    </w:rPr>
                                  </w:pPr>
                                  <w:r w:rsidRPr="00EF1540">
                                    <w:rPr>
                                      <w:bCs/>
                                      <w:sz w:val="10"/>
                                      <w:szCs w:val="10"/>
                                    </w:rPr>
                                    <w:t>Pourcentage de déchets qui auraient été collectés et correctement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FE98A" id="_x0000_s1158" type="#_x0000_t202" style="position:absolute;left:0;text-align:left;margin-left:48.45pt;margin-top:122.7pt;width:164.7pt;height:1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" fillcolor="white [3212]" stroked="f">
                      <v:textbox inset="0,0,0,0">
                        <w:txbxContent>
                          <w:p w14:paraId="0707D25E" w14:textId="77777777" w:rsidR="00756EAD" w:rsidRPr="00EF1540" w:rsidRDefault="00756EAD" w:rsidP="00D80461">
                            <w:pPr>
                              <w:spacing w:before="80"/>
                              <w:rPr>
                                <w:sz w:val="10"/>
                                <w:szCs w:val="10"/>
                              </w:rPr>
                            </w:pPr>
                            <w:r w:rsidRPr="00EF1540">
                              <w:rPr>
                                <w:bCs/>
                                <w:sz w:val="10"/>
                                <w:szCs w:val="10"/>
                              </w:rPr>
                              <w:t>Pourcentage de déchets qui auraient été collectés et correctement recyclés</w:t>
                            </w:r>
                          </w:p>
                        </w:txbxContent>
                      </v:textbox>
                    </v:shape>
                  </w:pict>
                </mc:Fallback>
              </mc:AlternateContent>
            </w:r>
            <w:r w:rsidRPr="00F05A8A">
              <w:rPr>
                <w:b/>
                <w:bCs/>
                <w:szCs w:val="24"/>
                <w:lang w:eastAsia="fr-FR"/>
              </w:rPr>
              <mc:AlternateContent>
                <mc:Choice Requires="wps">
                  <w:drawing>
                    <wp:anchor distT="0" distB="0" distL="114300" distR="114300" simplePos="0" relativeHeight="251680768" behindDoc="0" locked="0" layoutInCell="1" allowOverlap="1" wp14:anchorId="3714F6A5" wp14:editId="3A46EF29">
                      <wp:simplePos x="0" y="0"/>
                      <wp:positionH relativeFrom="column">
                        <wp:posOffset>612140</wp:posOffset>
                      </wp:positionH>
                      <wp:positionV relativeFrom="paragraph">
                        <wp:posOffset>1414780</wp:posOffset>
                      </wp:positionV>
                      <wp:extent cx="2091690" cy="175260"/>
                      <wp:effectExtent l="0" t="0" r="3810" b="0"/>
                      <wp:wrapNone/>
                      <wp:docPr id="1879157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75260"/>
                              </a:xfrm>
                              <a:prstGeom prst="rect">
                                <a:avLst/>
                              </a:prstGeom>
                              <a:solidFill>
                                <a:schemeClr val="bg1"/>
                              </a:solidFill>
                              <a:ln w="9525">
                                <a:noFill/>
                                <a:miter lim="800000"/>
                                <a:headEnd/>
                                <a:tailEnd/>
                              </a:ln>
                            </wps:spPr>
                            <wps:txbx>
                              <w:txbxContent>
                                <w:p w14:paraId="67DAE7AC" w14:textId="77777777" w:rsidR="00756EAD" w:rsidRPr="00EF1540" w:rsidRDefault="00756EAD" w:rsidP="00D80461">
                                  <w:pPr>
                                    <w:spacing w:before="80"/>
                                    <w:rPr>
                                      <w:sz w:val="10"/>
                                      <w:szCs w:val="10"/>
                                    </w:rPr>
                                  </w:pPr>
                                  <w:r w:rsidRPr="00EF1540">
                                    <w:rPr>
                                      <w:bCs/>
                                      <w:sz w:val="10"/>
                                      <w:szCs w:val="10"/>
                                    </w:rPr>
                                    <w:t>Total des déchets d</w:t>
                                  </w:r>
                                  <w:r>
                                    <w:rPr>
                                      <w:bCs/>
                                      <w:sz w:val="10"/>
                                      <w:szCs w:val="10"/>
                                    </w:rPr>
                                    <w:t>'</w:t>
                                  </w:r>
                                  <w:r w:rsidRPr="00EF1540">
                                    <w:rPr>
                                      <w:bCs/>
                                      <w:sz w:val="10"/>
                                      <w:szCs w:val="10"/>
                                    </w:rPr>
                                    <w:t>équipements électriques et électroniques (mégatonnes)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4F6A5" id="_x0000_s1159" type="#_x0000_t202" style="position:absolute;left:0;text-align:left;margin-left:48.2pt;margin-top:111.4pt;width:164.7pt;height: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" fillcolor="white [3212]" stroked="f">
                      <v:textbox inset="0,0,0,0">
                        <w:txbxContent>
                          <w:p w14:paraId="67DAE7AC" w14:textId="77777777" w:rsidR="00756EAD" w:rsidRPr="00EF1540" w:rsidRDefault="00756EAD" w:rsidP="00D80461">
                            <w:pPr>
                              <w:spacing w:before="80"/>
                              <w:rPr>
                                <w:sz w:val="10"/>
                                <w:szCs w:val="10"/>
                              </w:rPr>
                            </w:pPr>
                            <w:r w:rsidRPr="00EF1540">
                              <w:rPr>
                                <w:bCs/>
                                <w:sz w:val="10"/>
                                <w:szCs w:val="10"/>
                              </w:rPr>
                              <w:t>Total des déchets d</w:t>
                            </w:r>
                            <w:r>
                              <w:rPr>
                                <w:bCs/>
                                <w:sz w:val="10"/>
                                <w:szCs w:val="10"/>
                              </w:rPr>
                              <w:t>'</w:t>
                            </w:r>
                            <w:r w:rsidRPr="00EF1540">
                              <w:rPr>
                                <w:bCs/>
                                <w:sz w:val="10"/>
                                <w:szCs w:val="10"/>
                              </w:rPr>
                              <w:t>équipements électriques et électroniques (mégatonnes)</w:t>
                            </w:r>
                          </w:p>
                        </w:txbxContent>
                      </v:textbox>
                    </v:shape>
                  </w:pict>
                </mc:Fallback>
              </mc:AlternateContent>
            </w:r>
            <w:r w:rsidRPr="00F05A8A">
              <w:rPr>
                <w:b/>
                <w:bCs/>
                <w:szCs w:val="24"/>
                <w:lang w:eastAsia="fr-FR"/>
              </w:rPr>
              <mc:AlternateContent>
                <mc:Choice Requires="wps">
                  <w:drawing>
                    <wp:anchor distT="0" distB="0" distL="114300" distR="114300" simplePos="0" relativeHeight="251679744" behindDoc="0" locked="0" layoutInCell="1" allowOverlap="1" wp14:anchorId="4E51BBDB" wp14:editId="30A090BC">
                      <wp:simplePos x="0" y="0"/>
                      <wp:positionH relativeFrom="column">
                        <wp:posOffset>1848485</wp:posOffset>
                      </wp:positionH>
                      <wp:positionV relativeFrom="paragraph">
                        <wp:posOffset>551815</wp:posOffset>
                      </wp:positionV>
                      <wp:extent cx="680085" cy="116840"/>
                      <wp:effectExtent l="0" t="0" r="0" b="0"/>
                      <wp:wrapNone/>
                      <wp:docPr id="1879157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6840"/>
                              </a:xfrm>
                              <a:prstGeom prst="rect">
                                <a:avLst/>
                              </a:prstGeom>
                              <a:solidFill>
                                <a:schemeClr val="bg1"/>
                              </a:solidFill>
                              <a:ln w="9525">
                                <a:noFill/>
                                <a:miter lim="800000"/>
                                <a:headEnd/>
                                <a:tailEnd/>
                              </a:ln>
                            </wps:spPr>
                            <wps:txbx>
                              <w:txbxContent>
                                <w:p w14:paraId="389B8F2A" w14:textId="77777777" w:rsidR="00756EAD" w:rsidRPr="00EF1540" w:rsidRDefault="00756EAD" w:rsidP="00D80461">
                                  <w:pPr>
                                    <w:spacing w:before="40"/>
                                    <w:rPr>
                                      <w:b/>
                                      <w:sz w:val="12"/>
                                      <w:szCs w:val="12"/>
                                    </w:rPr>
                                  </w:pPr>
                                  <w:r w:rsidRPr="00EF1540">
                                    <w:rPr>
                                      <w:b/>
                                      <w:sz w:val="12"/>
                                      <w:szCs w:val="12"/>
                                    </w:rPr>
                                    <w:t>Cible 2023: 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1BBDB" id="_x0000_s1160" type="#_x0000_t202" style="position:absolute;left:0;text-align:left;margin-left:145.55pt;margin-top:43.45pt;width:53.5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" fillcolor="white [3212]" stroked="f">
                      <v:textbox inset="0,0,0,0">
                        <w:txbxContent>
                          <w:p w14:paraId="389B8F2A" w14:textId="77777777" w:rsidR="00756EAD" w:rsidRPr="00EF1540" w:rsidRDefault="00756EAD" w:rsidP="00D80461">
                            <w:pPr>
                              <w:spacing w:before="40"/>
                              <w:rPr>
                                <w:b/>
                                <w:sz w:val="12"/>
                                <w:szCs w:val="12"/>
                              </w:rPr>
                            </w:pPr>
                            <w:r w:rsidRPr="00EF1540">
                              <w:rPr>
                                <w:b/>
                                <w:sz w:val="12"/>
                                <w:szCs w:val="12"/>
                              </w:rPr>
                              <w:t>Cible 2023: 30%</w:t>
                            </w:r>
                          </w:p>
                        </w:txbxContent>
                      </v:textbox>
                    </v:shape>
                  </w:pict>
                </mc:Fallback>
              </mc:AlternateContent>
            </w:r>
            <w:r w:rsidRPr="00F05A8A">
              <w:rPr>
                <w:b/>
                <w:bCs/>
                <w:szCs w:val="24"/>
                <w:lang w:eastAsia="fr-FR"/>
              </w:rPr>
              <mc:AlternateContent>
                <mc:Choice Requires="wps">
                  <w:drawing>
                    <wp:anchor distT="0" distB="0" distL="114300" distR="114300" simplePos="0" relativeHeight="251678720" behindDoc="0" locked="0" layoutInCell="1" allowOverlap="1" wp14:anchorId="1ADD3D6A" wp14:editId="3489B911">
                      <wp:simplePos x="0" y="0"/>
                      <wp:positionH relativeFrom="column">
                        <wp:posOffset>2002155</wp:posOffset>
                      </wp:positionH>
                      <wp:positionV relativeFrom="paragraph">
                        <wp:posOffset>1254125</wp:posOffset>
                      </wp:positionV>
                      <wp:extent cx="445770" cy="160655"/>
                      <wp:effectExtent l="0" t="0" r="0" b="0"/>
                      <wp:wrapNone/>
                      <wp:docPr id="1879157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60655"/>
                              </a:xfrm>
                              <a:prstGeom prst="rect">
                                <a:avLst/>
                              </a:prstGeom>
                              <a:solidFill>
                                <a:schemeClr val="bg1"/>
                              </a:solidFill>
                              <a:ln w="9525">
                                <a:noFill/>
                                <a:miter lim="800000"/>
                                <a:headEnd/>
                                <a:tailEnd/>
                              </a:ln>
                            </wps:spPr>
                            <wps:txbx>
                              <w:txbxContent>
                                <w:p w14:paraId="42B81A15" w14:textId="77777777" w:rsidR="00756EAD" w:rsidRPr="009C1351" w:rsidRDefault="00756EAD" w:rsidP="00D80461">
                                  <w:pPr>
                                    <w:spacing w:before="40"/>
                                    <w:jc w:val="center"/>
                                    <w:rPr>
                                      <w:sz w:val="12"/>
                                      <w:szCs w:val="12"/>
                                    </w:rPr>
                                  </w:pPr>
                                  <w:r w:rsidRPr="009C1351">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D3D6A" id="_x0000_s1161" type="#_x0000_t202" style="position:absolute;left:0;text-align:left;margin-left:157.65pt;margin-top:98.75pt;width:35.1pt;height:1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" fillcolor="white [3212]" stroked="f">
                      <v:textbox inset="0,0,0,0">
                        <w:txbxContent>
                          <w:p w14:paraId="42B81A15" w14:textId="77777777" w:rsidR="00756EAD" w:rsidRPr="009C1351" w:rsidRDefault="00756EAD" w:rsidP="00D80461">
                            <w:pPr>
                              <w:spacing w:before="40"/>
                              <w:jc w:val="center"/>
                              <w:rPr>
                                <w:sz w:val="12"/>
                                <w:szCs w:val="12"/>
                              </w:rPr>
                            </w:pPr>
                            <w:r w:rsidRPr="009C1351">
                              <w:rPr>
                                <w:sz w:val="12"/>
                                <w:szCs w:val="12"/>
                              </w:rPr>
                              <w:t>Cible 2023</w:t>
                            </w:r>
                          </w:p>
                        </w:txbxContent>
                      </v:textbox>
                    </v:shape>
                  </w:pict>
                </mc:Fallback>
              </mc:AlternateContent>
            </w:r>
            <w:r w:rsidRPr="00F05A8A">
              <w:rPr>
                <w:b/>
                <w:bCs/>
                <w:szCs w:val="24"/>
                <w:lang w:eastAsia="fr-FR"/>
              </w:rPr>
              <mc:AlternateContent>
                <mc:Choice Requires="wps">
                  <w:drawing>
                    <wp:anchor distT="0" distB="0" distL="114300" distR="114300" simplePos="0" relativeHeight="251677696" behindDoc="0" locked="0" layoutInCell="1" allowOverlap="1" wp14:anchorId="228D8570" wp14:editId="2A44DF5F">
                      <wp:simplePos x="0" y="0"/>
                      <wp:positionH relativeFrom="column">
                        <wp:posOffset>78105</wp:posOffset>
                      </wp:positionH>
                      <wp:positionV relativeFrom="paragraph">
                        <wp:posOffset>76200</wp:posOffset>
                      </wp:positionV>
                      <wp:extent cx="2691765" cy="343535"/>
                      <wp:effectExtent l="0" t="0" r="0" b="0"/>
                      <wp:wrapNone/>
                      <wp:docPr id="1879157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43535"/>
                              </a:xfrm>
                              <a:prstGeom prst="rect">
                                <a:avLst/>
                              </a:prstGeom>
                              <a:solidFill>
                                <a:schemeClr val="bg1"/>
                              </a:solidFill>
                              <a:ln w="9525">
                                <a:noFill/>
                                <a:miter lim="800000"/>
                                <a:headEnd/>
                                <a:tailEnd/>
                              </a:ln>
                            </wps:spPr>
                            <wps:txbx>
                              <w:txbxContent>
                                <w:p w14:paraId="05BA40EC" w14:textId="77777777" w:rsidR="00756EAD" w:rsidRPr="00EF1540" w:rsidRDefault="00756EAD" w:rsidP="00D80461">
                                  <w:pPr>
                                    <w:spacing w:before="0"/>
                                    <w:jc w:val="center"/>
                                    <w:rPr>
                                      <w:b/>
                                      <w:sz w:val="16"/>
                                      <w:szCs w:val="16"/>
                                    </w:rPr>
                                  </w:pPr>
                                  <w:r w:rsidRPr="00EF1540">
                                    <w:rPr>
                                      <w:b/>
                                      <w:bCs/>
                                      <w:sz w:val="16"/>
                                      <w:szCs w:val="16"/>
                                    </w:rPr>
                                    <w:t>Déchets d</w:t>
                                  </w:r>
                                  <w:r>
                                    <w:rPr>
                                      <w:b/>
                                      <w:bCs/>
                                      <w:sz w:val="16"/>
                                      <w:szCs w:val="16"/>
                                    </w:rPr>
                                    <w:t>'</w:t>
                                  </w:r>
                                  <w:r w:rsidRPr="00EF1540">
                                    <w:rPr>
                                      <w:b/>
                                      <w:bCs/>
                                      <w:sz w:val="16"/>
                                      <w:szCs w:val="16"/>
                                    </w:rPr>
                                    <w:t>équipements électriques et électroniques générés et pourcentage de ces déchets recyclés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8570" id="_x0000_s1162" type="#_x0000_t202" style="position:absolute;left:0;text-align:left;margin-left:6.15pt;margin-top:6pt;width:211.95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" fillcolor="white [3212]" stroked="f">
                      <v:textbox inset="0,0,0,0">
                        <w:txbxContent>
                          <w:p w14:paraId="05BA40EC" w14:textId="77777777" w:rsidR="00756EAD" w:rsidRPr="00EF1540" w:rsidRDefault="00756EAD" w:rsidP="00D80461">
                            <w:pPr>
                              <w:spacing w:before="0"/>
                              <w:jc w:val="center"/>
                              <w:rPr>
                                <w:b/>
                                <w:sz w:val="16"/>
                                <w:szCs w:val="16"/>
                              </w:rPr>
                            </w:pPr>
                            <w:r w:rsidRPr="00EF1540">
                              <w:rPr>
                                <w:b/>
                                <w:bCs/>
                                <w:sz w:val="16"/>
                                <w:szCs w:val="16"/>
                              </w:rPr>
                              <w:t>Déchets d</w:t>
                            </w:r>
                            <w:r>
                              <w:rPr>
                                <w:b/>
                                <w:bCs/>
                                <w:sz w:val="16"/>
                                <w:szCs w:val="16"/>
                              </w:rPr>
                              <w:t>'</w:t>
                            </w:r>
                            <w:r w:rsidRPr="00EF1540">
                              <w:rPr>
                                <w:b/>
                                <w:bCs/>
                                <w:sz w:val="16"/>
                                <w:szCs w:val="16"/>
                              </w:rPr>
                              <w:t>équipements électriques et électroniques générés et pourcentage de ces déchets recyclés – Monde</w:t>
                            </w:r>
                          </w:p>
                        </w:txbxContent>
                      </v:textbox>
                    </v:shape>
                  </w:pict>
                </mc:Fallback>
              </mc:AlternateContent>
            </w:r>
            <w:r w:rsidR="00CF5980" w:rsidRPr="00F05A8A">
              <w:rPr>
                <w:b/>
                <w:bCs/>
                <w:szCs w:val="24"/>
              </w:rPr>
              <w:t xml:space="preserve"> </w:t>
            </w:r>
            <w:r w:rsidRPr="00F05A8A">
              <w:rPr>
                <w:lang w:eastAsia="fr-FR"/>
              </w:rPr>
              <w:drawing>
                <wp:inline distT="0" distB="0" distL="0" distR="0" wp14:anchorId="2F3A1681" wp14:editId="627E2848">
                  <wp:extent cx="2830195" cy="1708785"/>
                  <wp:effectExtent l="0" t="0" r="8255" b="5715"/>
                  <wp:docPr id="1257977754" name="Picture 125797775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pic:nvPicPr>
                        <pic:blipFill>
                          <a:blip r:embed="rId400">
                            <a:extLst>
                              <a:ext uri="{28A0092B-C50C-407E-A947-70E740481C1C}">
                                <a14:useLocalDpi xmlns:a14="http://schemas.microsoft.com/office/drawing/2010/main" val="0"/>
                              </a:ext>
                            </a:extLst>
                          </a:blip>
                          <a:stretch>
                            <a:fillRect/>
                          </a:stretch>
                        </pic:blipFill>
                        <pic:spPr>
                          <a:xfrm>
                            <a:off x="0" y="0"/>
                            <a:ext cx="2830195" cy="1708785"/>
                          </a:xfrm>
                          <a:prstGeom prst="rect">
                            <a:avLst/>
                          </a:prstGeom>
                        </pic:spPr>
                      </pic:pic>
                    </a:graphicData>
                  </a:graphic>
                </wp:inline>
              </w:drawing>
            </w:r>
          </w:p>
          <w:p w14:paraId="267293CA" w14:textId="77777777" w:rsidR="00D80461" w:rsidRPr="00F05A8A" w:rsidRDefault="00D80461" w:rsidP="002F075E">
            <w:pPr>
              <w:jc w:val="center"/>
              <w:rPr>
                <w:b/>
                <w:bCs/>
                <w:sz w:val="2"/>
                <w:szCs w:val="2"/>
              </w:rPr>
            </w:pPr>
          </w:p>
        </w:tc>
        <w:tc>
          <w:tcPr>
            <w:tcW w:w="4815" w:type="dxa"/>
            <w:vAlign w:val="center"/>
          </w:tcPr>
          <w:p w14:paraId="149C80C1" w14:textId="77777777" w:rsidR="00D80461" w:rsidRPr="00F05A8A" w:rsidRDefault="00D80461" w:rsidP="002F075E">
            <w:pPr>
              <w:keepNext/>
              <w:keepLines/>
              <w:jc w:val="center"/>
              <w:rPr>
                <w:b/>
                <w:bCs/>
              </w:rPr>
            </w:pPr>
            <w:r w:rsidRPr="00F05A8A">
              <w:rPr>
                <w:b/>
                <w:bCs/>
                <w:szCs w:val="24"/>
                <w:lang w:eastAsia="fr-FR"/>
              </w:rPr>
              <mc:AlternateContent>
                <mc:Choice Requires="wps">
                  <w:drawing>
                    <wp:anchor distT="0" distB="0" distL="114300" distR="114300" simplePos="0" relativeHeight="251682816" behindDoc="0" locked="0" layoutInCell="1" allowOverlap="1" wp14:anchorId="1CDC2EB2" wp14:editId="45F822A7">
                      <wp:simplePos x="0" y="0"/>
                      <wp:positionH relativeFrom="column">
                        <wp:posOffset>326390</wp:posOffset>
                      </wp:positionH>
                      <wp:positionV relativeFrom="paragraph">
                        <wp:posOffset>69215</wp:posOffset>
                      </wp:positionV>
                      <wp:extent cx="2230755" cy="248285"/>
                      <wp:effectExtent l="0" t="0" r="0" b="0"/>
                      <wp:wrapNone/>
                      <wp:docPr id="1879157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48285"/>
                              </a:xfrm>
                              <a:prstGeom prst="rect">
                                <a:avLst/>
                              </a:prstGeom>
                              <a:solidFill>
                                <a:schemeClr val="bg1"/>
                              </a:solidFill>
                              <a:ln w="9525">
                                <a:noFill/>
                                <a:miter lim="800000"/>
                                <a:headEnd/>
                                <a:tailEnd/>
                              </a:ln>
                            </wps:spPr>
                            <wps:txbx>
                              <w:txbxContent>
                                <w:p w14:paraId="5E2B9AAF" w14:textId="77777777" w:rsidR="00756EAD" w:rsidRPr="00EF1540" w:rsidRDefault="00756EAD" w:rsidP="00D80461">
                                  <w:pPr>
                                    <w:spacing w:before="80"/>
                                    <w:jc w:val="center"/>
                                    <w:rPr>
                                      <w:sz w:val="12"/>
                                      <w:szCs w:val="12"/>
                                    </w:rPr>
                                  </w:pPr>
                                  <w:r w:rsidRPr="00EF1540">
                                    <w:rPr>
                                      <w:bCs/>
                                      <w:sz w:val="12"/>
                                      <w:szCs w:val="12"/>
                                    </w:rPr>
                                    <w:t>Pourcentage de déchets d</w:t>
                                  </w:r>
                                  <w:r>
                                    <w:rPr>
                                      <w:bCs/>
                                      <w:sz w:val="12"/>
                                      <w:szCs w:val="12"/>
                                    </w:rPr>
                                    <w:t>'</w:t>
                                  </w:r>
                                  <w:r w:rsidRPr="00EF1540">
                                    <w:rPr>
                                      <w:bCs/>
                                      <w:sz w:val="12"/>
                                      <w:szCs w:val="12"/>
                                    </w:rPr>
                                    <w:t xml:space="preserve">équipements électriques </w:t>
                                  </w:r>
                                  <w:r>
                                    <w:rPr>
                                      <w:bCs/>
                                      <w:sz w:val="12"/>
                                      <w:szCs w:val="12"/>
                                    </w:rPr>
                                    <w:br/>
                                  </w:r>
                                  <w:r w:rsidRPr="00EF1540">
                                    <w:rPr>
                                      <w:bCs/>
                                      <w:sz w:val="12"/>
                                      <w:szCs w:val="12"/>
                                    </w:rPr>
                                    <w:t>et électroniques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2EB2" id="_x0000_s1163" type="#_x0000_t202" style="position:absolute;left:0;text-align:left;margin-left:25.7pt;margin-top:5.45pt;width:175.65pt;height:1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" fillcolor="white [3212]" stroked="f">
                      <v:textbox inset="0,0,0,0">
                        <w:txbxContent>
                          <w:p w14:paraId="5E2B9AAF" w14:textId="77777777" w:rsidR="00756EAD" w:rsidRPr="00EF1540" w:rsidRDefault="00756EAD" w:rsidP="00D80461">
                            <w:pPr>
                              <w:spacing w:before="80"/>
                              <w:jc w:val="center"/>
                              <w:rPr>
                                <w:sz w:val="12"/>
                                <w:szCs w:val="12"/>
                              </w:rPr>
                            </w:pPr>
                            <w:r w:rsidRPr="00EF1540">
                              <w:rPr>
                                <w:bCs/>
                                <w:sz w:val="12"/>
                                <w:szCs w:val="12"/>
                              </w:rPr>
                              <w:t>Pourcentage de déchets d</w:t>
                            </w:r>
                            <w:r>
                              <w:rPr>
                                <w:bCs/>
                                <w:sz w:val="12"/>
                                <w:szCs w:val="12"/>
                              </w:rPr>
                              <w:t>'</w:t>
                            </w:r>
                            <w:r w:rsidRPr="00EF1540">
                              <w:rPr>
                                <w:bCs/>
                                <w:sz w:val="12"/>
                                <w:szCs w:val="12"/>
                              </w:rPr>
                              <w:t xml:space="preserve">équipements électriques </w:t>
                            </w:r>
                            <w:r>
                              <w:rPr>
                                <w:bCs/>
                                <w:sz w:val="12"/>
                                <w:szCs w:val="12"/>
                              </w:rPr>
                              <w:br/>
                            </w:r>
                            <w:r w:rsidRPr="00EF1540">
                              <w:rPr>
                                <w:bCs/>
                                <w:sz w:val="12"/>
                                <w:szCs w:val="12"/>
                              </w:rPr>
                              <w:t>et électroniques recyclés</w:t>
                            </w:r>
                          </w:p>
                        </w:txbxContent>
                      </v:textbox>
                    </v:shape>
                  </w:pict>
                </mc:Fallback>
              </mc:AlternateContent>
            </w:r>
            <w:r w:rsidRPr="00F05A8A">
              <w:rPr>
                <w:b/>
                <w:bCs/>
                <w:szCs w:val="24"/>
                <w:lang w:eastAsia="fr-FR"/>
              </w:rPr>
              <mc:AlternateContent>
                <mc:Choice Requires="wps">
                  <w:drawing>
                    <wp:anchor distT="0" distB="0" distL="114300" distR="114300" simplePos="0" relativeHeight="251683840" behindDoc="0" locked="0" layoutInCell="1" allowOverlap="1" wp14:anchorId="5B563F27" wp14:editId="16C196E2">
                      <wp:simplePos x="0" y="0"/>
                      <wp:positionH relativeFrom="column">
                        <wp:posOffset>93345</wp:posOffset>
                      </wp:positionH>
                      <wp:positionV relativeFrom="paragraph">
                        <wp:posOffset>327025</wp:posOffset>
                      </wp:positionV>
                      <wp:extent cx="555625" cy="1133475"/>
                      <wp:effectExtent l="0" t="0" r="0" b="9525"/>
                      <wp:wrapNone/>
                      <wp:docPr id="187915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133475"/>
                              </a:xfrm>
                              <a:prstGeom prst="rect">
                                <a:avLst/>
                              </a:prstGeom>
                              <a:solidFill>
                                <a:schemeClr val="bg1"/>
                              </a:solidFill>
                              <a:ln w="9525">
                                <a:noFill/>
                                <a:miter lim="800000"/>
                                <a:headEnd/>
                                <a:tailEnd/>
                              </a:ln>
                            </wps:spPr>
                            <wps:txbx>
                              <w:txbxContent>
                                <w:p w14:paraId="4FBD5AC3" w14:textId="77777777" w:rsidR="00756EAD" w:rsidRDefault="00756EAD" w:rsidP="00D80461">
                                  <w:pPr>
                                    <w:spacing w:before="80"/>
                                    <w:jc w:val="right"/>
                                    <w:rPr>
                                      <w:bCs/>
                                      <w:sz w:val="12"/>
                                      <w:szCs w:val="12"/>
                                    </w:rPr>
                                  </w:pPr>
                                  <w:r>
                                    <w:rPr>
                                      <w:bCs/>
                                      <w:sz w:val="12"/>
                                      <w:szCs w:val="12"/>
                                    </w:rPr>
                                    <w:t>Afrique</w:t>
                                  </w:r>
                                </w:p>
                                <w:p w14:paraId="2E4FBB3D" w14:textId="77777777" w:rsidR="00756EAD" w:rsidRDefault="00756EAD" w:rsidP="00D80461">
                                  <w:pPr>
                                    <w:spacing w:before="160"/>
                                    <w:jc w:val="right"/>
                                    <w:rPr>
                                      <w:bCs/>
                                      <w:sz w:val="12"/>
                                      <w:szCs w:val="12"/>
                                    </w:rPr>
                                  </w:pPr>
                                  <w:r>
                                    <w:rPr>
                                      <w:bCs/>
                                      <w:sz w:val="12"/>
                                      <w:szCs w:val="12"/>
                                    </w:rPr>
                                    <w:t xml:space="preserve"> Asie</w:t>
                                  </w:r>
                                </w:p>
                                <w:p w14:paraId="43CEE92E" w14:textId="77777777" w:rsidR="00756EAD" w:rsidRDefault="00756EAD" w:rsidP="00D80461">
                                  <w:pPr>
                                    <w:spacing w:before="240"/>
                                    <w:jc w:val="right"/>
                                    <w:rPr>
                                      <w:bCs/>
                                      <w:sz w:val="12"/>
                                      <w:szCs w:val="12"/>
                                    </w:rPr>
                                  </w:pPr>
                                  <w:r>
                                    <w:rPr>
                                      <w:bCs/>
                                      <w:sz w:val="12"/>
                                      <w:szCs w:val="12"/>
                                    </w:rPr>
                                    <w:t>Amériques</w:t>
                                  </w:r>
                                </w:p>
                                <w:p w14:paraId="73D45144" w14:textId="77777777" w:rsidR="00756EAD" w:rsidRDefault="00756EAD" w:rsidP="00D80461">
                                  <w:pPr>
                                    <w:spacing w:before="200"/>
                                    <w:jc w:val="right"/>
                                    <w:rPr>
                                      <w:bCs/>
                                      <w:sz w:val="12"/>
                                      <w:szCs w:val="12"/>
                                    </w:rPr>
                                  </w:pPr>
                                  <w:r>
                                    <w:rPr>
                                      <w:bCs/>
                                      <w:sz w:val="12"/>
                                      <w:szCs w:val="12"/>
                                    </w:rPr>
                                    <w:t>Europe</w:t>
                                  </w:r>
                                </w:p>
                                <w:p w14:paraId="333E8973" w14:textId="77777777" w:rsidR="00756EAD" w:rsidRPr="00EF1540" w:rsidRDefault="00756EAD" w:rsidP="00D80461">
                                  <w:pPr>
                                    <w:spacing w:before="240"/>
                                    <w:jc w:val="right"/>
                                    <w:rPr>
                                      <w:sz w:val="12"/>
                                      <w:szCs w:val="12"/>
                                    </w:rPr>
                                  </w:pPr>
                                  <w:r w:rsidRPr="00C8713C">
                                    <w:rPr>
                                      <w:bCs/>
                                      <w:sz w:val="12"/>
                                      <w:szCs w:val="12"/>
                                    </w:rPr>
                                    <w:t>Océanie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3F27" id="_x0000_s1164" type="#_x0000_t202" style="position:absolute;left:0;text-align:left;margin-left:7.35pt;margin-top:25.75pt;width:43.75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" fillcolor="white [3212]" stroked="f">
                      <v:textbox inset="0,0,0,0">
                        <w:txbxContent>
                          <w:p w14:paraId="4FBD5AC3" w14:textId="77777777" w:rsidR="00756EAD" w:rsidRDefault="00756EAD" w:rsidP="00D80461">
                            <w:pPr>
                              <w:spacing w:before="80"/>
                              <w:jc w:val="right"/>
                              <w:rPr>
                                <w:bCs/>
                                <w:sz w:val="12"/>
                                <w:szCs w:val="12"/>
                              </w:rPr>
                            </w:pPr>
                            <w:r>
                              <w:rPr>
                                <w:bCs/>
                                <w:sz w:val="12"/>
                                <w:szCs w:val="12"/>
                              </w:rPr>
                              <w:t>Afrique</w:t>
                            </w:r>
                          </w:p>
                          <w:p w14:paraId="2E4FBB3D" w14:textId="77777777" w:rsidR="00756EAD" w:rsidRDefault="00756EAD" w:rsidP="00D80461">
                            <w:pPr>
                              <w:spacing w:before="160"/>
                              <w:jc w:val="right"/>
                              <w:rPr>
                                <w:bCs/>
                                <w:sz w:val="12"/>
                                <w:szCs w:val="12"/>
                              </w:rPr>
                            </w:pPr>
                            <w:r>
                              <w:rPr>
                                <w:bCs/>
                                <w:sz w:val="12"/>
                                <w:szCs w:val="12"/>
                              </w:rPr>
                              <w:t xml:space="preserve"> Asie</w:t>
                            </w:r>
                          </w:p>
                          <w:p w14:paraId="43CEE92E" w14:textId="77777777" w:rsidR="00756EAD" w:rsidRDefault="00756EAD" w:rsidP="00D80461">
                            <w:pPr>
                              <w:spacing w:before="240"/>
                              <w:jc w:val="right"/>
                              <w:rPr>
                                <w:bCs/>
                                <w:sz w:val="12"/>
                                <w:szCs w:val="12"/>
                              </w:rPr>
                            </w:pPr>
                            <w:r>
                              <w:rPr>
                                <w:bCs/>
                                <w:sz w:val="12"/>
                                <w:szCs w:val="12"/>
                              </w:rPr>
                              <w:t>Amériques</w:t>
                            </w:r>
                          </w:p>
                          <w:p w14:paraId="73D45144" w14:textId="77777777" w:rsidR="00756EAD" w:rsidRDefault="00756EAD" w:rsidP="00D80461">
                            <w:pPr>
                              <w:spacing w:before="200"/>
                              <w:jc w:val="right"/>
                              <w:rPr>
                                <w:bCs/>
                                <w:sz w:val="12"/>
                                <w:szCs w:val="12"/>
                              </w:rPr>
                            </w:pPr>
                            <w:r>
                              <w:rPr>
                                <w:bCs/>
                                <w:sz w:val="12"/>
                                <w:szCs w:val="12"/>
                              </w:rPr>
                              <w:t>Europe</w:t>
                            </w:r>
                          </w:p>
                          <w:p w14:paraId="333E8973" w14:textId="77777777" w:rsidR="00756EAD" w:rsidRPr="00EF1540" w:rsidRDefault="00756EAD" w:rsidP="00D80461">
                            <w:pPr>
                              <w:spacing w:before="240"/>
                              <w:jc w:val="right"/>
                              <w:rPr>
                                <w:sz w:val="12"/>
                                <w:szCs w:val="12"/>
                              </w:rPr>
                            </w:pPr>
                            <w:r w:rsidRPr="00C8713C">
                              <w:rPr>
                                <w:bCs/>
                                <w:sz w:val="12"/>
                                <w:szCs w:val="12"/>
                              </w:rPr>
                              <w:t>Océanie</w:t>
                            </w:r>
                          </w:p>
                        </w:txbxContent>
                      </v:textbox>
                    </v:shape>
                  </w:pict>
                </mc:Fallback>
              </mc:AlternateContent>
            </w:r>
            <w:r w:rsidRPr="00F05A8A">
              <w:rPr>
                <w:lang w:eastAsia="fr-FR"/>
              </w:rPr>
              <w:drawing>
                <wp:inline distT="0" distB="0" distL="0" distR="0" wp14:anchorId="1BC61C2B" wp14:editId="1A335CB7">
                  <wp:extent cx="2376028" cy="1446228"/>
                  <wp:effectExtent l="0" t="0" r="5715" b="1905"/>
                  <wp:docPr id="75226724"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6724" name="Picture 9" descr="Chart&#10;&#10;Description automatically generated"/>
                          <pic:cNvPicPr/>
                        </pic:nvPicPr>
                        <pic:blipFill>
                          <a:blip r:embed="rId401">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D80461" w:rsidRPr="00F05A8A" w14:paraId="625083E9" w14:textId="77777777" w:rsidTr="00142C01">
        <w:trPr>
          <w:jc w:val="center"/>
        </w:trPr>
        <w:tc>
          <w:tcPr>
            <w:tcW w:w="9629" w:type="dxa"/>
            <w:gridSpan w:val="3"/>
            <w:vAlign w:val="center"/>
          </w:tcPr>
          <w:p w14:paraId="6344D29C" w14:textId="77777777" w:rsidR="00D80461" w:rsidRPr="00F05A8A" w:rsidRDefault="00D80461" w:rsidP="002F075E">
            <w:pPr>
              <w:spacing w:before="80" w:after="120"/>
              <w:rPr>
                <w:b/>
                <w:bCs/>
                <w:sz w:val="20"/>
              </w:rPr>
            </w:pPr>
          </w:p>
        </w:tc>
      </w:tr>
      <w:tr w:rsidR="00D80461" w:rsidRPr="00F05A8A" w14:paraId="6ADCA889" w14:textId="77777777" w:rsidTr="00142C01">
        <w:trPr>
          <w:jc w:val="center"/>
        </w:trPr>
        <w:tc>
          <w:tcPr>
            <w:tcW w:w="4678" w:type="dxa"/>
            <w:shd w:val="clear" w:color="auto" w:fill="FFFFFF" w:themeFill="background1"/>
          </w:tcPr>
          <w:p w14:paraId="45E1684C" w14:textId="77777777" w:rsidR="00D80461" w:rsidRPr="00F05A8A" w:rsidRDefault="00D80461" w:rsidP="002F075E">
            <w:pPr>
              <w:spacing w:after="120"/>
              <w:jc w:val="center"/>
              <w:rPr>
                <w:rFonts w:eastAsia="Calibri"/>
              </w:rPr>
            </w:pPr>
            <w:r w:rsidRPr="00F05A8A">
              <w:rPr>
                <w:b/>
                <w:bCs/>
              </w:rPr>
              <w:t>Cible 3.3</w:t>
            </w:r>
          </w:p>
        </w:tc>
        <w:tc>
          <w:tcPr>
            <w:tcW w:w="4951" w:type="dxa"/>
            <w:gridSpan w:val="2"/>
            <w:shd w:val="clear" w:color="auto" w:fill="FFFFFF" w:themeFill="background1"/>
          </w:tcPr>
          <w:p w14:paraId="736AFF9A" w14:textId="77777777" w:rsidR="00D80461" w:rsidRPr="00F05A8A" w:rsidRDefault="00D80461" w:rsidP="002F075E">
            <w:pPr>
              <w:spacing w:after="120"/>
              <w:jc w:val="center"/>
              <w:rPr>
                <w:rFonts w:eastAsia="Calibri"/>
              </w:rPr>
            </w:pPr>
            <w:r w:rsidRPr="00F05A8A">
              <w:rPr>
                <w:b/>
                <w:bCs/>
              </w:rPr>
              <w:t>Cible 3.4</w:t>
            </w:r>
          </w:p>
        </w:tc>
      </w:tr>
      <w:tr w:rsidR="00D80461" w:rsidRPr="00F05A8A" w14:paraId="14C647AD" w14:textId="77777777" w:rsidTr="00142C01">
        <w:trPr>
          <w:jc w:val="center"/>
        </w:trPr>
        <w:tc>
          <w:tcPr>
            <w:tcW w:w="4678" w:type="dxa"/>
          </w:tcPr>
          <w:p w14:paraId="2E3A77B2" w14:textId="77777777" w:rsidR="00D80461" w:rsidRPr="00F05A8A" w:rsidRDefault="00D80461" w:rsidP="002F075E">
            <w:pPr>
              <w:spacing w:after="120"/>
              <w:rPr>
                <w:b/>
                <w:bCs/>
                <w:sz w:val="20"/>
              </w:rPr>
            </w:pPr>
            <w:r w:rsidRPr="00F05A8A">
              <w:rPr>
                <w:b/>
                <w:bCs/>
                <w:szCs w:val="24"/>
                <w:lang w:eastAsia="fr-FR"/>
              </w:rPr>
              <mc:AlternateContent>
                <mc:Choice Requires="wps">
                  <w:drawing>
                    <wp:anchor distT="0" distB="0" distL="114300" distR="114300" simplePos="0" relativeHeight="251686912" behindDoc="0" locked="0" layoutInCell="1" allowOverlap="1" wp14:anchorId="3F7889B5" wp14:editId="0E47CB8F">
                      <wp:simplePos x="0" y="0"/>
                      <wp:positionH relativeFrom="column">
                        <wp:posOffset>2141423</wp:posOffset>
                      </wp:positionH>
                      <wp:positionV relativeFrom="paragraph">
                        <wp:posOffset>1349959</wp:posOffset>
                      </wp:positionV>
                      <wp:extent cx="438912" cy="153620"/>
                      <wp:effectExtent l="0" t="0" r="0" b="0"/>
                      <wp:wrapNone/>
                      <wp:docPr id="187915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 cy="153620"/>
                              </a:xfrm>
                              <a:prstGeom prst="rect">
                                <a:avLst/>
                              </a:prstGeom>
                              <a:solidFill>
                                <a:schemeClr val="bg1"/>
                              </a:solidFill>
                              <a:ln w="9525">
                                <a:noFill/>
                                <a:miter lim="800000"/>
                                <a:headEnd/>
                                <a:tailEnd/>
                              </a:ln>
                            </wps:spPr>
                            <wps:txbx>
                              <w:txbxContent>
                                <w:p w14:paraId="0B99A3A0" w14:textId="77777777" w:rsidR="00756EAD" w:rsidRPr="009C1351" w:rsidRDefault="00756EAD" w:rsidP="00D80461">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89B5" id="_x0000_s1165" type="#_x0000_t202" style="position:absolute;margin-left:168.6pt;margin-top:106.3pt;width:34.55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" fillcolor="white [3212]" stroked="f">
                      <v:textbox inset="0,0,0,0">
                        <w:txbxContent>
                          <w:p w14:paraId="0B99A3A0" w14:textId="77777777" w:rsidR="00756EAD" w:rsidRPr="009C1351" w:rsidRDefault="00756EAD" w:rsidP="00D80461">
                            <w:pPr>
                              <w:spacing w:before="60"/>
                              <w:jc w:val="center"/>
                              <w:rPr>
                                <w:sz w:val="12"/>
                                <w:szCs w:val="12"/>
                              </w:rPr>
                            </w:pPr>
                            <w:r w:rsidRPr="00B05A9F">
                              <w:rPr>
                                <w:sz w:val="12"/>
                                <w:szCs w:val="12"/>
                              </w:rPr>
                              <w:t>Cible 2023</w:t>
                            </w:r>
                          </w:p>
                        </w:txbxContent>
                      </v:textbox>
                    </v:shape>
                  </w:pict>
                </mc:Fallback>
              </mc:AlternateContent>
            </w:r>
            <w:r w:rsidRPr="00F05A8A">
              <w:rPr>
                <w:b/>
                <w:bCs/>
                <w:szCs w:val="24"/>
                <w:lang w:eastAsia="fr-FR"/>
              </w:rPr>
              <mc:AlternateContent>
                <mc:Choice Requires="wps">
                  <w:drawing>
                    <wp:anchor distT="0" distB="0" distL="114300" distR="114300" simplePos="0" relativeHeight="251685888" behindDoc="0" locked="0" layoutInCell="1" allowOverlap="1" wp14:anchorId="7358E884" wp14:editId="34DCF94E">
                      <wp:simplePos x="0" y="0"/>
                      <wp:positionH relativeFrom="column">
                        <wp:posOffset>254229</wp:posOffset>
                      </wp:positionH>
                      <wp:positionV relativeFrom="paragraph">
                        <wp:posOffset>1459713</wp:posOffset>
                      </wp:positionV>
                      <wp:extent cx="1594231" cy="234087"/>
                      <wp:effectExtent l="0" t="0" r="6350" b="0"/>
                      <wp:wrapNone/>
                      <wp:docPr id="187915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231" cy="234087"/>
                              </a:xfrm>
                              <a:prstGeom prst="rect">
                                <a:avLst/>
                              </a:prstGeom>
                              <a:solidFill>
                                <a:schemeClr val="bg1"/>
                              </a:solidFill>
                              <a:ln w="9525">
                                <a:noFill/>
                                <a:miter lim="800000"/>
                                <a:headEnd/>
                                <a:tailEnd/>
                              </a:ln>
                            </wps:spPr>
                            <wps:txbx>
                              <w:txbxContent>
                                <w:p w14:paraId="0E0E9147" w14:textId="77777777" w:rsidR="00756EAD" w:rsidRPr="009C1351" w:rsidRDefault="00756EAD" w:rsidP="00D80461">
                                  <w:pPr>
                                    <w:tabs>
                                      <w:tab w:val="left" w:pos="142"/>
                                    </w:tabs>
                                    <w:spacing w:before="60"/>
                                    <w:rPr>
                                      <w:sz w:val="12"/>
                                      <w:szCs w:val="12"/>
                                    </w:rPr>
                                  </w:pPr>
                                  <w:r>
                                    <w:rPr>
                                      <w:sz w:val="12"/>
                                      <w:szCs w:val="12"/>
                                    </w:rPr>
                                    <w:t>–</w:t>
                                  </w:r>
                                  <w:r>
                                    <w:rPr>
                                      <w:sz w:val="12"/>
                                      <w:szCs w:val="12"/>
                                    </w:rPr>
                                    <w:tab/>
                                  </w:r>
                                  <w:r w:rsidRPr="005928E1">
                                    <w:rPr>
                                      <w:sz w:val="12"/>
                                      <w:szCs w:val="12"/>
                                    </w:rPr>
                                    <w:t>Cible 2023: 50% des pays (environ 100 pays)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E884" id="_x0000_s1166" type="#_x0000_t202" style="position:absolute;margin-left:20pt;margin-top:114.95pt;width:125.55pt;height: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" fillcolor="white [3212]" stroked="f">
                      <v:textbox inset="0,0,0,0">
                        <w:txbxContent>
                          <w:p w14:paraId="0E0E9147" w14:textId="77777777" w:rsidR="00756EAD" w:rsidRPr="009C1351" w:rsidRDefault="00756EAD" w:rsidP="00D80461">
                            <w:pPr>
                              <w:tabs>
                                <w:tab w:val="left" w:pos="142"/>
                              </w:tabs>
                              <w:spacing w:before="60"/>
                              <w:rPr>
                                <w:sz w:val="12"/>
                                <w:szCs w:val="12"/>
                              </w:rPr>
                            </w:pPr>
                            <w:r>
                              <w:rPr>
                                <w:sz w:val="12"/>
                                <w:szCs w:val="12"/>
                              </w:rPr>
                              <w:t>–</w:t>
                            </w:r>
                            <w:r>
                              <w:rPr>
                                <w:sz w:val="12"/>
                                <w:szCs w:val="12"/>
                              </w:rPr>
                              <w:tab/>
                            </w:r>
                            <w:r w:rsidRPr="005928E1">
                              <w:rPr>
                                <w:sz w:val="12"/>
                                <w:szCs w:val="12"/>
                              </w:rPr>
                              <w:t>Cible 2023: 50% des pays (environ 100 pays)</w:t>
                            </w:r>
                          </w:p>
                        </w:txbxContent>
                      </v:textbox>
                    </v:shape>
                  </w:pict>
                </mc:Fallback>
              </mc:AlternateContent>
            </w:r>
            <w:r w:rsidRPr="00F05A8A">
              <w:rPr>
                <w:b/>
                <w:bCs/>
                <w:szCs w:val="24"/>
                <w:lang w:eastAsia="fr-FR"/>
              </w:rPr>
              <mc:AlternateContent>
                <mc:Choice Requires="wps">
                  <w:drawing>
                    <wp:anchor distT="0" distB="0" distL="114300" distR="114300" simplePos="0" relativeHeight="251684864" behindDoc="0" locked="0" layoutInCell="1" allowOverlap="1" wp14:anchorId="1C54E7CD" wp14:editId="004D5B60">
                      <wp:simplePos x="0" y="0"/>
                      <wp:positionH relativeFrom="column">
                        <wp:posOffset>78663</wp:posOffset>
                      </wp:positionH>
                      <wp:positionV relativeFrom="paragraph">
                        <wp:posOffset>91770</wp:posOffset>
                      </wp:positionV>
                      <wp:extent cx="2625699" cy="285293"/>
                      <wp:effectExtent l="0" t="0" r="3810" b="635"/>
                      <wp:wrapNone/>
                      <wp:docPr id="1879157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699" cy="285293"/>
                              </a:xfrm>
                              <a:prstGeom prst="rect">
                                <a:avLst/>
                              </a:prstGeom>
                              <a:solidFill>
                                <a:schemeClr val="bg1"/>
                              </a:solidFill>
                              <a:ln w="9525">
                                <a:noFill/>
                                <a:miter lim="800000"/>
                                <a:headEnd/>
                                <a:tailEnd/>
                              </a:ln>
                            </wps:spPr>
                            <wps:txbx>
                              <w:txbxContent>
                                <w:p w14:paraId="65A90DC3" w14:textId="77777777" w:rsidR="00756EAD" w:rsidRPr="008924CE" w:rsidRDefault="00756EAD" w:rsidP="00D80461">
                                  <w:pPr>
                                    <w:spacing w:before="20"/>
                                    <w:jc w:val="center"/>
                                    <w:rPr>
                                      <w:b/>
                                      <w:sz w:val="16"/>
                                      <w:szCs w:val="16"/>
                                    </w:rPr>
                                  </w:pPr>
                                  <w:r w:rsidRPr="008924CE">
                                    <w:rPr>
                                      <w:b/>
                                      <w:sz w:val="16"/>
                                      <w:szCs w:val="16"/>
                                    </w:rPr>
                                    <w:t>Pays dotés d</w:t>
                                  </w:r>
                                  <w:r>
                                    <w:rPr>
                                      <w:b/>
                                      <w:sz w:val="16"/>
                                      <w:szCs w:val="16"/>
                                    </w:rPr>
                                    <w:t>'</w:t>
                                  </w:r>
                                  <w:r w:rsidRPr="008924CE">
                                    <w:rPr>
                                      <w:b/>
                                      <w:sz w:val="16"/>
                                      <w:szCs w:val="16"/>
                                    </w:rPr>
                                    <w:t>une politique, d</w:t>
                                  </w:r>
                                  <w:r>
                                    <w:rPr>
                                      <w:b/>
                                      <w:sz w:val="16"/>
                                      <w:szCs w:val="16"/>
                                    </w:rPr>
                                    <w:t>'</w:t>
                                  </w:r>
                                  <w:r w:rsidRPr="008924CE">
                                    <w:rPr>
                                      <w:b/>
                                      <w:sz w:val="16"/>
                                      <w:szCs w:val="16"/>
                                    </w:rPr>
                                    <w:t>une législation ou d</w:t>
                                  </w:r>
                                  <w:r>
                                    <w:rPr>
                                      <w:b/>
                                      <w:sz w:val="16"/>
                                      <w:szCs w:val="16"/>
                                    </w:rPr>
                                    <w:t>'</w:t>
                                  </w:r>
                                  <w:r w:rsidRPr="008924CE">
                                    <w:rPr>
                                      <w:b/>
                                      <w:sz w:val="16"/>
                                      <w:szCs w:val="16"/>
                                    </w:rPr>
                                    <w:t>une réglementation en matière de DEEE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E7CD" id="_x0000_s1167" type="#_x0000_t202" style="position:absolute;margin-left:6.2pt;margin-top:7.25pt;width:206.75pt;height: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" fillcolor="white [3212]" stroked="f">
                      <v:textbox inset="0,0,0,0">
                        <w:txbxContent>
                          <w:p w14:paraId="65A90DC3" w14:textId="77777777" w:rsidR="00756EAD" w:rsidRPr="008924CE" w:rsidRDefault="00756EAD" w:rsidP="00D80461">
                            <w:pPr>
                              <w:spacing w:before="20"/>
                              <w:jc w:val="center"/>
                              <w:rPr>
                                <w:b/>
                                <w:sz w:val="16"/>
                                <w:szCs w:val="16"/>
                              </w:rPr>
                            </w:pPr>
                            <w:r w:rsidRPr="008924CE">
                              <w:rPr>
                                <w:b/>
                                <w:sz w:val="16"/>
                                <w:szCs w:val="16"/>
                              </w:rPr>
                              <w:t>Pays dotés d</w:t>
                            </w:r>
                            <w:r>
                              <w:rPr>
                                <w:b/>
                                <w:sz w:val="16"/>
                                <w:szCs w:val="16"/>
                              </w:rPr>
                              <w:t>'</w:t>
                            </w:r>
                            <w:r w:rsidRPr="008924CE">
                              <w:rPr>
                                <w:b/>
                                <w:sz w:val="16"/>
                                <w:szCs w:val="16"/>
                              </w:rPr>
                              <w:t>une politique, d</w:t>
                            </w:r>
                            <w:r>
                              <w:rPr>
                                <w:b/>
                                <w:sz w:val="16"/>
                                <w:szCs w:val="16"/>
                              </w:rPr>
                              <w:t>'</w:t>
                            </w:r>
                            <w:r w:rsidRPr="008924CE">
                              <w:rPr>
                                <w:b/>
                                <w:sz w:val="16"/>
                                <w:szCs w:val="16"/>
                              </w:rPr>
                              <w:t>une législation ou d</w:t>
                            </w:r>
                            <w:r>
                              <w:rPr>
                                <w:b/>
                                <w:sz w:val="16"/>
                                <w:szCs w:val="16"/>
                              </w:rPr>
                              <w:t>'</w:t>
                            </w:r>
                            <w:r w:rsidRPr="008924CE">
                              <w:rPr>
                                <w:b/>
                                <w:sz w:val="16"/>
                                <w:szCs w:val="16"/>
                              </w:rPr>
                              <w:t>une réglementation en matière de DEEE</w:t>
                            </w:r>
                          </w:p>
                        </w:txbxContent>
                      </v:textbox>
                    </v:shape>
                  </w:pict>
                </mc:Fallback>
              </mc:AlternateContent>
            </w:r>
            <w:r w:rsidRPr="00F05A8A">
              <w:rPr>
                <w:b/>
                <w:bCs/>
                <w:lang w:eastAsia="fr-FR"/>
              </w:rPr>
              <w:drawing>
                <wp:inline distT="0" distB="0" distL="0" distR="0" wp14:anchorId="32B71252" wp14:editId="3446A038">
                  <wp:extent cx="2824798" cy="1682326"/>
                  <wp:effectExtent l="0" t="0" r="0" b="0"/>
                  <wp:docPr id="1193504119" name="Picture 11935041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9" name="Picture 1193504119" descr="Chart, bar chart&#10;&#10;Description automatically generated"/>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827498" cy="1683934"/>
                          </a:xfrm>
                          <a:prstGeom prst="rect">
                            <a:avLst/>
                          </a:prstGeom>
                          <a:noFill/>
                        </pic:spPr>
                      </pic:pic>
                    </a:graphicData>
                  </a:graphic>
                </wp:inline>
              </w:drawing>
            </w:r>
          </w:p>
        </w:tc>
        <w:tc>
          <w:tcPr>
            <w:tcW w:w="4951" w:type="dxa"/>
            <w:gridSpan w:val="2"/>
          </w:tcPr>
          <w:p w14:paraId="140EBF1C" w14:textId="77777777" w:rsidR="00D80461" w:rsidRPr="00F05A8A" w:rsidRDefault="00D80461" w:rsidP="002F075E">
            <w:pPr>
              <w:spacing w:after="120"/>
              <w:jc w:val="center"/>
              <w:rPr>
                <w:b/>
                <w:bCs/>
                <w:sz w:val="20"/>
              </w:rPr>
            </w:pPr>
            <w:r w:rsidRPr="00F05A8A">
              <w:rPr>
                <w:sz w:val="16"/>
                <w:szCs w:val="16"/>
              </w:rPr>
              <w:t>Aucune mesure disponible</w:t>
            </w:r>
          </w:p>
        </w:tc>
      </w:tr>
      <w:tr w:rsidR="00D80461" w:rsidRPr="00F05A8A" w14:paraId="24C04435" w14:textId="77777777" w:rsidTr="00142C01">
        <w:trPr>
          <w:jc w:val="center"/>
        </w:trPr>
        <w:tc>
          <w:tcPr>
            <w:tcW w:w="4678" w:type="dxa"/>
            <w:shd w:val="clear" w:color="auto" w:fill="FFFFFF" w:themeFill="background1"/>
            <w:vAlign w:val="center"/>
          </w:tcPr>
          <w:p w14:paraId="15B87BA9" w14:textId="77777777" w:rsidR="00D80461" w:rsidRPr="00F05A8A" w:rsidRDefault="00D80461" w:rsidP="002F075E">
            <w:pPr>
              <w:spacing w:after="120"/>
              <w:jc w:val="center"/>
              <w:rPr>
                <w:b/>
                <w:bCs/>
                <w:sz w:val="20"/>
              </w:rPr>
            </w:pPr>
            <w:r w:rsidRPr="00F05A8A">
              <w:rPr>
                <w:b/>
                <w:bCs/>
              </w:rPr>
              <w:t>Cible 3.5</w:t>
            </w:r>
          </w:p>
        </w:tc>
        <w:tc>
          <w:tcPr>
            <w:tcW w:w="4951" w:type="dxa"/>
            <w:gridSpan w:val="2"/>
            <w:shd w:val="clear" w:color="auto" w:fill="FFFFFF" w:themeFill="background1"/>
            <w:vAlign w:val="center"/>
          </w:tcPr>
          <w:p w14:paraId="616CC4A1" w14:textId="77777777" w:rsidR="00D80461" w:rsidRPr="00F05A8A" w:rsidRDefault="00D80461" w:rsidP="002F075E">
            <w:pPr>
              <w:spacing w:after="120"/>
              <w:jc w:val="center"/>
              <w:rPr>
                <w:b/>
                <w:bCs/>
                <w:sz w:val="20"/>
              </w:rPr>
            </w:pPr>
            <w:r w:rsidRPr="00F05A8A">
              <w:rPr>
                <w:b/>
                <w:bCs/>
              </w:rPr>
              <w:t>Cible 4.1</w:t>
            </w:r>
          </w:p>
        </w:tc>
      </w:tr>
      <w:tr w:rsidR="00D80461" w:rsidRPr="00F05A8A" w14:paraId="57D674E4" w14:textId="77777777" w:rsidTr="00142C01">
        <w:trPr>
          <w:jc w:val="center"/>
        </w:trPr>
        <w:tc>
          <w:tcPr>
            <w:tcW w:w="4678" w:type="dxa"/>
          </w:tcPr>
          <w:p w14:paraId="7F05786C" w14:textId="77777777" w:rsidR="00D80461" w:rsidRPr="00F05A8A" w:rsidRDefault="00D80461" w:rsidP="002F075E">
            <w:pPr>
              <w:jc w:val="center"/>
            </w:pPr>
            <w:r w:rsidRPr="00F05A8A">
              <w:rPr>
                <w:sz w:val="18"/>
                <w:szCs w:val="18"/>
              </w:rPr>
              <w:t xml:space="preserve">Les données préliminaires pour 2020 indiquent que </w:t>
            </w:r>
            <w:r w:rsidRPr="00F05A8A">
              <w:rPr>
                <w:b/>
                <w:sz w:val="18"/>
                <w:szCs w:val="18"/>
              </w:rPr>
              <w:t xml:space="preserve">moins de 25% des pays </w:t>
            </w:r>
            <w:r w:rsidRPr="00F05A8A">
              <w:rPr>
                <w:sz w:val="18"/>
                <w:szCs w:val="18"/>
              </w:rPr>
              <w:t>sont dotés d'un plan national pour les télécommunications d'urgence ou d'un plan analogue en place</w:t>
            </w:r>
          </w:p>
          <w:p w14:paraId="0FE9B8E7" w14:textId="77777777" w:rsidR="00D80461" w:rsidRPr="00F05A8A" w:rsidRDefault="00D80461" w:rsidP="002F075E">
            <w:pPr>
              <w:spacing w:after="120"/>
              <w:rPr>
                <w:sz w:val="14"/>
                <w:szCs w:val="14"/>
              </w:rPr>
            </w:pPr>
            <w:r w:rsidRPr="00F05A8A">
              <w:rPr>
                <w:sz w:val="14"/>
                <w:szCs w:val="14"/>
              </w:rPr>
              <w:t>(sur la base de toutes les données pour la région Amériques recueillies et d'une partie des données pour les îles du Pacifique et les États arabes)</w:t>
            </w:r>
          </w:p>
        </w:tc>
        <w:tc>
          <w:tcPr>
            <w:tcW w:w="4951" w:type="dxa"/>
            <w:gridSpan w:val="2"/>
            <w:vAlign w:val="center"/>
          </w:tcPr>
          <w:p w14:paraId="14673E87" w14:textId="77777777" w:rsidR="00D80461" w:rsidRPr="00F05A8A" w:rsidRDefault="00D80461" w:rsidP="002F075E">
            <w:pPr>
              <w:spacing w:after="120"/>
              <w:jc w:val="center"/>
              <w:rPr>
                <w:b/>
                <w:bCs/>
                <w:sz w:val="20"/>
              </w:rPr>
            </w:pPr>
            <w:r w:rsidRPr="00F05A8A">
              <w:rPr>
                <w:b/>
                <w:bCs/>
                <w:szCs w:val="24"/>
                <w:lang w:eastAsia="fr-FR"/>
              </w:rPr>
              <mc:AlternateContent>
                <mc:Choice Requires="wps">
                  <w:drawing>
                    <wp:anchor distT="0" distB="0" distL="114300" distR="114300" simplePos="0" relativeHeight="251705344" behindDoc="0" locked="0" layoutInCell="1" allowOverlap="1" wp14:anchorId="147D50B3" wp14:editId="268D9A07">
                      <wp:simplePos x="0" y="0"/>
                      <wp:positionH relativeFrom="column">
                        <wp:posOffset>2221230</wp:posOffset>
                      </wp:positionH>
                      <wp:positionV relativeFrom="paragraph">
                        <wp:posOffset>1360170</wp:posOffset>
                      </wp:positionV>
                      <wp:extent cx="423545" cy="153035"/>
                      <wp:effectExtent l="0" t="0" r="0" b="0"/>
                      <wp:wrapNone/>
                      <wp:docPr id="1257977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53035"/>
                              </a:xfrm>
                              <a:prstGeom prst="rect">
                                <a:avLst/>
                              </a:prstGeom>
                              <a:solidFill>
                                <a:schemeClr val="bg1"/>
                              </a:solidFill>
                              <a:ln w="9525">
                                <a:noFill/>
                                <a:miter lim="800000"/>
                                <a:headEnd/>
                                <a:tailEnd/>
                              </a:ln>
                            </wps:spPr>
                            <wps:txbx>
                              <w:txbxContent>
                                <w:p w14:paraId="0FCDD194" w14:textId="77777777" w:rsidR="00756EAD" w:rsidRPr="009C1351" w:rsidRDefault="00756EAD" w:rsidP="00D80461">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D50B3" id="_x0000_s1168" type="#_x0000_t202" style="position:absolute;left:0;text-align:left;margin-left:174.9pt;margin-top:107.1pt;width:33.35pt;height:1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" fillcolor="white [3212]" stroked="f">
                      <v:textbox inset="0,0,0,0">
                        <w:txbxContent>
                          <w:p w14:paraId="0FCDD194" w14:textId="77777777" w:rsidR="00756EAD" w:rsidRPr="009C1351" w:rsidRDefault="00756EAD" w:rsidP="00D80461">
                            <w:pPr>
                              <w:spacing w:before="60"/>
                              <w:jc w:val="center"/>
                              <w:rPr>
                                <w:sz w:val="12"/>
                                <w:szCs w:val="12"/>
                              </w:rPr>
                            </w:pPr>
                            <w:r w:rsidRPr="00B05A9F">
                              <w:rPr>
                                <w:sz w:val="12"/>
                                <w:szCs w:val="12"/>
                              </w:rPr>
                              <w:t>Cible 2023</w:t>
                            </w:r>
                          </w:p>
                        </w:txbxContent>
                      </v:textbox>
                    </v:shape>
                  </w:pict>
                </mc:Fallback>
              </mc:AlternateContent>
            </w:r>
            <w:r w:rsidRPr="00F05A8A">
              <w:rPr>
                <w:b/>
                <w:bCs/>
                <w:szCs w:val="24"/>
                <w:lang w:eastAsia="fr-FR"/>
              </w:rPr>
              <mc:AlternateContent>
                <mc:Choice Requires="wps">
                  <w:drawing>
                    <wp:anchor distT="0" distB="0" distL="114300" distR="114300" simplePos="0" relativeHeight="251704320" behindDoc="0" locked="0" layoutInCell="1" allowOverlap="1" wp14:anchorId="215ABE76" wp14:editId="31496605">
                      <wp:simplePos x="0" y="0"/>
                      <wp:positionH relativeFrom="column">
                        <wp:posOffset>85725</wp:posOffset>
                      </wp:positionH>
                      <wp:positionV relativeFrom="paragraph">
                        <wp:posOffset>65405</wp:posOffset>
                      </wp:positionV>
                      <wp:extent cx="2691765" cy="401955"/>
                      <wp:effectExtent l="0" t="0" r="0" b="0"/>
                      <wp:wrapNone/>
                      <wp:docPr id="1257977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401955"/>
                              </a:xfrm>
                              <a:prstGeom prst="rect">
                                <a:avLst/>
                              </a:prstGeom>
                              <a:solidFill>
                                <a:schemeClr val="bg1"/>
                              </a:solidFill>
                              <a:ln w="9525">
                                <a:noFill/>
                                <a:miter lim="800000"/>
                                <a:headEnd/>
                                <a:tailEnd/>
                              </a:ln>
                            </wps:spPr>
                            <wps:txbx>
                              <w:txbxContent>
                                <w:p w14:paraId="703604DF" w14:textId="77777777" w:rsidR="00756EAD" w:rsidRPr="00EF1540" w:rsidRDefault="00756EAD" w:rsidP="00D80461">
                                  <w:pPr>
                                    <w:spacing w:before="0"/>
                                    <w:jc w:val="center"/>
                                    <w:rPr>
                                      <w:b/>
                                      <w:sz w:val="16"/>
                                      <w:szCs w:val="16"/>
                                    </w:rPr>
                                  </w:pPr>
                                  <w:r w:rsidRPr="00153C5F">
                                    <w:rPr>
                                      <w:b/>
                                      <w:bCs/>
                                      <w:sz w:val="16"/>
                                      <w:szCs w:val="16"/>
                                    </w:rPr>
                                    <w:t>Nombre de pays dotés de politiques générales/stratégies encouragea</w:t>
                                  </w:r>
                                  <w:r>
                                    <w:rPr>
                                      <w:b/>
                                      <w:bCs/>
                                      <w:sz w:val="16"/>
                                      <w:szCs w:val="16"/>
                                    </w:rPr>
                                    <w:t>nt l'innovation centrée sur les t</w:t>
                                  </w:r>
                                  <w:r w:rsidRPr="00153C5F">
                                    <w:rPr>
                                      <w:b/>
                                      <w:bCs/>
                                      <w:sz w:val="16"/>
                                      <w:szCs w:val="16"/>
                                    </w:rPr>
                                    <w:t>élécommunications/TIC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ABE76" id="_x0000_s1169" type="#_x0000_t202" style="position:absolute;left:0;text-align:left;margin-left:6.75pt;margin-top:5.15pt;width:211.95pt;height:3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" fillcolor="white [3212]" stroked="f">
                      <v:textbox inset="0,0,0,0">
                        <w:txbxContent>
                          <w:p w14:paraId="703604DF" w14:textId="77777777" w:rsidR="00756EAD" w:rsidRPr="00EF1540" w:rsidRDefault="00756EAD" w:rsidP="00D80461">
                            <w:pPr>
                              <w:spacing w:before="0"/>
                              <w:jc w:val="center"/>
                              <w:rPr>
                                <w:b/>
                                <w:sz w:val="16"/>
                                <w:szCs w:val="16"/>
                              </w:rPr>
                            </w:pPr>
                            <w:r w:rsidRPr="00153C5F">
                              <w:rPr>
                                <w:b/>
                                <w:bCs/>
                                <w:sz w:val="16"/>
                                <w:szCs w:val="16"/>
                              </w:rPr>
                              <w:t>Nombre de pays dotés de politiques générales/stratégies encouragea</w:t>
                            </w:r>
                            <w:r>
                              <w:rPr>
                                <w:b/>
                                <w:bCs/>
                                <w:sz w:val="16"/>
                                <w:szCs w:val="16"/>
                              </w:rPr>
                              <w:t>nt l'innovation centrée sur les t</w:t>
                            </w:r>
                            <w:r w:rsidRPr="00153C5F">
                              <w:rPr>
                                <w:b/>
                                <w:bCs/>
                                <w:sz w:val="16"/>
                                <w:szCs w:val="16"/>
                              </w:rPr>
                              <w:t>élécommunications/TIC</w:t>
                            </w:r>
                          </w:p>
                        </w:txbxContent>
                      </v:textbox>
                    </v:shape>
                  </w:pict>
                </mc:Fallback>
              </mc:AlternateContent>
            </w:r>
            <w:r w:rsidRPr="00F05A8A">
              <w:rPr>
                <w:lang w:eastAsia="fr-FR"/>
              </w:rPr>
              <w:drawing>
                <wp:inline distT="0" distB="0" distL="0" distR="0" wp14:anchorId="67DBADA6" wp14:editId="71A19F5B">
                  <wp:extent cx="2854891" cy="1646301"/>
                  <wp:effectExtent l="0" t="0" r="3175" b="0"/>
                  <wp:docPr id="1802487832" name="Picture 180248783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2" name="Picture 1802487832" descr="Chart, waterfall chart&#10;&#10;Description automatically generated"/>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873216" cy="1656868"/>
                          </a:xfrm>
                          <a:prstGeom prst="rect">
                            <a:avLst/>
                          </a:prstGeom>
                          <a:noFill/>
                        </pic:spPr>
                      </pic:pic>
                    </a:graphicData>
                  </a:graphic>
                </wp:inline>
              </w:drawing>
            </w:r>
          </w:p>
        </w:tc>
      </w:tr>
      <w:tr w:rsidR="00D80461" w:rsidRPr="00F05A8A" w14:paraId="50D74BC1" w14:textId="77777777" w:rsidTr="00142C01">
        <w:trPr>
          <w:jc w:val="center"/>
        </w:trPr>
        <w:tc>
          <w:tcPr>
            <w:tcW w:w="9629" w:type="dxa"/>
            <w:gridSpan w:val="3"/>
            <w:shd w:val="clear" w:color="auto" w:fill="FFFFFF" w:themeFill="background1"/>
            <w:vAlign w:val="center"/>
          </w:tcPr>
          <w:p w14:paraId="594F4357" w14:textId="77777777" w:rsidR="00D80461" w:rsidRPr="00F05A8A" w:rsidRDefault="00D80461" w:rsidP="002F075E">
            <w:pPr>
              <w:keepNext/>
              <w:keepLines/>
              <w:spacing w:after="120"/>
              <w:jc w:val="center"/>
              <w:rPr>
                <w:rFonts w:eastAsia="Calibri"/>
              </w:rPr>
            </w:pPr>
            <w:r w:rsidRPr="00F05A8A">
              <w:rPr>
                <w:b/>
                <w:bCs/>
              </w:rPr>
              <w:lastRenderedPageBreak/>
              <w:t>Cible 5.1</w:t>
            </w:r>
          </w:p>
        </w:tc>
      </w:tr>
      <w:tr w:rsidR="00D80461" w:rsidRPr="00F05A8A" w14:paraId="0B8F2721" w14:textId="77777777" w:rsidTr="00142C01">
        <w:trPr>
          <w:jc w:val="center"/>
        </w:trPr>
        <w:tc>
          <w:tcPr>
            <w:tcW w:w="9629" w:type="dxa"/>
            <w:gridSpan w:val="3"/>
            <w:vAlign w:val="center"/>
          </w:tcPr>
          <w:p w14:paraId="50D4F499" w14:textId="77777777" w:rsidR="00D80461" w:rsidRPr="00F05A8A" w:rsidRDefault="00D80461" w:rsidP="002F075E">
            <w:pPr>
              <w:keepNext/>
              <w:keepLines/>
              <w:spacing w:after="120"/>
              <w:jc w:val="center"/>
              <w:rPr>
                <w:rFonts w:asciiTheme="minorHAnsi" w:hAnsiTheme="minorHAnsi" w:cstheme="minorHAnsi"/>
                <w:b/>
                <w:bCs/>
                <w:sz w:val="20"/>
              </w:rPr>
            </w:pPr>
            <w:r w:rsidRPr="00F05A8A">
              <w:rPr>
                <w:rFonts w:ascii="Times New Roman" w:hAnsi="Times New Roman"/>
                <w:szCs w:val="24"/>
                <w:lang w:eastAsia="fr-FR"/>
              </w:rPr>
              <mc:AlternateContent>
                <mc:Choice Requires="wps">
                  <w:drawing>
                    <wp:anchor distT="0" distB="0" distL="114300" distR="114300" simplePos="0" relativeHeight="251689984" behindDoc="0" locked="0" layoutInCell="1" allowOverlap="1" wp14:anchorId="606B4F08" wp14:editId="0FC3D22E">
                      <wp:simplePos x="0" y="0"/>
                      <wp:positionH relativeFrom="column">
                        <wp:posOffset>144145</wp:posOffset>
                      </wp:positionH>
                      <wp:positionV relativeFrom="paragraph">
                        <wp:posOffset>483870</wp:posOffset>
                      </wp:positionV>
                      <wp:extent cx="1094740" cy="1491615"/>
                      <wp:effectExtent l="0" t="0" r="0" b="0"/>
                      <wp:wrapNone/>
                      <wp:docPr id="1879157437" name="Text Box 1879157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91615"/>
                              </a:xfrm>
                              <a:prstGeom prst="rect">
                                <a:avLst/>
                              </a:prstGeom>
                              <a:solidFill>
                                <a:schemeClr val="bg1"/>
                              </a:solidFill>
                              <a:ln w="9525">
                                <a:noFill/>
                                <a:miter lim="800000"/>
                                <a:headEnd/>
                                <a:tailEnd/>
                              </a:ln>
                            </wps:spPr>
                            <wps:txbx>
                              <w:txbxContent>
                                <w:p w14:paraId="55C0F7B2" w14:textId="77777777" w:rsidR="00756EAD" w:rsidRDefault="00756EAD" w:rsidP="00D80461">
                                  <w:pPr>
                                    <w:spacing w:beforeLines="20" w:before="48"/>
                                    <w:jc w:val="right"/>
                                    <w:rPr>
                                      <w:sz w:val="16"/>
                                      <w:szCs w:val="16"/>
                                    </w:rPr>
                                  </w:pPr>
                                  <w:r>
                                    <w:rPr>
                                      <w:sz w:val="16"/>
                                      <w:szCs w:val="16"/>
                                    </w:rPr>
                                    <w:t>Tout à fait d'accord</w:t>
                                  </w:r>
                                </w:p>
                                <w:p w14:paraId="66EB4852" w14:textId="77777777" w:rsidR="00756EAD" w:rsidRDefault="00756EAD" w:rsidP="00D80461">
                                  <w:pPr>
                                    <w:spacing w:before="200"/>
                                    <w:jc w:val="right"/>
                                    <w:rPr>
                                      <w:sz w:val="16"/>
                                      <w:szCs w:val="16"/>
                                    </w:rPr>
                                  </w:pPr>
                                  <w:r>
                                    <w:rPr>
                                      <w:sz w:val="16"/>
                                      <w:szCs w:val="16"/>
                                    </w:rPr>
                                    <w:t>D'accord</w:t>
                                  </w:r>
                                </w:p>
                                <w:p w14:paraId="6B4257C4" w14:textId="77777777" w:rsidR="00756EAD" w:rsidRDefault="00756EAD" w:rsidP="00D80461">
                                  <w:pPr>
                                    <w:spacing w:before="200"/>
                                    <w:jc w:val="right"/>
                                    <w:rPr>
                                      <w:sz w:val="16"/>
                                      <w:szCs w:val="16"/>
                                    </w:rPr>
                                  </w:pPr>
                                  <w:r>
                                    <w:rPr>
                                      <w:sz w:val="16"/>
                                      <w:szCs w:val="16"/>
                                    </w:rPr>
                                    <w:t>Sans opinion</w:t>
                                  </w:r>
                                </w:p>
                                <w:p w14:paraId="6B2DDC35" w14:textId="77777777" w:rsidR="00756EAD" w:rsidRDefault="00756EAD" w:rsidP="00D80461">
                                  <w:pPr>
                                    <w:spacing w:beforeLines="100" w:before="240"/>
                                    <w:jc w:val="right"/>
                                    <w:rPr>
                                      <w:sz w:val="16"/>
                                      <w:szCs w:val="16"/>
                                    </w:rPr>
                                  </w:pPr>
                                  <w:r>
                                    <w:rPr>
                                      <w:sz w:val="16"/>
                                      <w:szCs w:val="16"/>
                                    </w:rPr>
                                    <w:t>Pas d'accord</w:t>
                                  </w:r>
                                </w:p>
                                <w:p w14:paraId="5965CD92" w14:textId="77777777" w:rsidR="00756EAD" w:rsidRDefault="00756EAD" w:rsidP="00D80461">
                                  <w:pPr>
                                    <w:spacing w:before="200"/>
                                    <w:jc w:val="right"/>
                                    <w:rPr>
                                      <w:sz w:val="16"/>
                                      <w:szCs w:val="16"/>
                                    </w:rPr>
                                  </w:pPr>
                                  <w:r>
                                    <w:rPr>
                                      <w:sz w:val="16"/>
                                      <w:szCs w:val="16"/>
                                    </w:rPr>
                                    <w:t>Pas du tout d'accord</w:t>
                                  </w:r>
                                </w:p>
                                <w:p w14:paraId="318C3EAB" w14:textId="77777777" w:rsidR="00756EAD" w:rsidRDefault="00756EAD" w:rsidP="00D80461">
                                  <w:pPr>
                                    <w:spacing w:before="160"/>
                                    <w:jc w:val="right"/>
                                    <w:rPr>
                                      <w:sz w:val="16"/>
                                      <w:szCs w:val="16"/>
                                    </w:rPr>
                                  </w:pPr>
                                  <w:r>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B4F08" id="Text Box 1879157437" o:spid="_x0000_s1170" type="#_x0000_t202" style="position:absolute;left:0;text-align:left;margin-left:11.35pt;margin-top:38.1pt;width:86.2pt;height:1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" fillcolor="white [3212]" stroked="f">
                      <v:textbox inset="0,0,0,0">
                        <w:txbxContent>
                          <w:p w14:paraId="55C0F7B2" w14:textId="77777777" w:rsidR="00756EAD" w:rsidRDefault="00756EAD" w:rsidP="00D80461">
                            <w:pPr>
                              <w:spacing w:beforeLines="20" w:before="48"/>
                              <w:jc w:val="right"/>
                              <w:rPr>
                                <w:sz w:val="16"/>
                                <w:szCs w:val="16"/>
                              </w:rPr>
                            </w:pPr>
                            <w:r>
                              <w:rPr>
                                <w:sz w:val="16"/>
                                <w:szCs w:val="16"/>
                              </w:rPr>
                              <w:t>Tout à fait d'accord</w:t>
                            </w:r>
                          </w:p>
                          <w:p w14:paraId="66EB4852" w14:textId="77777777" w:rsidR="00756EAD" w:rsidRDefault="00756EAD" w:rsidP="00D80461">
                            <w:pPr>
                              <w:spacing w:before="200"/>
                              <w:jc w:val="right"/>
                              <w:rPr>
                                <w:sz w:val="16"/>
                                <w:szCs w:val="16"/>
                              </w:rPr>
                            </w:pPr>
                            <w:r>
                              <w:rPr>
                                <w:sz w:val="16"/>
                                <w:szCs w:val="16"/>
                              </w:rPr>
                              <w:t>D'accord</w:t>
                            </w:r>
                          </w:p>
                          <w:p w14:paraId="6B4257C4" w14:textId="77777777" w:rsidR="00756EAD" w:rsidRDefault="00756EAD" w:rsidP="00D80461">
                            <w:pPr>
                              <w:spacing w:before="200"/>
                              <w:jc w:val="right"/>
                              <w:rPr>
                                <w:sz w:val="16"/>
                                <w:szCs w:val="16"/>
                              </w:rPr>
                            </w:pPr>
                            <w:r>
                              <w:rPr>
                                <w:sz w:val="16"/>
                                <w:szCs w:val="16"/>
                              </w:rPr>
                              <w:t>Sans opinion</w:t>
                            </w:r>
                          </w:p>
                          <w:p w14:paraId="6B2DDC35" w14:textId="77777777" w:rsidR="00756EAD" w:rsidRDefault="00756EAD" w:rsidP="00D80461">
                            <w:pPr>
                              <w:spacing w:beforeLines="100" w:before="240"/>
                              <w:jc w:val="right"/>
                              <w:rPr>
                                <w:sz w:val="16"/>
                                <w:szCs w:val="16"/>
                              </w:rPr>
                            </w:pPr>
                            <w:r>
                              <w:rPr>
                                <w:sz w:val="16"/>
                                <w:szCs w:val="16"/>
                              </w:rPr>
                              <w:t>Pas d'accord</w:t>
                            </w:r>
                          </w:p>
                          <w:p w14:paraId="5965CD92" w14:textId="77777777" w:rsidR="00756EAD" w:rsidRDefault="00756EAD" w:rsidP="00D80461">
                            <w:pPr>
                              <w:spacing w:before="200"/>
                              <w:jc w:val="right"/>
                              <w:rPr>
                                <w:sz w:val="16"/>
                                <w:szCs w:val="16"/>
                              </w:rPr>
                            </w:pPr>
                            <w:r>
                              <w:rPr>
                                <w:sz w:val="16"/>
                                <w:szCs w:val="16"/>
                              </w:rPr>
                              <w:t>Pas du tout d'accord</w:t>
                            </w:r>
                          </w:p>
                          <w:p w14:paraId="318C3EAB" w14:textId="77777777" w:rsidR="00756EAD" w:rsidRDefault="00756EAD" w:rsidP="00D80461">
                            <w:pPr>
                              <w:spacing w:before="160"/>
                              <w:jc w:val="right"/>
                              <w:rPr>
                                <w:sz w:val="16"/>
                                <w:szCs w:val="16"/>
                              </w:rPr>
                            </w:pPr>
                            <w:r>
                              <w:rPr>
                                <w:sz w:val="16"/>
                                <w:szCs w:val="16"/>
                              </w:rPr>
                              <w:t>Aucune réponse</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691008" behindDoc="0" locked="0" layoutInCell="1" allowOverlap="1" wp14:anchorId="6662F43E" wp14:editId="7D40DDF0">
                      <wp:simplePos x="0" y="0"/>
                      <wp:positionH relativeFrom="column">
                        <wp:posOffset>2894965</wp:posOffset>
                      </wp:positionH>
                      <wp:positionV relativeFrom="paragraph">
                        <wp:posOffset>572135</wp:posOffset>
                      </wp:positionV>
                      <wp:extent cx="838835" cy="1403350"/>
                      <wp:effectExtent l="0" t="0" r="0" b="6350"/>
                      <wp:wrapNone/>
                      <wp:docPr id="1879157438" name="Text Box 1879157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403350"/>
                              </a:xfrm>
                              <a:prstGeom prst="rect">
                                <a:avLst/>
                              </a:prstGeom>
                              <a:solidFill>
                                <a:schemeClr val="bg1"/>
                              </a:solidFill>
                              <a:ln w="9525">
                                <a:noFill/>
                                <a:miter lim="800000"/>
                                <a:headEnd/>
                                <a:tailEnd/>
                              </a:ln>
                            </wps:spPr>
                            <wps:txbx>
                              <w:txbxContent>
                                <w:p w14:paraId="60B0F5CA" w14:textId="77777777" w:rsidR="00756EAD" w:rsidRDefault="00756EAD" w:rsidP="00D80461">
                                  <w:pPr>
                                    <w:spacing w:before="0"/>
                                    <w:jc w:val="right"/>
                                    <w:rPr>
                                      <w:sz w:val="16"/>
                                      <w:szCs w:val="16"/>
                                    </w:rPr>
                                  </w:pPr>
                                  <w:r>
                                    <w:rPr>
                                      <w:sz w:val="16"/>
                                      <w:szCs w:val="16"/>
                                    </w:rPr>
                                    <w:t>Tout à fait d'accord</w:t>
                                  </w:r>
                                </w:p>
                                <w:p w14:paraId="7FD22444" w14:textId="77777777" w:rsidR="00756EAD" w:rsidRDefault="00756EAD" w:rsidP="00D80461">
                                  <w:pPr>
                                    <w:spacing w:before="240"/>
                                    <w:jc w:val="right"/>
                                    <w:rPr>
                                      <w:sz w:val="16"/>
                                      <w:szCs w:val="16"/>
                                    </w:rPr>
                                  </w:pPr>
                                  <w:r>
                                    <w:rPr>
                                      <w:sz w:val="16"/>
                                      <w:szCs w:val="16"/>
                                    </w:rPr>
                                    <w:t>D'accord</w:t>
                                  </w:r>
                                </w:p>
                                <w:p w14:paraId="3BC63565" w14:textId="77777777" w:rsidR="00756EAD" w:rsidRDefault="00756EAD" w:rsidP="00D80461">
                                  <w:pPr>
                                    <w:spacing w:before="240"/>
                                    <w:jc w:val="right"/>
                                    <w:rPr>
                                      <w:sz w:val="16"/>
                                      <w:szCs w:val="16"/>
                                    </w:rPr>
                                  </w:pPr>
                                  <w:r>
                                    <w:rPr>
                                      <w:sz w:val="16"/>
                                      <w:szCs w:val="16"/>
                                    </w:rPr>
                                    <w:t>Sans opinion</w:t>
                                  </w:r>
                                </w:p>
                                <w:p w14:paraId="3DFB44B9" w14:textId="77777777" w:rsidR="00756EAD" w:rsidRDefault="00756EAD" w:rsidP="00D80461">
                                  <w:pPr>
                                    <w:spacing w:before="280"/>
                                    <w:jc w:val="right"/>
                                    <w:rPr>
                                      <w:sz w:val="16"/>
                                      <w:szCs w:val="16"/>
                                    </w:rPr>
                                  </w:pPr>
                                  <w:r>
                                    <w:rPr>
                                      <w:sz w:val="16"/>
                                      <w:szCs w:val="16"/>
                                    </w:rPr>
                                    <w:t>Pas d'accord</w:t>
                                  </w:r>
                                </w:p>
                                <w:p w14:paraId="6B884FA9" w14:textId="77777777" w:rsidR="00756EAD" w:rsidRDefault="00756EAD" w:rsidP="00D80461">
                                  <w:pPr>
                                    <w:spacing w:before="280"/>
                                    <w:jc w:val="right"/>
                                    <w:rPr>
                                      <w:sz w:val="16"/>
                                      <w:szCs w:val="16"/>
                                    </w:rPr>
                                  </w:pPr>
                                  <w:r>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2F43E" id="Text Box 1879157438" o:spid="_x0000_s1171" type="#_x0000_t202" style="position:absolute;left:0;text-align:left;margin-left:227.95pt;margin-top:45.05pt;width:66.05pt;height:1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" fillcolor="white [3212]" stroked="f">
                      <v:textbox inset="0,0,0,0">
                        <w:txbxContent>
                          <w:p w14:paraId="60B0F5CA" w14:textId="77777777" w:rsidR="00756EAD" w:rsidRDefault="00756EAD" w:rsidP="00D80461">
                            <w:pPr>
                              <w:spacing w:before="0"/>
                              <w:jc w:val="right"/>
                              <w:rPr>
                                <w:sz w:val="16"/>
                                <w:szCs w:val="16"/>
                              </w:rPr>
                            </w:pPr>
                            <w:r>
                              <w:rPr>
                                <w:sz w:val="16"/>
                                <w:szCs w:val="16"/>
                              </w:rPr>
                              <w:t>Tout à fait d'accord</w:t>
                            </w:r>
                          </w:p>
                          <w:p w14:paraId="7FD22444" w14:textId="77777777" w:rsidR="00756EAD" w:rsidRDefault="00756EAD" w:rsidP="00D80461">
                            <w:pPr>
                              <w:spacing w:before="240"/>
                              <w:jc w:val="right"/>
                              <w:rPr>
                                <w:sz w:val="16"/>
                                <w:szCs w:val="16"/>
                              </w:rPr>
                            </w:pPr>
                            <w:r>
                              <w:rPr>
                                <w:sz w:val="16"/>
                                <w:szCs w:val="16"/>
                              </w:rPr>
                              <w:t>D'accord</w:t>
                            </w:r>
                          </w:p>
                          <w:p w14:paraId="3BC63565" w14:textId="77777777" w:rsidR="00756EAD" w:rsidRDefault="00756EAD" w:rsidP="00D80461">
                            <w:pPr>
                              <w:spacing w:before="240"/>
                              <w:jc w:val="right"/>
                              <w:rPr>
                                <w:sz w:val="16"/>
                                <w:szCs w:val="16"/>
                              </w:rPr>
                            </w:pPr>
                            <w:r>
                              <w:rPr>
                                <w:sz w:val="16"/>
                                <w:szCs w:val="16"/>
                              </w:rPr>
                              <w:t>Sans opinion</w:t>
                            </w:r>
                          </w:p>
                          <w:p w14:paraId="3DFB44B9" w14:textId="77777777" w:rsidR="00756EAD" w:rsidRDefault="00756EAD" w:rsidP="00D80461">
                            <w:pPr>
                              <w:spacing w:before="280"/>
                              <w:jc w:val="right"/>
                              <w:rPr>
                                <w:sz w:val="16"/>
                                <w:szCs w:val="16"/>
                              </w:rPr>
                            </w:pPr>
                            <w:r>
                              <w:rPr>
                                <w:sz w:val="16"/>
                                <w:szCs w:val="16"/>
                              </w:rPr>
                              <w:t>Pas d'accord</w:t>
                            </w:r>
                          </w:p>
                          <w:p w14:paraId="6B884FA9" w14:textId="77777777" w:rsidR="00756EAD" w:rsidRDefault="00756EAD" w:rsidP="00D80461">
                            <w:pPr>
                              <w:spacing w:before="280"/>
                              <w:jc w:val="right"/>
                              <w:rPr>
                                <w:sz w:val="16"/>
                                <w:szCs w:val="16"/>
                              </w:rPr>
                            </w:pPr>
                            <w:r>
                              <w:rPr>
                                <w:sz w:val="16"/>
                                <w:szCs w:val="16"/>
                              </w:rPr>
                              <w:t>Aucune réponse</w:t>
                            </w:r>
                          </w:p>
                        </w:txbxContent>
                      </v:textbox>
                    </v:shape>
                  </w:pict>
                </mc:Fallback>
              </mc:AlternateContent>
            </w:r>
            <w:r w:rsidRPr="00F05A8A">
              <w:rPr>
                <w:b/>
                <w:bCs/>
                <w:szCs w:val="24"/>
                <w:lang w:eastAsia="fr-FR"/>
              </w:rPr>
              <mc:AlternateContent>
                <mc:Choice Requires="wps">
                  <w:drawing>
                    <wp:anchor distT="0" distB="0" distL="114300" distR="114300" simplePos="0" relativeHeight="251688960" behindDoc="0" locked="0" layoutInCell="1" allowOverlap="1" wp14:anchorId="3C8F4436" wp14:editId="5F38A78D">
                      <wp:simplePos x="0" y="0"/>
                      <wp:positionH relativeFrom="column">
                        <wp:posOffset>3063240</wp:posOffset>
                      </wp:positionH>
                      <wp:positionV relativeFrom="paragraph">
                        <wp:posOffset>81915</wp:posOffset>
                      </wp:positionV>
                      <wp:extent cx="2830830" cy="321310"/>
                      <wp:effectExtent l="0" t="0" r="7620" b="2540"/>
                      <wp:wrapNone/>
                      <wp:docPr id="1879157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21310"/>
                              </a:xfrm>
                              <a:prstGeom prst="rect">
                                <a:avLst/>
                              </a:prstGeom>
                              <a:solidFill>
                                <a:schemeClr val="bg1"/>
                              </a:solidFill>
                              <a:ln w="9525">
                                <a:noFill/>
                                <a:miter lim="800000"/>
                                <a:headEnd/>
                                <a:tailEnd/>
                              </a:ln>
                            </wps:spPr>
                            <wps:txbx>
                              <w:txbxContent>
                                <w:p w14:paraId="27DDC2CC" w14:textId="77777777" w:rsidR="00756EAD" w:rsidRPr="00EF1540" w:rsidRDefault="00756EAD" w:rsidP="00D80461">
                                  <w:pPr>
                                    <w:spacing w:before="0"/>
                                    <w:jc w:val="center"/>
                                    <w:rPr>
                                      <w:b/>
                                      <w:sz w:val="16"/>
                                      <w:szCs w:val="16"/>
                                    </w:rPr>
                                  </w:pPr>
                                  <w:r>
                                    <w:rPr>
                                      <w:b/>
                                      <w:bCs/>
                                      <w:sz w:val="16"/>
                                      <w:szCs w:val="16"/>
                                    </w:rPr>
                                    <w:t xml:space="preserve">Votre organisation tire profit du renforcement des synergies </w:t>
                                  </w:r>
                                  <w:r>
                                    <w:rPr>
                                      <w:b/>
                                      <w:bCs/>
                                      <w:sz w:val="16"/>
                                      <w:szCs w:val="16"/>
                                    </w:rPr>
                                    <w:br/>
                                    <w:t>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F4436" id="_x0000_s1172" type="#_x0000_t202" style="position:absolute;left:0;text-align:left;margin-left:241.2pt;margin-top:6.45pt;width:222.9pt;height:2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" fillcolor="white [3212]" stroked="f">
                      <v:textbox inset="0,0,0,0">
                        <w:txbxContent>
                          <w:p w14:paraId="27DDC2CC" w14:textId="77777777" w:rsidR="00756EAD" w:rsidRPr="00EF1540" w:rsidRDefault="00756EAD" w:rsidP="00D80461">
                            <w:pPr>
                              <w:spacing w:before="0"/>
                              <w:jc w:val="center"/>
                              <w:rPr>
                                <w:b/>
                                <w:sz w:val="16"/>
                                <w:szCs w:val="16"/>
                              </w:rPr>
                            </w:pPr>
                            <w:r>
                              <w:rPr>
                                <w:b/>
                                <w:bCs/>
                                <w:sz w:val="16"/>
                                <w:szCs w:val="16"/>
                              </w:rPr>
                              <w:t xml:space="preserve">Votre organisation tire profit du renforcement des synergies </w:t>
                            </w:r>
                            <w:r>
                              <w:rPr>
                                <w:b/>
                                <w:bCs/>
                                <w:sz w:val="16"/>
                                <w:szCs w:val="16"/>
                              </w:rPr>
                              <w:br/>
                              <w:t>en collaborant avec d'autres organisations et entités</w:t>
                            </w:r>
                          </w:p>
                        </w:txbxContent>
                      </v:textbox>
                    </v:shape>
                  </w:pict>
                </mc:Fallback>
              </mc:AlternateContent>
            </w:r>
            <w:r w:rsidRPr="00F05A8A">
              <w:rPr>
                <w:b/>
                <w:bCs/>
                <w:szCs w:val="24"/>
                <w:lang w:eastAsia="fr-FR"/>
              </w:rPr>
              <mc:AlternateContent>
                <mc:Choice Requires="wps">
                  <w:drawing>
                    <wp:anchor distT="0" distB="0" distL="114300" distR="114300" simplePos="0" relativeHeight="251687936" behindDoc="0" locked="0" layoutInCell="1" allowOverlap="1" wp14:anchorId="1B80C78F" wp14:editId="36746BAD">
                      <wp:simplePos x="0" y="0"/>
                      <wp:positionH relativeFrom="column">
                        <wp:posOffset>290195</wp:posOffset>
                      </wp:positionH>
                      <wp:positionV relativeFrom="paragraph">
                        <wp:posOffset>81915</wp:posOffset>
                      </wp:positionV>
                      <wp:extent cx="2691765" cy="321310"/>
                      <wp:effectExtent l="0" t="0" r="0" b="2540"/>
                      <wp:wrapNone/>
                      <wp:docPr id="1879157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1310"/>
                              </a:xfrm>
                              <a:prstGeom prst="rect">
                                <a:avLst/>
                              </a:prstGeom>
                              <a:solidFill>
                                <a:schemeClr val="bg1"/>
                              </a:solidFill>
                              <a:ln w="9525">
                                <a:noFill/>
                                <a:miter lim="800000"/>
                                <a:headEnd/>
                                <a:tailEnd/>
                              </a:ln>
                            </wps:spPr>
                            <wps:txbx>
                              <w:txbxContent>
                                <w:p w14:paraId="2F334CD2" w14:textId="77777777" w:rsidR="00756EAD" w:rsidRPr="00EF1540" w:rsidRDefault="00756EAD" w:rsidP="00D80461">
                                  <w:pPr>
                                    <w:spacing w:before="0"/>
                                    <w:jc w:val="center"/>
                                    <w:rPr>
                                      <w:b/>
                                      <w:sz w:val="16"/>
                                      <w:szCs w:val="16"/>
                                    </w:rPr>
                                  </w:pPr>
                                  <w:r>
                                    <w:rPr>
                                      <w:b/>
                                      <w:bCs/>
                                      <w:sz w:val="16"/>
                                      <w:szCs w:val="16"/>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0C78F" id="_x0000_s1173" type="#_x0000_t202" style="position:absolute;left:0;text-align:left;margin-left:22.85pt;margin-top:6.45pt;width:211.9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" fillcolor="white [3212]" stroked="f">
                      <v:textbox inset="0,0,0,0">
                        <w:txbxContent>
                          <w:p w14:paraId="2F334CD2" w14:textId="77777777" w:rsidR="00756EAD" w:rsidRPr="00EF1540" w:rsidRDefault="00756EAD" w:rsidP="00D80461">
                            <w:pPr>
                              <w:spacing w:before="0"/>
                              <w:jc w:val="center"/>
                              <w:rPr>
                                <w:b/>
                                <w:sz w:val="16"/>
                                <w:szCs w:val="16"/>
                              </w:rPr>
                            </w:pPr>
                            <w:r>
                              <w:rPr>
                                <w:b/>
                                <w:bCs/>
                                <w:sz w:val="16"/>
                                <w:szCs w:val="16"/>
                              </w:rPr>
                              <w:t>Votre organisation collabore davantage avec d'autres parties prenantes du secteur des TIC que les années précédentes</w:t>
                            </w:r>
                          </w:p>
                        </w:txbxContent>
                      </v:textbox>
                    </v:shape>
                  </w:pict>
                </mc:Fallback>
              </mc:AlternateContent>
            </w:r>
            <w:r w:rsidRPr="00F05A8A">
              <w:rPr>
                <w:lang w:eastAsia="fr-FR"/>
              </w:rPr>
              <w:drawing>
                <wp:inline distT="0" distB="0" distL="0" distR="0" wp14:anchorId="2B53A490" wp14:editId="42DD048D">
                  <wp:extent cx="5386388" cy="2298137"/>
                  <wp:effectExtent l="0" t="0" r="5080" b="6985"/>
                  <wp:docPr id="1837948288" name="Picture 183794828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88" name="Picture 1837948288" descr="Chart, bar chart&#10;&#10;Description automatically generated"/>
                          <pic:cNvPicPr/>
                        </pic:nvPicPr>
                        <pic:blipFill>
                          <a:blip r:embed="rId404"/>
                          <a:stretch>
                            <a:fillRect/>
                          </a:stretch>
                        </pic:blipFill>
                        <pic:spPr>
                          <a:xfrm>
                            <a:off x="0" y="0"/>
                            <a:ext cx="5388989" cy="2299247"/>
                          </a:xfrm>
                          <a:prstGeom prst="rect">
                            <a:avLst/>
                          </a:prstGeom>
                        </pic:spPr>
                      </pic:pic>
                    </a:graphicData>
                  </a:graphic>
                </wp:inline>
              </w:drawing>
            </w:r>
          </w:p>
          <w:p w14:paraId="6E81FB36" w14:textId="2A439AD4" w:rsidR="00E72AB9" w:rsidRPr="00F05A8A" w:rsidRDefault="009D7952" w:rsidP="002F075E">
            <w:pPr>
              <w:jc w:val="center"/>
            </w:pPr>
            <w:r w:rsidRPr="00F05A8A">
              <w:t>Source: Enquête menée auprès des membres de l'UIT en 2021</w:t>
            </w:r>
          </w:p>
        </w:tc>
      </w:tr>
    </w:tbl>
    <w:p w14:paraId="0DDCCEAB" w14:textId="77777777" w:rsidR="00D80461" w:rsidRPr="00F05A8A" w:rsidRDefault="00D80461" w:rsidP="002F075E">
      <w:pPr>
        <w:pStyle w:val="Heading2"/>
      </w:pPr>
      <w:bookmarkStart w:id="539" w:name="lt_pId1099"/>
      <w:bookmarkStart w:id="540" w:name="_Toc37860478"/>
      <w:bookmarkStart w:id="541" w:name="_Toc37861238"/>
      <w:bookmarkStart w:id="542" w:name="_Toc37943362"/>
      <w:bookmarkStart w:id="543" w:name="_Toc38828372"/>
      <w:bookmarkStart w:id="544" w:name="_Toc41032133"/>
      <w:bookmarkStart w:id="545" w:name="_Toc72846695"/>
      <w:bookmarkStart w:id="546" w:name="_Toc98513619"/>
      <w:bookmarkStart w:id="547" w:name="_Toc107466584"/>
      <w:r w:rsidRPr="00F05A8A">
        <w:t>3.3</w:t>
      </w:r>
      <w:r w:rsidRPr="00F05A8A">
        <w:tab/>
        <w:t>Résultats des travaux de l'Union – Objectifs des Secteurs et objectifs intersectoriels de l'UIT</w:t>
      </w:r>
      <w:bookmarkEnd w:id="539"/>
      <w:bookmarkEnd w:id="540"/>
      <w:bookmarkEnd w:id="541"/>
      <w:bookmarkEnd w:id="542"/>
      <w:bookmarkEnd w:id="543"/>
      <w:bookmarkEnd w:id="544"/>
      <w:bookmarkEnd w:id="545"/>
      <w:bookmarkEnd w:id="546"/>
      <w:bookmarkEnd w:id="547"/>
    </w:p>
    <w:p w14:paraId="6AF13A01" w14:textId="77777777" w:rsidR="00D80461" w:rsidRPr="00F05A8A" w:rsidRDefault="00D80461" w:rsidP="002F075E">
      <w:bookmarkStart w:id="548" w:name="lt_pId1100"/>
      <w:r w:rsidRPr="00F05A8A">
        <w:t>Voir l'Annexe 2.</w:t>
      </w:r>
      <w:bookmarkEnd w:id="548"/>
    </w:p>
    <w:p w14:paraId="434B27EE" w14:textId="77777777" w:rsidR="00D80461" w:rsidRPr="00F05A8A" w:rsidRDefault="00D80461" w:rsidP="002F075E">
      <w:pPr>
        <w:pStyle w:val="Heading2"/>
      </w:pPr>
      <w:bookmarkStart w:id="549" w:name="lt_pId1101"/>
      <w:bookmarkStart w:id="550" w:name="_Toc38828373"/>
      <w:bookmarkStart w:id="551" w:name="_Toc41032134"/>
      <w:bookmarkStart w:id="552" w:name="_Toc72846696"/>
      <w:bookmarkStart w:id="553" w:name="_Toc98513620"/>
      <w:bookmarkStart w:id="554" w:name="_Toc107466585"/>
      <w:r w:rsidRPr="00F05A8A">
        <w:t>3.4</w:t>
      </w:r>
      <w:r w:rsidRPr="00F05A8A">
        <w:tab/>
      </w:r>
      <w:bookmarkEnd w:id="549"/>
      <w:bookmarkEnd w:id="550"/>
      <w:r w:rsidRPr="00F05A8A">
        <w:t>Résultats des catalyseurs</w:t>
      </w:r>
      <w:bookmarkEnd w:id="551"/>
      <w:bookmarkEnd w:id="552"/>
      <w:bookmarkEnd w:id="553"/>
      <w:bookmarkEnd w:id="554"/>
    </w:p>
    <w:p w14:paraId="3547C122" w14:textId="77777777" w:rsidR="00D80461" w:rsidRPr="00F05A8A" w:rsidRDefault="00D80461" w:rsidP="002F075E">
      <w:bookmarkStart w:id="555" w:name="_Toc37860480"/>
      <w:bookmarkStart w:id="556" w:name="_Toc37861240"/>
      <w:bookmarkStart w:id="557" w:name="_Toc37943373"/>
      <w:bookmarkStart w:id="558" w:name="_Toc38828374"/>
      <w:r w:rsidRPr="00F05A8A">
        <w:t>Voir l'Annexe 2.</w:t>
      </w:r>
    </w:p>
    <w:p w14:paraId="1CC90FDE" w14:textId="77777777" w:rsidR="00D80461" w:rsidRPr="00F05A8A" w:rsidRDefault="00D80461" w:rsidP="002F075E">
      <w:pPr>
        <w:pStyle w:val="Heading2"/>
      </w:pPr>
      <w:bookmarkStart w:id="559" w:name="_Toc41032135"/>
      <w:bookmarkStart w:id="560" w:name="_Toc72846697"/>
      <w:bookmarkStart w:id="561" w:name="_Toc98513621"/>
      <w:bookmarkStart w:id="562" w:name="_Toc107466586"/>
      <w:r w:rsidRPr="00F05A8A">
        <w:t>3.5</w:t>
      </w:r>
      <w:r w:rsidRPr="00F05A8A">
        <w:tab/>
      </w:r>
      <w:bookmarkStart w:id="563" w:name="lt_pId1104"/>
      <w:r w:rsidRPr="00F05A8A">
        <w:t xml:space="preserve">Priorités pour </w:t>
      </w:r>
      <w:bookmarkEnd w:id="555"/>
      <w:bookmarkEnd w:id="556"/>
      <w:bookmarkEnd w:id="557"/>
      <w:bookmarkEnd w:id="558"/>
      <w:bookmarkEnd w:id="559"/>
      <w:bookmarkEnd w:id="563"/>
      <w:r w:rsidRPr="00F05A8A">
        <w:t>2022</w:t>
      </w:r>
      <w:bookmarkEnd w:id="560"/>
      <w:r w:rsidRPr="00F05A8A">
        <w:t>-2023</w:t>
      </w:r>
      <w:bookmarkEnd w:id="561"/>
      <w:bookmarkEnd w:id="562"/>
    </w:p>
    <w:p w14:paraId="68727B4E" w14:textId="70D0F7F1" w:rsidR="00D80461" w:rsidRPr="00F05A8A" w:rsidRDefault="00D80461" w:rsidP="002F075E">
      <w:pPr>
        <w:pStyle w:val="enumlev1"/>
        <w:spacing w:before="120"/>
      </w:pPr>
      <w:bookmarkStart w:id="564" w:name="lt_pId1105"/>
      <w:r w:rsidRPr="00F05A8A">
        <w:t>•</w:t>
      </w:r>
      <w:r w:rsidRPr="00F05A8A">
        <w:tab/>
        <w:t>Organisation de la PP-22, de l'AMNT</w:t>
      </w:r>
      <w:bookmarkEnd w:id="564"/>
      <w:r w:rsidR="00E72AB9" w:rsidRPr="00F05A8A">
        <w:t>-20</w:t>
      </w:r>
      <w:r w:rsidRPr="00F05A8A">
        <w:t xml:space="preserve"> et de la CMDT</w:t>
      </w:r>
      <w:r w:rsidR="00E72AB9" w:rsidRPr="00F05A8A">
        <w:t xml:space="preserve">-22, </w:t>
      </w:r>
      <w:r w:rsidR="009D7952" w:rsidRPr="00F05A8A">
        <w:t xml:space="preserve">suivi et mise en œuvre des décisions </w:t>
      </w:r>
      <w:r w:rsidR="0080087E" w:rsidRPr="00F05A8A">
        <w:t>prises par</w:t>
      </w:r>
      <w:r w:rsidR="009D7952" w:rsidRPr="00F05A8A">
        <w:t xml:space="preserve"> ces conférences</w:t>
      </w:r>
      <w:r w:rsidRPr="00F05A8A">
        <w:t>.</w:t>
      </w:r>
    </w:p>
    <w:p w14:paraId="0AF1605E" w14:textId="77777777" w:rsidR="00D80461" w:rsidRPr="00F05A8A" w:rsidRDefault="00D80461" w:rsidP="002F075E">
      <w:pPr>
        <w:pStyle w:val="enumlev1"/>
      </w:pPr>
      <w:bookmarkStart w:id="565" w:name="lt_pId1107"/>
      <w:r w:rsidRPr="00F05A8A">
        <w:t>•</w:t>
      </w:r>
      <w:r w:rsidRPr="00F05A8A">
        <w:tab/>
        <w:t>Mettre en œuvre le Programme Connect 2030, garantir l'harmonisation avec les ODD (conformément au thème de la Journée mondiale des télécommunications et de la société de l'information de 2021)</w:t>
      </w:r>
      <w:bookmarkEnd w:id="565"/>
      <w:r w:rsidRPr="00F05A8A">
        <w:t>.</w:t>
      </w:r>
    </w:p>
    <w:p w14:paraId="690AA161" w14:textId="77777777" w:rsidR="00D80461" w:rsidRPr="00F05A8A" w:rsidRDefault="00D80461" w:rsidP="002F075E">
      <w:pPr>
        <w:pStyle w:val="enumlev1"/>
      </w:pPr>
      <w:bookmarkStart w:id="566" w:name="lt_pId1108"/>
      <w:r w:rsidRPr="00F05A8A">
        <w:t>•</w:t>
      </w:r>
      <w:r w:rsidRPr="00F05A8A">
        <w:tab/>
        <w:t>Une UIT unie dans l'action, être une organisation flexible, réactive et novatrice</w:t>
      </w:r>
      <w:bookmarkEnd w:id="566"/>
      <w:r w:rsidRPr="00F05A8A">
        <w:t>.</w:t>
      </w:r>
    </w:p>
    <w:p w14:paraId="57DDFF06" w14:textId="77777777" w:rsidR="00D80461" w:rsidRPr="00F05A8A" w:rsidRDefault="00D80461" w:rsidP="002F075E">
      <w:pPr>
        <w:pStyle w:val="enumlev1"/>
        <w:keepLines/>
      </w:pPr>
      <w:bookmarkStart w:id="567" w:name="lt_pId1109"/>
      <w:r w:rsidRPr="00F05A8A">
        <w:t>•</w:t>
      </w:r>
      <w:r w:rsidRPr="00F05A8A">
        <w:tab/>
        <w:t>Renforcer l'efficience et l'efficacité de l'organisation, en élaborant une stratégie de long terme en matière de gestion pour l'organisation au service de la performance et de compétences adaptées, et en renforçant les cadres de gestion des risques et de responsabilisation, afin de favoriser la prise de décisions éclairées et démontrer les effets positifs des travaux de l'UIT.</w:t>
      </w:r>
      <w:bookmarkEnd w:id="567"/>
    </w:p>
    <w:p w14:paraId="7A8D5B86" w14:textId="77777777" w:rsidR="00D80461" w:rsidRPr="00F05A8A" w:rsidRDefault="00D80461" w:rsidP="002F075E">
      <w:r w:rsidRPr="00F05A8A">
        <w:br w:type="page"/>
      </w:r>
    </w:p>
    <w:p w14:paraId="1BFD156C" w14:textId="77777777" w:rsidR="00D80461" w:rsidRPr="00F05A8A" w:rsidRDefault="00D80461" w:rsidP="002F075E">
      <w:pPr>
        <w:pStyle w:val="AnnexNo"/>
        <w:spacing w:after="240"/>
        <w:rPr>
          <w:caps w:val="0"/>
        </w:rPr>
      </w:pPr>
      <w:bookmarkStart w:id="568" w:name="_Toc98513622"/>
      <w:bookmarkStart w:id="569" w:name="_Toc107466587"/>
      <w:r w:rsidRPr="00F05A8A">
        <w:lastRenderedPageBreak/>
        <w:t>Annexe 1</w:t>
      </w:r>
      <w:bookmarkStart w:id="570" w:name="_Toc41032137"/>
      <w:bookmarkStart w:id="571" w:name="_Toc72846449"/>
      <w:bookmarkStart w:id="572" w:name="_Toc72846699"/>
      <w:r w:rsidRPr="00F05A8A">
        <w:br/>
      </w:r>
      <w:r w:rsidRPr="00F05A8A">
        <w:br/>
      </w:r>
      <w:r w:rsidRPr="00F05A8A">
        <w:rPr>
          <w:caps w:val="0"/>
        </w:rPr>
        <w:t>Mise en œuvre des Résolutions de la Conférence de plénipotentiaires</w:t>
      </w:r>
      <w:bookmarkEnd w:id="568"/>
      <w:bookmarkEnd w:id="569"/>
      <w:bookmarkEnd w:id="570"/>
      <w:bookmarkEnd w:id="571"/>
      <w:bookmarkEnd w:id="572"/>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D80461" w:rsidRPr="00F05A8A" w14:paraId="3FA17E2A" w14:textId="77777777" w:rsidTr="00142C01">
        <w:trPr>
          <w:tblHeader/>
        </w:trPr>
        <w:tc>
          <w:tcPr>
            <w:tcW w:w="10065" w:type="dxa"/>
            <w:shd w:val="clear" w:color="auto" w:fill="4F81BD" w:themeFill="accent1"/>
          </w:tcPr>
          <w:p w14:paraId="572B9FE2" w14:textId="77777777" w:rsidR="00D80461" w:rsidRPr="00F05A8A" w:rsidRDefault="00D80461" w:rsidP="002F075E">
            <w:pPr>
              <w:pStyle w:val="Tablehead"/>
              <w:rPr>
                <w:szCs w:val="22"/>
              </w:rPr>
            </w:pPr>
            <w:r w:rsidRPr="00F05A8A">
              <w:rPr>
                <w:color w:val="FFFFFF" w:themeColor="background1"/>
                <w:szCs w:val="22"/>
              </w:rPr>
              <w:t>État d'avancement de la mise en œuvre</w:t>
            </w:r>
          </w:p>
        </w:tc>
      </w:tr>
      <w:tr w:rsidR="00D80461" w:rsidRPr="00F05A8A" w14:paraId="4621DF0A" w14:textId="77777777" w:rsidTr="00142C01">
        <w:tc>
          <w:tcPr>
            <w:tcW w:w="10065" w:type="dxa"/>
          </w:tcPr>
          <w:p w14:paraId="3171DBAA" w14:textId="77777777" w:rsidR="00D80461" w:rsidRPr="00F05A8A" w:rsidRDefault="00D80461" w:rsidP="002F075E">
            <w:pPr>
              <w:pStyle w:val="Headingb"/>
              <w:spacing w:before="120"/>
              <w:ind w:left="0" w:firstLine="0"/>
              <w:rPr>
                <w:sz w:val="22"/>
                <w:szCs w:val="22"/>
              </w:rPr>
            </w:pPr>
            <w:bookmarkStart w:id="573" w:name="_Toc72845126"/>
            <w:bookmarkStart w:id="574" w:name="_Toc72846450"/>
            <w:bookmarkStart w:id="575" w:name="_Toc72846700"/>
            <w:bookmarkStart w:id="576" w:name="_Toc95387554"/>
            <w:r w:rsidRPr="00F05A8A">
              <w:rPr>
                <w:sz w:val="22"/>
                <w:szCs w:val="22"/>
              </w:rPr>
              <w:t>Résolution 21 (Rév. Dubaï, 2018) – Mesures à prendre en cas d'utilisation de procédures d'appel alternatives sur les réseaux de télécommunication internationaux</w:t>
            </w:r>
            <w:bookmarkEnd w:id="573"/>
            <w:bookmarkEnd w:id="574"/>
            <w:bookmarkEnd w:id="575"/>
            <w:bookmarkEnd w:id="576"/>
          </w:p>
          <w:p w14:paraId="7804CA64" w14:textId="77777777" w:rsidR="00D80461" w:rsidRPr="00F05A8A" w:rsidRDefault="00D80461" w:rsidP="002F075E">
            <w:pPr>
              <w:rPr>
                <w:sz w:val="22"/>
                <w:szCs w:val="22"/>
              </w:rPr>
            </w:pPr>
            <w:r w:rsidRPr="00F05A8A">
              <w:rPr>
                <w:sz w:val="22"/>
                <w:szCs w:val="22"/>
              </w:rPr>
              <w:t>La CE 2 de l'UIT-T a continué de travailler sur le projet de nouvelle Recommandation UIT-T E.ACP sur les procédures d'appel alternatives.</w:t>
            </w:r>
          </w:p>
          <w:p w14:paraId="6AD56306" w14:textId="77777777" w:rsidR="00D80461" w:rsidRPr="00F05A8A" w:rsidRDefault="00D80461" w:rsidP="002F075E">
            <w:pPr>
              <w:rPr>
                <w:rFonts w:eastAsia="Calibri"/>
                <w:sz w:val="22"/>
                <w:szCs w:val="22"/>
              </w:rPr>
            </w:pPr>
            <w:r w:rsidRPr="00F05A8A">
              <w:rPr>
                <w:rFonts w:eastAsia="Calibri"/>
                <w:sz w:val="22"/>
                <w:szCs w:val="22"/>
              </w:rPr>
              <w:t>La CE 3 de l'UIT-T a poursuivi ses travaux relatifs aux procédures d'appel alternatives dans le cadre de la Question 8/3. La CE 3 assure une liaison avec la CE 2 sur la question des procédures d'appel alternatives.</w:t>
            </w:r>
          </w:p>
          <w:p w14:paraId="1744D165" w14:textId="77777777" w:rsidR="00D80461" w:rsidRPr="00F05A8A" w:rsidRDefault="00D80461" w:rsidP="002F075E">
            <w:pPr>
              <w:spacing w:after="120"/>
              <w:rPr>
                <w:sz w:val="22"/>
                <w:szCs w:val="22"/>
              </w:rPr>
            </w:pPr>
            <w:r w:rsidRPr="00F05A8A">
              <w:rPr>
                <w:rFonts w:eastAsia="Calibri"/>
                <w:sz w:val="22"/>
                <w:szCs w:val="22"/>
              </w:rPr>
              <w:t>La CE 12 de l'UIT</w:t>
            </w:r>
            <w:r w:rsidRPr="00F05A8A">
              <w:rPr>
                <w:rFonts w:eastAsia="Calibri"/>
                <w:sz w:val="22"/>
                <w:szCs w:val="22"/>
              </w:rPr>
              <w:noBreakHyphen/>
              <w:t>T a poursuivi ses travaux visant à évaluer les conséquences des procédures d'appel alternatives sur la qualité de service et la qualité d'expérience.</w:t>
            </w:r>
          </w:p>
        </w:tc>
      </w:tr>
      <w:tr w:rsidR="00E72AB9" w:rsidRPr="00F05A8A" w14:paraId="55C0FD56" w14:textId="77777777" w:rsidTr="00142C01">
        <w:tc>
          <w:tcPr>
            <w:tcW w:w="10065" w:type="dxa"/>
          </w:tcPr>
          <w:p w14:paraId="51620B5B" w14:textId="24350B9B" w:rsidR="00E72AB9" w:rsidRPr="00F05A8A" w:rsidRDefault="00187229" w:rsidP="002F075E">
            <w:pPr>
              <w:spacing w:after="60"/>
              <w:jc w:val="both"/>
              <w:rPr>
                <w:rFonts w:eastAsia="Calibri"/>
                <w:b/>
                <w:sz w:val="22"/>
              </w:rPr>
            </w:pPr>
            <w:r w:rsidRPr="00F05A8A">
              <w:rPr>
                <w:rFonts w:eastAsia="Calibri"/>
                <w:b/>
                <w:sz w:val="22"/>
              </w:rPr>
              <w:t xml:space="preserve">Résolution </w:t>
            </w:r>
            <w:r w:rsidR="00E72AB9" w:rsidRPr="00F05A8A">
              <w:rPr>
                <w:rFonts w:eastAsia="Calibri"/>
                <w:b/>
                <w:sz w:val="22"/>
              </w:rPr>
              <w:t xml:space="preserve">25 (Rév. Dubaï, 2018) </w:t>
            </w:r>
            <w:r w:rsidRPr="00F05A8A">
              <w:rPr>
                <w:b/>
                <w:bCs/>
                <w:sz w:val="22"/>
                <w:szCs w:val="22"/>
              </w:rPr>
              <w:t>–</w:t>
            </w:r>
            <w:r w:rsidRPr="00F05A8A">
              <w:rPr>
                <w:rFonts w:eastAsia="Calibri"/>
                <w:b/>
                <w:sz w:val="22"/>
              </w:rPr>
              <w:t xml:space="preserve"> Renforcement de la présence régionale</w:t>
            </w:r>
          </w:p>
          <w:p w14:paraId="20B1EE30" w14:textId="67B962C0" w:rsidR="0075560B" w:rsidRPr="00F05A8A" w:rsidRDefault="00707234" w:rsidP="002F075E">
            <w:pPr>
              <w:tabs>
                <w:tab w:val="left" w:pos="720"/>
              </w:tabs>
              <w:spacing w:after="60"/>
              <w:rPr>
                <w:rFonts w:eastAsia="Calibri"/>
                <w:b/>
                <w:bCs/>
                <w:sz w:val="22"/>
                <w:szCs w:val="22"/>
              </w:rPr>
            </w:pPr>
            <w:r w:rsidRPr="00F05A8A">
              <w:rPr>
                <w:rFonts w:eastAsia="Calibri"/>
                <w:sz w:val="22"/>
                <w:szCs w:val="22"/>
              </w:rPr>
              <w:t xml:space="preserve">Par sa Décision 616, le Conseil a chargé le Secrétaire général </w:t>
            </w:r>
            <w:r w:rsidR="00A277F1" w:rsidRPr="00F05A8A">
              <w:rPr>
                <w:rFonts w:eastAsia="Calibri"/>
                <w:sz w:val="22"/>
                <w:szCs w:val="22"/>
              </w:rPr>
              <w:t>de procéder à un examen de la présence régionale</w:t>
            </w:r>
            <w:r w:rsidR="002437F3" w:rsidRPr="00F05A8A">
              <w:rPr>
                <w:rFonts w:eastAsia="Calibri"/>
                <w:sz w:val="22"/>
                <w:szCs w:val="22"/>
              </w:rPr>
              <w:t>,</w:t>
            </w:r>
            <w:r w:rsidR="00A277F1" w:rsidRPr="00F05A8A">
              <w:rPr>
                <w:rFonts w:eastAsia="Calibri"/>
                <w:sz w:val="22"/>
                <w:szCs w:val="22"/>
              </w:rPr>
              <w:t xml:space="preserve"> afin d'en améliorer l'efficience et l'efficacité.</w:t>
            </w:r>
            <w:r w:rsidR="002437F3" w:rsidRPr="00F05A8A">
              <w:rPr>
                <w:rFonts w:eastAsia="Calibri"/>
                <w:sz w:val="22"/>
                <w:szCs w:val="22"/>
              </w:rPr>
              <w:t xml:space="preserve"> Le cabinet </w:t>
            </w:r>
            <w:r w:rsidR="002A47BD" w:rsidRPr="00F05A8A">
              <w:rPr>
                <w:rFonts w:eastAsia="Calibri"/>
                <w:sz w:val="22"/>
                <w:szCs w:val="22"/>
              </w:rPr>
              <w:t>Price Waterhouse Coopers (</w:t>
            </w:r>
            <w:r w:rsidR="002437F3" w:rsidRPr="00F05A8A">
              <w:rPr>
                <w:rFonts w:eastAsia="Calibri"/>
                <w:sz w:val="22"/>
                <w:szCs w:val="22"/>
              </w:rPr>
              <w:t>PwC</w:t>
            </w:r>
            <w:r w:rsidR="002A47BD" w:rsidRPr="00F05A8A">
              <w:rPr>
                <w:rFonts w:eastAsia="Calibri"/>
                <w:sz w:val="22"/>
                <w:szCs w:val="22"/>
              </w:rPr>
              <w:t>)</w:t>
            </w:r>
            <w:r w:rsidR="00CF5980" w:rsidRPr="00F05A8A">
              <w:rPr>
                <w:rFonts w:eastAsia="Calibri"/>
                <w:sz w:val="22"/>
                <w:szCs w:val="22"/>
              </w:rPr>
              <w:t>,</w:t>
            </w:r>
            <w:r w:rsidR="001A44A7" w:rsidRPr="00F05A8A">
              <w:rPr>
                <w:rFonts w:eastAsia="Calibri"/>
                <w:sz w:val="22"/>
                <w:szCs w:val="22"/>
              </w:rPr>
              <w:t xml:space="preserve"> qui </w:t>
            </w:r>
            <w:r w:rsidR="002437F3" w:rsidRPr="00F05A8A">
              <w:rPr>
                <w:rFonts w:eastAsia="Calibri"/>
                <w:sz w:val="22"/>
                <w:szCs w:val="22"/>
              </w:rPr>
              <w:t xml:space="preserve">a été </w:t>
            </w:r>
            <w:r w:rsidR="001A44A7" w:rsidRPr="00F05A8A">
              <w:rPr>
                <w:rFonts w:eastAsia="Calibri"/>
                <w:sz w:val="22"/>
                <w:szCs w:val="22"/>
              </w:rPr>
              <w:t>retenu,</w:t>
            </w:r>
            <w:r w:rsidR="00CF5980" w:rsidRPr="00F05A8A">
              <w:rPr>
                <w:rFonts w:eastAsia="Calibri"/>
                <w:sz w:val="22"/>
                <w:szCs w:val="22"/>
              </w:rPr>
              <w:t xml:space="preserve"> </w:t>
            </w:r>
            <w:r w:rsidR="00A56D9A" w:rsidRPr="00F05A8A">
              <w:rPr>
                <w:rFonts w:eastAsia="Calibri"/>
                <w:sz w:val="22"/>
                <w:szCs w:val="22"/>
              </w:rPr>
              <w:t xml:space="preserve">a commencé ses travaux en novembre 2019. </w:t>
            </w:r>
            <w:r w:rsidR="0075560B" w:rsidRPr="00F05A8A">
              <w:rPr>
                <w:rFonts w:eastAsia="Calibri"/>
                <w:sz w:val="22"/>
                <w:szCs w:val="22"/>
              </w:rPr>
              <w:t>Dans son rapport sur la présence régionale de l'UIT, PwC préconisait un plan d'action pour le renforcement de la présence régionale de l'UIT, qui comportait quatre</w:t>
            </w:r>
            <w:r w:rsidR="0066212F" w:rsidRPr="00F05A8A">
              <w:rPr>
                <w:rFonts w:eastAsia="Calibri"/>
                <w:sz w:val="22"/>
                <w:szCs w:val="22"/>
              </w:rPr>
              <w:t> </w:t>
            </w:r>
            <w:r w:rsidR="0075560B" w:rsidRPr="00F05A8A">
              <w:rPr>
                <w:rFonts w:eastAsia="Calibri"/>
                <w:sz w:val="22"/>
                <w:szCs w:val="22"/>
              </w:rPr>
              <w:t>axes de mise en œuvre subdivisés en quinze recommandations et 50 mesures d'appui. Le secrétariat a créé un programme de travail en vue de la mise en œuvre complète des sections du rapport de PwC qui relèvent de son domaine de compétence (sur la base des décisions prises par le Groupe ad hoc</w:t>
            </w:r>
            <w:r w:rsidR="001E1F4E" w:rsidRPr="00F05A8A">
              <w:rPr>
                <w:rFonts w:eastAsia="Calibri"/>
                <w:sz w:val="22"/>
                <w:szCs w:val="22"/>
              </w:rPr>
              <w:t xml:space="preserve"> et </w:t>
            </w:r>
            <w:r w:rsidR="00C40D64" w:rsidRPr="00F05A8A">
              <w:rPr>
                <w:rFonts w:eastAsia="Calibri"/>
                <w:sz w:val="22"/>
                <w:szCs w:val="22"/>
              </w:rPr>
              <w:t>entérinées</w:t>
            </w:r>
            <w:r w:rsidR="001E1F4E" w:rsidRPr="00F05A8A">
              <w:rPr>
                <w:rFonts w:eastAsia="Calibri"/>
                <w:sz w:val="22"/>
                <w:szCs w:val="22"/>
              </w:rPr>
              <w:t xml:space="preserve"> par le GTC-SFP en juin 2021</w:t>
            </w:r>
            <w:r w:rsidR="0075560B" w:rsidRPr="00F05A8A">
              <w:rPr>
                <w:rFonts w:eastAsia="Calibri"/>
                <w:sz w:val="22"/>
                <w:szCs w:val="22"/>
              </w:rPr>
              <w:t>) d'ici la fin de 2023. Le programme de travail proposé est subdivisé en trois</w:t>
            </w:r>
            <w:r w:rsidR="0066212F" w:rsidRPr="00F05A8A">
              <w:rPr>
                <w:rFonts w:eastAsia="Calibri"/>
                <w:sz w:val="22"/>
                <w:szCs w:val="22"/>
              </w:rPr>
              <w:t> </w:t>
            </w:r>
            <w:r w:rsidR="0075560B" w:rsidRPr="00F05A8A">
              <w:rPr>
                <w:rFonts w:eastAsia="Calibri"/>
                <w:sz w:val="22"/>
                <w:szCs w:val="22"/>
              </w:rPr>
              <w:t>tableaux comprenant 60 mesures issues du rapport de PwC et réparties dans les catégories suivantes:</w:t>
            </w:r>
          </w:p>
          <w:p w14:paraId="650B70F1" w14:textId="77777777" w:rsidR="0075560B" w:rsidRPr="00F05A8A" w:rsidRDefault="0075560B" w:rsidP="002F075E">
            <w:pPr>
              <w:tabs>
                <w:tab w:val="left" w:pos="720"/>
              </w:tabs>
              <w:spacing w:after="60"/>
              <w:rPr>
                <w:rFonts w:eastAsia="Calibri"/>
                <w:sz w:val="22"/>
                <w:szCs w:val="22"/>
              </w:rPr>
            </w:pPr>
            <w:r w:rsidRPr="00F05A8A">
              <w:rPr>
                <w:rFonts w:eastAsia="Calibri"/>
                <w:sz w:val="22"/>
                <w:szCs w:val="22"/>
              </w:rPr>
              <w:t>i)</w:t>
            </w:r>
            <w:r w:rsidRPr="00F05A8A">
              <w:rPr>
                <w:rFonts w:eastAsia="Calibri"/>
                <w:sz w:val="22"/>
                <w:szCs w:val="22"/>
              </w:rPr>
              <w:tab/>
              <w:t>Mesures en cours;</w:t>
            </w:r>
          </w:p>
          <w:p w14:paraId="02F8AEA9" w14:textId="77777777" w:rsidR="0075560B" w:rsidRPr="00F05A8A" w:rsidRDefault="0075560B" w:rsidP="002F075E">
            <w:pPr>
              <w:tabs>
                <w:tab w:val="left" w:pos="720"/>
              </w:tabs>
              <w:spacing w:after="60"/>
              <w:rPr>
                <w:rFonts w:eastAsia="Calibri"/>
                <w:sz w:val="22"/>
                <w:szCs w:val="22"/>
              </w:rPr>
            </w:pPr>
            <w:r w:rsidRPr="00F05A8A">
              <w:rPr>
                <w:rFonts w:eastAsia="Calibri"/>
                <w:sz w:val="22"/>
                <w:szCs w:val="22"/>
              </w:rPr>
              <w:t>ii)</w:t>
            </w:r>
            <w:r w:rsidRPr="00F05A8A">
              <w:rPr>
                <w:rFonts w:eastAsia="Calibri"/>
                <w:sz w:val="22"/>
                <w:szCs w:val="22"/>
              </w:rPr>
              <w:tab/>
              <w:t>Recommandations élaborées; et</w:t>
            </w:r>
          </w:p>
          <w:p w14:paraId="19514C75" w14:textId="77777777" w:rsidR="0075560B" w:rsidRPr="00F05A8A" w:rsidRDefault="0075560B" w:rsidP="002F075E">
            <w:pPr>
              <w:tabs>
                <w:tab w:val="left" w:pos="720"/>
              </w:tabs>
              <w:spacing w:after="60"/>
              <w:rPr>
                <w:rFonts w:eastAsia="Calibri"/>
                <w:sz w:val="22"/>
                <w:szCs w:val="22"/>
              </w:rPr>
            </w:pPr>
            <w:r w:rsidRPr="00F05A8A">
              <w:rPr>
                <w:rFonts w:eastAsia="Calibri"/>
                <w:sz w:val="22"/>
                <w:szCs w:val="22"/>
              </w:rPr>
              <w:t>iii)</w:t>
            </w:r>
            <w:r w:rsidRPr="00F05A8A">
              <w:rPr>
                <w:rFonts w:eastAsia="Calibri"/>
                <w:sz w:val="22"/>
                <w:szCs w:val="22"/>
              </w:rPr>
              <w:tab/>
              <w:t>Recommandations nécessitant une décision du Conseil.</w:t>
            </w:r>
          </w:p>
          <w:p w14:paraId="56230F91" w14:textId="7AB566A0" w:rsidR="00962383" w:rsidRPr="00F05A8A" w:rsidRDefault="0075560B" w:rsidP="002F075E">
            <w:pPr>
              <w:spacing w:after="60"/>
              <w:rPr>
                <w:rStyle w:val="Hyperlink"/>
                <w:rFonts w:eastAsia="Calibri"/>
              </w:rPr>
            </w:pPr>
            <w:r w:rsidRPr="00F05A8A">
              <w:rPr>
                <w:rFonts w:eastAsia="Calibri"/>
                <w:sz w:val="22"/>
                <w:szCs w:val="22"/>
              </w:rPr>
              <w:t>Le Groupe ad hoc du GTC-FHR sur la présence régionale de l'UIT a proposé que le secrétariat élabore et publie sur le site web un tableau de bord permettant aux membres de consulter l'état d'avancement du programme de travail. Le GTC-FHR a approuvé cette recommandation à sa réunion des 25 et 26 janvier 2021 et le Conseil a adopté la décision du GTC-FHR à sa session de juin 2021</w:t>
            </w:r>
            <w:r w:rsidR="00E72AB9" w:rsidRPr="00F05A8A">
              <w:rPr>
                <w:rFonts w:eastAsia="Calibri"/>
                <w:sz w:val="22"/>
                <w:szCs w:val="22"/>
              </w:rPr>
              <w:t xml:space="preserve">. </w:t>
            </w:r>
            <w:r w:rsidR="00962383" w:rsidRPr="00F05A8A">
              <w:rPr>
                <w:rFonts w:eastAsia="Calibri"/>
                <w:sz w:val="22"/>
                <w:szCs w:val="22"/>
              </w:rPr>
              <w:t xml:space="preserve">Un tableau de bord </w:t>
            </w:r>
            <w:r w:rsidR="001A44A7" w:rsidRPr="00F05A8A">
              <w:rPr>
                <w:rFonts w:eastAsia="Calibri"/>
                <w:sz w:val="22"/>
                <w:szCs w:val="22"/>
              </w:rPr>
              <w:t>sur</w:t>
            </w:r>
            <w:r w:rsidR="00CF5980" w:rsidRPr="00F05A8A">
              <w:rPr>
                <w:rFonts w:eastAsia="Calibri"/>
                <w:sz w:val="22"/>
                <w:szCs w:val="22"/>
              </w:rPr>
              <w:t xml:space="preserve"> </w:t>
            </w:r>
            <w:r w:rsidR="00962383" w:rsidRPr="00F05A8A">
              <w:rPr>
                <w:rFonts w:eastAsia="Calibri"/>
                <w:sz w:val="22"/>
                <w:szCs w:val="22"/>
              </w:rPr>
              <w:t xml:space="preserve">la présence régionale </w:t>
            </w:r>
            <w:r w:rsidR="0055352F" w:rsidRPr="00F05A8A">
              <w:rPr>
                <w:rFonts w:eastAsia="Calibri"/>
                <w:sz w:val="22"/>
                <w:szCs w:val="22"/>
              </w:rPr>
              <w:t xml:space="preserve">a été publié </w:t>
            </w:r>
            <w:r w:rsidR="001A44A7" w:rsidRPr="00F05A8A">
              <w:rPr>
                <w:rFonts w:eastAsia="Calibri"/>
                <w:sz w:val="22"/>
                <w:szCs w:val="22"/>
              </w:rPr>
              <w:t>sous la rubrique</w:t>
            </w:r>
            <w:r w:rsidR="0055352F" w:rsidRPr="00F05A8A">
              <w:rPr>
                <w:rFonts w:eastAsia="Calibri"/>
                <w:sz w:val="22"/>
                <w:szCs w:val="22"/>
              </w:rPr>
              <w:t xml:space="preserve"> "Conseil" du site web de l'UIT, afin de </w:t>
            </w:r>
            <w:r w:rsidR="004A6710" w:rsidRPr="00F05A8A">
              <w:rPr>
                <w:rFonts w:eastAsia="Calibri"/>
                <w:sz w:val="22"/>
                <w:szCs w:val="22"/>
              </w:rPr>
              <w:t xml:space="preserve">contribuer à tenir les membres informés </w:t>
            </w:r>
            <w:r w:rsidR="00961BEB" w:rsidRPr="00F05A8A">
              <w:rPr>
                <w:rFonts w:eastAsia="Calibri"/>
                <w:sz w:val="22"/>
                <w:szCs w:val="22"/>
              </w:rPr>
              <w:t xml:space="preserve">des progrès accomplis dans l'exécution du programme de travail: </w:t>
            </w:r>
            <w:hyperlink r:id="rId405" w:history="1">
              <w:r w:rsidR="00961BEB" w:rsidRPr="00F05A8A">
                <w:rPr>
                  <w:rStyle w:val="Hyperlink"/>
                  <w:rFonts w:eastAsia="Calibri"/>
                  <w:sz w:val="22"/>
                  <w:szCs w:val="22"/>
                </w:rPr>
                <w:t>https://www.itu.int/en/council/ties/Pages/regional-presence-dashboard.aspx</w:t>
              </w:r>
            </w:hyperlink>
            <w:r w:rsidR="00961BEB" w:rsidRPr="00F05A8A">
              <w:rPr>
                <w:rStyle w:val="Hyperlink"/>
                <w:rFonts w:eastAsia="Calibri"/>
                <w:color w:val="auto"/>
                <w:sz w:val="22"/>
                <w:szCs w:val="22"/>
                <w:u w:val="none"/>
              </w:rPr>
              <w:t>.</w:t>
            </w:r>
          </w:p>
          <w:p w14:paraId="44D26030" w14:textId="6A449222" w:rsidR="00C45E04" w:rsidRPr="00F05A8A" w:rsidRDefault="00C45E04" w:rsidP="002F075E">
            <w:r w:rsidRPr="00F05A8A">
              <w:rPr>
                <w:sz w:val="22"/>
              </w:rPr>
              <w:t xml:space="preserve">L'Annexe 1 du rapport sur le renforcement de la présence régionale </w:t>
            </w:r>
            <w:r w:rsidR="00891618" w:rsidRPr="00F05A8A">
              <w:rPr>
                <w:rFonts w:eastAsia="Calibri"/>
                <w:sz w:val="22"/>
                <w:szCs w:val="22"/>
              </w:rPr>
              <w:t>(</w:t>
            </w:r>
            <w:hyperlink r:id="rId406" w:history="1">
              <w:r w:rsidR="00891618" w:rsidRPr="00F05A8A">
                <w:rPr>
                  <w:rStyle w:val="Hyperlink"/>
                  <w:rFonts w:eastAsia="Calibri"/>
                  <w:sz w:val="22"/>
                  <w:szCs w:val="22"/>
                </w:rPr>
                <w:t>C22/INF/5</w:t>
              </w:r>
            </w:hyperlink>
            <w:r w:rsidR="00891618" w:rsidRPr="00F05A8A">
              <w:rPr>
                <w:rFonts w:eastAsia="Calibri"/>
                <w:sz w:val="22"/>
                <w:szCs w:val="22"/>
              </w:rPr>
              <w:t>) donne des précisions sur les travaux</w:t>
            </w:r>
            <w:r w:rsidR="00CF5980" w:rsidRPr="00F05A8A">
              <w:rPr>
                <w:rFonts w:eastAsia="Calibri"/>
                <w:sz w:val="22"/>
                <w:szCs w:val="22"/>
              </w:rPr>
              <w:t xml:space="preserve"> </w:t>
            </w:r>
            <w:r w:rsidR="009B666C" w:rsidRPr="00F05A8A">
              <w:rPr>
                <w:rFonts w:eastAsia="Calibri"/>
                <w:sz w:val="22"/>
                <w:szCs w:val="22"/>
              </w:rPr>
              <w:t>menés</w:t>
            </w:r>
            <w:r w:rsidR="00891618" w:rsidRPr="00F05A8A">
              <w:rPr>
                <w:rFonts w:eastAsia="Calibri"/>
                <w:sz w:val="22"/>
                <w:szCs w:val="22"/>
              </w:rPr>
              <w:t xml:space="preserve"> dans chaque région.</w:t>
            </w:r>
          </w:p>
        </w:tc>
      </w:tr>
      <w:tr w:rsidR="00D80461" w:rsidRPr="00F05A8A" w14:paraId="40A52EDF" w14:textId="77777777" w:rsidTr="00142C01">
        <w:tc>
          <w:tcPr>
            <w:tcW w:w="10065" w:type="dxa"/>
          </w:tcPr>
          <w:p w14:paraId="1C766A30" w14:textId="77777777" w:rsidR="00D80461" w:rsidRPr="00F05A8A" w:rsidRDefault="00D80461" w:rsidP="002F075E">
            <w:pPr>
              <w:pStyle w:val="Headingb"/>
              <w:spacing w:before="120"/>
              <w:ind w:left="0" w:firstLine="0"/>
              <w:rPr>
                <w:sz w:val="22"/>
                <w:szCs w:val="22"/>
              </w:rPr>
            </w:pPr>
            <w:bookmarkStart w:id="577" w:name="_Toc72845127"/>
            <w:bookmarkStart w:id="578" w:name="_Toc72846451"/>
            <w:bookmarkStart w:id="579" w:name="_Toc72846701"/>
            <w:bookmarkStart w:id="580" w:name="_Toc95387555"/>
            <w:r w:rsidRPr="00F05A8A">
              <w:rPr>
                <w:sz w:val="22"/>
                <w:szCs w:val="22"/>
              </w:rPr>
              <w:lastRenderedPageBreak/>
              <w:t>Résolution 30 (Rév. Dubaï, 2018) – Mesures spéciales en faveur des pays les moins avancés, des petits États insulaires en développement, des pays en développement sans littoral et des pays dont l'économie est en transition</w:t>
            </w:r>
            <w:bookmarkEnd w:id="577"/>
            <w:bookmarkEnd w:id="578"/>
            <w:bookmarkEnd w:id="579"/>
            <w:bookmarkEnd w:id="580"/>
          </w:p>
          <w:p w14:paraId="05D467F7" w14:textId="77777777" w:rsidR="00D80461" w:rsidRPr="00F05A8A" w:rsidRDefault="00D80461" w:rsidP="002F075E">
            <w:pPr>
              <w:spacing w:after="120"/>
              <w:rPr>
                <w:sz w:val="22"/>
                <w:szCs w:val="22"/>
              </w:rPr>
            </w:pPr>
            <w:r w:rsidRPr="00F05A8A">
              <w:rPr>
                <w:sz w:val="22"/>
                <w:szCs w:val="22"/>
              </w:rPr>
              <w:t>Les PMA, les PEID et les PDSL bénéficient actuellement d'une assistance moyennant des activités et des projets relevant du plan opérationnel, ainsi que la fourniture d'une assistance ad hoc. Les publications destinées spécifiquement à ces pays ont été élaborées en collaboration avec d'autres institutions des Nations Unies au cours de la période considérée. Les travaux sont menés conformément au Plan stratégique de l'UIT et au Plan d'action de l'UIT-D adopté à la CMDT-17.</w:t>
            </w:r>
          </w:p>
        </w:tc>
      </w:tr>
      <w:tr w:rsidR="00D80461" w:rsidRPr="00F05A8A" w14:paraId="773040E6" w14:textId="77777777" w:rsidTr="00142C01">
        <w:tc>
          <w:tcPr>
            <w:tcW w:w="10065" w:type="dxa"/>
          </w:tcPr>
          <w:p w14:paraId="1C03E712" w14:textId="77777777" w:rsidR="00D80461" w:rsidRPr="00F05A8A" w:rsidRDefault="00D80461" w:rsidP="002F075E">
            <w:pPr>
              <w:pStyle w:val="Headingb"/>
              <w:spacing w:before="120"/>
              <w:ind w:left="0" w:firstLine="0"/>
              <w:rPr>
                <w:sz w:val="22"/>
                <w:szCs w:val="22"/>
              </w:rPr>
            </w:pPr>
            <w:bookmarkStart w:id="581" w:name="_Toc72845128"/>
            <w:bookmarkStart w:id="582" w:name="_Toc72846452"/>
            <w:bookmarkStart w:id="583" w:name="_Toc72846702"/>
            <w:bookmarkStart w:id="584" w:name="_Toc95387556"/>
            <w:r w:rsidRPr="00F05A8A">
              <w:rPr>
                <w:sz w:val="22"/>
                <w:szCs w:val="22"/>
              </w:rPr>
              <w:t>Résolution 34 (Rév. Dubaï, 2018) – Assistance et appui aux pays ayant des besoins spéciaux pour la reconstruction de leur secteur des télécommunications</w:t>
            </w:r>
            <w:bookmarkEnd w:id="581"/>
            <w:bookmarkEnd w:id="582"/>
            <w:bookmarkEnd w:id="583"/>
            <w:bookmarkEnd w:id="584"/>
          </w:p>
          <w:p w14:paraId="5CC47102" w14:textId="77777777" w:rsidR="00D80461" w:rsidRPr="00F05A8A" w:rsidRDefault="00D80461" w:rsidP="002F075E">
            <w:pPr>
              <w:spacing w:after="120"/>
              <w:rPr>
                <w:sz w:val="22"/>
                <w:szCs w:val="22"/>
              </w:rPr>
            </w:pPr>
            <w:r w:rsidRPr="00F05A8A">
              <w:rPr>
                <w:sz w:val="22"/>
                <w:szCs w:val="22"/>
              </w:rPr>
              <w:t>Un appui a été fourni ou est fourni aux pays touchés par une catastrophe naturelle ou se remettant d'une catastrophe majeure (voir la section 1.5 sur les télécommunications d'urgence).</w:t>
            </w:r>
          </w:p>
        </w:tc>
      </w:tr>
      <w:tr w:rsidR="00D80461" w:rsidRPr="00F05A8A" w14:paraId="69FA4986" w14:textId="77777777" w:rsidTr="00142C01">
        <w:tc>
          <w:tcPr>
            <w:tcW w:w="10065" w:type="dxa"/>
          </w:tcPr>
          <w:p w14:paraId="1136BC55" w14:textId="77777777" w:rsidR="00D80461" w:rsidRPr="00F05A8A" w:rsidRDefault="00D80461" w:rsidP="002F075E">
            <w:pPr>
              <w:pStyle w:val="Headingb"/>
              <w:keepNext w:val="0"/>
              <w:keepLines w:val="0"/>
              <w:spacing w:before="120"/>
              <w:rPr>
                <w:sz w:val="22"/>
                <w:szCs w:val="22"/>
              </w:rPr>
            </w:pPr>
            <w:bookmarkStart w:id="585" w:name="_Toc72845129"/>
            <w:bookmarkStart w:id="586" w:name="_Toc72846453"/>
            <w:bookmarkStart w:id="587" w:name="_Toc72846703"/>
            <w:bookmarkStart w:id="588" w:name="_Toc95387557"/>
            <w:r w:rsidRPr="00F05A8A">
              <w:rPr>
                <w:sz w:val="22"/>
                <w:szCs w:val="22"/>
              </w:rPr>
              <w:t>Résolution 66 (Rév. Dubaï, 2018) – Documents et publications de l'Union</w:t>
            </w:r>
            <w:bookmarkEnd w:id="585"/>
            <w:bookmarkEnd w:id="586"/>
            <w:bookmarkEnd w:id="587"/>
            <w:bookmarkEnd w:id="588"/>
          </w:p>
          <w:p w14:paraId="7BE3B742" w14:textId="0AC4D830" w:rsidR="003F5051" w:rsidRPr="00F05A8A" w:rsidRDefault="003F5051" w:rsidP="002F075E">
            <w:pPr>
              <w:spacing w:after="120"/>
              <w:rPr>
                <w:sz w:val="22"/>
                <w:szCs w:val="22"/>
              </w:rPr>
            </w:pPr>
            <w:r w:rsidRPr="00F05A8A">
              <w:rPr>
                <w:sz w:val="22"/>
                <w:szCs w:val="22"/>
              </w:rPr>
              <w:t xml:space="preserve">Les dispositions et les principes </w:t>
            </w:r>
            <w:r w:rsidR="00746869" w:rsidRPr="00F05A8A">
              <w:rPr>
                <w:sz w:val="22"/>
                <w:szCs w:val="22"/>
              </w:rPr>
              <w:t>énoncés dans la Résolution 66 sont toujours valables et pertinents</w:t>
            </w:r>
            <w:r w:rsidR="0077057D" w:rsidRPr="00F05A8A">
              <w:rPr>
                <w:sz w:val="22"/>
                <w:szCs w:val="22"/>
              </w:rPr>
              <w:t xml:space="preserve"> </w:t>
            </w:r>
            <w:r w:rsidR="00746869" w:rsidRPr="00F05A8A">
              <w:rPr>
                <w:sz w:val="22"/>
                <w:szCs w:val="22"/>
              </w:rPr>
              <w:t>et sont</w:t>
            </w:r>
            <w:r w:rsidR="00CF5980" w:rsidRPr="00F05A8A">
              <w:rPr>
                <w:sz w:val="22"/>
                <w:szCs w:val="22"/>
              </w:rPr>
              <w:t xml:space="preserve"> </w:t>
            </w:r>
            <w:r w:rsidR="0077057D" w:rsidRPr="00F05A8A">
              <w:rPr>
                <w:sz w:val="22"/>
                <w:szCs w:val="22"/>
              </w:rPr>
              <w:t xml:space="preserve">en cours de </w:t>
            </w:r>
            <w:r w:rsidR="00F11B2E" w:rsidRPr="00F05A8A">
              <w:rPr>
                <w:sz w:val="22"/>
                <w:szCs w:val="22"/>
              </w:rPr>
              <w:t>mis</w:t>
            </w:r>
            <w:r w:rsidR="0077057D" w:rsidRPr="00F05A8A">
              <w:rPr>
                <w:sz w:val="22"/>
                <w:szCs w:val="22"/>
              </w:rPr>
              <w:t>e</w:t>
            </w:r>
            <w:r w:rsidR="00F11B2E" w:rsidRPr="00F05A8A">
              <w:rPr>
                <w:sz w:val="22"/>
                <w:szCs w:val="22"/>
              </w:rPr>
              <w:t xml:space="preserve"> en œuvre</w:t>
            </w:r>
            <w:r w:rsidR="0077057D" w:rsidRPr="00F05A8A">
              <w:rPr>
                <w:sz w:val="22"/>
                <w:szCs w:val="22"/>
              </w:rPr>
              <w:t>, y compris</w:t>
            </w:r>
            <w:r w:rsidR="0078644E" w:rsidRPr="00F05A8A">
              <w:rPr>
                <w:sz w:val="22"/>
                <w:szCs w:val="22"/>
              </w:rPr>
              <w:t xml:space="preserve"> les modifications les plus récentes </w:t>
            </w:r>
            <w:r w:rsidR="00501E6E" w:rsidRPr="00F05A8A">
              <w:rPr>
                <w:sz w:val="22"/>
                <w:szCs w:val="22"/>
              </w:rPr>
              <w:t xml:space="preserve">visant à améliorer l'accès </w:t>
            </w:r>
            <w:r w:rsidR="0077057D" w:rsidRPr="00F05A8A">
              <w:rPr>
                <w:sz w:val="22"/>
                <w:szCs w:val="22"/>
              </w:rPr>
              <w:t>moyennant l</w:t>
            </w:r>
            <w:r w:rsidR="00CF5980" w:rsidRPr="00F05A8A">
              <w:rPr>
                <w:sz w:val="22"/>
                <w:szCs w:val="22"/>
              </w:rPr>
              <w:t>'</w:t>
            </w:r>
            <w:r w:rsidR="0077057D" w:rsidRPr="00F05A8A">
              <w:rPr>
                <w:sz w:val="22"/>
                <w:szCs w:val="22"/>
              </w:rPr>
              <w:t>adoption</w:t>
            </w:r>
            <w:r w:rsidR="00501E6E" w:rsidRPr="00F05A8A">
              <w:rPr>
                <w:sz w:val="22"/>
                <w:szCs w:val="22"/>
              </w:rPr>
              <w:t xml:space="preserve"> de</w:t>
            </w:r>
            <w:r w:rsidR="00CF5980" w:rsidRPr="00F05A8A">
              <w:rPr>
                <w:sz w:val="22"/>
                <w:szCs w:val="22"/>
              </w:rPr>
              <w:t xml:space="preserve"> </w:t>
            </w:r>
            <w:r w:rsidR="00501E6E" w:rsidRPr="00F05A8A">
              <w:rPr>
                <w:sz w:val="22"/>
                <w:szCs w:val="22"/>
              </w:rPr>
              <w:t>formats ouverts tels que les formats ePub et HTML pour les publications de l'UIT,</w:t>
            </w:r>
            <w:r w:rsidR="00CF5980" w:rsidRPr="00F05A8A">
              <w:rPr>
                <w:sz w:val="22"/>
                <w:szCs w:val="22"/>
              </w:rPr>
              <w:t xml:space="preserve"> </w:t>
            </w:r>
            <w:r w:rsidR="0077057D" w:rsidRPr="00F05A8A">
              <w:rPr>
                <w:sz w:val="22"/>
                <w:szCs w:val="22"/>
              </w:rPr>
              <w:t>s</w:t>
            </w:r>
            <w:r w:rsidR="00CF5980" w:rsidRPr="00F05A8A">
              <w:rPr>
                <w:sz w:val="22"/>
                <w:szCs w:val="22"/>
              </w:rPr>
              <w:t>'</w:t>
            </w:r>
            <w:r w:rsidR="00AF1CCD" w:rsidRPr="00F05A8A">
              <w:rPr>
                <w:sz w:val="22"/>
                <w:szCs w:val="22"/>
              </w:rPr>
              <w:t>il y a lieu</w:t>
            </w:r>
            <w:r w:rsidR="00501E6E" w:rsidRPr="00F05A8A">
              <w:rPr>
                <w:sz w:val="22"/>
                <w:szCs w:val="22"/>
              </w:rPr>
              <w:t>.</w:t>
            </w:r>
            <w:r w:rsidR="005A345D" w:rsidRPr="00F05A8A">
              <w:rPr>
                <w:sz w:val="22"/>
                <w:szCs w:val="22"/>
              </w:rPr>
              <w:t xml:space="preserve"> </w:t>
            </w:r>
            <w:r w:rsidR="002C10AB" w:rsidRPr="00F05A8A">
              <w:rPr>
                <w:sz w:val="22"/>
                <w:szCs w:val="22"/>
              </w:rPr>
              <w:t xml:space="preserve">Comme convenu par le Comité </w:t>
            </w:r>
            <w:r w:rsidR="00B64B34" w:rsidRPr="00F05A8A">
              <w:rPr>
                <w:sz w:val="22"/>
                <w:szCs w:val="22"/>
              </w:rPr>
              <w:t xml:space="preserve">intersectoriel de la politique des publications, l'UIT adopte une </w:t>
            </w:r>
            <w:r w:rsidR="00F10613" w:rsidRPr="00F05A8A">
              <w:rPr>
                <w:sz w:val="22"/>
                <w:szCs w:val="22"/>
              </w:rPr>
              <w:t xml:space="preserve">méthode plus ouverte pour les licences Creative Commons en ce qui concerne les </w:t>
            </w:r>
            <w:r w:rsidR="00DD360E" w:rsidRPr="00F05A8A">
              <w:rPr>
                <w:sz w:val="22"/>
                <w:szCs w:val="22"/>
              </w:rPr>
              <w:t>questions de droits d'auteur pour certaines publications et certains d</w:t>
            </w:r>
            <w:r w:rsidR="005D04D5" w:rsidRPr="00F05A8A">
              <w:rPr>
                <w:sz w:val="22"/>
                <w:szCs w:val="22"/>
              </w:rPr>
              <w:t xml:space="preserve">ocuments publiés en coopération, afin </w:t>
            </w:r>
            <w:r w:rsidR="005E33D6" w:rsidRPr="00F05A8A">
              <w:rPr>
                <w:sz w:val="22"/>
                <w:szCs w:val="22"/>
              </w:rPr>
              <w:t xml:space="preserve">d'améliorer encore la visibilité, la distribution et l'application </w:t>
            </w:r>
            <w:r w:rsidR="009D688B" w:rsidRPr="00F05A8A">
              <w:rPr>
                <w:sz w:val="22"/>
                <w:szCs w:val="22"/>
              </w:rPr>
              <w:t>des futurs contenus de l'UIT</w:t>
            </w:r>
            <w:r w:rsidR="00915671" w:rsidRPr="00F05A8A">
              <w:rPr>
                <w:sz w:val="22"/>
                <w:szCs w:val="22"/>
              </w:rPr>
              <w:t>,</w:t>
            </w:r>
            <w:r w:rsidR="009D688B" w:rsidRPr="00F05A8A">
              <w:rPr>
                <w:sz w:val="22"/>
                <w:szCs w:val="22"/>
              </w:rPr>
              <w:t xml:space="preserve"> </w:t>
            </w:r>
            <w:r w:rsidR="00767DD7" w:rsidRPr="00F05A8A">
              <w:rPr>
                <w:sz w:val="22"/>
                <w:szCs w:val="22"/>
              </w:rPr>
              <w:t xml:space="preserve">en vertu de la </w:t>
            </w:r>
            <w:r w:rsidR="0077057D" w:rsidRPr="00F05A8A">
              <w:rPr>
                <w:sz w:val="22"/>
                <w:szCs w:val="22"/>
              </w:rPr>
              <w:t>P</w:t>
            </w:r>
            <w:r w:rsidR="002B2736" w:rsidRPr="00F05A8A">
              <w:rPr>
                <w:sz w:val="22"/>
                <w:szCs w:val="22"/>
              </w:rPr>
              <w:t xml:space="preserve">olitique de l'UIT en matière d'accès ouvert. </w:t>
            </w:r>
            <w:r w:rsidR="0077057D" w:rsidRPr="00F05A8A">
              <w:rPr>
                <w:sz w:val="22"/>
                <w:szCs w:val="22"/>
              </w:rPr>
              <w:t>S</w:t>
            </w:r>
            <w:r w:rsidR="00CF5980" w:rsidRPr="00F05A8A">
              <w:rPr>
                <w:sz w:val="22"/>
                <w:szCs w:val="22"/>
              </w:rPr>
              <w:t>'</w:t>
            </w:r>
            <w:r w:rsidR="0077057D" w:rsidRPr="00F05A8A">
              <w:rPr>
                <w:sz w:val="22"/>
                <w:szCs w:val="22"/>
              </w:rPr>
              <w:t>agissant du</w:t>
            </w:r>
            <w:r w:rsidR="00082A0E" w:rsidRPr="00F05A8A">
              <w:rPr>
                <w:sz w:val="22"/>
                <w:szCs w:val="22"/>
              </w:rPr>
              <w:t xml:space="preserve"> recouvrement des coûts, le </w:t>
            </w:r>
            <w:r w:rsidR="008C47BE" w:rsidRPr="00F05A8A">
              <w:rPr>
                <w:sz w:val="22"/>
                <w:szCs w:val="22"/>
              </w:rPr>
              <w:t xml:space="preserve">projet de Plan financier pour la période 2024-2027 </w:t>
            </w:r>
            <w:r w:rsidR="00EC079D" w:rsidRPr="00F05A8A">
              <w:rPr>
                <w:sz w:val="22"/>
                <w:szCs w:val="22"/>
              </w:rPr>
              <w:t>prévoit une "</w:t>
            </w:r>
            <w:r w:rsidR="00C35F47" w:rsidRPr="00F05A8A">
              <w:rPr>
                <w:sz w:val="22"/>
                <w:szCs w:val="22"/>
              </w:rPr>
              <w:t>a</w:t>
            </w:r>
            <w:r w:rsidR="00EC079D" w:rsidRPr="00F05A8A">
              <w:rPr>
                <w:sz w:val="22"/>
                <w:szCs w:val="22"/>
              </w:rPr>
              <w:t>ugmentation des produits provenant de la vente des publications par suite de l'utilisation de nouveaux formats, contenus et médias pour les publications de l'UIT…</w:t>
            </w:r>
            <w:r w:rsidR="00A274C3" w:rsidRPr="00F05A8A">
              <w:rPr>
                <w:sz w:val="22"/>
                <w:szCs w:val="22"/>
              </w:rPr>
              <w:t>", notamment</w:t>
            </w:r>
            <w:r w:rsidR="00CF5980" w:rsidRPr="00F05A8A">
              <w:rPr>
                <w:sz w:val="22"/>
                <w:szCs w:val="22"/>
              </w:rPr>
              <w:t xml:space="preserve"> </w:t>
            </w:r>
            <w:r w:rsidR="0077057D" w:rsidRPr="00F05A8A">
              <w:rPr>
                <w:sz w:val="22"/>
                <w:szCs w:val="22"/>
              </w:rPr>
              <w:t>dans le cadre</w:t>
            </w:r>
            <w:r w:rsidR="00A274C3" w:rsidRPr="00F05A8A">
              <w:rPr>
                <w:sz w:val="22"/>
                <w:szCs w:val="22"/>
              </w:rPr>
              <w:t xml:space="preserve"> de nouvelles mesures visant à "revoir et [à] moderniser le recouvrement des coûts pour les publications, les logiciels et les bases de données</w:t>
            </w:r>
            <w:r w:rsidR="009F6879" w:rsidRPr="00F05A8A">
              <w:rPr>
                <w:sz w:val="22"/>
                <w:szCs w:val="22"/>
              </w:rPr>
              <w:t xml:space="preserve">". </w:t>
            </w:r>
            <w:r w:rsidR="00083D7C" w:rsidRPr="00F05A8A">
              <w:rPr>
                <w:sz w:val="22"/>
                <w:szCs w:val="22"/>
              </w:rPr>
              <w:t xml:space="preserve">Le secrétariat </w:t>
            </w:r>
            <w:r w:rsidR="005144D7" w:rsidRPr="00F05A8A">
              <w:rPr>
                <w:sz w:val="22"/>
                <w:szCs w:val="22"/>
              </w:rPr>
              <w:t xml:space="preserve">continue de tirer parti des nouvelles technologies et des </w:t>
            </w:r>
            <w:r w:rsidR="006E17A7" w:rsidRPr="00F05A8A">
              <w:rPr>
                <w:sz w:val="22"/>
                <w:szCs w:val="22"/>
              </w:rPr>
              <w:t xml:space="preserve">nouveaux </w:t>
            </w:r>
            <w:r w:rsidR="005144D7" w:rsidRPr="00F05A8A">
              <w:rPr>
                <w:sz w:val="22"/>
                <w:szCs w:val="22"/>
              </w:rPr>
              <w:t xml:space="preserve">modèles </w:t>
            </w:r>
            <w:r w:rsidR="006E17A7" w:rsidRPr="00F05A8A">
              <w:rPr>
                <w:sz w:val="22"/>
                <w:szCs w:val="22"/>
              </w:rPr>
              <w:t xml:space="preserve">économiques </w:t>
            </w:r>
            <w:r w:rsidR="00DD2E1A" w:rsidRPr="00F05A8A">
              <w:rPr>
                <w:sz w:val="22"/>
                <w:szCs w:val="22"/>
              </w:rPr>
              <w:t xml:space="preserve">pour </w:t>
            </w:r>
            <w:r w:rsidR="0077057D" w:rsidRPr="00F05A8A">
              <w:rPr>
                <w:sz w:val="22"/>
                <w:szCs w:val="22"/>
              </w:rPr>
              <w:t>s</w:t>
            </w:r>
            <w:r w:rsidR="00CF5980" w:rsidRPr="00F05A8A">
              <w:rPr>
                <w:sz w:val="22"/>
                <w:szCs w:val="22"/>
              </w:rPr>
              <w:t>'</w:t>
            </w:r>
            <w:r w:rsidR="0077057D" w:rsidRPr="00F05A8A">
              <w:rPr>
                <w:sz w:val="22"/>
                <w:szCs w:val="22"/>
              </w:rPr>
              <w:t>employer à</w:t>
            </w:r>
            <w:r w:rsidR="00CF5980" w:rsidRPr="00F05A8A">
              <w:rPr>
                <w:sz w:val="22"/>
                <w:szCs w:val="22"/>
              </w:rPr>
              <w:t xml:space="preserve"> </w:t>
            </w:r>
            <w:r w:rsidR="00DD2E1A" w:rsidRPr="00F05A8A">
              <w:rPr>
                <w:sz w:val="22"/>
                <w:szCs w:val="22"/>
              </w:rPr>
              <w:t xml:space="preserve">atteindre les buts consistant à élargir l'accès aux publications de l'UIT tout en </w:t>
            </w:r>
            <w:r w:rsidR="00C11443" w:rsidRPr="00F05A8A">
              <w:rPr>
                <w:sz w:val="22"/>
                <w:szCs w:val="22"/>
              </w:rPr>
              <w:t>augmentant les produits générés</w:t>
            </w:r>
            <w:r w:rsidR="009C7FD1" w:rsidRPr="00F05A8A">
              <w:rPr>
                <w:sz w:val="22"/>
                <w:szCs w:val="22"/>
              </w:rPr>
              <w:t>.</w:t>
            </w:r>
            <w:r w:rsidR="00F334D1" w:rsidRPr="00F05A8A">
              <w:rPr>
                <w:sz w:val="22"/>
                <w:szCs w:val="22"/>
              </w:rPr>
              <w:t xml:space="preserve"> </w:t>
            </w:r>
          </w:p>
        </w:tc>
      </w:tr>
      <w:tr w:rsidR="008569B6" w:rsidRPr="00F05A8A" w14:paraId="6D74E2B6" w14:textId="77777777" w:rsidTr="00142C01">
        <w:tc>
          <w:tcPr>
            <w:tcW w:w="10065" w:type="dxa"/>
          </w:tcPr>
          <w:p w14:paraId="5D1D0201" w14:textId="33D02F0C" w:rsidR="008569B6" w:rsidRPr="00F05A8A" w:rsidRDefault="00FD2540" w:rsidP="002F075E">
            <w:pPr>
              <w:spacing w:after="60"/>
              <w:rPr>
                <w:rFonts w:eastAsia="Calibri"/>
                <w:b/>
                <w:sz w:val="22"/>
              </w:rPr>
            </w:pPr>
            <w:r w:rsidRPr="00F05A8A">
              <w:rPr>
                <w:rFonts w:eastAsia="Calibri"/>
                <w:b/>
                <w:sz w:val="22"/>
              </w:rPr>
              <w:t xml:space="preserve">Résolution </w:t>
            </w:r>
            <w:r w:rsidR="008569B6" w:rsidRPr="00F05A8A">
              <w:rPr>
                <w:rFonts w:eastAsia="Calibri"/>
                <w:b/>
                <w:sz w:val="22"/>
              </w:rPr>
              <w:t>70 (Rév. Dubaï, 2018)</w:t>
            </w:r>
            <w:r w:rsidRPr="00F05A8A">
              <w:rPr>
                <w:b/>
                <w:sz w:val="22"/>
                <w:szCs w:val="22"/>
              </w:rPr>
              <w:t xml:space="preserve"> –</w:t>
            </w:r>
            <w:r w:rsidR="008569B6" w:rsidRPr="00F05A8A">
              <w:rPr>
                <w:rFonts w:eastAsia="Calibri"/>
                <w:b/>
                <w:sz w:val="22"/>
              </w:rPr>
              <w:t xml:space="preserve"> </w:t>
            </w:r>
            <w:r w:rsidR="00E14AA5" w:rsidRPr="00F05A8A">
              <w:rPr>
                <w:b/>
                <w:bCs/>
                <w:color w:val="000000"/>
                <w:sz w:val="22"/>
              </w:rPr>
              <w:t>Intégration du principe de l'égalité hommes/femmes à l'UIT, promotion de l'égalité hommes/femmes et autonomisation des femmes grâce aux télécommunications/technologies de l'information et de la communication</w:t>
            </w:r>
          </w:p>
          <w:p w14:paraId="49EB930B" w14:textId="240767B9" w:rsidR="008569B6" w:rsidRPr="00F05A8A" w:rsidRDefault="006B5B21" w:rsidP="002F075E">
            <w:pPr>
              <w:pStyle w:val="Headingb"/>
              <w:keepNext w:val="0"/>
              <w:keepLines w:val="0"/>
              <w:spacing w:before="120"/>
              <w:rPr>
                <w:sz w:val="22"/>
                <w:szCs w:val="22"/>
              </w:rPr>
            </w:pPr>
            <w:r w:rsidRPr="00F05A8A">
              <w:rPr>
                <w:rFonts w:eastAsia="Calibri"/>
                <w:sz w:val="22"/>
              </w:rPr>
              <w:t xml:space="preserve">Voir la </w:t>
            </w:r>
            <w:r w:rsidR="008569B6" w:rsidRPr="00F05A8A">
              <w:rPr>
                <w:rFonts w:eastAsia="Calibri"/>
                <w:sz w:val="22"/>
              </w:rPr>
              <w:t>section 1.7</w:t>
            </w:r>
          </w:p>
        </w:tc>
      </w:tr>
      <w:tr w:rsidR="00D80461" w:rsidRPr="00F05A8A" w14:paraId="40BD50AE" w14:textId="77777777" w:rsidTr="00142C01">
        <w:tc>
          <w:tcPr>
            <w:tcW w:w="10065" w:type="dxa"/>
          </w:tcPr>
          <w:p w14:paraId="41E37EE8" w14:textId="77777777" w:rsidR="00D80461" w:rsidRPr="00F05A8A" w:rsidRDefault="00D80461" w:rsidP="002F075E">
            <w:pPr>
              <w:pStyle w:val="Headingb"/>
              <w:keepNext w:val="0"/>
              <w:keepLines w:val="0"/>
              <w:spacing w:before="120"/>
              <w:ind w:left="0" w:firstLine="0"/>
              <w:rPr>
                <w:sz w:val="22"/>
                <w:szCs w:val="22"/>
              </w:rPr>
            </w:pPr>
            <w:r w:rsidRPr="00F05A8A">
              <w:rPr>
                <w:sz w:val="22"/>
                <w:szCs w:val="22"/>
              </w:rPr>
              <w:t>Résolution 91 (Rév. Guadalajara, 2010) – Recouvrement des coûts pour certains produits et services de l'UIT</w:t>
            </w:r>
          </w:p>
          <w:p w14:paraId="4F887355" w14:textId="77777777" w:rsidR="00D80461" w:rsidRPr="00F05A8A" w:rsidRDefault="00D80461" w:rsidP="002F075E">
            <w:pPr>
              <w:spacing w:after="120"/>
              <w:rPr>
                <w:sz w:val="22"/>
                <w:szCs w:val="22"/>
              </w:rPr>
            </w:pPr>
            <w:r w:rsidRPr="00F05A8A">
              <w:rPr>
                <w:sz w:val="22"/>
                <w:szCs w:val="22"/>
              </w:rPr>
              <w:t xml:space="preserve">Voir le rapport sur le recouvrement des coûts pour le traitement des fiches de notification des réseaux à satellite à l'intention du Conseil (Document </w:t>
            </w:r>
            <w:hyperlink r:id="rId407" w:history="1">
              <w:r w:rsidRPr="00F05A8A">
                <w:rPr>
                  <w:rStyle w:val="Hyperlink"/>
                  <w:sz w:val="22"/>
                  <w:szCs w:val="22"/>
                </w:rPr>
                <w:t>C20/16</w:t>
              </w:r>
            </w:hyperlink>
            <w:r w:rsidRPr="00F05A8A">
              <w:rPr>
                <w:sz w:val="22"/>
                <w:szCs w:val="22"/>
              </w:rPr>
              <w:t>) et le rapport du Président du Groupe de travail du Conseil sur les ressources financières et les ressources humaines (GTC-FHR) à l'intention du Conseil (Document</w:t>
            </w:r>
            <w:hyperlink r:id="rId408" w:history="1">
              <w:r w:rsidRPr="00F05A8A">
                <w:rPr>
                  <w:sz w:val="22"/>
                  <w:szCs w:val="22"/>
                </w:rPr>
                <w:t> </w:t>
              </w:r>
              <w:r w:rsidRPr="00F05A8A">
                <w:rPr>
                  <w:rStyle w:val="Hyperlink"/>
                  <w:sz w:val="22"/>
                  <w:szCs w:val="22"/>
                </w:rPr>
                <w:t>C20/50</w:t>
              </w:r>
            </w:hyperlink>
            <w:r w:rsidRPr="00F05A8A">
              <w:rPr>
                <w:sz w:val="22"/>
                <w:szCs w:val="22"/>
              </w:rPr>
              <w:t>).</w:t>
            </w:r>
          </w:p>
        </w:tc>
      </w:tr>
      <w:tr w:rsidR="00D80461" w:rsidRPr="00F05A8A" w14:paraId="2BE14CEA" w14:textId="77777777" w:rsidTr="00142C01">
        <w:tc>
          <w:tcPr>
            <w:tcW w:w="10065" w:type="dxa"/>
          </w:tcPr>
          <w:p w14:paraId="39CD0405" w14:textId="77777777" w:rsidR="00D80461" w:rsidRPr="00F05A8A" w:rsidRDefault="00D80461" w:rsidP="002F075E">
            <w:pPr>
              <w:pStyle w:val="Headingb"/>
              <w:keepNext w:val="0"/>
              <w:keepLines w:val="0"/>
              <w:spacing w:before="120"/>
              <w:rPr>
                <w:sz w:val="22"/>
                <w:szCs w:val="22"/>
              </w:rPr>
            </w:pPr>
            <w:bookmarkStart w:id="589" w:name="_Toc72845130"/>
            <w:bookmarkStart w:id="590" w:name="_Toc72846454"/>
            <w:bookmarkStart w:id="591" w:name="_Toc72846704"/>
            <w:bookmarkStart w:id="592" w:name="_Toc95387558"/>
            <w:r w:rsidRPr="00F05A8A">
              <w:rPr>
                <w:sz w:val="22"/>
                <w:szCs w:val="22"/>
              </w:rPr>
              <w:t>Résolution 99 (Rév. Dubaï, 2018) – Statut de la Palestine à l'UIT</w:t>
            </w:r>
            <w:bookmarkEnd w:id="589"/>
            <w:bookmarkEnd w:id="590"/>
            <w:bookmarkEnd w:id="591"/>
            <w:bookmarkEnd w:id="592"/>
          </w:p>
          <w:p w14:paraId="0920015F" w14:textId="77777777" w:rsidR="00D80461" w:rsidRPr="00F05A8A" w:rsidRDefault="00D80461" w:rsidP="002F075E">
            <w:pPr>
              <w:spacing w:after="120"/>
              <w:rPr>
                <w:sz w:val="22"/>
                <w:szCs w:val="22"/>
              </w:rPr>
            </w:pPr>
            <w:r w:rsidRPr="00F05A8A">
              <w:rPr>
                <w:sz w:val="22"/>
                <w:szCs w:val="22"/>
              </w:rPr>
              <w:t>Cette Résolution a été pleinement mise en œuvre et a autorisé l'observateur de l'État de Palestine à continuer à participer à toutes les conférences, assemblées et réunions organisées sous les auspices de l'UIT, en particulier la CMR-19, en vertu de tous les droits énumérés dans la Résolution 99 (Rév. Dubaï, 2018) de la Conférence de plénipotentiaires. L'observateur de l'État de Palestine a assisté à la session ordinaire de 2019 du Conseil.</w:t>
            </w:r>
          </w:p>
        </w:tc>
      </w:tr>
      <w:tr w:rsidR="00D80461" w:rsidRPr="00F05A8A" w14:paraId="02F41458" w14:textId="77777777" w:rsidTr="00142C01">
        <w:tc>
          <w:tcPr>
            <w:tcW w:w="10065" w:type="dxa"/>
          </w:tcPr>
          <w:p w14:paraId="7D5077B5" w14:textId="77777777" w:rsidR="00D80461" w:rsidRPr="00F05A8A" w:rsidRDefault="00D80461" w:rsidP="002F075E">
            <w:pPr>
              <w:pStyle w:val="Headingb"/>
              <w:spacing w:before="120"/>
              <w:rPr>
                <w:sz w:val="22"/>
                <w:szCs w:val="22"/>
              </w:rPr>
            </w:pPr>
            <w:bookmarkStart w:id="593" w:name="_Toc72845131"/>
            <w:bookmarkStart w:id="594" w:name="_Toc72846455"/>
            <w:bookmarkStart w:id="595" w:name="_Toc72846705"/>
            <w:bookmarkStart w:id="596" w:name="_Toc95387559"/>
            <w:r w:rsidRPr="00F05A8A">
              <w:rPr>
                <w:sz w:val="22"/>
                <w:szCs w:val="22"/>
              </w:rPr>
              <w:lastRenderedPageBreak/>
              <w:t>Résolution 101 (Rév. Dubaï, 2018) – Réseaux fondés sur le protocole Internet</w:t>
            </w:r>
            <w:bookmarkEnd w:id="593"/>
            <w:bookmarkEnd w:id="594"/>
            <w:bookmarkEnd w:id="595"/>
            <w:bookmarkEnd w:id="596"/>
          </w:p>
          <w:p w14:paraId="130D5EA1" w14:textId="77777777" w:rsidR="00D80461" w:rsidRPr="00F05A8A" w:rsidRDefault="00D80461" w:rsidP="002F075E">
            <w:pPr>
              <w:spacing w:after="120"/>
              <w:rPr>
                <w:sz w:val="22"/>
                <w:szCs w:val="22"/>
              </w:rPr>
            </w:pPr>
            <w:r w:rsidRPr="00F05A8A">
              <w:rPr>
                <w:sz w:val="22"/>
                <w:szCs w:val="22"/>
              </w:rPr>
              <w:t xml:space="preserve">Voir le rapport à l'intention du Conseil (Document </w:t>
            </w:r>
            <w:hyperlink r:id="rId409" w:history="1">
              <w:r w:rsidRPr="00F05A8A">
                <w:rPr>
                  <w:rStyle w:val="Hyperlink"/>
                  <w:sz w:val="22"/>
                  <w:szCs w:val="22"/>
                </w:rPr>
                <w:t>C20/33</w:t>
              </w:r>
            </w:hyperlink>
            <w:r w:rsidRPr="00F05A8A">
              <w:rPr>
                <w:sz w:val="22"/>
                <w:szCs w:val="22"/>
              </w:rPr>
              <w:t>) et le rapport du Président du Groupe de travail du Conseil sur les questions de politiques publiques internationales relatives à l'Internet (GTC</w:t>
            </w:r>
            <w:r w:rsidRPr="00F05A8A">
              <w:rPr>
                <w:sz w:val="22"/>
                <w:szCs w:val="22"/>
              </w:rPr>
              <w:noBreakHyphen/>
              <w:t xml:space="preserve">Internet) à l'intention du Conseil (Document </w:t>
            </w:r>
            <w:hyperlink r:id="rId410" w:history="1">
              <w:r w:rsidRPr="00F05A8A">
                <w:rPr>
                  <w:rStyle w:val="Hyperlink"/>
                  <w:sz w:val="22"/>
                  <w:szCs w:val="22"/>
                </w:rPr>
                <w:t>C20/51</w:t>
              </w:r>
            </w:hyperlink>
            <w:r w:rsidRPr="00F05A8A">
              <w:rPr>
                <w:sz w:val="22"/>
                <w:szCs w:val="22"/>
              </w:rPr>
              <w:t>).</w:t>
            </w:r>
          </w:p>
        </w:tc>
      </w:tr>
      <w:tr w:rsidR="00D80461" w:rsidRPr="00F05A8A" w14:paraId="23BD73CE" w14:textId="77777777" w:rsidTr="00142C01">
        <w:tc>
          <w:tcPr>
            <w:tcW w:w="10065" w:type="dxa"/>
          </w:tcPr>
          <w:p w14:paraId="68BD1CE1" w14:textId="77777777" w:rsidR="00D80461" w:rsidRPr="00F05A8A" w:rsidRDefault="00D80461" w:rsidP="002F075E">
            <w:pPr>
              <w:pStyle w:val="Headingb"/>
              <w:spacing w:before="120"/>
              <w:ind w:left="0" w:firstLine="0"/>
              <w:rPr>
                <w:sz w:val="22"/>
                <w:szCs w:val="22"/>
              </w:rPr>
            </w:pPr>
            <w:bookmarkStart w:id="597" w:name="_Toc72845132"/>
            <w:bookmarkStart w:id="598" w:name="_Toc72846456"/>
            <w:bookmarkStart w:id="599" w:name="_Toc72846706"/>
            <w:bookmarkStart w:id="600" w:name="_Toc95387560"/>
            <w:r w:rsidRPr="00F05A8A">
              <w:rPr>
                <w:sz w:val="22"/>
                <w:szCs w:val="22"/>
              </w:rPr>
              <w:t>Résolution 119 (Rév. Antalya, 2006) – Méthodes visant à accroître l'efficacité et l'efficience du Comité du Règlement des radiocommunications (RRB)</w:t>
            </w:r>
            <w:bookmarkEnd w:id="597"/>
            <w:bookmarkEnd w:id="598"/>
            <w:bookmarkEnd w:id="599"/>
            <w:bookmarkEnd w:id="600"/>
          </w:p>
          <w:p w14:paraId="3A09C453" w14:textId="77777777" w:rsidR="00D80461" w:rsidRPr="00F05A8A" w:rsidRDefault="00D80461" w:rsidP="002F075E">
            <w:pPr>
              <w:spacing w:after="120"/>
              <w:rPr>
                <w:sz w:val="22"/>
                <w:szCs w:val="22"/>
              </w:rPr>
            </w:pPr>
            <w:r w:rsidRPr="00F05A8A">
              <w:rPr>
                <w:sz w:val="22"/>
                <w:szCs w:val="22"/>
              </w:rPr>
              <w:t xml:space="preserve">Le Comité a poursuivi son examen périodique des méthodes de travail et processus internes figurant dans la Partie C des Règles de procédure et a décidé de les modifier en 2021, lors de sa 88ème réunion, concernant le traitement des contributions tardives. Les 78ème à 82ème réunions du RRB se sont tenues en 2018 et en 2019. Les 83ème, 84ème et 85ème réunions tenues en 2020 et les 86ème et 87ème réunions tenues en 2021 ont été organisées de façon virtuelle, tandis que la 88ème réunion, en 2021, s'est déroulée en présentiel, avec la participation active à distance de certains membres du Comité. Le résumé des décisions et le procès-verbal de chaque réunion du Comité ont été dûment publiés sur le </w:t>
            </w:r>
            <w:hyperlink r:id="rId411" w:history="1">
              <w:r w:rsidRPr="00F05A8A">
                <w:rPr>
                  <w:rStyle w:val="Hyperlink"/>
                  <w:sz w:val="22"/>
                  <w:szCs w:val="22"/>
                </w:rPr>
                <w:t>site web du RRB</w:t>
              </w:r>
            </w:hyperlink>
            <w:r w:rsidRPr="00F05A8A">
              <w:rPr>
                <w:sz w:val="22"/>
                <w:szCs w:val="22"/>
              </w:rPr>
              <w:t xml:space="preserve"> dans les délais statutaires.</w:t>
            </w:r>
          </w:p>
        </w:tc>
      </w:tr>
      <w:tr w:rsidR="00D80461" w:rsidRPr="00F05A8A" w14:paraId="1093E6D0" w14:textId="77777777" w:rsidTr="00142C01">
        <w:tc>
          <w:tcPr>
            <w:tcW w:w="10065" w:type="dxa"/>
          </w:tcPr>
          <w:p w14:paraId="36105C89" w14:textId="77777777" w:rsidR="00D80461" w:rsidRPr="00F05A8A" w:rsidRDefault="00D80461" w:rsidP="002F075E">
            <w:pPr>
              <w:pStyle w:val="Headingb"/>
              <w:keepNext w:val="0"/>
              <w:keepLines w:val="0"/>
              <w:spacing w:before="120"/>
              <w:ind w:left="0" w:firstLine="0"/>
              <w:rPr>
                <w:sz w:val="22"/>
                <w:szCs w:val="22"/>
              </w:rPr>
            </w:pPr>
            <w:r w:rsidRPr="00F05A8A">
              <w:rPr>
                <w:sz w:val="22"/>
                <w:szCs w:val="22"/>
              </w:rPr>
              <w:t>Résolution 125 (Rév. Dubaï, 2018) – Assistance et appui à la Palestine pour la reconstruction de ses réseaux de télécommunication</w:t>
            </w:r>
          </w:p>
          <w:p w14:paraId="2CBABE2D" w14:textId="77777777" w:rsidR="00D80461" w:rsidRPr="00F05A8A" w:rsidRDefault="00D80461" w:rsidP="002F075E">
            <w:pPr>
              <w:pStyle w:val="enumlev1"/>
              <w:rPr>
                <w:sz w:val="22"/>
                <w:szCs w:val="22"/>
              </w:rPr>
            </w:pPr>
            <w:r w:rsidRPr="00F05A8A">
              <w:rPr>
                <w:sz w:val="22"/>
                <w:szCs w:val="22"/>
              </w:rPr>
              <w:t>•</w:t>
            </w:r>
            <w:r w:rsidRPr="00F05A8A">
              <w:rPr>
                <w:sz w:val="22"/>
                <w:szCs w:val="22"/>
              </w:rPr>
              <w:tab/>
              <w:t>L'UIT avait élaboré à l'intention de la Palestine un modèle de coûts ascendant [BU-LRIC] pour les services des réseaux fixes et mobiles [voix et données], ainsi qu'un cadre de réglementation des prix. Le rapport sur le modèle de coûts a été examiné par l'UIT et la Palestine et a été approuvé. Les prochaines étapes convenues avec la Palestine sont, entre autres, les suivantes:</w:t>
            </w:r>
          </w:p>
          <w:p w14:paraId="131E85FD" w14:textId="77777777" w:rsidR="00D80461" w:rsidRPr="00F05A8A" w:rsidRDefault="00D80461" w:rsidP="002F075E">
            <w:pPr>
              <w:pStyle w:val="enumlev2"/>
              <w:rPr>
                <w:sz w:val="22"/>
                <w:szCs w:val="22"/>
              </w:rPr>
            </w:pPr>
            <w:r w:rsidRPr="00F05A8A">
              <w:rPr>
                <w:sz w:val="22"/>
                <w:szCs w:val="22"/>
              </w:rPr>
              <w:sym w:font="Wingdings" w:char="F0D8"/>
            </w:r>
            <w:r w:rsidRPr="00F05A8A">
              <w:rPr>
                <w:sz w:val="22"/>
                <w:szCs w:val="22"/>
              </w:rPr>
              <w:tab/>
              <w:t>Atelier virtuel destiné à l'équipe de projet de la Palestine organisé le 9 avril.</w:t>
            </w:r>
          </w:p>
          <w:p w14:paraId="1506F2E2" w14:textId="77777777" w:rsidR="00D80461" w:rsidRPr="00F05A8A" w:rsidRDefault="00D80461" w:rsidP="002F075E">
            <w:pPr>
              <w:pStyle w:val="enumlev2"/>
              <w:rPr>
                <w:sz w:val="22"/>
                <w:szCs w:val="22"/>
              </w:rPr>
            </w:pPr>
            <w:r w:rsidRPr="00F05A8A">
              <w:rPr>
                <w:sz w:val="22"/>
                <w:szCs w:val="22"/>
              </w:rPr>
              <w:sym w:font="Wingdings" w:char="F0D8"/>
            </w:r>
            <w:r w:rsidRPr="00F05A8A">
              <w:rPr>
                <w:sz w:val="22"/>
                <w:szCs w:val="22"/>
              </w:rPr>
              <w:tab/>
              <w:t xml:space="preserve">Plan A (plan initial): </w:t>
            </w:r>
          </w:p>
          <w:p w14:paraId="46A095E1" w14:textId="77777777" w:rsidR="00D80461" w:rsidRPr="00F05A8A" w:rsidRDefault="00D80461" w:rsidP="002F075E">
            <w:pPr>
              <w:pStyle w:val="enumlev3"/>
              <w:rPr>
                <w:sz w:val="22"/>
                <w:szCs w:val="22"/>
              </w:rPr>
            </w:pPr>
            <w:r w:rsidRPr="00F05A8A">
              <w:rPr>
                <w:sz w:val="22"/>
                <w:szCs w:val="22"/>
              </w:rPr>
              <w:t>−</w:t>
            </w:r>
            <w:r w:rsidRPr="00F05A8A">
              <w:rPr>
                <w:sz w:val="22"/>
                <w:szCs w:val="22"/>
              </w:rPr>
              <w:tab/>
              <w:t>mission à Ramallah pour mener une réunion avec les parties prenantes de la Palestine dans le secteur des TIC, afin d'expliquer comment élaborer et utiliser des modèles de coûts;</w:t>
            </w:r>
          </w:p>
          <w:p w14:paraId="19A2A10C" w14:textId="77777777" w:rsidR="00D80461" w:rsidRPr="00F05A8A" w:rsidRDefault="00D80461" w:rsidP="002F075E">
            <w:pPr>
              <w:pStyle w:val="enumlev3"/>
              <w:rPr>
                <w:sz w:val="22"/>
                <w:szCs w:val="22"/>
              </w:rPr>
            </w:pPr>
            <w:r w:rsidRPr="00F05A8A">
              <w:rPr>
                <w:sz w:val="22"/>
                <w:szCs w:val="22"/>
              </w:rPr>
              <w:t>−</w:t>
            </w:r>
            <w:r w:rsidRPr="00F05A8A">
              <w:rPr>
                <w:sz w:val="22"/>
                <w:szCs w:val="22"/>
              </w:rPr>
              <w:tab/>
              <w:t>formation destinée au Ministère des télécommunications et des technologies de l'information (MTIT) sur la meilleure manière d'utiliser le modèle.</w:t>
            </w:r>
          </w:p>
          <w:p w14:paraId="0F0907B4" w14:textId="77777777" w:rsidR="00D80461" w:rsidRPr="00F05A8A" w:rsidRDefault="00D80461" w:rsidP="002F075E">
            <w:pPr>
              <w:pStyle w:val="enumlev2"/>
              <w:rPr>
                <w:sz w:val="22"/>
                <w:szCs w:val="22"/>
              </w:rPr>
            </w:pPr>
            <w:r w:rsidRPr="00F05A8A">
              <w:rPr>
                <w:sz w:val="22"/>
                <w:szCs w:val="22"/>
              </w:rPr>
              <w:sym w:font="Wingdings" w:char="F0D8"/>
            </w:r>
            <w:r w:rsidRPr="00F05A8A">
              <w:rPr>
                <w:sz w:val="22"/>
                <w:szCs w:val="22"/>
              </w:rPr>
              <w:tab/>
              <w:t>Plan B (alternative possible dans la situation liée au COVID-19):</w:t>
            </w:r>
          </w:p>
          <w:p w14:paraId="68793CA9" w14:textId="77777777" w:rsidR="00D80461" w:rsidRPr="00F05A8A" w:rsidRDefault="00D80461" w:rsidP="002F075E">
            <w:pPr>
              <w:pStyle w:val="enumlev3"/>
              <w:rPr>
                <w:sz w:val="22"/>
                <w:szCs w:val="22"/>
              </w:rPr>
            </w:pPr>
            <w:r w:rsidRPr="00F05A8A">
              <w:rPr>
                <w:sz w:val="22"/>
                <w:szCs w:val="22"/>
              </w:rPr>
              <w:t>−</w:t>
            </w:r>
            <w:r w:rsidRPr="00F05A8A">
              <w:rPr>
                <w:sz w:val="22"/>
                <w:szCs w:val="22"/>
              </w:rPr>
              <w:tab/>
              <w:t>atelier en ligne avec les parties prenantes;</w:t>
            </w:r>
          </w:p>
          <w:p w14:paraId="0E19090C" w14:textId="77777777" w:rsidR="00D80461" w:rsidRPr="00F05A8A" w:rsidRDefault="00D80461" w:rsidP="002F075E">
            <w:pPr>
              <w:pStyle w:val="enumlev3"/>
              <w:rPr>
                <w:sz w:val="22"/>
                <w:szCs w:val="22"/>
              </w:rPr>
            </w:pPr>
            <w:r w:rsidRPr="00F05A8A">
              <w:rPr>
                <w:sz w:val="22"/>
                <w:szCs w:val="22"/>
              </w:rPr>
              <w:t>−</w:t>
            </w:r>
            <w:r w:rsidRPr="00F05A8A">
              <w:rPr>
                <w:sz w:val="22"/>
                <w:szCs w:val="22"/>
              </w:rPr>
              <w:tab/>
              <w:t>session de formation en ligne destinée au MTIT.</w:t>
            </w:r>
          </w:p>
          <w:p w14:paraId="717CC92E" w14:textId="77777777" w:rsidR="00D80461" w:rsidRPr="00F05A8A" w:rsidRDefault="00D80461" w:rsidP="002F075E">
            <w:pPr>
              <w:pStyle w:val="enumlev1"/>
              <w:rPr>
                <w:sz w:val="22"/>
                <w:szCs w:val="22"/>
              </w:rPr>
            </w:pPr>
            <w:r w:rsidRPr="00F05A8A">
              <w:rPr>
                <w:sz w:val="22"/>
                <w:szCs w:val="22"/>
              </w:rPr>
              <w:t>•</w:t>
            </w:r>
            <w:r w:rsidRPr="00F05A8A">
              <w:rPr>
                <w:sz w:val="22"/>
                <w:szCs w:val="22"/>
              </w:rPr>
              <w:tab/>
              <w:t>Dans le cadre du projet "Mise en œuvre de services CIRT et des capacités connexes", qui est arrivé à son terme fin 2019, la Palestine a bénéficié d'une assistance dans la mise en place et le déploiement des capacités techniques et des formations associées nécessaires pour mettre en place l'équipe CIRT de la Palestine.</w:t>
            </w:r>
          </w:p>
          <w:p w14:paraId="5B3ECFE9" w14:textId="77777777" w:rsidR="00D80461" w:rsidRPr="00F05A8A" w:rsidRDefault="00D80461" w:rsidP="002F075E">
            <w:pPr>
              <w:pStyle w:val="enumlev1"/>
              <w:spacing w:after="120"/>
              <w:rPr>
                <w:sz w:val="22"/>
                <w:szCs w:val="22"/>
              </w:rPr>
            </w:pPr>
            <w:r w:rsidRPr="00F05A8A">
              <w:rPr>
                <w:sz w:val="22"/>
                <w:szCs w:val="22"/>
              </w:rPr>
              <w:t>•</w:t>
            </w:r>
            <w:r w:rsidRPr="00F05A8A">
              <w:rPr>
                <w:sz w:val="22"/>
                <w:szCs w:val="22"/>
              </w:rPr>
              <w:tab/>
              <w:t>Dans le cadre du projet Connecter une école, 15 écoles supplémentaires ont été équipées et connectées à l'Internet en 2018-2019.</w:t>
            </w:r>
          </w:p>
          <w:p w14:paraId="13BB148F" w14:textId="77777777" w:rsidR="00D80461" w:rsidRPr="00F05A8A" w:rsidRDefault="00D80461" w:rsidP="002F075E">
            <w:pPr>
              <w:pStyle w:val="enumlev1"/>
              <w:widowControl w:val="0"/>
              <w:rPr>
                <w:sz w:val="22"/>
                <w:szCs w:val="22"/>
              </w:rPr>
            </w:pPr>
            <w:r w:rsidRPr="00F05A8A">
              <w:rPr>
                <w:sz w:val="22"/>
                <w:szCs w:val="22"/>
              </w:rPr>
              <w:t>•</w:t>
            </w:r>
            <w:r w:rsidRPr="00F05A8A">
              <w:rPr>
                <w:sz w:val="22"/>
                <w:szCs w:val="22"/>
              </w:rPr>
              <w:tab/>
              <w:t xml:space="preserve">Les activités d'assistance à la Palestine ci-dessous n'ont pas pu se poursuivre en raison de l'incapacité de délivrer un visa aux spécialistes et aux fonctionnaires de l'UIT pour des visites de cadrage: établir une unité d'authentification électronique nationale; et mener un examen des politiques relatives à l'apprentissage intelligent. </w:t>
            </w:r>
          </w:p>
          <w:p w14:paraId="0B106F8B" w14:textId="77777777" w:rsidR="00D80461" w:rsidRPr="00F05A8A" w:rsidRDefault="00D80461" w:rsidP="002F075E">
            <w:pPr>
              <w:pStyle w:val="enumlev1"/>
              <w:spacing w:after="120"/>
              <w:rPr>
                <w:sz w:val="22"/>
                <w:szCs w:val="22"/>
              </w:rPr>
            </w:pPr>
            <w:r w:rsidRPr="00F05A8A">
              <w:rPr>
                <w:sz w:val="22"/>
                <w:szCs w:val="22"/>
              </w:rPr>
              <w:lastRenderedPageBreak/>
              <w:t>•</w:t>
            </w:r>
            <w:r w:rsidRPr="00F05A8A">
              <w:rPr>
                <w:sz w:val="22"/>
                <w:szCs w:val="22"/>
              </w:rPr>
              <w:tab/>
              <w:t>Une assistance a commencé à être fournie pour réaliser une étude de faisabilité concernant une station terrienne de réseau à satellite. Le projet de description du travail relatif à l'assistance requise a été envoyé à la Palestine en juin et ses commentaires sont attendus.</w:t>
            </w:r>
          </w:p>
        </w:tc>
      </w:tr>
      <w:tr w:rsidR="00D80461" w:rsidRPr="00F05A8A" w14:paraId="125952F8" w14:textId="77777777" w:rsidTr="00142C01">
        <w:tc>
          <w:tcPr>
            <w:tcW w:w="10065" w:type="dxa"/>
          </w:tcPr>
          <w:p w14:paraId="150A7FB3" w14:textId="77777777" w:rsidR="00D80461" w:rsidRPr="00F05A8A" w:rsidRDefault="00D80461" w:rsidP="002F075E">
            <w:pPr>
              <w:pStyle w:val="Headingb"/>
              <w:keepNext w:val="0"/>
              <w:keepLines w:val="0"/>
              <w:spacing w:before="120"/>
              <w:ind w:left="0" w:firstLine="0"/>
              <w:rPr>
                <w:sz w:val="22"/>
                <w:szCs w:val="22"/>
              </w:rPr>
            </w:pPr>
            <w:bookmarkStart w:id="601" w:name="_Toc72845133"/>
            <w:bookmarkStart w:id="602" w:name="_Toc72846457"/>
            <w:bookmarkStart w:id="603" w:name="_Toc72846707"/>
            <w:bookmarkStart w:id="604" w:name="_Toc95387561"/>
            <w:r w:rsidRPr="00F05A8A">
              <w:rPr>
                <w:sz w:val="22"/>
                <w:szCs w:val="22"/>
              </w:rPr>
              <w:lastRenderedPageBreak/>
              <w:t>Résolution 131 (Rév. Dubaï, 2018) – Mesurer les technologies de l'information et de la communication pour édifier une société de l'information inclusive et qui facilite l'intégration</w:t>
            </w:r>
            <w:bookmarkEnd w:id="601"/>
            <w:bookmarkEnd w:id="602"/>
            <w:bookmarkEnd w:id="603"/>
            <w:bookmarkEnd w:id="604"/>
          </w:p>
          <w:p w14:paraId="4ED1AA1A" w14:textId="77777777" w:rsidR="00D80461" w:rsidRPr="00F05A8A" w:rsidRDefault="00D80461" w:rsidP="002F075E">
            <w:pPr>
              <w:spacing w:after="120"/>
              <w:rPr>
                <w:sz w:val="22"/>
                <w:szCs w:val="22"/>
              </w:rPr>
            </w:pPr>
            <w:r w:rsidRPr="00F05A8A">
              <w:rPr>
                <w:sz w:val="22"/>
                <w:szCs w:val="22"/>
              </w:rPr>
              <w:t xml:space="preserve">La mise en œuvre de cette Résolution est en cours. Des statistiques officielles ont été recueillies auprès des États Membres et publiées deux fois par an dans la </w:t>
            </w:r>
            <w:hyperlink r:id="rId412" w:history="1">
              <w:r w:rsidRPr="00F05A8A">
                <w:rPr>
                  <w:rStyle w:val="Hyperlink"/>
                  <w:sz w:val="22"/>
                  <w:szCs w:val="22"/>
                </w:rPr>
                <w:t>base de données des indicateurs des télécommunications dans le monde</w:t>
              </w:r>
            </w:hyperlink>
            <w:r w:rsidRPr="00F05A8A">
              <w:rPr>
                <w:sz w:val="22"/>
                <w:szCs w:val="22"/>
              </w:rPr>
              <w:t xml:space="preserve"> et </w:t>
            </w:r>
            <w:hyperlink r:id="rId413" w:history="1">
              <w:r w:rsidRPr="00F05A8A">
                <w:rPr>
                  <w:rStyle w:val="Hyperlink"/>
                  <w:sz w:val="22"/>
                  <w:szCs w:val="22"/>
                </w:rPr>
                <w:t>en ligne</w:t>
              </w:r>
            </w:hyperlink>
            <w:r w:rsidRPr="00F05A8A">
              <w:rPr>
                <w:sz w:val="22"/>
                <w:szCs w:val="22"/>
              </w:rPr>
              <w:t xml:space="preserve">. Les statistiques ont également été présentées et analysées dans la série de publications intitulée </w:t>
            </w:r>
            <w:r w:rsidRPr="00F05A8A">
              <w:rPr>
                <w:i/>
                <w:iCs/>
                <w:sz w:val="22"/>
                <w:szCs w:val="22"/>
              </w:rPr>
              <w:t>Measuring Digital Development</w:t>
            </w:r>
            <w:r w:rsidRPr="00F05A8A">
              <w:rPr>
                <w:sz w:val="22"/>
                <w:szCs w:val="22"/>
              </w:rPr>
              <w:t xml:space="preserve"> (Mesurer le développement numérique) qui comprend les rapports </w:t>
            </w:r>
            <w:hyperlink r:id="rId414" w:history="1">
              <w:r w:rsidRPr="00F05A8A">
                <w:rPr>
                  <w:rStyle w:val="Hyperlink"/>
                  <w:i/>
                  <w:iCs/>
                  <w:sz w:val="22"/>
                  <w:szCs w:val="22"/>
                </w:rPr>
                <w:t>Facts and figures</w:t>
              </w:r>
            </w:hyperlink>
            <w:r w:rsidRPr="00F05A8A">
              <w:rPr>
                <w:i/>
                <w:iCs/>
                <w:sz w:val="22"/>
                <w:szCs w:val="22"/>
              </w:rPr>
              <w:t xml:space="preserve"> </w:t>
            </w:r>
            <w:r w:rsidRPr="00F05A8A">
              <w:rPr>
                <w:sz w:val="22"/>
                <w:szCs w:val="22"/>
              </w:rPr>
              <w:t xml:space="preserve">(Faits et chiffres) et </w:t>
            </w:r>
            <w:hyperlink r:id="rId415" w:history="1">
              <w:r w:rsidRPr="00F05A8A">
                <w:rPr>
                  <w:rStyle w:val="Hyperlink"/>
                  <w:i/>
                  <w:iCs/>
                  <w:sz w:val="22"/>
                  <w:szCs w:val="22"/>
                </w:rPr>
                <w:t>ICT Price Trends</w:t>
              </w:r>
            </w:hyperlink>
            <w:r w:rsidRPr="00F05A8A">
              <w:rPr>
                <w:sz w:val="22"/>
                <w:szCs w:val="22"/>
              </w:rPr>
              <w:t xml:space="preserve"> (Tendance des prix des TIC). D'autres produits relatifs aux données et aux connaissances comprennent la publication intitulée </w:t>
            </w:r>
            <w:hyperlink r:id="rId416" w:history="1">
              <w:r w:rsidRPr="00F05A8A">
                <w:rPr>
                  <w:i/>
                  <w:color w:val="0000FF"/>
                  <w:sz w:val="22"/>
                  <w:szCs w:val="22"/>
                  <w:u w:val="single"/>
                </w:rPr>
                <w:t>Connectivity in the Least Developed Countries: Status report 2021</w:t>
              </w:r>
            </w:hyperlink>
            <w:r w:rsidRPr="00F05A8A">
              <w:rPr>
                <w:sz w:val="22"/>
                <w:szCs w:val="22"/>
              </w:rPr>
              <w:t xml:space="preserve"> (La connectivité dans les pays les moins avancés: état des lieux en 2021) et le tableau de bord du développement numérique lancé en 2021 afin d'obtenir un aperçu du développement numérique dans tous les États Membres. </w:t>
            </w:r>
          </w:p>
          <w:p w14:paraId="5C778A80" w14:textId="77777777" w:rsidR="00D80461" w:rsidRPr="00F05A8A" w:rsidRDefault="00D80461" w:rsidP="002F075E">
            <w:pPr>
              <w:keepLines/>
              <w:spacing w:after="120"/>
              <w:rPr>
                <w:sz w:val="22"/>
                <w:szCs w:val="22"/>
              </w:rPr>
            </w:pPr>
            <w:r w:rsidRPr="00F05A8A">
              <w:rPr>
                <w:sz w:val="22"/>
                <w:szCs w:val="22"/>
              </w:rPr>
              <w:t xml:space="preserve">Depuis 2018, l'UIT a permis le renforcement des capacités des administrations dans le monde pour collecter des données et produire des statistiques sur les TIC comparables au niveau international, dans le cadre d'ateliers régionaux menés dans toutes les régions. L'édition 2020 du </w:t>
            </w:r>
            <w:hyperlink r:id="rId417" w:history="1">
              <w:r w:rsidRPr="00F05A8A">
                <w:rPr>
                  <w:rStyle w:val="Hyperlink"/>
                  <w:sz w:val="22"/>
                  <w:szCs w:val="22"/>
                </w:rPr>
                <w:t>Guide de l'UIT pour la collecte de données administratives sur les télécommunications/TIC</w:t>
              </w:r>
            </w:hyperlink>
            <w:r w:rsidRPr="00F05A8A">
              <w:rPr>
                <w:sz w:val="22"/>
                <w:szCs w:val="22"/>
              </w:rPr>
              <w:t xml:space="preserve"> et le </w:t>
            </w:r>
            <w:hyperlink r:id="rId418" w:history="1">
              <w:r w:rsidRPr="00F05A8A">
                <w:rPr>
                  <w:rStyle w:val="Hyperlink"/>
                  <w:sz w:val="22"/>
                  <w:szCs w:val="22"/>
                </w:rPr>
                <w:t>Manuel de l'UIT sur la mesure de l'accès des ménages et des particuliers aux TIC et de l'utilisation de ces technologies</w:t>
              </w:r>
            </w:hyperlink>
            <w:r w:rsidRPr="00F05A8A">
              <w:rPr>
                <w:sz w:val="22"/>
                <w:szCs w:val="22"/>
              </w:rPr>
              <w:t xml:space="preserve"> ont été publiés en 2020. Afin d'atteindre un public plus large et de réduire le besoin de mener des ateliers en présentiel pendant la pandémie, l'UIT a lancé sa première formation en ligne sur les statistiques relatives aux TIC en juin 2021. Le cours de formation intitulé "</w:t>
            </w:r>
            <w:hyperlink r:id="rId419" w:history="1">
              <w:r w:rsidRPr="00F05A8A">
                <w:rPr>
                  <w:rStyle w:val="Hyperlink"/>
                  <w:sz w:val="22"/>
                  <w:szCs w:val="22"/>
                </w:rPr>
                <w:t>Measuring digital development: Telecommunication/ICT indicators</w:t>
              </w:r>
            </w:hyperlink>
            <w:r w:rsidRPr="00F05A8A">
              <w:rPr>
                <w:sz w:val="22"/>
                <w:szCs w:val="22"/>
              </w:rPr>
              <w:t>" (Mesurer le développement numérique: indicateurs des télécommunications/TIC), disponible gratuitement sur la plate</w:t>
            </w:r>
            <w:r w:rsidRPr="00F05A8A">
              <w:rPr>
                <w:sz w:val="22"/>
                <w:szCs w:val="22"/>
              </w:rPr>
              <w:noBreakHyphen/>
              <w:t xml:space="preserve">forme de l'Académie de l'UIT, est le premier d'une série de trois cours en lignes qui seront publiés en 2021 et 2022. Le </w:t>
            </w:r>
            <w:hyperlink r:id="rId420" w:history="1">
              <w:r w:rsidRPr="00F05A8A">
                <w:rPr>
                  <w:rStyle w:val="Hyperlink"/>
                  <w:sz w:val="22"/>
                  <w:szCs w:val="22"/>
                </w:rPr>
                <w:t>Groupe d'experts sur les indicateurs des télécommunications/TIC</w:t>
              </w:r>
            </w:hyperlink>
            <w:r w:rsidRPr="00F05A8A">
              <w:rPr>
                <w:sz w:val="22"/>
                <w:szCs w:val="22"/>
              </w:rPr>
              <w:t xml:space="preserve"> (EGTI) et le </w:t>
            </w:r>
            <w:hyperlink r:id="rId421" w:history="1">
              <w:r w:rsidRPr="00F05A8A">
                <w:rPr>
                  <w:rStyle w:val="Hyperlink"/>
                  <w:sz w:val="22"/>
                  <w:szCs w:val="22"/>
                </w:rPr>
                <w:t>Groupe d'experts sur les indicateurs relatifs à l'utilisation des TIC par les ménages</w:t>
              </w:r>
            </w:hyperlink>
            <w:r w:rsidRPr="00F05A8A">
              <w:rPr>
                <w:sz w:val="22"/>
                <w:szCs w:val="22"/>
              </w:rPr>
              <w:t xml:space="preserve"> (EGH) continuent d'établir des normes statistiques internationales concernant les indicateurs des TIC et de se réunir une fois par an. </w:t>
            </w:r>
          </w:p>
          <w:p w14:paraId="71092F48" w14:textId="77777777" w:rsidR="00D80461" w:rsidRPr="00F05A8A" w:rsidRDefault="00D80461" w:rsidP="002F075E">
            <w:pPr>
              <w:spacing w:after="120"/>
              <w:rPr>
                <w:sz w:val="22"/>
                <w:szCs w:val="22"/>
              </w:rPr>
            </w:pPr>
            <w:r w:rsidRPr="00F05A8A">
              <w:rPr>
                <w:sz w:val="22"/>
                <w:szCs w:val="22"/>
              </w:rPr>
              <w:t xml:space="preserve">La </w:t>
            </w:r>
            <w:hyperlink r:id="rId422" w:history="1">
              <w:r w:rsidRPr="00F05A8A">
                <w:rPr>
                  <w:rStyle w:val="Hyperlink"/>
                  <w:sz w:val="22"/>
                  <w:szCs w:val="22"/>
                </w:rPr>
                <w:t>17ème édition</w:t>
              </w:r>
            </w:hyperlink>
            <w:r w:rsidRPr="00F05A8A">
              <w:rPr>
                <w:sz w:val="22"/>
                <w:szCs w:val="22"/>
              </w:rPr>
              <w:t xml:space="preserve"> du Colloque sur les indicateurs des télécommunications/TIC dans le monde, principale tribune consacrée aux dernières avancées en matière de statistiques sur les TIC à l'échelle mondiale, s'est tenue en décembre 2020, sur le thème "Vers une société numérique inclusive".</w:t>
            </w:r>
          </w:p>
          <w:p w14:paraId="0867D4BF" w14:textId="77777777" w:rsidR="00D80461" w:rsidRPr="00F05A8A" w:rsidRDefault="00D80461" w:rsidP="002F075E">
            <w:pPr>
              <w:spacing w:after="120"/>
              <w:rPr>
                <w:sz w:val="22"/>
                <w:szCs w:val="22"/>
              </w:rPr>
            </w:pPr>
            <w:r w:rsidRPr="00F05A8A">
              <w:rPr>
                <w:sz w:val="22"/>
                <w:szCs w:val="22"/>
              </w:rPr>
              <w:t xml:space="preserve">L'UIT contribue activement à promouvoir le programme relatif aux statistiques dans le cadre du système des Nations Unies moyennant plusieurs </w:t>
            </w:r>
            <w:hyperlink r:id="rId423" w:history="1">
              <w:r w:rsidRPr="00F05A8A">
                <w:rPr>
                  <w:rStyle w:val="Hyperlink"/>
                  <w:sz w:val="22"/>
                  <w:szCs w:val="22"/>
                </w:rPr>
                <w:t>partenariats</w:t>
              </w:r>
            </w:hyperlink>
            <w:r w:rsidRPr="00F05A8A">
              <w:rPr>
                <w:sz w:val="22"/>
                <w:szCs w:val="22"/>
              </w:rPr>
              <w:t xml:space="preserve"> essentiels.</w:t>
            </w:r>
          </w:p>
        </w:tc>
      </w:tr>
      <w:tr w:rsidR="00D80461" w:rsidRPr="00F05A8A" w14:paraId="5C7B2FED" w14:textId="77777777" w:rsidTr="00142C01">
        <w:tc>
          <w:tcPr>
            <w:tcW w:w="10065" w:type="dxa"/>
          </w:tcPr>
          <w:p w14:paraId="07D0B4B0" w14:textId="77777777" w:rsidR="00D80461" w:rsidRPr="00F05A8A" w:rsidRDefault="00D80461" w:rsidP="002F075E">
            <w:pPr>
              <w:pStyle w:val="Headingb"/>
              <w:spacing w:before="120"/>
              <w:ind w:left="0" w:firstLine="0"/>
              <w:rPr>
                <w:sz w:val="22"/>
                <w:szCs w:val="22"/>
              </w:rPr>
            </w:pPr>
            <w:bookmarkStart w:id="605" w:name="_Toc72845134"/>
            <w:bookmarkStart w:id="606" w:name="_Toc72846458"/>
            <w:bookmarkStart w:id="607" w:name="_Toc72846708"/>
            <w:bookmarkStart w:id="608" w:name="_Toc95387562"/>
            <w:r w:rsidRPr="00F05A8A">
              <w:rPr>
                <w:sz w:val="22"/>
                <w:szCs w:val="22"/>
              </w:rPr>
              <w:lastRenderedPageBreak/>
              <w:t>Résolution 135 (Rév. Dubaï, 2018) – Rôle de l'UIT dans le développement pérenne et durable des télécommunications et des technologies de l'information et de la communication, dans la fourniture d'une assistance technique et d'avis aux pays en développement et dans la mise en œuvre de projets nationaux, régionaux et interrégionaux</w:t>
            </w:r>
            <w:bookmarkEnd w:id="605"/>
            <w:bookmarkEnd w:id="606"/>
            <w:bookmarkEnd w:id="607"/>
            <w:bookmarkEnd w:id="608"/>
          </w:p>
          <w:p w14:paraId="6CB06714" w14:textId="77777777" w:rsidR="00D80461" w:rsidRPr="00F05A8A" w:rsidRDefault="00D80461" w:rsidP="002F075E">
            <w:pPr>
              <w:rPr>
                <w:sz w:val="22"/>
                <w:szCs w:val="22"/>
              </w:rPr>
            </w:pPr>
            <w:r w:rsidRPr="00F05A8A">
              <w:rPr>
                <w:sz w:val="22"/>
                <w:szCs w:val="22"/>
              </w:rPr>
              <w:t xml:space="preserve">Le BDT a actualisé les cartographies du large bande de l'UIT grâce aux renseignements communiqués par les administrations, les régulateurs, les opérateurs et des sources publiques (consultables </w:t>
            </w:r>
            <w:hyperlink r:id="rId424" w:history="1">
              <w:r w:rsidRPr="00F05A8A">
                <w:rPr>
                  <w:rStyle w:val="Hyperlink"/>
                  <w:sz w:val="22"/>
                  <w:szCs w:val="22"/>
                </w:rPr>
                <w:t>en ligne</w:t>
              </w:r>
            </w:hyperlink>
            <w:r w:rsidRPr="00F05A8A">
              <w:rPr>
                <w:sz w:val="22"/>
                <w:szCs w:val="22"/>
              </w:rPr>
              <w:t>). En 2019, les cartographies présentent les informations en matière d'infrastructure sur les réseaux de 520 opérateurs, avec 21 806 nœuds dans le monde. En 2021, la cartographie fait état de plus de 20 millions de km de fibres terrestres (selon les recherches de l'UIT), superposés à d'autres données pertinentes concernant les infrastructures TIC (telles que les câbles sous-marins et les stations terriennes associées à des satellites). Une vidéo promotionnelle intitulée "Pourquoi est-il essentiel de cartographier le large bande pour que la connectivité pour tous devienne une réalité?" souligne l'importance des associations régionales des régulateurs pour la cartographie et son utilisation dans le cadre des projets de connectivité de l'UIT menés avec des partenaires (par exemple, initiative Giga sur la connectivité dans les écoles) (</w:t>
            </w:r>
            <w:hyperlink r:id="rId425" w:history="1">
              <w:r w:rsidRPr="00F05A8A">
                <w:rPr>
                  <w:rStyle w:val="Hyperlink"/>
                  <w:sz w:val="22"/>
                  <w:szCs w:val="22"/>
                </w:rPr>
                <w:t>vidéo</w:t>
              </w:r>
            </w:hyperlink>
            <w:r w:rsidRPr="00F05A8A">
              <w:rPr>
                <w:sz w:val="22"/>
                <w:szCs w:val="22"/>
              </w:rPr>
              <w:t>).</w:t>
            </w:r>
          </w:p>
          <w:p w14:paraId="466F4B5F" w14:textId="77777777" w:rsidR="00D80461" w:rsidRPr="00F05A8A" w:rsidRDefault="00D80461" w:rsidP="002F075E">
            <w:pPr>
              <w:rPr>
                <w:sz w:val="22"/>
                <w:szCs w:val="22"/>
              </w:rPr>
            </w:pPr>
            <w:r w:rsidRPr="00F05A8A">
              <w:rPr>
                <w:sz w:val="22"/>
                <w:szCs w:val="22"/>
              </w:rPr>
              <w:t>Les travaux de recherche sur les liaisons de transmission et de représentation de ces liaisons ont porté sur 3 720 687 km. En outre, les actions suivantes ont été entreprises:</w:t>
            </w:r>
          </w:p>
          <w:p w14:paraId="36AB64F0" w14:textId="77777777" w:rsidR="00D80461" w:rsidRPr="00F05A8A" w:rsidRDefault="00D80461" w:rsidP="002F075E">
            <w:pPr>
              <w:pStyle w:val="enumlev1"/>
              <w:tabs>
                <w:tab w:val="clear" w:pos="567"/>
                <w:tab w:val="clear" w:pos="1134"/>
                <w:tab w:val="left" w:pos="600"/>
              </w:tabs>
              <w:spacing w:after="120"/>
              <w:ind w:left="600" w:hanging="600"/>
              <w:rPr>
                <w:sz w:val="22"/>
                <w:szCs w:val="22"/>
              </w:rPr>
            </w:pPr>
            <w:r w:rsidRPr="00F05A8A">
              <w:rPr>
                <w:rFonts w:eastAsia="Calibri"/>
                <w:sz w:val="22"/>
                <w:szCs w:val="22"/>
              </w:rPr>
              <w:t>•</w:t>
            </w:r>
            <w:r w:rsidRPr="00F05A8A">
              <w:rPr>
                <w:rFonts w:eastAsia="Calibri"/>
                <w:sz w:val="22"/>
                <w:szCs w:val="22"/>
              </w:rPr>
              <w:tab/>
            </w:r>
            <w:r w:rsidRPr="00F05A8A">
              <w:rPr>
                <w:sz w:val="22"/>
                <w:szCs w:val="22"/>
              </w:rPr>
              <w:t xml:space="preserve">Le </w:t>
            </w:r>
            <w:hyperlink r:id="rId426" w:history="1">
              <w:r w:rsidRPr="00F05A8A">
                <w:rPr>
                  <w:rStyle w:val="Hyperlink"/>
                  <w:sz w:val="22"/>
                  <w:szCs w:val="22"/>
                </w:rPr>
                <w:t>kit pratique de l'UIT sur la planification économique du large bande</w:t>
              </w:r>
            </w:hyperlink>
            <w:r w:rsidRPr="00F05A8A">
              <w:rPr>
                <w:sz w:val="22"/>
                <w:szCs w:val="22"/>
              </w:rPr>
              <w:t xml:space="preserve"> (2019) fournit une méthode pratique pour réaliser une évaluation économique durable des plans proposés pour la mise en place et le déploiement d'une infrastructure large bande. En 2020 et 2021, une série d'activités régionales de renforcement des capacités a été organisée par l'Académie de l'UIT pour dispenser des cours sur l'utilisation du kit pratique dans les régions </w:t>
            </w:r>
            <w:hyperlink r:id="rId427" w:history="1">
              <w:r w:rsidRPr="00F05A8A">
                <w:rPr>
                  <w:rStyle w:val="Hyperlink"/>
                  <w:sz w:val="22"/>
                  <w:szCs w:val="22"/>
                </w:rPr>
                <w:t>Amériques</w:t>
              </w:r>
            </w:hyperlink>
            <w:r w:rsidRPr="00F05A8A">
              <w:rPr>
                <w:sz w:val="22"/>
                <w:szCs w:val="22"/>
              </w:rPr>
              <w:t xml:space="preserve">, </w:t>
            </w:r>
            <w:hyperlink r:id="rId428" w:history="1">
              <w:r w:rsidRPr="00F05A8A">
                <w:rPr>
                  <w:rStyle w:val="Hyperlink"/>
                  <w:sz w:val="22"/>
                  <w:szCs w:val="22"/>
                </w:rPr>
                <w:t>Europe</w:t>
              </w:r>
            </w:hyperlink>
            <w:r w:rsidRPr="00F05A8A">
              <w:rPr>
                <w:sz w:val="22"/>
                <w:szCs w:val="22"/>
              </w:rPr>
              <w:t xml:space="preserve"> et </w:t>
            </w:r>
            <w:hyperlink r:id="rId429" w:history="1">
              <w:r w:rsidRPr="00F05A8A">
                <w:rPr>
                  <w:rStyle w:val="Hyperlink"/>
                  <w:sz w:val="22"/>
                  <w:szCs w:val="22"/>
                </w:rPr>
                <w:t>Afrique</w:t>
              </w:r>
            </w:hyperlink>
            <w:r w:rsidRPr="00F05A8A">
              <w:rPr>
                <w:sz w:val="22"/>
                <w:szCs w:val="22"/>
              </w:rPr>
              <w:t>. En 2021, le kit pratique sera mis à jour pour y ajouter des orientations concernant le déploiement des réseaux 5G.</w:t>
            </w:r>
          </w:p>
          <w:p w14:paraId="684C1477" w14:textId="77777777" w:rsidR="00D80461" w:rsidRPr="00F05A8A" w:rsidRDefault="00D80461" w:rsidP="002F075E">
            <w:pPr>
              <w:pStyle w:val="enumlev1"/>
              <w:tabs>
                <w:tab w:val="clear" w:pos="567"/>
                <w:tab w:val="clear" w:pos="1134"/>
                <w:tab w:val="left" w:pos="0"/>
                <w:tab w:val="left" w:pos="600"/>
              </w:tabs>
              <w:spacing w:after="120"/>
              <w:ind w:left="600" w:hanging="600"/>
              <w:rPr>
                <w:sz w:val="22"/>
                <w:szCs w:val="22"/>
              </w:rPr>
            </w:pPr>
            <w:r w:rsidRPr="00F05A8A">
              <w:rPr>
                <w:sz w:val="22"/>
                <w:szCs w:val="22"/>
              </w:rPr>
              <w:t>•</w:t>
            </w:r>
            <w:r w:rsidRPr="00F05A8A">
              <w:rPr>
                <w:sz w:val="22"/>
                <w:szCs w:val="22"/>
              </w:rPr>
              <w:tab/>
              <w:t>Des études d'évaluation de la conformité et de l'interopérabilité et des champs électromagnétiques pour la CEDEAO ont été élaborées.</w:t>
            </w:r>
          </w:p>
          <w:p w14:paraId="49BA0BCC" w14:textId="77777777" w:rsidR="00D80461" w:rsidRPr="00F05A8A" w:rsidRDefault="00D80461" w:rsidP="002F075E">
            <w:pPr>
              <w:pStyle w:val="enumlev1"/>
              <w:tabs>
                <w:tab w:val="clear" w:pos="567"/>
                <w:tab w:val="clear" w:pos="1134"/>
                <w:tab w:val="left" w:pos="33"/>
                <w:tab w:val="left" w:pos="600"/>
              </w:tabs>
              <w:spacing w:after="120"/>
              <w:ind w:left="600" w:hanging="600"/>
              <w:rPr>
                <w:sz w:val="22"/>
                <w:szCs w:val="22"/>
              </w:rPr>
            </w:pPr>
            <w:r w:rsidRPr="00F05A8A">
              <w:rPr>
                <w:sz w:val="22"/>
                <w:szCs w:val="22"/>
              </w:rPr>
              <w:t>•</w:t>
            </w:r>
            <w:r w:rsidRPr="00F05A8A">
              <w:rPr>
                <w:sz w:val="22"/>
                <w:szCs w:val="22"/>
              </w:rPr>
              <w:tab/>
              <w:t xml:space="preserve">Le </w:t>
            </w:r>
            <w:hyperlink r:id="rId430" w:history="1">
              <w:r w:rsidRPr="00F05A8A">
                <w:rPr>
                  <w:rStyle w:val="Hyperlink"/>
                  <w:sz w:val="22"/>
                  <w:szCs w:val="22"/>
                </w:rPr>
                <w:t>Guide UIT des solutions pour la connectivité sur le dernier kilomètre</w:t>
              </w:r>
            </w:hyperlink>
            <w:r w:rsidRPr="00F05A8A">
              <w:rPr>
                <w:sz w:val="22"/>
                <w:szCs w:val="22"/>
              </w:rPr>
              <w:t xml:space="preserve"> a été élaboré pour contribuer à accélérer l'adoption de mesures propres à résoudre les problèmes de connectivité Internet sur le dernier kilomètre dans les cas où l'infrastructure réseau est inexistante, l'objectif étant d'encourager la fourniture de services financièrement plus abordables. Le BDT élabore un éventail de ressources destinées à aider les États Membres à relever les défis liés à la collectivité sur le dernier kilomètre, notamment une base de données d'études de cas (</w:t>
            </w:r>
            <w:hyperlink r:id="rId431" w:history="1">
              <w:r w:rsidRPr="00F05A8A">
                <w:rPr>
                  <w:rStyle w:val="Hyperlink"/>
                  <w:sz w:val="22"/>
                  <w:szCs w:val="22"/>
                </w:rPr>
                <w:t>LMC Case Studies Database</w:t>
              </w:r>
            </w:hyperlink>
            <w:r w:rsidRPr="00F05A8A">
              <w:rPr>
                <w:sz w:val="22"/>
                <w:szCs w:val="22"/>
              </w:rPr>
              <w:t>), des cours de renforcement des capacités et des outils interactifs de diagnostic et de décision concernant la connectivité sur le dernier kilomètre.</w:t>
            </w:r>
          </w:p>
          <w:p w14:paraId="0163608A" w14:textId="77777777" w:rsidR="00D80461" w:rsidRPr="00F05A8A" w:rsidRDefault="00D80461" w:rsidP="002F075E">
            <w:pPr>
              <w:pStyle w:val="enumlev1"/>
              <w:spacing w:after="120"/>
              <w:ind w:left="600" w:hanging="600"/>
              <w:rPr>
                <w:sz w:val="22"/>
                <w:szCs w:val="22"/>
              </w:rPr>
            </w:pPr>
            <w:r w:rsidRPr="00F05A8A">
              <w:rPr>
                <w:sz w:val="22"/>
                <w:szCs w:val="22"/>
              </w:rPr>
              <w:t>•</w:t>
            </w:r>
            <w:r w:rsidRPr="00F05A8A">
              <w:rPr>
                <w:sz w:val="22"/>
                <w:szCs w:val="22"/>
              </w:rPr>
              <w:tab/>
            </w:r>
            <w:hyperlink r:id="rId432" w:history="1">
              <w:r w:rsidRPr="00F05A8A">
                <w:rPr>
                  <w:sz w:val="22"/>
                  <w:szCs w:val="22"/>
                </w:rPr>
                <w:t>L'</w:t>
              </w:r>
              <w:r w:rsidRPr="00F05A8A">
                <w:rPr>
                  <w:rStyle w:val="Hyperlink"/>
                  <w:sz w:val="22"/>
                  <w:szCs w:val="22"/>
                </w:rPr>
                <w:t>édition de 2021 de la manifestation de l'UIT ayant pour thème "Les technologies émergentes au service de la connectivité"</w:t>
              </w:r>
            </w:hyperlink>
            <w:r w:rsidRPr="00F05A8A">
              <w:rPr>
                <w:sz w:val="22"/>
                <w:szCs w:val="22"/>
              </w:rPr>
              <w:t xml:space="preserve"> a eu lieu du 5 au 16 juillet 2021. Elle comprenait environ 25 sessions et a réuni un total de 595 participants. Environ 154 intervenants y ont pris la parole. En outre, des activités de développement des capacités ont été menées dans le cadre de cinq cours de formation. Les présentations, les enregistrements et les rapports sont disponibles sur le </w:t>
            </w:r>
            <w:hyperlink r:id="rId433" w:history="1">
              <w:r w:rsidRPr="00F05A8A">
                <w:rPr>
                  <w:rStyle w:val="Hyperlink"/>
                  <w:sz w:val="22"/>
                  <w:szCs w:val="22"/>
                </w:rPr>
                <w:t>site web</w:t>
              </w:r>
            </w:hyperlink>
            <w:r w:rsidRPr="00F05A8A">
              <w:rPr>
                <w:sz w:val="22"/>
                <w:szCs w:val="22"/>
              </w:rPr>
              <w:t xml:space="preserve"> de la manifestation. Cette manifestation visait à promouvoir le déploiement à grande échelle des technologies émergentes afin de contribuer à la réalisation des Objectifs de développement durable (ODD). Elle était axée sur les pays les moins avancés (PMA), les petits États insulaires en développement (PEID) et les pays en développement sans littoral (PDSL), ainsi que sur les ODD 4 (éducation de qualité), 9 (industrie, innovation et infrastructure), 11 (ville et communautés durables) et 17 (partenariats pour la réalisation des objectifs).</w:t>
            </w:r>
          </w:p>
        </w:tc>
      </w:tr>
      <w:tr w:rsidR="00D80461" w:rsidRPr="00F05A8A" w14:paraId="44CF63E4" w14:textId="77777777" w:rsidTr="00142C01">
        <w:tc>
          <w:tcPr>
            <w:tcW w:w="10065" w:type="dxa"/>
          </w:tcPr>
          <w:p w14:paraId="7CEA6DDD" w14:textId="77777777" w:rsidR="00D80461" w:rsidRPr="00F05A8A" w:rsidRDefault="00D80461" w:rsidP="002F075E">
            <w:pPr>
              <w:pStyle w:val="Headingb"/>
              <w:spacing w:before="120"/>
              <w:ind w:left="0" w:firstLine="0"/>
              <w:rPr>
                <w:sz w:val="22"/>
                <w:szCs w:val="22"/>
              </w:rPr>
            </w:pPr>
            <w:bookmarkStart w:id="609" w:name="_Toc72845135"/>
            <w:bookmarkStart w:id="610" w:name="_Toc72846459"/>
            <w:bookmarkStart w:id="611" w:name="_Toc72846709"/>
            <w:bookmarkStart w:id="612" w:name="_Toc95387563"/>
            <w:r w:rsidRPr="00F05A8A">
              <w:rPr>
                <w:sz w:val="22"/>
                <w:szCs w:val="22"/>
              </w:rPr>
              <w:lastRenderedPageBreak/>
              <w:t>Résolution 139 (Rév. Dubaï, 2018) – Utilisation des télécommunications et des technologies de l'information et de la communication pour réduire la fracture numérique et édifier une société de l'information inclusive</w:t>
            </w:r>
            <w:bookmarkEnd w:id="609"/>
            <w:bookmarkEnd w:id="610"/>
            <w:bookmarkEnd w:id="611"/>
            <w:bookmarkEnd w:id="612"/>
          </w:p>
          <w:p w14:paraId="4885A9A0" w14:textId="77777777" w:rsidR="00D80461" w:rsidRPr="00F05A8A" w:rsidRDefault="00D80461" w:rsidP="002F075E">
            <w:pPr>
              <w:keepNext/>
              <w:keepLines/>
              <w:rPr>
                <w:sz w:val="22"/>
                <w:szCs w:val="22"/>
              </w:rPr>
            </w:pPr>
            <w:r w:rsidRPr="00F05A8A">
              <w:rPr>
                <w:sz w:val="22"/>
                <w:szCs w:val="22"/>
              </w:rPr>
              <w:t xml:space="preserve">Les </w:t>
            </w:r>
            <w:hyperlink r:id="rId434" w:history="1">
              <w:r w:rsidRPr="00F05A8A">
                <w:rPr>
                  <w:rStyle w:val="Hyperlink"/>
                  <w:sz w:val="22"/>
                  <w:szCs w:val="22"/>
                </w:rPr>
                <w:t>cartographies du large bande de l'UIT</w:t>
              </w:r>
            </w:hyperlink>
            <w:r w:rsidRPr="00F05A8A">
              <w:rPr>
                <w:sz w:val="22"/>
                <w:szCs w:val="22"/>
              </w:rPr>
              <w:t xml:space="preserve"> ont été améliorées pour faire le point sur la connectivité dans le monde et donnent une image plus claire de l'infrastructure de réseau et des possibilités d'investissement. La version publique de la cartographie interactive est disponible </w:t>
            </w:r>
            <w:hyperlink r:id="rId435" w:history="1">
              <w:r w:rsidRPr="00F05A8A">
                <w:rPr>
                  <w:rStyle w:val="Hyperlink"/>
                  <w:sz w:val="22"/>
                  <w:szCs w:val="22"/>
                </w:rPr>
                <w:t>en ligne</w:t>
              </w:r>
            </w:hyperlink>
            <w:r w:rsidRPr="00F05A8A">
              <w:rPr>
                <w:sz w:val="22"/>
                <w:szCs w:val="22"/>
              </w:rPr>
              <w:t xml:space="preserve">. En 2019, les cartographies du large bande ont appuyé d'autres initiatives mondiales comme Giga (voir la </w:t>
            </w:r>
            <w:hyperlink w:anchor="Section_1_9" w:history="1">
              <w:r w:rsidRPr="00F05A8A">
                <w:rPr>
                  <w:rStyle w:val="Hyperlink"/>
                  <w:sz w:val="22"/>
                  <w:szCs w:val="22"/>
                </w:rPr>
                <w:t>section 1.9</w:t>
              </w:r>
            </w:hyperlink>
            <w:r w:rsidRPr="00F05A8A">
              <w:rPr>
                <w:sz w:val="22"/>
                <w:szCs w:val="22"/>
              </w:rPr>
              <w:t>), FIGI-Mexico et la cartographie des communications d'urgence. En 2021, les cartographies du large bande ont servi aux initiatives mondiales fondées sur les données géospatiales relatives aux infrastructures TIC utilisées pour la planification du déploiement des réseaux afin de connecter des points d'intérêts, telles que les écoles</w:t>
            </w:r>
            <w:r w:rsidRPr="00F05A8A" w:rsidDel="00C116B7">
              <w:rPr>
                <w:sz w:val="22"/>
                <w:szCs w:val="22"/>
              </w:rPr>
              <w:t xml:space="preserve"> </w:t>
            </w:r>
            <w:r w:rsidRPr="00F05A8A">
              <w:rPr>
                <w:sz w:val="22"/>
                <w:szCs w:val="22"/>
              </w:rPr>
              <w:t xml:space="preserve">(FCDO et Giga), l'inclusion numérique (Initiative </w:t>
            </w:r>
            <w:hyperlink r:id="rId436" w:history="1">
              <w:r w:rsidRPr="00F05A8A">
                <w:rPr>
                  <w:rStyle w:val="Hyperlink"/>
                  <w:sz w:val="22"/>
                  <w:szCs w:val="22"/>
                </w:rPr>
                <w:t>FIGI-Mexique</w:t>
              </w:r>
            </w:hyperlink>
            <w:r w:rsidRPr="00F05A8A">
              <w:rPr>
                <w:sz w:val="22"/>
                <w:szCs w:val="22"/>
              </w:rPr>
              <w:t>), la résilience du réseau (Connect2Recover) et les secours en cas de catastrophe (Carte de connectivité en cas de catastrophe).</w:t>
            </w:r>
          </w:p>
          <w:p w14:paraId="4AC94028" w14:textId="77777777" w:rsidR="00D80461" w:rsidRPr="00F05A8A" w:rsidRDefault="00D80461" w:rsidP="002F075E">
            <w:pPr>
              <w:keepNext/>
              <w:keepLines/>
              <w:rPr>
                <w:sz w:val="22"/>
                <w:szCs w:val="22"/>
              </w:rPr>
            </w:pPr>
            <w:r w:rsidRPr="00F05A8A">
              <w:rPr>
                <w:sz w:val="22"/>
                <w:szCs w:val="22"/>
              </w:rPr>
              <w:t>Parmi les nouvelles avancées figurent une estimation du déploiement du réseau sur la base d'un modèle d'initiative régionale de l'UIT, ainsi qu'une interface graphique améliorée et un partenariat concernant la cartographie des possibilités d'investissement pour l'Europe de l'Est.</w:t>
            </w:r>
          </w:p>
          <w:p w14:paraId="25AF20FD" w14:textId="77777777" w:rsidR="00D80461" w:rsidRPr="00F05A8A" w:rsidRDefault="00D80461" w:rsidP="002F075E">
            <w:pPr>
              <w:keepNext/>
              <w:keepLines/>
              <w:rPr>
                <w:sz w:val="22"/>
                <w:szCs w:val="22"/>
              </w:rPr>
            </w:pPr>
            <w:r w:rsidRPr="00F05A8A">
              <w:rPr>
                <w:sz w:val="22"/>
                <w:szCs w:val="22"/>
              </w:rPr>
              <w:t xml:space="preserve">Réseau large bande WiMax installé et opérationnel au Burundi: en décembre 2019, 437 écoles, hôpitaux et personnes sont connectés et tirent profit des opérations large bande. </w:t>
            </w:r>
          </w:p>
          <w:p w14:paraId="4A915750" w14:textId="77777777" w:rsidR="00D80461" w:rsidRPr="00F05A8A" w:rsidRDefault="00D80461" w:rsidP="002F075E">
            <w:pPr>
              <w:keepNext/>
              <w:keepLines/>
              <w:spacing w:after="120"/>
              <w:rPr>
                <w:sz w:val="22"/>
                <w:szCs w:val="22"/>
              </w:rPr>
            </w:pPr>
            <w:r w:rsidRPr="00F05A8A">
              <w:rPr>
                <w:sz w:val="22"/>
                <w:szCs w:val="22"/>
              </w:rPr>
              <w:t>Réseau large bande 4G WiMax mobile installé et opérationnel à Djibouti: en décembre 2019, écoles (48), hôpitaux (45) et ministères/institutions du gouvernement (23) sont connectés et tirent profit des opérations large bande. Réseau mobile à évolution à long terme (LTE) large bande 4G installé et opérationnel dans 20 localités situées dans des zones rurales du Royaume d'Eswatini.</w:t>
            </w:r>
          </w:p>
        </w:tc>
      </w:tr>
      <w:tr w:rsidR="00D80461" w:rsidRPr="00F05A8A" w14:paraId="09B049E1" w14:textId="77777777" w:rsidTr="00142C01">
        <w:tc>
          <w:tcPr>
            <w:tcW w:w="10065" w:type="dxa"/>
          </w:tcPr>
          <w:p w14:paraId="6337F4C6" w14:textId="77777777" w:rsidR="00D80461" w:rsidRPr="00F05A8A" w:rsidRDefault="00ED2695" w:rsidP="002F075E">
            <w:pPr>
              <w:pStyle w:val="Headingb"/>
              <w:keepNext w:val="0"/>
              <w:keepLines w:val="0"/>
              <w:tabs>
                <w:tab w:val="clear" w:pos="567"/>
              </w:tabs>
              <w:spacing w:before="120"/>
              <w:ind w:left="0" w:firstLine="0"/>
              <w:rPr>
                <w:rFonts w:eastAsia="Calibri"/>
                <w:bCs/>
                <w:sz w:val="22"/>
                <w:szCs w:val="22"/>
              </w:rPr>
            </w:pPr>
            <w:hyperlink r:id="rId437" w:history="1">
              <w:r w:rsidR="00D80461" w:rsidRPr="00F05A8A">
                <w:rPr>
                  <w:rStyle w:val="Hyperlink"/>
                  <w:rFonts w:eastAsia="Calibri"/>
                  <w:sz w:val="22"/>
                  <w:szCs w:val="22"/>
                </w:rPr>
                <w:t>Résolution 140 (Rév. Dubaï, 2018)</w:t>
              </w:r>
            </w:hyperlink>
            <w:r w:rsidR="00D80461" w:rsidRPr="00F05A8A">
              <w:rPr>
                <w:rFonts w:eastAsia="Calibri"/>
                <w:bCs/>
                <w:sz w:val="22"/>
                <w:szCs w:val="22"/>
              </w:rPr>
              <w:t xml:space="preserve"> – </w:t>
            </w:r>
            <w:bookmarkStart w:id="613" w:name="_Toc165351524"/>
            <w:bookmarkStart w:id="614" w:name="_Toc407016239"/>
            <w:bookmarkStart w:id="615" w:name="_Toc536017972"/>
            <w:r w:rsidR="00D80461" w:rsidRPr="00F05A8A">
              <w:rPr>
                <w:rFonts w:eastAsia="Calibri"/>
                <w:bCs/>
                <w:sz w:val="22"/>
                <w:szCs w:val="22"/>
              </w:rPr>
              <w:t>Rôle de l'UIT dans la mise en œuvre des résultats du Sommet mondial sur la société de l'information</w:t>
            </w:r>
            <w:bookmarkEnd w:id="613"/>
            <w:r w:rsidR="00D80461" w:rsidRPr="00F05A8A">
              <w:rPr>
                <w:rFonts w:eastAsia="Calibri"/>
                <w:bCs/>
                <w:sz w:val="22"/>
                <w:szCs w:val="22"/>
              </w:rPr>
              <w:t xml:space="preserve"> et du Programme de développement durable à l'horizon 2030</w:t>
            </w:r>
            <w:bookmarkEnd w:id="614"/>
            <w:r w:rsidR="00D80461" w:rsidRPr="00F05A8A">
              <w:rPr>
                <w:rFonts w:eastAsia="Calibri"/>
                <w:bCs/>
                <w:sz w:val="22"/>
                <w:szCs w:val="22"/>
              </w:rPr>
              <w:t xml:space="preserve"> ainsi que dans les processus de suivi et d'examen associés</w:t>
            </w:r>
            <w:bookmarkEnd w:id="615"/>
          </w:p>
          <w:p w14:paraId="74B62CB0" w14:textId="77777777" w:rsidR="00D80461" w:rsidRPr="00F05A8A" w:rsidRDefault="00D80461" w:rsidP="002F075E">
            <w:pPr>
              <w:rPr>
                <w:rFonts w:eastAsia="Calibri"/>
                <w:b/>
                <w:sz w:val="22"/>
                <w:szCs w:val="22"/>
              </w:rPr>
            </w:pPr>
            <w:r w:rsidRPr="00F05A8A">
              <w:rPr>
                <w:rFonts w:eastAsia="Calibri"/>
                <w:sz w:val="22"/>
                <w:szCs w:val="22"/>
              </w:rPr>
              <w:t>La coordination et la mise en œuvre des résultats du Sommet mondial sur la société de l'information (SMSI) font toujours partie des priorités du Secrétaire général de l'Union international des télécommunications (UIT). La vision de l'Union, telle que définie dans le Plan stratégique de l'UIT pour la période 2020-2023, est "une société de l'information s'appuyant sur un monde interconnecté, où les télécommunications/technologies de l'information et de la communication permettent et accélèrent une croissance et un développement socio-économiques et écologiquement durables pour tous", en accord avec les documents finals du SMSI.</w:t>
            </w:r>
          </w:p>
          <w:p w14:paraId="0BDD5733" w14:textId="77777777" w:rsidR="00D80461" w:rsidRPr="00F05A8A" w:rsidRDefault="00D80461" w:rsidP="002F075E">
            <w:pPr>
              <w:rPr>
                <w:rFonts w:eastAsia="Calibri"/>
                <w:sz w:val="22"/>
                <w:szCs w:val="22"/>
              </w:rPr>
            </w:pPr>
            <w:r w:rsidRPr="00F05A8A">
              <w:rPr>
                <w:rFonts w:eastAsia="Calibri"/>
                <w:sz w:val="22"/>
                <w:szCs w:val="22"/>
              </w:rPr>
              <w:t>Les buts stratégiques de l'Union (croissance, inclusion, durabilité, innovation et partenariats) appuient le rôle de l'UIT consistant à faciliter les progrès en faveur de la mise en œuvre des grandes orientations du SMSI et du Programme de développement durable à l'horizon 2030. Par ces buts, l'Union s'efforce de contribuer à la mise en place d'un environnement propice à l'innovation, où les progrès accomplis dans le domaine des nouvelles technologies deviennent un élément essentiel de la mise en œuvre des grandes orientations du SMSI et du Programme de développement durable à l'horizon 2030. L'Union reconnaît en outre qu'il est nécessaire de contribuer au partenariat mondial pour renforcer le rôle des technologies de l'information et de la communication (TIC) dans le même objectif.</w:t>
            </w:r>
          </w:p>
          <w:p w14:paraId="4566EB5C" w14:textId="77777777" w:rsidR="00D80461" w:rsidRPr="00F05A8A" w:rsidRDefault="00D80461" w:rsidP="002F075E">
            <w:pPr>
              <w:rPr>
                <w:rFonts w:eastAsia="Calibri"/>
                <w:sz w:val="22"/>
                <w:szCs w:val="22"/>
              </w:rPr>
            </w:pPr>
            <w:r w:rsidRPr="00F05A8A">
              <w:rPr>
                <w:rFonts w:eastAsia="Calibri"/>
                <w:sz w:val="22"/>
                <w:szCs w:val="22"/>
              </w:rPr>
              <w:t xml:space="preserve">Dans la </w:t>
            </w:r>
            <w:hyperlink r:id="rId438" w:history="1">
              <w:r w:rsidRPr="00F05A8A">
                <w:rPr>
                  <w:rStyle w:val="Hyperlink"/>
                  <w:rFonts w:eastAsia="Calibri"/>
                  <w:sz w:val="22"/>
                  <w:szCs w:val="22"/>
                </w:rPr>
                <w:t>Résolution 71 (Rév. Dubaï, 2018)</w:t>
              </w:r>
            </w:hyperlink>
            <w:r w:rsidRPr="00F05A8A">
              <w:rPr>
                <w:rFonts w:eastAsia="Calibri"/>
                <w:sz w:val="22"/>
                <w:szCs w:val="22"/>
              </w:rPr>
              <w:t xml:space="preserve"> de la Conférence de plénipotentiaires relative au Plan stratégique de l'Union pour la période 2020-2023, les États Membres ont insisté sur la nécessité de contribuer aux efforts déployés à l'échelle mondiale pour atteindre les ODD en étroite harmonisation avec le Processus du SMSI. Les objectifs sectoriels, en particulier les objectifs et les résultats définis pour l'UIT-D (</w:t>
            </w:r>
            <w:hyperlink r:id="rId439" w:history="1">
              <w:r w:rsidRPr="00F05A8A">
                <w:rPr>
                  <w:rStyle w:val="Hyperlink"/>
                  <w:rFonts w:eastAsia="Calibri"/>
                  <w:sz w:val="22"/>
                  <w:szCs w:val="22"/>
                </w:rPr>
                <w:t>Résolution 30 (Rév. Buenos Aires, 2017) de la CMDT</w:t>
              </w:r>
            </w:hyperlink>
            <w:r w:rsidRPr="00F05A8A">
              <w:rPr>
                <w:rFonts w:eastAsia="Calibri"/>
                <w:sz w:val="22"/>
                <w:szCs w:val="22"/>
              </w:rPr>
              <w:t>) et pour l'UIT-T (</w:t>
            </w:r>
            <w:hyperlink r:id="rId440" w:history="1">
              <w:r w:rsidRPr="00F05A8A">
                <w:rPr>
                  <w:rStyle w:val="Hyperlink"/>
                  <w:rFonts w:eastAsia="Calibri"/>
                  <w:sz w:val="22"/>
                  <w:szCs w:val="22"/>
                </w:rPr>
                <w:t>Résolution 75 (Rév. Hammamet, 2016) de l'AMNT</w:t>
              </w:r>
            </w:hyperlink>
            <w:r w:rsidRPr="00F05A8A">
              <w:rPr>
                <w:rFonts w:eastAsia="Calibri"/>
                <w:sz w:val="22"/>
                <w:szCs w:val="22"/>
              </w:rPr>
              <w:t xml:space="preserve">) et les objectifs intersectoriels sont aussi très liés aux grandes orientations du SMSI et au Programme de développement durable à l'horizon 2030. Le projet de feuille de route sur les mesures prises par l'UIT </w:t>
            </w:r>
            <w:r w:rsidRPr="00F05A8A">
              <w:rPr>
                <w:rFonts w:eastAsia="Calibri"/>
                <w:sz w:val="22"/>
                <w:szCs w:val="22"/>
              </w:rPr>
              <w:lastRenderedPageBreak/>
              <w:t>relativement aux ODD a été présenté à la 38ème réunion du GTC-SMSI/ODD en janvier 2022 (</w:t>
            </w:r>
            <w:hyperlink r:id="rId441" w:history="1">
              <w:r w:rsidRPr="00F05A8A">
                <w:rPr>
                  <w:rStyle w:val="Hyperlink"/>
                  <w:rFonts w:eastAsia="Calibri"/>
                  <w:bCs/>
                  <w:sz w:val="22"/>
                  <w:szCs w:val="22"/>
                </w:rPr>
                <w:t>CWG</w:t>
              </w:r>
              <w:r w:rsidRPr="00F05A8A">
                <w:rPr>
                  <w:rStyle w:val="Hyperlink"/>
                  <w:rFonts w:eastAsia="Calibri"/>
                  <w:bCs/>
                  <w:sz w:val="22"/>
                  <w:szCs w:val="22"/>
                </w:rPr>
                <w:noBreakHyphen/>
                <w:t>WSIS&amp;SDG-38/14</w:t>
              </w:r>
            </w:hyperlink>
            <w:r w:rsidRPr="00F05A8A">
              <w:rPr>
                <w:rFonts w:eastAsia="Calibri"/>
                <w:sz w:val="22"/>
                <w:szCs w:val="22"/>
              </w:rPr>
              <w:t>).</w:t>
            </w:r>
          </w:p>
          <w:p w14:paraId="18600C3B" w14:textId="5843EC47" w:rsidR="00D80461" w:rsidRPr="00F05A8A" w:rsidRDefault="00D80461" w:rsidP="002F075E">
            <w:pPr>
              <w:rPr>
                <w:rFonts w:eastAsia="Calibri"/>
                <w:sz w:val="22"/>
                <w:szCs w:val="22"/>
              </w:rPr>
            </w:pPr>
            <w:r w:rsidRPr="00F05A8A">
              <w:rPr>
                <w:rFonts w:eastAsia="Calibri"/>
                <w:sz w:val="22"/>
                <w:szCs w:val="22"/>
              </w:rPr>
              <w:t>L'UIT joue le rôle de coordonnateur principal dans le processus de mise en œuvre des résultats du SMSI, en collaboration avec plus de 30 institutions des Nations Unies, afin de mettre en œuvre les grandes orientations du SMSI pour atteindre les Objectifs de développement durable, dans une volonté et une détermination communes d'édifier une société de l</w:t>
            </w:r>
            <w:r w:rsidR="00CF5980" w:rsidRPr="00F05A8A">
              <w:rPr>
                <w:rFonts w:eastAsia="Calibri"/>
                <w:sz w:val="22"/>
                <w:szCs w:val="22"/>
              </w:rPr>
              <w:t>'</w:t>
            </w:r>
            <w:r w:rsidRPr="00F05A8A">
              <w:rPr>
                <w:rFonts w:eastAsia="Calibri"/>
                <w:sz w:val="22"/>
                <w:szCs w:val="22"/>
              </w:rPr>
              <w:t xml:space="preserve">information et du savoir inclusive et privilégiant le développement. Conformément à la </w:t>
            </w:r>
            <w:hyperlink r:id="rId442" w:history="1">
              <w:r w:rsidRPr="00F05A8A">
                <w:rPr>
                  <w:rStyle w:val="Hyperlink"/>
                  <w:rFonts w:eastAsia="Calibri"/>
                  <w:sz w:val="22"/>
                  <w:szCs w:val="22"/>
                </w:rPr>
                <w:t>Résolution 1332 (modifiée 2019)</w:t>
              </w:r>
            </w:hyperlink>
            <w:r w:rsidRPr="00F05A8A">
              <w:rPr>
                <w:rFonts w:eastAsia="Calibri"/>
                <w:sz w:val="22"/>
                <w:szCs w:val="22"/>
              </w:rPr>
              <w:t>, les membres de l'UIT ont décidé d'utiliser le cadre du SMSI comme base pour l'appui que l'UIT apporte au monde en matière d'exploitation des TIC pour réaliser le Programme de développement durable à l'horizon 2030, dans le cadre du mandat de l'Union.</w:t>
            </w:r>
          </w:p>
          <w:p w14:paraId="37C1E4D0" w14:textId="77777777" w:rsidR="00D80461" w:rsidRPr="00F05A8A" w:rsidRDefault="00D80461" w:rsidP="002F075E">
            <w:pPr>
              <w:rPr>
                <w:rFonts w:eastAsia="Calibri"/>
                <w:sz w:val="22"/>
                <w:szCs w:val="22"/>
              </w:rPr>
            </w:pPr>
            <w:r w:rsidRPr="00F05A8A">
              <w:rPr>
                <w:rFonts w:eastAsia="Calibri"/>
                <w:sz w:val="22"/>
                <w:szCs w:val="22"/>
              </w:rPr>
              <w:t xml:space="preserve">Conformément à la </w:t>
            </w:r>
            <w:hyperlink r:id="rId443" w:history="1">
              <w:r w:rsidRPr="00F05A8A">
                <w:rPr>
                  <w:rStyle w:val="Hyperlink"/>
                  <w:rFonts w:eastAsia="Calibri"/>
                  <w:sz w:val="22"/>
                  <w:szCs w:val="22"/>
                </w:rPr>
                <w:t>Résolution 1332 (modifiée 2019)</w:t>
              </w:r>
            </w:hyperlink>
            <w:r w:rsidRPr="00F05A8A">
              <w:rPr>
                <w:rFonts w:eastAsia="Calibri"/>
                <w:sz w:val="22"/>
                <w:szCs w:val="22"/>
              </w:rPr>
              <w:t>, l'UIT élabore des rapports annuels sur le thème "</w:t>
            </w:r>
            <w:r w:rsidRPr="00F05A8A">
              <w:rPr>
                <w:rFonts w:eastAsia="Calibri"/>
                <w:i/>
                <w:sz w:val="22"/>
                <w:szCs w:val="22"/>
              </w:rPr>
              <w:t>Contribution de l'UIT à la mise en œuvre des résultats du SMSI"</w:t>
            </w:r>
            <w:r w:rsidRPr="00F05A8A">
              <w:rPr>
                <w:rFonts w:eastAsia="Calibri"/>
                <w:sz w:val="22"/>
                <w:szCs w:val="22"/>
              </w:rPr>
              <w:t xml:space="preserve">, qui donnent un aperçu des activités et des projets menés par l'UIT dans le cadre de la mise en œuvre des résultats du SMSI, qui sont également liés au Programme de développement durable à l'horizon 2030. Les rapports pour chaque année sont disponibles </w:t>
            </w:r>
            <w:hyperlink r:id="rId444" w:history="1">
              <w:r w:rsidRPr="00F05A8A">
                <w:rPr>
                  <w:rStyle w:val="Hyperlink"/>
                  <w:rFonts w:eastAsia="Calibri"/>
                  <w:sz w:val="22"/>
                  <w:szCs w:val="22"/>
                </w:rPr>
                <w:t>ici</w:t>
              </w:r>
            </w:hyperlink>
            <w:r w:rsidRPr="00F05A8A">
              <w:rPr>
                <w:rFonts w:eastAsia="Calibri"/>
                <w:sz w:val="22"/>
                <w:szCs w:val="22"/>
              </w:rPr>
              <w:t>.</w:t>
            </w:r>
          </w:p>
          <w:p w14:paraId="2473CDF1" w14:textId="3847E59E" w:rsidR="00D80461" w:rsidRPr="00F05A8A" w:rsidRDefault="00D80461" w:rsidP="002F075E">
            <w:pPr>
              <w:spacing w:after="120"/>
              <w:rPr>
                <w:b/>
                <w:sz w:val="22"/>
                <w:szCs w:val="22"/>
              </w:rPr>
            </w:pPr>
            <w:r w:rsidRPr="00F05A8A">
              <w:rPr>
                <w:rFonts w:eastAsia="Calibri"/>
                <w:sz w:val="22"/>
                <w:szCs w:val="22"/>
              </w:rPr>
              <w:t xml:space="preserve">Les </w:t>
            </w:r>
            <w:hyperlink r:id="rId445" w:history="1">
              <w:r w:rsidRPr="00F05A8A">
                <w:rPr>
                  <w:rStyle w:val="Hyperlink"/>
                  <w:rFonts w:eastAsia="Calibri"/>
                  <w:bCs/>
                  <w:i/>
                  <w:sz w:val="22"/>
                  <w:szCs w:val="22"/>
                </w:rPr>
                <w:t>Feuilles de route de l'UIT pour les grandes orientations C2, C4, C5, et C6 du SMSI</w:t>
              </w:r>
            </w:hyperlink>
            <w:r w:rsidRPr="00F05A8A">
              <w:rPr>
                <w:rFonts w:eastAsia="Calibri"/>
                <w:sz w:val="22"/>
                <w:szCs w:val="22"/>
              </w:rPr>
              <w:t xml:space="preserve"> offrent une vision large et un aperçu détaillé des activités prévues dans le cadre du mandat de l'Union. L'UIT est le coordonnateur principal et responsable de la mise en œuvre des grandes orientations C2 (Infrastructure de l'information et de la communication), C5 (Cybersécurité) et C6 (Environnement propice) du SMSI. Elle joue aussi le rôle de coordonnateur principal et de responsable de la mise en œuvre de la grande orientation C4 du SMSI (Renforcement des capacités). La prochaine édition des Feuilles de route intégrera les activités de l'UIT concernant la mise en œuvre de la grande orientation C4 du SMSI et sera rédigée conformément au modèle approuvé lors de la </w:t>
            </w:r>
            <w:hyperlink r:id="rId446" w:history="1">
              <w:r w:rsidRPr="00F05A8A">
                <w:rPr>
                  <w:rStyle w:val="Hyperlink"/>
                  <w:rFonts w:eastAsia="Calibri"/>
                  <w:bCs/>
                  <w:sz w:val="22"/>
                  <w:szCs w:val="22"/>
                </w:rPr>
                <w:t>36ème réunion du GTC-SMSI/ODD</w:t>
              </w:r>
            </w:hyperlink>
            <w:r w:rsidRPr="00F05A8A">
              <w:rPr>
                <w:rFonts w:eastAsia="Calibri"/>
                <w:sz w:val="22"/>
                <w:szCs w:val="22"/>
              </w:rPr>
              <w:t xml:space="preserve"> en janvier 2021. Cette version sera élaborée conformément au Plan stratégique de l'Union pour la période 2024-2027, intégrant les résultats de l'AMNT-20 et de la CMDT-</w:t>
            </w:r>
            <w:r w:rsidR="005654D0" w:rsidRPr="00F05A8A">
              <w:rPr>
                <w:rFonts w:eastAsia="Calibri"/>
                <w:sz w:val="22"/>
                <w:szCs w:val="22"/>
              </w:rPr>
              <w:t>22</w:t>
            </w:r>
            <w:r w:rsidRPr="00F05A8A">
              <w:rPr>
                <w:rFonts w:eastAsia="Calibri"/>
                <w:sz w:val="22"/>
                <w:szCs w:val="22"/>
              </w:rPr>
              <w:t>.</w:t>
            </w:r>
          </w:p>
        </w:tc>
      </w:tr>
      <w:tr w:rsidR="00D80461" w:rsidRPr="00F05A8A" w14:paraId="11A08556" w14:textId="77777777" w:rsidTr="00142C01">
        <w:tc>
          <w:tcPr>
            <w:tcW w:w="10065" w:type="dxa"/>
          </w:tcPr>
          <w:p w14:paraId="4B0F0079" w14:textId="77777777" w:rsidR="00D80461" w:rsidRPr="00F05A8A" w:rsidRDefault="00D80461" w:rsidP="002F075E">
            <w:pPr>
              <w:pStyle w:val="Headingb"/>
              <w:spacing w:before="120"/>
              <w:rPr>
                <w:sz w:val="22"/>
                <w:szCs w:val="22"/>
              </w:rPr>
            </w:pPr>
            <w:bookmarkStart w:id="616" w:name="_Toc72845136"/>
            <w:bookmarkStart w:id="617" w:name="_Toc72846460"/>
            <w:bookmarkStart w:id="618" w:name="_Toc72846710"/>
            <w:bookmarkStart w:id="619" w:name="_Toc95387564"/>
            <w:r w:rsidRPr="00F05A8A">
              <w:rPr>
                <w:sz w:val="22"/>
                <w:szCs w:val="22"/>
              </w:rPr>
              <w:lastRenderedPageBreak/>
              <w:t>Résolution 151 (Rév. Dubaï, 2018) – Amélioration de la gestion axée sur les résultats à l'UIT</w:t>
            </w:r>
            <w:bookmarkEnd w:id="616"/>
            <w:bookmarkEnd w:id="617"/>
            <w:bookmarkEnd w:id="618"/>
            <w:bookmarkEnd w:id="619"/>
          </w:p>
          <w:p w14:paraId="19920397" w14:textId="77777777" w:rsidR="00D80461" w:rsidRPr="00F05A8A" w:rsidRDefault="00D80461" w:rsidP="002F075E">
            <w:pPr>
              <w:spacing w:after="120"/>
              <w:rPr>
                <w:sz w:val="22"/>
                <w:szCs w:val="22"/>
              </w:rPr>
            </w:pPr>
            <w:r w:rsidRPr="00F05A8A">
              <w:rPr>
                <w:sz w:val="22"/>
                <w:szCs w:val="22"/>
              </w:rPr>
              <w:t xml:space="preserve">Voir le Plan opérationnel quadriennal glissant de l'Union pour la période 2021-2024 </w:t>
            </w:r>
            <w:hyperlink r:id="rId447" w:history="1">
              <w:r w:rsidRPr="00F05A8A">
                <w:rPr>
                  <w:rStyle w:val="Hyperlink"/>
                  <w:sz w:val="22"/>
                  <w:szCs w:val="22"/>
                </w:rPr>
                <w:t>ici</w:t>
              </w:r>
            </w:hyperlink>
            <w:r w:rsidRPr="00F05A8A">
              <w:rPr>
                <w:sz w:val="22"/>
                <w:szCs w:val="22"/>
              </w:rPr>
              <w:t xml:space="preserve"> et la </w:t>
            </w:r>
            <w:hyperlink w:anchor="Section_3" w:history="1">
              <w:r w:rsidRPr="00F05A8A">
                <w:rPr>
                  <w:rStyle w:val="Hyperlink"/>
                  <w:sz w:val="22"/>
                  <w:szCs w:val="22"/>
                </w:rPr>
                <w:t>section 3</w:t>
              </w:r>
            </w:hyperlink>
            <w:r w:rsidRPr="00F05A8A">
              <w:rPr>
                <w:sz w:val="22"/>
                <w:szCs w:val="22"/>
              </w:rPr>
              <w:t>. Les budgets pour 2020-2021 et 2022-2023 adoptés par le Conseil à ses sessions de 2019 et de 2021 sont conformes aux principes de la budgétisation axée sur les résultats (BAR).</w:t>
            </w:r>
          </w:p>
        </w:tc>
      </w:tr>
      <w:tr w:rsidR="00D80461" w:rsidRPr="00F05A8A" w14:paraId="6DA9729E" w14:textId="77777777" w:rsidTr="00142C01">
        <w:tc>
          <w:tcPr>
            <w:tcW w:w="10065" w:type="dxa"/>
          </w:tcPr>
          <w:p w14:paraId="5627E0AC" w14:textId="77777777" w:rsidR="00D80461" w:rsidRPr="00F05A8A" w:rsidRDefault="00D80461" w:rsidP="002F075E">
            <w:pPr>
              <w:pStyle w:val="Headingb"/>
              <w:keepNext w:val="0"/>
              <w:keepLines w:val="0"/>
              <w:spacing w:before="120"/>
              <w:ind w:left="0" w:firstLine="0"/>
              <w:rPr>
                <w:sz w:val="22"/>
                <w:szCs w:val="22"/>
              </w:rPr>
            </w:pPr>
            <w:bookmarkStart w:id="620" w:name="_Toc72845137"/>
            <w:bookmarkStart w:id="621" w:name="_Toc72846461"/>
            <w:bookmarkStart w:id="622" w:name="_Toc72846711"/>
            <w:bookmarkStart w:id="623" w:name="_Toc95387565"/>
            <w:r w:rsidRPr="00F05A8A">
              <w:rPr>
                <w:sz w:val="22"/>
                <w:szCs w:val="22"/>
              </w:rPr>
              <w:t>Résolution 154 (Rév. Dubaï, 2018) – Utilisation des six langues officielles de l'Union sur un pied d'égalité</w:t>
            </w:r>
            <w:bookmarkEnd w:id="620"/>
            <w:bookmarkEnd w:id="621"/>
            <w:bookmarkEnd w:id="622"/>
            <w:bookmarkEnd w:id="623"/>
          </w:p>
          <w:p w14:paraId="52E31BAC" w14:textId="3C32009E" w:rsidR="005778E1" w:rsidRPr="00F05A8A" w:rsidRDefault="00047B2A" w:rsidP="002F075E">
            <w:pPr>
              <w:spacing w:after="120"/>
              <w:rPr>
                <w:rFonts w:eastAsia="Calibri"/>
                <w:sz w:val="22"/>
                <w:szCs w:val="22"/>
              </w:rPr>
            </w:pPr>
            <w:r w:rsidRPr="00F05A8A">
              <w:rPr>
                <w:rFonts w:eastAsia="Calibri"/>
                <w:sz w:val="22"/>
                <w:szCs w:val="22"/>
              </w:rPr>
              <w:t xml:space="preserve">L'UIT continue </w:t>
            </w:r>
            <w:r w:rsidR="0077057D" w:rsidRPr="00F05A8A">
              <w:rPr>
                <w:rFonts w:eastAsia="Calibri"/>
                <w:sz w:val="22"/>
                <w:szCs w:val="22"/>
              </w:rPr>
              <w:t>de progresser sensiblement dans l</w:t>
            </w:r>
            <w:r w:rsidR="00CF5980" w:rsidRPr="00F05A8A">
              <w:rPr>
                <w:rFonts w:eastAsia="Calibri"/>
                <w:sz w:val="22"/>
                <w:szCs w:val="22"/>
              </w:rPr>
              <w:t>'</w:t>
            </w:r>
            <w:r w:rsidR="0077057D" w:rsidRPr="00F05A8A">
              <w:rPr>
                <w:rFonts w:eastAsia="Calibri"/>
                <w:sz w:val="22"/>
                <w:szCs w:val="22"/>
              </w:rPr>
              <w:t>action menée pour garantir</w:t>
            </w:r>
            <w:r w:rsidR="00CF5980" w:rsidRPr="00F05A8A">
              <w:rPr>
                <w:rFonts w:eastAsia="Calibri"/>
                <w:sz w:val="22"/>
                <w:szCs w:val="22"/>
              </w:rPr>
              <w:t xml:space="preserve"> </w:t>
            </w:r>
            <w:r w:rsidR="004752C8" w:rsidRPr="00F05A8A">
              <w:rPr>
                <w:rFonts w:eastAsia="Calibri"/>
                <w:sz w:val="22"/>
                <w:szCs w:val="22"/>
              </w:rPr>
              <w:t xml:space="preserve">l'utilisation des six langues officielles de l'Union sur un pied d'égalité. </w:t>
            </w:r>
            <w:r w:rsidR="00B02A6F" w:rsidRPr="00F05A8A">
              <w:rPr>
                <w:rFonts w:eastAsia="Calibri"/>
                <w:sz w:val="22"/>
                <w:szCs w:val="22"/>
              </w:rPr>
              <w:t xml:space="preserve">Entre 2019 et 2022, le budget </w:t>
            </w:r>
            <w:r w:rsidR="00263FAD" w:rsidRPr="00F05A8A">
              <w:rPr>
                <w:rFonts w:eastAsia="Calibri"/>
                <w:sz w:val="22"/>
                <w:szCs w:val="22"/>
              </w:rPr>
              <w:t xml:space="preserve">et les procédures </w:t>
            </w:r>
            <w:r w:rsidR="003772F5" w:rsidRPr="00F05A8A">
              <w:rPr>
                <w:rFonts w:eastAsia="Calibri"/>
                <w:sz w:val="22"/>
                <w:szCs w:val="22"/>
              </w:rPr>
              <w:t>pour la traduction et l</w:t>
            </w:r>
            <w:r w:rsidR="00263FAD" w:rsidRPr="00F05A8A">
              <w:rPr>
                <w:rFonts w:eastAsia="Calibri"/>
                <w:sz w:val="22"/>
                <w:szCs w:val="22"/>
              </w:rPr>
              <w:t>'interprétation dans les six langue</w:t>
            </w:r>
            <w:r w:rsidR="0073653A" w:rsidRPr="00F05A8A">
              <w:rPr>
                <w:rFonts w:eastAsia="Calibri"/>
                <w:sz w:val="22"/>
                <w:szCs w:val="22"/>
              </w:rPr>
              <w:t xml:space="preserve">s officielles ont été analysés. </w:t>
            </w:r>
            <w:r w:rsidR="0066212F" w:rsidRPr="00F05A8A">
              <w:rPr>
                <w:rFonts w:eastAsia="Calibri"/>
                <w:sz w:val="22"/>
                <w:szCs w:val="22"/>
              </w:rPr>
              <w:t>À</w:t>
            </w:r>
            <w:r w:rsidR="0077057D" w:rsidRPr="00F05A8A">
              <w:rPr>
                <w:rFonts w:eastAsia="Calibri"/>
                <w:sz w:val="22"/>
                <w:szCs w:val="22"/>
              </w:rPr>
              <w:t xml:space="preserve"> cette fin,</w:t>
            </w:r>
            <w:r w:rsidR="005808EC" w:rsidRPr="00F05A8A">
              <w:rPr>
                <w:rFonts w:eastAsia="Calibri"/>
                <w:sz w:val="22"/>
                <w:szCs w:val="22"/>
              </w:rPr>
              <w:t xml:space="preserve"> </w:t>
            </w:r>
            <w:r w:rsidR="003E7DBA" w:rsidRPr="00F05A8A">
              <w:rPr>
                <w:rFonts w:eastAsia="Calibri"/>
                <w:sz w:val="22"/>
                <w:szCs w:val="22"/>
              </w:rPr>
              <w:t xml:space="preserve">des statistiques sur l'utilisation, le téléchargement et </w:t>
            </w:r>
            <w:r w:rsidR="003223B8" w:rsidRPr="00F05A8A">
              <w:rPr>
                <w:rFonts w:eastAsia="Calibri"/>
                <w:sz w:val="22"/>
                <w:szCs w:val="22"/>
              </w:rPr>
              <w:t>l'achat des différentes versions linguistiques des documents de l'UIT</w:t>
            </w:r>
            <w:r w:rsidR="00CF5980" w:rsidRPr="00F05A8A">
              <w:rPr>
                <w:rFonts w:eastAsia="Calibri"/>
                <w:sz w:val="22"/>
                <w:szCs w:val="22"/>
              </w:rPr>
              <w:t xml:space="preserve"> </w:t>
            </w:r>
            <w:r w:rsidR="00307227" w:rsidRPr="00F05A8A">
              <w:rPr>
                <w:rFonts w:eastAsia="Calibri"/>
                <w:sz w:val="22"/>
                <w:szCs w:val="22"/>
              </w:rPr>
              <w:t>ont été</w:t>
            </w:r>
            <w:r w:rsidR="00CF5980" w:rsidRPr="00F05A8A">
              <w:rPr>
                <w:rFonts w:eastAsia="Calibri"/>
                <w:sz w:val="22"/>
                <w:szCs w:val="22"/>
              </w:rPr>
              <w:t xml:space="preserve"> </w:t>
            </w:r>
            <w:r w:rsidR="00307227" w:rsidRPr="00F05A8A">
              <w:rPr>
                <w:rFonts w:eastAsia="Calibri"/>
                <w:sz w:val="22"/>
                <w:szCs w:val="22"/>
              </w:rPr>
              <w:t xml:space="preserve">recueillies et analysées </w:t>
            </w:r>
            <w:r w:rsidR="003223B8" w:rsidRPr="00F05A8A">
              <w:rPr>
                <w:rFonts w:eastAsia="Calibri"/>
                <w:sz w:val="22"/>
                <w:szCs w:val="22"/>
              </w:rPr>
              <w:t>et</w:t>
            </w:r>
            <w:r w:rsidR="00CF5980" w:rsidRPr="00F05A8A">
              <w:rPr>
                <w:rFonts w:eastAsia="Calibri"/>
                <w:sz w:val="22"/>
                <w:szCs w:val="22"/>
              </w:rPr>
              <w:t xml:space="preserve"> </w:t>
            </w:r>
            <w:r w:rsidR="003223B8" w:rsidRPr="00F05A8A">
              <w:rPr>
                <w:rFonts w:eastAsia="Calibri"/>
                <w:sz w:val="22"/>
                <w:szCs w:val="22"/>
              </w:rPr>
              <w:t>les services ayant trait aux documents et aux publications de l'UIT</w:t>
            </w:r>
            <w:r w:rsidR="00307227" w:rsidRPr="00F05A8A">
              <w:rPr>
                <w:rFonts w:eastAsia="Calibri"/>
                <w:sz w:val="22"/>
                <w:szCs w:val="22"/>
              </w:rPr>
              <w:t xml:space="preserve"> ont été</w:t>
            </w:r>
            <w:r w:rsidR="00CF5980" w:rsidRPr="00F05A8A">
              <w:rPr>
                <w:rFonts w:eastAsia="Calibri"/>
                <w:sz w:val="22"/>
                <w:szCs w:val="22"/>
              </w:rPr>
              <w:t xml:space="preserve"> </w:t>
            </w:r>
            <w:r w:rsidR="00307227" w:rsidRPr="00F05A8A">
              <w:rPr>
                <w:rFonts w:eastAsia="Calibri"/>
                <w:sz w:val="22"/>
                <w:szCs w:val="22"/>
              </w:rPr>
              <w:t>examinés</w:t>
            </w:r>
            <w:r w:rsidR="003223B8" w:rsidRPr="00F05A8A">
              <w:rPr>
                <w:rFonts w:eastAsia="Calibri"/>
                <w:sz w:val="22"/>
                <w:szCs w:val="22"/>
              </w:rPr>
              <w:t>, en vue d'éliminer tout chevauchement d'activités et de créer des synergies.</w:t>
            </w:r>
            <w:r w:rsidR="007430C8" w:rsidRPr="00F05A8A">
              <w:rPr>
                <w:rFonts w:eastAsia="Calibri"/>
                <w:sz w:val="22"/>
                <w:szCs w:val="22"/>
              </w:rPr>
              <w:t xml:space="preserve"> </w:t>
            </w:r>
            <w:r w:rsidR="00F95E30" w:rsidRPr="00F05A8A">
              <w:rPr>
                <w:rFonts w:eastAsia="Calibri"/>
                <w:sz w:val="22"/>
                <w:szCs w:val="22"/>
              </w:rPr>
              <w:t xml:space="preserve">L'évolution du budget affecté à la traduction des documents et </w:t>
            </w:r>
            <w:r w:rsidR="00E9409C" w:rsidRPr="00F05A8A">
              <w:rPr>
                <w:rFonts w:eastAsia="Calibri"/>
                <w:sz w:val="22"/>
                <w:szCs w:val="22"/>
              </w:rPr>
              <w:t>les volumes de traduction ont été étudiés</w:t>
            </w:r>
            <w:r w:rsidR="00307227" w:rsidRPr="00F05A8A">
              <w:rPr>
                <w:rFonts w:eastAsia="Calibri"/>
                <w:sz w:val="22"/>
                <w:szCs w:val="22"/>
              </w:rPr>
              <w:t>. Il</w:t>
            </w:r>
            <w:r w:rsidR="00CF5980" w:rsidRPr="00F05A8A">
              <w:rPr>
                <w:rFonts w:eastAsia="Calibri"/>
                <w:sz w:val="22"/>
                <w:szCs w:val="22"/>
              </w:rPr>
              <w:t xml:space="preserve"> </w:t>
            </w:r>
            <w:r w:rsidR="00E9409C" w:rsidRPr="00F05A8A">
              <w:rPr>
                <w:rFonts w:eastAsia="Calibri"/>
                <w:sz w:val="22"/>
                <w:szCs w:val="22"/>
              </w:rPr>
              <w:t xml:space="preserve">ressort </w:t>
            </w:r>
            <w:r w:rsidR="00652042" w:rsidRPr="00F05A8A">
              <w:rPr>
                <w:rFonts w:eastAsia="Calibri"/>
                <w:sz w:val="22"/>
                <w:szCs w:val="22"/>
              </w:rPr>
              <w:t xml:space="preserve">de cette étude </w:t>
            </w:r>
            <w:r w:rsidR="00E9409C" w:rsidRPr="00F05A8A">
              <w:rPr>
                <w:rFonts w:eastAsia="Calibri"/>
                <w:sz w:val="22"/>
                <w:szCs w:val="22"/>
              </w:rPr>
              <w:t xml:space="preserve">que </w:t>
            </w:r>
            <w:r w:rsidR="004971FA" w:rsidRPr="00F05A8A">
              <w:rPr>
                <w:rFonts w:eastAsia="Calibri"/>
                <w:sz w:val="22"/>
                <w:szCs w:val="22"/>
              </w:rPr>
              <w:t>les volumes de traduction continuent de refléter l'égalité de traitement des six langues officielles. Le secrétariat a établi un</w:t>
            </w:r>
            <w:r w:rsidR="001132D5" w:rsidRPr="00F05A8A">
              <w:rPr>
                <w:rFonts w:eastAsia="Calibri"/>
                <w:sz w:val="22"/>
                <w:szCs w:val="22"/>
              </w:rPr>
              <w:t xml:space="preserve"> </w:t>
            </w:r>
            <w:r w:rsidR="00392529" w:rsidRPr="00F05A8A">
              <w:rPr>
                <w:rFonts w:eastAsia="Calibri"/>
                <w:sz w:val="22"/>
                <w:szCs w:val="22"/>
              </w:rPr>
              <w:t>Groupe chargé de l'étude et de l'évaluation d'autres méthodes de traduction, présidé</w:t>
            </w:r>
            <w:r w:rsidR="00860479" w:rsidRPr="00F05A8A">
              <w:rPr>
                <w:rFonts w:eastAsia="Calibri"/>
                <w:sz w:val="22"/>
                <w:szCs w:val="22"/>
              </w:rPr>
              <w:t xml:space="preserve"> par le Vice</w:t>
            </w:r>
            <w:r w:rsidR="0066212F" w:rsidRPr="00F05A8A">
              <w:rPr>
                <w:rFonts w:eastAsia="Calibri"/>
                <w:sz w:val="22"/>
                <w:szCs w:val="22"/>
              </w:rPr>
              <w:noBreakHyphen/>
            </w:r>
            <w:r w:rsidR="00860479" w:rsidRPr="00F05A8A">
              <w:rPr>
                <w:rFonts w:eastAsia="Calibri"/>
                <w:sz w:val="22"/>
                <w:szCs w:val="22"/>
              </w:rPr>
              <w:t>Secrétaire général, qui a examiné et mis à jour les mesures et</w:t>
            </w:r>
            <w:r w:rsidR="00CF5980" w:rsidRPr="00F05A8A">
              <w:rPr>
                <w:rFonts w:eastAsia="Calibri"/>
                <w:sz w:val="22"/>
                <w:szCs w:val="22"/>
              </w:rPr>
              <w:t xml:space="preserve"> </w:t>
            </w:r>
            <w:r w:rsidR="00860479" w:rsidRPr="00F05A8A">
              <w:rPr>
                <w:rFonts w:eastAsia="Calibri"/>
                <w:sz w:val="22"/>
                <w:szCs w:val="22"/>
              </w:rPr>
              <w:t>principes régissant l'interprétation et la traduction à l'UIT.</w:t>
            </w:r>
            <w:r w:rsidR="00B243E6" w:rsidRPr="00F05A8A">
              <w:rPr>
                <w:rFonts w:eastAsia="Calibri"/>
                <w:sz w:val="22"/>
                <w:szCs w:val="22"/>
              </w:rPr>
              <w:t xml:space="preserve"> </w:t>
            </w:r>
            <w:r w:rsidR="002508A2" w:rsidRPr="00F05A8A">
              <w:rPr>
                <w:rFonts w:eastAsia="Calibri"/>
                <w:sz w:val="22"/>
                <w:szCs w:val="22"/>
              </w:rPr>
              <w:t xml:space="preserve">Les mesures </w:t>
            </w:r>
            <w:r w:rsidR="000B73A4" w:rsidRPr="00F05A8A">
              <w:rPr>
                <w:rFonts w:eastAsia="Calibri"/>
                <w:sz w:val="22"/>
                <w:szCs w:val="22"/>
              </w:rPr>
              <w:t>actualisées</w:t>
            </w:r>
            <w:r w:rsidR="00A55212" w:rsidRPr="00F05A8A">
              <w:rPr>
                <w:rFonts w:eastAsia="Calibri"/>
                <w:sz w:val="22"/>
                <w:szCs w:val="22"/>
              </w:rPr>
              <w:t xml:space="preserve"> ont été approuvées et le secrétariat les applique systématiqu</w:t>
            </w:r>
            <w:r w:rsidR="00616160" w:rsidRPr="00F05A8A">
              <w:rPr>
                <w:rFonts w:eastAsia="Calibri"/>
                <w:sz w:val="22"/>
                <w:szCs w:val="22"/>
              </w:rPr>
              <w:t>ement. Elles servent de référence pour la fourniture de</w:t>
            </w:r>
            <w:r w:rsidR="00CF5980" w:rsidRPr="00F05A8A">
              <w:rPr>
                <w:rFonts w:eastAsia="Calibri"/>
                <w:sz w:val="22"/>
                <w:szCs w:val="22"/>
              </w:rPr>
              <w:t xml:space="preserve"> </w:t>
            </w:r>
            <w:r w:rsidR="00616160" w:rsidRPr="00F05A8A">
              <w:rPr>
                <w:rFonts w:eastAsia="Calibri"/>
                <w:sz w:val="22"/>
                <w:szCs w:val="22"/>
              </w:rPr>
              <w:t xml:space="preserve">services de traduction et d'interprétation pour les conférences, les réunions, les documents et les publications de l'UIT. </w:t>
            </w:r>
            <w:r w:rsidR="004304D4" w:rsidRPr="00F05A8A">
              <w:rPr>
                <w:rFonts w:eastAsia="Calibri"/>
                <w:sz w:val="22"/>
                <w:szCs w:val="22"/>
              </w:rPr>
              <w:t xml:space="preserve">Un certain nombre de projets pilotes sur l'utilisation d'autres méthodes de traduction, d'interprétation et de sous-titrage ont été </w:t>
            </w:r>
            <w:r w:rsidR="00B243E6" w:rsidRPr="00F05A8A">
              <w:rPr>
                <w:rFonts w:eastAsia="Calibri"/>
                <w:sz w:val="22"/>
                <w:szCs w:val="22"/>
              </w:rPr>
              <w:t>menés</w:t>
            </w:r>
            <w:r w:rsidR="00307227" w:rsidRPr="00F05A8A">
              <w:rPr>
                <w:rFonts w:eastAsia="Calibri"/>
                <w:sz w:val="22"/>
                <w:szCs w:val="22"/>
              </w:rPr>
              <w:t xml:space="preserve"> à bien</w:t>
            </w:r>
            <w:r w:rsidR="00B243E6" w:rsidRPr="00F05A8A">
              <w:rPr>
                <w:rFonts w:eastAsia="Calibri"/>
                <w:sz w:val="22"/>
                <w:szCs w:val="22"/>
              </w:rPr>
              <w:t>.</w:t>
            </w:r>
            <w:r w:rsidR="00DB4DF8" w:rsidRPr="00F05A8A">
              <w:rPr>
                <w:rFonts w:eastAsia="Calibri"/>
                <w:sz w:val="22"/>
                <w:szCs w:val="22"/>
              </w:rPr>
              <w:t xml:space="preserve"> </w:t>
            </w:r>
            <w:r w:rsidR="0028757B" w:rsidRPr="00F05A8A">
              <w:rPr>
                <w:rFonts w:eastAsia="Calibri"/>
                <w:sz w:val="22"/>
                <w:szCs w:val="22"/>
              </w:rPr>
              <w:t>Ils concernaient notamment</w:t>
            </w:r>
            <w:r w:rsidR="002F73ED" w:rsidRPr="00F05A8A">
              <w:rPr>
                <w:rFonts w:eastAsia="Calibri"/>
                <w:sz w:val="22"/>
                <w:szCs w:val="22"/>
              </w:rPr>
              <w:t xml:space="preserve"> l'utilisation de la </w:t>
            </w:r>
            <w:r w:rsidR="005E1137" w:rsidRPr="00F05A8A">
              <w:rPr>
                <w:rFonts w:eastAsia="Calibri"/>
                <w:sz w:val="22"/>
                <w:szCs w:val="22"/>
              </w:rPr>
              <w:t xml:space="preserve">traduction automatique </w:t>
            </w:r>
            <w:r w:rsidR="001D4EDF" w:rsidRPr="00F05A8A">
              <w:rPr>
                <w:rFonts w:eastAsia="Calibri"/>
                <w:sz w:val="22"/>
                <w:szCs w:val="22"/>
              </w:rPr>
              <w:t>par réseau neuronal pour la tr</w:t>
            </w:r>
            <w:r w:rsidR="00B25A61" w:rsidRPr="00F05A8A">
              <w:rPr>
                <w:rFonts w:eastAsia="Calibri"/>
                <w:sz w:val="22"/>
                <w:szCs w:val="22"/>
              </w:rPr>
              <w:t xml:space="preserve">aduction des pages web de l'UIT, éditées à posteriori par des traducteurs </w:t>
            </w:r>
            <w:r w:rsidR="00F67675" w:rsidRPr="00F05A8A">
              <w:rPr>
                <w:rFonts w:eastAsia="Calibri"/>
                <w:sz w:val="22"/>
                <w:szCs w:val="22"/>
              </w:rPr>
              <w:t xml:space="preserve">via l'outil </w:t>
            </w:r>
            <w:r w:rsidR="003A46EF" w:rsidRPr="00F05A8A">
              <w:rPr>
                <w:rFonts w:eastAsia="Calibri"/>
                <w:sz w:val="22"/>
                <w:szCs w:val="22"/>
              </w:rPr>
              <w:t>de traduction automatique par réseau neuronal</w:t>
            </w:r>
            <w:r w:rsidR="004C2F6C" w:rsidRPr="00F05A8A">
              <w:rPr>
                <w:rFonts w:eastAsia="Calibri"/>
                <w:sz w:val="22"/>
                <w:szCs w:val="22"/>
              </w:rPr>
              <w:t xml:space="preserve"> conçu en</w:t>
            </w:r>
            <w:r w:rsidR="003A46EF" w:rsidRPr="00F05A8A">
              <w:rPr>
                <w:rFonts w:eastAsia="Calibri"/>
                <w:sz w:val="22"/>
                <w:szCs w:val="22"/>
              </w:rPr>
              <w:t xml:space="preserve"> interne, ITU Translate, </w:t>
            </w:r>
            <w:r w:rsidR="00504745" w:rsidRPr="00F05A8A">
              <w:rPr>
                <w:rFonts w:eastAsia="Calibri"/>
                <w:sz w:val="22"/>
                <w:szCs w:val="22"/>
              </w:rPr>
              <w:t xml:space="preserve">ainsi que l'adoption </w:t>
            </w:r>
            <w:r w:rsidR="00F600B3" w:rsidRPr="00F05A8A">
              <w:rPr>
                <w:rFonts w:eastAsia="Calibri"/>
                <w:sz w:val="22"/>
                <w:szCs w:val="22"/>
              </w:rPr>
              <w:t xml:space="preserve">des </w:t>
            </w:r>
            <w:r w:rsidR="00504745" w:rsidRPr="00F05A8A">
              <w:rPr>
                <w:rFonts w:eastAsia="Calibri"/>
                <w:sz w:val="22"/>
                <w:szCs w:val="22"/>
              </w:rPr>
              <w:t xml:space="preserve">outils de traduction assistée par ordinateur. </w:t>
            </w:r>
            <w:r w:rsidR="001F00EC" w:rsidRPr="00F05A8A">
              <w:rPr>
                <w:rFonts w:eastAsia="Calibri"/>
                <w:sz w:val="22"/>
                <w:szCs w:val="22"/>
              </w:rPr>
              <w:t xml:space="preserve">En outre, les traducteurs ont été formés </w:t>
            </w:r>
            <w:r w:rsidR="00307227" w:rsidRPr="00F05A8A">
              <w:rPr>
                <w:rFonts w:eastAsia="Calibri"/>
                <w:sz w:val="22"/>
                <w:szCs w:val="22"/>
              </w:rPr>
              <w:t>à la traduction des</w:t>
            </w:r>
            <w:r w:rsidR="00CF5980" w:rsidRPr="00F05A8A">
              <w:rPr>
                <w:rFonts w:eastAsia="Calibri"/>
                <w:sz w:val="22"/>
                <w:szCs w:val="22"/>
              </w:rPr>
              <w:t xml:space="preserve"> </w:t>
            </w:r>
            <w:r w:rsidR="001F00EC" w:rsidRPr="00F05A8A">
              <w:rPr>
                <w:rFonts w:eastAsia="Calibri"/>
                <w:sz w:val="22"/>
                <w:szCs w:val="22"/>
              </w:rPr>
              <w:t xml:space="preserve">pages web </w:t>
            </w:r>
            <w:r w:rsidR="001F00EC" w:rsidRPr="00F05A8A">
              <w:rPr>
                <w:rFonts w:eastAsia="Calibri"/>
                <w:sz w:val="22"/>
                <w:szCs w:val="22"/>
              </w:rPr>
              <w:lastRenderedPageBreak/>
              <w:t xml:space="preserve">directement </w:t>
            </w:r>
            <w:r w:rsidR="00752653" w:rsidRPr="00F05A8A">
              <w:rPr>
                <w:rFonts w:eastAsia="Calibri"/>
                <w:sz w:val="22"/>
                <w:szCs w:val="22"/>
              </w:rPr>
              <w:t>sur</w:t>
            </w:r>
            <w:r w:rsidR="001F00EC" w:rsidRPr="00F05A8A">
              <w:rPr>
                <w:rFonts w:eastAsia="Calibri"/>
                <w:sz w:val="22"/>
                <w:szCs w:val="22"/>
              </w:rPr>
              <w:t xml:space="preserve"> plusieurs plate</w:t>
            </w:r>
            <w:r w:rsidR="0066212F" w:rsidRPr="00F05A8A">
              <w:rPr>
                <w:rFonts w:eastAsia="Calibri"/>
                <w:sz w:val="22"/>
                <w:szCs w:val="22"/>
              </w:rPr>
              <w:t>s</w:t>
            </w:r>
            <w:r w:rsidR="00C71CB5" w:rsidRPr="00F05A8A">
              <w:rPr>
                <w:rFonts w:eastAsia="Calibri"/>
                <w:sz w:val="22"/>
                <w:szCs w:val="22"/>
              </w:rPr>
              <w:t xml:space="preserve">-formes web. </w:t>
            </w:r>
            <w:r w:rsidR="0067357C" w:rsidRPr="00F05A8A">
              <w:rPr>
                <w:rFonts w:eastAsia="Calibri"/>
                <w:sz w:val="22"/>
                <w:szCs w:val="22"/>
              </w:rPr>
              <w:t xml:space="preserve">L'UIT procède actuellement à la migration </w:t>
            </w:r>
            <w:r w:rsidR="00083267" w:rsidRPr="00F05A8A">
              <w:rPr>
                <w:rFonts w:eastAsia="Calibri"/>
                <w:sz w:val="22"/>
                <w:szCs w:val="22"/>
              </w:rPr>
              <w:t xml:space="preserve">des systèmes vers une plate-forme d'hébergement du site web </w:t>
            </w:r>
            <w:r w:rsidR="000D6632" w:rsidRPr="00F05A8A">
              <w:rPr>
                <w:rFonts w:eastAsia="Calibri"/>
                <w:sz w:val="22"/>
                <w:szCs w:val="22"/>
              </w:rPr>
              <w:t xml:space="preserve">plus dynamique et fonctionnelle, qui </w:t>
            </w:r>
            <w:r w:rsidR="0020561F" w:rsidRPr="00F05A8A">
              <w:rPr>
                <w:rFonts w:eastAsia="Calibri"/>
                <w:sz w:val="22"/>
                <w:szCs w:val="22"/>
              </w:rPr>
              <w:t>renforcera</w:t>
            </w:r>
            <w:r w:rsidR="000D6632" w:rsidRPr="00F05A8A">
              <w:rPr>
                <w:rFonts w:eastAsia="Calibri"/>
                <w:sz w:val="22"/>
                <w:szCs w:val="22"/>
              </w:rPr>
              <w:t xml:space="preserve"> </w:t>
            </w:r>
            <w:r w:rsidR="0020561F" w:rsidRPr="00F05A8A">
              <w:rPr>
                <w:rFonts w:eastAsia="Calibri"/>
                <w:sz w:val="22"/>
                <w:szCs w:val="22"/>
              </w:rPr>
              <w:t>la gestion de l'appui technique pour le site et permettra la traduction utilisant l'apprentissage automatique et la traduction réalisée par des personnes pour une large gamme de produits web, y compris les blogs, les articles, les publications et les informations relatives aux manifestations dans l'espace réservé aux membres</w:t>
            </w:r>
            <w:r w:rsidR="005C602C" w:rsidRPr="00F05A8A">
              <w:rPr>
                <w:rFonts w:eastAsia="Calibri"/>
                <w:sz w:val="22"/>
                <w:szCs w:val="22"/>
              </w:rPr>
              <w:t>.</w:t>
            </w:r>
            <w:r w:rsidR="00DB4DF8" w:rsidRPr="00F05A8A">
              <w:rPr>
                <w:rFonts w:eastAsia="Calibri"/>
                <w:sz w:val="22"/>
                <w:szCs w:val="22"/>
              </w:rPr>
              <w:t xml:space="preserve"> </w:t>
            </w:r>
            <w:r w:rsidR="00580258" w:rsidRPr="00F05A8A">
              <w:rPr>
                <w:rFonts w:eastAsia="Calibri"/>
                <w:sz w:val="22"/>
                <w:szCs w:val="22"/>
              </w:rPr>
              <w:t xml:space="preserve">En outre, </w:t>
            </w:r>
            <w:r w:rsidR="008770D9" w:rsidRPr="00F05A8A">
              <w:rPr>
                <w:rFonts w:eastAsia="Calibri"/>
                <w:sz w:val="22"/>
                <w:szCs w:val="22"/>
              </w:rPr>
              <w:t>l'interprétation</w:t>
            </w:r>
            <w:r w:rsidR="00580258" w:rsidRPr="00F05A8A">
              <w:rPr>
                <w:rFonts w:eastAsia="Calibri"/>
                <w:sz w:val="22"/>
                <w:szCs w:val="22"/>
              </w:rPr>
              <w:t xml:space="preserve"> à distance </w:t>
            </w:r>
            <w:r w:rsidR="004B3D16" w:rsidRPr="00F05A8A">
              <w:rPr>
                <w:rFonts w:eastAsia="Calibri"/>
                <w:sz w:val="22"/>
                <w:szCs w:val="22"/>
              </w:rPr>
              <w:t xml:space="preserve">a </w:t>
            </w:r>
            <w:r w:rsidR="009D636D" w:rsidRPr="00F05A8A">
              <w:rPr>
                <w:rFonts w:eastAsia="Calibri"/>
                <w:sz w:val="22"/>
                <w:szCs w:val="22"/>
              </w:rPr>
              <w:t xml:space="preserve">été </w:t>
            </w:r>
            <w:r w:rsidR="008770D9" w:rsidRPr="00F05A8A">
              <w:rPr>
                <w:rFonts w:eastAsia="Calibri"/>
                <w:sz w:val="22"/>
                <w:szCs w:val="22"/>
              </w:rPr>
              <w:t>rendue possible</w:t>
            </w:r>
            <w:r w:rsidR="009D636D" w:rsidRPr="00F05A8A">
              <w:rPr>
                <w:rFonts w:eastAsia="Calibri"/>
                <w:sz w:val="22"/>
                <w:szCs w:val="22"/>
              </w:rPr>
              <w:t xml:space="preserve"> pour </w:t>
            </w:r>
            <w:r w:rsidR="00956890" w:rsidRPr="00F05A8A">
              <w:rPr>
                <w:rFonts w:eastAsia="Calibri"/>
                <w:sz w:val="22"/>
                <w:szCs w:val="22"/>
              </w:rPr>
              <w:t xml:space="preserve">appuyer les manifestations et les réunions en ligne et hybrides, principalement via l'utilisation de la plate-forme d'interprétation simultanée à distance. </w:t>
            </w:r>
            <w:r w:rsidR="007B020C" w:rsidRPr="00F05A8A">
              <w:rPr>
                <w:rFonts w:eastAsia="Calibri"/>
                <w:sz w:val="22"/>
                <w:szCs w:val="22"/>
              </w:rPr>
              <w:t>De plus</w:t>
            </w:r>
            <w:r w:rsidR="00CB5A83" w:rsidRPr="00F05A8A">
              <w:rPr>
                <w:rFonts w:eastAsia="Calibri"/>
                <w:sz w:val="22"/>
                <w:szCs w:val="22"/>
              </w:rPr>
              <w:t>, l</w:t>
            </w:r>
            <w:r w:rsidR="001D1FCE" w:rsidRPr="00F05A8A">
              <w:rPr>
                <w:rFonts w:eastAsia="Calibri"/>
                <w:sz w:val="22"/>
                <w:szCs w:val="22"/>
              </w:rPr>
              <w:t xml:space="preserve">e secrétariat a participé à des réunions interinstitutions visant à effectuer une analyse comparative des outils et des procédures </w:t>
            </w:r>
            <w:r w:rsidR="0053067A" w:rsidRPr="00F05A8A">
              <w:rPr>
                <w:rFonts w:eastAsia="Calibri"/>
                <w:sz w:val="22"/>
                <w:szCs w:val="22"/>
              </w:rPr>
              <w:t>propres</w:t>
            </w:r>
            <w:r w:rsidR="001D1FCE" w:rsidRPr="00F05A8A">
              <w:rPr>
                <w:rFonts w:eastAsia="Calibri"/>
                <w:sz w:val="22"/>
                <w:szCs w:val="22"/>
              </w:rPr>
              <w:t xml:space="preserve"> à augmenter </w:t>
            </w:r>
            <w:r w:rsidR="0053067A" w:rsidRPr="00F05A8A">
              <w:rPr>
                <w:rFonts w:eastAsia="Calibri"/>
                <w:sz w:val="22"/>
                <w:szCs w:val="22"/>
              </w:rPr>
              <w:t>l'efficacité et la productivité</w:t>
            </w:r>
            <w:r w:rsidR="00517A35" w:rsidRPr="00F05A8A">
              <w:rPr>
                <w:rFonts w:eastAsia="Calibri"/>
                <w:sz w:val="22"/>
                <w:szCs w:val="22"/>
              </w:rPr>
              <w:t xml:space="preserve"> et a </w:t>
            </w:r>
            <w:r w:rsidR="000E6390" w:rsidRPr="00F05A8A">
              <w:rPr>
                <w:rFonts w:eastAsia="Calibri"/>
                <w:sz w:val="22"/>
                <w:szCs w:val="22"/>
              </w:rPr>
              <w:t>continué de coopérer avec</w:t>
            </w:r>
            <w:r w:rsidR="00E95F7C" w:rsidRPr="00F05A8A">
              <w:rPr>
                <w:rFonts w:eastAsia="Calibri"/>
                <w:sz w:val="22"/>
                <w:szCs w:val="22"/>
              </w:rPr>
              <w:t xml:space="preserve"> le Comité de coordination de l'UIT pour la terminologie (CCT).</w:t>
            </w:r>
            <w:r w:rsidR="00713622" w:rsidRPr="00F05A8A">
              <w:rPr>
                <w:rFonts w:eastAsia="Calibri"/>
                <w:sz w:val="22"/>
                <w:szCs w:val="22"/>
              </w:rPr>
              <w:t xml:space="preserve"> </w:t>
            </w:r>
            <w:r w:rsidR="00AA3A7A" w:rsidRPr="00F05A8A">
              <w:rPr>
                <w:rFonts w:eastAsia="Calibri"/>
                <w:sz w:val="22"/>
                <w:szCs w:val="22"/>
              </w:rPr>
              <w:t>Des efforts continuent d'</w:t>
            </w:r>
            <w:r w:rsidR="00FD5D51" w:rsidRPr="00F05A8A">
              <w:rPr>
                <w:rFonts w:eastAsia="Calibri"/>
                <w:sz w:val="22"/>
                <w:szCs w:val="22"/>
              </w:rPr>
              <w:t xml:space="preserve">être déployés, dans le cadre de l'approche "Une UIT unie dans l'action", </w:t>
            </w:r>
            <w:r w:rsidR="00396D1B" w:rsidRPr="00F05A8A">
              <w:rPr>
                <w:rFonts w:eastAsia="Calibri"/>
                <w:sz w:val="22"/>
                <w:szCs w:val="22"/>
              </w:rPr>
              <w:t>afin d'</w:t>
            </w:r>
            <w:r w:rsidR="00AA3A7A" w:rsidRPr="00F05A8A">
              <w:rPr>
                <w:rFonts w:eastAsia="Calibri"/>
                <w:sz w:val="22"/>
                <w:szCs w:val="22"/>
              </w:rPr>
              <w:t xml:space="preserve">améliorer </w:t>
            </w:r>
            <w:r w:rsidR="000721E9" w:rsidRPr="00F05A8A">
              <w:rPr>
                <w:rFonts w:eastAsia="Calibri"/>
                <w:sz w:val="22"/>
                <w:szCs w:val="22"/>
              </w:rPr>
              <w:t>l'utilisation des six langues offic</w:t>
            </w:r>
            <w:r w:rsidR="00396D1B" w:rsidRPr="00F05A8A">
              <w:rPr>
                <w:rFonts w:eastAsia="Calibri"/>
                <w:sz w:val="22"/>
                <w:szCs w:val="22"/>
              </w:rPr>
              <w:t xml:space="preserve">ielles sur le site web de l'UIT, </w:t>
            </w:r>
            <w:r w:rsidR="00040F1A" w:rsidRPr="00F05A8A">
              <w:rPr>
                <w:rFonts w:eastAsia="Calibri"/>
                <w:sz w:val="22"/>
                <w:szCs w:val="22"/>
              </w:rPr>
              <w:t xml:space="preserve">y compris via l'élaboration de lignes directrices </w:t>
            </w:r>
            <w:r w:rsidR="00D86C80" w:rsidRPr="00F05A8A">
              <w:rPr>
                <w:rFonts w:eastAsia="Calibri"/>
                <w:sz w:val="22"/>
                <w:szCs w:val="22"/>
              </w:rPr>
              <w:t xml:space="preserve">relatives au site web pour tous les </w:t>
            </w:r>
            <w:r w:rsidR="007B020C" w:rsidRPr="00F05A8A">
              <w:rPr>
                <w:rFonts w:eastAsia="Calibri"/>
                <w:sz w:val="22"/>
                <w:szCs w:val="22"/>
              </w:rPr>
              <w:t>concepteurs</w:t>
            </w:r>
            <w:r w:rsidR="00D86C80" w:rsidRPr="00F05A8A">
              <w:rPr>
                <w:rFonts w:eastAsia="Calibri"/>
                <w:sz w:val="22"/>
                <w:szCs w:val="22"/>
              </w:rPr>
              <w:t xml:space="preserve"> web, les créateurs de contenu </w:t>
            </w:r>
            <w:r w:rsidR="003C128A" w:rsidRPr="00F05A8A">
              <w:rPr>
                <w:rFonts w:eastAsia="Calibri"/>
                <w:sz w:val="22"/>
                <w:szCs w:val="22"/>
              </w:rPr>
              <w:t xml:space="preserve">et les </w:t>
            </w:r>
            <w:r w:rsidR="006816E1" w:rsidRPr="00F05A8A">
              <w:rPr>
                <w:rFonts w:eastAsia="Calibri"/>
                <w:sz w:val="22"/>
                <w:szCs w:val="22"/>
              </w:rPr>
              <w:t>responsables</w:t>
            </w:r>
            <w:r w:rsidR="003C128A" w:rsidRPr="00F05A8A">
              <w:rPr>
                <w:rFonts w:eastAsia="Calibri"/>
                <w:sz w:val="22"/>
                <w:szCs w:val="22"/>
              </w:rPr>
              <w:t xml:space="preserve"> de projets</w:t>
            </w:r>
            <w:r w:rsidR="009A35B1" w:rsidRPr="00F05A8A">
              <w:rPr>
                <w:rFonts w:eastAsia="Calibri"/>
                <w:sz w:val="22"/>
                <w:szCs w:val="22"/>
              </w:rPr>
              <w:t xml:space="preserve">, </w:t>
            </w:r>
            <w:r w:rsidR="007B020C" w:rsidRPr="00F05A8A">
              <w:rPr>
                <w:rFonts w:eastAsia="Calibri"/>
                <w:sz w:val="22"/>
                <w:szCs w:val="22"/>
              </w:rPr>
              <w:t>l</w:t>
            </w:r>
            <w:r w:rsidR="00CF5980" w:rsidRPr="00F05A8A">
              <w:rPr>
                <w:rFonts w:eastAsia="Calibri"/>
                <w:sz w:val="22"/>
                <w:szCs w:val="22"/>
              </w:rPr>
              <w:t>'</w:t>
            </w:r>
            <w:r w:rsidR="007B020C" w:rsidRPr="00F05A8A">
              <w:rPr>
                <w:rFonts w:eastAsia="Calibri"/>
                <w:sz w:val="22"/>
                <w:szCs w:val="22"/>
              </w:rPr>
              <w:t>accent étant mis sur le fait</w:t>
            </w:r>
            <w:r w:rsidR="00CF5980" w:rsidRPr="00F05A8A">
              <w:rPr>
                <w:rFonts w:eastAsia="Calibri"/>
                <w:sz w:val="22"/>
                <w:szCs w:val="22"/>
              </w:rPr>
              <w:t xml:space="preserve"> </w:t>
            </w:r>
            <w:r w:rsidR="009C54DE" w:rsidRPr="00F05A8A">
              <w:rPr>
                <w:rFonts w:eastAsia="Calibri"/>
                <w:sz w:val="22"/>
                <w:szCs w:val="22"/>
              </w:rPr>
              <w:t>qu'il est</w:t>
            </w:r>
            <w:r w:rsidR="00CF5980" w:rsidRPr="00F05A8A">
              <w:rPr>
                <w:rFonts w:eastAsia="Calibri"/>
                <w:sz w:val="22"/>
                <w:szCs w:val="22"/>
              </w:rPr>
              <w:t xml:space="preserve"> </w:t>
            </w:r>
            <w:r w:rsidR="007B020C" w:rsidRPr="00F05A8A">
              <w:rPr>
                <w:rFonts w:eastAsia="Calibri"/>
                <w:sz w:val="22"/>
                <w:szCs w:val="22"/>
              </w:rPr>
              <w:t xml:space="preserve">primordial </w:t>
            </w:r>
            <w:r w:rsidR="00713622" w:rsidRPr="00F05A8A">
              <w:rPr>
                <w:rFonts w:eastAsia="Calibri"/>
                <w:sz w:val="22"/>
                <w:szCs w:val="22"/>
              </w:rPr>
              <w:t>d'instaurer</w:t>
            </w:r>
            <w:r w:rsidR="009C54DE" w:rsidRPr="00F05A8A">
              <w:rPr>
                <w:rFonts w:eastAsia="Calibri"/>
                <w:sz w:val="22"/>
                <w:szCs w:val="22"/>
              </w:rPr>
              <w:t xml:space="preserve"> le</w:t>
            </w:r>
            <w:r w:rsidR="00714505" w:rsidRPr="00F05A8A">
              <w:rPr>
                <w:rFonts w:eastAsia="Calibri"/>
                <w:sz w:val="22"/>
                <w:szCs w:val="22"/>
              </w:rPr>
              <w:t xml:space="preserve"> multilinguisme dès le début de chaque projet et le</w:t>
            </w:r>
            <w:r w:rsidR="007B020C" w:rsidRPr="00F05A8A">
              <w:rPr>
                <w:rFonts w:eastAsia="Calibri"/>
                <w:sz w:val="22"/>
                <w:szCs w:val="22"/>
              </w:rPr>
              <w:t>s</w:t>
            </w:r>
            <w:r w:rsidR="00714505" w:rsidRPr="00F05A8A">
              <w:rPr>
                <w:rFonts w:eastAsia="Calibri"/>
                <w:sz w:val="22"/>
                <w:szCs w:val="22"/>
              </w:rPr>
              <w:t xml:space="preserve"> flux de travail nécessaire</w:t>
            </w:r>
            <w:r w:rsidR="007B020C" w:rsidRPr="00F05A8A">
              <w:rPr>
                <w:rFonts w:eastAsia="Calibri"/>
                <w:sz w:val="22"/>
                <w:szCs w:val="22"/>
              </w:rPr>
              <w:t>s</w:t>
            </w:r>
            <w:r w:rsidR="00714505" w:rsidRPr="00F05A8A">
              <w:rPr>
                <w:rFonts w:eastAsia="Calibri"/>
                <w:sz w:val="22"/>
                <w:szCs w:val="22"/>
              </w:rPr>
              <w:t xml:space="preserve"> à sa mise en œuvre.</w:t>
            </w:r>
            <w:r w:rsidR="00D80CC1" w:rsidRPr="00F05A8A">
              <w:rPr>
                <w:rFonts w:eastAsia="Calibri"/>
                <w:sz w:val="22"/>
                <w:szCs w:val="22"/>
              </w:rPr>
              <w:t xml:space="preserve"> </w:t>
            </w:r>
            <w:r w:rsidR="00F23792" w:rsidRPr="00F05A8A">
              <w:rPr>
                <w:rFonts w:eastAsia="Calibri"/>
                <w:sz w:val="22"/>
                <w:szCs w:val="22"/>
              </w:rPr>
              <w:t xml:space="preserve">Les projets de </w:t>
            </w:r>
            <w:r w:rsidR="007B020C" w:rsidRPr="00F05A8A">
              <w:rPr>
                <w:color w:val="000000"/>
                <w:sz w:val="22"/>
                <w:szCs w:val="22"/>
              </w:rPr>
              <w:t>consultance</w:t>
            </w:r>
            <w:r w:rsidR="00CF5980" w:rsidRPr="00F05A8A">
              <w:rPr>
                <w:rFonts w:eastAsia="Calibri"/>
                <w:sz w:val="22"/>
                <w:szCs w:val="22"/>
              </w:rPr>
              <w:t xml:space="preserve"> </w:t>
            </w:r>
            <w:r w:rsidR="00F23792" w:rsidRPr="00F05A8A">
              <w:rPr>
                <w:rFonts w:eastAsia="Calibri"/>
                <w:sz w:val="22"/>
                <w:szCs w:val="22"/>
              </w:rPr>
              <w:t>pour la conception et la hiérarc</w:t>
            </w:r>
            <w:r w:rsidR="00D80CC1" w:rsidRPr="00F05A8A">
              <w:rPr>
                <w:rFonts w:eastAsia="Calibri"/>
                <w:sz w:val="22"/>
                <w:szCs w:val="22"/>
              </w:rPr>
              <w:t>hisation</w:t>
            </w:r>
            <w:r w:rsidR="00F23792" w:rsidRPr="00F05A8A">
              <w:rPr>
                <w:rFonts w:eastAsia="Calibri"/>
                <w:sz w:val="22"/>
                <w:szCs w:val="22"/>
              </w:rPr>
              <w:t xml:space="preserve"> des informations sont en cours d'examen et d'intégration dans la nouvelle plate-forme WordPress, qui est déjà en place </w:t>
            </w:r>
            <w:r w:rsidR="00290F2B" w:rsidRPr="00F05A8A">
              <w:rPr>
                <w:rFonts w:eastAsia="Calibri"/>
                <w:sz w:val="22"/>
                <w:szCs w:val="22"/>
              </w:rPr>
              <w:t xml:space="preserve">et </w:t>
            </w:r>
            <w:r w:rsidR="00B47B7D" w:rsidRPr="00F05A8A">
              <w:rPr>
                <w:rFonts w:eastAsia="Calibri"/>
                <w:sz w:val="22"/>
                <w:szCs w:val="22"/>
              </w:rPr>
              <w:t xml:space="preserve">vers laquelle les contenus et les éléments web sont en train d'être </w:t>
            </w:r>
            <w:r w:rsidR="007B020C" w:rsidRPr="00F05A8A">
              <w:rPr>
                <w:rFonts w:eastAsia="Calibri"/>
                <w:sz w:val="22"/>
                <w:szCs w:val="22"/>
              </w:rPr>
              <w:t>transférés</w:t>
            </w:r>
            <w:r w:rsidR="00B47B7D" w:rsidRPr="00F05A8A">
              <w:rPr>
                <w:rFonts w:eastAsia="Calibri"/>
                <w:sz w:val="22"/>
                <w:szCs w:val="22"/>
              </w:rPr>
              <w:t xml:space="preserve">. </w:t>
            </w:r>
            <w:r w:rsidR="00B03241" w:rsidRPr="00F05A8A">
              <w:rPr>
                <w:rFonts w:eastAsia="Calibri"/>
                <w:sz w:val="22"/>
                <w:szCs w:val="22"/>
              </w:rPr>
              <w:t>Conformément aux recommandations</w:t>
            </w:r>
            <w:r w:rsidR="00CF5980" w:rsidRPr="00F05A8A">
              <w:rPr>
                <w:rFonts w:eastAsia="Calibri"/>
                <w:sz w:val="22"/>
                <w:szCs w:val="22"/>
              </w:rPr>
              <w:t xml:space="preserve"> </w:t>
            </w:r>
            <w:r w:rsidR="007B020C" w:rsidRPr="00F05A8A">
              <w:rPr>
                <w:rFonts w:eastAsia="Calibri"/>
                <w:sz w:val="22"/>
                <w:szCs w:val="22"/>
              </w:rPr>
              <w:t>figurant</w:t>
            </w:r>
            <w:r w:rsidR="00CF5980" w:rsidRPr="00F05A8A">
              <w:rPr>
                <w:rFonts w:eastAsia="Calibri"/>
                <w:sz w:val="22"/>
                <w:szCs w:val="22"/>
              </w:rPr>
              <w:t xml:space="preserve"> </w:t>
            </w:r>
            <w:r w:rsidR="00B03241" w:rsidRPr="00F05A8A">
              <w:rPr>
                <w:rFonts w:eastAsia="Calibri"/>
                <w:sz w:val="22"/>
                <w:szCs w:val="22"/>
              </w:rPr>
              <w:t xml:space="preserve">dans le rapport de 2020 du Corps commun d'inspection des Nations Unies sur le multilinguisme dans le système des Nations Unies (rapport JIU/REP/2020/6), le secrétariat a </w:t>
            </w:r>
            <w:r w:rsidR="002338E9" w:rsidRPr="00F05A8A">
              <w:rPr>
                <w:rFonts w:eastAsia="Calibri"/>
                <w:sz w:val="22"/>
                <w:szCs w:val="22"/>
              </w:rPr>
              <w:t xml:space="preserve">établi le </w:t>
            </w:r>
            <w:r w:rsidR="00840126" w:rsidRPr="00F05A8A">
              <w:rPr>
                <w:rFonts w:eastAsia="Calibri"/>
                <w:sz w:val="22"/>
                <w:szCs w:val="22"/>
              </w:rPr>
              <w:t>Groupe intersectoriel sur le multilinguisme et</w:t>
            </w:r>
            <w:r w:rsidR="00CF5980" w:rsidRPr="00F05A8A">
              <w:rPr>
                <w:rFonts w:eastAsia="Calibri"/>
                <w:sz w:val="22"/>
                <w:szCs w:val="22"/>
              </w:rPr>
              <w:t xml:space="preserve"> </w:t>
            </w:r>
            <w:r w:rsidR="00840126" w:rsidRPr="00F05A8A">
              <w:rPr>
                <w:rFonts w:eastAsia="Calibri"/>
                <w:sz w:val="22"/>
                <w:szCs w:val="22"/>
              </w:rPr>
              <w:t xml:space="preserve">élaboré le cadre politique sur le multilinguisme à l'UIT (présenté à la session de 2022 du Conseil sous la cote </w:t>
            </w:r>
            <w:hyperlink r:id="rId448" w:history="1">
              <w:r w:rsidR="00840126" w:rsidRPr="00F05A8A">
                <w:rPr>
                  <w:rStyle w:val="Hyperlink"/>
                  <w:rFonts w:eastAsia="Calibri"/>
                  <w:sz w:val="22"/>
                  <w:szCs w:val="22"/>
                </w:rPr>
                <w:t>C22/53</w:t>
              </w:r>
            </w:hyperlink>
            <w:r w:rsidR="00840126" w:rsidRPr="00F05A8A">
              <w:rPr>
                <w:rFonts w:eastAsia="Calibri"/>
                <w:sz w:val="22"/>
                <w:szCs w:val="22"/>
              </w:rPr>
              <w:t>).</w:t>
            </w:r>
            <w:r w:rsidR="0033149A" w:rsidRPr="00F05A8A">
              <w:rPr>
                <w:rFonts w:eastAsia="Calibri"/>
                <w:sz w:val="22"/>
                <w:szCs w:val="22"/>
              </w:rPr>
              <w:t xml:space="preserve"> </w:t>
            </w:r>
            <w:r w:rsidR="005778E1" w:rsidRPr="00F05A8A">
              <w:rPr>
                <w:sz w:val="22"/>
                <w:szCs w:val="22"/>
              </w:rPr>
              <w:t xml:space="preserve">À sa session, le Conseil a </w:t>
            </w:r>
            <w:r w:rsidR="00EA0074" w:rsidRPr="00F05A8A">
              <w:rPr>
                <w:sz w:val="22"/>
                <w:szCs w:val="22"/>
              </w:rPr>
              <w:t xml:space="preserve">approuvé le cadre politique </w:t>
            </w:r>
            <w:r w:rsidR="005E54B2" w:rsidRPr="00F05A8A">
              <w:rPr>
                <w:sz w:val="22"/>
                <w:szCs w:val="22"/>
              </w:rPr>
              <w:t>sur le multilinguisme</w:t>
            </w:r>
            <w:r w:rsidR="00EA0074" w:rsidRPr="00F05A8A">
              <w:rPr>
                <w:sz w:val="22"/>
                <w:szCs w:val="22"/>
              </w:rPr>
              <w:t xml:space="preserve"> moyennant plusieurs modifications</w:t>
            </w:r>
            <w:r w:rsidR="007B020C" w:rsidRPr="00F05A8A">
              <w:rPr>
                <w:sz w:val="22"/>
                <w:szCs w:val="22"/>
              </w:rPr>
              <w:t>,</w:t>
            </w:r>
            <w:r w:rsidR="00EA0074" w:rsidRPr="00F05A8A">
              <w:rPr>
                <w:sz w:val="22"/>
                <w:szCs w:val="22"/>
              </w:rPr>
              <w:t xml:space="preserve"> </w:t>
            </w:r>
            <w:r w:rsidR="00054EE7" w:rsidRPr="00F05A8A">
              <w:rPr>
                <w:sz w:val="22"/>
                <w:szCs w:val="22"/>
              </w:rPr>
              <w:t>et</w:t>
            </w:r>
            <w:r w:rsidR="00CF5980" w:rsidRPr="00F05A8A">
              <w:rPr>
                <w:sz w:val="22"/>
                <w:szCs w:val="22"/>
              </w:rPr>
              <w:t xml:space="preserve"> </w:t>
            </w:r>
            <w:r w:rsidR="00054EE7" w:rsidRPr="00F05A8A">
              <w:rPr>
                <w:sz w:val="22"/>
                <w:szCs w:val="22"/>
              </w:rPr>
              <w:t xml:space="preserve">demandé au secrétariat d'élaborer les lignes directrices administratives et opérationnelles pour la mise en œuvre du cadre politique </w:t>
            </w:r>
            <w:r w:rsidR="00F164AC" w:rsidRPr="00F05A8A">
              <w:rPr>
                <w:sz w:val="22"/>
                <w:szCs w:val="22"/>
              </w:rPr>
              <w:t xml:space="preserve">et de les présenter à la </w:t>
            </w:r>
            <w:r w:rsidR="00025208" w:rsidRPr="00F05A8A">
              <w:rPr>
                <w:sz w:val="22"/>
                <w:szCs w:val="22"/>
              </w:rPr>
              <w:t>session suivante du Conseil, en 2023.</w:t>
            </w:r>
            <w:r w:rsidR="00773762" w:rsidRPr="00F05A8A">
              <w:rPr>
                <w:sz w:val="22"/>
                <w:szCs w:val="22"/>
              </w:rPr>
              <w:t xml:space="preserve"> On trouvera de plus amples renseignements dans les rapports </w:t>
            </w:r>
            <w:r w:rsidR="006F41FC" w:rsidRPr="00F05A8A">
              <w:rPr>
                <w:sz w:val="22"/>
                <w:szCs w:val="22"/>
              </w:rPr>
              <w:t xml:space="preserve">que la Présidente du Groupe de travail du Conseil sur l'utilisation des six langues officielles de l'Union (GTC-LANG) a soumis au Conseil sous les cotes </w:t>
            </w:r>
            <w:hyperlink r:id="rId449" w:history="1">
              <w:r w:rsidR="006F41FC" w:rsidRPr="00F05A8A">
                <w:rPr>
                  <w:rStyle w:val="Hyperlink"/>
                  <w:sz w:val="22"/>
                  <w:szCs w:val="22"/>
                </w:rPr>
                <w:t>C19/12</w:t>
              </w:r>
            </w:hyperlink>
            <w:r w:rsidR="006F41FC" w:rsidRPr="00F05A8A">
              <w:rPr>
                <w:rFonts w:eastAsia="Calibri"/>
                <w:sz w:val="22"/>
                <w:szCs w:val="22"/>
              </w:rPr>
              <w:t xml:space="preserve">, </w:t>
            </w:r>
            <w:hyperlink r:id="rId450" w:history="1">
              <w:r w:rsidR="006F41FC" w:rsidRPr="00F05A8A">
                <w:rPr>
                  <w:rStyle w:val="Hyperlink"/>
                  <w:sz w:val="22"/>
                  <w:szCs w:val="22"/>
                </w:rPr>
                <w:t>C20/12</w:t>
              </w:r>
            </w:hyperlink>
            <w:r w:rsidR="006F41FC" w:rsidRPr="00F05A8A">
              <w:rPr>
                <w:rFonts w:eastAsia="Calibri"/>
                <w:sz w:val="22"/>
                <w:szCs w:val="22"/>
              </w:rPr>
              <w:t xml:space="preserve">, </w:t>
            </w:r>
            <w:hyperlink r:id="rId451" w:history="1">
              <w:r w:rsidR="006F41FC" w:rsidRPr="00F05A8A">
                <w:rPr>
                  <w:rStyle w:val="Hyperlink"/>
                  <w:sz w:val="22"/>
                  <w:szCs w:val="22"/>
                </w:rPr>
                <w:t>C21/12</w:t>
              </w:r>
            </w:hyperlink>
            <w:r w:rsidR="006F41FC" w:rsidRPr="00F05A8A">
              <w:rPr>
                <w:rFonts w:eastAsia="Calibri"/>
                <w:sz w:val="22"/>
                <w:szCs w:val="22"/>
              </w:rPr>
              <w:t xml:space="preserve"> et </w:t>
            </w:r>
            <w:hyperlink r:id="rId452" w:history="1">
              <w:r w:rsidR="006F41FC" w:rsidRPr="00F05A8A">
                <w:rPr>
                  <w:rStyle w:val="Hyperlink"/>
                  <w:sz w:val="22"/>
                  <w:szCs w:val="22"/>
                </w:rPr>
                <w:t>C22/12</w:t>
              </w:r>
            </w:hyperlink>
            <w:r w:rsidR="006F41FC" w:rsidRPr="00F05A8A">
              <w:rPr>
                <w:rFonts w:eastAsia="Calibri"/>
                <w:sz w:val="22"/>
                <w:szCs w:val="22"/>
              </w:rPr>
              <w:t xml:space="preserve">, et dans le rapport quadriennal du GTC-LANG (Document </w:t>
            </w:r>
            <w:hyperlink r:id="rId453" w:history="1">
              <w:r w:rsidR="00E9020B" w:rsidRPr="00F05A8A">
                <w:rPr>
                  <w:rStyle w:val="Hyperlink"/>
                  <w:sz w:val="22"/>
                  <w:szCs w:val="22"/>
                </w:rPr>
                <w:t>C22/55</w:t>
              </w:r>
            </w:hyperlink>
            <w:r w:rsidR="006F41FC" w:rsidRPr="00F05A8A">
              <w:rPr>
                <w:rFonts w:eastAsia="Calibri"/>
                <w:sz w:val="22"/>
                <w:szCs w:val="22"/>
              </w:rPr>
              <w:t>).</w:t>
            </w:r>
          </w:p>
        </w:tc>
      </w:tr>
      <w:tr w:rsidR="00D80461" w:rsidRPr="00F05A8A" w14:paraId="0E2F2AA6" w14:textId="77777777" w:rsidTr="00142C01">
        <w:tc>
          <w:tcPr>
            <w:tcW w:w="10065" w:type="dxa"/>
          </w:tcPr>
          <w:p w14:paraId="189F0F23" w14:textId="77777777" w:rsidR="00D80461" w:rsidRPr="00F05A8A" w:rsidRDefault="00D80461" w:rsidP="002F075E">
            <w:pPr>
              <w:pStyle w:val="Headingb"/>
              <w:keepNext w:val="0"/>
              <w:keepLines w:val="0"/>
              <w:spacing w:before="120"/>
              <w:rPr>
                <w:sz w:val="22"/>
                <w:szCs w:val="22"/>
              </w:rPr>
            </w:pPr>
            <w:bookmarkStart w:id="624" w:name="_Toc72845138"/>
            <w:bookmarkStart w:id="625" w:name="_Toc72846462"/>
            <w:bookmarkStart w:id="626" w:name="_Toc72846712"/>
            <w:bookmarkStart w:id="627" w:name="_Toc95387566"/>
            <w:r w:rsidRPr="00F05A8A">
              <w:rPr>
                <w:sz w:val="22"/>
                <w:szCs w:val="22"/>
              </w:rPr>
              <w:lastRenderedPageBreak/>
              <w:t>Résolution 157 (Rév. Dubaï, 2018) – Renforcer les fonctions d'exécution et de suivi de projets à l'UIT</w:t>
            </w:r>
            <w:bookmarkEnd w:id="624"/>
            <w:bookmarkEnd w:id="625"/>
            <w:bookmarkEnd w:id="626"/>
            <w:bookmarkEnd w:id="627"/>
          </w:p>
          <w:p w14:paraId="29146F62" w14:textId="77777777" w:rsidR="00D80461" w:rsidRPr="00F05A8A" w:rsidRDefault="00D80461" w:rsidP="002F075E">
            <w:pPr>
              <w:rPr>
                <w:sz w:val="22"/>
                <w:szCs w:val="22"/>
              </w:rPr>
            </w:pPr>
            <w:r w:rsidRPr="00F05A8A">
              <w:rPr>
                <w:sz w:val="22"/>
                <w:szCs w:val="22"/>
              </w:rPr>
              <w:t>Dans le cadre de son portefeuille de projets, l'UIT contribue à promouvoir le développement du numérique et à encourager le déploiement de solutions TIC innovantes à l'appui du développement durable. Les États Membres de l'UIT collaborent de plus en plus avec l'UIT pour appuyer leurs efforts en faveur de l'inclusion numérique, moderniser leur infrastructure numérique et leur réglementation dans ce domaine et appliquer les bonnes pratiques internationales relatives à l'utilisation des services et applications numériques.</w:t>
            </w:r>
          </w:p>
          <w:p w14:paraId="1001C8E3" w14:textId="77777777" w:rsidR="00D80461" w:rsidRPr="00F05A8A" w:rsidRDefault="00D80461" w:rsidP="002F075E">
            <w:pPr>
              <w:pStyle w:val="Headingb"/>
              <w:keepNext w:val="0"/>
              <w:keepLines w:val="0"/>
              <w:spacing w:before="120"/>
              <w:ind w:left="0" w:firstLine="0"/>
              <w:rPr>
                <w:b w:val="0"/>
                <w:sz w:val="22"/>
                <w:szCs w:val="22"/>
              </w:rPr>
            </w:pPr>
            <w:bookmarkStart w:id="628" w:name="_Toc72845139"/>
            <w:bookmarkStart w:id="629" w:name="_Toc72846463"/>
            <w:bookmarkStart w:id="630" w:name="_Toc72846713"/>
            <w:bookmarkStart w:id="631" w:name="_Toc95387567"/>
            <w:r w:rsidRPr="00F05A8A">
              <w:rPr>
                <w:b w:val="0"/>
                <w:sz w:val="22"/>
                <w:szCs w:val="22"/>
              </w:rPr>
              <w:t>En 2021, l'UIT a signé 28 nouveaux projets, pour un montant s'élevant à plus de 14 millions CHF, de sorte que son portefeuille global contient désormais 75 projets en cours, qui sont mis en œuvre en collaboration avec un large éventail de partenaires.</w:t>
            </w:r>
            <w:bookmarkEnd w:id="628"/>
            <w:bookmarkEnd w:id="629"/>
            <w:bookmarkEnd w:id="630"/>
            <w:bookmarkEnd w:id="631"/>
          </w:p>
          <w:p w14:paraId="2F846E7A" w14:textId="77777777" w:rsidR="00D80461" w:rsidRPr="00F05A8A" w:rsidRDefault="00D80461" w:rsidP="002F075E">
            <w:pPr>
              <w:keepNext/>
              <w:keepLines/>
              <w:spacing w:after="120"/>
              <w:rPr>
                <w:sz w:val="22"/>
                <w:szCs w:val="22"/>
              </w:rPr>
            </w:pPr>
            <w:r w:rsidRPr="00F05A8A">
              <w:rPr>
                <w:sz w:val="22"/>
                <w:szCs w:val="22"/>
              </w:rPr>
              <w:lastRenderedPageBreak/>
              <w:t>L'UIT a continué d'améliorer ses pratiques en matière de gestion de projet, en investissant encore dans les outils, les méthodes, les lignes directrices, les gabarits, l'élaboration de normes et le développement de bases de données. Les efforts lancés en 2019 en vue d'améliorer les compétences en matière de gestion de projets au sein de l'UIT ont été renforcés, en particulier au moyen de l'organisation d'un programme de certification en ligne au profit de 75 membres du personnel de l'UIT. Ces travaux ont compris l'adoption d'un nouveau Manuel sur la gestion de projet, la création du Comité directeur des projets, et d'un réseau interne de responsables de projets, le renforcement de la fonction de suivi des projets et la mise en place de nouveaux tableaux de bord pour la gestion de projet destinés aux hauts responsables de l'UIT.</w:t>
            </w:r>
          </w:p>
          <w:p w14:paraId="068F1923" w14:textId="77777777" w:rsidR="00D80461" w:rsidRPr="00F05A8A" w:rsidRDefault="00D80461" w:rsidP="002F075E">
            <w:pPr>
              <w:keepNext/>
              <w:keepLines/>
              <w:rPr>
                <w:sz w:val="22"/>
                <w:szCs w:val="22"/>
              </w:rPr>
            </w:pPr>
            <w:r w:rsidRPr="00F05A8A">
              <w:rPr>
                <w:sz w:val="22"/>
                <w:szCs w:val="22"/>
              </w:rPr>
              <w:t xml:space="preserve">Le </w:t>
            </w:r>
            <w:hyperlink r:id="rId454" w:history="1">
              <w:r w:rsidRPr="00F05A8A">
                <w:rPr>
                  <w:rStyle w:val="Hyperlink"/>
                  <w:sz w:val="22"/>
                  <w:szCs w:val="22"/>
                </w:rPr>
                <w:t>site web</w:t>
              </w:r>
            </w:hyperlink>
            <w:r w:rsidRPr="00F05A8A">
              <w:rPr>
                <w:sz w:val="22"/>
                <w:szCs w:val="22"/>
              </w:rPr>
              <w:t xml:space="preserve"> des projets de l'UIT a été amélioré afin de présenter de manière dynamique la situation générale concernant les projets du BDT, à tout moment. Il est désormais possible de trouver des études de cas concernant des projets, des rapports d'évaluation après mise en œuvre et des vidéos, afin d'améliorer et de faciliter l'échange de données d'expérience et d'enseignements tirés.</w:t>
            </w:r>
          </w:p>
          <w:p w14:paraId="3AC40CE3" w14:textId="77777777" w:rsidR="00D80461" w:rsidRPr="00F05A8A" w:rsidRDefault="00D80461" w:rsidP="002F075E">
            <w:pPr>
              <w:keepNext/>
              <w:keepLines/>
              <w:spacing w:after="120"/>
              <w:rPr>
                <w:sz w:val="22"/>
                <w:szCs w:val="22"/>
              </w:rPr>
            </w:pPr>
            <w:r w:rsidRPr="00F05A8A">
              <w:rPr>
                <w:sz w:val="22"/>
                <w:szCs w:val="22"/>
              </w:rPr>
              <w:t>Ces mesures devraient permettre à l'UIT d'adopter une stratégie par portefeuilles dans le domaine de la gestion de projets. Cela conduira à une responsabilisation accrue à l'égard des résultats du projet et de ses effets.</w:t>
            </w:r>
          </w:p>
        </w:tc>
      </w:tr>
      <w:tr w:rsidR="00D80461" w:rsidRPr="00F05A8A" w14:paraId="64643994" w14:textId="77777777" w:rsidTr="00142C01">
        <w:tc>
          <w:tcPr>
            <w:tcW w:w="10065" w:type="dxa"/>
          </w:tcPr>
          <w:p w14:paraId="4283CF09" w14:textId="77777777" w:rsidR="00D80461" w:rsidRPr="00F05A8A" w:rsidRDefault="00D80461" w:rsidP="002F075E">
            <w:pPr>
              <w:pStyle w:val="Headingb"/>
              <w:spacing w:before="120"/>
              <w:rPr>
                <w:sz w:val="22"/>
                <w:szCs w:val="22"/>
              </w:rPr>
            </w:pPr>
            <w:bookmarkStart w:id="632" w:name="_Toc72845140"/>
            <w:bookmarkStart w:id="633" w:name="_Toc72846464"/>
            <w:bookmarkStart w:id="634" w:name="_Toc72846714"/>
            <w:bookmarkStart w:id="635" w:name="_Toc95387568"/>
            <w:r w:rsidRPr="00F05A8A">
              <w:rPr>
                <w:sz w:val="22"/>
                <w:szCs w:val="22"/>
              </w:rPr>
              <w:lastRenderedPageBreak/>
              <w:t>Résolution 160 (Rév. Dubaï, 2018) – Assistance à la Somalie</w:t>
            </w:r>
            <w:bookmarkEnd w:id="632"/>
            <w:bookmarkEnd w:id="633"/>
            <w:bookmarkEnd w:id="634"/>
            <w:bookmarkEnd w:id="635"/>
          </w:p>
          <w:p w14:paraId="55AA76F7" w14:textId="77777777" w:rsidR="00D80461" w:rsidRPr="00F05A8A" w:rsidRDefault="00D80461" w:rsidP="002F075E">
            <w:pPr>
              <w:rPr>
                <w:sz w:val="22"/>
                <w:szCs w:val="22"/>
              </w:rPr>
            </w:pPr>
            <w:r w:rsidRPr="00F05A8A">
              <w:rPr>
                <w:sz w:val="22"/>
                <w:szCs w:val="22"/>
              </w:rPr>
              <w:t>L'UIT et la Somalie avaient signé un accord de coopération et le Plan d'action relatif au programme associé a été élaboré.</w:t>
            </w:r>
          </w:p>
          <w:p w14:paraId="07A2D4C0" w14:textId="77777777" w:rsidR="00D80461" w:rsidRPr="00F05A8A" w:rsidRDefault="00D80461" w:rsidP="002F075E">
            <w:pPr>
              <w:rPr>
                <w:sz w:val="22"/>
                <w:szCs w:val="22"/>
              </w:rPr>
            </w:pPr>
            <w:r w:rsidRPr="00F05A8A">
              <w:rPr>
                <w:sz w:val="22"/>
                <w:szCs w:val="22"/>
              </w:rPr>
              <w:t>La mise en œuvre a commencé en respectant les principales priorités définies par la Somalie.</w:t>
            </w:r>
          </w:p>
          <w:p w14:paraId="0CC87643" w14:textId="77777777" w:rsidR="00D80461" w:rsidRPr="00F05A8A" w:rsidRDefault="00D80461" w:rsidP="002F075E">
            <w:pPr>
              <w:pStyle w:val="enumlev1"/>
              <w:rPr>
                <w:sz w:val="22"/>
                <w:szCs w:val="22"/>
              </w:rPr>
            </w:pPr>
            <w:r w:rsidRPr="00F05A8A">
              <w:rPr>
                <w:sz w:val="22"/>
                <w:szCs w:val="22"/>
              </w:rPr>
              <w:t>•</w:t>
            </w:r>
            <w:r w:rsidRPr="00F05A8A">
              <w:rPr>
                <w:sz w:val="22"/>
                <w:szCs w:val="22"/>
              </w:rPr>
              <w:tab/>
              <w:t>Assistance à la Somalie et élaboration d'une politique et d'une stratégie nationales en matière de TIC (2019-2024). Le rapport présente la politique et la stratégie quinquennales nationales en matière de TIC pour la période 2019-2024, qui fournissent le cadre nécessaire pour tirer parti des avantages des TIC en vue de favoriser le développement socio-économique.</w:t>
            </w:r>
          </w:p>
          <w:p w14:paraId="016D97C6" w14:textId="77777777" w:rsidR="00D80461" w:rsidRPr="00F05A8A" w:rsidRDefault="00D80461" w:rsidP="002F075E">
            <w:pPr>
              <w:pStyle w:val="enumlev1"/>
              <w:spacing w:after="120"/>
              <w:rPr>
                <w:sz w:val="22"/>
                <w:szCs w:val="22"/>
              </w:rPr>
            </w:pPr>
            <w:r w:rsidRPr="00F05A8A">
              <w:rPr>
                <w:sz w:val="22"/>
                <w:szCs w:val="22"/>
              </w:rPr>
              <w:t>•</w:t>
            </w:r>
            <w:r w:rsidRPr="00F05A8A">
              <w:rPr>
                <w:sz w:val="22"/>
                <w:szCs w:val="22"/>
              </w:rPr>
              <w:tab/>
              <w:t>Système SMS4DC (système de gestion du spectre pour les pays en développement) pour améliorer l'utilisation et la gestion du spectre (cinq clés fournies).</w:t>
            </w:r>
          </w:p>
        </w:tc>
      </w:tr>
      <w:tr w:rsidR="00D80461" w:rsidRPr="00F05A8A" w14:paraId="7AEBF9B0" w14:textId="77777777" w:rsidTr="00142C01">
        <w:tc>
          <w:tcPr>
            <w:tcW w:w="10065" w:type="dxa"/>
          </w:tcPr>
          <w:p w14:paraId="7401DAE0" w14:textId="77777777" w:rsidR="00D80461" w:rsidRPr="00F05A8A" w:rsidRDefault="00D80461" w:rsidP="002F075E">
            <w:pPr>
              <w:pStyle w:val="Headingb"/>
              <w:spacing w:before="120"/>
              <w:ind w:left="0" w:firstLine="0"/>
              <w:rPr>
                <w:sz w:val="22"/>
                <w:szCs w:val="22"/>
              </w:rPr>
            </w:pPr>
            <w:bookmarkStart w:id="636" w:name="_Toc72845141"/>
            <w:bookmarkStart w:id="637" w:name="_Toc72846465"/>
            <w:bookmarkStart w:id="638" w:name="_Toc72846715"/>
            <w:bookmarkStart w:id="639" w:name="_Toc95387569"/>
            <w:r w:rsidRPr="00F05A8A">
              <w:rPr>
                <w:sz w:val="22"/>
                <w:szCs w:val="22"/>
              </w:rPr>
              <w:t>Résolution 161 (Rév. Antalya, 2006) – Assistance et appui à la République démocratique du Congo pour la reconstruction de son réseau de télécommunication</w:t>
            </w:r>
            <w:bookmarkEnd w:id="636"/>
            <w:bookmarkEnd w:id="637"/>
            <w:bookmarkEnd w:id="638"/>
            <w:bookmarkEnd w:id="639"/>
          </w:p>
          <w:p w14:paraId="0636AF33" w14:textId="77777777" w:rsidR="00D80461" w:rsidRPr="00F05A8A" w:rsidRDefault="00D80461" w:rsidP="002F075E">
            <w:pPr>
              <w:spacing w:after="120"/>
              <w:rPr>
                <w:sz w:val="22"/>
                <w:szCs w:val="22"/>
              </w:rPr>
            </w:pPr>
            <w:r w:rsidRPr="00F05A8A">
              <w:rPr>
                <w:sz w:val="22"/>
                <w:szCs w:val="22"/>
              </w:rPr>
              <w:t>Suite à l'achèvement fructueux du projet de plan directeur sur l'accès au large bande mis en œuvre par l'UIT et appuyé par le Ministère de la science, des TIC et de la planification (MSIP) de la République de Corée, il a été proposé de réaliser un projet visant à mettre en œuvre un réseau hertzien large bande à Kinshasa – la ville la plus densément peuplée en RDC. La proposition n'a pas encore été approuvée par le Gouvernement de la RDC.</w:t>
            </w:r>
          </w:p>
        </w:tc>
      </w:tr>
      <w:tr w:rsidR="00D80461" w:rsidRPr="00F05A8A" w14:paraId="4ECE499E" w14:textId="77777777" w:rsidTr="00142C01">
        <w:tc>
          <w:tcPr>
            <w:tcW w:w="10065" w:type="dxa"/>
          </w:tcPr>
          <w:p w14:paraId="49D6BDB0" w14:textId="77777777" w:rsidR="00D80461" w:rsidRPr="00F05A8A" w:rsidRDefault="00D80461" w:rsidP="002F075E">
            <w:pPr>
              <w:pStyle w:val="Headingb"/>
              <w:keepNext w:val="0"/>
              <w:keepLines w:val="0"/>
              <w:spacing w:before="120"/>
              <w:ind w:left="0" w:firstLine="0"/>
              <w:rPr>
                <w:sz w:val="22"/>
                <w:szCs w:val="22"/>
              </w:rPr>
            </w:pPr>
            <w:bookmarkStart w:id="640" w:name="_Toc72845142"/>
            <w:bookmarkStart w:id="641" w:name="_Toc72846466"/>
            <w:bookmarkStart w:id="642" w:name="_Toc72846716"/>
            <w:bookmarkStart w:id="643" w:name="_Toc95387570"/>
            <w:r w:rsidRPr="00F05A8A">
              <w:rPr>
                <w:sz w:val="22"/>
                <w:szCs w:val="22"/>
              </w:rPr>
              <w:t>Résolution 162 (Rév. Dubaï, 2018) – Comité consultatif indépendant pour les questions de gestion</w:t>
            </w:r>
            <w:bookmarkEnd w:id="640"/>
            <w:bookmarkEnd w:id="641"/>
            <w:bookmarkEnd w:id="642"/>
            <w:bookmarkEnd w:id="643"/>
          </w:p>
          <w:p w14:paraId="4E37E061" w14:textId="55BC8B79" w:rsidR="00D80461" w:rsidRPr="00F05A8A" w:rsidRDefault="00D80461" w:rsidP="002F075E">
            <w:pPr>
              <w:spacing w:after="120"/>
              <w:rPr>
                <w:rStyle w:val="Hyperlink"/>
                <w:sz w:val="22"/>
                <w:szCs w:val="22"/>
              </w:rPr>
            </w:pPr>
            <w:r w:rsidRPr="00F05A8A">
              <w:rPr>
                <w:sz w:val="22"/>
                <w:szCs w:val="22"/>
              </w:rPr>
              <w:t>Le Comité consultatif indépendant pour les questions de gestion (CCIG), en sa qualité d'organe subsidiaire du Conseil de l'UIT, a continué d'exercer des fonctions consultatives spécialisées et d'aider le Conseil ainsi que le Secrétaire général à s'acquitter de leurs responsabilités en matière de gouvernance, et notamment à assurer le fonctionnement efficace des systèmes de contrôle interne, des procédures de gestion des risques et des procédures de gouvernance de l'UIT. Le Comité a soumis ses rapports annuels ainsi que ses recommandations aux séances du Conseil ou lors des consultations virtuelles des Conseillers (voir les Documents</w:t>
            </w:r>
            <w:r w:rsidRPr="00F05A8A">
              <w:rPr>
                <w:rStyle w:val="Hyperlink"/>
                <w:sz w:val="22"/>
                <w:szCs w:val="22"/>
              </w:rPr>
              <w:t xml:space="preserve"> </w:t>
            </w:r>
            <w:hyperlink r:id="rId455" w:history="1">
              <w:r w:rsidRPr="00F05A8A">
                <w:rPr>
                  <w:rStyle w:val="Hyperlink"/>
                  <w:sz w:val="22"/>
                  <w:szCs w:val="22"/>
                </w:rPr>
                <w:t>C19/22</w:t>
              </w:r>
            </w:hyperlink>
            <w:r w:rsidRPr="00F05A8A">
              <w:rPr>
                <w:rStyle w:val="Hyperlink"/>
                <w:color w:val="auto"/>
                <w:sz w:val="22"/>
                <w:szCs w:val="22"/>
                <w:u w:val="none"/>
              </w:rPr>
              <w:t xml:space="preserve">, </w:t>
            </w:r>
            <w:hyperlink r:id="rId456" w:history="1">
              <w:r w:rsidRPr="00F05A8A">
                <w:rPr>
                  <w:rStyle w:val="Hyperlink"/>
                  <w:sz w:val="22"/>
                  <w:szCs w:val="22"/>
                </w:rPr>
                <w:t>C20/22</w:t>
              </w:r>
            </w:hyperlink>
            <w:r w:rsidRPr="00F05A8A">
              <w:rPr>
                <w:rStyle w:val="Hyperlink"/>
                <w:color w:val="auto"/>
                <w:sz w:val="22"/>
                <w:szCs w:val="22"/>
                <w:u w:val="none"/>
              </w:rPr>
              <w:t xml:space="preserve">, </w:t>
            </w:r>
            <w:hyperlink r:id="rId457" w:history="1">
              <w:r w:rsidRPr="00F05A8A">
                <w:rPr>
                  <w:rStyle w:val="Hyperlink"/>
                  <w:sz w:val="22"/>
                  <w:szCs w:val="22"/>
                </w:rPr>
                <w:t>C21/22</w:t>
              </w:r>
            </w:hyperlink>
            <w:r w:rsidRPr="00F05A8A">
              <w:rPr>
                <w:sz w:val="22"/>
                <w:szCs w:val="22"/>
              </w:rPr>
              <w:t xml:space="preserve">). Tous les rapports des réunions du CCIG et les documents connexes sont disponibles sur le </w:t>
            </w:r>
            <w:hyperlink r:id="rId458" w:history="1">
              <w:r w:rsidRPr="00F05A8A">
                <w:rPr>
                  <w:rStyle w:val="Hyperlink"/>
                  <w:sz w:val="22"/>
                  <w:szCs w:val="22"/>
                </w:rPr>
                <w:t>site web public du CCIG</w:t>
              </w:r>
            </w:hyperlink>
            <w:r w:rsidRPr="00F05A8A">
              <w:rPr>
                <w:sz w:val="22"/>
                <w:szCs w:val="22"/>
              </w:rPr>
              <w:t>.</w:t>
            </w:r>
          </w:p>
          <w:p w14:paraId="50A7C21A" w14:textId="77777777" w:rsidR="00D80461" w:rsidRPr="00F05A8A" w:rsidRDefault="00D80461" w:rsidP="002F075E">
            <w:pPr>
              <w:spacing w:after="120"/>
              <w:rPr>
                <w:sz w:val="22"/>
                <w:szCs w:val="22"/>
              </w:rPr>
            </w:pPr>
            <w:r w:rsidRPr="00F05A8A">
              <w:rPr>
                <w:sz w:val="22"/>
                <w:szCs w:val="22"/>
              </w:rPr>
              <w:lastRenderedPageBreak/>
              <w:t xml:space="preserve">Les nouveaux membres du CCIG ont été nommés à la session de 2019 du Conseil et ont commencé leur mandat le 1er janvier 2020 (voir la </w:t>
            </w:r>
            <w:hyperlink r:id="rId459" w:history="1">
              <w:r w:rsidRPr="00F05A8A">
                <w:rPr>
                  <w:rStyle w:val="Hyperlink"/>
                  <w:sz w:val="22"/>
                  <w:szCs w:val="22"/>
                </w:rPr>
                <w:t>nouvelle composition du Comité</w:t>
              </w:r>
            </w:hyperlink>
            <w:r w:rsidRPr="00F05A8A">
              <w:rPr>
                <w:sz w:val="22"/>
                <w:szCs w:val="22"/>
              </w:rPr>
              <w:t xml:space="preserve"> sur le site web du CCIG).</w:t>
            </w:r>
          </w:p>
        </w:tc>
      </w:tr>
      <w:tr w:rsidR="00D80461" w:rsidRPr="00F05A8A" w14:paraId="6F1CAE3A" w14:textId="77777777" w:rsidTr="00142C01">
        <w:tc>
          <w:tcPr>
            <w:tcW w:w="10065" w:type="dxa"/>
          </w:tcPr>
          <w:p w14:paraId="5AEB1AFF" w14:textId="77777777" w:rsidR="00D80461" w:rsidRPr="00F05A8A" w:rsidRDefault="00D80461" w:rsidP="002F075E">
            <w:pPr>
              <w:pStyle w:val="Headingb"/>
              <w:keepNext w:val="0"/>
              <w:keepLines w:val="0"/>
              <w:spacing w:before="120"/>
              <w:ind w:left="0" w:firstLine="0"/>
              <w:rPr>
                <w:sz w:val="22"/>
                <w:szCs w:val="22"/>
              </w:rPr>
            </w:pPr>
            <w:bookmarkStart w:id="644" w:name="_Toc72845143"/>
            <w:bookmarkStart w:id="645" w:name="_Toc72846467"/>
            <w:bookmarkStart w:id="646" w:name="_Toc72846717"/>
            <w:bookmarkStart w:id="647" w:name="_Toc95387571"/>
            <w:r w:rsidRPr="00F05A8A">
              <w:rPr>
                <w:sz w:val="22"/>
                <w:szCs w:val="22"/>
              </w:rPr>
              <w:lastRenderedPageBreak/>
              <w:t>Résolution 165 (Rév. Dubaï, 2018) – Délais de présentation des propositions et procédures d'inscription des participants aux conférences et assemblées de l'Union</w:t>
            </w:r>
            <w:bookmarkEnd w:id="644"/>
            <w:bookmarkEnd w:id="645"/>
            <w:bookmarkEnd w:id="646"/>
            <w:bookmarkEnd w:id="647"/>
          </w:p>
          <w:p w14:paraId="0877985C" w14:textId="77777777" w:rsidR="00D80461" w:rsidRPr="00F05A8A" w:rsidRDefault="00D80461" w:rsidP="002F075E">
            <w:pPr>
              <w:spacing w:after="120"/>
              <w:rPr>
                <w:sz w:val="22"/>
                <w:szCs w:val="22"/>
              </w:rPr>
            </w:pPr>
            <w:r w:rsidRPr="00F05A8A">
              <w:rPr>
                <w:sz w:val="22"/>
                <w:szCs w:val="22"/>
              </w:rPr>
              <w:t>Les dispositions révisées de cette Résolution ont été appliquées dans le cadre de la CMR-19, pour laquelle le délai de présentation des contributions était fixé au 30 septembre 2019. Ainsi, il a été possible non seulement d'assurer la traduction de toutes les contributions soumises dans les délais voulus, mais aussi de diminuer considérablement le nombre d'heures supplémentaires effectuées durant la conférence. Cela a eu des effets positifs sur le budget de la conférence et du Département C&amp;P.</w:t>
            </w:r>
          </w:p>
        </w:tc>
      </w:tr>
      <w:tr w:rsidR="00D80461" w:rsidRPr="00F05A8A" w14:paraId="23A81286" w14:textId="77777777" w:rsidTr="00142C01">
        <w:tc>
          <w:tcPr>
            <w:tcW w:w="10065" w:type="dxa"/>
          </w:tcPr>
          <w:p w14:paraId="3A54D8BD" w14:textId="77777777" w:rsidR="00D80461" w:rsidRPr="00F05A8A" w:rsidRDefault="00D80461" w:rsidP="002F075E">
            <w:pPr>
              <w:pStyle w:val="Headingb"/>
              <w:keepNext w:val="0"/>
              <w:keepLines w:val="0"/>
              <w:spacing w:before="120"/>
              <w:ind w:left="0" w:firstLine="0"/>
              <w:rPr>
                <w:sz w:val="22"/>
                <w:szCs w:val="22"/>
              </w:rPr>
            </w:pPr>
            <w:bookmarkStart w:id="648" w:name="_Toc72845144"/>
            <w:bookmarkStart w:id="649" w:name="_Toc72846468"/>
            <w:bookmarkStart w:id="650" w:name="_Toc72846718"/>
            <w:bookmarkStart w:id="651" w:name="_Toc95387572"/>
            <w:r w:rsidRPr="00F05A8A">
              <w:rPr>
                <w:sz w:val="22"/>
                <w:szCs w:val="22"/>
              </w:rPr>
              <w:t>Résolution 167 (Rév. Dubaï, 2018) – Renforcement et développement des capacités de l'UIT pour les réunions électroniques et des moyens permettant de faire avancer les travaux de l'Union</w:t>
            </w:r>
            <w:bookmarkEnd w:id="648"/>
            <w:bookmarkEnd w:id="649"/>
            <w:bookmarkEnd w:id="650"/>
            <w:bookmarkEnd w:id="651"/>
          </w:p>
          <w:p w14:paraId="640B9344" w14:textId="77777777" w:rsidR="00D80461" w:rsidRPr="00F05A8A" w:rsidRDefault="00D80461" w:rsidP="002F075E">
            <w:pPr>
              <w:rPr>
                <w:rFonts w:eastAsia="Calibri"/>
                <w:sz w:val="22"/>
                <w:szCs w:val="22"/>
              </w:rPr>
            </w:pPr>
            <w:r w:rsidRPr="00F05A8A">
              <w:rPr>
                <w:rFonts w:eastAsia="Calibri"/>
                <w:sz w:val="22"/>
                <w:szCs w:val="22"/>
              </w:rPr>
              <w:t>Le Groupe de travail du Secrétariat pour la participation à distance a été créé en avril 2020 afin d'identifier les bonnes pratiques relatives à la préparation et au déroulement des réunions électroniques. Toutes les manifestations de l'UIT se sont déroulées de façon entièrement virtuelle depuis le 16 mars 2020, y compris les réunions statutaires nécessitant des services d'interprétation dans les six langues et des modalités d'accréditation, d'authentification et de contrôle d'accès. L'UIT a organisé la réunion virtuelle du groupe de travail sur l'interprétation du Conseil des Chefs de secrétariat des organismes des Nations Unies pour la coordination (CCS). En mai 2020, les "Lignes directrices et bonnes pratiques pour les manifestations virtuelles et la participation à distance" ont été publiées et diffusées auprès de toutes les organisations et autres organismes internationaux participants. Dans la mesure où aucune des plates-formes de conférence sur le web ne permet de prendre en charge l'ensemble des exigences fonctionnelles pour ses réunions, l'UIT utilise actuellement cinq plates-formes, en choisissant la plus appropriée en fonction des exigences liées à chaque réunion.</w:t>
            </w:r>
          </w:p>
          <w:p w14:paraId="2B1D71EB" w14:textId="77777777" w:rsidR="00D80461" w:rsidRPr="00F05A8A" w:rsidRDefault="00D80461" w:rsidP="002F075E">
            <w:pPr>
              <w:spacing w:after="120"/>
              <w:rPr>
                <w:sz w:val="22"/>
                <w:szCs w:val="22"/>
              </w:rPr>
            </w:pPr>
            <w:r w:rsidRPr="00F05A8A">
              <w:rPr>
                <w:sz w:val="22"/>
                <w:szCs w:val="22"/>
              </w:rPr>
              <w:t xml:space="preserve">Voir le rapport à l'intention du Conseil (Document </w:t>
            </w:r>
            <w:hyperlink r:id="rId460" w:history="1">
              <w:r w:rsidRPr="00F05A8A">
                <w:rPr>
                  <w:rStyle w:val="Hyperlink"/>
                  <w:sz w:val="22"/>
                  <w:szCs w:val="22"/>
                </w:rPr>
                <w:t>C20/53</w:t>
              </w:r>
            </w:hyperlink>
            <w:r w:rsidRPr="00F05A8A">
              <w:rPr>
                <w:sz w:val="22"/>
                <w:szCs w:val="22"/>
              </w:rPr>
              <w:t xml:space="preserve">); voir aussi la </w:t>
            </w:r>
            <w:hyperlink w:anchor="Section_1_8" w:history="1">
              <w:r w:rsidRPr="00F05A8A">
                <w:rPr>
                  <w:rStyle w:val="Hyperlink"/>
                  <w:sz w:val="22"/>
                  <w:szCs w:val="22"/>
                </w:rPr>
                <w:t>section 1.8</w:t>
              </w:r>
            </w:hyperlink>
            <w:r w:rsidRPr="00F05A8A">
              <w:rPr>
                <w:sz w:val="22"/>
                <w:szCs w:val="22"/>
              </w:rPr>
              <w:t xml:space="preserve"> sur les activités et les réponses liées au COVID-19.</w:t>
            </w:r>
          </w:p>
        </w:tc>
      </w:tr>
      <w:tr w:rsidR="00642422" w:rsidRPr="00F05A8A" w14:paraId="6ED4F88F" w14:textId="77777777" w:rsidTr="00142C01">
        <w:tc>
          <w:tcPr>
            <w:tcW w:w="10065" w:type="dxa"/>
          </w:tcPr>
          <w:p w14:paraId="079D22C9" w14:textId="171D6A08" w:rsidR="00642422" w:rsidRPr="00F05A8A" w:rsidRDefault="00654282" w:rsidP="002F075E">
            <w:pPr>
              <w:spacing w:after="60"/>
              <w:rPr>
                <w:rFonts w:eastAsia="Calibri"/>
                <w:b/>
                <w:bCs/>
                <w:color w:val="000000" w:themeColor="text1"/>
                <w:sz w:val="22"/>
                <w:szCs w:val="22"/>
              </w:rPr>
            </w:pPr>
            <w:r w:rsidRPr="00F05A8A">
              <w:rPr>
                <w:rFonts w:eastAsia="Calibri"/>
                <w:b/>
                <w:bCs/>
                <w:sz w:val="22"/>
                <w:szCs w:val="22"/>
              </w:rPr>
              <w:t xml:space="preserve">Résolution </w:t>
            </w:r>
            <w:r w:rsidR="00642422" w:rsidRPr="00F05A8A">
              <w:rPr>
                <w:rFonts w:eastAsia="Calibri"/>
                <w:b/>
                <w:bCs/>
                <w:sz w:val="22"/>
                <w:szCs w:val="22"/>
              </w:rPr>
              <w:t xml:space="preserve">169 (Rév. Dubaï, 2018) </w:t>
            </w:r>
            <w:r w:rsidR="00E713D1" w:rsidRPr="00F05A8A">
              <w:rPr>
                <w:b/>
                <w:sz w:val="22"/>
                <w:szCs w:val="22"/>
              </w:rPr>
              <w:t>–</w:t>
            </w:r>
            <w:r w:rsidR="00E713D1" w:rsidRPr="00F05A8A">
              <w:rPr>
                <w:sz w:val="22"/>
                <w:szCs w:val="22"/>
              </w:rPr>
              <w:t xml:space="preserve"> </w:t>
            </w:r>
            <w:r w:rsidR="00642422" w:rsidRPr="00F05A8A">
              <w:rPr>
                <w:b/>
                <w:bCs/>
                <w:color w:val="000000"/>
                <w:sz w:val="22"/>
                <w:szCs w:val="22"/>
              </w:rPr>
              <w:t>Admission d'établissements universitaires à participer aux travaux de l'Union</w:t>
            </w:r>
          </w:p>
          <w:p w14:paraId="506FDF43" w14:textId="21FCDC85" w:rsidR="00E713D1" w:rsidRPr="00F05A8A" w:rsidRDefault="00E713D1" w:rsidP="002F075E">
            <w:pPr>
              <w:pStyle w:val="Headingb"/>
              <w:keepNext w:val="0"/>
              <w:keepLines w:val="0"/>
              <w:spacing w:before="120" w:after="120"/>
              <w:ind w:left="0" w:firstLine="0"/>
              <w:rPr>
                <w:b w:val="0"/>
                <w:sz w:val="22"/>
              </w:rPr>
            </w:pPr>
            <w:r w:rsidRPr="00F05A8A">
              <w:rPr>
                <w:b w:val="0"/>
                <w:sz w:val="22"/>
              </w:rPr>
              <w:t>Les établissements universitaires peuvent participer aux travaux des trois Secteurs</w:t>
            </w:r>
            <w:r w:rsidR="00596427" w:rsidRPr="00F05A8A">
              <w:rPr>
                <w:b w:val="0"/>
                <w:sz w:val="22"/>
              </w:rPr>
              <w:t xml:space="preserve"> </w:t>
            </w:r>
            <w:r w:rsidR="00EC769C" w:rsidRPr="00F05A8A">
              <w:rPr>
                <w:b w:val="0"/>
                <w:sz w:val="22"/>
              </w:rPr>
              <w:t xml:space="preserve">en acquittant </w:t>
            </w:r>
            <w:r w:rsidR="00596427" w:rsidRPr="00F05A8A">
              <w:rPr>
                <w:b w:val="0"/>
                <w:sz w:val="22"/>
              </w:rPr>
              <w:t xml:space="preserve">une </w:t>
            </w:r>
            <w:r w:rsidRPr="00F05A8A">
              <w:rPr>
                <w:b w:val="0"/>
                <w:sz w:val="22"/>
              </w:rPr>
              <w:t>contribution financière unique réduite</w:t>
            </w:r>
            <w:r w:rsidR="00CF5980" w:rsidRPr="00F05A8A">
              <w:rPr>
                <w:b w:val="0"/>
                <w:sz w:val="22"/>
              </w:rPr>
              <w:t xml:space="preserve"> </w:t>
            </w:r>
            <w:r w:rsidR="007B020C" w:rsidRPr="00F05A8A">
              <w:rPr>
                <w:b w:val="0"/>
                <w:sz w:val="22"/>
              </w:rPr>
              <w:t>d</w:t>
            </w:r>
            <w:r w:rsidR="00CF5980" w:rsidRPr="00F05A8A">
              <w:rPr>
                <w:b w:val="0"/>
                <w:sz w:val="22"/>
              </w:rPr>
              <w:t>'</w:t>
            </w:r>
            <w:r w:rsidR="007B020C" w:rsidRPr="00F05A8A">
              <w:rPr>
                <w:b w:val="0"/>
                <w:sz w:val="22"/>
              </w:rPr>
              <w:t>un montant de</w:t>
            </w:r>
            <w:r w:rsidR="00CF5980" w:rsidRPr="00F05A8A">
              <w:rPr>
                <w:b w:val="0"/>
                <w:sz w:val="22"/>
              </w:rPr>
              <w:t xml:space="preserve"> </w:t>
            </w:r>
            <w:r w:rsidRPr="00F05A8A">
              <w:rPr>
                <w:b w:val="0"/>
                <w:sz w:val="22"/>
              </w:rPr>
              <w:t>3 975 CHF par an</w:t>
            </w:r>
            <w:r w:rsidR="007B020C" w:rsidRPr="00F05A8A">
              <w:rPr>
                <w:b w:val="0"/>
                <w:sz w:val="22"/>
              </w:rPr>
              <w:t>,</w:t>
            </w:r>
            <w:r w:rsidRPr="00F05A8A">
              <w:rPr>
                <w:b w:val="0"/>
                <w:sz w:val="22"/>
              </w:rPr>
              <w:t xml:space="preserve"> s'ils sont issus de pays développés</w:t>
            </w:r>
            <w:r w:rsidR="007B020C" w:rsidRPr="00F05A8A">
              <w:rPr>
                <w:b w:val="0"/>
                <w:sz w:val="22"/>
              </w:rPr>
              <w:t>,</w:t>
            </w:r>
            <w:r w:rsidRPr="00F05A8A">
              <w:rPr>
                <w:b w:val="0"/>
                <w:sz w:val="22"/>
              </w:rPr>
              <w:t xml:space="preserve"> et </w:t>
            </w:r>
            <w:r w:rsidR="007B020C" w:rsidRPr="00F05A8A">
              <w:rPr>
                <w:b w:val="0"/>
                <w:sz w:val="22"/>
              </w:rPr>
              <w:t xml:space="preserve">de </w:t>
            </w:r>
            <w:r w:rsidRPr="00F05A8A">
              <w:rPr>
                <w:b w:val="0"/>
                <w:sz w:val="22"/>
              </w:rPr>
              <w:t xml:space="preserve">1 987 </w:t>
            </w:r>
            <w:r w:rsidR="00952DD5" w:rsidRPr="00F05A8A">
              <w:rPr>
                <w:b w:val="0"/>
                <w:sz w:val="22"/>
              </w:rPr>
              <w:t xml:space="preserve">CHF par an </w:t>
            </w:r>
            <w:r w:rsidRPr="00F05A8A">
              <w:rPr>
                <w:b w:val="0"/>
                <w:sz w:val="22"/>
              </w:rPr>
              <w:t xml:space="preserve">s'ils sont issus de pays en développement. </w:t>
            </w:r>
            <w:r w:rsidR="003F60B2" w:rsidRPr="00F05A8A">
              <w:rPr>
                <w:b w:val="0"/>
                <w:sz w:val="22"/>
              </w:rPr>
              <w:t>À la fin</w:t>
            </w:r>
            <w:r w:rsidR="00CF5980" w:rsidRPr="00F05A8A">
              <w:rPr>
                <w:b w:val="0"/>
                <w:sz w:val="22"/>
              </w:rPr>
              <w:t xml:space="preserve"> </w:t>
            </w:r>
            <w:r w:rsidR="003F60B2" w:rsidRPr="00F05A8A">
              <w:rPr>
                <w:b w:val="0"/>
                <w:sz w:val="22"/>
              </w:rPr>
              <w:t xml:space="preserve">d'avril 2022, </w:t>
            </w:r>
            <w:r w:rsidR="00C938EF" w:rsidRPr="00F05A8A">
              <w:rPr>
                <w:b w:val="0"/>
                <w:sz w:val="22"/>
              </w:rPr>
              <w:t xml:space="preserve">163 établissements universitaires participaient aux travaux de l'UIT, soit 23 de plus qu'en 2011, </w:t>
            </w:r>
            <w:r w:rsidR="002124ED" w:rsidRPr="00F05A8A">
              <w:rPr>
                <w:b w:val="0"/>
                <w:sz w:val="22"/>
              </w:rPr>
              <w:t xml:space="preserve">année où </w:t>
            </w:r>
            <w:r w:rsidR="00CA3A62" w:rsidRPr="00F05A8A">
              <w:rPr>
                <w:b w:val="0"/>
                <w:sz w:val="22"/>
              </w:rPr>
              <w:t xml:space="preserve">cette catégorie de participation a été créée. </w:t>
            </w:r>
            <w:r w:rsidR="00165743" w:rsidRPr="00F05A8A">
              <w:rPr>
                <w:b w:val="0"/>
                <w:sz w:val="22"/>
              </w:rPr>
              <w:t>À l'heure actuelle, 65% des établissements universitaires participant aux travaux de l'UIT sont issus de pays en développement, 2% des pays les moins avancés et 35% de pays développés.</w:t>
            </w:r>
          </w:p>
        </w:tc>
      </w:tr>
      <w:tr w:rsidR="00642422" w:rsidRPr="00F05A8A" w14:paraId="050A1E5C" w14:textId="77777777" w:rsidTr="00142C01">
        <w:tc>
          <w:tcPr>
            <w:tcW w:w="10065" w:type="dxa"/>
          </w:tcPr>
          <w:p w14:paraId="2E3462BE" w14:textId="7D28F483" w:rsidR="00642422" w:rsidRPr="00F05A8A" w:rsidRDefault="008A4A95" w:rsidP="002F075E">
            <w:pPr>
              <w:spacing w:after="60"/>
              <w:rPr>
                <w:rFonts w:eastAsia="Calibri"/>
                <w:b/>
                <w:bCs/>
                <w:sz w:val="22"/>
                <w:szCs w:val="22"/>
              </w:rPr>
            </w:pPr>
            <w:r w:rsidRPr="00F05A8A">
              <w:rPr>
                <w:rFonts w:eastAsia="Calibri"/>
                <w:b/>
                <w:bCs/>
                <w:sz w:val="22"/>
                <w:szCs w:val="22"/>
              </w:rPr>
              <w:t xml:space="preserve">Résolution </w:t>
            </w:r>
            <w:r w:rsidR="00642422" w:rsidRPr="00F05A8A">
              <w:rPr>
                <w:rFonts w:eastAsia="Calibri"/>
                <w:b/>
                <w:bCs/>
                <w:sz w:val="22"/>
                <w:szCs w:val="22"/>
              </w:rPr>
              <w:t xml:space="preserve">170 (Rév. Dubaï, 2018) </w:t>
            </w:r>
            <w:r w:rsidRPr="00F05A8A">
              <w:rPr>
                <w:b/>
                <w:sz w:val="22"/>
                <w:szCs w:val="22"/>
              </w:rPr>
              <w:t xml:space="preserve">– </w:t>
            </w:r>
            <w:r w:rsidR="00642422" w:rsidRPr="00F05A8A">
              <w:rPr>
                <w:b/>
                <w:bCs/>
                <w:color w:val="000000"/>
                <w:sz w:val="22"/>
                <w:szCs w:val="22"/>
              </w:rPr>
              <w:t>Admission de Membres de Secteur des pays en développement, à participer aux travaux du Secteur de la normalisation des télécommunications et du Secteur des radiocommunications de l'UIT</w:t>
            </w:r>
          </w:p>
          <w:p w14:paraId="5ACCFCC6" w14:textId="6148FA7E" w:rsidR="00FA50E0" w:rsidRPr="00F05A8A" w:rsidRDefault="00FA50E0" w:rsidP="002F075E">
            <w:pPr>
              <w:spacing w:after="120"/>
              <w:rPr>
                <w:sz w:val="22"/>
              </w:rPr>
            </w:pPr>
            <w:r w:rsidRPr="00F05A8A">
              <w:rPr>
                <w:sz w:val="22"/>
              </w:rPr>
              <w:t xml:space="preserve">Les entités des pays </w:t>
            </w:r>
            <w:r w:rsidR="00EC769C" w:rsidRPr="00F05A8A">
              <w:rPr>
                <w:sz w:val="22"/>
              </w:rPr>
              <w:t xml:space="preserve">à "faible revenu" (moins de 2 000 USD </w:t>
            </w:r>
            <w:r w:rsidR="007B020C" w:rsidRPr="00F05A8A">
              <w:rPr>
                <w:sz w:val="22"/>
              </w:rPr>
              <w:t>par an et</w:t>
            </w:r>
            <w:r w:rsidR="00CF5980" w:rsidRPr="00F05A8A">
              <w:rPr>
                <w:sz w:val="22"/>
              </w:rPr>
              <w:t xml:space="preserve"> </w:t>
            </w:r>
            <w:r w:rsidR="00EC769C" w:rsidRPr="00F05A8A">
              <w:rPr>
                <w:sz w:val="22"/>
              </w:rPr>
              <w:t xml:space="preserve">par habitant, selon la définition du PNUD), peuvent acquitter une </w:t>
            </w:r>
            <w:r w:rsidR="00AE0FAA" w:rsidRPr="00F05A8A">
              <w:rPr>
                <w:sz w:val="22"/>
              </w:rPr>
              <w:t xml:space="preserve">contribution </w:t>
            </w:r>
            <w:r w:rsidR="00DA48E6" w:rsidRPr="00F05A8A">
              <w:rPr>
                <w:sz w:val="22"/>
              </w:rPr>
              <w:t xml:space="preserve">financière </w:t>
            </w:r>
            <w:r w:rsidR="00AE0FAA" w:rsidRPr="00F05A8A">
              <w:rPr>
                <w:sz w:val="22"/>
              </w:rPr>
              <w:t xml:space="preserve">réduite </w:t>
            </w:r>
            <w:r w:rsidR="007B020C" w:rsidRPr="00F05A8A">
              <w:rPr>
                <w:sz w:val="22"/>
              </w:rPr>
              <w:t>d</w:t>
            </w:r>
            <w:r w:rsidR="00CF5980" w:rsidRPr="00F05A8A">
              <w:rPr>
                <w:sz w:val="22"/>
              </w:rPr>
              <w:t>'</w:t>
            </w:r>
            <w:r w:rsidR="007B020C" w:rsidRPr="00F05A8A">
              <w:rPr>
                <w:sz w:val="22"/>
              </w:rPr>
              <w:t>un montant de</w:t>
            </w:r>
            <w:r w:rsidR="00CF5980" w:rsidRPr="00F05A8A">
              <w:rPr>
                <w:sz w:val="22"/>
              </w:rPr>
              <w:t xml:space="preserve"> </w:t>
            </w:r>
            <w:r w:rsidR="00AE0FAA" w:rsidRPr="00F05A8A">
              <w:rPr>
                <w:sz w:val="22"/>
              </w:rPr>
              <w:t xml:space="preserve">3 975 CHF (1/16 d'unité) pour devenir Membres des Secteurs de l'UIT-R et de l'UIT-T. </w:t>
            </w:r>
            <w:r w:rsidR="00232D5B" w:rsidRPr="00F05A8A">
              <w:rPr>
                <w:sz w:val="22"/>
              </w:rPr>
              <w:t xml:space="preserve">Il s'agit du montant de la contribution </w:t>
            </w:r>
            <w:r w:rsidR="00DA48E6" w:rsidRPr="00F05A8A">
              <w:rPr>
                <w:sz w:val="22"/>
              </w:rPr>
              <w:t xml:space="preserve">financière </w:t>
            </w:r>
            <w:r w:rsidR="007B020C" w:rsidRPr="00F05A8A">
              <w:rPr>
                <w:sz w:val="22"/>
              </w:rPr>
              <w:t>que versent</w:t>
            </w:r>
            <w:r w:rsidR="00CF5980" w:rsidRPr="00F05A8A">
              <w:rPr>
                <w:sz w:val="22"/>
              </w:rPr>
              <w:t xml:space="preserve"> </w:t>
            </w:r>
            <w:r w:rsidR="00232D5B" w:rsidRPr="00F05A8A">
              <w:rPr>
                <w:sz w:val="22"/>
              </w:rPr>
              <w:t xml:space="preserve">les entités des pays en développement pour </w:t>
            </w:r>
            <w:r w:rsidR="00F04ED1" w:rsidRPr="00F05A8A">
              <w:rPr>
                <w:sz w:val="22"/>
              </w:rPr>
              <w:t>devenir Membres du Secteur de l'UIT-D</w:t>
            </w:r>
            <w:r w:rsidR="00E10554" w:rsidRPr="00F05A8A">
              <w:rPr>
                <w:sz w:val="22"/>
              </w:rPr>
              <w:t xml:space="preserve">. </w:t>
            </w:r>
            <w:r w:rsidR="00633968" w:rsidRPr="00F05A8A">
              <w:rPr>
                <w:sz w:val="22"/>
              </w:rPr>
              <w:t>À la fin</w:t>
            </w:r>
            <w:r w:rsidR="00CF5980" w:rsidRPr="00F05A8A">
              <w:rPr>
                <w:sz w:val="22"/>
              </w:rPr>
              <w:t xml:space="preserve"> </w:t>
            </w:r>
            <w:r w:rsidR="00633968" w:rsidRPr="00F05A8A">
              <w:rPr>
                <w:sz w:val="22"/>
              </w:rPr>
              <w:t>d'avril</w:t>
            </w:r>
            <w:r w:rsidR="003D1B4D" w:rsidRPr="00F05A8A">
              <w:rPr>
                <w:sz w:val="22"/>
              </w:rPr>
              <w:t> </w:t>
            </w:r>
            <w:r w:rsidR="00633968" w:rsidRPr="00F05A8A">
              <w:rPr>
                <w:sz w:val="22"/>
              </w:rPr>
              <w:t xml:space="preserve">2022, sept entités </w:t>
            </w:r>
            <w:r w:rsidR="00654804" w:rsidRPr="00F05A8A">
              <w:rPr>
                <w:sz w:val="22"/>
              </w:rPr>
              <w:t xml:space="preserve">bénéficiaient d'une contribution </w:t>
            </w:r>
            <w:r w:rsidR="00AA6450" w:rsidRPr="00F05A8A">
              <w:rPr>
                <w:sz w:val="22"/>
              </w:rPr>
              <w:t xml:space="preserve">financière </w:t>
            </w:r>
            <w:r w:rsidR="00654804" w:rsidRPr="00F05A8A">
              <w:rPr>
                <w:sz w:val="22"/>
              </w:rPr>
              <w:t xml:space="preserve">réduite pour </w:t>
            </w:r>
            <w:r w:rsidR="00A050D4" w:rsidRPr="00F05A8A">
              <w:rPr>
                <w:color w:val="000000"/>
                <w:sz w:val="22"/>
                <w:szCs w:val="22"/>
              </w:rPr>
              <w:t xml:space="preserve">participer aux travaux </w:t>
            </w:r>
            <w:r w:rsidR="00654804" w:rsidRPr="00F05A8A">
              <w:rPr>
                <w:sz w:val="22"/>
              </w:rPr>
              <w:t xml:space="preserve">de l'UIT-R et sept </w:t>
            </w:r>
            <w:r w:rsidR="00A050D4" w:rsidRPr="00F05A8A">
              <w:rPr>
                <w:sz w:val="22"/>
              </w:rPr>
              <w:t xml:space="preserve">entités bénéficiaient d'une contribution financière réduite pour </w:t>
            </w:r>
            <w:r w:rsidR="00A050D4" w:rsidRPr="00F05A8A">
              <w:rPr>
                <w:color w:val="000000"/>
                <w:sz w:val="22"/>
                <w:szCs w:val="22"/>
              </w:rPr>
              <w:t>participer aux travaux</w:t>
            </w:r>
            <w:r w:rsidR="00CF5980" w:rsidRPr="00F05A8A">
              <w:rPr>
                <w:color w:val="000000"/>
                <w:sz w:val="22"/>
                <w:szCs w:val="22"/>
              </w:rPr>
              <w:t xml:space="preserve"> </w:t>
            </w:r>
            <w:r w:rsidR="00654804" w:rsidRPr="00F05A8A">
              <w:rPr>
                <w:sz w:val="22"/>
              </w:rPr>
              <w:t>de l'UIT</w:t>
            </w:r>
            <w:r w:rsidR="003D1B4D" w:rsidRPr="00F05A8A">
              <w:rPr>
                <w:sz w:val="22"/>
              </w:rPr>
              <w:noBreakHyphen/>
            </w:r>
            <w:r w:rsidR="00654804" w:rsidRPr="00F05A8A">
              <w:rPr>
                <w:sz w:val="22"/>
              </w:rPr>
              <w:t>T, conformément à la Résoluti</w:t>
            </w:r>
            <w:r w:rsidR="009F4472" w:rsidRPr="00F05A8A">
              <w:rPr>
                <w:sz w:val="22"/>
              </w:rPr>
              <w:t>on 170.</w:t>
            </w:r>
          </w:p>
        </w:tc>
      </w:tr>
      <w:tr w:rsidR="00642422" w:rsidRPr="00F05A8A" w14:paraId="48798C39" w14:textId="77777777" w:rsidTr="00142C01">
        <w:tc>
          <w:tcPr>
            <w:tcW w:w="10065" w:type="dxa"/>
          </w:tcPr>
          <w:p w14:paraId="01DB6378" w14:textId="77777777" w:rsidR="00642422" w:rsidRPr="00F05A8A" w:rsidRDefault="00642422" w:rsidP="002F075E">
            <w:pPr>
              <w:pStyle w:val="Headingb"/>
              <w:keepNext w:val="0"/>
              <w:keepLines w:val="0"/>
              <w:spacing w:before="120"/>
              <w:ind w:left="0" w:firstLine="0"/>
              <w:rPr>
                <w:sz w:val="22"/>
                <w:szCs w:val="22"/>
              </w:rPr>
            </w:pPr>
            <w:bookmarkStart w:id="652" w:name="_Toc72845145"/>
            <w:bookmarkStart w:id="653" w:name="_Toc72846469"/>
            <w:bookmarkStart w:id="654" w:name="_Toc72846719"/>
            <w:bookmarkStart w:id="655" w:name="_Toc95387573"/>
            <w:r w:rsidRPr="00F05A8A">
              <w:rPr>
                <w:sz w:val="22"/>
                <w:szCs w:val="22"/>
              </w:rPr>
              <w:lastRenderedPageBreak/>
              <w:t>Résolution 173 (Rév. Guadalajara, 2010) – Actes de piratage et attaques contre les réseaux téléphoniques fixe et cellulaire du Liban</w:t>
            </w:r>
            <w:bookmarkEnd w:id="652"/>
            <w:bookmarkEnd w:id="653"/>
            <w:bookmarkEnd w:id="654"/>
            <w:bookmarkEnd w:id="655"/>
          </w:p>
          <w:p w14:paraId="58839C54" w14:textId="77777777" w:rsidR="00642422" w:rsidRPr="00F05A8A" w:rsidRDefault="00642422" w:rsidP="002F075E">
            <w:pPr>
              <w:rPr>
                <w:sz w:val="22"/>
                <w:szCs w:val="22"/>
              </w:rPr>
            </w:pPr>
            <w:r w:rsidRPr="00F05A8A">
              <w:rPr>
                <w:sz w:val="22"/>
                <w:szCs w:val="22"/>
              </w:rPr>
              <w:t>Après avoir fourni une assistance au Liban pour évaluer son état de préparation en vue de la création d'une équipe d'intervention en cas d'incident informatique (CIRT), il a été convenu en 2014 de mener un projet visant à aider le Liban à créer son équipe nationale CIRT. Le Liban s'engageait à financer une partie du projet, et l'UIT et le Bureau régional pour les États arabes (ARO) mobilisaient les fonds restants pour le projet. La mise en œuvre a été suspendue et le projet s'est achevé à la demande du Liban.</w:t>
            </w:r>
          </w:p>
          <w:p w14:paraId="4C112306" w14:textId="77777777" w:rsidR="00642422" w:rsidRPr="00F05A8A" w:rsidRDefault="00642422" w:rsidP="002F075E">
            <w:pPr>
              <w:spacing w:after="120"/>
              <w:rPr>
                <w:sz w:val="22"/>
                <w:szCs w:val="22"/>
              </w:rPr>
            </w:pPr>
            <w:r w:rsidRPr="00F05A8A">
              <w:rPr>
                <w:sz w:val="22"/>
                <w:szCs w:val="22"/>
              </w:rPr>
              <w:t>L'assistance concernant les questions liées au spectre, notamment la notification et la coordination des fréquences, les examens techniques, le passage à la radiodiffusion numérique, le dividende numérique, l'attribution du spectre et l'octroi de licences a été fournie.</w:t>
            </w:r>
          </w:p>
        </w:tc>
      </w:tr>
      <w:tr w:rsidR="00642422" w:rsidRPr="00F05A8A" w14:paraId="20042015" w14:textId="77777777" w:rsidTr="00142C01">
        <w:tc>
          <w:tcPr>
            <w:tcW w:w="10065" w:type="dxa"/>
          </w:tcPr>
          <w:p w14:paraId="7A0547E3" w14:textId="77777777" w:rsidR="00642422" w:rsidRPr="00F05A8A" w:rsidRDefault="00642422" w:rsidP="002F075E">
            <w:pPr>
              <w:pStyle w:val="Headingb"/>
              <w:keepNext w:val="0"/>
              <w:keepLines w:val="0"/>
              <w:spacing w:before="120"/>
              <w:ind w:left="0" w:firstLine="0"/>
              <w:rPr>
                <w:sz w:val="22"/>
                <w:szCs w:val="22"/>
              </w:rPr>
            </w:pPr>
            <w:bookmarkStart w:id="656" w:name="_Toc72845146"/>
            <w:bookmarkStart w:id="657" w:name="_Toc72846470"/>
            <w:bookmarkStart w:id="658" w:name="_Toc72846720"/>
            <w:bookmarkStart w:id="659" w:name="_Toc95387574"/>
            <w:r w:rsidRPr="00F05A8A">
              <w:rPr>
                <w:sz w:val="22"/>
                <w:szCs w:val="22"/>
              </w:rPr>
              <w:t>Résolution 175 (Rév. Dubaï, 2018) – Accessibilité des télécommunications/technologies de l'information et de la communication pour les personnes handicapées et les personnes ayant des besoins particuliers</w:t>
            </w:r>
            <w:bookmarkEnd w:id="656"/>
            <w:bookmarkEnd w:id="657"/>
            <w:bookmarkEnd w:id="658"/>
            <w:bookmarkEnd w:id="659"/>
          </w:p>
          <w:p w14:paraId="37A3BFDC" w14:textId="77777777" w:rsidR="00642422" w:rsidRPr="00F05A8A" w:rsidRDefault="00642422" w:rsidP="002F075E">
            <w:pPr>
              <w:spacing w:after="120"/>
              <w:rPr>
                <w:sz w:val="22"/>
                <w:szCs w:val="22"/>
              </w:rPr>
            </w:pPr>
            <w:r w:rsidRPr="00F05A8A">
              <w:rPr>
                <w:sz w:val="22"/>
                <w:szCs w:val="22"/>
              </w:rPr>
              <w:t xml:space="preserve">Voir la </w:t>
            </w:r>
            <w:hyperlink w:anchor="Section_1_7" w:history="1">
              <w:r w:rsidRPr="00F05A8A">
                <w:rPr>
                  <w:rStyle w:val="Hyperlink"/>
                  <w:sz w:val="22"/>
                  <w:szCs w:val="22"/>
                </w:rPr>
                <w:t>section 1.7</w:t>
              </w:r>
            </w:hyperlink>
            <w:r w:rsidRPr="00F05A8A">
              <w:rPr>
                <w:sz w:val="22"/>
                <w:szCs w:val="22"/>
              </w:rPr>
              <w:t xml:space="preserve"> − Inclusion numérique</w:t>
            </w:r>
          </w:p>
        </w:tc>
      </w:tr>
      <w:tr w:rsidR="003D1B4D" w:rsidRPr="00F05A8A" w14:paraId="10ADB6D5" w14:textId="77777777" w:rsidTr="00142C01">
        <w:tc>
          <w:tcPr>
            <w:tcW w:w="10065" w:type="dxa"/>
          </w:tcPr>
          <w:p w14:paraId="7B4797B0" w14:textId="77777777" w:rsidR="003D1B4D" w:rsidRPr="00F05A8A" w:rsidRDefault="003D1B4D" w:rsidP="002F075E">
            <w:pPr>
              <w:pStyle w:val="Headingb"/>
              <w:keepNext w:val="0"/>
              <w:keepLines w:val="0"/>
              <w:spacing w:before="120"/>
              <w:ind w:left="0" w:firstLine="0"/>
              <w:rPr>
                <w:sz w:val="22"/>
                <w:szCs w:val="22"/>
              </w:rPr>
            </w:pPr>
            <w:r w:rsidRPr="00F05A8A">
              <w:rPr>
                <w:sz w:val="22"/>
                <w:szCs w:val="22"/>
              </w:rPr>
              <w:t>Résolution 176 (Rév. Dubaï, 2018) – Problèmes de mesure et d'évaluation liés à l'exposition des personnes aux champs électromagnétiques</w:t>
            </w:r>
          </w:p>
          <w:p w14:paraId="0493268A" w14:textId="77777777" w:rsidR="003D1B4D" w:rsidRPr="00F05A8A" w:rsidRDefault="003D1B4D" w:rsidP="002F075E">
            <w:pPr>
              <w:rPr>
                <w:sz w:val="22"/>
                <w:szCs w:val="22"/>
              </w:rPr>
            </w:pPr>
            <w:r w:rsidRPr="00F05A8A">
              <w:rPr>
                <w:sz w:val="22"/>
                <w:szCs w:val="22"/>
              </w:rPr>
              <w:t xml:space="preserve">La CE 5 de l'UIT-T (Environnement, changements climatiques et économie circulaire) est la commission d'études directrice de l'UIT-T pour les questions relatives à la compatibilité électromagnétique, à la protection contre la foudre et aux effets électromagnétiques. Elle a révisé les Recommandations suivantes: </w:t>
            </w:r>
            <w:hyperlink r:id="rId461" w:history="1">
              <w:r w:rsidRPr="00F05A8A">
                <w:rPr>
                  <w:rStyle w:val="Hyperlink"/>
                  <w:sz w:val="22"/>
                  <w:szCs w:val="22"/>
                </w:rPr>
                <w:t>UIT-T K.52, "Lignes directrices relatives aux valeurs limites d'exposition des personnes aux champs électromagnétiques"</w:t>
              </w:r>
            </w:hyperlink>
            <w:r w:rsidRPr="00F05A8A">
              <w:rPr>
                <w:sz w:val="22"/>
                <w:szCs w:val="22"/>
              </w:rPr>
              <w:t xml:space="preserve">, </w:t>
            </w:r>
            <w:hyperlink r:id="rId462" w:history="1">
              <w:r w:rsidRPr="00F05A8A">
                <w:rPr>
                  <w:rStyle w:val="Hyperlink"/>
                  <w:sz w:val="22"/>
                  <w:szCs w:val="22"/>
                </w:rPr>
                <w:t>UIT-T K.83, "Surveillance des niveaux des champs électromagnétiques"</w:t>
              </w:r>
            </w:hyperlink>
            <w:r w:rsidRPr="00F05A8A">
              <w:rPr>
                <w:sz w:val="22"/>
                <w:szCs w:val="22"/>
              </w:rPr>
              <w:t xml:space="preserve">, </w:t>
            </w:r>
            <w:hyperlink r:id="rId463" w:history="1">
              <w:r w:rsidRPr="00F05A8A">
                <w:rPr>
                  <w:rStyle w:val="Hyperlink"/>
                  <w:sz w:val="22"/>
                  <w:szCs w:val="22"/>
                </w:rPr>
                <w:t>UIT-T K.70 "Techniques de limitation de l'exposition des personnes aux champs électromagnétiques au voisinage de stations de radiocommunication"</w:t>
              </w:r>
            </w:hyperlink>
            <w:r w:rsidRPr="00F05A8A">
              <w:rPr>
                <w:sz w:val="22"/>
                <w:szCs w:val="22"/>
              </w:rPr>
              <w:t xml:space="preserve">, </w:t>
            </w:r>
            <w:hyperlink r:id="rId464" w:history="1">
              <w:r w:rsidRPr="00F05A8A">
                <w:rPr>
                  <w:rStyle w:val="Hyperlink"/>
                  <w:sz w:val="22"/>
                  <w:szCs w:val="22"/>
                </w:rPr>
                <w:t>UIT-T K.91 "Guide d'évaluation et de surveillance de l'exposition des personnes aux champs électromagnétiques radioélectriques"</w:t>
              </w:r>
            </w:hyperlink>
            <w:r w:rsidRPr="00F05A8A">
              <w:rPr>
                <w:sz w:val="22"/>
                <w:szCs w:val="22"/>
              </w:rPr>
              <w:t xml:space="preserve"> et </w:t>
            </w:r>
            <w:hyperlink r:id="rId465" w:history="1">
              <w:r w:rsidRPr="00F05A8A">
                <w:rPr>
                  <w:rStyle w:val="Hyperlink"/>
                  <w:sz w:val="22"/>
                  <w:szCs w:val="22"/>
                </w:rPr>
                <w:t>UIT-T K.100 "Mesure des champs électromagnétiques radiofréquence pour déterminer si les limites d'exposition des personnes sont respectées lorsqu'une station de base est mise en service"</w:t>
              </w:r>
            </w:hyperlink>
            <w:r w:rsidRPr="00F05A8A">
              <w:rPr>
                <w:sz w:val="22"/>
                <w:szCs w:val="22"/>
              </w:rPr>
              <w:t xml:space="preserve">. L'UIT a également approuvé la </w:t>
            </w:r>
            <w:hyperlink r:id="rId466" w:history="1">
              <w:r w:rsidRPr="00F05A8A">
                <w:rPr>
                  <w:rStyle w:val="Hyperlink"/>
                  <w:sz w:val="22"/>
                  <w:szCs w:val="22"/>
                </w:rPr>
                <w:t>Recommandation UIT-T K.145, "Évaluation et gestion du respect des limites d'exposition aux champs électromagnétiques radiofréquence pour les personnes travaillant au niveau des sites et des installations de radiocommunication"</w:t>
              </w:r>
            </w:hyperlink>
            <w:r w:rsidRPr="00F05A8A">
              <w:rPr>
                <w:sz w:val="22"/>
                <w:szCs w:val="22"/>
              </w:rPr>
              <w:t xml:space="preserve">, qui fournit des orientations sur la protection des professionnels contre l'exposition aux champs électromagnétiques radiofréquences dans leur environnement de travail et fournit des directives de sécurité générales minimales pour les professionnels dans le domaine des télécommunications exposés aux radiofréquences dans le monde entier. En outre, la CE 5 de l'UIT-T a révisé le </w:t>
            </w:r>
            <w:hyperlink r:id="rId467" w:history="1">
              <w:r w:rsidRPr="00F05A8A">
                <w:rPr>
                  <w:rStyle w:val="Hyperlink"/>
                  <w:sz w:val="22"/>
                  <w:szCs w:val="22"/>
                </w:rPr>
                <w:t>Supplément 14 aux Recommandations UIT-T de la série K sur l'"Incidence des limites d'exposition aux champs électromagnétiques radioélectriques (RF-EMF) plus strictes que celles établies dans les directives de la CIPRNI ou de l'IEEE sur le déploiement des réseaux mobiles 4G et 5G"</w:t>
              </w:r>
            </w:hyperlink>
            <w:r w:rsidRPr="00F05A8A">
              <w:rPr>
                <w:sz w:val="22"/>
                <w:szCs w:val="22"/>
              </w:rPr>
              <w:t xml:space="preserve">, afin d'ajouter un nouveau chapitre dans lequel sont comparés les résultats des mesures entre des pays ayant des limites d'exposition différentes. La CE 5 a aussi révisé le Supplément </w:t>
            </w:r>
            <w:hyperlink r:id="rId468" w:history="1">
              <w:r w:rsidRPr="00F05A8A">
                <w:rPr>
                  <w:rStyle w:val="Hyperlink"/>
                  <w:sz w:val="22"/>
                  <w:szCs w:val="22"/>
                </w:rPr>
                <w:t>UIT-T K.Suppl.9</w:t>
              </w:r>
            </w:hyperlink>
            <w:r w:rsidRPr="00F05A8A">
              <w:rPr>
                <w:sz w:val="22"/>
                <w:szCs w:val="22"/>
              </w:rPr>
              <w:t xml:space="preserve"> "Technologie 5G et exposition des personnes aux champs électromagnétiques radiofréquences" et le Supplément </w:t>
            </w:r>
            <w:hyperlink r:id="rId469" w:history="1">
              <w:r w:rsidRPr="00F05A8A">
                <w:rPr>
                  <w:rStyle w:val="Hyperlink"/>
                  <w:sz w:val="22"/>
                  <w:szCs w:val="22"/>
                </w:rPr>
                <w:t>UIT</w:t>
              </w:r>
              <w:r w:rsidRPr="00F05A8A">
                <w:rPr>
                  <w:rStyle w:val="Hyperlink"/>
                  <w:sz w:val="22"/>
                  <w:szCs w:val="22"/>
                </w:rPr>
                <w:noBreakHyphen/>
                <w:t>T K.Suppl.16</w:t>
              </w:r>
            </w:hyperlink>
            <w:r w:rsidRPr="00F05A8A">
              <w:rPr>
                <w:sz w:val="22"/>
                <w:szCs w:val="22"/>
              </w:rPr>
              <w:t xml:space="preserve"> "Évaluations de la conformité des réseaux sans fil 5G en termes d'exposition aux champs électromagnétiques". </w:t>
            </w:r>
            <w:r w:rsidRPr="00F05A8A">
              <w:rPr>
                <w:rFonts w:eastAsia="Calibri"/>
                <w:sz w:val="22"/>
                <w:szCs w:val="22"/>
              </w:rPr>
              <w:t>Deux nouveaux suppléments, à savoir le Supplément </w:t>
            </w:r>
            <w:hyperlink r:id="rId470" w:history="1">
              <w:r w:rsidRPr="00F05A8A">
                <w:rPr>
                  <w:rStyle w:val="Hyperlink"/>
                  <w:rFonts w:eastAsia="Calibri"/>
                  <w:sz w:val="22"/>
                  <w:szCs w:val="22"/>
                </w:rPr>
                <w:t>UIT</w:t>
              </w:r>
              <w:r w:rsidRPr="00F05A8A">
                <w:rPr>
                  <w:rStyle w:val="Hyperlink"/>
                  <w:rFonts w:eastAsia="Calibri"/>
                  <w:sz w:val="22"/>
                  <w:szCs w:val="22"/>
                </w:rPr>
                <w:noBreakHyphen/>
                <w:t>T K.Suppl.19</w:t>
              </w:r>
            </w:hyperlink>
            <w:r w:rsidRPr="00F05A8A">
              <w:rPr>
                <w:rFonts w:eastAsia="Calibri"/>
                <w:sz w:val="22"/>
                <w:szCs w:val="22"/>
              </w:rPr>
              <w:t xml:space="preserve"> sur l'intensité des champs électromagnétiques à l'intérieur des rames de métro et le Supplément </w:t>
            </w:r>
            <w:hyperlink r:id="rId471" w:history="1">
              <w:r w:rsidRPr="00F05A8A">
                <w:rPr>
                  <w:rStyle w:val="Hyperlink"/>
                  <w:rFonts w:eastAsia="Calibri"/>
                  <w:sz w:val="22"/>
                  <w:szCs w:val="22"/>
                </w:rPr>
                <w:t>UIT-T K.Suppl.20</w:t>
              </w:r>
            </w:hyperlink>
            <w:r w:rsidRPr="00F05A8A">
              <w:rPr>
                <w:rFonts w:eastAsia="Calibri"/>
                <w:sz w:val="22"/>
                <w:szCs w:val="22"/>
              </w:rPr>
              <w:t xml:space="preserve"> sur l'évaluation de l'exposition aux radiofréquences au voisinage de stations de base souterraines, ont été élaborés.</w:t>
            </w:r>
            <w:r w:rsidRPr="00F05A8A">
              <w:rPr>
                <w:rFonts w:asciiTheme="minorHAnsi" w:eastAsia="Calibri" w:hAnsiTheme="minorHAnsi" w:cstheme="minorHAnsi"/>
                <w:sz w:val="22"/>
                <w:szCs w:val="22"/>
              </w:rPr>
              <w:t xml:space="preserve"> La CE 5 de l'UIT-T a révisé le </w:t>
            </w:r>
            <w:hyperlink r:id="rId472" w:history="1">
              <w:r w:rsidRPr="00F05A8A">
                <w:rPr>
                  <w:rStyle w:val="Hyperlink"/>
                  <w:rFonts w:asciiTheme="minorHAnsi" w:eastAsia="Calibri" w:hAnsiTheme="minorHAnsi" w:cstheme="minorHAnsi"/>
                  <w:sz w:val="22"/>
                  <w:szCs w:val="22"/>
                </w:rPr>
                <w:t>Supplément 1 de la Recommandation UIT-T K.91, intitulée "Directives relatives aux champs électromagnétiques et à la santé des personnes"</w:t>
              </w:r>
            </w:hyperlink>
            <w:r w:rsidRPr="00F05A8A">
              <w:rPr>
                <w:rFonts w:asciiTheme="minorHAnsi" w:eastAsia="Calibri" w:hAnsiTheme="minorHAnsi" w:cstheme="minorHAnsi"/>
                <w:sz w:val="22"/>
                <w:szCs w:val="22"/>
              </w:rPr>
              <w:t xml:space="preserve"> afin d'actualiser les informations concernant les lignes directrices de la CIPRNI et de l'OMS et de prendre en considération les aspects liés à la 5G. La version électronique et la version pour mobile du </w:t>
            </w:r>
            <w:hyperlink r:id="rId473" w:history="1">
              <w:r w:rsidRPr="00F05A8A">
                <w:rPr>
                  <w:rStyle w:val="Hyperlink"/>
                  <w:rFonts w:asciiTheme="minorHAnsi" w:eastAsia="Calibri" w:hAnsiTheme="minorHAnsi" w:cstheme="minorHAnsi"/>
                  <w:sz w:val="22"/>
                  <w:szCs w:val="22"/>
                </w:rPr>
                <w:t>Guide sur les champs électromagnétiques</w:t>
              </w:r>
            </w:hyperlink>
            <w:r w:rsidRPr="00F05A8A">
              <w:rPr>
                <w:rFonts w:asciiTheme="minorHAnsi" w:eastAsia="Calibri" w:hAnsiTheme="minorHAnsi" w:cstheme="minorHAnsi"/>
                <w:sz w:val="22"/>
                <w:szCs w:val="22"/>
              </w:rPr>
              <w:t xml:space="preserve"> ont été révisées pour y ajouter les dernières mises à jour. La nouvelle version de l'application mobile a été lancée lors </w:t>
            </w:r>
            <w:r w:rsidRPr="00F05A8A">
              <w:rPr>
                <w:rFonts w:asciiTheme="minorHAnsi" w:eastAsia="Calibri" w:hAnsiTheme="minorHAnsi" w:cstheme="minorHAnsi"/>
                <w:sz w:val="22"/>
                <w:szCs w:val="22"/>
              </w:rPr>
              <w:lastRenderedPageBreak/>
              <w:t xml:space="preserve">du </w:t>
            </w:r>
            <w:hyperlink r:id="rId474" w:history="1">
              <w:r w:rsidRPr="00F05A8A">
                <w:rPr>
                  <w:rStyle w:val="Hyperlink"/>
                  <w:rFonts w:asciiTheme="minorHAnsi" w:eastAsia="Calibri" w:hAnsiTheme="minorHAnsi" w:cstheme="minorHAnsi"/>
                  <w:sz w:val="22"/>
                  <w:szCs w:val="22"/>
                </w:rPr>
                <w:t>Forum virtuel sur le thème "Exposition des personnes aux champs électromagnétiques dus aux technologies numériques"</w:t>
              </w:r>
            </w:hyperlink>
            <w:r w:rsidRPr="00F05A8A">
              <w:rPr>
                <w:rFonts w:asciiTheme="minorHAnsi" w:eastAsia="Calibri" w:hAnsiTheme="minorHAnsi" w:cstheme="minorHAnsi"/>
                <w:sz w:val="22"/>
                <w:szCs w:val="22"/>
              </w:rPr>
              <w:t>, tenu le 10 mai 2021.</w:t>
            </w:r>
          </w:p>
          <w:p w14:paraId="05B52088" w14:textId="1C3A2951" w:rsidR="003D1B4D" w:rsidRPr="00F05A8A" w:rsidRDefault="003D1B4D" w:rsidP="002F075E">
            <w:pPr>
              <w:pStyle w:val="Headingb"/>
              <w:keepNext w:val="0"/>
              <w:keepLines w:val="0"/>
              <w:spacing w:before="120" w:after="120"/>
              <w:ind w:left="0" w:firstLine="0"/>
              <w:rPr>
                <w:b w:val="0"/>
                <w:bCs/>
                <w:sz w:val="22"/>
                <w:szCs w:val="22"/>
              </w:rPr>
            </w:pPr>
            <w:r w:rsidRPr="00F05A8A">
              <w:rPr>
                <w:b w:val="0"/>
                <w:bCs/>
                <w:sz w:val="22"/>
                <w:szCs w:val="22"/>
              </w:rPr>
              <w:t>L'UIT est régulièrement représentée aux réunions de l'OMS concernant les champs électromagnétiques. De même, des représentants de l'OMS participent régulièrement aux réunions et aux ateliers organisés par l'UIT dans ce domaine.</w:t>
            </w:r>
          </w:p>
        </w:tc>
      </w:tr>
      <w:tr w:rsidR="00642422" w:rsidRPr="00F05A8A" w14:paraId="4D1FD098" w14:textId="77777777" w:rsidTr="00142C01">
        <w:tc>
          <w:tcPr>
            <w:tcW w:w="10065" w:type="dxa"/>
          </w:tcPr>
          <w:p w14:paraId="6949DF5A" w14:textId="77777777" w:rsidR="00642422" w:rsidRPr="00F05A8A" w:rsidRDefault="00642422" w:rsidP="002F075E">
            <w:pPr>
              <w:pStyle w:val="Headingb"/>
              <w:keepNext w:val="0"/>
              <w:keepLines w:val="0"/>
              <w:spacing w:before="120"/>
              <w:ind w:left="0" w:firstLine="0"/>
              <w:rPr>
                <w:sz w:val="22"/>
                <w:szCs w:val="22"/>
              </w:rPr>
            </w:pPr>
            <w:bookmarkStart w:id="660" w:name="_Toc72845148"/>
            <w:bookmarkStart w:id="661" w:name="_Toc72846472"/>
            <w:bookmarkStart w:id="662" w:name="_Toc72846722"/>
            <w:bookmarkStart w:id="663" w:name="_Toc95387576"/>
            <w:r w:rsidRPr="00F05A8A">
              <w:rPr>
                <w:sz w:val="22"/>
                <w:szCs w:val="22"/>
              </w:rPr>
              <w:lastRenderedPageBreak/>
              <w:t>Résolution 177 (Rév. Dubaï, 2018) – Conformité et interopérabilité [ainsi que la Résolution 76 de l'AMNT et la Résolution 47 de la CMDT]</w:t>
            </w:r>
            <w:bookmarkEnd w:id="660"/>
            <w:bookmarkEnd w:id="661"/>
            <w:bookmarkEnd w:id="662"/>
            <w:bookmarkEnd w:id="663"/>
          </w:p>
          <w:p w14:paraId="520A74A8" w14:textId="77777777" w:rsidR="00642422" w:rsidRPr="00F05A8A" w:rsidRDefault="00642422" w:rsidP="002F075E">
            <w:pPr>
              <w:rPr>
                <w:sz w:val="22"/>
                <w:szCs w:val="22"/>
              </w:rPr>
            </w:pPr>
            <w:r w:rsidRPr="00F05A8A">
              <w:rPr>
                <w:sz w:val="22"/>
                <w:szCs w:val="22"/>
              </w:rPr>
              <w:t>L'UIT a progressé dans la mise en œuvre du Programme de l'UIT sur la conformité et l'interopérabilité, notamment en ce qui concerne ce qui suit:</w:t>
            </w:r>
          </w:p>
          <w:p w14:paraId="762A3F9F" w14:textId="77777777" w:rsidR="00642422" w:rsidRPr="00F05A8A" w:rsidRDefault="00642422" w:rsidP="002F075E">
            <w:pPr>
              <w:pStyle w:val="enumlev1"/>
              <w:keepNext/>
              <w:keepLines/>
              <w:spacing w:after="80"/>
              <w:rPr>
                <w:sz w:val="22"/>
                <w:szCs w:val="22"/>
              </w:rPr>
            </w:pPr>
            <w:r w:rsidRPr="00F05A8A">
              <w:rPr>
                <w:sz w:val="22"/>
                <w:szCs w:val="22"/>
              </w:rPr>
              <w:t>•</w:t>
            </w:r>
            <w:r w:rsidRPr="00F05A8A">
              <w:rPr>
                <w:sz w:val="22"/>
                <w:szCs w:val="22"/>
              </w:rPr>
              <w:tab/>
              <w:t>Le TSB tient à jour la "</w:t>
            </w:r>
            <w:hyperlink r:id="rId475" w:history="1">
              <w:r w:rsidRPr="00F05A8A">
                <w:rPr>
                  <w:rStyle w:val="Hyperlink"/>
                  <w:sz w:val="22"/>
                  <w:szCs w:val="22"/>
                </w:rPr>
                <w:t>base de données sur la conformité des produits TIC</w:t>
              </w:r>
            </w:hyperlink>
            <w:r w:rsidRPr="00F05A8A">
              <w:rPr>
                <w:sz w:val="22"/>
                <w:szCs w:val="22"/>
              </w:rPr>
              <w:t>", qui permet au secteur de faire connaître la conformité des produits et des services TIC aux Recommandations UIT-T. En novembre 2021, la base de données contient plus de 500 entrées, dans cinq catégories de produits TIC.</w:t>
            </w:r>
          </w:p>
          <w:p w14:paraId="4DD7BADC" w14:textId="77777777" w:rsidR="00642422" w:rsidRPr="00F05A8A" w:rsidRDefault="00642422" w:rsidP="002F075E">
            <w:pPr>
              <w:pStyle w:val="enumlev1"/>
              <w:rPr>
                <w:sz w:val="22"/>
                <w:szCs w:val="22"/>
              </w:rPr>
            </w:pPr>
            <w:r w:rsidRPr="00F05A8A">
              <w:rPr>
                <w:sz w:val="22"/>
                <w:szCs w:val="22"/>
              </w:rPr>
              <w:t>•</w:t>
            </w:r>
            <w:r w:rsidRPr="00F05A8A">
              <w:rPr>
                <w:sz w:val="22"/>
                <w:szCs w:val="22"/>
              </w:rPr>
              <w:tab/>
              <w:t>La CE 11 de l'UIT-T met régulièrement à jour la liste des Recommandations UIT-T pertinentes pour les tests de conformité et d'interopérabilité conformément aux contributions fournies par toutes les CE de l'UIT-T.</w:t>
            </w:r>
          </w:p>
          <w:p w14:paraId="68286CC0" w14:textId="77777777" w:rsidR="00642422" w:rsidRPr="00F05A8A" w:rsidRDefault="00642422" w:rsidP="002F075E">
            <w:pPr>
              <w:pStyle w:val="enumlev1"/>
              <w:numPr>
                <w:ilvl w:val="0"/>
                <w:numId w:val="11"/>
              </w:numPr>
              <w:ind w:left="596" w:hanging="596"/>
              <w:rPr>
                <w:sz w:val="22"/>
                <w:szCs w:val="22"/>
              </w:rPr>
            </w:pPr>
            <w:r w:rsidRPr="00F05A8A">
              <w:rPr>
                <w:sz w:val="22"/>
                <w:szCs w:val="22"/>
              </w:rPr>
              <w:t>L'UIT a organisé plusieurs ateliers sur la conformité et l'interopérabilité, y compris deux ateliers régionaux de la CE 11 de l'UIT-T pour l'Afrique sur le thème "Les défis liés à la contrefaçon de dispositifs TIC et aux tests de conformité et d'interopérabilité en Afrique" (</w:t>
            </w:r>
            <w:hyperlink r:id="rId476" w:history="1">
              <w:r w:rsidRPr="00F05A8A">
                <w:rPr>
                  <w:rStyle w:val="Hyperlink"/>
                  <w:sz w:val="22"/>
                  <w:szCs w:val="22"/>
                </w:rPr>
                <w:t>2018</w:t>
              </w:r>
            </w:hyperlink>
            <w:r w:rsidRPr="00F05A8A">
              <w:rPr>
                <w:sz w:val="22"/>
                <w:szCs w:val="22"/>
              </w:rPr>
              <w:t xml:space="preserve"> et </w:t>
            </w:r>
            <w:hyperlink r:id="rId477" w:history="1">
              <w:r w:rsidRPr="00F05A8A">
                <w:rPr>
                  <w:rStyle w:val="Hyperlink"/>
                  <w:sz w:val="22"/>
                  <w:szCs w:val="22"/>
                </w:rPr>
                <w:t>2019</w:t>
              </w:r>
            </w:hyperlink>
            <w:r w:rsidRPr="00F05A8A">
              <w:rPr>
                <w:sz w:val="22"/>
                <w:szCs w:val="22"/>
              </w:rPr>
              <w:t>, Tunis, Tunisie) et un forum de l'UIT sur le thème "Les réseaux futurs et la conformité et l'interopérabilité" (</w:t>
            </w:r>
            <w:hyperlink r:id="rId478" w:history="1">
              <w:r w:rsidRPr="00F05A8A">
                <w:rPr>
                  <w:rStyle w:val="Hyperlink"/>
                  <w:sz w:val="22"/>
                  <w:szCs w:val="22"/>
                </w:rPr>
                <w:t>2021</w:t>
              </w:r>
            </w:hyperlink>
            <w:r w:rsidRPr="00F05A8A">
              <w:rPr>
                <w:sz w:val="22"/>
                <w:szCs w:val="22"/>
              </w:rPr>
              <w:t>, Saint-Pétersbourg, Russie).</w:t>
            </w:r>
          </w:p>
          <w:p w14:paraId="71E0F1FD" w14:textId="77777777" w:rsidR="00642422" w:rsidRPr="00F05A8A" w:rsidRDefault="00642422" w:rsidP="002F075E">
            <w:pPr>
              <w:pStyle w:val="enumlev1"/>
              <w:rPr>
                <w:sz w:val="22"/>
                <w:szCs w:val="22"/>
              </w:rPr>
            </w:pPr>
            <w:r w:rsidRPr="00F05A8A">
              <w:rPr>
                <w:sz w:val="22"/>
                <w:szCs w:val="22"/>
              </w:rPr>
              <w:t>•</w:t>
            </w:r>
            <w:r w:rsidRPr="00F05A8A">
              <w:rPr>
                <w:sz w:val="22"/>
                <w:szCs w:val="22"/>
              </w:rPr>
              <w:tab/>
              <w:t>Le TSB facilite la mise en œuvre de la procédure de reconnaissance des laboratoires de tests de l'UIT concernant la conformité aux Recommandations UIT-T. On trouvera de plus amples informations dans le rapport de la Commission de direction pour l'évaluation de la conformité (</w:t>
            </w:r>
            <w:hyperlink r:id="rId479" w:history="1">
              <w:r w:rsidRPr="00F05A8A">
                <w:rPr>
                  <w:rStyle w:val="Hyperlink"/>
                  <w:sz w:val="22"/>
                  <w:szCs w:val="22"/>
                </w:rPr>
                <w:t>CE 11-RG42</w:t>
              </w:r>
            </w:hyperlink>
            <w:r w:rsidRPr="00F05A8A">
              <w:rPr>
                <w:sz w:val="22"/>
                <w:szCs w:val="22"/>
              </w:rPr>
              <w:t>, Annexe 6).</w:t>
            </w:r>
          </w:p>
          <w:p w14:paraId="5DB07ADB" w14:textId="77777777" w:rsidR="00642422" w:rsidRPr="00F05A8A" w:rsidRDefault="00642422" w:rsidP="002F075E">
            <w:pPr>
              <w:pStyle w:val="enumlev1"/>
              <w:rPr>
                <w:sz w:val="22"/>
                <w:szCs w:val="22"/>
              </w:rPr>
            </w:pPr>
            <w:r w:rsidRPr="00F05A8A">
              <w:rPr>
                <w:sz w:val="22"/>
                <w:szCs w:val="22"/>
              </w:rPr>
              <w:t>•</w:t>
            </w:r>
            <w:r w:rsidRPr="00F05A8A">
              <w:rPr>
                <w:sz w:val="22"/>
                <w:szCs w:val="22"/>
              </w:rPr>
              <w:tab/>
              <w:t xml:space="preserve">Pilier 3 du Programme C&amp;I de l'UIT (renforcement des capacités): </w:t>
            </w:r>
          </w:p>
          <w:p w14:paraId="56661ED1" w14:textId="77777777" w:rsidR="00642422" w:rsidRPr="00F05A8A" w:rsidRDefault="00642422" w:rsidP="002F075E">
            <w:pPr>
              <w:pStyle w:val="enumlev2"/>
              <w:rPr>
                <w:sz w:val="22"/>
                <w:szCs w:val="22"/>
              </w:rPr>
            </w:pPr>
            <w:r w:rsidRPr="00F05A8A">
              <w:rPr>
                <w:sz w:val="22"/>
                <w:szCs w:val="22"/>
              </w:rPr>
              <w:t>−</w:t>
            </w:r>
            <w:r w:rsidRPr="00F05A8A">
              <w:rPr>
                <w:sz w:val="22"/>
                <w:szCs w:val="22"/>
              </w:rPr>
              <w:tab/>
              <w:t xml:space="preserve">Des activités de </w:t>
            </w:r>
            <w:hyperlink r:id="rId480" w:history="1">
              <w:r w:rsidRPr="00F05A8A">
                <w:rPr>
                  <w:rStyle w:val="Hyperlink"/>
                  <w:sz w:val="22"/>
                  <w:szCs w:val="22"/>
                </w:rPr>
                <w:t>renforcement des capacités</w:t>
              </w:r>
            </w:hyperlink>
            <w:r w:rsidRPr="00F05A8A">
              <w:rPr>
                <w:sz w:val="22"/>
                <w:szCs w:val="22"/>
              </w:rPr>
              <w:t xml:space="preserve"> en cours d'emploi sur les cadres et différents domaines de tests de la C&amp;I (cadres pour l'IoT, la 5G, la C&amp;I, par exemple) sont menées en collaboration avec des laboratoires partenaires et des centres d'excellence. </w:t>
            </w:r>
          </w:p>
          <w:p w14:paraId="26B90A0D" w14:textId="77777777" w:rsidR="00642422" w:rsidRPr="00F05A8A" w:rsidRDefault="00642422" w:rsidP="002F075E">
            <w:pPr>
              <w:pStyle w:val="enumlev3"/>
              <w:rPr>
                <w:sz w:val="22"/>
                <w:szCs w:val="22"/>
              </w:rPr>
            </w:pPr>
            <w:r w:rsidRPr="00F05A8A">
              <w:rPr>
                <w:sz w:val="22"/>
                <w:szCs w:val="22"/>
              </w:rPr>
              <w:t>•</w:t>
            </w:r>
            <w:r w:rsidRPr="00F05A8A">
              <w:rPr>
                <w:sz w:val="22"/>
                <w:szCs w:val="22"/>
              </w:rPr>
              <w:tab/>
              <w:t>En 2021, la plate-forme d'apprentissage de l'Académie de l'UIT a permis de dispenser les cours de formation virtuelle suivants:</w:t>
            </w:r>
          </w:p>
          <w:p w14:paraId="23C34B33" w14:textId="77777777" w:rsidR="00642422" w:rsidRPr="00F05A8A" w:rsidRDefault="00642422" w:rsidP="002F075E">
            <w:pPr>
              <w:pStyle w:val="enumlev3"/>
              <w:tabs>
                <w:tab w:val="clear" w:pos="2268"/>
              </w:tabs>
              <w:ind w:left="2018" w:hanging="317"/>
              <w:rPr>
                <w:sz w:val="22"/>
                <w:szCs w:val="22"/>
              </w:rPr>
            </w:pPr>
            <w:r w:rsidRPr="00F05A8A">
              <w:rPr>
                <w:sz w:val="22"/>
                <w:szCs w:val="22"/>
              </w:rPr>
              <w:t>•</w:t>
            </w:r>
            <w:r w:rsidRPr="00F05A8A">
              <w:rPr>
                <w:sz w:val="22"/>
                <w:szCs w:val="22"/>
              </w:rPr>
              <w:tab/>
            </w:r>
            <w:hyperlink r:id="rId481" w:history="1">
              <w:r w:rsidRPr="00F05A8A">
                <w:rPr>
                  <w:rStyle w:val="Hyperlink"/>
                  <w:sz w:val="22"/>
                  <w:szCs w:val="22"/>
                </w:rPr>
                <w:t>Conformité et interopérabilité pour la région Afrique</w:t>
              </w:r>
            </w:hyperlink>
          </w:p>
          <w:p w14:paraId="16289907" w14:textId="77777777" w:rsidR="00642422" w:rsidRPr="00F05A8A" w:rsidRDefault="00642422" w:rsidP="002F075E">
            <w:pPr>
              <w:pStyle w:val="enumlev3"/>
              <w:tabs>
                <w:tab w:val="clear" w:pos="2268"/>
              </w:tabs>
              <w:ind w:left="2018" w:hanging="317"/>
              <w:rPr>
                <w:sz w:val="22"/>
                <w:szCs w:val="22"/>
              </w:rPr>
            </w:pPr>
            <w:r w:rsidRPr="00F05A8A">
              <w:rPr>
                <w:sz w:val="22"/>
                <w:szCs w:val="22"/>
              </w:rPr>
              <w:t>•</w:t>
            </w:r>
            <w:r w:rsidRPr="00F05A8A">
              <w:rPr>
                <w:sz w:val="22"/>
                <w:szCs w:val="22"/>
              </w:rPr>
              <w:tab/>
            </w:r>
            <w:hyperlink r:id="rId482" w:history="1">
              <w:r w:rsidRPr="00F05A8A">
                <w:rPr>
                  <w:rStyle w:val="Hyperlink"/>
                  <w:sz w:val="22"/>
                  <w:szCs w:val="22"/>
                </w:rPr>
                <w:t>Conformité et interopérabilité concernant la 5G</w:t>
              </w:r>
            </w:hyperlink>
          </w:p>
          <w:p w14:paraId="2E836F8B" w14:textId="77777777" w:rsidR="00642422" w:rsidRPr="00F05A8A" w:rsidRDefault="00642422" w:rsidP="002F075E">
            <w:pPr>
              <w:pStyle w:val="enumlev3"/>
              <w:tabs>
                <w:tab w:val="clear" w:pos="2268"/>
              </w:tabs>
              <w:ind w:left="2018" w:hanging="317"/>
              <w:rPr>
                <w:sz w:val="22"/>
                <w:szCs w:val="22"/>
              </w:rPr>
            </w:pPr>
            <w:r w:rsidRPr="00F05A8A">
              <w:rPr>
                <w:sz w:val="22"/>
                <w:szCs w:val="22"/>
              </w:rPr>
              <w:t>•</w:t>
            </w:r>
            <w:r w:rsidRPr="00F05A8A">
              <w:rPr>
                <w:sz w:val="22"/>
                <w:szCs w:val="22"/>
              </w:rPr>
              <w:tab/>
            </w:r>
            <w:hyperlink r:id="rId483" w:history="1">
              <w:r w:rsidRPr="00F05A8A">
                <w:rPr>
                  <w:rStyle w:val="Hyperlink"/>
                  <w:sz w:val="22"/>
                  <w:szCs w:val="22"/>
                </w:rPr>
                <w:t>Formation sur l'état de préparation des start-up concernant le déploiement de l'Internet des objets: essais de conformité préalable</w:t>
              </w:r>
            </w:hyperlink>
          </w:p>
          <w:p w14:paraId="035B04B6" w14:textId="77777777" w:rsidR="00642422" w:rsidRPr="00F05A8A" w:rsidRDefault="00642422" w:rsidP="002F075E">
            <w:pPr>
              <w:pStyle w:val="enumlev3"/>
              <w:rPr>
                <w:sz w:val="22"/>
                <w:szCs w:val="22"/>
              </w:rPr>
            </w:pPr>
            <w:r w:rsidRPr="00F05A8A">
              <w:rPr>
                <w:sz w:val="22"/>
                <w:szCs w:val="22"/>
              </w:rPr>
              <w:t>•</w:t>
            </w:r>
            <w:r w:rsidRPr="00F05A8A">
              <w:rPr>
                <w:sz w:val="22"/>
                <w:szCs w:val="22"/>
              </w:rPr>
              <w:tab/>
              <w:t xml:space="preserve">On trouvera de plus amples informations à l'adresse suivante: </w:t>
            </w:r>
            <w:hyperlink r:id="rId484" w:history="1">
              <w:r w:rsidRPr="00F05A8A">
                <w:rPr>
                  <w:rStyle w:val="Hyperlink"/>
                  <w:sz w:val="22"/>
                  <w:szCs w:val="22"/>
                </w:rPr>
                <w:t>https://itu.int/go/ci_training</w:t>
              </w:r>
            </w:hyperlink>
            <w:r w:rsidRPr="00F05A8A">
              <w:rPr>
                <w:sz w:val="22"/>
                <w:szCs w:val="22"/>
              </w:rPr>
              <w:t>.</w:t>
            </w:r>
          </w:p>
          <w:p w14:paraId="55D06C18" w14:textId="77777777" w:rsidR="00642422" w:rsidRPr="00F05A8A" w:rsidRDefault="00642422" w:rsidP="002F075E">
            <w:pPr>
              <w:pStyle w:val="enumlev2"/>
              <w:rPr>
                <w:sz w:val="22"/>
                <w:szCs w:val="22"/>
              </w:rPr>
            </w:pPr>
            <w:r w:rsidRPr="00F05A8A">
              <w:rPr>
                <w:sz w:val="22"/>
                <w:szCs w:val="22"/>
              </w:rPr>
              <w:t>−</w:t>
            </w:r>
            <w:r w:rsidRPr="00F05A8A">
              <w:rPr>
                <w:sz w:val="22"/>
                <w:szCs w:val="22"/>
              </w:rPr>
              <w:tab/>
              <w:t>Le programme de formation sur la conformité et l'interopérabilité (CITP) repose sur du matériel de formation produit lors d'activités de formation antérieures sur la C&amp;I; il tient compte des enseignements tirés des publications de l'UIT sur la C&amp;I (par exemple les rapports sur la Question 4/2 pour deux périodes d'études) ainsi que des lignes directrices et recommandations de l'UIT publiées (</w:t>
            </w:r>
            <w:hyperlink r:id="rId485" w:history="1">
              <w:r w:rsidRPr="00F05A8A">
                <w:rPr>
                  <w:rStyle w:val="Hyperlink"/>
                  <w:sz w:val="22"/>
                  <w:szCs w:val="22"/>
                </w:rPr>
                <w:t>https://itu.int/go/ci_guidelines</w:t>
              </w:r>
            </w:hyperlink>
            <w:r w:rsidRPr="00F05A8A">
              <w:rPr>
                <w:sz w:val="22"/>
                <w:szCs w:val="22"/>
              </w:rPr>
              <w:t>) et il applique les mécanismes d'assurance qualité de l'Académie de l'UIT (matériels de haut niveau élaborés par des spécialistes dans les domaines concernés et processus d'examen par les pairs).</w:t>
            </w:r>
          </w:p>
          <w:p w14:paraId="37CFB47A" w14:textId="77777777" w:rsidR="00642422" w:rsidRPr="00F05A8A" w:rsidRDefault="00642422" w:rsidP="002F075E">
            <w:pPr>
              <w:pStyle w:val="enumlev1"/>
              <w:keepNext/>
              <w:keepLines/>
              <w:rPr>
                <w:sz w:val="22"/>
                <w:szCs w:val="22"/>
              </w:rPr>
            </w:pPr>
            <w:r w:rsidRPr="00F05A8A">
              <w:rPr>
                <w:sz w:val="22"/>
                <w:szCs w:val="22"/>
              </w:rPr>
              <w:lastRenderedPageBreak/>
              <w:t>•</w:t>
            </w:r>
            <w:r w:rsidRPr="00F05A8A">
              <w:rPr>
                <w:sz w:val="22"/>
                <w:szCs w:val="22"/>
              </w:rPr>
              <w:tab/>
              <w:t>Pilier 4 du Programme C&amp;I de l'UIT (assistance aux pays en développement):</w:t>
            </w:r>
          </w:p>
          <w:p w14:paraId="364B8B68" w14:textId="77777777" w:rsidR="00642422" w:rsidRPr="00F05A8A" w:rsidRDefault="00642422" w:rsidP="002F075E">
            <w:pPr>
              <w:pStyle w:val="enumlev2"/>
              <w:rPr>
                <w:sz w:val="22"/>
                <w:szCs w:val="22"/>
              </w:rPr>
            </w:pPr>
            <w:r w:rsidRPr="00F05A8A">
              <w:rPr>
                <w:sz w:val="22"/>
                <w:szCs w:val="22"/>
              </w:rPr>
              <w:t>–</w:t>
            </w:r>
            <w:r w:rsidRPr="00F05A8A">
              <w:rPr>
                <w:sz w:val="22"/>
                <w:szCs w:val="22"/>
              </w:rPr>
              <w:tab/>
              <w:t>Une série d'</w:t>
            </w:r>
            <w:hyperlink r:id="rId486" w:history="1">
              <w:r w:rsidRPr="00F05A8A">
                <w:rPr>
                  <w:rStyle w:val="Hyperlink"/>
                  <w:sz w:val="22"/>
                  <w:szCs w:val="22"/>
                </w:rPr>
                <w:t>études d'évaluation</w:t>
              </w:r>
            </w:hyperlink>
            <w:r w:rsidRPr="00F05A8A">
              <w:rPr>
                <w:sz w:val="22"/>
                <w:szCs w:val="22"/>
              </w:rPr>
              <w:t xml:space="preserve"> de la C&amp;I a été menée dans la région de la CEDEAO afin de favoriser la collaboration régionale pour l'établissement de programmes C&amp;I harmonisés. Les rapports peuvent être consultés sur la </w:t>
            </w:r>
            <w:hyperlink r:id="rId487" w:history="1">
              <w:r w:rsidRPr="00F05A8A">
                <w:rPr>
                  <w:rStyle w:val="Hyperlink"/>
                  <w:sz w:val="22"/>
                  <w:szCs w:val="22"/>
                </w:rPr>
                <w:t>page web</w:t>
              </w:r>
            </w:hyperlink>
            <w:r w:rsidRPr="00F05A8A">
              <w:rPr>
                <w:sz w:val="22"/>
                <w:szCs w:val="22"/>
              </w:rPr>
              <w:t xml:space="preserve"> dédiée.</w:t>
            </w:r>
          </w:p>
          <w:p w14:paraId="0B2FDB84" w14:textId="77777777" w:rsidR="00642422" w:rsidRPr="00F05A8A" w:rsidRDefault="00642422" w:rsidP="002F075E">
            <w:pPr>
              <w:pStyle w:val="enumlev2"/>
              <w:rPr>
                <w:sz w:val="22"/>
                <w:szCs w:val="22"/>
              </w:rPr>
            </w:pPr>
            <w:r w:rsidRPr="00F05A8A">
              <w:rPr>
                <w:sz w:val="22"/>
                <w:szCs w:val="22"/>
              </w:rPr>
              <w:t>–</w:t>
            </w:r>
            <w:r w:rsidRPr="00F05A8A">
              <w:rPr>
                <w:sz w:val="22"/>
                <w:szCs w:val="22"/>
              </w:rPr>
              <w:tab/>
            </w:r>
            <w:hyperlink r:id="rId488" w:history="1">
              <w:r w:rsidRPr="00F05A8A">
                <w:rPr>
                  <w:rStyle w:val="Hyperlink"/>
                  <w:sz w:val="22"/>
                  <w:szCs w:val="22"/>
                </w:rPr>
                <w:t>Question 4</w:t>
              </w:r>
            </w:hyperlink>
            <w:r w:rsidRPr="00F05A8A">
              <w:rPr>
                <w:rStyle w:val="Hyperlink"/>
                <w:sz w:val="22"/>
                <w:szCs w:val="22"/>
              </w:rPr>
              <w:t xml:space="preserve"> </w:t>
            </w:r>
            <w:r w:rsidRPr="00F05A8A">
              <w:rPr>
                <w:sz w:val="22"/>
                <w:szCs w:val="22"/>
              </w:rPr>
              <w:t xml:space="preserve">de la Commission d'études 2 de l'UIT-D </w:t>
            </w:r>
            <w:r w:rsidRPr="00F05A8A">
              <w:rPr>
                <w:rStyle w:val="Hyperlink"/>
                <w:sz w:val="22"/>
                <w:szCs w:val="22"/>
              </w:rPr>
              <w:t xml:space="preserve">(Q4/2): </w:t>
            </w:r>
            <w:r w:rsidRPr="00F05A8A">
              <w:rPr>
                <w:sz w:val="22"/>
                <w:szCs w:val="22"/>
              </w:rPr>
              <w:t>le groupe a achevé son rapport final (</w:t>
            </w:r>
            <w:hyperlink r:id="rId489" w:history="1">
              <w:r w:rsidRPr="00F05A8A">
                <w:rPr>
                  <w:rStyle w:val="Hyperlink"/>
                  <w:sz w:val="22"/>
                  <w:szCs w:val="22"/>
                </w:rPr>
                <w:t>lien</w:t>
              </w:r>
            </w:hyperlink>
            <w:r w:rsidRPr="00F05A8A">
              <w:rPr>
                <w:sz w:val="22"/>
                <w:szCs w:val="22"/>
              </w:rPr>
              <w:t>). Une vidéo a été produite pour faire connaître les travaux menés au titre de cette Question (</w:t>
            </w:r>
            <w:hyperlink r:id="rId490" w:history="1">
              <w:r w:rsidRPr="00F05A8A">
                <w:rPr>
                  <w:rStyle w:val="Hyperlink"/>
                  <w:sz w:val="22"/>
                  <w:szCs w:val="22"/>
                </w:rPr>
                <w:t>lien</w:t>
              </w:r>
            </w:hyperlink>
            <w:r w:rsidRPr="00F05A8A">
              <w:rPr>
                <w:sz w:val="22"/>
                <w:szCs w:val="22"/>
              </w:rPr>
              <w:t xml:space="preserve">). Plus d'informations sur la Question 4/2 sont disponibles à l'adresse suivante: </w:t>
            </w:r>
            <w:hyperlink r:id="rId491" w:history="1">
              <w:r w:rsidRPr="00F05A8A">
                <w:rPr>
                  <w:rStyle w:val="Hyperlink"/>
                  <w:sz w:val="22"/>
                  <w:szCs w:val="22"/>
                </w:rPr>
                <w:t>http://itu.int/go/Q4/2</w:t>
              </w:r>
            </w:hyperlink>
            <w:r w:rsidRPr="00F05A8A">
              <w:rPr>
                <w:sz w:val="22"/>
                <w:szCs w:val="22"/>
              </w:rPr>
              <w:t>.</w:t>
            </w:r>
          </w:p>
          <w:p w14:paraId="46051C69" w14:textId="77777777" w:rsidR="00642422" w:rsidRPr="00F05A8A" w:rsidRDefault="00642422" w:rsidP="002F075E">
            <w:pPr>
              <w:pStyle w:val="enumlev2"/>
              <w:spacing w:after="120"/>
              <w:rPr>
                <w:sz w:val="22"/>
                <w:szCs w:val="22"/>
              </w:rPr>
            </w:pPr>
            <w:r w:rsidRPr="00F05A8A">
              <w:rPr>
                <w:sz w:val="22"/>
                <w:szCs w:val="22"/>
              </w:rPr>
              <w:t>–</w:t>
            </w:r>
            <w:r w:rsidRPr="00F05A8A">
              <w:rPr>
                <w:sz w:val="22"/>
                <w:szCs w:val="22"/>
              </w:rPr>
              <w:tab/>
              <w:t>En 2021, une assistance a été fournie pour l'établissement d'un cadre C&amp;I au Soudan du Sud.</w:t>
            </w:r>
          </w:p>
        </w:tc>
      </w:tr>
      <w:tr w:rsidR="00642422" w:rsidRPr="00F05A8A" w14:paraId="5D2DFD0F" w14:textId="77777777" w:rsidTr="00142C01">
        <w:tc>
          <w:tcPr>
            <w:tcW w:w="10065" w:type="dxa"/>
          </w:tcPr>
          <w:p w14:paraId="58923900" w14:textId="77777777" w:rsidR="00642422" w:rsidRPr="00F05A8A" w:rsidRDefault="00642422" w:rsidP="002F075E">
            <w:pPr>
              <w:pStyle w:val="Headingb"/>
              <w:spacing w:before="120"/>
              <w:ind w:left="0" w:firstLine="0"/>
              <w:rPr>
                <w:sz w:val="22"/>
                <w:szCs w:val="22"/>
              </w:rPr>
            </w:pPr>
            <w:bookmarkStart w:id="664" w:name="_Toc72845149"/>
            <w:bookmarkStart w:id="665" w:name="_Toc72846473"/>
            <w:bookmarkStart w:id="666" w:name="_Toc72846723"/>
            <w:bookmarkStart w:id="667" w:name="_Toc95387577"/>
            <w:r w:rsidRPr="00F05A8A">
              <w:rPr>
                <w:sz w:val="22"/>
                <w:szCs w:val="22"/>
              </w:rPr>
              <w:lastRenderedPageBreak/>
              <w:t>Résolution 179 (Rév. Dubaï, 2018) – Rôle de l'UIT dans la protection en ligne des enfants</w:t>
            </w:r>
            <w:bookmarkEnd w:id="664"/>
            <w:bookmarkEnd w:id="665"/>
            <w:bookmarkEnd w:id="666"/>
            <w:bookmarkEnd w:id="667"/>
          </w:p>
          <w:p w14:paraId="7CA19069" w14:textId="77777777" w:rsidR="00642422" w:rsidRPr="00F05A8A" w:rsidRDefault="00642422" w:rsidP="002F075E">
            <w:pPr>
              <w:spacing w:after="120"/>
              <w:rPr>
                <w:sz w:val="22"/>
                <w:szCs w:val="22"/>
              </w:rPr>
            </w:pPr>
            <w:r w:rsidRPr="00F05A8A">
              <w:rPr>
                <w:sz w:val="22"/>
                <w:szCs w:val="22"/>
              </w:rPr>
              <w:t>Voir le rapport du Président du Groupe de travail du Conseil sur la protection en ligne des enfants (GTC</w:t>
            </w:r>
            <w:r w:rsidRPr="00F05A8A">
              <w:rPr>
                <w:sz w:val="22"/>
                <w:szCs w:val="22"/>
              </w:rPr>
              <w:noBreakHyphen/>
              <w:t xml:space="preserve">COP) à l'intention du Conseil </w:t>
            </w:r>
            <w:hyperlink r:id="rId492" w:history="1">
              <w:r w:rsidRPr="00F05A8A">
                <w:rPr>
                  <w:rStyle w:val="Hyperlink"/>
                  <w:sz w:val="22"/>
                  <w:szCs w:val="22"/>
                </w:rPr>
                <w:t>ici</w:t>
              </w:r>
            </w:hyperlink>
            <w:r w:rsidRPr="00F05A8A">
              <w:rPr>
                <w:sz w:val="22"/>
                <w:szCs w:val="22"/>
              </w:rPr>
              <w:t xml:space="preserve">, et la </w:t>
            </w:r>
            <w:hyperlink w:anchor="_Toc37943340" w:history="1">
              <w:r w:rsidRPr="00F05A8A">
                <w:rPr>
                  <w:rStyle w:val="Hyperlink"/>
                  <w:sz w:val="22"/>
                  <w:szCs w:val="22"/>
                </w:rPr>
                <w:t>section 1.6</w:t>
              </w:r>
            </w:hyperlink>
            <w:r w:rsidRPr="00F05A8A">
              <w:rPr>
                <w:sz w:val="22"/>
                <w:szCs w:val="22"/>
              </w:rPr>
              <w:t>.</w:t>
            </w:r>
          </w:p>
        </w:tc>
      </w:tr>
      <w:tr w:rsidR="00642422" w:rsidRPr="00F05A8A" w14:paraId="60B6E36F" w14:textId="77777777" w:rsidTr="00142C01">
        <w:trPr>
          <w:trHeight w:val="1735"/>
        </w:trPr>
        <w:tc>
          <w:tcPr>
            <w:tcW w:w="10065" w:type="dxa"/>
          </w:tcPr>
          <w:p w14:paraId="48521E76" w14:textId="77777777" w:rsidR="00642422" w:rsidRPr="00F05A8A" w:rsidRDefault="00642422" w:rsidP="002F075E">
            <w:pPr>
              <w:pStyle w:val="Headingb"/>
              <w:keepNext w:val="0"/>
              <w:keepLines w:val="0"/>
              <w:spacing w:before="120"/>
              <w:ind w:left="0" w:firstLine="0"/>
              <w:rPr>
                <w:sz w:val="22"/>
                <w:szCs w:val="22"/>
              </w:rPr>
            </w:pPr>
            <w:bookmarkStart w:id="668" w:name="_Toc72845150"/>
            <w:bookmarkStart w:id="669" w:name="_Toc72846474"/>
            <w:bookmarkStart w:id="670" w:name="_Toc72846724"/>
            <w:bookmarkStart w:id="671" w:name="_Toc95387578"/>
            <w:r w:rsidRPr="00F05A8A">
              <w:rPr>
                <w:sz w:val="22"/>
                <w:szCs w:val="22"/>
              </w:rPr>
              <w:t>Résolution 182 (Rév. Busan, 2014) – Rôle des télécommunications/technologies de l'information et de la communication en ce qui concerne les changements climatiques et la protection de l'environnement</w:t>
            </w:r>
            <w:bookmarkEnd w:id="668"/>
            <w:bookmarkEnd w:id="669"/>
            <w:bookmarkEnd w:id="670"/>
            <w:bookmarkEnd w:id="671"/>
          </w:p>
          <w:p w14:paraId="116771EE" w14:textId="77777777" w:rsidR="00642422" w:rsidRPr="00F05A8A" w:rsidRDefault="00642422" w:rsidP="002F075E">
            <w:pPr>
              <w:rPr>
                <w:sz w:val="22"/>
                <w:szCs w:val="22"/>
              </w:rPr>
            </w:pPr>
            <w:r w:rsidRPr="00F05A8A">
              <w:rPr>
                <w:sz w:val="22"/>
                <w:szCs w:val="22"/>
              </w:rPr>
              <w:t xml:space="preserve">On trouvera dans la </w:t>
            </w:r>
            <w:hyperlink w:anchor="_1.5_Environnement_et" w:history="1">
              <w:r w:rsidRPr="00F05A8A">
                <w:rPr>
                  <w:rStyle w:val="Hyperlink"/>
                  <w:sz w:val="22"/>
                  <w:szCs w:val="22"/>
                </w:rPr>
                <w:t>section 1.5</w:t>
              </w:r>
            </w:hyperlink>
            <w:r w:rsidRPr="00F05A8A">
              <w:rPr>
                <w:sz w:val="22"/>
                <w:szCs w:val="22"/>
              </w:rPr>
              <w:t xml:space="preserve"> (Environnement et villes et communautés intelligentes et durables) un résumé des travaux de l'UIT sur les changements climatiques et la protection de l'environnement.</w:t>
            </w:r>
          </w:p>
          <w:p w14:paraId="488A81DD" w14:textId="77777777" w:rsidR="00642422" w:rsidRPr="00F05A8A" w:rsidRDefault="00642422" w:rsidP="002F075E">
            <w:pPr>
              <w:rPr>
                <w:sz w:val="22"/>
                <w:szCs w:val="22"/>
              </w:rPr>
            </w:pPr>
            <w:r w:rsidRPr="00F05A8A">
              <w:rPr>
                <w:sz w:val="22"/>
                <w:szCs w:val="22"/>
              </w:rPr>
              <w:t>La CE 5 de l'UIT-T (Environnement, changements climatiques et économie circulaire) est la commission d'études directrice pour les TIC en lien avec l'environnement, les changements climatiques, l'efficacité énergétique, l'énergie propre et l'économie circulaire, y compris les déchets d'équipements électriques et électroniques.</w:t>
            </w:r>
          </w:p>
          <w:p w14:paraId="04A4E34A" w14:textId="77777777" w:rsidR="00642422" w:rsidRPr="00F05A8A" w:rsidRDefault="00642422" w:rsidP="002F075E">
            <w:pPr>
              <w:rPr>
                <w:sz w:val="22"/>
                <w:szCs w:val="22"/>
              </w:rPr>
            </w:pPr>
            <w:r w:rsidRPr="00F05A8A">
              <w:rPr>
                <w:sz w:val="22"/>
                <w:szCs w:val="22"/>
              </w:rPr>
              <w:t xml:space="preserve">La </w:t>
            </w:r>
            <w:hyperlink w:anchor="Section_1_3" w:history="1">
              <w:r w:rsidRPr="00F05A8A">
                <w:rPr>
                  <w:rStyle w:val="Hyperlink"/>
                  <w:sz w:val="22"/>
                  <w:szCs w:val="22"/>
                </w:rPr>
                <w:t>section 1.3</w:t>
              </w:r>
            </w:hyperlink>
            <w:r w:rsidRPr="00F05A8A">
              <w:rPr>
                <w:sz w:val="22"/>
                <w:szCs w:val="22"/>
              </w:rPr>
              <w:t xml:space="preserve"> donne des détails sur des recommandations spécifiques en lien avec le climat approuvées durant cette période.</w:t>
            </w:r>
          </w:p>
          <w:p w14:paraId="44B045DB" w14:textId="77777777" w:rsidR="00642422" w:rsidRPr="00F05A8A" w:rsidRDefault="00642422" w:rsidP="002F075E">
            <w:pPr>
              <w:rPr>
                <w:rFonts w:eastAsiaTheme="minorHAnsi"/>
                <w:sz w:val="22"/>
                <w:szCs w:val="22"/>
              </w:rPr>
            </w:pPr>
            <w:r w:rsidRPr="00F05A8A">
              <w:rPr>
                <w:rFonts w:asciiTheme="minorHAnsi" w:hAnsiTheme="minorHAnsi" w:cstheme="minorHAnsi"/>
                <w:sz w:val="22"/>
                <w:szCs w:val="22"/>
              </w:rPr>
              <w:t xml:space="preserve">L'édition de 2020 de la Journée mondiale de la normalisation avait pour thème: </w:t>
            </w:r>
            <w:hyperlink r:id="rId493" w:history="1">
              <w:r w:rsidRPr="00F05A8A">
                <w:rPr>
                  <w:rStyle w:val="Hyperlink"/>
                  <w:rFonts w:asciiTheme="minorHAnsi" w:hAnsiTheme="minorHAnsi" w:cstheme="minorHAnsi"/>
                  <w:sz w:val="22"/>
                  <w:szCs w:val="22"/>
                </w:rPr>
                <w:t>La protection de la planète à l'aide des normes</w:t>
              </w:r>
            </w:hyperlink>
            <w:r w:rsidRPr="00F05A8A">
              <w:rPr>
                <w:rFonts w:eastAsiaTheme="minorHAnsi"/>
                <w:sz w:val="22"/>
                <w:szCs w:val="22"/>
              </w:rPr>
              <w:t>.</w:t>
            </w:r>
          </w:p>
          <w:p w14:paraId="3974B056" w14:textId="77777777" w:rsidR="00642422" w:rsidRPr="00F05A8A" w:rsidRDefault="00642422" w:rsidP="002F075E">
            <w:pPr>
              <w:rPr>
                <w:sz w:val="22"/>
                <w:szCs w:val="22"/>
              </w:rPr>
            </w:pPr>
            <w:r w:rsidRPr="00F05A8A">
              <w:rPr>
                <w:sz w:val="22"/>
                <w:szCs w:val="22"/>
              </w:rPr>
              <w:t>La CE 5 de l'UIT-T a organisé les manifestations suivantes:</w:t>
            </w:r>
          </w:p>
          <w:p w14:paraId="4C9D9B8C"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494" w:history="1">
              <w:r w:rsidRPr="00F05A8A">
                <w:rPr>
                  <w:rStyle w:val="Hyperlink"/>
                  <w:sz w:val="22"/>
                  <w:szCs w:val="22"/>
                </w:rPr>
                <w:t>Dialogues sur la transformation numérique durable</w:t>
              </w:r>
            </w:hyperlink>
            <w:r w:rsidRPr="00F05A8A">
              <w:rPr>
                <w:sz w:val="22"/>
                <w:szCs w:val="22"/>
              </w:rPr>
              <w:t>, réunion virtuelle, du 28 au 30 septembre 2021.</w:t>
            </w:r>
          </w:p>
          <w:p w14:paraId="55652E90"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495" w:history="1">
              <w:r w:rsidRPr="00F05A8A">
                <w:rPr>
                  <w:rStyle w:val="Hyperlink"/>
                  <w:sz w:val="22"/>
                  <w:szCs w:val="22"/>
                </w:rPr>
                <w:t>Dialogue sur la transformation numérique durable en Amérique latine</w:t>
              </w:r>
            </w:hyperlink>
            <w:r w:rsidRPr="00F05A8A">
              <w:rPr>
                <w:sz w:val="22"/>
                <w:szCs w:val="22"/>
              </w:rPr>
              <w:t>, réunion virtuelle, 30 septembre 2021.</w:t>
            </w:r>
          </w:p>
          <w:p w14:paraId="25B828F3"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496" w:history="1">
              <w:r w:rsidRPr="00F05A8A">
                <w:rPr>
                  <w:rStyle w:val="Hyperlink"/>
                  <w:sz w:val="22"/>
                  <w:szCs w:val="22"/>
                </w:rPr>
                <w:t>Dialogue sur la transformation numérique durable dans les États arabes</w:t>
              </w:r>
            </w:hyperlink>
            <w:r w:rsidRPr="00F05A8A">
              <w:rPr>
                <w:sz w:val="22"/>
                <w:szCs w:val="22"/>
              </w:rPr>
              <w:t>, réunion virtuelle, 29 septembre 2021.</w:t>
            </w:r>
          </w:p>
          <w:p w14:paraId="2507B591"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497" w:history="1">
              <w:r w:rsidRPr="00F05A8A">
                <w:rPr>
                  <w:rStyle w:val="Hyperlink"/>
                  <w:sz w:val="22"/>
                  <w:szCs w:val="22"/>
                </w:rPr>
                <w:t>Dialogue sur la transformation numérique durable en Afrique</w:t>
              </w:r>
            </w:hyperlink>
            <w:r w:rsidRPr="00F05A8A">
              <w:rPr>
                <w:sz w:val="22"/>
                <w:szCs w:val="22"/>
              </w:rPr>
              <w:t>, réunion virtuelle, 28 septembre 2021.</w:t>
            </w:r>
          </w:p>
          <w:p w14:paraId="33CD3380"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498" w:history="1">
              <w:r w:rsidRPr="00F05A8A">
                <w:rPr>
                  <w:rStyle w:val="Hyperlink"/>
                  <w:sz w:val="22"/>
                  <w:szCs w:val="22"/>
                </w:rPr>
                <w:t>Dialogue sur la transformation numérique durable en Asie et dans le Pacifique</w:t>
              </w:r>
            </w:hyperlink>
            <w:r w:rsidRPr="00F05A8A">
              <w:rPr>
                <w:sz w:val="22"/>
                <w:szCs w:val="22"/>
              </w:rPr>
              <w:t>, réunion virtuelle, 19 octobre 2021.</w:t>
            </w:r>
          </w:p>
          <w:p w14:paraId="623D7556"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499" w:history="1">
              <w:r w:rsidRPr="00F05A8A">
                <w:rPr>
                  <w:rStyle w:val="Hyperlink"/>
                  <w:sz w:val="22"/>
                  <w:szCs w:val="22"/>
                </w:rPr>
                <w:t>Session sur la Semaine sur les technologies émergentes 2021: Vers une transformation numérique durable et la neutralité carbone avec les technologies émergentes</w:t>
              </w:r>
            </w:hyperlink>
            <w:r w:rsidRPr="00F05A8A">
              <w:rPr>
                <w:sz w:val="22"/>
                <w:szCs w:val="22"/>
              </w:rPr>
              <w:t>, réunion virtuelle, 8 juillet 2021.</w:t>
            </w:r>
          </w:p>
          <w:p w14:paraId="6ACB5B27"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500" w:history="1">
              <w:r w:rsidRPr="00F05A8A">
                <w:rPr>
                  <w:rStyle w:val="Hyperlink"/>
                  <w:sz w:val="22"/>
                  <w:szCs w:val="22"/>
                </w:rPr>
                <w:t>Manifestation organisée en marge du Forum VEF: Libérer le potentiel des technologies numériques pour une transition énergétique durable</w:t>
              </w:r>
            </w:hyperlink>
            <w:r w:rsidRPr="00F05A8A">
              <w:rPr>
                <w:sz w:val="22"/>
                <w:szCs w:val="22"/>
              </w:rPr>
              <w:t>, réunion virtuelle, 6 juillet 2021.</w:t>
            </w:r>
          </w:p>
          <w:p w14:paraId="1674CB20"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501" w:history="1">
              <w:r w:rsidRPr="00F05A8A">
                <w:rPr>
                  <w:rStyle w:val="Hyperlink"/>
                  <w:sz w:val="22"/>
                  <w:szCs w:val="22"/>
                </w:rPr>
                <w:t>Manifestation parallèle: Normes internationales et solutions écologiques, durables et novatrices en matière d'alimentation électrique pour connecter les zones rurales et isolées à l'Internet large bande</w:t>
              </w:r>
            </w:hyperlink>
            <w:r w:rsidRPr="00F05A8A">
              <w:rPr>
                <w:sz w:val="22"/>
                <w:szCs w:val="22"/>
              </w:rPr>
              <w:t>, réunion virtuelle, 22 juin 2021.</w:t>
            </w:r>
          </w:p>
          <w:p w14:paraId="19A14A18"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502" w:history="1">
              <w:r w:rsidRPr="00F05A8A">
                <w:rPr>
                  <w:rStyle w:val="Hyperlink"/>
                  <w:sz w:val="22"/>
                  <w:szCs w:val="22"/>
                </w:rPr>
                <w:t>Forum virtuel sur l'exposition des personnes aux champs magnétiques dus aux technologies numériques</w:t>
              </w:r>
            </w:hyperlink>
            <w:r w:rsidRPr="00F05A8A">
              <w:rPr>
                <w:sz w:val="22"/>
                <w:szCs w:val="22"/>
              </w:rPr>
              <w:t>, réunion virtuelle, 10 mai 2021.</w:t>
            </w:r>
          </w:p>
          <w:p w14:paraId="5BA4286C" w14:textId="77777777" w:rsidR="00642422" w:rsidRPr="00F05A8A" w:rsidRDefault="00642422" w:rsidP="002F075E">
            <w:pPr>
              <w:pStyle w:val="enumlev1"/>
              <w:spacing w:before="60"/>
              <w:rPr>
                <w:sz w:val="22"/>
                <w:szCs w:val="22"/>
              </w:rPr>
            </w:pPr>
            <w:r w:rsidRPr="00F05A8A">
              <w:rPr>
                <w:sz w:val="22"/>
                <w:szCs w:val="22"/>
              </w:rPr>
              <w:lastRenderedPageBreak/>
              <w:t>•</w:t>
            </w:r>
            <w:r w:rsidRPr="00F05A8A">
              <w:rPr>
                <w:sz w:val="22"/>
                <w:szCs w:val="22"/>
              </w:rPr>
              <w:tab/>
              <w:t>Session virtuelle sur "</w:t>
            </w:r>
            <w:hyperlink r:id="rId503" w:history="1">
              <w:r w:rsidRPr="00F05A8A">
                <w:rPr>
                  <w:rStyle w:val="Hyperlink"/>
                  <w:sz w:val="22"/>
                  <w:szCs w:val="22"/>
                </w:rPr>
                <w:t>L'utilisation des normes internationales pour édifier des villes intelligentes et durables et faire face aux changements climatiques, aux déchets d'équipements électriques et électroniques et à la perte de la biodiversité</w:t>
              </w:r>
            </w:hyperlink>
            <w:r w:rsidRPr="00F05A8A">
              <w:rPr>
                <w:sz w:val="22"/>
                <w:szCs w:val="22"/>
              </w:rPr>
              <w:t>"</w:t>
            </w:r>
            <w:r w:rsidRPr="00F05A8A">
              <w:rPr>
                <w:rFonts w:asciiTheme="minorHAnsi" w:eastAsia="Calibri" w:hAnsiTheme="minorHAnsi" w:cstheme="minorHAnsi"/>
                <w:sz w:val="22"/>
                <w:szCs w:val="22"/>
              </w:rPr>
              <w:t>, 15 octobre 2020.</w:t>
            </w:r>
          </w:p>
          <w:p w14:paraId="43AFAFCB"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504" w:history="1">
              <w:r w:rsidRPr="00F05A8A">
                <w:rPr>
                  <w:rStyle w:val="Hyperlink"/>
                  <w:sz w:val="22"/>
                  <w:szCs w:val="22"/>
                </w:rPr>
                <w:t>9ème Semaine Normes vertes</w:t>
              </w:r>
            </w:hyperlink>
            <w:r w:rsidRPr="00F05A8A">
              <w:rPr>
                <w:sz w:val="22"/>
                <w:szCs w:val="22"/>
              </w:rPr>
              <w:t>, du 1er au 4 octobre 2019, Valence, Espagne.</w:t>
            </w:r>
          </w:p>
          <w:p w14:paraId="45F7E28D"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t>ITU Telecom World: session sur les "</w:t>
            </w:r>
            <w:hyperlink r:id="rId505" w:history="1">
              <w:r w:rsidRPr="00F05A8A">
                <w:rPr>
                  <w:rStyle w:val="Hyperlink"/>
                  <w:sz w:val="22"/>
                  <w:szCs w:val="22"/>
                </w:rPr>
                <w:t>Stratégies pour promouvoir les efforts en faveur du climat dans le secteur des TIC</w:t>
              </w:r>
            </w:hyperlink>
            <w:r w:rsidRPr="00F05A8A">
              <w:rPr>
                <w:sz w:val="22"/>
                <w:szCs w:val="22"/>
              </w:rPr>
              <w:t>", 11 septembre 2019, Budapest, Hongrie.</w:t>
            </w:r>
          </w:p>
          <w:p w14:paraId="51BB12F7"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t xml:space="preserve">ITU Telecom World: session sur les </w:t>
            </w:r>
            <w:hyperlink r:id="rId506" w:history="1">
              <w:r w:rsidRPr="00F05A8A">
                <w:rPr>
                  <w:rStyle w:val="Hyperlink"/>
                  <w:sz w:val="22"/>
                  <w:szCs w:val="22"/>
                </w:rPr>
                <w:t>"Nouvelles technologies au service de la lutte contre les changements climatiques</w:t>
              </w:r>
            </w:hyperlink>
            <w:r w:rsidRPr="00F05A8A">
              <w:rPr>
                <w:rStyle w:val="Hyperlink"/>
                <w:sz w:val="22"/>
                <w:szCs w:val="22"/>
              </w:rPr>
              <w:t>"</w:t>
            </w:r>
            <w:r w:rsidRPr="00F05A8A">
              <w:rPr>
                <w:sz w:val="22"/>
                <w:szCs w:val="22"/>
              </w:rPr>
              <w:t>, 11 septembre 2019, Budapest, Hongrie.</w:t>
            </w:r>
          </w:p>
          <w:p w14:paraId="10D35C1C"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t>Manifestation parallèle du Forum politique de haut niveau: "</w:t>
            </w:r>
            <w:hyperlink r:id="rId507" w:history="1">
              <w:r w:rsidRPr="00F05A8A">
                <w:rPr>
                  <w:rStyle w:val="Hyperlink"/>
                  <w:sz w:val="22"/>
                  <w:szCs w:val="22"/>
                </w:rPr>
                <w:t>Tirer parti des nouvelles technologies pour accélérer l'adoption de mesures en faveur du climat et de la réalisation des ODD</w:t>
              </w:r>
            </w:hyperlink>
            <w:r w:rsidRPr="00F05A8A">
              <w:rPr>
                <w:sz w:val="22"/>
                <w:szCs w:val="22"/>
              </w:rPr>
              <w:t>", 9 juillet 2019, New York, siège de l'Organisation des Nations Unies.</w:t>
            </w:r>
          </w:p>
          <w:p w14:paraId="17815180"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t>Table ronde sur l'environnement intelligent: "</w:t>
            </w:r>
            <w:hyperlink r:id="rId508" w:history="1">
              <w:r w:rsidRPr="00F05A8A">
                <w:rPr>
                  <w:rStyle w:val="Hyperlink"/>
                  <w:sz w:val="22"/>
                  <w:szCs w:val="22"/>
                </w:rPr>
                <w:t>Trajectoires des émissions de GES pour le secteur des TIC</w:t>
              </w:r>
            </w:hyperlink>
            <w:r w:rsidRPr="00F05A8A">
              <w:rPr>
                <w:rStyle w:val="Hyperlink"/>
                <w:sz w:val="22"/>
                <w:szCs w:val="22"/>
              </w:rPr>
              <w:t>"</w:t>
            </w:r>
            <w:r w:rsidRPr="00F05A8A">
              <w:rPr>
                <w:sz w:val="22"/>
                <w:szCs w:val="22"/>
              </w:rPr>
              <w:t>, 15 mai 2019, Genève, Suisse.</w:t>
            </w:r>
          </w:p>
          <w:p w14:paraId="57205F3C"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r>
            <w:hyperlink r:id="rId509" w:history="1">
              <w:r w:rsidRPr="00F05A8A">
                <w:rPr>
                  <w:rStyle w:val="Hyperlink"/>
                  <w:sz w:val="22"/>
                  <w:szCs w:val="22"/>
                </w:rPr>
                <w:t>13ème Colloque sur les TIC, l'environnement et les changements climatiques</w:t>
              </w:r>
            </w:hyperlink>
            <w:r w:rsidRPr="00F05A8A">
              <w:rPr>
                <w:sz w:val="22"/>
                <w:szCs w:val="22"/>
              </w:rPr>
              <w:t>,13 mai 2019, Genève, Suisse.</w:t>
            </w:r>
          </w:p>
          <w:p w14:paraId="0FF2626F"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t xml:space="preserve">Manifestation parallèle du Forum STI: </w:t>
            </w:r>
            <w:hyperlink r:id="rId510" w:history="1">
              <w:r w:rsidRPr="00F05A8A">
                <w:rPr>
                  <w:rStyle w:val="Hyperlink"/>
                  <w:sz w:val="22"/>
                  <w:szCs w:val="22"/>
                </w:rPr>
                <w:t>Les nouvelles technologies au service de la protection de l'environnement et de la lutte contre les changements climatiques</w:t>
              </w:r>
            </w:hyperlink>
            <w:r w:rsidRPr="00F05A8A">
              <w:rPr>
                <w:sz w:val="22"/>
                <w:szCs w:val="22"/>
              </w:rPr>
              <w:t>, 14 mai 2019, New York, siège de l'Organisation des Nations Unies.</w:t>
            </w:r>
          </w:p>
        </w:tc>
      </w:tr>
      <w:tr w:rsidR="00642422" w:rsidRPr="00F05A8A" w14:paraId="46DF6126" w14:textId="77777777" w:rsidTr="00142C01">
        <w:tc>
          <w:tcPr>
            <w:tcW w:w="10065" w:type="dxa"/>
          </w:tcPr>
          <w:p w14:paraId="6340127B" w14:textId="77777777" w:rsidR="00642422" w:rsidRPr="00F05A8A" w:rsidRDefault="00642422" w:rsidP="002F075E">
            <w:pPr>
              <w:pStyle w:val="Headingb"/>
              <w:spacing w:before="120"/>
              <w:ind w:left="0" w:firstLine="0"/>
              <w:rPr>
                <w:sz w:val="22"/>
                <w:szCs w:val="22"/>
              </w:rPr>
            </w:pPr>
            <w:bookmarkStart w:id="672" w:name="_Toc72845151"/>
            <w:bookmarkStart w:id="673" w:name="_Toc72846475"/>
            <w:bookmarkStart w:id="674" w:name="_Toc72846725"/>
            <w:bookmarkStart w:id="675" w:name="_Toc95387579"/>
            <w:r w:rsidRPr="00F05A8A">
              <w:rPr>
                <w:sz w:val="22"/>
                <w:szCs w:val="22"/>
              </w:rPr>
              <w:lastRenderedPageBreak/>
              <w:t>Résolution 184 (Rév. Guadalajara, 2010) – Faciliter les initiatives relatives à l'inclusion numérique en faveur des peuples autochtones</w:t>
            </w:r>
            <w:bookmarkEnd w:id="672"/>
            <w:bookmarkEnd w:id="673"/>
            <w:bookmarkEnd w:id="674"/>
            <w:bookmarkEnd w:id="675"/>
          </w:p>
          <w:p w14:paraId="2C11EDDF" w14:textId="77777777" w:rsidR="00642422" w:rsidRPr="00F05A8A" w:rsidRDefault="00642422" w:rsidP="002F075E">
            <w:pPr>
              <w:spacing w:after="120"/>
              <w:rPr>
                <w:sz w:val="22"/>
                <w:szCs w:val="22"/>
              </w:rPr>
            </w:pPr>
            <w:r w:rsidRPr="00F05A8A">
              <w:rPr>
                <w:sz w:val="22"/>
                <w:szCs w:val="22"/>
              </w:rPr>
              <w:t xml:space="preserve">Voir la </w:t>
            </w:r>
            <w:hyperlink w:anchor="Section_1_7" w:history="1">
              <w:r w:rsidRPr="00F05A8A">
                <w:rPr>
                  <w:rStyle w:val="Hyperlink"/>
                  <w:sz w:val="22"/>
                  <w:szCs w:val="22"/>
                </w:rPr>
                <w:t>section 1.7</w:t>
              </w:r>
            </w:hyperlink>
            <w:r w:rsidRPr="00F05A8A">
              <w:rPr>
                <w:sz w:val="22"/>
                <w:szCs w:val="22"/>
              </w:rPr>
              <w:t>.</w:t>
            </w:r>
          </w:p>
        </w:tc>
      </w:tr>
      <w:tr w:rsidR="00642422" w:rsidRPr="00F05A8A" w14:paraId="5DA829C8" w14:textId="77777777" w:rsidTr="00142C01">
        <w:tc>
          <w:tcPr>
            <w:tcW w:w="10065" w:type="dxa"/>
          </w:tcPr>
          <w:p w14:paraId="029EC02E" w14:textId="77777777" w:rsidR="00642422" w:rsidRPr="00F05A8A" w:rsidRDefault="00642422" w:rsidP="002F075E">
            <w:pPr>
              <w:pStyle w:val="Headingb"/>
              <w:spacing w:before="120"/>
              <w:ind w:left="0" w:firstLine="0"/>
              <w:rPr>
                <w:sz w:val="22"/>
                <w:szCs w:val="22"/>
              </w:rPr>
            </w:pPr>
            <w:bookmarkStart w:id="676" w:name="_Toc72845152"/>
            <w:bookmarkStart w:id="677" w:name="_Toc72846476"/>
            <w:bookmarkStart w:id="678" w:name="_Toc72846726"/>
            <w:bookmarkStart w:id="679" w:name="_Toc95387580"/>
            <w:r w:rsidRPr="00F05A8A">
              <w:rPr>
                <w:sz w:val="22"/>
                <w:szCs w:val="22"/>
              </w:rPr>
              <w:t>Résolution 186 (Rév. Dubaï, 2018) – Renforcement du rôle de l'UIT en ce qui concerne les mesures de transparence et de confiance relatives aux activités spatiales</w:t>
            </w:r>
            <w:bookmarkEnd w:id="676"/>
            <w:bookmarkEnd w:id="677"/>
            <w:bookmarkEnd w:id="678"/>
            <w:bookmarkEnd w:id="679"/>
          </w:p>
          <w:p w14:paraId="1F3F623B" w14:textId="77777777" w:rsidR="00642422" w:rsidRPr="00F05A8A" w:rsidRDefault="00642422" w:rsidP="002F075E">
            <w:pPr>
              <w:spacing w:after="120"/>
              <w:rPr>
                <w:sz w:val="22"/>
                <w:szCs w:val="22"/>
              </w:rPr>
            </w:pPr>
            <w:r w:rsidRPr="00F05A8A">
              <w:rPr>
                <w:sz w:val="22"/>
                <w:szCs w:val="22"/>
              </w:rPr>
              <w:t xml:space="preserve">Voir la </w:t>
            </w:r>
            <w:hyperlink w:anchor="_1.9_Partenariats_stratégiques" w:history="1">
              <w:r w:rsidRPr="00F05A8A">
                <w:rPr>
                  <w:rStyle w:val="Hyperlink"/>
                  <w:sz w:val="22"/>
                  <w:szCs w:val="22"/>
                </w:rPr>
                <w:t>section 1.9</w:t>
              </w:r>
            </w:hyperlink>
            <w:r w:rsidRPr="00F05A8A">
              <w:rPr>
                <w:sz w:val="22"/>
                <w:szCs w:val="22"/>
              </w:rPr>
              <w:t>.</w:t>
            </w:r>
          </w:p>
        </w:tc>
      </w:tr>
      <w:tr w:rsidR="00642422" w:rsidRPr="00F05A8A" w14:paraId="1B896848" w14:textId="77777777" w:rsidTr="00142C01">
        <w:tc>
          <w:tcPr>
            <w:tcW w:w="10065" w:type="dxa"/>
          </w:tcPr>
          <w:p w14:paraId="1757BEEA" w14:textId="77777777" w:rsidR="00642422" w:rsidRPr="00F05A8A" w:rsidRDefault="00642422" w:rsidP="002F075E">
            <w:pPr>
              <w:pStyle w:val="Headingb"/>
              <w:keepNext w:val="0"/>
              <w:keepLines w:val="0"/>
              <w:spacing w:before="120"/>
              <w:ind w:left="0" w:firstLine="0"/>
              <w:rPr>
                <w:sz w:val="22"/>
                <w:szCs w:val="22"/>
              </w:rPr>
            </w:pPr>
            <w:bookmarkStart w:id="680" w:name="_Toc72845153"/>
            <w:bookmarkStart w:id="681" w:name="_Toc72846477"/>
            <w:bookmarkStart w:id="682" w:name="_Toc72846727"/>
            <w:bookmarkStart w:id="683" w:name="_Toc95387581"/>
            <w:r w:rsidRPr="00F05A8A">
              <w:rPr>
                <w:sz w:val="22"/>
                <w:szCs w:val="22"/>
              </w:rPr>
              <w:t>Résolution 188 (Rév. Dubaï, 2018) – Lutter contre la contrefaçon de dispositifs de télécommunication/fondés sur les technologies de l'information et de la communication</w:t>
            </w:r>
            <w:bookmarkEnd w:id="680"/>
            <w:bookmarkEnd w:id="681"/>
            <w:bookmarkEnd w:id="682"/>
            <w:bookmarkEnd w:id="683"/>
          </w:p>
          <w:p w14:paraId="1C43E802" w14:textId="77777777" w:rsidR="00642422" w:rsidRPr="00F05A8A" w:rsidRDefault="00642422" w:rsidP="002F075E">
            <w:pPr>
              <w:rPr>
                <w:sz w:val="22"/>
                <w:szCs w:val="22"/>
              </w:rPr>
            </w:pPr>
            <w:r w:rsidRPr="00F05A8A">
              <w:rPr>
                <w:sz w:val="22"/>
                <w:szCs w:val="22"/>
              </w:rPr>
              <w:t xml:space="preserve">L'UIT a organisé plusieurs ateliers sur la lutte contre la contrefaçon des dispositifs TIC au cours de la période considérée: à </w:t>
            </w:r>
            <w:hyperlink r:id="rId511" w:history="1">
              <w:r w:rsidRPr="00F05A8A">
                <w:rPr>
                  <w:rStyle w:val="Hyperlink"/>
                  <w:sz w:val="22"/>
                  <w:szCs w:val="22"/>
                </w:rPr>
                <w:t>Tunis en avril 2018</w:t>
              </w:r>
            </w:hyperlink>
            <w:r w:rsidRPr="00F05A8A">
              <w:rPr>
                <w:sz w:val="22"/>
                <w:szCs w:val="22"/>
              </w:rPr>
              <w:t xml:space="preserve">; à </w:t>
            </w:r>
            <w:hyperlink r:id="rId512" w:history="1">
              <w:r w:rsidRPr="00F05A8A">
                <w:rPr>
                  <w:rStyle w:val="Hyperlink"/>
                  <w:sz w:val="22"/>
                  <w:szCs w:val="22"/>
                </w:rPr>
                <w:t>Genève en juillet 2018</w:t>
              </w:r>
            </w:hyperlink>
            <w:r w:rsidRPr="00F05A8A">
              <w:rPr>
                <w:sz w:val="22"/>
                <w:szCs w:val="22"/>
              </w:rPr>
              <w:t xml:space="preserve">; à </w:t>
            </w:r>
            <w:hyperlink r:id="rId513" w:history="1">
              <w:r w:rsidRPr="00F05A8A">
                <w:rPr>
                  <w:rStyle w:val="Hyperlink"/>
                  <w:sz w:val="22"/>
                  <w:szCs w:val="22"/>
                </w:rPr>
                <w:t>Tunis en septembre 2019</w:t>
              </w:r>
            </w:hyperlink>
            <w:r w:rsidRPr="00F05A8A">
              <w:rPr>
                <w:sz w:val="22"/>
                <w:szCs w:val="22"/>
              </w:rPr>
              <w:t xml:space="preserve">; sous forme de </w:t>
            </w:r>
            <w:hyperlink r:id="rId514" w:history="1">
              <w:r w:rsidRPr="00F05A8A">
                <w:rPr>
                  <w:rStyle w:val="Hyperlink"/>
                  <w:sz w:val="22"/>
                  <w:szCs w:val="22"/>
                </w:rPr>
                <w:t>réunion virtuelle en mai 2021</w:t>
              </w:r>
            </w:hyperlink>
            <w:r w:rsidRPr="00F05A8A">
              <w:rPr>
                <w:sz w:val="22"/>
                <w:szCs w:val="22"/>
              </w:rPr>
              <w:t>. Les manifestations se sont tenues à l'occasion des réunions de la CE 11 de l'UIT-T et des réunions de ses groupes régionaux.</w:t>
            </w:r>
          </w:p>
          <w:p w14:paraId="742855C3" w14:textId="77777777" w:rsidR="00642422" w:rsidRPr="00F05A8A" w:rsidRDefault="00642422" w:rsidP="002F075E">
            <w:pPr>
              <w:rPr>
                <w:sz w:val="22"/>
                <w:szCs w:val="22"/>
              </w:rPr>
            </w:pPr>
            <w:r w:rsidRPr="00F05A8A">
              <w:rPr>
                <w:sz w:val="22"/>
                <w:szCs w:val="22"/>
              </w:rPr>
              <w:t xml:space="preserve">En mars 2019, l'UIT a approuvé la </w:t>
            </w:r>
            <w:hyperlink r:id="rId515" w:history="1">
              <w:r w:rsidRPr="00F05A8A">
                <w:rPr>
                  <w:rStyle w:val="Hyperlink"/>
                  <w:sz w:val="22"/>
                  <w:szCs w:val="22"/>
                </w:rPr>
                <w:t>Recommandation UIT-T Q.5050 "Cadre pour des solutions permettant de lutter contre la contrefaçon de dispositifs TIC"</w:t>
              </w:r>
            </w:hyperlink>
            <w:r w:rsidRPr="00F05A8A">
              <w:rPr>
                <w:sz w:val="22"/>
                <w:szCs w:val="22"/>
              </w:rPr>
              <w:t>, qui définit un cadre de référence ainsi que les exigences à respecter.</w:t>
            </w:r>
          </w:p>
          <w:p w14:paraId="4A6F0D27" w14:textId="77777777" w:rsidR="00642422" w:rsidRPr="00F05A8A" w:rsidRDefault="00642422" w:rsidP="002F075E">
            <w:pPr>
              <w:rPr>
                <w:sz w:val="22"/>
                <w:szCs w:val="22"/>
              </w:rPr>
            </w:pPr>
            <w:r w:rsidRPr="00F05A8A">
              <w:rPr>
                <w:sz w:val="22"/>
                <w:szCs w:val="22"/>
              </w:rPr>
              <w:t>Après sa réunion de septembre 2019, le Groupe régional de la CE 11 de l'UIT-T pour l'Afrique (SG11RG</w:t>
            </w:r>
            <w:r w:rsidRPr="00F05A8A">
              <w:rPr>
                <w:sz w:val="22"/>
                <w:szCs w:val="22"/>
              </w:rPr>
              <w:noBreakHyphen/>
              <w:t xml:space="preserve">AFR) a considéré qu'il était nécessaire de commencer un examen approfondi dans la région pour mettre en œuvre des stratégies de lutte contre la contrefaçon de dispositifs mobiles et la fraude. </w:t>
            </w:r>
          </w:p>
          <w:p w14:paraId="21587FFD" w14:textId="77777777" w:rsidR="00642422" w:rsidRPr="00F05A8A" w:rsidRDefault="00642422" w:rsidP="002F075E">
            <w:pPr>
              <w:rPr>
                <w:sz w:val="22"/>
                <w:szCs w:val="22"/>
              </w:rPr>
            </w:pPr>
            <w:r w:rsidRPr="00F05A8A">
              <w:rPr>
                <w:sz w:val="22"/>
                <w:szCs w:val="22"/>
              </w:rPr>
              <w:t>En juillet 2020, à la suite d'une demande formulée par le Conseil (</w:t>
            </w:r>
            <w:hyperlink r:id="rId516" w:history="1">
              <w:r w:rsidRPr="00F05A8A">
                <w:rPr>
                  <w:rStyle w:val="Hyperlink"/>
                  <w:i/>
                  <w:iCs/>
                  <w:sz w:val="22"/>
                  <w:szCs w:val="22"/>
                </w:rPr>
                <w:t>C18/107</w:t>
              </w:r>
            </w:hyperlink>
            <w:r w:rsidRPr="00F05A8A">
              <w:rPr>
                <w:i/>
                <w:iCs/>
                <w:sz w:val="22"/>
                <w:szCs w:val="22"/>
              </w:rPr>
              <w:t>, paragraphe 2</w:t>
            </w:r>
            <w:r w:rsidRPr="00F05A8A">
              <w:rPr>
                <w:sz w:val="22"/>
                <w:szCs w:val="22"/>
              </w:rPr>
              <w:t xml:space="preserve">), l'UIT a publié le </w:t>
            </w:r>
            <w:hyperlink r:id="rId517" w:history="1">
              <w:r w:rsidRPr="00F05A8A">
                <w:rPr>
                  <w:rStyle w:val="Hyperlink"/>
                  <w:sz w:val="22"/>
                  <w:szCs w:val="22"/>
                </w:rPr>
                <w:t>rapport technique TR-RLB-IMEI "Fiabilité des identités IMEI"</w:t>
              </w:r>
            </w:hyperlink>
            <w:r w:rsidRPr="00F05A8A">
              <w:rPr>
                <w:sz w:val="22"/>
                <w:szCs w:val="22"/>
              </w:rPr>
              <w:t>. Ce rapport fournit des informations sur les principales failles liées à la reprogrammation d'identifiants IMEI sur des dispositifs mobiles, la difficulté de créer des numéros IMEI qui ne soient pas reprogrammables, les incidences de l'altération des numéros IMEI sur les utilisateurs mobiles, les marques, les fabricants, les fournisseurs de services, les régulateurs, les pouvoirs publics et les autorités chargées de l'application de la loi, ainsi que les conséquences pour la sécurité nationale.</w:t>
            </w:r>
          </w:p>
          <w:p w14:paraId="5B32D930" w14:textId="77777777" w:rsidR="00642422" w:rsidRPr="00F05A8A" w:rsidRDefault="00642422" w:rsidP="002F075E">
            <w:pPr>
              <w:rPr>
                <w:sz w:val="22"/>
                <w:szCs w:val="22"/>
              </w:rPr>
            </w:pPr>
            <w:r w:rsidRPr="00F05A8A">
              <w:rPr>
                <w:sz w:val="22"/>
                <w:szCs w:val="22"/>
              </w:rPr>
              <w:lastRenderedPageBreak/>
              <w:t xml:space="preserve">En septembre 2020, l'UIT a approuvé la </w:t>
            </w:r>
            <w:hyperlink r:id="rId518" w:history="1">
              <w:r w:rsidRPr="00F05A8A">
                <w:rPr>
                  <w:rStyle w:val="Hyperlink"/>
                  <w:sz w:val="22"/>
                  <w:szCs w:val="22"/>
                </w:rPr>
                <w:t>Recommandation UIT-T Q.5052 "Lutte contre les dispositifs mobiles ayant des identificateurs uniques dupliqués"</w:t>
              </w:r>
            </w:hyperlink>
            <w:r w:rsidRPr="00F05A8A">
              <w:rPr>
                <w:sz w:val="22"/>
                <w:szCs w:val="22"/>
              </w:rPr>
              <w:t>, qui met en évidence les défis qui se posent et propose des mécanismes permettant de détecter les dispositifs mobiles ayant des identificateurs dupliqués présents sur les réseaux des opérateurs.</w:t>
            </w:r>
          </w:p>
          <w:p w14:paraId="48C2DCD4" w14:textId="77777777" w:rsidR="00642422" w:rsidRPr="00F05A8A" w:rsidRDefault="00642422" w:rsidP="002F075E">
            <w:pPr>
              <w:spacing w:after="120"/>
              <w:rPr>
                <w:sz w:val="22"/>
                <w:szCs w:val="22"/>
              </w:rPr>
            </w:pPr>
            <w:r w:rsidRPr="00F05A8A">
              <w:rPr>
                <w:sz w:val="22"/>
                <w:szCs w:val="22"/>
              </w:rPr>
              <w:t xml:space="preserve">En janvier 2021, l'UIT a approuvé la </w:t>
            </w:r>
            <w:hyperlink r:id="rId519" w:history="1">
              <w:r w:rsidRPr="00F05A8A">
                <w:rPr>
                  <w:rStyle w:val="Hyperlink"/>
                  <w:sz w:val="22"/>
                  <w:szCs w:val="22"/>
                </w:rPr>
                <w:t>Recommandation UIT-T Q.5053 "Interface de vérification de la liste d'accès aux dispositifs mobiles"</w:t>
              </w:r>
            </w:hyperlink>
            <w:r w:rsidRPr="00F05A8A">
              <w:rPr>
                <w:sz w:val="22"/>
                <w:szCs w:val="22"/>
              </w:rPr>
              <w:t>, qui définit les méthodologies et les interfaces entre le système de vérification de la liste d'accès aux dispositifs mobiles et le registre d'identification des équipements des opérateurs de réseau mobile afin de vérifier et d'établir si les opérateurs de réseau mobile respectent les exigences requises liées à la liste d'accès aux dispositifs mobiles.</w:t>
            </w:r>
          </w:p>
          <w:p w14:paraId="769E9B69" w14:textId="77777777" w:rsidR="00642422" w:rsidRPr="00F05A8A" w:rsidRDefault="00642422" w:rsidP="002F075E">
            <w:pPr>
              <w:spacing w:after="120"/>
              <w:rPr>
                <w:sz w:val="22"/>
                <w:szCs w:val="22"/>
              </w:rPr>
            </w:pPr>
            <w:r w:rsidRPr="00F05A8A">
              <w:rPr>
                <w:sz w:val="22"/>
                <w:szCs w:val="22"/>
              </w:rPr>
              <w:t xml:space="preserve">En mars 2021, l'UIT a publié le </w:t>
            </w:r>
            <w:hyperlink r:id="rId520" w:history="1">
              <w:r w:rsidRPr="00F05A8A">
                <w:rPr>
                  <w:rStyle w:val="Hyperlink"/>
                  <w:sz w:val="22"/>
                  <w:szCs w:val="22"/>
                </w:rPr>
                <w:t>Supplément 73 des Recommandations UIT-T de la série Q, "Lignes directrices pour des mises en œuvre de systèmes permissives ou restrictives pour lutter contre la contrefaçon, le vol et l'utilisation illégale de dispositifs mobiles"</w:t>
              </w:r>
            </w:hyperlink>
            <w:r w:rsidRPr="00F05A8A">
              <w:rPr>
                <w:sz w:val="22"/>
                <w:szCs w:val="22"/>
              </w:rPr>
              <w:t xml:space="preserve">, et </w:t>
            </w:r>
            <w:hyperlink r:id="rId521" w:history="1">
              <w:r w:rsidRPr="00F05A8A">
                <w:rPr>
                  <w:rStyle w:val="Hyperlink"/>
                  <w:sz w:val="22"/>
                  <w:szCs w:val="22"/>
                </w:rPr>
                <w:t>le Supplément 74, "Feuille de route pour la série de Recommandations Q.5050 – Lutte contre la contrefaçon d'équipements TIC et le vol de dispositifs mobiles"</w:t>
              </w:r>
            </w:hyperlink>
            <w:r w:rsidRPr="00F05A8A">
              <w:rPr>
                <w:sz w:val="22"/>
                <w:szCs w:val="22"/>
              </w:rPr>
              <w:t>.</w:t>
            </w:r>
          </w:p>
          <w:p w14:paraId="3DBD08A6" w14:textId="77777777" w:rsidR="00642422" w:rsidRPr="00F05A8A" w:rsidRDefault="00642422" w:rsidP="002F075E">
            <w:pPr>
              <w:spacing w:after="120"/>
              <w:rPr>
                <w:sz w:val="22"/>
                <w:szCs w:val="22"/>
              </w:rPr>
            </w:pPr>
            <w:r w:rsidRPr="00F05A8A">
              <w:rPr>
                <w:sz w:val="22"/>
                <w:szCs w:val="22"/>
              </w:rPr>
              <w:t xml:space="preserve">La CE 11 de l'UIT-T </w:t>
            </w:r>
            <w:hyperlink r:id="rId522" w:history="1">
              <w:r w:rsidRPr="00F05A8A">
                <w:rPr>
                  <w:rStyle w:val="Hyperlink"/>
                  <w:sz w:val="22"/>
                  <w:szCs w:val="22"/>
                </w:rPr>
                <w:t>continue d'élaborer</w:t>
              </w:r>
            </w:hyperlink>
            <w:r w:rsidRPr="00F05A8A">
              <w:rPr>
                <w:sz w:val="22"/>
                <w:szCs w:val="22"/>
              </w:rPr>
              <w:t xml:space="preserve"> des suppléments et des orientations à ce sujet, y compris un nouveau rapport technique sur les cas d'utilisation concernant la lutte contre la détournement de contenus multimédias.</w:t>
            </w:r>
          </w:p>
          <w:p w14:paraId="1801ABBD" w14:textId="77777777" w:rsidR="00642422" w:rsidRPr="00F05A8A" w:rsidRDefault="00642422" w:rsidP="002F075E">
            <w:pPr>
              <w:spacing w:after="120"/>
              <w:rPr>
                <w:sz w:val="22"/>
                <w:szCs w:val="22"/>
              </w:rPr>
            </w:pPr>
            <w:r w:rsidRPr="00F05A8A">
              <w:rPr>
                <w:sz w:val="22"/>
                <w:szCs w:val="22"/>
              </w:rPr>
              <w:t>Travaux connexes au titre de la Question 4/2 de l'UIT-D et du BDT:</w:t>
            </w:r>
          </w:p>
          <w:p w14:paraId="13262690" w14:textId="77777777" w:rsidR="00642422" w:rsidRPr="00F05A8A" w:rsidRDefault="00642422" w:rsidP="002F075E">
            <w:pPr>
              <w:pStyle w:val="enumlev1"/>
              <w:rPr>
                <w:sz w:val="22"/>
                <w:szCs w:val="22"/>
              </w:rPr>
            </w:pPr>
            <w:r w:rsidRPr="00F05A8A">
              <w:rPr>
                <w:sz w:val="22"/>
                <w:szCs w:val="22"/>
              </w:rPr>
              <w:t>•</w:t>
            </w:r>
            <w:r w:rsidRPr="00F05A8A">
              <w:rPr>
                <w:sz w:val="22"/>
                <w:szCs w:val="22"/>
              </w:rPr>
              <w:tab/>
              <w:t>Dans l'Enquête de UIT sur la réglementation des télécommunications/TIC dans le monde, concernant les pratiques réglementaires, cinq questions connexes sont liées à la distribution et à l'utilisation des TIC de contrefaçon. Les séries de données correspondantes portent sur: 1) les responsabilités des régulateurs des télécommunications/TIC en matière de contrefaçon d'équipements reposant sur les TIC; 2) les types d'équipements reposant sur les TIC de contrefaçon surveillés par les régulateurs des télécommunications/TIC; 3) les politiques/législation/réglementation adoptées en matière de contrefaçon d'équipements reposant sur les TIC; 4) les domaines couverts par les réglementations relatives à la contrefaçon d'équipements reposant sur les TIC; 5) les plans visant à adopter un cadre réglementaire en matière de contrefaçon d'équipements reposant sur les TIC.</w:t>
            </w:r>
          </w:p>
          <w:p w14:paraId="39A21EEE" w14:textId="77777777" w:rsidR="00642422" w:rsidRPr="00F05A8A" w:rsidRDefault="00642422" w:rsidP="002F075E">
            <w:pPr>
              <w:pStyle w:val="enumlev1"/>
              <w:spacing w:after="120"/>
              <w:rPr>
                <w:sz w:val="22"/>
                <w:szCs w:val="22"/>
              </w:rPr>
            </w:pPr>
            <w:r w:rsidRPr="00F05A8A">
              <w:rPr>
                <w:sz w:val="22"/>
                <w:szCs w:val="22"/>
              </w:rPr>
              <w:t>•</w:t>
            </w:r>
            <w:r w:rsidRPr="00F05A8A">
              <w:rPr>
                <w:sz w:val="22"/>
                <w:szCs w:val="22"/>
              </w:rPr>
              <w:tab/>
              <w:t xml:space="preserve">Activités menées au titre de la </w:t>
            </w:r>
            <w:hyperlink r:id="rId523" w:history="1">
              <w:r w:rsidRPr="00F05A8A">
                <w:rPr>
                  <w:rStyle w:val="Hyperlink"/>
                  <w:sz w:val="22"/>
                  <w:szCs w:val="22"/>
                </w:rPr>
                <w:t>Question 4/2</w:t>
              </w:r>
            </w:hyperlink>
            <w:r w:rsidRPr="00F05A8A">
              <w:rPr>
                <w:sz w:val="22"/>
                <w:szCs w:val="22"/>
              </w:rPr>
              <w:t xml:space="preserve"> confiée à la Commission d'études 2 de l'UIT-D (pour en savoir plus, voir la section relative à la Résolution 177 (Rév. Dubaï, 2018) ci-dessus).</w:t>
            </w:r>
          </w:p>
        </w:tc>
      </w:tr>
      <w:tr w:rsidR="00642422" w:rsidRPr="00F05A8A" w14:paraId="1B5301A2" w14:textId="77777777" w:rsidTr="00142C01">
        <w:tc>
          <w:tcPr>
            <w:tcW w:w="10065" w:type="dxa"/>
          </w:tcPr>
          <w:p w14:paraId="01724124" w14:textId="77777777" w:rsidR="00642422" w:rsidRPr="00F05A8A" w:rsidRDefault="00642422" w:rsidP="002F075E">
            <w:pPr>
              <w:pStyle w:val="Headingb"/>
              <w:keepNext w:val="0"/>
              <w:keepLines w:val="0"/>
              <w:spacing w:before="120"/>
              <w:ind w:left="0" w:firstLine="0"/>
              <w:rPr>
                <w:sz w:val="22"/>
                <w:szCs w:val="22"/>
              </w:rPr>
            </w:pPr>
            <w:bookmarkStart w:id="684" w:name="_Toc72845154"/>
            <w:bookmarkStart w:id="685" w:name="_Toc72846478"/>
            <w:bookmarkStart w:id="686" w:name="_Toc72846728"/>
            <w:bookmarkStart w:id="687" w:name="_Toc95387582"/>
            <w:r w:rsidRPr="00F05A8A">
              <w:rPr>
                <w:sz w:val="22"/>
                <w:szCs w:val="22"/>
              </w:rPr>
              <w:lastRenderedPageBreak/>
              <w:t>Résolution 190 (Rév. Busan, 2014) – Lutter contre le détournement et l'utilisation abusive des ressources internationales de numérotage des télécommunications</w:t>
            </w:r>
            <w:bookmarkEnd w:id="684"/>
            <w:bookmarkEnd w:id="685"/>
            <w:bookmarkEnd w:id="686"/>
            <w:bookmarkEnd w:id="687"/>
          </w:p>
          <w:p w14:paraId="1739B149" w14:textId="77777777" w:rsidR="00642422" w:rsidRPr="00F05A8A" w:rsidRDefault="00642422" w:rsidP="002F075E">
            <w:pPr>
              <w:spacing w:after="120"/>
              <w:rPr>
                <w:sz w:val="22"/>
                <w:szCs w:val="22"/>
              </w:rPr>
            </w:pPr>
            <w:r w:rsidRPr="00F05A8A">
              <w:rPr>
                <w:sz w:val="22"/>
                <w:szCs w:val="22"/>
              </w:rPr>
              <w:t xml:space="preserve">L'UIT a publié la </w:t>
            </w:r>
            <w:hyperlink r:id="rId524" w:history="1">
              <w:r w:rsidRPr="00F05A8A">
                <w:rPr>
                  <w:rStyle w:val="Hyperlink"/>
                  <w:sz w:val="22"/>
                  <w:szCs w:val="22"/>
                </w:rPr>
                <w:t>Recommandation UIT-T E.156, "Lignes directrices sur la suite à donner par l'UIT</w:t>
              </w:r>
              <w:r w:rsidRPr="00F05A8A">
                <w:rPr>
                  <w:rStyle w:val="Hyperlink"/>
                  <w:sz w:val="22"/>
                  <w:szCs w:val="22"/>
                </w:rPr>
                <w:noBreakHyphen/>
                <w:t>T lorsqu'une utilisation abusive des ressources de numérotage E.164 lui est signalée"</w:t>
              </w:r>
            </w:hyperlink>
            <w:r w:rsidRPr="00F05A8A">
              <w:rPr>
                <w:sz w:val="22"/>
                <w:szCs w:val="22"/>
              </w:rPr>
              <w:t xml:space="preserve"> (révisée, juin 2020) et le rapport technique TR.EENM, </w:t>
            </w:r>
            <w:hyperlink r:id="rId525" w:history="1">
              <w:r w:rsidRPr="00F05A8A">
                <w:rPr>
                  <w:sz w:val="22"/>
                  <w:szCs w:val="22"/>
                </w:rPr>
                <w:t>"</w:t>
              </w:r>
              <w:r w:rsidRPr="00F05A8A">
                <w:rPr>
                  <w:rStyle w:val="Hyperlink"/>
                  <w:sz w:val="22"/>
                  <w:szCs w:val="22"/>
                </w:rPr>
                <w:t>Lignes directrices pour une gestion efficace des ressources de numérotage nationales</w:t>
              </w:r>
            </w:hyperlink>
            <w:r w:rsidRPr="00F05A8A">
              <w:rPr>
                <w:sz w:val="22"/>
                <w:szCs w:val="22"/>
              </w:rPr>
              <w:t>" (juin 2021).</w:t>
            </w:r>
          </w:p>
        </w:tc>
      </w:tr>
      <w:tr w:rsidR="00642422" w:rsidRPr="00F05A8A" w14:paraId="2FA3844E" w14:textId="77777777" w:rsidTr="00142C01">
        <w:tc>
          <w:tcPr>
            <w:tcW w:w="10065" w:type="dxa"/>
          </w:tcPr>
          <w:p w14:paraId="29EEDE66" w14:textId="542D08CA" w:rsidR="00642422" w:rsidRPr="00F05A8A" w:rsidRDefault="00523EF7" w:rsidP="002F075E">
            <w:pPr>
              <w:spacing w:after="60"/>
              <w:rPr>
                <w:sz w:val="22"/>
                <w:szCs w:val="22"/>
              </w:rPr>
            </w:pPr>
            <w:r w:rsidRPr="00F05A8A">
              <w:rPr>
                <w:rFonts w:eastAsia="Calibri"/>
                <w:b/>
                <w:sz w:val="22"/>
                <w:szCs w:val="22"/>
              </w:rPr>
              <w:t xml:space="preserve">Résolution </w:t>
            </w:r>
            <w:r w:rsidR="00642422" w:rsidRPr="00F05A8A">
              <w:rPr>
                <w:rFonts w:eastAsia="Calibri"/>
                <w:b/>
                <w:sz w:val="22"/>
                <w:szCs w:val="22"/>
              </w:rPr>
              <w:t xml:space="preserve">191 (Rév. Dubaï, 2018) </w:t>
            </w:r>
            <w:bookmarkStart w:id="688" w:name="_Toc407016296"/>
            <w:bookmarkStart w:id="689" w:name="_Toc536018008"/>
            <w:r w:rsidR="00F319E1" w:rsidRPr="00F05A8A">
              <w:rPr>
                <w:b/>
                <w:sz w:val="22"/>
                <w:szCs w:val="22"/>
              </w:rPr>
              <w:t>–</w:t>
            </w:r>
            <w:r w:rsidR="00F319E1" w:rsidRPr="00F05A8A">
              <w:rPr>
                <w:sz w:val="22"/>
                <w:szCs w:val="22"/>
              </w:rPr>
              <w:t xml:space="preserve"> </w:t>
            </w:r>
            <w:r w:rsidR="00F319E1" w:rsidRPr="00F05A8A">
              <w:rPr>
                <w:b/>
                <w:bCs/>
                <w:sz w:val="22"/>
                <w:szCs w:val="22"/>
              </w:rPr>
              <w:t>Stratégie de coordination des efforts entre les trois Secteurs de l'Union</w:t>
            </w:r>
            <w:bookmarkEnd w:id="688"/>
            <w:bookmarkEnd w:id="689"/>
          </w:p>
          <w:p w14:paraId="4A626300" w14:textId="40FB082D" w:rsidR="00380304" w:rsidRPr="00F05A8A" w:rsidRDefault="00380304" w:rsidP="002F075E">
            <w:pPr>
              <w:spacing w:after="60"/>
              <w:rPr>
                <w:sz w:val="22"/>
                <w:szCs w:val="22"/>
              </w:rPr>
            </w:pPr>
            <w:r w:rsidRPr="00F05A8A">
              <w:rPr>
                <w:sz w:val="22"/>
                <w:szCs w:val="22"/>
              </w:rPr>
              <w:t xml:space="preserve">Un rapport sur la mise en </w:t>
            </w:r>
            <w:r w:rsidR="00490641" w:rsidRPr="00F05A8A">
              <w:rPr>
                <w:sz w:val="22"/>
                <w:szCs w:val="22"/>
              </w:rPr>
              <w:t>œuvre</w:t>
            </w:r>
            <w:r w:rsidRPr="00F05A8A">
              <w:rPr>
                <w:sz w:val="22"/>
                <w:szCs w:val="22"/>
              </w:rPr>
              <w:t xml:space="preserve"> de la Résolution 191 est présenté </w:t>
            </w:r>
            <w:r w:rsidR="00D12AAD" w:rsidRPr="00F05A8A">
              <w:rPr>
                <w:sz w:val="22"/>
                <w:szCs w:val="22"/>
              </w:rPr>
              <w:t xml:space="preserve">chaque année au Conseil. Il porte notamment sur la coordination des activités menées par le </w:t>
            </w:r>
            <w:r w:rsidR="00A050D4" w:rsidRPr="00F05A8A">
              <w:rPr>
                <w:sz w:val="22"/>
                <w:szCs w:val="22"/>
              </w:rPr>
              <w:t>s</w:t>
            </w:r>
            <w:r w:rsidR="00D12AAD" w:rsidRPr="00F05A8A">
              <w:rPr>
                <w:sz w:val="22"/>
                <w:szCs w:val="22"/>
              </w:rPr>
              <w:t>ecrétariat de l'UIT</w:t>
            </w:r>
            <w:r w:rsidR="00A050D4" w:rsidRPr="00F05A8A">
              <w:rPr>
                <w:sz w:val="22"/>
                <w:szCs w:val="22"/>
              </w:rPr>
              <w:t>,</w:t>
            </w:r>
            <w:r w:rsidR="00D12AAD" w:rsidRPr="00F05A8A">
              <w:rPr>
                <w:sz w:val="22"/>
                <w:szCs w:val="22"/>
              </w:rPr>
              <w:t xml:space="preserve"> par l'intermédiaire du Groupe de coordination intersectorielle (ISC-TF)</w:t>
            </w:r>
            <w:r w:rsidR="00A050D4" w:rsidRPr="00F05A8A">
              <w:rPr>
                <w:sz w:val="22"/>
                <w:szCs w:val="22"/>
              </w:rPr>
              <w:t>,</w:t>
            </w:r>
            <w:r w:rsidR="00D12AAD" w:rsidRPr="00F05A8A">
              <w:rPr>
                <w:sz w:val="22"/>
                <w:szCs w:val="22"/>
              </w:rPr>
              <w:t xml:space="preserve"> et par les membres</w:t>
            </w:r>
            <w:r w:rsidR="00A050D4" w:rsidRPr="00F05A8A">
              <w:rPr>
                <w:sz w:val="22"/>
                <w:szCs w:val="22"/>
              </w:rPr>
              <w:t>,</w:t>
            </w:r>
            <w:r w:rsidR="00D12AAD" w:rsidRPr="00F05A8A">
              <w:rPr>
                <w:sz w:val="22"/>
                <w:szCs w:val="22"/>
              </w:rPr>
              <w:t xml:space="preserve"> dans le cadre du </w:t>
            </w:r>
            <w:r w:rsidR="006C633C" w:rsidRPr="00F05A8A">
              <w:rPr>
                <w:sz w:val="22"/>
                <w:szCs w:val="22"/>
              </w:rPr>
              <w:t>Groupe de coordination intersectorielle sur des questions d'intérêt mutuel (ISCG).</w:t>
            </w:r>
          </w:p>
          <w:p w14:paraId="4EF58D6D" w14:textId="610031F7" w:rsidR="004C2763" w:rsidRPr="00F05A8A" w:rsidRDefault="004C2763" w:rsidP="002F075E">
            <w:pPr>
              <w:keepNext/>
              <w:keepLines/>
              <w:spacing w:after="60"/>
              <w:rPr>
                <w:sz w:val="22"/>
                <w:szCs w:val="22"/>
              </w:rPr>
            </w:pPr>
            <w:r w:rsidRPr="00F05A8A">
              <w:rPr>
                <w:sz w:val="22"/>
                <w:szCs w:val="22"/>
              </w:rPr>
              <w:lastRenderedPageBreak/>
              <w:t xml:space="preserve">Pendant la période considérée, le Groupe ISC-TF a </w:t>
            </w:r>
            <w:r w:rsidR="003F58C8" w:rsidRPr="00F05A8A">
              <w:rPr>
                <w:sz w:val="22"/>
                <w:szCs w:val="22"/>
              </w:rPr>
              <w:t>concentré</w:t>
            </w:r>
            <w:r w:rsidRPr="00F05A8A">
              <w:rPr>
                <w:sz w:val="22"/>
                <w:szCs w:val="22"/>
              </w:rPr>
              <w:t xml:space="preserve"> ses travaux sur les thèmes suivants: </w:t>
            </w:r>
            <w:r w:rsidR="0042780C" w:rsidRPr="00F05A8A">
              <w:rPr>
                <w:sz w:val="22"/>
                <w:szCs w:val="22"/>
              </w:rPr>
              <w:t>accessibilité, nouvelles tendances et intelligence artificielle, réduction de l'écart en matière de normalisation, communications et rédaction du site web, réseaux communautaires, télécommunications d'urgence, environnement et communautés intelligentes et durables, coordination de manifestations, égalité hommes/femmes, activités géospatiales, participation des membres, mobilisation de ressources et PME, et multilinguisme.</w:t>
            </w:r>
          </w:p>
          <w:p w14:paraId="28211794" w14:textId="31B1C379" w:rsidR="004E578A" w:rsidRPr="00F05A8A" w:rsidRDefault="004E578A" w:rsidP="002F075E">
            <w:pPr>
              <w:spacing w:after="60"/>
              <w:rPr>
                <w:sz w:val="22"/>
                <w:szCs w:val="22"/>
              </w:rPr>
            </w:pPr>
            <w:r w:rsidRPr="00F05A8A">
              <w:rPr>
                <w:sz w:val="22"/>
                <w:szCs w:val="22"/>
              </w:rPr>
              <w:t xml:space="preserve">En 2020, </w:t>
            </w:r>
            <w:r w:rsidR="00A050D4" w:rsidRPr="00F05A8A">
              <w:rPr>
                <w:sz w:val="22"/>
                <w:szCs w:val="22"/>
              </w:rPr>
              <w:t>au</w:t>
            </w:r>
            <w:r w:rsidR="00525990" w:rsidRPr="00F05A8A">
              <w:rPr>
                <w:sz w:val="22"/>
                <w:szCs w:val="22"/>
              </w:rPr>
              <w:t xml:space="preserve"> début de la pandémie de COVID-19</w:t>
            </w:r>
            <w:r w:rsidR="00CF5980" w:rsidRPr="00F05A8A">
              <w:rPr>
                <w:sz w:val="22"/>
                <w:szCs w:val="22"/>
              </w:rPr>
              <w:t>,</w:t>
            </w:r>
            <w:r w:rsidR="00525990" w:rsidRPr="00F05A8A">
              <w:rPr>
                <w:sz w:val="22"/>
                <w:szCs w:val="22"/>
              </w:rPr>
              <w:t xml:space="preserve"> </w:t>
            </w:r>
            <w:r w:rsidR="006B44F2" w:rsidRPr="00F05A8A">
              <w:rPr>
                <w:sz w:val="22"/>
                <w:szCs w:val="22"/>
              </w:rPr>
              <w:t xml:space="preserve">un groupe spécial </w:t>
            </w:r>
            <w:r w:rsidR="00A10353" w:rsidRPr="00F05A8A">
              <w:rPr>
                <w:sz w:val="22"/>
                <w:szCs w:val="22"/>
              </w:rPr>
              <w:t>sur la coordination intersectorielle des activités liées à la pandémi</w:t>
            </w:r>
            <w:r w:rsidR="00460C56" w:rsidRPr="00F05A8A">
              <w:rPr>
                <w:sz w:val="22"/>
                <w:szCs w:val="22"/>
              </w:rPr>
              <w:t>e de COVID-19 a été créé</w:t>
            </w:r>
            <w:r w:rsidR="00EA1235" w:rsidRPr="00F05A8A">
              <w:rPr>
                <w:sz w:val="22"/>
                <w:szCs w:val="22"/>
              </w:rPr>
              <w:t>,</w:t>
            </w:r>
            <w:r w:rsidR="00460C56" w:rsidRPr="00F05A8A">
              <w:rPr>
                <w:sz w:val="22"/>
                <w:szCs w:val="22"/>
              </w:rPr>
              <w:t xml:space="preserve"> pour mener des travaux sur l'échange de renseignements et la coordination des activités entre les trois Secteurs et le Secrétariat gén</w:t>
            </w:r>
            <w:r w:rsidR="00756EAD" w:rsidRPr="00F05A8A">
              <w:rPr>
                <w:sz w:val="22"/>
                <w:szCs w:val="22"/>
              </w:rPr>
              <w:t xml:space="preserve">éral. En outre, la coordination des réunions virtuelles </w:t>
            </w:r>
            <w:r w:rsidR="002349F6" w:rsidRPr="00F05A8A">
              <w:rPr>
                <w:sz w:val="22"/>
                <w:szCs w:val="22"/>
              </w:rPr>
              <w:t>et la participation à distance ont été mises en place</w:t>
            </w:r>
            <w:r w:rsidR="00EA1235" w:rsidRPr="00F05A8A">
              <w:rPr>
                <w:sz w:val="22"/>
                <w:szCs w:val="22"/>
              </w:rPr>
              <w:t>,</w:t>
            </w:r>
            <w:r w:rsidR="002349F6" w:rsidRPr="00F05A8A">
              <w:rPr>
                <w:sz w:val="22"/>
                <w:szCs w:val="22"/>
              </w:rPr>
              <w:t xml:space="preserve"> en vue d'arrêter des lignes directrices et de bonnes pratiques à suivre pour organiser des réunions virtuelles</w:t>
            </w:r>
            <w:r w:rsidR="00CF5980" w:rsidRPr="00F05A8A">
              <w:rPr>
                <w:sz w:val="22"/>
                <w:szCs w:val="22"/>
              </w:rPr>
              <w:t xml:space="preserve"> </w:t>
            </w:r>
            <w:r w:rsidR="00EA1235" w:rsidRPr="00F05A8A">
              <w:rPr>
                <w:sz w:val="22"/>
                <w:szCs w:val="22"/>
              </w:rPr>
              <w:t>et</w:t>
            </w:r>
            <w:r w:rsidR="00CF5980" w:rsidRPr="00F05A8A">
              <w:rPr>
                <w:sz w:val="22"/>
                <w:szCs w:val="22"/>
              </w:rPr>
              <w:t xml:space="preserve"> </w:t>
            </w:r>
            <w:r w:rsidR="00F944EC" w:rsidRPr="00F05A8A">
              <w:rPr>
                <w:sz w:val="22"/>
                <w:szCs w:val="22"/>
              </w:rPr>
              <w:t>permettre</w:t>
            </w:r>
            <w:r w:rsidR="002349F6" w:rsidRPr="00F05A8A">
              <w:rPr>
                <w:sz w:val="22"/>
                <w:szCs w:val="22"/>
              </w:rPr>
              <w:t xml:space="preserve"> </w:t>
            </w:r>
            <w:r w:rsidR="00EA1235" w:rsidRPr="00F05A8A">
              <w:rPr>
                <w:sz w:val="22"/>
                <w:szCs w:val="22"/>
              </w:rPr>
              <w:t xml:space="preserve">ainsi </w:t>
            </w:r>
            <w:r w:rsidR="002349F6" w:rsidRPr="00F05A8A">
              <w:rPr>
                <w:sz w:val="22"/>
                <w:szCs w:val="22"/>
              </w:rPr>
              <w:t>la continuité des activités.</w:t>
            </w:r>
          </w:p>
          <w:p w14:paraId="72E8EAF1" w14:textId="6378E939" w:rsidR="002C7017" w:rsidRPr="00F05A8A" w:rsidRDefault="00EA1235" w:rsidP="002F075E">
            <w:pPr>
              <w:spacing w:after="60"/>
              <w:rPr>
                <w:sz w:val="22"/>
                <w:szCs w:val="22"/>
              </w:rPr>
            </w:pPr>
            <w:r w:rsidRPr="00F05A8A">
              <w:rPr>
                <w:sz w:val="22"/>
                <w:szCs w:val="22"/>
              </w:rPr>
              <w:t>Ces</w:t>
            </w:r>
            <w:r w:rsidR="002C7017" w:rsidRPr="00F05A8A">
              <w:rPr>
                <w:sz w:val="22"/>
                <w:szCs w:val="22"/>
              </w:rPr>
              <w:t xml:space="preserve"> dernières années, d'autres initiatives </w:t>
            </w:r>
            <w:r w:rsidR="00331D2A" w:rsidRPr="00F05A8A">
              <w:rPr>
                <w:sz w:val="22"/>
                <w:szCs w:val="22"/>
              </w:rPr>
              <w:t xml:space="preserve">de coordination ont été mises en œuvre, notamment </w:t>
            </w:r>
            <w:r w:rsidRPr="00F05A8A">
              <w:rPr>
                <w:sz w:val="22"/>
                <w:szCs w:val="22"/>
              </w:rPr>
              <w:t>pour</w:t>
            </w:r>
            <w:r w:rsidR="00331D2A" w:rsidRPr="00F05A8A">
              <w:rPr>
                <w:sz w:val="22"/>
                <w:szCs w:val="22"/>
              </w:rPr>
              <w:t xml:space="preserve"> élaborer le cadre de l'UIT relatif à la gestion des risques et le tableau de bord de la conformité à l'échelle de l'UIT. </w:t>
            </w:r>
            <w:r w:rsidR="00997794" w:rsidRPr="00F05A8A">
              <w:rPr>
                <w:sz w:val="22"/>
                <w:szCs w:val="22"/>
              </w:rPr>
              <w:t xml:space="preserve">En outre, un groupe de coordination des conférences (CCG) a été créé au sein du secrétariat de l'UIT, afin d'améliorer la coopération, la coordination et l'harmonisation dans le cadre des travaux préparatoires en vue des </w:t>
            </w:r>
            <w:r w:rsidRPr="00F05A8A">
              <w:rPr>
                <w:sz w:val="22"/>
                <w:szCs w:val="22"/>
              </w:rPr>
              <w:t>grandes</w:t>
            </w:r>
            <w:r w:rsidR="00CF5980" w:rsidRPr="00F05A8A">
              <w:rPr>
                <w:sz w:val="22"/>
                <w:szCs w:val="22"/>
              </w:rPr>
              <w:t xml:space="preserve"> </w:t>
            </w:r>
            <w:r w:rsidR="00997794" w:rsidRPr="00F05A8A">
              <w:rPr>
                <w:sz w:val="22"/>
                <w:szCs w:val="22"/>
              </w:rPr>
              <w:t>conférences prévues en 2022.</w:t>
            </w:r>
          </w:p>
          <w:p w14:paraId="2BAD3A54" w14:textId="686BE344" w:rsidR="00903A75" w:rsidRPr="00F05A8A" w:rsidRDefault="00903A75" w:rsidP="002F075E">
            <w:pPr>
              <w:spacing w:after="120"/>
              <w:rPr>
                <w:b/>
              </w:rPr>
            </w:pPr>
            <w:r w:rsidRPr="00F05A8A">
              <w:rPr>
                <w:sz w:val="22"/>
              </w:rPr>
              <w:t xml:space="preserve">Des renseignements complémentaires et les rapports peuvent être consultés via le site web du Secrétariat général, sous </w:t>
            </w:r>
            <w:r w:rsidR="00EA1235" w:rsidRPr="00F05A8A">
              <w:rPr>
                <w:sz w:val="22"/>
              </w:rPr>
              <w:t xml:space="preserve">la rubrique </w:t>
            </w:r>
            <w:r w:rsidR="00153B47" w:rsidRPr="00F05A8A">
              <w:rPr>
                <w:sz w:val="22"/>
              </w:rPr>
              <w:t>"</w:t>
            </w:r>
            <w:hyperlink r:id="rId526" w:history="1">
              <w:r w:rsidR="00153B47" w:rsidRPr="00F05A8A">
                <w:rPr>
                  <w:rStyle w:val="Hyperlink"/>
                  <w:sz w:val="22"/>
                </w:rPr>
                <w:t>Coordination intersectorielle des activités</w:t>
              </w:r>
            </w:hyperlink>
            <w:r w:rsidR="00153B47" w:rsidRPr="00F05A8A">
              <w:rPr>
                <w:sz w:val="22"/>
              </w:rPr>
              <w:t>".</w:t>
            </w:r>
          </w:p>
        </w:tc>
      </w:tr>
      <w:tr w:rsidR="00642422" w:rsidRPr="00F05A8A" w14:paraId="3CA633D9" w14:textId="77777777" w:rsidTr="00142C01">
        <w:tc>
          <w:tcPr>
            <w:tcW w:w="10065" w:type="dxa"/>
            <w:tcBorders>
              <w:bottom w:val="single" w:sz="4" w:space="0" w:color="auto"/>
            </w:tcBorders>
          </w:tcPr>
          <w:p w14:paraId="5A726719" w14:textId="77777777" w:rsidR="00642422" w:rsidRPr="00F05A8A" w:rsidRDefault="00642422" w:rsidP="002F075E">
            <w:pPr>
              <w:pStyle w:val="Headingb"/>
              <w:keepNext w:val="0"/>
              <w:keepLines w:val="0"/>
              <w:spacing w:before="120"/>
              <w:ind w:left="0" w:firstLine="0"/>
              <w:rPr>
                <w:sz w:val="22"/>
                <w:szCs w:val="22"/>
              </w:rPr>
            </w:pPr>
            <w:bookmarkStart w:id="690" w:name="_Toc72845155"/>
            <w:bookmarkStart w:id="691" w:name="_Toc72846479"/>
            <w:bookmarkStart w:id="692" w:name="_Toc72846729"/>
            <w:bookmarkStart w:id="693" w:name="_Toc95387583"/>
            <w:r w:rsidRPr="00F05A8A">
              <w:rPr>
                <w:sz w:val="22"/>
                <w:szCs w:val="22"/>
              </w:rPr>
              <w:lastRenderedPageBreak/>
              <w:t>Résolution 193 (Rév. Busan, 2014) – Appui et assistance à l'Iraq pour la reconstruction de son secteur des télécommunications</w:t>
            </w:r>
            <w:bookmarkEnd w:id="690"/>
            <w:bookmarkEnd w:id="691"/>
            <w:bookmarkEnd w:id="692"/>
            <w:bookmarkEnd w:id="693"/>
          </w:p>
          <w:p w14:paraId="71EA17F6" w14:textId="77777777" w:rsidR="00642422" w:rsidRPr="00F05A8A" w:rsidRDefault="00642422" w:rsidP="002F075E">
            <w:pPr>
              <w:rPr>
                <w:sz w:val="22"/>
                <w:szCs w:val="22"/>
              </w:rPr>
            </w:pPr>
            <w:r w:rsidRPr="00F05A8A">
              <w:rPr>
                <w:sz w:val="22"/>
                <w:szCs w:val="22"/>
              </w:rPr>
              <w:t>À la demande de l'Iraq, une attention toute particulière a été accordée à la fourniture d'une assistance concernant la Résolution 211 nouvellement adoptée. Ces dernières années, il n'a pas été possible de fournir une assistance en vue de la reconstruction de l'infrastructure à cause des conditions de sécurité sur le terrain.</w:t>
            </w:r>
          </w:p>
        </w:tc>
      </w:tr>
      <w:tr w:rsidR="00642422" w:rsidRPr="00F05A8A" w14:paraId="512F3119" w14:textId="77777777" w:rsidTr="00142C01">
        <w:trPr>
          <w:trHeight w:val="5705"/>
        </w:trPr>
        <w:tc>
          <w:tcPr>
            <w:tcW w:w="10065" w:type="dxa"/>
          </w:tcPr>
          <w:p w14:paraId="4F1FF2DC" w14:textId="77777777" w:rsidR="00642422" w:rsidRPr="00F05A8A" w:rsidRDefault="00642422" w:rsidP="002F075E">
            <w:pPr>
              <w:pStyle w:val="Headingb"/>
              <w:keepNext w:val="0"/>
              <w:keepLines w:val="0"/>
              <w:spacing w:before="120"/>
              <w:ind w:left="0" w:firstLine="0"/>
              <w:rPr>
                <w:sz w:val="22"/>
                <w:szCs w:val="22"/>
              </w:rPr>
            </w:pPr>
            <w:bookmarkStart w:id="694" w:name="Rés197"/>
            <w:bookmarkStart w:id="695" w:name="_Toc72845156"/>
            <w:bookmarkStart w:id="696" w:name="_Toc72846480"/>
            <w:bookmarkStart w:id="697" w:name="_Toc72846730"/>
            <w:bookmarkStart w:id="698" w:name="_Toc95387584"/>
            <w:r w:rsidRPr="00F05A8A">
              <w:rPr>
                <w:sz w:val="22"/>
                <w:szCs w:val="22"/>
              </w:rPr>
              <w:t>Résolution 197 (Rév. Dubaï, 2018)</w:t>
            </w:r>
            <w:bookmarkEnd w:id="694"/>
            <w:r w:rsidRPr="00F05A8A">
              <w:rPr>
                <w:sz w:val="22"/>
                <w:szCs w:val="22"/>
              </w:rPr>
              <w:t xml:space="preserve"> – Faciliter l'avènement de l'Internet des objets et des villes et communautés intelligentes et durables</w:t>
            </w:r>
            <w:bookmarkEnd w:id="695"/>
            <w:bookmarkEnd w:id="696"/>
            <w:bookmarkEnd w:id="697"/>
            <w:bookmarkEnd w:id="698"/>
          </w:p>
          <w:p w14:paraId="17B4B266" w14:textId="77777777" w:rsidR="00642422" w:rsidRPr="00F05A8A" w:rsidRDefault="00642422" w:rsidP="002F075E">
            <w:pPr>
              <w:rPr>
                <w:sz w:val="22"/>
                <w:szCs w:val="22"/>
              </w:rPr>
            </w:pPr>
            <w:r w:rsidRPr="00F05A8A">
              <w:rPr>
                <w:sz w:val="22"/>
                <w:szCs w:val="22"/>
              </w:rPr>
              <w:t xml:space="preserve">La </w:t>
            </w:r>
            <w:hyperlink r:id="rId527" w:history="1">
              <w:r w:rsidRPr="00F05A8A">
                <w:rPr>
                  <w:rStyle w:val="Hyperlink"/>
                  <w:sz w:val="22"/>
                  <w:szCs w:val="22"/>
                </w:rPr>
                <w:t>Commission d'études 20 de l'UIT-T</w:t>
              </w:r>
            </w:hyperlink>
            <w:r w:rsidRPr="00F05A8A">
              <w:rPr>
                <w:sz w:val="22"/>
                <w:szCs w:val="22"/>
              </w:rPr>
              <w:t xml:space="preserve"> a élaboré une série de Recommandations et d'autres produits depuis 2018 (voir </w:t>
            </w:r>
            <w:hyperlink r:id="rId528" w:history="1">
              <w:r w:rsidRPr="00F05A8A">
                <w:rPr>
                  <w:rStyle w:val="Hyperlink"/>
                  <w:sz w:val="22"/>
                  <w:szCs w:val="22"/>
                </w:rPr>
                <w:t>ici</w:t>
              </w:r>
            </w:hyperlink>
            <w:r w:rsidRPr="00F05A8A">
              <w:rPr>
                <w:sz w:val="22"/>
                <w:szCs w:val="22"/>
              </w:rPr>
              <w:t>).</w:t>
            </w:r>
          </w:p>
          <w:p w14:paraId="0A2CA9AE" w14:textId="77777777" w:rsidR="00642422" w:rsidRPr="00F05A8A" w:rsidRDefault="00642422" w:rsidP="002F075E">
            <w:pPr>
              <w:rPr>
                <w:sz w:val="22"/>
                <w:szCs w:val="22"/>
              </w:rPr>
            </w:pPr>
            <w:r w:rsidRPr="00F05A8A">
              <w:rPr>
                <w:sz w:val="22"/>
                <w:szCs w:val="22"/>
              </w:rPr>
              <w:t xml:space="preserve">On trouvera dans la </w:t>
            </w:r>
            <w:hyperlink w:anchor="_1.5_Environnement_et" w:history="1">
              <w:r w:rsidRPr="00F05A8A">
                <w:rPr>
                  <w:rStyle w:val="Hyperlink"/>
                  <w:sz w:val="22"/>
                  <w:szCs w:val="22"/>
                </w:rPr>
                <w:t>section 1.5</w:t>
              </w:r>
            </w:hyperlink>
            <w:r w:rsidRPr="00F05A8A">
              <w:rPr>
                <w:sz w:val="22"/>
                <w:szCs w:val="22"/>
              </w:rPr>
              <w:t xml:space="preserve"> (Environnement et villes et communautés intelligentes et durables) un résumé des travaux effectués par l'UIT sur ces sujets.</w:t>
            </w:r>
          </w:p>
          <w:p w14:paraId="6E763BA5" w14:textId="77777777" w:rsidR="00642422" w:rsidRPr="00F05A8A" w:rsidRDefault="00642422" w:rsidP="002F075E">
            <w:pPr>
              <w:keepNext/>
              <w:rPr>
                <w:sz w:val="22"/>
                <w:szCs w:val="22"/>
              </w:rPr>
            </w:pPr>
            <w:r w:rsidRPr="00F05A8A">
              <w:rPr>
                <w:sz w:val="22"/>
                <w:szCs w:val="22"/>
              </w:rPr>
              <w:t xml:space="preserve">En octobre 2019, les Recommandations </w:t>
            </w:r>
            <w:hyperlink r:id="rId529" w:history="1">
              <w:r w:rsidRPr="00F05A8A">
                <w:rPr>
                  <w:rStyle w:val="Hyperlink"/>
                  <w:sz w:val="22"/>
                  <w:szCs w:val="22"/>
                </w:rPr>
                <w:t>UIT-T Y.4200</w:t>
              </w:r>
            </w:hyperlink>
            <w:r w:rsidRPr="00F05A8A">
              <w:rPr>
                <w:sz w:val="22"/>
                <w:szCs w:val="22"/>
              </w:rPr>
              <w:t xml:space="preserve"> et </w:t>
            </w:r>
            <w:hyperlink r:id="rId530" w:history="1">
              <w:r w:rsidRPr="00F05A8A">
                <w:rPr>
                  <w:rStyle w:val="Hyperlink"/>
                  <w:sz w:val="22"/>
                  <w:szCs w:val="22"/>
                </w:rPr>
                <w:t>UIT-T Y.4201</w:t>
              </w:r>
            </w:hyperlink>
            <w:r w:rsidRPr="00F05A8A">
              <w:rPr>
                <w:sz w:val="22"/>
                <w:szCs w:val="22"/>
              </w:rPr>
              <w:t xml:space="preserve"> figuraient parmi les finalistes du Prix des catalyseurs de l'édition de 2019 du Green Electronics Council.</w:t>
            </w:r>
          </w:p>
          <w:p w14:paraId="48DB1510" w14:textId="77777777" w:rsidR="00642422" w:rsidRPr="00F05A8A" w:rsidRDefault="00642422" w:rsidP="002F075E">
            <w:pPr>
              <w:rPr>
                <w:sz w:val="22"/>
                <w:szCs w:val="22"/>
              </w:rPr>
            </w:pPr>
            <w:r w:rsidRPr="00F05A8A">
              <w:rPr>
                <w:sz w:val="22"/>
                <w:szCs w:val="22"/>
              </w:rPr>
              <w:t xml:space="preserve">Un Groupe d'action mixte CEI/ISO/UIT sur les villes intelligentes (J-SCTF) a été créé dans l'objectif d'établir des synergies dans le cadre des travaux en cours menés par l'UIT-T, la CEI et l'ISO afin d'optimiser les efforts visant à identifier de nouveaux domaines de coopération, et à développer une vision globale sur les villes et communautés intelligentes tenant compte du champ d'action, des domaines de travail et de l'expertise de l'UIT-T, de la CEI et de l'ISO pour favoriser le développement des villes et communautés intelligentes. La première réunion du Groupe J-SCTF a eu lieu de façon virtuelle le 7 octobre 2020. Depuis cette date, le groupe s'est réuni le 24 février 2021, le </w:t>
            </w:r>
            <w:hyperlink r:id="rId531" w:history="1">
              <w:r w:rsidRPr="00F05A8A">
                <w:rPr>
                  <w:rStyle w:val="Hyperlink"/>
                  <w:sz w:val="22"/>
                  <w:szCs w:val="22"/>
                </w:rPr>
                <w:t>21 juin 2021</w:t>
              </w:r>
            </w:hyperlink>
            <w:r w:rsidRPr="00F05A8A">
              <w:rPr>
                <w:sz w:val="22"/>
                <w:szCs w:val="22"/>
              </w:rPr>
              <w:t>, le 27 et le 29 septembre 2021, ainsi que le 7 octobre 2021.</w:t>
            </w:r>
          </w:p>
          <w:p w14:paraId="17C3E4DA" w14:textId="77777777" w:rsidR="00642422" w:rsidRPr="00F05A8A" w:rsidRDefault="00642422" w:rsidP="002F075E">
            <w:pPr>
              <w:rPr>
                <w:sz w:val="22"/>
                <w:szCs w:val="22"/>
              </w:rPr>
            </w:pPr>
            <w:r w:rsidRPr="00F05A8A">
              <w:rPr>
                <w:sz w:val="22"/>
                <w:szCs w:val="22"/>
              </w:rPr>
              <w:t xml:space="preserve">Une liste des colloques et des manifestations de l'UIT relatifs aux changements climatiques, à l'Internet des objets, aux technologies novatrices, et aux villes intelligentes et durables peut être consultée </w:t>
            </w:r>
            <w:hyperlink r:id="rId532" w:history="1">
              <w:r w:rsidRPr="00F05A8A">
                <w:rPr>
                  <w:rStyle w:val="Hyperlink"/>
                  <w:sz w:val="22"/>
                  <w:szCs w:val="22"/>
                </w:rPr>
                <w:t>ici</w:t>
              </w:r>
            </w:hyperlink>
            <w:r w:rsidRPr="00F05A8A">
              <w:rPr>
                <w:sz w:val="22"/>
                <w:szCs w:val="22"/>
              </w:rPr>
              <w:t>.</w:t>
            </w:r>
          </w:p>
        </w:tc>
      </w:tr>
      <w:tr w:rsidR="00642422" w:rsidRPr="00F05A8A" w14:paraId="5A3104B3" w14:textId="77777777" w:rsidTr="00142C01">
        <w:tc>
          <w:tcPr>
            <w:tcW w:w="10065" w:type="dxa"/>
          </w:tcPr>
          <w:p w14:paraId="1A7B64E0" w14:textId="77777777" w:rsidR="00642422" w:rsidRPr="00F05A8A" w:rsidRDefault="00642422" w:rsidP="002F075E">
            <w:pPr>
              <w:pStyle w:val="Headingb"/>
              <w:spacing w:before="120"/>
              <w:ind w:left="0" w:firstLine="0"/>
              <w:rPr>
                <w:sz w:val="22"/>
                <w:szCs w:val="22"/>
              </w:rPr>
            </w:pPr>
            <w:bookmarkStart w:id="699" w:name="_Toc72845157"/>
            <w:bookmarkStart w:id="700" w:name="_Toc72846481"/>
            <w:bookmarkStart w:id="701" w:name="_Toc72846731"/>
            <w:bookmarkStart w:id="702" w:name="_Toc95387585"/>
            <w:r w:rsidRPr="00F05A8A">
              <w:rPr>
                <w:sz w:val="22"/>
                <w:szCs w:val="22"/>
              </w:rPr>
              <w:lastRenderedPageBreak/>
              <w:t>Résolution 198 (Rév. Dubaï, 2018) – Autonomisation des jeunes au moyen des télécommunications et des technologies de l'information et de la communication</w:t>
            </w:r>
            <w:bookmarkEnd w:id="699"/>
            <w:bookmarkEnd w:id="700"/>
            <w:bookmarkEnd w:id="701"/>
            <w:bookmarkEnd w:id="702"/>
          </w:p>
          <w:p w14:paraId="0AD9A238" w14:textId="77777777" w:rsidR="00642422" w:rsidRPr="00F05A8A" w:rsidRDefault="00642422" w:rsidP="002F075E">
            <w:pPr>
              <w:spacing w:after="120"/>
              <w:rPr>
                <w:sz w:val="22"/>
                <w:szCs w:val="22"/>
              </w:rPr>
            </w:pPr>
            <w:r w:rsidRPr="00F05A8A">
              <w:rPr>
                <w:sz w:val="22"/>
                <w:szCs w:val="22"/>
              </w:rPr>
              <w:t xml:space="preserve">Voir la </w:t>
            </w:r>
            <w:hyperlink w:anchor="Section_1_7" w:history="1">
              <w:r w:rsidRPr="00F05A8A">
                <w:rPr>
                  <w:rStyle w:val="Hyperlink"/>
                  <w:sz w:val="22"/>
                  <w:szCs w:val="22"/>
                </w:rPr>
                <w:t>section 1.7</w:t>
              </w:r>
            </w:hyperlink>
            <w:r w:rsidRPr="00F05A8A">
              <w:rPr>
                <w:sz w:val="22"/>
                <w:szCs w:val="22"/>
              </w:rPr>
              <w:t>.</w:t>
            </w:r>
          </w:p>
        </w:tc>
      </w:tr>
      <w:tr w:rsidR="00642422" w:rsidRPr="00F05A8A" w14:paraId="4D293A21" w14:textId="77777777" w:rsidTr="00142C01">
        <w:tc>
          <w:tcPr>
            <w:tcW w:w="10065" w:type="dxa"/>
          </w:tcPr>
          <w:p w14:paraId="258E365F" w14:textId="77777777" w:rsidR="00642422" w:rsidRPr="00F05A8A" w:rsidRDefault="00642422" w:rsidP="002F075E">
            <w:pPr>
              <w:pStyle w:val="Headingb"/>
              <w:keepNext w:val="0"/>
              <w:keepLines w:val="0"/>
              <w:spacing w:before="120"/>
              <w:ind w:left="0" w:firstLine="0"/>
              <w:rPr>
                <w:sz w:val="22"/>
                <w:szCs w:val="22"/>
              </w:rPr>
            </w:pPr>
            <w:bookmarkStart w:id="703" w:name="_Toc72845158"/>
            <w:bookmarkStart w:id="704" w:name="_Toc72846482"/>
            <w:bookmarkStart w:id="705" w:name="_Toc72846732"/>
            <w:bookmarkStart w:id="706" w:name="_Toc95387586"/>
            <w:r w:rsidRPr="00F05A8A">
              <w:rPr>
                <w:sz w:val="22"/>
                <w:szCs w:val="22"/>
              </w:rPr>
              <w:t>Résolution 200 (Rév. Dubaï, 2018) – Programme Connect 2030 pour les télécommunications/</w:t>
            </w:r>
            <w:r w:rsidRPr="00F05A8A">
              <w:rPr>
                <w:sz w:val="22"/>
                <w:szCs w:val="22"/>
              </w:rPr>
              <w:br/>
              <w:t>technologies de l'information et de la communication dans le monde, y compris le large bande, en faveur du développement durable</w:t>
            </w:r>
            <w:bookmarkEnd w:id="703"/>
            <w:bookmarkEnd w:id="704"/>
            <w:bookmarkEnd w:id="705"/>
            <w:bookmarkEnd w:id="706"/>
          </w:p>
          <w:p w14:paraId="5BC8B134" w14:textId="77777777" w:rsidR="00642422" w:rsidRPr="00F05A8A" w:rsidRDefault="00642422" w:rsidP="002F075E">
            <w:pPr>
              <w:rPr>
                <w:sz w:val="22"/>
                <w:szCs w:val="22"/>
              </w:rPr>
            </w:pPr>
            <w:r w:rsidRPr="00F05A8A">
              <w:rPr>
                <w:sz w:val="22"/>
                <w:szCs w:val="22"/>
              </w:rPr>
              <w:t xml:space="preserve">Ce rapport peut être considéré comme un rapport sur la mise en œuvre du Programme Connect 2030 (voir la </w:t>
            </w:r>
            <w:hyperlink w:anchor="_3_Mise_en" w:history="1">
              <w:r w:rsidRPr="00F05A8A">
                <w:rPr>
                  <w:rStyle w:val="Hyperlink"/>
                  <w:sz w:val="22"/>
                  <w:szCs w:val="22"/>
                </w:rPr>
                <w:t>section 3</w:t>
              </w:r>
            </w:hyperlink>
            <w:r w:rsidRPr="00F05A8A">
              <w:rPr>
                <w:sz w:val="22"/>
                <w:szCs w:val="22"/>
              </w:rPr>
              <w:t>).</w:t>
            </w:r>
          </w:p>
          <w:p w14:paraId="3D42F7CD" w14:textId="4690F58C" w:rsidR="00642422" w:rsidRPr="00F05A8A" w:rsidRDefault="00642422" w:rsidP="002F075E">
            <w:pPr>
              <w:spacing w:after="120"/>
              <w:rPr>
                <w:sz w:val="22"/>
                <w:szCs w:val="22"/>
              </w:rPr>
            </w:pPr>
            <w:r w:rsidRPr="00F05A8A">
              <w:rPr>
                <w:rFonts w:asciiTheme="minorHAnsi" w:hAnsiTheme="minorHAnsi" w:cstheme="minorHAnsi"/>
                <w:sz w:val="22"/>
                <w:szCs w:val="22"/>
              </w:rPr>
              <w:t xml:space="preserve">L'UIT a mis au point un </w:t>
            </w:r>
            <w:hyperlink r:id="rId533" w:history="1">
              <w:r w:rsidRPr="00F05A8A">
                <w:rPr>
                  <w:rStyle w:val="Hyperlink"/>
                  <w:rFonts w:asciiTheme="minorHAnsi" w:hAnsiTheme="minorHAnsi" w:cstheme="minorHAnsi"/>
                  <w:sz w:val="22"/>
                  <w:szCs w:val="22"/>
                </w:rPr>
                <w:t>microsite sur le Programme Connect 20</w:t>
              </w:r>
              <w:r w:rsidR="0028270D" w:rsidRPr="00F05A8A">
                <w:rPr>
                  <w:rStyle w:val="Hyperlink"/>
                  <w:rFonts w:asciiTheme="minorHAnsi" w:hAnsiTheme="minorHAnsi" w:cstheme="minorHAnsi"/>
                  <w:sz w:val="22"/>
                  <w:szCs w:val="22"/>
                </w:rPr>
                <w:t>3</w:t>
              </w:r>
              <w:r w:rsidRPr="00F05A8A">
                <w:rPr>
                  <w:rStyle w:val="Hyperlink"/>
                  <w:rFonts w:asciiTheme="minorHAnsi" w:hAnsiTheme="minorHAnsi" w:cstheme="minorHAnsi"/>
                  <w:sz w:val="22"/>
                  <w:szCs w:val="22"/>
                </w:rPr>
                <w:t>0</w:t>
              </w:r>
            </w:hyperlink>
            <w:r w:rsidRPr="00F05A8A">
              <w:rPr>
                <w:rFonts w:asciiTheme="minorHAnsi" w:hAnsiTheme="minorHAnsi" w:cstheme="minorHAnsi"/>
                <w:sz w:val="22"/>
                <w:szCs w:val="22"/>
              </w:rPr>
              <w:t>, lancé durant l'édition de 2020 de la Journée mondiale des télécommunications et de la société de l'information.</w:t>
            </w:r>
          </w:p>
        </w:tc>
      </w:tr>
      <w:tr w:rsidR="00642422" w:rsidRPr="00F05A8A" w14:paraId="6A4A5116" w14:textId="77777777" w:rsidTr="00142C01">
        <w:tc>
          <w:tcPr>
            <w:tcW w:w="10065" w:type="dxa"/>
          </w:tcPr>
          <w:p w14:paraId="41A7E8D8" w14:textId="77777777" w:rsidR="00642422" w:rsidRPr="00F05A8A" w:rsidRDefault="00642422" w:rsidP="002F075E">
            <w:pPr>
              <w:pStyle w:val="Headingb"/>
              <w:keepNext w:val="0"/>
              <w:keepLines w:val="0"/>
              <w:spacing w:before="120"/>
              <w:ind w:left="0" w:firstLine="0"/>
              <w:rPr>
                <w:sz w:val="22"/>
                <w:szCs w:val="22"/>
              </w:rPr>
            </w:pPr>
            <w:bookmarkStart w:id="707" w:name="Rés204"/>
            <w:bookmarkStart w:id="708" w:name="_Toc72845159"/>
            <w:bookmarkStart w:id="709" w:name="_Toc72846483"/>
            <w:bookmarkStart w:id="710" w:name="_Toc72846733"/>
            <w:bookmarkStart w:id="711" w:name="_Toc95387587"/>
            <w:r w:rsidRPr="00F05A8A">
              <w:rPr>
                <w:sz w:val="22"/>
                <w:szCs w:val="22"/>
              </w:rPr>
              <w:t>Résolution 204 (Rév. Dubaï, 2018)</w:t>
            </w:r>
            <w:bookmarkEnd w:id="707"/>
            <w:r w:rsidRPr="00F05A8A">
              <w:rPr>
                <w:sz w:val="22"/>
                <w:szCs w:val="22"/>
              </w:rPr>
              <w:t xml:space="preserve"> – Utilisation des technologies de l'information et de la communication pour réduire les disparités en matière d'inclusion financière</w:t>
            </w:r>
            <w:bookmarkEnd w:id="708"/>
            <w:bookmarkEnd w:id="709"/>
            <w:bookmarkEnd w:id="710"/>
            <w:bookmarkEnd w:id="711"/>
          </w:p>
          <w:p w14:paraId="619C6CAD" w14:textId="77777777" w:rsidR="00642422" w:rsidRPr="00F05A8A" w:rsidRDefault="00642422" w:rsidP="002F075E">
            <w:pPr>
              <w:rPr>
                <w:sz w:val="22"/>
                <w:szCs w:val="22"/>
              </w:rPr>
            </w:pPr>
            <w:r w:rsidRPr="00F05A8A">
              <w:rPr>
                <w:sz w:val="22"/>
                <w:szCs w:val="22"/>
              </w:rPr>
              <w:t xml:space="preserve">Conformément à la </w:t>
            </w:r>
            <w:hyperlink r:id="rId534" w:history="1">
              <w:r w:rsidRPr="00F05A8A">
                <w:rPr>
                  <w:rStyle w:val="Hyperlink"/>
                  <w:sz w:val="22"/>
                  <w:szCs w:val="22"/>
                </w:rPr>
                <w:t>Résolution 89</w:t>
              </w:r>
            </w:hyperlink>
            <w:r w:rsidRPr="00F05A8A">
              <w:rPr>
                <w:sz w:val="22"/>
                <w:szCs w:val="22"/>
              </w:rPr>
              <w:t xml:space="preserve"> de l'AMNT-16, l'UIT mène un certain nombre d'activités visant à encourager l'utilisation des TIC pour réduire les disparités en matière d'inclusion financière via:</w:t>
            </w:r>
          </w:p>
          <w:p w14:paraId="49020A41" w14:textId="77777777" w:rsidR="00642422" w:rsidRPr="00F05A8A" w:rsidRDefault="00642422" w:rsidP="002F075E">
            <w:pPr>
              <w:pStyle w:val="enumlev1"/>
              <w:rPr>
                <w:sz w:val="22"/>
                <w:szCs w:val="22"/>
              </w:rPr>
            </w:pPr>
            <w:r w:rsidRPr="00F05A8A">
              <w:rPr>
                <w:sz w:val="22"/>
                <w:szCs w:val="22"/>
              </w:rPr>
              <w:t>•</w:t>
            </w:r>
            <w:r w:rsidRPr="00F05A8A">
              <w:rPr>
                <w:sz w:val="22"/>
                <w:szCs w:val="22"/>
              </w:rPr>
              <w:tab/>
              <w:t>l'initiative mondiale en faveur de l'inclusion financière (FIGI);</w:t>
            </w:r>
          </w:p>
          <w:p w14:paraId="6E503E8C" w14:textId="77777777" w:rsidR="00642422" w:rsidRPr="00F05A8A" w:rsidRDefault="00642422" w:rsidP="002F075E">
            <w:pPr>
              <w:pStyle w:val="enumlev1"/>
              <w:rPr>
                <w:sz w:val="22"/>
                <w:szCs w:val="22"/>
              </w:rPr>
            </w:pPr>
            <w:r w:rsidRPr="00F05A8A">
              <w:rPr>
                <w:sz w:val="22"/>
                <w:szCs w:val="22"/>
              </w:rPr>
              <w:t>•</w:t>
            </w:r>
            <w:r w:rsidRPr="00F05A8A">
              <w:rPr>
                <w:sz w:val="22"/>
                <w:szCs w:val="22"/>
              </w:rPr>
              <w:tab/>
              <w:t>le programme de travail des Commission d'études et des Groupes spécialisés de l'UIT-T;</w:t>
            </w:r>
          </w:p>
          <w:p w14:paraId="177C6005" w14:textId="77777777" w:rsidR="00642422" w:rsidRPr="00F05A8A" w:rsidRDefault="00642422" w:rsidP="002F075E">
            <w:pPr>
              <w:pStyle w:val="enumlev1"/>
              <w:rPr>
                <w:sz w:val="22"/>
                <w:szCs w:val="22"/>
              </w:rPr>
            </w:pPr>
            <w:r w:rsidRPr="00F05A8A">
              <w:rPr>
                <w:sz w:val="22"/>
                <w:szCs w:val="22"/>
              </w:rPr>
              <w:t>•</w:t>
            </w:r>
            <w:r w:rsidRPr="00F05A8A">
              <w:rPr>
                <w:sz w:val="22"/>
                <w:szCs w:val="22"/>
              </w:rPr>
              <w:tab/>
              <w:t>les webinaires sur les services financiers numériques durant la crise du COVID-19</w:t>
            </w:r>
            <w:r w:rsidRPr="00F05A8A">
              <w:rPr>
                <w:rFonts w:asciiTheme="minorHAnsi" w:eastAsiaTheme="minorEastAsia" w:hAnsiTheme="minorHAnsi" w:cstheme="minorHAnsi"/>
                <w:sz w:val="22"/>
                <w:szCs w:val="22"/>
              </w:rPr>
              <w:t>;</w:t>
            </w:r>
          </w:p>
          <w:p w14:paraId="197C6DAB" w14:textId="77777777" w:rsidR="00642422" w:rsidRPr="00F05A8A" w:rsidRDefault="00642422" w:rsidP="002F075E">
            <w:pPr>
              <w:pStyle w:val="enumlev1"/>
              <w:rPr>
                <w:sz w:val="22"/>
                <w:szCs w:val="22"/>
              </w:rPr>
            </w:pPr>
            <w:r w:rsidRPr="00F05A8A">
              <w:rPr>
                <w:sz w:val="22"/>
                <w:szCs w:val="22"/>
              </w:rPr>
              <w:t>•</w:t>
            </w:r>
            <w:r w:rsidRPr="00F05A8A">
              <w:rPr>
                <w:sz w:val="22"/>
                <w:szCs w:val="22"/>
              </w:rPr>
              <w:tab/>
              <w:t>le programme de l'UIT-D relatif au cadre politique et réglementaire.</w:t>
            </w:r>
          </w:p>
          <w:p w14:paraId="55880865" w14:textId="77777777" w:rsidR="00642422" w:rsidRPr="00F05A8A" w:rsidRDefault="00642422" w:rsidP="002F075E">
            <w:pPr>
              <w:pStyle w:val="Headingb"/>
              <w:keepNext w:val="0"/>
              <w:keepLines w:val="0"/>
              <w:spacing w:before="120"/>
              <w:rPr>
                <w:sz w:val="22"/>
                <w:szCs w:val="22"/>
              </w:rPr>
            </w:pPr>
            <w:bookmarkStart w:id="712" w:name="_Toc41032138"/>
            <w:bookmarkStart w:id="713" w:name="_Toc72845160"/>
            <w:bookmarkStart w:id="714" w:name="_Toc72846484"/>
            <w:bookmarkStart w:id="715" w:name="_Toc72846734"/>
            <w:bookmarkStart w:id="716" w:name="_Toc95387588"/>
            <w:r w:rsidRPr="00F05A8A">
              <w:rPr>
                <w:sz w:val="22"/>
                <w:szCs w:val="22"/>
              </w:rPr>
              <w:t>Initiative mondiale en faveur de l'inclusion financière (FIGI)</w:t>
            </w:r>
            <w:bookmarkEnd w:id="712"/>
            <w:bookmarkEnd w:id="713"/>
            <w:bookmarkEnd w:id="714"/>
            <w:bookmarkEnd w:id="715"/>
            <w:bookmarkEnd w:id="716"/>
          </w:p>
          <w:p w14:paraId="5EB6EB46" w14:textId="77777777" w:rsidR="00642422" w:rsidRPr="00F05A8A" w:rsidRDefault="00642422" w:rsidP="002F075E">
            <w:pPr>
              <w:rPr>
                <w:sz w:val="22"/>
                <w:szCs w:val="22"/>
              </w:rPr>
            </w:pPr>
            <w:r w:rsidRPr="00F05A8A">
              <w:rPr>
                <w:sz w:val="22"/>
                <w:szCs w:val="22"/>
              </w:rPr>
              <w:t>Créée en 2017, l'initiative FIGI est menée conjointement par l'UIT, le Groupe de la Banque mondiale et le Comité sur les paiements et les infrastructures de marché, avec l'appui de la Fondation Bill &amp; Melinda Gates. L'initiative FIGI finance la mise en œuvre nationale dans trois pays, à savoir la Chine, l'Égypte et le Mexique, et est constituée de trois groupes de travail: 1) Groupe de travail sur l'acceptation des paiements par voie électronique; 2) Groupe de travail sur l'identité numérique dirigé par la Banque mondiale; et 3) Groupe de travail sur la sécurité, l'infrastructure et la confiance dirigé par l'UIT.</w:t>
            </w:r>
          </w:p>
          <w:p w14:paraId="2A6CBB71" w14:textId="77777777" w:rsidR="00642422" w:rsidRPr="00F05A8A" w:rsidRDefault="00642422" w:rsidP="002F075E">
            <w:pPr>
              <w:rPr>
                <w:sz w:val="22"/>
                <w:szCs w:val="22"/>
              </w:rPr>
            </w:pPr>
            <w:r w:rsidRPr="00F05A8A">
              <w:rPr>
                <w:sz w:val="22"/>
                <w:szCs w:val="22"/>
              </w:rPr>
              <w:t>Au cours de la période considérée, l'UIT a mis en œuvre les activités suivantes dans le cadre de l'initiative FIGI:</w:t>
            </w:r>
          </w:p>
          <w:p w14:paraId="285F9DD1" w14:textId="77777777" w:rsidR="00642422" w:rsidRPr="00F05A8A" w:rsidRDefault="00642422" w:rsidP="002F075E">
            <w:pPr>
              <w:pStyle w:val="enumlev1"/>
              <w:rPr>
                <w:sz w:val="22"/>
                <w:szCs w:val="22"/>
              </w:rPr>
            </w:pPr>
            <w:r w:rsidRPr="00F05A8A">
              <w:rPr>
                <w:sz w:val="22"/>
                <w:szCs w:val="22"/>
              </w:rPr>
              <w:t>•</w:t>
            </w:r>
            <w:r w:rsidRPr="00F05A8A">
              <w:rPr>
                <w:sz w:val="22"/>
                <w:szCs w:val="22"/>
              </w:rPr>
              <w:tab/>
            </w:r>
            <w:hyperlink r:id="rId535" w:history="1">
              <w:r w:rsidRPr="00F05A8A">
                <w:rPr>
                  <w:rStyle w:val="Hyperlink"/>
                  <w:sz w:val="22"/>
                  <w:szCs w:val="22"/>
                </w:rPr>
                <w:t>Deuxième Colloque sur l'initiative FIGI</w:t>
              </w:r>
            </w:hyperlink>
            <w:r w:rsidRPr="00F05A8A">
              <w:rPr>
                <w:sz w:val="22"/>
                <w:szCs w:val="22"/>
              </w:rPr>
              <w:t xml:space="preserve"> au Caire (Égypte), du 21 au 24 janvier 2019, au cours duquel s'est également tenu un hackathon.</w:t>
            </w:r>
          </w:p>
          <w:p w14:paraId="77362481" w14:textId="77777777" w:rsidR="00642422" w:rsidRPr="00F05A8A" w:rsidRDefault="00642422" w:rsidP="002F075E">
            <w:pPr>
              <w:pStyle w:val="enumlev1"/>
              <w:rPr>
                <w:sz w:val="22"/>
                <w:szCs w:val="22"/>
              </w:rPr>
            </w:pPr>
            <w:r w:rsidRPr="00F05A8A">
              <w:rPr>
                <w:sz w:val="22"/>
                <w:szCs w:val="22"/>
              </w:rPr>
              <w:t>•</w:t>
            </w:r>
            <w:r w:rsidRPr="00F05A8A">
              <w:rPr>
                <w:sz w:val="22"/>
                <w:szCs w:val="22"/>
              </w:rPr>
              <w:tab/>
            </w:r>
            <w:hyperlink r:id="rId536" w:history="1">
              <w:r w:rsidRPr="00F05A8A">
                <w:rPr>
                  <w:rStyle w:val="Hyperlink"/>
                  <w:sz w:val="22"/>
                  <w:szCs w:val="22"/>
                </w:rPr>
                <w:t>Colloque virtuel de l'initiative FIGI</w:t>
              </w:r>
            </w:hyperlink>
            <w:r w:rsidRPr="00F05A8A">
              <w:rPr>
                <w:sz w:val="22"/>
                <w:szCs w:val="22"/>
              </w:rPr>
              <w:t>, du 18 mai au 24 juin 2021.</w:t>
            </w:r>
          </w:p>
          <w:p w14:paraId="732350F0" w14:textId="77777777" w:rsidR="00642422" w:rsidRPr="00F05A8A" w:rsidRDefault="00642422" w:rsidP="002F075E">
            <w:pPr>
              <w:pStyle w:val="enumlev1"/>
              <w:spacing w:after="120"/>
              <w:rPr>
                <w:sz w:val="22"/>
                <w:szCs w:val="22"/>
              </w:rPr>
            </w:pPr>
            <w:r w:rsidRPr="00F05A8A">
              <w:rPr>
                <w:sz w:val="22"/>
                <w:szCs w:val="22"/>
              </w:rPr>
              <w:t>•</w:t>
            </w:r>
            <w:r w:rsidRPr="00F05A8A">
              <w:rPr>
                <w:sz w:val="22"/>
                <w:szCs w:val="22"/>
              </w:rPr>
              <w:tab/>
              <w:t xml:space="preserve">Le </w:t>
            </w:r>
            <w:hyperlink r:id="rId537" w:history="1">
              <w:r w:rsidRPr="00F05A8A">
                <w:rPr>
                  <w:rStyle w:val="Hyperlink"/>
                  <w:sz w:val="22"/>
                  <w:szCs w:val="22"/>
                </w:rPr>
                <w:t>Groupe de travail sur la sécurité, l'infrastructure et la confiance de l'initiative FIGI</w:t>
              </w:r>
            </w:hyperlink>
            <w:r w:rsidRPr="00F05A8A">
              <w:rPr>
                <w:sz w:val="22"/>
                <w:szCs w:val="22"/>
              </w:rPr>
              <w:t xml:space="preserve"> a élaboré </w:t>
            </w:r>
            <w:hyperlink r:id="rId538" w:history="1">
              <w:r w:rsidRPr="00F05A8A">
                <w:rPr>
                  <w:rStyle w:val="Hyperlink"/>
                  <w:sz w:val="22"/>
                  <w:szCs w:val="22"/>
                </w:rPr>
                <w:t>17 rapports techniques</w:t>
              </w:r>
            </w:hyperlink>
            <w:r w:rsidRPr="00F05A8A">
              <w:rPr>
                <w:sz w:val="22"/>
                <w:szCs w:val="22"/>
              </w:rPr>
              <w:t xml:space="preserve"> qui ont été transmis aux Commissions d'études de l'UIT-T pour qu'elles les intègrent dans leurs travaux de normalisation, et a créé un laboratoire de sécurité pour les services financiers numériques au sein du TSB.</w:t>
            </w:r>
          </w:p>
          <w:p w14:paraId="2CE4EC91" w14:textId="77777777" w:rsidR="00642422" w:rsidRPr="00F05A8A" w:rsidRDefault="00642422" w:rsidP="002F075E">
            <w:pPr>
              <w:ind w:left="567" w:hanging="567"/>
              <w:rPr>
                <w:sz w:val="22"/>
                <w:szCs w:val="22"/>
              </w:rPr>
            </w:pPr>
            <w:r w:rsidRPr="00F05A8A">
              <w:rPr>
                <w:sz w:val="22"/>
                <w:szCs w:val="22"/>
              </w:rPr>
              <w:t>•</w:t>
            </w:r>
            <w:r w:rsidRPr="00F05A8A">
              <w:rPr>
                <w:sz w:val="22"/>
                <w:szCs w:val="22"/>
              </w:rPr>
              <w:tab/>
              <w:t>Une méthode type pour tester la sécurité des applications de paiement sur mobile dans les environnements USSD, STK et Android a été élaborée à partir des dix principaux risques pour la sécurité des applications mobiles recensés dans le cadre du projet OWASP et adoptée par le laboratoire de sécurité pour les services financiers numériques créé par l'initiative FIGI de l'UIT pour mener des audits de sécurité sur les applications de paiement sur mobile.</w:t>
            </w:r>
          </w:p>
          <w:p w14:paraId="6554475F" w14:textId="77777777" w:rsidR="00642422" w:rsidRPr="00F05A8A" w:rsidRDefault="00642422" w:rsidP="002F075E">
            <w:pPr>
              <w:pStyle w:val="enumlev1"/>
              <w:rPr>
                <w:sz w:val="22"/>
                <w:szCs w:val="22"/>
              </w:rPr>
            </w:pPr>
            <w:r w:rsidRPr="00F05A8A">
              <w:rPr>
                <w:sz w:val="22"/>
                <w:szCs w:val="22"/>
              </w:rPr>
              <w:t>•</w:t>
            </w:r>
            <w:r w:rsidRPr="00F05A8A">
              <w:rPr>
                <w:sz w:val="22"/>
                <w:szCs w:val="22"/>
              </w:rPr>
              <w:tab/>
              <w:t>Audit de sécurité des applications de paiement sur mobile en Zambie, mené par le laboratoire de sécurité des services financiers numériques en juin 2021 à la suite d'une demande formulée par ZICTA.</w:t>
            </w:r>
          </w:p>
          <w:p w14:paraId="6D42F966" w14:textId="77777777" w:rsidR="00642422" w:rsidRPr="00F05A8A" w:rsidRDefault="00642422" w:rsidP="002F075E">
            <w:pPr>
              <w:pStyle w:val="enumlev1"/>
              <w:rPr>
                <w:sz w:val="22"/>
                <w:szCs w:val="22"/>
              </w:rPr>
            </w:pPr>
            <w:r w:rsidRPr="00F05A8A">
              <w:rPr>
                <w:sz w:val="22"/>
                <w:szCs w:val="22"/>
              </w:rPr>
              <w:lastRenderedPageBreak/>
              <w:t>•</w:t>
            </w:r>
            <w:r w:rsidRPr="00F05A8A">
              <w:rPr>
                <w:sz w:val="22"/>
                <w:szCs w:val="22"/>
              </w:rPr>
              <w:tab/>
              <w:t>Les activités du laboratoire de sécurité des services financiers numériques sont encouragées dans les pays en développement et les pays à faible revenu dans les régions Afrique, Amérique latine et Asie-Pacifique avec l'appui des Bureaux régionaux de l'UIT, pour mieux faire connaître les bonnes pratiques en matière de sécurité pour l'utilisation des services financiers numériques et leur mise en œuvre via le laboratoire de sécurité.</w:t>
            </w:r>
          </w:p>
          <w:p w14:paraId="3D66C1DB" w14:textId="77777777" w:rsidR="00642422" w:rsidRPr="00F05A8A" w:rsidRDefault="00642422" w:rsidP="002F075E">
            <w:pPr>
              <w:pStyle w:val="enumlev1"/>
              <w:rPr>
                <w:sz w:val="22"/>
                <w:szCs w:val="22"/>
              </w:rPr>
            </w:pPr>
            <w:r w:rsidRPr="00F05A8A">
              <w:rPr>
                <w:sz w:val="22"/>
                <w:szCs w:val="22"/>
              </w:rPr>
              <w:t>•</w:t>
            </w:r>
            <w:r w:rsidRPr="00F05A8A">
              <w:rPr>
                <w:sz w:val="22"/>
                <w:szCs w:val="22"/>
              </w:rPr>
              <w:tab/>
              <w:t xml:space="preserve">Stage intensif sur la sécurité organisé au titre de l'Initiative FIGI, en </w:t>
            </w:r>
            <w:hyperlink r:id="rId539" w:history="1">
              <w:r w:rsidRPr="00F05A8A">
                <w:rPr>
                  <w:rStyle w:val="Hyperlink"/>
                  <w:sz w:val="22"/>
                  <w:szCs w:val="22"/>
                </w:rPr>
                <w:t>décembre 2019</w:t>
              </w:r>
            </w:hyperlink>
            <w:r w:rsidRPr="00F05A8A">
              <w:rPr>
                <w:sz w:val="22"/>
                <w:szCs w:val="22"/>
              </w:rPr>
              <w:t xml:space="preserve"> (Genève), novembre 2020 (réunion virtuelle, axée sur l'Égypte et le Mexique), décembre 2020 (réunion virtuelle, axée sur l'Indonésie) et </w:t>
            </w:r>
            <w:hyperlink r:id="rId540" w:history="1">
              <w:r w:rsidRPr="00F05A8A">
                <w:rPr>
                  <w:rStyle w:val="Hyperlink"/>
                  <w:sz w:val="22"/>
                  <w:szCs w:val="22"/>
                </w:rPr>
                <w:t>octobre-novembre 2021</w:t>
              </w:r>
            </w:hyperlink>
            <w:r w:rsidRPr="00F05A8A">
              <w:rPr>
                <w:sz w:val="22"/>
                <w:szCs w:val="22"/>
              </w:rPr>
              <w:t xml:space="preserve"> en Ouganda, Zimbabwe, Malawi, Eswatini, Nigéria, Tunisie, Égypte et Fidji (réunion virtuelle, axée sur le laboratoire de la sécurité des services financiers numériques et l'adoption des recommandations de l'initiative FIGI en matière de sécurité).</w:t>
            </w:r>
          </w:p>
          <w:p w14:paraId="2A27B584" w14:textId="77777777" w:rsidR="00642422" w:rsidRPr="00F05A8A" w:rsidRDefault="00642422" w:rsidP="002F075E">
            <w:pPr>
              <w:pStyle w:val="Headingb"/>
              <w:spacing w:before="120"/>
              <w:rPr>
                <w:sz w:val="22"/>
                <w:szCs w:val="22"/>
              </w:rPr>
            </w:pPr>
            <w:bookmarkStart w:id="717" w:name="_Toc95387589"/>
            <w:r w:rsidRPr="00F05A8A">
              <w:rPr>
                <w:sz w:val="22"/>
                <w:szCs w:val="22"/>
              </w:rPr>
              <w:t>Mise en œuvre par les pays</w:t>
            </w:r>
            <w:bookmarkEnd w:id="717"/>
          </w:p>
          <w:p w14:paraId="506B6351" w14:textId="77777777" w:rsidR="00642422" w:rsidRPr="00F05A8A" w:rsidRDefault="00642422" w:rsidP="002F075E">
            <w:pPr>
              <w:rPr>
                <w:sz w:val="22"/>
                <w:szCs w:val="22"/>
              </w:rPr>
            </w:pPr>
            <w:r w:rsidRPr="00F05A8A">
              <w:rPr>
                <w:sz w:val="22"/>
                <w:szCs w:val="22"/>
              </w:rPr>
              <w:t>La mise en œuvre par les pays porte sur la mise en œuvre de cadres politiques et réglementaires propices à l'exploitation des TIC au service de l'inclusion financière numérique, qui intègrent les recommandations du Groupe spécialisé sur les services financiers numériques (FG-DFS) de l'UIT</w:t>
            </w:r>
            <w:r w:rsidRPr="00F05A8A">
              <w:rPr>
                <w:sz w:val="22"/>
                <w:szCs w:val="22"/>
              </w:rPr>
              <w:noBreakHyphen/>
              <w:t>T, les recommandations contenues dans le rapport sur les aspects de l'inclusion financière liés aux paiements (PAFI) et les principes du projet "Level One". Le Mexique, l'Égypte et la Chine procèdent actuellement à cette mise en œuvre.</w:t>
            </w:r>
          </w:p>
          <w:p w14:paraId="42CDF683" w14:textId="77777777" w:rsidR="00642422" w:rsidRPr="00F05A8A" w:rsidRDefault="00642422" w:rsidP="002F075E">
            <w:pPr>
              <w:pStyle w:val="Headingb"/>
              <w:ind w:left="0" w:firstLine="0"/>
              <w:rPr>
                <w:sz w:val="22"/>
                <w:szCs w:val="22"/>
              </w:rPr>
            </w:pPr>
            <w:bookmarkStart w:id="718" w:name="_Toc95387590"/>
            <w:r w:rsidRPr="00F05A8A">
              <w:rPr>
                <w:sz w:val="22"/>
                <w:szCs w:val="22"/>
              </w:rPr>
              <w:t>Activités de normalisation au sein des commissions d'études et des groupes spécialisés de l'UIT-T relatives aux services financiers numériques</w:t>
            </w:r>
            <w:bookmarkEnd w:id="718"/>
          </w:p>
          <w:p w14:paraId="7276E27E" w14:textId="77777777" w:rsidR="00642422" w:rsidRPr="00F05A8A" w:rsidRDefault="00642422" w:rsidP="002F075E">
            <w:pPr>
              <w:pStyle w:val="Headingb"/>
              <w:rPr>
                <w:sz w:val="22"/>
                <w:szCs w:val="22"/>
              </w:rPr>
            </w:pPr>
            <w:bookmarkStart w:id="719" w:name="_Toc95387591"/>
            <w:r w:rsidRPr="00F05A8A">
              <w:rPr>
                <w:sz w:val="22"/>
                <w:szCs w:val="22"/>
              </w:rPr>
              <w:t>Commission d'études 3 de l'UIT-T</w:t>
            </w:r>
            <w:bookmarkEnd w:id="719"/>
          </w:p>
          <w:p w14:paraId="55DBF2FC" w14:textId="77777777" w:rsidR="00642422" w:rsidRPr="00F05A8A" w:rsidRDefault="00642422" w:rsidP="002F075E">
            <w:pPr>
              <w:keepNext/>
              <w:keepLines/>
              <w:rPr>
                <w:sz w:val="22"/>
                <w:szCs w:val="22"/>
              </w:rPr>
            </w:pPr>
            <w:r w:rsidRPr="00F05A8A">
              <w:rPr>
                <w:sz w:val="22"/>
                <w:szCs w:val="22"/>
              </w:rPr>
              <w:t xml:space="preserve">En mai 2019, l'UIT a approuvé la </w:t>
            </w:r>
            <w:hyperlink r:id="rId541" w:history="1">
              <w:r w:rsidRPr="00F05A8A">
                <w:rPr>
                  <w:rStyle w:val="Hyperlink"/>
                  <w:sz w:val="22"/>
                  <w:szCs w:val="22"/>
                </w:rPr>
                <w:t>Recommandation UIT-T D.263, "Coûts, tarifs et concurrence pour les services financiers sur mobile (MFS)"</w:t>
              </w:r>
            </w:hyperlink>
            <w:r w:rsidRPr="00F05A8A">
              <w:rPr>
                <w:sz w:val="22"/>
                <w:szCs w:val="22"/>
              </w:rPr>
              <w:t xml:space="preserve">. Le </w:t>
            </w:r>
            <w:hyperlink r:id="rId542" w:history="1">
              <w:r w:rsidRPr="00F05A8A">
                <w:rPr>
                  <w:rStyle w:val="Hyperlink"/>
                  <w:sz w:val="22"/>
                  <w:szCs w:val="22"/>
                </w:rPr>
                <w:t>Supplément 4 aux Recommandations UIT-T de la série D intitulé "Supplément sur les principes pour l'adoption et l'utilisation accrues des services financiers sur mobile grâce à des mécanismes efficaces de protection des consommateurs"</w:t>
              </w:r>
            </w:hyperlink>
            <w:r w:rsidRPr="00F05A8A">
              <w:rPr>
                <w:sz w:val="22"/>
                <w:szCs w:val="22"/>
              </w:rPr>
              <w:t xml:space="preserve"> a été approuvé en avril 2020.</w:t>
            </w:r>
          </w:p>
          <w:p w14:paraId="72058715" w14:textId="77777777" w:rsidR="00642422" w:rsidRPr="00F05A8A" w:rsidRDefault="00642422" w:rsidP="002F075E">
            <w:pPr>
              <w:spacing w:after="120"/>
              <w:rPr>
                <w:sz w:val="22"/>
                <w:szCs w:val="22"/>
              </w:rPr>
            </w:pPr>
            <w:r w:rsidRPr="00F05A8A">
              <w:rPr>
                <w:sz w:val="22"/>
                <w:szCs w:val="22"/>
              </w:rPr>
              <w:t>Il a été décidé d'approuver la publication d'une série de rapports du Groupe spécialisé sur les services financiers numériques (FG-DFS) en tant que rapports techniques de la CE 3.</w:t>
            </w:r>
          </w:p>
          <w:p w14:paraId="591C3327" w14:textId="77777777" w:rsidR="00642422" w:rsidRPr="00F05A8A" w:rsidRDefault="00642422" w:rsidP="002F075E">
            <w:pPr>
              <w:pStyle w:val="Headingb"/>
              <w:rPr>
                <w:sz w:val="22"/>
                <w:szCs w:val="22"/>
              </w:rPr>
            </w:pPr>
            <w:bookmarkStart w:id="720" w:name="_Toc95387592"/>
            <w:r w:rsidRPr="00F05A8A">
              <w:rPr>
                <w:sz w:val="22"/>
                <w:szCs w:val="22"/>
              </w:rPr>
              <w:t>Commission d'études 11 de l'UIT-T</w:t>
            </w:r>
            <w:bookmarkEnd w:id="720"/>
          </w:p>
          <w:p w14:paraId="29E34931" w14:textId="77777777" w:rsidR="00642422" w:rsidRPr="00F05A8A" w:rsidRDefault="00642422" w:rsidP="002F075E">
            <w:pPr>
              <w:rPr>
                <w:sz w:val="22"/>
                <w:szCs w:val="22"/>
              </w:rPr>
            </w:pPr>
            <w:r w:rsidRPr="00F05A8A">
              <w:rPr>
                <w:sz w:val="22"/>
                <w:szCs w:val="22"/>
              </w:rPr>
              <w:t xml:space="preserve">En octobre 2019, l'UIT a publié le rapport technique UIT-T </w:t>
            </w:r>
            <w:hyperlink r:id="rId543" w:history="1">
              <w:r w:rsidRPr="00F05A8A">
                <w:rPr>
                  <w:rStyle w:val="Hyperlink"/>
                  <w:sz w:val="22"/>
                  <w:szCs w:val="22"/>
                </w:rPr>
                <w:t>TR-SS7-DFS "Failles du SS7 et mesures d'atténuation applicables aux transactions des services financiers numériques"</w:t>
              </w:r>
            </w:hyperlink>
            <w:r w:rsidRPr="00F05A8A">
              <w:rPr>
                <w:sz w:val="22"/>
                <w:szCs w:val="22"/>
              </w:rPr>
              <w:t>.</w:t>
            </w:r>
          </w:p>
          <w:p w14:paraId="0F7BB778" w14:textId="77777777" w:rsidR="00642422" w:rsidRPr="00F05A8A" w:rsidRDefault="00642422" w:rsidP="002F075E">
            <w:pPr>
              <w:keepNext/>
              <w:keepLines/>
              <w:rPr>
                <w:sz w:val="22"/>
                <w:szCs w:val="22"/>
              </w:rPr>
            </w:pPr>
            <w:r w:rsidRPr="00F05A8A">
              <w:rPr>
                <w:sz w:val="22"/>
                <w:szCs w:val="22"/>
              </w:rPr>
              <w:t xml:space="preserve">En octobre 2019, la CE 11 a organisé une </w:t>
            </w:r>
            <w:hyperlink r:id="rId544" w:history="1">
              <w:r w:rsidRPr="00F05A8A">
                <w:rPr>
                  <w:rStyle w:val="Hyperlink"/>
                  <w:sz w:val="22"/>
                  <w:szCs w:val="22"/>
                </w:rPr>
                <w:t>séance de réflexion</w:t>
              </w:r>
            </w:hyperlink>
            <w:r w:rsidRPr="00F05A8A">
              <w:rPr>
                <w:sz w:val="22"/>
                <w:szCs w:val="22"/>
              </w:rPr>
              <w:t xml:space="preserve"> sur les failles du SS7 et les incidences sur différents secteurs comme les services financiers numériques. </w:t>
            </w:r>
          </w:p>
          <w:p w14:paraId="183A21D5" w14:textId="77777777" w:rsidR="00642422" w:rsidRPr="00F05A8A" w:rsidRDefault="00642422" w:rsidP="002F075E">
            <w:pPr>
              <w:rPr>
                <w:sz w:val="22"/>
                <w:szCs w:val="22"/>
              </w:rPr>
            </w:pPr>
            <w:r w:rsidRPr="00F05A8A">
              <w:rPr>
                <w:sz w:val="22"/>
                <w:szCs w:val="22"/>
              </w:rPr>
              <w:t xml:space="preserve">En avril 2020, l'UIT a approuvé la </w:t>
            </w:r>
            <w:hyperlink r:id="rId545" w:history="1">
              <w:r w:rsidRPr="00F05A8A">
                <w:rPr>
                  <w:rStyle w:val="Hyperlink"/>
                  <w:sz w:val="22"/>
                  <w:szCs w:val="22"/>
                </w:rPr>
                <w:t>Recommandation UIT-T. Q.3057 intitulée "Exigences de signalisation et architecture pour l'interconnexion entre entités de réseau de confiance"</w:t>
              </w:r>
            </w:hyperlink>
            <w:r w:rsidRPr="00F05A8A">
              <w:rPr>
                <w:sz w:val="22"/>
                <w:szCs w:val="22"/>
              </w:rPr>
              <w:t xml:space="preserve">. Un </w:t>
            </w:r>
            <w:hyperlink r:id="rId546" w:history="1">
              <w:r w:rsidRPr="00F05A8A">
                <w:rPr>
                  <w:rStyle w:val="Hyperlink"/>
                  <w:sz w:val="22"/>
                  <w:szCs w:val="22"/>
                </w:rPr>
                <w:t>atelier sur le thème "Améliorer la sécurité des protocoles de signalisation"</w:t>
              </w:r>
            </w:hyperlink>
            <w:r w:rsidRPr="00F05A8A">
              <w:rPr>
                <w:sz w:val="22"/>
                <w:szCs w:val="22"/>
              </w:rPr>
              <w:t xml:space="preserve"> s'est tenu de manière virtuelle le 29 novembre 2021.</w:t>
            </w:r>
          </w:p>
          <w:p w14:paraId="09309471" w14:textId="77777777" w:rsidR="00642422" w:rsidRPr="00F05A8A" w:rsidRDefault="00642422" w:rsidP="002F075E">
            <w:pPr>
              <w:rPr>
                <w:sz w:val="22"/>
                <w:szCs w:val="22"/>
              </w:rPr>
            </w:pPr>
            <w:r w:rsidRPr="00F05A8A">
              <w:rPr>
                <w:sz w:val="22"/>
                <w:szCs w:val="22"/>
              </w:rPr>
              <w:t xml:space="preserve">D'autres travaux en cours connexes peuvent être consultés </w:t>
            </w:r>
            <w:hyperlink r:id="rId547" w:history="1">
              <w:r w:rsidRPr="00F05A8A">
                <w:rPr>
                  <w:rStyle w:val="Hyperlink"/>
                  <w:sz w:val="22"/>
                  <w:szCs w:val="22"/>
                </w:rPr>
                <w:t>ici</w:t>
              </w:r>
            </w:hyperlink>
            <w:r w:rsidRPr="00F05A8A">
              <w:rPr>
                <w:sz w:val="22"/>
                <w:szCs w:val="22"/>
              </w:rPr>
              <w:t>.</w:t>
            </w:r>
          </w:p>
          <w:p w14:paraId="27BB5F09" w14:textId="77777777" w:rsidR="00642422" w:rsidRPr="00F05A8A" w:rsidRDefault="00642422" w:rsidP="002F075E">
            <w:pPr>
              <w:pStyle w:val="Headingb"/>
              <w:rPr>
                <w:sz w:val="22"/>
                <w:szCs w:val="22"/>
              </w:rPr>
            </w:pPr>
            <w:bookmarkStart w:id="721" w:name="_Toc95387593"/>
            <w:r w:rsidRPr="00F05A8A">
              <w:rPr>
                <w:sz w:val="22"/>
                <w:szCs w:val="22"/>
              </w:rPr>
              <w:t>Commission d'études 12 de l'UIT-T</w:t>
            </w:r>
            <w:bookmarkEnd w:id="721"/>
          </w:p>
          <w:p w14:paraId="5A39A7A5" w14:textId="77777777" w:rsidR="00642422" w:rsidRPr="00F05A8A" w:rsidRDefault="00642422" w:rsidP="002F075E">
            <w:pPr>
              <w:rPr>
                <w:sz w:val="22"/>
                <w:szCs w:val="22"/>
              </w:rPr>
            </w:pPr>
            <w:r w:rsidRPr="00F05A8A">
              <w:rPr>
                <w:sz w:val="22"/>
                <w:szCs w:val="22"/>
              </w:rPr>
              <w:t>Deux nouvelles Recommandations UIT-T sur les services financiers numériques ont été approuvées en 2020:</w:t>
            </w:r>
          </w:p>
          <w:p w14:paraId="70E15ACD" w14:textId="77777777" w:rsidR="00642422" w:rsidRPr="00F05A8A" w:rsidRDefault="00642422" w:rsidP="002F075E">
            <w:pPr>
              <w:pStyle w:val="enumlev1"/>
              <w:rPr>
                <w:sz w:val="22"/>
                <w:szCs w:val="22"/>
              </w:rPr>
            </w:pPr>
            <w:r w:rsidRPr="00F05A8A">
              <w:rPr>
                <w:sz w:val="22"/>
                <w:szCs w:val="22"/>
              </w:rPr>
              <w:t>•</w:t>
            </w:r>
            <w:r w:rsidRPr="00F05A8A">
              <w:rPr>
                <w:sz w:val="22"/>
                <w:szCs w:val="22"/>
              </w:rPr>
              <w:tab/>
              <w:t xml:space="preserve">La </w:t>
            </w:r>
            <w:hyperlink r:id="rId548" w:history="1">
              <w:r w:rsidRPr="00F05A8A">
                <w:rPr>
                  <w:rStyle w:val="Hyperlink"/>
                  <w:sz w:val="22"/>
                  <w:szCs w:val="22"/>
                </w:rPr>
                <w:t>Recommandation UIT-T G.1033</w:t>
              </w:r>
            </w:hyperlink>
            <w:r w:rsidRPr="00F05A8A">
              <w:rPr>
                <w:sz w:val="22"/>
                <w:szCs w:val="22"/>
              </w:rPr>
              <w:t>, qui met en avant des aspects importants liés à la qualité de service et à la qualité d'expérience qui doivent être pris en compte dans le contexte des services financiers numériques.</w:t>
            </w:r>
          </w:p>
          <w:p w14:paraId="10655FF7" w14:textId="77777777" w:rsidR="00642422" w:rsidRPr="00F05A8A" w:rsidRDefault="00642422" w:rsidP="002F075E">
            <w:pPr>
              <w:pStyle w:val="enumlev1"/>
              <w:rPr>
                <w:sz w:val="22"/>
                <w:szCs w:val="22"/>
              </w:rPr>
            </w:pPr>
            <w:r w:rsidRPr="00F05A8A">
              <w:rPr>
                <w:sz w:val="22"/>
                <w:szCs w:val="22"/>
              </w:rPr>
              <w:t>•</w:t>
            </w:r>
            <w:r w:rsidRPr="00F05A8A">
              <w:rPr>
                <w:sz w:val="22"/>
                <w:szCs w:val="22"/>
              </w:rPr>
              <w:tab/>
              <w:t xml:space="preserve">La </w:t>
            </w:r>
            <w:hyperlink r:id="rId549" w:history="1">
              <w:r w:rsidRPr="00F05A8A">
                <w:rPr>
                  <w:rStyle w:val="Hyperlink"/>
                  <w:sz w:val="22"/>
                  <w:szCs w:val="22"/>
                </w:rPr>
                <w:t>Recommandation UIT-T P.1502</w:t>
              </w:r>
            </w:hyperlink>
            <w:r w:rsidRPr="00F05A8A">
              <w:rPr>
                <w:sz w:val="22"/>
                <w:szCs w:val="22"/>
              </w:rPr>
              <w:t>, qui présente une méthodologie à utiliser pour évaluer la qualité d'expérience des services financiers numériques.</w:t>
            </w:r>
          </w:p>
          <w:p w14:paraId="1C1F3304" w14:textId="77777777" w:rsidR="00642422" w:rsidRPr="00F05A8A" w:rsidRDefault="00642422" w:rsidP="002F075E">
            <w:pPr>
              <w:rPr>
                <w:sz w:val="22"/>
                <w:szCs w:val="22"/>
              </w:rPr>
            </w:pPr>
            <w:r w:rsidRPr="00F05A8A">
              <w:rPr>
                <w:sz w:val="22"/>
                <w:szCs w:val="22"/>
              </w:rPr>
              <w:lastRenderedPageBreak/>
              <w:t>Les Recommandations sont fondées sur les résultats obtenus par le Groupe spécialisé sur les services financiers numériques de l'UIT-T et le Groupe de travail sur la sécurité, l'infrastructure et la confiance de l'initiative FIGI.</w:t>
            </w:r>
          </w:p>
          <w:p w14:paraId="73F4E157" w14:textId="77777777" w:rsidR="00642422" w:rsidRPr="00F05A8A" w:rsidRDefault="00642422" w:rsidP="002F075E">
            <w:pPr>
              <w:pStyle w:val="Headingb"/>
              <w:rPr>
                <w:sz w:val="22"/>
                <w:szCs w:val="22"/>
              </w:rPr>
            </w:pPr>
            <w:bookmarkStart w:id="722" w:name="_Toc95387594"/>
            <w:r w:rsidRPr="00F05A8A">
              <w:rPr>
                <w:sz w:val="22"/>
                <w:szCs w:val="22"/>
              </w:rPr>
              <w:t>Commission d'études 16 de l'UIT-T</w:t>
            </w:r>
            <w:bookmarkEnd w:id="722"/>
          </w:p>
          <w:p w14:paraId="1475ABFD" w14:textId="77777777" w:rsidR="00642422" w:rsidRPr="00F05A8A" w:rsidRDefault="00642422" w:rsidP="002F075E">
            <w:pPr>
              <w:spacing w:after="120"/>
              <w:rPr>
                <w:sz w:val="22"/>
                <w:szCs w:val="22"/>
              </w:rPr>
            </w:pPr>
            <w:r w:rsidRPr="00F05A8A">
              <w:rPr>
                <w:sz w:val="22"/>
                <w:szCs w:val="22"/>
              </w:rPr>
              <w:t xml:space="preserve">Le Groupe chargé de la nouvelle </w:t>
            </w:r>
            <w:hyperlink r:id="rId550" w:history="1">
              <w:r w:rsidRPr="00F05A8A">
                <w:rPr>
                  <w:rStyle w:val="Hyperlink"/>
                  <w:sz w:val="22"/>
                  <w:szCs w:val="22"/>
                </w:rPr>
                <w:t>Question 22/16</w:t>
              </w:r>
            </w:hyperlink>
            <w:r w:rsidRPr="00F05A8A">
              <w:rPr>
                <w:rStyle w:val="Hyperlink"/>
                <w:sz w:val="22"/>
                <w:szCs w:val="22"/>
              </w:rPr>
              <w:t xml:space="preserve"> </w:t>
            </w:r>
            <w:r w:rsidRPr="00F05A8A">
              <w:rPr>
                <w:sz w:val="22"/>
                <w:szCs w:val="22"/>
              </w:rPr>
              <w:t xml:space="preserve">sur les aspects multimédias des technologies de registres distribués et des cyberservices poursuit une partie des travaux menés par le </w:t>
            </w:r>
            <w:hyperlink r:id="rId551" w:history="1">
              <w:r w:rsidRPr="00F05A8A">
                <w:rPr>
                  <w:rStyle w:val="Hyperlink"/>
                  <w:sz w:val="22"/>
                  <w:szCs w:val="22"/>
                </w:rPr>
                <w:t>Groupe spécialisé de l'UIT-T sur les technologies de registres distribués</w:t>
              </w:r>
            </w:hyperlink>
            <w:r w:rsidRPr="00F05A8A">
              <w:rPr>
                <w:sz w:val="22"/>
                <w:szCs w:val="22"/>
              </w:rPr>
              <w:t>, qui a maintenant cessé ses activités.</w:t>
            </w:r>
          </w:p>
          <w:p w14:paraId="0153B340" w14:textId="77777777" w:rsidR="00642422" w:rsidRPr="00F05A8A" w:rsidRDefault="00642422" w:rsidP="002F075E">
            <w:pPr>
              <w:rPr>
                <w:sz w:val="22"/>
                <w:szCs w:val="22"/>
              </w:rPr>
            </w:pPr>
            <w:r w:rsidRPr="00F05A8A">
              <w:rPr>
                <w:sz w:val="22"/>
                <w:szCs w:val="22"/>
              </w:rPr>
              <w:t>Les sujets en rapport avec les services financiers numériques étudiés au titre de la Question 22/16 incluent les services liés aux preuves numériques, les factures numériques et les contrats intelligents.</w:t>
            </w:r>
          </w:p>
          <w:p w14:paraId="0310436B" w14:textId="77777777" w:rsidR="00642422" w:rsidRPr="00F05A8A" w:rsidRDefault="00642422" w:rsidP="002F075E">
            <w:pPr>
              <w:rPr>
                <w:rFonts w:eastAsia="Calibri"/>
                <w:sz w:val="22"/>
                <w:szCs w:val="22"/>
              </w:rPr>
            </w:pPr>
            <w:r w:rsidRPr="00F05A8A">
              <w:rPr>
                <w:rFonts w:eastAsia="Calibri"/>
                <w:sz w:val="22"/>
                <w:szCs w:val="22"/>
              </w:rPr>
              <w:t>Trois Recommandations sur les technologies de registres distribués (initialement élaborées dans le cadre du Groupe spécialisé de l'UIT-T sur la technologie des registres distribués (</w:t>
            </w:r>
            <w:hyperlink r:id="rId552" w:history="1">
              <w:r w:rsidRPr="00F05A8A">
                <w:rPr>
                  <w:rStyle w:val="Hyperlink"/>
                  <w:rFonts w:asciiTheme="minorHAnsi" w:eastAsia="Calibri" w:hAnsiTheme="minorHAnsi" w:cstheme="minorHAnsi"/>
                  <w:sz w:val="22"/>
                  <w:szCs w:val="22"/>
                </w:rPr>
                <w:t>FG-DLT</w:t>
              </w:r>
            </w:hyperlink>
            <w:r w:rsidRPr="00F05A8A">
              <w:rPr>
                <w:rFonts w:eastAsia="Calibri"/>
                <w:sz w:val="22"/>
                <w:szCs w:val="22"/>
              </w:rPr>
              <w:t>), qui n'existe plus)</w:t>
            </w:r>
            <w:r w:rsidRPr="00F05A8A">
              <w:rPr>
                <w:sz w:val="22"/>
                <w:szCs w:val="22"/>
              </w:rPr>
              <w:t xml:space="preserve"> </w:t>
            </w:r>
            <w:r w:rsidRPr="00F05A8A">
              <w:rPr>
                <w:rFonts w:eastAsia="Calibri"/>
                <w:sz w:val="22"/>
                <w:szCs w:val="22"/>
              </w:rPr>
              <w:t>ont été élaborées:</w:t>
            </w:r>
          </w:p>
          <w:p w14:paraId="21F716F2" w14:textId="77777777" w:rsidR="00642422" w:rsidRPr="00F05A8A" w:rsidRDefault="00642422" w:rsidP="002F075E">
            <w:pPr>
              <w:pStyle w:val="enumlev1"/>
              <w:rPr>
                <w:sz w:val="22"/>
                <w:szCs w:val="22"/>
              </w:rPr>
            </w:pPr>
            <w:r w:rsidRPr="00F05A8A">
              <w:rPr>
                <w:rFonts w:eastAsia="Calibri"/>
                <w:sz w:val="22"/>
                <w:szCs w:val="22"/>
              </w:rPr>
              <w:t>•</w:t>
            </w:r>
            <w:r w:rsidRPr="00F05A8A">
              <w:rPr>
                <w:rFonts w:eastAsia="Calibri"/>
                <w:sz w:val="22"/>
                <w:szCs w:val="22"/>
              </w:rPr>
              <w:tab/>
              <w:t>UIT</w:t>
            </w:r>
            <w:r w:rsidRPr="00F05A8A">
              <w:rPr>
                <w:rFonts w:asciiTheme="minorHAnsi" w:eastAsia="Calibri" w:hAnsiTheme="minorHAnsi" w:cstheme="minorHAnsi"/>
                <w:sz w:val="22"/>
                <w:szCs w:val="22"/>
              </w:rPr>
              <w:t xml:space="preserve">-T </w:t>
            </w:r>
            <w:hyperlink r:id="rId553" w:tgtFrame="_blank" w:history="1">
              <w:r w:rsidRPr="00F05A8A">
                <w:rPr>
                  <w:rFonts w:asciiTheme="minorHAnsi" w:hAnsiTheme="minorHAnsi" w:cstheme="minorHAnsi"/>
                  <w:color w:val="0000FF"/>
                  <w:sz w:val="22"/>
                  <w:szCs w:val="22"/>
                  <w:u w:val="single"/>
                  <w:lang w:eastAsia="en-GB"/>
                </w:rPr>
                <w:t>F.751.0</w:t>
              </w:r>
            </w:hyperlink>
            <w:r w:rsidRPr="00F05A8A">
              <w:rPr>
                <w:sz w:val="22"/>
                <w:szCs w:val="22"/>
              </w:rPr>
              <w:t xml:space="preserve"> "Exigences pour les systèmes de registres distribués"</w:t>
            </w:r>
          </w:p>
          <w:p w14:paraId="1F38144C" w14:textId="77777777" w:rsidR="00642422" w:rsidRPr="00F05A8A" w:rsidRDefault="00642422" w:rsidP="002F075E">
            <w:pPr>
              <w:pStyle w:val="enumlev1"/>
              <w:rPr>
                <w:rFonts w:eastAsia="Calibri"/>
                <w:sz w:val="22"/>
                <w:szCs w:val="22"/>
              </w:rPr>
            </w:pPr>
            <w:r w:rsidRPr="00F05A8A">
              <w:rPr>
                <w:sz w:val="22"/>
                <w:szCs w:val="22"/>
              </w:rPr>
              <w:t>•</w:t>
            </w:r>
            <w:r w:rsidRPr="00F05A8A">
              <w:rPr>
                <w:sz w:val="22"/>
                <w:szCs w:val="22"/>
              </w:rPr>
              <w:tab/>
              <w:t>UIT</w:t>
            </w:r>
            <w:r w:rsidRPr="00F05A8A">
              <w:rPr>
                <w:rFonts w:asciiTheme="minorHAnsi" w:eastAsia="Calibri" w:hAnsiTheme="minorHAnsi" w:cstheme="minorHAnsi"/>
                <w:sz w:val="22"/>
                <w:szCs w:val="22"/>
              </w:rPr>
              <w:t xml:space="preserve">-T </w:t>
            </w:r>
            <w:hyperlink r:id="rId554" w:tgtFrame="_blank" w:history="1">
              <w:r w:rsidRPr="00F05A8A">
                <w:rPr>
                  <w:rFonts w:asciiTheme="minorHAnsi" w:hAnsiTheme="minorHAnsi" w:cstheme="minorHAnsi"/>
                  <w:color w:val="0000FF"/>
                  <w:sz w:val="22"/>
                  <w:szCs w:val="22"/>
                  <w:u w:val="single"/>
                  <w:lang w:eastAsia="en-GB"/>
                </w:rPr>
                <w:t>F.751.1</w:t>
              </w:r>
            </w:hyperlink>
            <w:r w:rsidRPr="00F05A8A">
              <w:rPr>
                <w:sz w:val="22"/>
                <w:szCs w:val="22"/>
              </w:rPr>
              <w:t xml:space="preserve"> "Critères d'évaluation pour les technologies des registres distribués"</w:t>
            </w:r>
          </w:p>
          <w:p w14:paraId="456F72A6" w14:textId="77777777" w:rsidR="00642422" w:rsidRPr="00F05A8A" w:rsidRDefault="00642422" w:rsidP="002F075E">
            <w:pPr>
              <w:pStyle w:val="enumlev1"/>
              <w:rPr>
                <w:sz w:val="22"/>
                <w:szCs w:val="22"/>
              </w:rPr>
            </w:pPr>
            <w:r w:rsidRPr="00F05A8A">
              <w:rPr>
                <w:sz w:val="22"/>
                <w:szCs w:val="22"/>
              </w:rPr>
              <w:t>•</w:t>
            </w:r>
            <w:r w:rsidRPr="00F05A8A">
              <w:rPr>
                <w:sz w:val="22"/>
                <w:szCs w:val="22"/>
              </w:rPr>
              <w:tab/>
            </w:r>
            <w:r w:rsidRPr="00F05A8A">
              <w:rPr>
                <w:rFonts w:asciiTheme="minorHAnsi" w:eastAsia="Calibri" w:hAnsiTheme="minorHAnsi" w:cstheme="minorHAnsi"/>
                <w:sz w:val="22"/>
                <w:szCs w:val="22"/>
              </w:rPr>
              <w:t xml:space="preserve">UIT-T </w:t>
            </w:r>
            <w:hyperlink r:id="rId555" w:tgtFrame="_blank" w:history="1">
              <w:r w:rsidRPr="00F05A8A">
                <w:rPr>
                  <w:rStyle w:val="Hyperlink"/>
                  <w:rFonts w:asciiTheme="minorHAnsi" w:hAnsiTheme="minorHAnsi" w:cstheme="minorHAnsi"/>
                  <w:sz w:val="22"/>
                  <w:szCs w:val="22"/>
                </w:rPr>
                <w:t>F.751.2</w:t>
              </w:r>
            </w:hyperlink>
            <w:r w:rsidRPr="00F05A8A">
              <w:rPr>
                <w:sz w:val="22"/>
                <w:szCs w:val="22"/>
              </w:rPr>
              <w:t xml:space="preserve"> "</w:t>
            </w:r>
            <w:r w:rsidRPr="00F05A8A">
              <w:rPr>
                <w:rFonts w:asciiTheme="minorHAnsi" w:eastAsia="Calibri" w:hAnsiTheme="minorHAnsi" w:cstheme="minorHAnsi"/>
                <w:sz w:val="22"/>
                <w:szCs w:val="22"/>
              </w:rPr>
              <w:t>Cadre de référence de la technologie des registres distribués"</w:t>
            </w:r>
          </w:p>
          <w:p w14:paraId="5F8E33FD" w14:textId="77777777" w:rsidR="00642422" w:rsidRPr="00F05A8A" w:rsidRDefault="00642422" w:rsidP="002F075E">
            <w:pPr>
              <w:spacing w:before="240"/>
              <w:rPr>
                <w:sz w:val="22"/>
                <w:szCs w:val="22"/>
              </w:rPr>
            </w:pPr>
            <w:r w:rsidRPr="00F05A8A">
              <w:rPr>
                <w:sz w:val="22"/>
                <w:szCs w:val="22"/>
              </w:rPr>
              <w:t xml:space="preserve">Des informations actualisées sont disponibles </w:t>
            </w:r>
            <w:hyperlink r:id="rId556" w:history="1">
              <w:r w:rsidRPr="00F05A8A">
                <w:rPr>
                  <w:rStyle w:val="Hyperlink"/>
                  <w:sz w:val="22"/>
                  <w:szCs w:val="22"/>
                </w:rPr>
                <w:t>ici</w:t>
              </w:r>
            </w:hyperlink>
            <w:r w:rsidRPr="00F05A8A">
              <w:rPr>
                <w:sz w:val="22"/>
                <w:szCs w:val="22"/>
              </w:rPr>
              <w:t>.</w:t>
            </w:r>
          </w:p>
          <w:p w14:paraId="6D6D65CC" w14:textId="77777777" w:rsidR="00642422" w:rsidRPr="00F05A8A" w:rsidRDefault="00642422" w:rsidP="002F075E">
            <w:pPr>
              <w:pStyle w:val="Headingb"/>
              <w:keepNext w:val="0"/>
              <w:keepLines w:val="0"/>
              <w:rPr>
                <w:sz w:val="22"/>
                <w:szCs w:val="22"/>
              </w:rPr>
            </w:pPr>
            <w:bookmarkStart w:id="723" w:name="_Toc95387595"/>
            <w:r w:rsidRPr="00F05A8A">
              <w:rPr>
                <w:sz w:val="22"/>
                <w:szCs w:val="22"/>
              </w:rPr>
              <w:t>Commission d'études 17 de l'UIT-T</w:t>
            </w:r>
            <w:bookmarkEnd w:id="723"/>
          </w:p>
          <w:p w14:paraId="18E72ABD" w14:textId="77777777" w:rsidR="00642422" w:rsidRPr="00F05A8A" w:rsidRDefault="00642422" w:rsidP="002F075E">
            <w:pPr>
              <w:rPr>
                <w:sz w:val="22"/>
                <w:szCs w:val="22"/>
              </w:rPr>
            </w:pPr>
            <w:r w:rsidRPr="00F05A8A">
              <w:rPr>
                <w:sz w:val="22"/>
                <w:szCs w:val="22"/>
              </w:rPr>
              <w:t>La CE 17 de l'UIT-T élabore des spécifications techniques et procédurales pour garantir que des mécanismes de gestion de la sécurité fondée sur les risques sont appliqués à toutes les phases du cycle de vie, composantes et interfaces des systèmes et services des technologies financières.</w:t>
            </w:r>
          </w:p>
          <w:p w14:paraId="775F503A" w14:textId="77777777" w:rsidR="00642422" w:rsidRPr="00F05A8A" w:rsidRDefault="00642422" w:rsidP="002F075E">
            <w:pPr>
              <w:pStyle w:val="enumlev1"/>
              <w:tabs>
                <w:tab w:val="clear" w:pos="567"/>
                <w:tab w:val="left" w:pos="0"/>
              </w:tabs>
              <w:ind w:left="33" w:hanging="33"/>
              <w:rPr>
                <w:sz w:val="22"/>
                <w:szCs w:val="22"/>
              </w:rPr>
            </w:pPr>
            <w:r w:rsidRPr="00F05A8A">
              <w:rPr>
                <w:sz w:val="22"/>
                <w:szCs w:val="22"/>
              </w:rPr>
              <w:t xml:space="preserve">La CE 17 a approuvé les Recommandations </w:t>
            </w:r>
            <w:hyperlink r:id="rId557" w:history="1">
              <w:r w:rsidRPr="00F05A8A">
                <w:rPr>
                  <w:rStyle w:val="Hyperlink"/>
                  <w:sz w:val="22"/>
                  <w:szCs w:val="22"/>
                </w:rPr>
                <w:t>UIT-T X.1149, "Cadre de sécurité d'une plate-forme ouverte pour les services des technologies financières"</w:t>
              </w:r>
            </w:hyperlink>
            <w:r w:rsidRPr="00F05A8A">
              <w:rPr>
                <w:sz w:val="22"/>
                <w:szCs w:val="22"/>
              </w:rPr>
              <w:t xml:space="preserve"> (mai 2020), et </w:t>
            </w:r>
            <w:hyperlink r:id="rId558" w:history="1">
              <w:r w:rsidRPr="00F05A8A">
                <w:rPr>
                  <w:rStyle w:val="Hyperlink"/>
                  <w:sz w:val="22"/>
                  <w:szCs w:val="22"/>
                </w:rPr>
                <w:t>UIT-T X.1405, "Menaces et exigences de sécurité pour les services de paiement numérique basés sur la technologie des registres distribués"</w:t>
              </w:r>
            </w:hyperlink>
            <w:r w:rsidRPr="00F05A8A">
              <w:rPr>
                <w:sz w:val="22"/>
                <w:szCs w:val="22"/>
              </w:rPr>
              <w:t xml:space="preserve"> (juin 2021), ainsi qu'un </w:t>
            </w:r>
            <w:hyperlink r:id="rId559" w:history="1">
              <w:r w:rsidRPr="00F05A8A">
                <w:rPr>
                  <w:rStyle w:val="Hyperlink"/>
                  <w:sz w:val="22"/>
                  <w:szCs w:val="22"/>
                </w:rPr>
                <w:t>certain nombre d'autres Recommandations dans le domaine de la sécurité de la technologie des registres distribués</w:t>
              </w:r>
            </w:hyperlink>
            <w:r w:rsidRPr="00F05A8A">
              <w:rPr>
                <w:sz w:val="22"/>
                <w:szCs w:val="22"/>
              </w:rPr>
              <w:t>.</w:t>
            </w:r>
          </w:p>
          <w:p w14:paraId="1E95AA6C" w14:textId="77777777" w:rsidR="00642422" w:rsidRPr="00F05A8A" w:rsidRDefault="00642422" w:rsidP="002F075E">
            <w:pPr>
              <w:pStyle w:val="Headingb"/>
              <w:rPr>
                <w:rFonts w:eastAsia="Calibri"/>
                <w:sz w:val="22"/>
                <w:szCs w:val="22"/>
              </w:rPr>
            </w:pPr>
            <w:bookmarkStart w:id="724" w:name="_Toc95387596"/>
            <w:r w:rsidRPr="00F05A8A">
              <w:rPr>
                <w:rFonts w:eastAsia="Calibri"/>
                <w:sz w:val="22"/>
                <w:szCs w:val="22"/>
              </w:rPr>
              <w:t>Initiative mondiale sur la monnaie numérique</w:t>
            </w:r>
            <w:bookmarkEnd w:id="724"/>
          </w:p>
          <w:p w14:paraId="6EB7B3B1" w14:textId="77777777" w:rsidR="00642422" w:rsidRPr="00F05A8A" w:rsidRDefault="00642422" w:rsidP="002F075E">
            <w:pPr>
              <w:rPr>
                <w:rFonts w:asciiTheme="minorHAnsi" w:hAnsiTheme="minorHAnsi" w:cstheme="minorHAnsi"/>
                <w:sz w:val="22"/>
                <w:szCs w:val="22"/>
                <w:lang w:eastAsia="en-GB"/>
              </w:rPr>
            </w:pPr>
            <w:r w:rsidRPr="00F05A8A">
              <w:rPr>
                <w:sz w:val="22"/>
                <w:szCs w:val="22"/>
              </w:rPr>
              <w:t>L'</w:t>
            </w:r>
            <w:hyperlink r:id="rId560" w:tgtFrame="_blank" w:history="1">
              <w:r w:rsidRPr="00F05A8A">
                <w:rPr>
                  <w:rFonts w:asciiTheme="minorHAnsi" w:hAnsiTheme="minorHAnsi" w:cstheme="minorHAnsi"/>
                  <w:color w:val="0000FF"/>
                  <w:sz w:val="22"/>
                  <w:szCs w:val="22"/>
                  <w:u w:val="single"/>
                  <w:lang w:eastAsia="en-GB"/>
                </w:rPr>
                <w:t>initiative mondiale sur la monnaie numérique</w:t>
              </w:r>
            </w:hyperlink>
            <w:r w:rsidRPr="00F05A8A">
              <w:rPr>
                <w:rFonts w:asciiTheme="minorHAnsi" w:hAnsiTheme="minorHAnsi" w:cstheme="minorHAnsi"/>
                <w:sz w:val="22"/>
                <w:szCs w:val="22"/>
                <w:lang w:eastAsia="en-GB"/>
              </w:rPr>
              <w:t xml:space="preserve"> est une collaboration entre l'UIT et l'Université de Stanford, a vu le jour en juillet 2020.</w:t>
            </w:r>
            <w:r w:rsidRPr="00F05A8A">
              <w:rPr>
                <w:rFonts w:asciiTheme="minorHAnsi" w:eastAsiaTheme="minorHAnsi" w:hAnsiTheme="minorHAnsi" w:cstheme="minorHAnsi"/>
                <w:sz w:val="22"/>
                <w:szCs w:val="22"/>
                <w:lang w:eastAsia="en-GB"/>
              </w:rPr>
              <w:t xml:space="preserve"> Ses principaux objectifs sont les suivants:</w:t>
            </w:r>
          </w:p>
          <w:p w14:paraId="187591ED" w14:textId="77777777" w:rsidR="00642422" w:rsidRPr="00F05A8A" w:rsidRDefault="00642422" w:rsidP="002F075E">
            <w:pPr>
              <w:pStyle w:val="enumlev1"/>
              <w:rPr>
                <w:rFonts w:eastAsia="PMingLiU"/>
                <w:sz w:val="22"/>
                <w:szCs w:val="22"/>
                <w:lang w:eastAsia="en-GB"/>
              </w:rPr>
            </w:pPr>
            <w:r w:rsidRPr="00F05A8A">
              <w:rPr>
                <w:rFonts w:eastAsia="PMingLiU"/>
                <w:sz w:val="22"/>
                <w:szCs w:val="22"/>
                <w:lang w:eastAsia="en-GB"/>
              </w:rPr>
              <w:t>–</w:t>
            </w:r>
            <w:r w:rsidRPr="00F05A8A">
              <w:rPr>
                <w:rFonts w:eastAsia="PMingLiU"/>
                <w:sz w:val="22"/>
                <w:szCs w:val="22"/>
                <w:lang w:eastAsia="en-GB"/>
              </w:rPr>
              <w:tab/>
              <w:t>Étudier davantage l'architecture technique, la sécurité, les incidences techniques et les difficultés liés au déploiement résultant des spécifications réglementaires et politiques concernant la monnaie numérique de banque centrale et d'autres monnaies numériques.</w:t>
            </w:r>
          </w:p>
          <w:p w14:paraId="716BF80D" w14:textId="77777777" w:rsidR="00642422" w:rsidRPr="00F05A8A" w:rsidRDefault="00642422" w:rsidP="002F075E">
            <w:pPr>
              <w:pStyle w:val="enumlev1"/>
              <w:rPr>
                <w:rFonts w:eastAsia="PMingLiU"/>
                <w:sz w:val="22"/>
                <w:szCs w:val="22"/>
                <w:lang w:eastAsia="en-GB"/>
              </w:rPr>
            </w:pPr>
            <w:r w:rsidRPr="00F05A8A">
              <w:rPr>
                <w:rFonts w:eastAsia="PMingLiU"/>
                <w:sz w:val="22"/>
                <w:szCs w:val="22"/>
                <w:lang w:eastAsia="en-GB"/>
              </w:rPr>
              <w:t>–</w:t>
            </w:r>
            <w:r w:rsidRPr="00F05A8A">
              <w:rPr>
                <w:rFonts w:eastAsia="PMingLiU"/>
                <w:sz w:val="22"/>
                <w:szCs w:val="22"/>
                <w:lang w:eastAsia="en-GB"/>
              </w:rPr>
              <w:tab/>
              <w:t>Mettre au point un ensemble de paramètres permettant d'évaluer la robustesse de diverses technologies relatives à la monnaie numérique à l'aune de critères définis par différentes parties prenantes.</w:t>
            </w:r>
          </w:p>
          <w:p w14:paraId="56180B73" w14:textId="77777777" w:rsidR="00642422" w:rsidRPr="00F05A8A" w:rsidRDefault="00642422" w:rsidP="002F075E">
            <w:pPr>
              <w:pStyle w:val="enumlev1"/>
              <w:rPr>
                <w:rFonts w:eastAsia="PMingLiU"/>
                <w:sz w:val="22"/>
                <w:szCs w:val="22"/>
                <w:lang w:eastAsia="en-GB"/>
              </w:rPr>
            </w:pPr>
            <w:r w:rsidRPr="00F05A8A">
              <w:rPr>
                <w:rFonts w:eastAsia="PMingLiU"/>
                <w:sz w:val="22"/>
                <w:szCs w:val="22"/>
                <w:lang w:eastAsia="en-GB"/>
              </w:rPr>
              <w:t>–</w:t>
            </w:r>
            <w:r w:rsidRPr="00F05A8A">
              <w:rPr>
                <w:rFonts w:eastAsia="PMingLiU"/>
                <w:sz w:val="22"/>
                <w:szCs w:val="22"/>
                <w:lang w:eastAsia="en-GB"/>
              </w:rPr>
              <w:tab/>
              <w:t>Déterminer les domaines à normaliser pour que la monnaie numérique puisse être mise en œuvre.</w:t>
            </w:r>
          </w:p>
          <w:p w14:paraId="737C1703" w14:textId="77777777" w:rsidR="00642422" w:rsidRPr="00F05A8A" w:rsidRDefault="00642422" w:rsidP="002F075E">
            <w:pPr>
              <w:pStyle w:val="enumlev1"/>
              <w:rPr>
                <w:rFonts w:eastAsia="PMingLiU"/>
                <w:sz w:val="22"/>
                <w:szCs w:val="22"/>
                <w:lang w:eastAsia="en-GB"/>
              </w:rPr>
            </w:pPr>
            <w:r w:rsidRPr="00F05A8A">
              <w:rPr>
                <w:rFonts w:eastAsia="PMingLiU"/>
                <w:sz w:val="22"/>
                <w:szCs w:val="22"/>
                <w:lang w:eastAsia="en-GB"/>
              </w:rPr>
              <w:t>–</w:t>
            </w:r>
            <w:r w:rsidRPr="00F05A8A">
              <w:rPr>
                <w:rFonts w:eastAsia="PMingLiU"/>
                <w:sz w:val="22"/>
                <w:szCs w:val="22"/>
                <w:lang w:eastAsia="en-GB"/>
              </w:rPr>
              <w:tab/>
              <w:t>Organiser chaque année une conférence pour échanger des informations sur les bonnes pratiques, les normes techniques et les enseignements tirés concernant la mise en œuvre de la monnaie numérique.</w:t>
            </w:r>
          </w:p>
          <w:p w14:paraId="7A8BBEEE" w14:textId="77777777" w:rsidR="00642422" w:rsidRPr="00F05A8A" w:rsidRDefault="00642422" w:rsidP="002F075E">
            <w:pPr>
              <w:rPr>
                <w:sz w:val="22"/>
                <w:szCs w:val="22"/>
                <w:lang w:eastAsia="en-GB"/>
              </w:rPr>
            </w:pPr>
            <w:r w:rsidRPr="00F05A8A">
              <w:rPr>
                <w:sz w:val="22"/>
                <w:szCs w:val="22"/>
                <w:lang w:eastAsia="en-GB"/>
              </w:rPr>
              <w:t>Les activités menées dans le cadre de cette initiative portent sur trois principaux piliers: mobilisation, utilisation innovante et normalisation. Trois groupes de travail ont été créés dans le cadre du pilier "Normalisation" durant la première réunion:</w:t>
            </w:r>
          </w:p>
          <w:p w14:paraId="5E289F94" w14:textId="77777777" w:rsidR="00642422" w:rsidRPr="00F05A8A" w:rsidRDefault="00642422" w:rsidP="002F075E">
            <w:pPr>
              <w:pStyle w:val="enumlev1"/>
              <w:rPr>
                <w:sz w:val="22"/>
                <w:szCs w:val="22"/>
                <w:lang w:eastAsia="en-GB"/>
              </w:rPr>
            </w:pPr>
            <w:r w:rsidRPr="00F05A8A">
              <w:rPr>
                <w:rFonts w:eastAsia="PMingLiU"/>
                <w:sz w:val="22"/>
                <w:szCs w:val="22"/>
                <w:lang w:eastAsia="en-GB"/>
              </w:rPr>
              <w:t>–</w:t>
            </w:r>
            <w:r w:rsidRPr="00F05A8A">
              <w:rPr>
                <w:rFonts w:eastAsia="PMingLiU"/>
                <w:sz w:val="22"/>
                <w:szCs w:val="22"/>
                <w:lang w:eastAsia="en-GB"/>
              </w:rPr>
              <w:tab/>
              <w:t>Architecture, exigences en matière d'interopérabilité et cas d'utilisation (AIRU)</w:t>
            </w:r>
          </w:p>
          <w:p w14:paraId="577ED8FD" w14:textId="77777777" w:rsidR="00642422" w:rsidRPr="00F05A8A" w:rsidRDefault="00642422" w:rsidP="002F075E">
            <w:pPr>
              <w:pStyle w:val="enumlev1"/>
              <w:rPr>
                <w:rFonts w:eastAsia="PMingLiU"/>
                <w:sz w:val="22"/>
                <w:szCs w:val="22"/>
                <w:lang w:eastAsia="en-GB"/>
              </w:rPr>
            </w:pPr>
            <w:r w:rsidRPr="00F05A8A">
              <w:rPr>
                <w:rFonts w:eastAsia="PMingLiU"/>
                <w:sz w:val="22"/>
                <w:szCs w:val="22"/>
                <w:lang w:eastAsia="en-GB"/>
              </w:rPr>
              <w:lastRenderedPageBreak/>
              <w:t>–</w:t>
            </w:r>
            <w:r w:rsidRPr="00F05A8A">
              <w:rPr>
                <w:rFonts w:eastAsia="PMingLiU"/>
                <w:sz w:val="22"/>
                <w:szCs w:val="22"/>
                <w:lang w:eastAsia="en-GB"/>
              </w:rPr>
              <w:tab/>
              <w:t>Politique générale et gouvernance</w:t>
            </w:r>
          </w:p>
          <w:p w14:paraId="38575527" w14:textId="77777777" w:rsidR="00642422" w:rsidRPr="00F05A8A" w:rsidRDefault="00642422" w:rsidP="002F075E">
            <w:pPr>
              <w:pStyle w:val="enumlev1"/>
              <w:rPr>
                <w:rFonts w:eastAsia="PMingLiU"/>
                <w:sz w:val="22"/>
                <w:szCs w:val="22"/>
                <w:lang w:eastAsia="en-GB"/>
              </w:rPr>
            </w:pPr>
            <w:r w:rsidRPr="00F05A8A">
              <w:rPr>
                <w:rFonts w:eastAsia="PMingLiU"/>
                <w:sz w:val="22"/>
                <w:szCs w:val="22"/>
                <w:lang w:eastAsia="en-GB"/>
              </w:rPr>
              <w:t>–</w:t>
            </w:r>
            <w:r w:rsidRPr="00F05A8A">
              <w:rPr>
                <w:rFonts w:eastAsia="PMingLiU"/>
                <w:sz w:val="22"/>
                <w:szCs w:val="22"/>
                <w:lang w:eastAsia="en-GB"/>
              </w:rPr>
              <w:tab/>
              <w:t>Sécurité et assurance</w:t>
            </w:r>
          </w:p>
          <w:p w14:paraId="096A7A96" w14:textId="77777777" w:rsidR="00642422" w:rsidRPr="00F05A8A" w:rsidRDefault="00642422" w:rsidP="002F075E">
            <w:pPr>
              <w:rPr>
                <w:rFonts w:asciiTheme="minorHAnsi" w:hAnsiTheme="minorHAnsi" w:cstheme="minorHAnsi"/>
                <w:sz w:val="22"/>
                <w:szCs w:val="22"/>
                <w:lang w:eastAsia="en-GB"/>
              </w:rPr>
            </w:pPr>
            <w:r w:rsidRPr="00F05A8A">
              <w:rPr>
                <w:rFonts w:asciiTheme="minorHAnsi" w:hAnsiTheme="minorHAnsi" w:cstheme="minorHAnsi"/>
                <w:sz w:val="22"/>
                <w:szCs w:val="22"/>
                <w:lang w:eastAsia="en-GB"/>
              </w:rPr>
              <w:t>La première réunion électronique dans le cadre de l'initiative a été organisée en juillet 2020 et quelques 30 réunions virtuelles ont été organisées dans le cadre des divers groupes de travail et axes de travail de juillet 2020 à novembre 2021.</w:t>
            </w:r>
          </w:p>
          <w:p w14:paraId="54ED6F8F" w14:textId="77777777" w:rsidR="00642422" w:rsidRPr="00F05A8A" w:rsidRDefault="00642422" w:rsidP="002F075E">
            <w:pPr>
              <w:pStyle w:val="Headingb"/>
              <w:spacing w:before="120"/>
              <w:ind w:left="0" w:firstLine="0"/>
              <w:rPr>
                <w:sz w:val="22"/>
                <w:szCs w:val="22"/>
              </w:rPr>
            </w:pPr>
            <w:bookmarkStart w:id="725" w:name="_Toc72845172"/>
            <w:bookmarkStart w:id="726" w:name="_Toc72846496"/>
            <w:bookmarkStart w:id="727" w:name="_Toc72846746"/>
            <w:bookmarkStart w:id="728" w:name="_Toc95387597"/>
            <w:r w:rsidRPr="00F05A8A">
              <w:rPr>
                <w:sz w:val="22"/>
                <w:szCs w:val="22"/>
              </w:rPr>
              <w:t>Série de webinaires consacrés aux services financiers numériques pendant l'épidémie de COVID-19</w:t>
            </w:r>
            <w:bookmarkEnd w:id="725"/>
            <w:bookmarkEnd w:id="726"/>
            <w:bookmarkEnd w:id="727"/>
            <w:bookmarkEnd w:id="728"/>
          </w:p>
          <w:p w14:paraId="33DD9B17" w14:textId="77777777" w:rsidR="00642422" w:rsidRPr="00F05A8A" w:rsidRDefault="00642422" w:rsidP="002F075E">
            <w:pPr>
              <w:rPr>
                <w:sz w:val="22"/>
                <w:szCs w:val="22"/>
              </w:rPr>
            </w:pPr>
            <w:r w:rsidRPr="00F05A8A">
              <w:rPr>
                <w:bCs/>
                <w:sz w:val="22"/>
                <w:szCs w:val="22"/>
              </w:rPr>
              <w:t xml:space="preserve">Le TSB a organisée une série de webinaires consacrés aux </w:t>
            </w:r>
            <w:hyperlink r:id="rId561" w:history="1">
              <w:r w:rsidRPr="00F05A8A">
                <w:rPr>
                  <w:rStyle w:val="Hyperlink"/>
                  <w:bCs/>
                  <w:sz w:val="22"/>
                  <w:szCs w:val="22"/>
                </w:rPr>
                <w:t>services financiers numériques</w:t>
              </w:r>
            </w:hyperlink>
            <w:r w:rsidRPr="00F05A8A">
              <w:rPr>
                <w:sz w:val="22"/>
                <w:szCs w:val="22"/>
              </w:rPr>
              <w:t xml:space="preserve"> (12 webinaires, de mai à décembre 2020)</w:t>
            </w:r>
            <w:r w:rsidRPr="00F05A8A">
              <w:rPr>
                <w:bCs/>
                <w:sz w:val="22"/>
                <w:szCs w:val="22"/>
              </w:rPr>
              <w:t>, dans le but de se pencher sur les applications innovantes des services de télécommunication, les paiements numériques et les technologies financières, propres à permettre de relever les défis liés à la distanciation sociale et aux confinements, dont la pandémie de COVID-19 est à l'origine, et de partager les enseignements tirés.</w:t>
            </w:r>
          </w:p>
          <w:p w14:paraId="57938889" w14:textId="77777777" w:rsidR="00642422" w:rsidRPr="00F05A8A" w:rsidRDefault="00642422" w:rsidP="002F075E">
            <w:pPr>
              <w:pStyle w:val="Headingb"/>
              <w:spacing w:before="120"/>
              <w:rPr>
                <w:sz w:val="22"/>
                <w:szCs w:val="22"/>
              </w:rPr>
            </w:pPr>
            <w:bookmarkStart w:id="729" w:name="_Toc41032150"/>
            <w:bookmarkStart w:id="730" w:name="_Toc72845173"/>
            <w:bookmarkStart w:id="731" w:name="_Toc72846497"/>
            <w:bookmarkStart w:id="732" w:name="_Toc72846747"/>
            <w:bookmarkStart w:id="733" w:name="_Toc95387598"/>
            <w:r w:rsidRPr="00F05A8A">
              <w:rPr>
                <w:sz w:val="22"/>
                <w:szCs w:val="22"/>
              </w:rPr>
              <w:t>Programme de l'UIT-D relatif au cadre politique et réglementaire</w:t>
            </w:r>
            <w:bookmarkEnd w:id="729"/>
            <w:bookmarkEnd w:id="730"/>
            <w:bookmarkEnd w:id="731"/>
            <w:bookmarkEnd w:id="732"/>
            <w:bookmarkEnd w:id="733"/>
          </w:p>
          <w:p w14:paraId="51E9DF0A" w14:textId="77777777" w:rsidR="00642422" w:rsidRPr="00F05A8A" w:rsidRDefault="00642422" w:rsidP="002F075E">
            <w:pPr>
              <w:rPr>
                <w:sz w:val="22"/>
                <w:szCs w:val="22"/>
              </w:rPr>
            </w:pPr>
            <w:r w:rsidRPr="00F05A8A">
              <w:rPr>
                <w:sz w:val="22"/>
                <w:szCs w:val="22"/>
              </w:rPr>
              <w:t>L'UIT-D fournit aux pays une assistance visant à renforcer leurs capacités et à les orienter dans le domaine de l'inclusion financière numérique, en se concentrant notamment sur l'utilisation des TIC au service de l'inclusion financière numérique.</w:t>
            </w:r>
          </w:p>
          <w:p w14:paraId="141E525C" w14:textId="77777777" w:rsidR="00642422" w:rsidRPr="00F05A8A" w:rsidRDefault="00642422" w:rsidP="002F075E">
            <w:pPr>
              <w:spacing w:after="120"/>
              <w:rPr>
                <w:sz w:val="22"/>
                <w:szCs w:val="22"/>
              </w:rPr>
            </w:pPr>
            <w:r w:rsidRPr="00F05A8A">
              <w:rPr>
                <w:sz w:val="22"/>
                <w:szCs w:val="22"/>
              </w:rPr>
              <w:t xml:space="preserve">Le Dialogue mondial sur l'inclusion financière numérique, lancé pendant le Colloque mondial des régulateurs en 2016, s'inscrit dans le cadre des activités de l'UIT pour encourager et renforcer la réglementation collaborative entre les régulateurs du secteur des TIC et les régulateurs des autres secteurs en étant axé sur le secteur financier. Le Dialogue a rassemblé des régulateurs du secteur des télécommunications/TIC et du secteur financier du monde entier afin d'instaurer un dialogue mondial constructif sur des questions d'actualité intéressant les parties prenantes des deux secteurs. Les participants au Dialogue mondial sur l'inclusion financière numérique ont défini des mesures indicatives politiques, réglementaires et économiques concertées, afin de faire progresser l'inclusion financière numérique en établissant des synergies à l'échelle nationale, régionale et internationale (les mesures sont disponibles </w:t>
            </w:r>
            <w:hyperlink r:id="rId562" w:history="1">
              <w:r w:rsidRPr="00F05A8A">
                <w:rPr>
                  <w:rStyle w:val="Hyperlink"/>
                  <w:sz w:val="22"/>
                  <w:szCs w:val="22"/>
                </w:rPr>
                <w:t>ici</w:t>
              </w:r>
            </w:hyperlink>
            <w:r w:rsidRPr="00F05A8A">
              <w:rPr>
                <w:sz w:val="22"/>
                <w:szCs w:val="22"/>
              </w:rPr>
              <w:t xml:space="preserve"> et le rapport </w:t>
            </w:r>
            <w:hyperlink r:id="rId563" w:history="1">
              <w:r w:rsidRPr="00F05A8A">
                <w:rPr>
                  <w:rStyle w:val="Hyperlink"/>
                  <w:sz w:val="22"/>
                  <w:szCs w:val="22"/>
                </w:rPr>
                <w:t>ici</w:t>
              </w:r>
            </w:hyperlink>
            <w:r w:rsidRPr="00F05A8A">
              <w:rPr>
                <w:sz w:val="22"/>
                <w:szCs w:val="22"/>
              </w:rPr>
              <w:t>).</w:t>
            </w:r>
          </w:p>
        </w:tc>
      </w:tr>
      <w:tr w:rsidR="00642422" w:rsidRPr="00F05A8A" w14:paraId="23C46871" w14:textId="77777777" w:rsidTr="00142C01">
        <w:tc>
          <w:tcPr>
            <w:tcW w:w="10065" w:type="dxa"/>
          </w:tcPr>
          <w:p w14:paraId="5609E19D" w14:textId="565B2312" w:rsidR="00642422" w:rsidRPr="00F05A8A" w:rsidRDefault="00714B63" w:rsidP="002F075E">
            <w:pPr>
              <w:spacing w:after="60"/>
              <w:rPr>
                <w:rFonts w:eastAsia="Calibri"/>
                <w:b/>
                <w:sz w:val="22"/>
              </w:rPr>
            </w:pPr>
            <w:r w:rsidRPr="00F05A8A">
              <w:rPr>
                <w:rFonts w:eastAsia="Calibri"/>
                <w:b/>
                <w:sz w:val="22"/>
              </w:rPr>
              <w:lastRenderedPageBreak/>
              <w:t xml:space="preserve">Résolution </w:t>
            </w:r>
            <w:r w:rsidR="00642422" w:rsidRPr="00F05A8A">
              <w:rPr>
                <w:rFonts w:eastAsia="Calibri"/>
                <w:b/>
                <w:sz w:val="22"/>
              </w:rPr>
              <w:t xml:space="preserve">205 (Dubaï, 2018) </w:t>
            </w:r>
            <w:r w:rsidRPr="00F05A8A">
              <w:rPr>
                <w:b/>
                <w:sz w:val="22"/>
                <w:szCs w:val="22"/>
              </w:rPr>
              <w:t>–</w:t>
            </w:r>
            <w:r w:rsidRPr="00F05A8A">
              <w:rPr>
                <w:sz w:val="22"/>
                <w:szCs w:val="22"/>
              </w:rPr>
              <w:t xml:space="preserve"> </w:t>
            </w:r>
            <w:r w:rsidR="00642422" w:rsidRPr="00F05A8A">
              <w:rPr>
                <w:b/>
                <w:bCs/>
                <w:color w:val="000000"/>
                <w:sz w:val="22"/>
              </w:rPr>
              <w:t>Rôle de l'UIT dans la promotion d'une innovation centrée sur les télécommunications/technologies de l'information et de la communication pour appuyer l'économie et la société numériques</w:t>
            </w:r>
          </w:p>
          <w:p w14:paraId="3B6EC690" w14:textId="08376614" w:rsidR="005062E3" w:rsidRPr="00F05A8A" w:rsidRDefault="00BE74E0" w:rsidP="00A31F58">
            <w:pPr>
              <w:pStyle w:val="Headingb"/>
              <w:keepNext w:val="0"/>
              <w:keepLines w:val="0"/>
              <w:tabs>
                <w:tab w:val="clear" w:pos="567"/>
              </w:tabs>
              <w:spacing w:before="120" w:after="120"/>
              <w:ind w:left="0" w:firstLine="0"/>
              <w:rPr>
                <w:rFonts w:eastAsia="Calibri"/>
                <w:b w:val="0"/>
                <w:bCs/>
                <w:color w:val="000000" w:themeColor="text1"/>
                <w:sz w:val="22"/>
                <w:szCs w:val="22"/>
              </w:rPr>
            </w:pPr>
            <w:r w:rsidRPr="00F05A8A">
              <w:rPr>
                <w:rFonts w:eastAsia="Calibri"/>
                <w:b w:val="0"/>
                <w:bCs/>
                <w:color w:val="000000" w:themeColor="text1"/>
                <w:sz w:val="22"/>
                <w:szCs w:val="22"/>
              </w:rPr>
              <w:t xml:space="preserve">L'appui fourni dans ce domaine consiste notamment à organiser les Forums mondiaux de l'innovation et les défis de l'innovation, à fournir une assistance technique au sein des écosystèmes des pays en développement et à </w:t>
            </w:r>
            <w:r w:rsidR="00AF5271" w:rsidRPr="00F05A8A">
              <w:rPr>
                <w:rFonts w:eastAsia="Calibri"/>
                <w:b w:val="0"/>
                <w:bCs/>
                <w:color w:val="000000" w:themeColor="text1"/>
                <w:sz w:val="22"/>
                <w:szCs w:val="22"/>
              </w:rPr>
              <w:t>proposer</w:t>
            </w:r>
            <w:r w:rsidR="00597D3C" w:rsidRPr="00F05A8A">
              <w:rPr>
                <w:rFonts w:eastAsia="Calibri"/>
                <w:b w:val="0"/>
                <w:bCs/>
                <w:color w:val="000000" w:themeColor="text1"/>
                <w:sz w:val="22"/>
                <w:szCs w:val="22"/>
              </w:rPr>
              <w:t xml:space="preserve"> des initiatives pour le renforcement des capacités aux niveaux national et international, par le biais de différents cours et de sessions de création collaborative, entre autres</w:t>
            </w:r>
            <w:r w:rsidR="0073738C" w:rsidRPr="00F05A8A">
              <w:rPr>
                <w:rFonts w:eastAsia="Calibri"/>
                <w:b w:val="0"/>
                <w:bCs/>
                <w:color w:val="000000" w:themeColor="text1"/>
                <w:sz w:val="22"/>
                <w:szCs w:val="22"/>
              </w:rPr>
              <w:t xml:space="preserve">. </w:t>
            </w:r>
            <w:r w:rsidR="005062E3" w:rsidRPr="00F05A8A">
              <w:rPr>
                <w:rFonts w:eastAsia="Calibri"/>
                <w:b w:val="0"/>
                <w:sz w:val="22"/>
                <w:szCs w:val="22"/>
              </w:rPr>
              <w:t xml:space="preserve">En outre, </w:t>
            </w:r>
            <w:r w:rsidR="009B14A1" w:rsidRPr="00F05A8A">
              <w:rPr>
                <w:rFonts w:eastAsia="Calibri"/>
                <w:b w:val="0"/>
                <w:sz w:val="22"/>
                <w:szCs w:val="22"/>
              </w:rPr>
              <w:t xml:space="preserve">plusieurs projets ont été </w:t>
            </w:r>
            <w:r w:rsidR="008406A7" w:rsidRPr="00F05A8A">
              <w:rPr>
                <w:rFonts w:eastAsia="Calibri"/>
                <w:b w:val="0"/>
                <w:sz w:val="22"/>
                <w:szCs w:val="22"/>
              </w:rPr>
              <w:t>lancés</w:t>
            </w:r>
            <w:r w:rsidR="009B14A1" w:rsidRPr="00F05A8A">
              <w:rPr>
                <w:rFonts w:eastAsia="Calibri"/>
                <w:b w:val="0"/>
                <w:sz w:val="22"/>
                <w:szCs w:val="22"/>
              </w:rPr>
              <w:t xml:space="preserve"> conjointement avec </w:t>
            </w:r>
            <w:r w:rsidR="008406A7" w:rsidRPr="00F05A8A">
              <w:rPr>
                <w:rFonts w:eastAsia="Calibri"/>
                <w:b w:val="0"/>
                <w:sz w:val="22"/>
                <w:szCs w:val="22"/>
              </w:rPr>
              <w:t xml:space="preserve">des partenaires du </w:t>
            </w:r>
            <w:r w:rsidR="00BA04F1" w:rsidRPr="00F05A8A">
              <w:rPr>
                <w:rFonts w:eastAsia="Calibri"/>
                <w:b w:val="0"/>
                <w:sz w:val="22"/>
                <w:szCs w:val="22"/>
              </w:rPr>
              <w:t>système</w:t>
            </w:r>
            <w:r w:rsidR="008406A7" w:rsidRPr="00F05A8A">
              <w:rPr>
                <w:rFonts w:eastAsia="Calibri"/>
                <w:b w:val="0"/>
                <w:sz w:val="22"/>
                <w:szCs w:val="22"/>
              </w:rPr>
              <w:t xml:space="preserve"> des Natio</w:t>
            </w:r>
            <w:r w:rsidR="00BA04F1" w:rsidRPr="00F05A8A">
              <w:rPr>
                <w:rFonts w:eastAsia="Calibri"/>
                <w:b w:val="0"/>
                <w:sz w:val="22"/>
                <w:szCs w:val="22"/>
              </w:rPr>
              <w:t>ns Unies</w:t>
            </w:r>
            <w:r w:rsidR="00EA1235" w:rsidRPr="00F05A8A">
              <w:rPr>
                <w:rFonts w:eastAsia="Calibri"/>
                <w:b w:val="0"/>
                <w:sz w:val="22"/>
                <w:szCs w:val="22"/>
              </w:rPr>
              <w:t>,</w:t>
            </w:r>
            <w:r w:rsidR="00BA04F1" w:rsidRPr="00F05A8A">
              <w:rPr>
                <w:rFonts w:eastAsia="Calibri"/>
                <w:b w:val="0"/>
                <w:sz w:val="22"/>
                <w:szCs w:val="22"/>
              </w:rPr>
              <w:t xml:space="preserve"> en vue de collaborer sur ce sujet, notamment avec le Fonds des Nations Unies (UNFPA)</w:t>
            </w:r>
            <w:r w:rsidR="00CF5980" w:rsidRPr="00F05A8A">
              <w:rPr>
                <w:rFonts w:eastAsia="Calibri"/>
                <w:b w:val="0"/>
                <w:sz w:val="22"/>
                <w:szCs w:val="22"/>
              </w:rPr>
              <w:t>,</w:t>
            </w:r>
            <w:r w:rsidR="003D1B4D" w:rsidRPr="00F05A8A">
              <w:rPr>
                <w:rFonts w:eastAsia="Calibri"/>
                <w:b w:val="0"/>
                <w:sz w:val="22"/>
                <w:szCs w:val="22"/>
              </w:rPr>
              <w:t xml:space="preserve"> </w:t>
            </w:r>
            <w:r w:rsidR="00BA04F1" w:rsidRPr="00F05A8A">
              <w:rPr>
                <w:rFonts w:eastAsia="Calibri"/>
                <w:b w:val="0"/>
                <w:sz w:val="22"/>
                <w:szCs w:val="22"/>
              </w:rPr>
              <w:t xml:space="preserve">en vue </w:t>
            </w:r>
            <w:r w:rsidR="00EA1235" w:rsidRPr="00F05A8A">
              <w:rPr>
                <w:rFonts w:eastAsia="Calibri"/>
                <w:b w:val="0"/>
                <w:sz w:val="22"/>
                <w:szCs w:val="22"/>
              </w:rPr>
              <w:t>d</w:t>
            </w:r>
            <w:r w:rsidR="00CF5980" w:rsidRPr="00F05A8A">
              <w:rPr>
                <w:rFonts w:eastAsia="Calibri"/>
                <w:b w:val="0"/>
                <w:sz w:val="22"/>
                <w:szCs w:val="22"/>
              </w:rPr>
              <w:t>'</w:t>
            </w:r>
            <w:r w:rsidR="00EA1235" w:rsidRPr="00F05A8A">
              <w:rPr>
                <w:rFonts w:eastAsia="Calibri"/>
                <w:b w:val="0"/>
                <w:sz w:val="22"/>
                <w:szCs w:val="22"/>
              </w:rPr>
              <w:t>atteindre</w:t>
            </w:r>
            <w:r w:rsidR="00CF5980" w:rsidRPr="00F05A8A">
              <w:rPr>
                <w:rFonts w:eastAsia="Calibri"/>
                <w:b w:val="0"/>
                <w:sz w:val="22"/>
                <w:szCs w:val="22"/>
              </w:rPr>
              <w:t xml:space="preserve"> </w:t>
            </w:r>
            <w:r w:rsidR="00BA04F1" w:rsidRPr="00F05A8A">
              <w:rPr>
                <w:rFonts w:eastAsia="Calibri"/>
                <w:b w:val="0"/>
                <w:sz w:val="22"/>
                <w:szCs w:val="22"/>
              </w:rPr>
              <w:t>les ODD 3, 5 et 17</w:t>
            </w:r>
            <w:r w:rsidR="00EA1235" w:rsidRPr="00F05A8A">
              <w:rPr>
                <w:rFonts w:eastAsia="Calibri"/>
                <w:b w:val="0"/>
                <w:sz w:val="22"/>
                <w:szCs w:val="22"/>
              </w:rPr>
              <w:t>,</w:t>
            </w:r>
            <w:r w:rsidR="00BA04F1" w:rsidRPr="00F05A8A">
              <w:rPr>
                <w:rFonts w:eastAsia="Calibri"/>
                <w:b w:val="0"/>
                <w:sz w:val="22"/>
                <w:szCs w:val="22"/>
              </w:rPr>
              <w:t xml:space="preserve"> et avec le Bureau des Nations Unies pour la coopération Sud-Sud</w:t>
            </w:r>
            <w:r w:rsidR="00EA1235" w:rsidRPr="00F05A8A">
              <w:rPr>
                <w:rFonts w:eastAsia="Calibri"/>
                <w:b w:val="0"/>
                <w:sz w:val="22"/>
                <w:szCs w:val="22"/>
              </w:rPr>
              <w:t>,</w:t>
            </w:r>
            <w:r w:rsidR="00BA04F1" w:rsidRPr="00F05A8A">
              <w:rPr>
                <w:rFonts w:eastAsia="Calibri"/>
                <w:b w:val="0"/>
                <w:sz w:val="22"/>
                <w:szCs w:val="22"/>
              </w:rPr>
              <w:t xml:space="preserve"> en vue d'appliquer à grande échelle le "Défi de l'innovation numérique – les pays du Sud à l'épreuve du COVID-19". </w:t>
            </w:r>
            <w:r w:rsidR="00F049D0" w:rsidRPr="00F05A8A">
              <w:rPr>
                <w:rFonts w:eastAsia="Calibri"/>
                <w:b w:val="0"/>
                <w:sz w:val="22"/>
                <w:szCs w:val="22"/>
              </w:rPr>
              <w:t xml:space="preserve">D'autres projets </w:t>
            </w:r>
            <w:r w:rsidR="00D93B27" w:rsidRPr="00F05A8A">
              <w:rPr>
                <w:rFonts w:eastAsia="Calibri"/>
                <w:b w:val="0"/>
                <w:sz w:val="22"/>
                <w:szCs w:val="22"/>
              </w:rPr>
              <w:t xml:space="preserve">mis en œuvre avec </w:t>
            </w:r>
            <w:r w:rsidR="00F049D0" w:rsidRPr="00F05A8A">
              <w:rPr>
                <w:rFonts w:eastAsia="Calibri"/>
                <w:b w:val="0"/>
                <w:sz w:val="22"/>
                <w:szCs w:val="22"/>
              </w:rPr>
              <w:t>de</w:t>
            </w:r>
            <w:r w:rsidR="00D93B27" w:rsidRPr="00F05A8A">
              <w:rPr>
                <w:rFonts w:eastAsia="Calibri"/>
                <w:b w:val="0"/>
                <w:sz w:val="22"/>
                <w:szCs w:val="22"/>
              </w:rPr>
              <w:t>s</w:t>
            </w:r>
            <w:r w:rsidR="00F049D0" w:rsidRPr="00F05A8A">
              <w:rPr>
                <w:rFonts w:eastAsia="Calibri"/>
                <w:b w:val="0"/>
                <w:sz w:val="22"/>
                <w:szCs w:val="22"/>
              </w:rPr>
              <w:t xml:space="preserve"> pays, </w:t>
            </w:r>
            <w:r w:rsidR="00D93B27" w:rsidRPr="00F05A8A">
              <w:rPr>
                <w:rFonts w:eastAsia="Calibri"/>
                <w:b w:val="0"/>
                <w:sz w:val="22"/>
                <w:szCs w:val="22"/>
              </w:rPr>
              <w:t>par exemple</w:t>
            </w:r>
            <w:r w:rsidR="00CF5980" w:rsidRPr="00F05A8A">
              <w:rPr>
                <w:rFonts w:eastAsia="Calibri"/>
                <w:b w:val="0"/>
                <w:sz w:val="22"/>
                <w:szCs w:val="22"/>
              </w:rPr>
              <w:t xml:space="preserve"> </w:t>
            </w:r>
            <w:r w:rsidR="00E3285D" w:rsidRPr="00F05A8A">
              <w:rPr>
                <w:rFonts w:eastAsia="Calibri"/>
                <w:b w:val="0"/>
                <w:sz w:val="22"/>
                <w:szCs w:val="22"/>
              </w:rPr>
              <w:t>la République sudafricaine, prévoien</w:t>
            </w:r>
            <w:r w:rsidR="008B50F8" w:rsidRPr="00F05A8A">
              <w:rPr>
                <w:rFonts w:eastAsia="Calibri"/>
                <w:b w:val="0"/>
                <w:sz w:val="22"/>
                <w:szCs w:val="22"/>
              </w:rPr>
              <w:t xml:space="preserve">t l'échange de connaissances </w:t>
            </w:r>
            <w:r w:rsidR="00410F52" w:rsidRPr="00F05A8A">
              <w:rPr>
                <w:rFonts w:eastAsia="Calibri"/>
                <w:b w:val="0"/>
                <w:sz w:val="22"/>
                <w:szCs w:val="22"/>
              </w:rPr>
              <w:t>et l'élaboration d'</w:t>
            </w:r>
            <w:r w:rsidR="008B50F8" w:rsidRPr="00F05A8A">
              <w:rPr>
                <w:rFonts w:eastAsia="Calibri"/>
                <w:b w:val="0"/>
                <w:sz w:val="22"/>
                <w:szCs w:val="22"/>
              </w:rPr>
              <w:t xml:space="preserve">un cadre pour </w:t>
            </w:r>
            <w:r w:rsidR="00E3285D" w:rsidRPr="00F05A8A">
              <w:rPr>
                <w:rFonts w:eastAsia="Calibri"/>
                <w:b w:val="0"/>
                <w:sz w:val="22"/>
                <w:szCs w:val="22"/>
              </w:rPr>
              <w:t xml:space="preserve">la mise en œuvre </w:t>
            </w:r>
            <w:r w:rsidR="008B50F8" w:rsidRPr="00F05A8A">
              <w:rPr>
                <w:rFonts w:eastAsia="Calibri"/>
                <w:b w:val="0"/>
                <w:sz w:val="22"/>
                <w:szCs w:val="22"/>
              </w:rPr>
              <w:t xml:space="preserve">d'initiatives, afin de contribuer à atteindre à plus grande échelle les buts énoncés dans la Résolution 205. </w:t>
            </w:r>
            <w:r w:rsidR="001E09D7" w:rsidRPr="00F05A8A">
              <w:rPr>
                <w:rFonts w:eastAsia="Calibri"/>
                <w:b w:val="0"/>
                <w:sz w:val="22"/>
                <w:szCs w:val="22"/>
              </w:rPr>
              <w:t xml:space="preserve">Un volet </w:t>
            </w:r>
            <w:r w:rsidR="003D1B4D" w:rsidRPr="00F05A8A">
              <w:rPr>
                <w:rFonts w:eastAsia="Calibri"/>
                <w:b w:val="0"/>
                <w:sz w:val="22"/>
                <w:szCs w:val="22"/>
              </w:rPr>
              <w:t>"</w:t>
            </w:r>
            <w:r w:rsidR="001E09D7" w:rsidRPr="00F05A8A">
              <w:rPr>
                <w:rFonts w:eastAsia="Calibri"/>
                <w:b w:val="0"/>
                <w:sz w:val="22"/>
                <w:szCs w:val="22"/>
              </w:rPr>
              <w:t>innovation</w:t>
            </w:r>
            <w:r w:rsidR="003D1B4D" w:rsidRPr="00F05A8A">
              <w:rPr>
                <w:rFonts w:eastAsia="Calibri"/>
                <w:b w:val="0"/>
                <w:sz w:val="22"/>
                <w:szCs w:val="22"/>
              </w:rPr>
              <w:t>"</w:t>
            </w:r>
            <w:r w:rsidR="001E09D7" w:rsidRPr="00F05A8A">
              <w:rPr>
                <w:rFonts w:eastAsia="Calibri"/>
                <w:b w:val="0"/>
                <w:sz w:val="22"/>
                <w:szCs w:val="22"/>
              </w:rPr>
              <w:t xml:space="preserve"> a été </w:t>
            </w:r>
            <w:r w:rsidR="00D93B27" w:rsidRPr="00F05A8A">
              <w:rPr>
                <w:rFonts w:eastAsia="Calibri"/>
                <w:b w:val="0"/>
                <w:sz w:val="22"/>
                <w:szCs w:val="22"/>
              </w:rPr>
              <w:t xml:space="preserve">créé </w:t>
            </w:r>
            <w:r w:rsidR="001E09D7" w:rsidRPr="00F05A8A">
              <w:rPr>
                <w:rFonts w:eastAsia="Calibri"/>
                <w:b w:val="0"/>
                <w:sz w:val="22"/>
                <w:szCs w:val="22"/>
              </w:rPr>
              <w:t>lors des é</w:t>
            </w:r>
            <w:r w:rsidR="005F1913" w:rsidRPr="00F05A8A">
              <w:rPr>
                <w:rFonts w:eastAsia="Calibri"/>
                <w:b w:val="0"/>
                <w:sz w:val="22"/>
                <w:szCs w:val="22"/>
              </w:rPr>
              <w:t>ditions de 2018 et 2019 du SMSI, afin de faciliter l'échange de connaissances et de bonnes pratiques en matière d'innovation centrée sur les TIC.</w:t>
            </w:r>
          </w:p>
        </w:tc>
      </w:tr>
      <w:tr w:rsidR="00642422" w:rsidRPr="00F05A8A" w14:paraId="5CD80B35" w14:textId="77777777" w:rsidTr="00142C01">
        <w:tc>
          <w:tcPr>
            <w:tcW w:w="10065" w:type="dxa"/>
          </w:tcPr>
          <w:p w14:paraId="4015A5A3" w14:textId="77777777" w:rsidR="00642422" w:rsidRPr="00F05A8A" w:rsidRDefault="00642422" w:rsidP="002F075E">
            <w:pPr>
              <w:pStyle w:val="Headingb"/>
              <w:keepNext w:val="0"/>
              <w:keepLines w:val="0"/>
              <w:spacing w:before="120"/>
              <w:rPr>
                <w:sz w:val="22"/>
                <w:szCs w:val="22"/>
              </w:rPr>
            </w:pPr>
            <w:bookmarkStart w:id="734" w:name="_Toc41032151"/>
            <w:bookmarkStart w:id="735" w:name="_Toc72845174"/>
            <w:bookmarkStart w:id="736" w:name="_Toc72846498"/>
            <w:bookmarkStart w:id="737" w:name="_Toc72846748"/>
            <w:bookmarkStart w:id="738" w:name="_Toc95387599"/>
            <w:r w:rsidRPr="00F05A8A">
              <w:rPr>
                <w:sz w:val="22"/>
                <w:szCs w:val="22"/>
              </w:rPr>
              <w:t>Résolution 206 (Rév. Dubaï, 2018) – OTT</w:t>
            </w:r>
            <w:bookmarkEnd w:id="734"/>
            <w:bookmarkEnd w:id="735"/>
            <w:bookmarkEnd w:id="736"/>
            <w:bookmarkEnd w:id="737"/>
            <w:bookmarkEnd w:id="738"/>
          </w:p>
          <w:p w14:paraId="19804698" w14:textId="77777777" w:rsidR="00642422" w:rsidRPr="00F05A8A" w:rsidRDefault="00642422" w:rsidP="002F075E">
            <w:pPr>
              <w:rPr>
                <w:sz w:val="22"/>
                <w:szCs w:val="22"/>
              </w:rPr>
            </w:pPr>
            <w:r w:rsidRPr="00F05A8A">
              <w:rPr>
                <w:sz w:val="22"/>
                <w:szCs w:val="22"/>
              </w:rPr>
              <w:t xml:space="preserve">L'UIT a approuvé la </w:t>
            </w:r>
            <w:hyperlink r:id="rId564" w:history="1">
              <w:r w:rsidRPr="00F05A8A">
                <w:rPr>
                  <w:rStyle w:val="Hyperlink"/>
                  <w:sz w:val="22"/>
                  <w:szCs w:val="22"/>
                </w:rPr>
                <w:t>Recommandation UIT-T D.1101, "Environnement propice pour les accords commerciaux volontaires entre les opérateurs de réseaux de télécommunication et les fournisseurs OTT"</w:t>
              </w:r>
            </w:hyperlink>
            <w:r w:rsidRPr="00F05A8A">
              <w:rPr>
                <w:sz w:val="22"/>
                <w:szCs w:val="22"/>
              </w:rPr>
              <w:t xml:space="preserve"> (août 2020), qui encourage les parties prenantes concernées sont invitées à contribuer à mettre en place un environnement </w:t>
            </w:r>
            <w:r w:rsidRPr="00F05A8A">
              <w:rPr>
                <w:sz w:val="22"/>
                <w:szCs w:val="22"/>
              </w:rPr>
              <w:lastRenderedPageBreak/>
              <w:t xml:space="preserve">réglementaire propice qui facilite et encourage l'élaboration de modèles économiques innovants s'inscrivant dans le droit fil des progrès technologiques et des innovations. La </w:t>
            </w:r>
            <w:hyperlink r:id="rId565" w:history="1">
              <w:r w:rsidRPr="00F05A8A">
                <w:rPr>
                  <w:rStyle w:val="Hyperlink"/>
                  <w:sz w:val="22"/>
                  <w:szCs w:val="22"/>
                </w:rPr>
                <w:t>Recommandation UIT-T D.262 "cadre de collaboration applicable aux OTT</w:t>
              </w:r>
            </w:hyperlink>
            <w:r w:rsidRPr="00F05A8A">
              <w:rPr>
                <w:rStyle w:val="Hyperlink"/>
                <w:sz w:val="22"/>
                <w:szCs w:val="22"/>
              </w:rPr>
              <w:t>"</w:t>
            </w:r>
            <w:r w:rsidRPr="00F05A8A">
              <w:rPr>
                <w:sz w:val="22"/>
                <w:szCs w:val="22"/>
              </w:rPr>
              <w:t xml:space="preserve"> (mai 2019) définit un cadre de collaboration pour promouvoir la concurrence, la protection des consommateurs, les avantages pour les consommateurs, le dynamisme de l'innovation, la pérennité des investissements et du développement de l'infrastructure, ainsi que l'accessibilité, y compris économique, eu égard au développement des applications OTT dans le monde. Le projet de nouvelle Recommandation UIT-T D.1102 "Mécanismes de recours et de protection pour les consommateurs de services OTT", qui est en cours d'approbation, propose des mécanismes possibles de recours et de protection des consommateurs en lien avec la fourniture et la consommation de services OTT.</w:t>
            </w:r>
          </w:p>
          <w:p w14:paraId="6920E9AB" w14:textId="77777777" w:rsidR="00642422" w:rsidRPr="00F05A8A" w:rsidRDefault="00642422" w:rsidP="002F075E">
            <w:pPr>
              <w:rPr>
                <w:sz w:val="22"/>
                <w:szCs w:val="22"/>
              </w:rPr>
            </w:pPr>
            <w:r w:rsidRPr="00F05A8A">
              <w:rPr>
                <w:sz w:val="22"/>
                <w:szCs w:val="22"/>
              </w:rPr>
              <w:t>La CE 3 étudie les applications OTT dans le cadre de plusieurs sujets d'étude, et les travaux de la CE 2 de relatifs à deux sujets d'étude sur les OTT progressent. Les méthodes d'évaluation de la qualité élaborées par la CE 12 de l'UIT-T sont applicables aux OTT.</w:t>
            </w:r>
          </w:p>
          <w:p w14:paraId="2EB124A8" w14:textId="77777777" w:rsidR="00642422" w:rsidRPr="00F05A8A" w:rsidRDefault="00642422" w:rsidP="002F075E">
            <w:pPr>
              <w:spacing w:after="120"/>
              <w:rPr>
                <w:sz w:val="22"/>
                <w:szCs w:val="22"/>
              </w:rPr>
            </w:pPr>
            <w:r w:rsidRPr="00F05A8A">
              <w:rPr>
                <w:sz w:val="22"/>
                <w:szCs w:val="22"/>
              </w:rPr>
              <w:t xml:space="preserve">La CE 3 de l'UIT-T a travaillé en collaboration avec la CE 2 de l'UIT-T aux fins de l'organisation du </w:t>
            </w:r>
            <w:hyperlink r:id="rId566" w:history="1">
              <w:r w:rsidRPr="00F05A8A">
                <w:rPr>
                  <w:rStyle w:val="Hyperlink"/>
                  <w:sz w:val="22"/>
                  <w:szCs w:val="22"/>
                </w:rPr>
                <w:t>Forum interrégional de normalisation de l'UIT sur les questions opérationnelles liées au numérotage, aux services d'urgence et aux OTT</w:t>
              </w:r>
            </w:hyperlink>
            <w:r w:rsidRPr="00F05A8A">
              <w:rPr>
                <w:sz w:val="22"/>
                <w:szCs w:val="22"/>
              </w:rPr>
              <w:t>, qui a eu lieu à Dubaï (Émirats arabes unis) le 22 octobre 2019.</w:t>
            </w:r>
          </w:p>
        </w:tc>
      </w:tr>
      <w:tr w:rsidR="00642422" w:rsidRPr="00F05A8A" w14:paraId="29A223A3" w14:textId="77777777" w:rsidTr="00142C01">
        <w:tc>
          <w:tcPr>
            <w:tcW w:w="10065" w:type="dxa"/>
          </w:tcPr>
          <w:p w14:paraId="6732E9B6" w14:textId="77777777" w:rsidR="00642422" w:rsidRPr="00F05A8A" w:rsidRDefault="00642422" w:rsidP="002F075E">
            <w:pPr>
              <w:pStyle w:val="Headingb"/>
              <w:keepNext w:val="0"/>
              <w:keepLines w:val="0"/>
              <w:spacing w:before="120"/>
              <w:rPr>
                <w:sz w:val="22"/>
                <w:szCs w:val="22"/>
              </w:rPr>
            </w:pPr>
            <w:bookmarkStart w:id="739" w:name="_Toc72846499"/>
            <w:bookmarkStart w:id="740" w:name="_Toc72846749"/>
            <w:bookmarkStart w:id="741" w:name="_Toc95387600"/>
            <w:r w:rsidRPr="00F05A8A">
              <w:rPr>
                <w:sz w:val="22"/>
                <w:szCs w:val="22"/>
              </w:rPr>
              <w:lastRenderedPageBreak/>
              <w:t xml:space="preserve">Résolution 207 (Rév. Dubaï, 2018) – Journal de l'UIT: </w:t>
            </w:r>
            <w:r w:rsidRPr="00F05A8A">
              <w:rPr>
                <w:i/>
                <w:iCs/>
                <w:sz w:val="22"/>
                <w:szCs w:val="22"/>
              </w:rPr>
              <w:t>à la découverte des TIC</w:t>
            </w:r>
            <w:bookmarkEnd w:id="739"/>
            <w:bookmarkEnd w:id="740"/>
            <w:bookmarkEnd w:id="741"/>
          </w:p>
          <w:p w14:paraId="273CD5D1" w14:textId="77777777" w:rsidR="00642422" w:rsidRPr="00F05A8A" w:rsidRDefault="00642422" w:rsidP="002F075E">
            <w:pPr>
              <w:spacing w:after="120"/>
              <w:rPr>
                <w:sz w:val="22"/>
                <w:szCs w:val="22"/>
              </w:rPr>
            </w:pPr>
            <w:r w:rsidRPr="00F05A8A">
              <w:rPr>
                <w:sz w:val="22"/>
                <w:szCs w:val="22"/>
              </w:rPr>
              <w:t xml:space="preserve">On trouvera dans le tableau ci-dessous les publications du Journal pour la période considérée. Cette vue d'ensemble comprend les numéros du "Journal de l'UIT: </w:t>
            </w:r>
            <w:r w:rsidRPr="00F05A8A">
              <w:rPr>
                <w:i/>
                <w:iCs/>
                <w:sz w:val="22"/>
                <w:szCs w:val="22"/>
              </w:rPr>
              <w:t>à la découverte des TIC</w:t>
            </w:r>
            <w:r w:rsidRPr="00F05A8A">
              <w:rPr>
                <w:sz w:val="22"/>
                <w:szCs w:val="22"/>
              </w:rPr>
              <w:t xml:space="preserve">", dont le dernier numéro a été publié en juin 2020; le nouveau Journal de l'UIT sur les technologies futures et les technologies en évolution (J-FET); et le nouveau </w:t>
            </w:r>
            <w:r w:rsidRPr="00F05A8A">
              <w:rPr>
                <w:i/>
                <w:iCs/>
                <w:sz w:val="22"/>
                <w:szCs w:val="22"/>
              </w:rPr>
              <w:t>Journal sur les réseaux intelligents et les réseaux issus de la convergence</w:t>
            </w:r>
            <w:r w:rsidRPr="00F05A8A">
              <w:rPr>
                <w:sz w:val="22"/>
                <w:szCs w:val="22"/>
              </w:rPr>
              <w:t>, copublication de l'UIT et de la Tsinghua University Press.</w:t>
            </w:r>
          </w:p>
          <w:p w14:paraId="63E37F93" w14:textId="77777777" w:rsidR="00642422" w:rsidRPr="00F05A8A" w:rsidRDefault="00642422" w:rsidP="002F075E">
            <w:pPr>
              <w:spacing w:after="120"/>
              <w:rPr>
                <w:sz w:val="22"/>
                <w:szCs w:val="22"/>
              </w:rPr>
            </w:pPr>
            <w:r w:rsidRPr="00F05A8A">
              <w:rPr>
                <w:sz w:val="22"/>
                <w:szCs w:val="22"/>
              </w:rPr>
              <w:t xml:space="preserve">Dix nouveaux numéros spéciaux du Journal UIT J-FET devraient être publiés en 2022. De plus amples informations sont disponibles sur la </w:t>
            </w:r>
            <w:hyperlink r:id="rId567" w:history="1">
              <w:r w:rsidRPr="00F05A8A">
                <w:rPr>
                  <w:rStyle w:val="Hyperlink"/>
                  <w:sz w:val="22"/>
                  <w:szCs w:val="22"/>
                </w:rPr>
                <w:t>page web du Journal</w:t>
              </w:r>
            </w:hyperlink>
            <w:r w:rsidRPr="00F05A8A">
              <w:rPr>
                <w:sz w:val="22"/>
                <w:szCs w:val="22"/>
              </w:rPr>
              <w:t>.</w:t>
            </w:r>
          </w:p>
        </w:tc>
      </w:tr>
      <w:tr w:rsidR="00642422" w:rsidRPr="00F05A8A" w14:paraId="1D4F36EE" w14:textId="77777777" w:rsidTr="00142C01">
        <w:tc>
          <w:tcPr>
            <w:tcW w:w="10065" w:type="dxa"/>
          </w:tcPr>
          <w:p w14:paraId="4C3DFA02" w14:textId="77777777" w:rsidR="00642422" w:rsidRPr="00F05A8A" w:rsidRDefault="00642422" w:rsidP="002F075E">
            <w:pPr>
              <w:pStyle w:val="Headingb"/>
              <w:keepNext w:val="0"/>
              <w:keepLines w:val="0"/>
              <w:rPr>
                <w:sz w:val="22"/>
                <w:szCs w:val="22"/>
              </w:rPr>
            </w:pPr>
            <w:bookmarkStart w:id="742" w:name="_Toc95387601"/>
            <w:r w:rsidRPr="00F05A8A">
              <w:rPr>
                <w:sz w:val="22"/>
                <w:szCs w:val="22"/>
              </w:rPr>
              <w:t>Résolution 208 (Dubaï, 2018)</w:t>
            </w:r>
            <w:bookmarkEnd w:id="742"/>
          </w:p>
          <w:p w14:paraId="00ACF7BF" w14:textId="77777777" w:rsidR="00642422" w:rsidRPr="00F05A8A" w:rsidRDefault="00642422" w:rsidP="002F075E">
            <w:pPr>
              <w:spacing w:after="120"/>
              <w:rPr>
                <w:sz w:val="22"/>
                <w:szCs w:val="22"/>
              </w:rPr>
            </w:pPr>
            <w:r w:rsidRPr="00F05A8A">
              <w:rPr>
                <w:sz w:val="22"/>
                <w:szCs w:val="22"/>
              </w:rPr>
              <w:t>À sa 28ème réunion (29 mars – 1er avril 2021), le GCR a créé un groupe de travail par correspondance chargé d'étudier, entre autres sujets, la possibilité de transférer la partie pertinente de la Résolution UIT</w:t>
            </w:r>
            <w:r w:rsidRPr="00F05A8A">
              <w:rPr>
                <w:sz w:val="22"/>
                <w:szCs w:val="22"/>
              </w:rPr>
              <w:noBreakHyphen/>
              <w:t>R 15-6 (Désignation et durée maximale du mandat des Présidents et des Vice-Présidents des commissions d'études des radiocommunications, du Comité de coordination pour le vocabulaire et du Groupe consultatif des radiocommunications) dans la Résolution UIT-R 1-8. Le groupe de travail par correspondance devrait soumettre un rapport pour examen à la prochaine réunion du GCR en 2022.</w:t>
            </w:r>
          </w:p>
          <w:p w14:paraId="06A905C6" w14:textId="77777777" w:rsidR="00642422" w:rsidRPr="00F05A8A" w:rsidRDefault="00642422" w:rsidP="002F075E">
            <w:pPr>
              <w:pStyle w:val="Headingb"/>
              <w:tabs>
                <w:tab w:val="clear" w:pos="567"/>
                <w:tab w:val="left" w:pos="0"/>
              </w:tabs>
              <w:spacing w:after="120"/>
              <w:ind w:left="33" w:hanging="33"/>
              <w:rPr>
                <w:b w:val="0"/>
                <w:sz w:val="22"/>
                <w:szCs w:val="22"/>
              </w:rPr>
            </w:pPr>
            <w:bookmarkStart w:id="743" w:name="_Toc95387602"/>
            <w:r w:rsidRPr="00F05A8A">
              <w:rPr>
                <w:b w:val="0"/>
                <w:sz w:val="22"/>
                <w:szCs w:val="22"/>
              </w:rPr>
              <w:t xml:space="preserve">La </w:t>
            </w:r>
            <w:hyperlink r:id="rId568" w:history="1">
              <w:r w:rsidRPr="00F05A8A">
                <w:rPr>
                  <w:rStyle w:val="Hyperlink"/>
                  <w:b w:val="0"/>
                  <w:sz w:val="22"/>
                  <w:szCs w:val="22"/>
                </w:rPr>
                <w:t>troisième</w:t>
              </w:r>
            </w:hyperlink>
            <w:r w:rsidRPr="00F05A8A">
              <w:rPr>
                <w:b w:val="0"/>
                <w:sz w:val="22"/>
                <w:szCs w:val="22"/>
              </w:rPr>
              <w:t xml:space="preserve"> réunion interrégionale de préparation en vue de l'AMNT-20 (octobre 2021) a permis de dégager un consensus parmi les propositions formulées par les six organisations régionales de télécommunication au sujet de la suppression de la Résolution 35 de l'AMNT, afin d'éviter toute redondance avec la Résolution 208 de la Conférence de plénipotentiaires. La proposition de suppression de la Résolution 35 de l'AMNT est conforme au principe de rationalisation des résolutions.</w:t>
            </w:r>
            <w:bookmarkEnd w:id="743"/>
          </w:p>
        </w:tc>
      </w:tr>
      <w:tr w:rsidR="00642422" w:rsidRPr="00F05A8A" w14:paraId="697E1201" w14:textId="77777777" w:rsidTr="00142C01">
        <w:tc>
          <w:tcPr>
            <w:tcW w:w="10065" w:type="dxa"/>
          </w:tcPr>
          <w:p w14:paraId="02FAF7B4" w14:textId="4C4DE37B" w:rsidR="00642422" w:rsidRPr="00F05A8A" w:rsidRDefault="00642422" w:rsidP="002F075E">
            <w:pPr>
              <w:pStyle w:val="Headingb"/>
              <w:keepNext w:val="0"/>
              <w:keepLines w:val="0"/>
              <w:tabs>
                <w:tab w:val="clear" w:pos="567"/>
              </w:tabs>
              <w:ind w:left="0" w:firstLine="0"/>
              <w:rPr>
                <w:bCs/>
                <w:sz w:val="22"/>
                <w:szCs w:val="22"/>
              </w:rPr>
            </w:pPr>
            <w:bookmarkStart w:id="744" w:name="_Toc95387603"/>
            <w:r w:rsidRPr="00F05A8A">
              <w:rPr>
                <w:bCs/>
                <w:sz w:val="22"/>
                <w:szCs w:val="22"/>
              </w:rPr>
              <w:t>Résolution 209 (Dubaï, 2018)</w:t>
            </w:r>
            <w:bookmarkEnd w:id="744"/>
            <w:r w:rsidR="0075560B" w:rsidRPr="00F05A8A">
              <w:rPr>
                <w:bCs/>
                <w:sz w:val="22"/>
                <w:szCs w:val="22"/>
              </w:rPr>
              <w:t xml:space="preserve"> </w:t>
            </w:r>
            <w:r w:rsidR="00A663DC" w:rsidRPr="00F05A8A">
              <w:rPr>
                <w:sz w:val="22"/>
                <w:szCs w:val="22"/>
              </w:rPr>
              <w:t xml:space="preserve">– </w:t>
            </w:r>
            <w:r w:rsidR="0075560B" w:rsidRPr="00F05A8A">
              <w:rPr>
                <w:color w:val="000000"/>
                <w:sz w:val="22"/>
                <w:szCs w:val="22"/>
              </w:rPr>
              <w:t>Encourager la participation des petites et moyennes entreprises aux travaux de l'Union</w:t>
            </w:r>
          </w:p>
          <w:p w14:paraId="70FD6128" w14:textId="20BBADA9" w:rsidR="00642422" w:rsidRPr="00F05A8A" w:rsidRDefault="00642422" w:rsidP="002F075E">
            <w:pPr>
              <w:spacing w:after="120"/>
              <w:rPr>
                <w:sz w:val="22"/>
                <w:szCs w:val="22"/>
              </w:rPr>
            </w:pPr>
            <w:r w:rsidRPr="00F05A8A">
              <w:rPr>
                <w:sz w:val="22"/>
                <w:szCs w:val="22"/>
              </w:rPr>
              <w:t xml:space="preserve">En vertu de la Résolution 209 (Dubaï, 2018) de la Conférence de plénipotentiaires, avec l'appui des États Membres, l'UIT a encouragé les PME remplissant les conditions requises à participer aux travaux des Commissions d'études de l'UIT-R et de l'UIT-T en tant qu'Associés, moyennant des droits de participation réduits. Depuis que cette possibilité de bénéficier de droits de participation réduits est en vigueur (2020), à la suite de campagnes intenses de communication et de marketing numérique, </w:t>
            </w:r>
            <w:r w:rsidR="0075560B" w:rsidRPr="00F05A8A">
              <w:rPr>
                <w:sz w:val="22"/>
                <w:szCs w:val="22"/>
              </w:rPr>
              <w:t>61</w:t>
            </w:r>
            <w:r w:rsidRPr="00F05A8A">
              <w:rPr>
                <w:sz w:val="22"/>
                <w:szCs w:val="22"/>
              </w:rPr>
              <w:t xml:space="preserve"> PME sont devenues membres de l'UIT, </w:t>
            </w:r>
            <w:r w:rsidR="0075560B" w:rsidRPr="00F05A8A">
              <w:rPr>
                <w:sz w:val="22"/>
                <w:szCs w:val="22"/>
              </w:rPr>
              <w:t>47</w:t>
            </w:r>
            <w:r w:rsidRPr="00F05A8A">
              <w:rPr>
                <w:sz w:val="22"/>
                <w:szCs w:val="22"/>
              </w:rPr>
              <w:t xml:space="preserve"> prenant part aux travaux de l'UIT-T et </w:t>
            </w:r>
            <w:r w:rsidR="0075560B" w:rsidRPr="00F05A8A">
              <w:rPr>
                <w:sz w:val="22"/>
                <w:szCs w:val="22"/>
              </w:rPr>
              <w:t>14</w:t>
            </w:r>
            <w:r w:rsidRPr="00F05A8A">
              <w:rPr>
                <w:sz w:val="22"/>
                <w:szCs w:val="22"/>
              </w:rPr>
              <w:t xml:space="preserve"> à ceux de l'UIT-R (au </w:t>
            </w:r>
            <w:r w:rsidR="0075560B" w:rsidRPr="00F05A8A">
              <w:rPr>
                <w:sz w:val="22"/>
                <w:szCs w:val="22"/>
              </w:rPr>
              <w:t>30 avril 2022</w:t>
            </w:r>
            <w:r w:rsidRPr="00F05A8A">
              <w:rPr>
                <w:sz w:val="22"/>
                <w:szCs w:val="22"/>
              </w:rPr>
              <w:t>).</w:t>
            </w:r>
          </w:p>
          <w:p w14:paraId="43853CE6" w14:textId="77777777" w:rsidR="00642422" w:rsidRPr="00F05A8A" w:rsidRDefault="00642422" w:rsidP="002F075E">
            <w:pPr>
              <w:spacing w:after="120"/>
              <w:rPr>
                <w:sz w:val="22"/>
                <w:szCs w:val="22"/>
              </w:rPr>
            </w:pPr>
            <w:r w:rsidRPr="00F05A8A">
              <w:rPr>
                <w:sz w:val="22"/>
                <w:szCs w:val="22"/>
              </w:rPr>
              <w:lastRenderedPageBreak/>
              <w:t>Les PME des pays développés remplissant les conditions requises acquittent désormais 3 975 CHF par an, et les PME des pays en développement acquittent 1 987,50 CHF par an pour participer aux travaux d'une commission d'études, contre des droits standard de 10 600 CHF pour l'UIT-R et l'UIT-T. Les Associés participant aux travaux des Commissions d'études de l'UIT-D acquittent déjà ces montants. Les États Membres décident si des entreprises remplissent les conditions nécessaires pour être qualifiées de PME en fonction de leur définition nationale, mais la Conférence de plénipotentiaires (Dubaï, 2018) a décidé que les entreprises devaient compter 250 employés au maximum et, à sa session de 2019, le Conseil a fixé le montant maximal de leur chiffre d'affaires à 15 millions CHF par an.</w:t>
            </w:r>
          </w:p>
        </w:tc>
      </w:tr>
      <w:tr w:rsidR="00642422" w:rsidRPr="00F05A8A" w14:paraId="6D8A17C0" w14:textId="77777777" w:rsidTr="00142C01">
        <w:tc>
          <w:tcPr>
            <w:tcW w:w="10065" w:type="dxa"/>
          </w:tcPr>
          <w:p w14:paraId="24859106" w14:textId="77777777" w:rsidR="00642422" w:rsidRPr="00F05A8A" w:rsidRDefault="00642422" w:rsidP="002F075E">
            <w:pPr>
              <w:pStyle w:val="Headingb"/>
              <w:tabs>
                <w:tab w:val="clear" w:pos="567"/>
              </w:tabs>
              <w:spacing w:before="120"/>
              <w:ind w:left="0" w:firstLine="0"/>
              <w:rPr>
                <w:bCs/>
                <w:sz w:val="22"/>
                <w:szCs w:val="22"/>
              </w:rPr>
            </w:pPr>
            <w:bookmarkStart w:id="745" w:name="_Toc95387604"/>
            <w:r w:rsidRPr="00F05A8A">
              <w:rPr>
                <w:bCs/>
                <w:sz w:val="22"/>
                <w:szCs w:val="22"/>
              </w:rPr>
              <w:lastRenderedPageBreak/>
              <w:t>Résolution 210 (Dubaï, 2018) Rôle de l'UIT en tant qu'Autorité de surveillance du système international d'inscription pour les biens spatiaux conformément au Protocole portant sur les biens spatiaux</w:t>
            </w:r>
            <w:bookmarkEnd w:id="745"/>
          </w:p>
          <w:p w14:paraId="331952CC" w14:textId="77777777" w:rsidR="00642422" w:rsidRPr="00F05A8A" w:rsidRDefault="00642422" w:rsidP="002F075E">
            <w:pPr>
              <w:spacing w:after="120"/>
              <w:rPr>
                <w:sz w:val="22"/>
                <w:szCs w:val="22"/>
              </w:rPr>
            </w:pPr>
            <w:r w:rsidRPr="00F05A8A">
              <w:rPr>
                <w:sz w:val="22"/>
                <w:szCs w:val="22"/>
              </w:rPr>
              <w:t>Par cette Résolution, la Conférence charge le Secrétaire général de participer aux travaux de la Commission préparatoire pour le Protocole portant sur les biens spatiaux et de ses groupes de travail, et de faire rapport au Conseil en conséquence. La Commission préparatoire ne s'est pas réunie depuis la fin de la PP-18.</w:t>
            </w:r>
          </w:p>
        </w:tc>
      </w:tr>
      <w:tr w:rsidR="00642422" w:rsidRPr="00F05A8A" w14:paraId="3ECDB9E1" w14:textId="77777777" w:rsidTr="00142C01">
        <w:tc>
          <w:tcPr>
            <w:tcW w:w="10065" w:type="dxa"/>
          </w:tcPr>
          <w:p w14:paraId="65BE1111" w14:textId="77777777" w:rsidR="00642422" w:rsidRPr="00F05A8A" w:rsidRDefault="00642422" w:rsidP="002F075E">
            <w:pPr>
              <w:pStyle w:val="Headingb"/>
              <w:keepNext w:val="0"/>
              <w:keepLines w:val="0"/>
              <w:spacing w:before="120"/>
              <w:ind w:left="0" w:firstLine="0"/>
              <w:rPr>
                <w:sz w:val="22"/>
                <w:szCs w:val="22"/>
              </w:rPr>
            </w:pPr>
            <w:bookmarkStart w:id="746" w:name="_Toc72846500"/>
            <w:bookmarkStart w:id="747" w:name="_Toc72846750"/>
            <w:bookmarkStart w:id="748" w:name="_Toc95387605"/>
            <w:r w:rsidRPr="00F05A8A">
              <w:rPr>
                <w:sz w:val="22"/>
                <w:szCs w:val="22"/>
              </w:rPr>
              <w:t>Résolution 211 (Rév. Dubaï, 2018) – Appui à l'initiative iraquienne Du3M 2025 visant à faire progresser les secteurs des télécommunications et des technologies de l'information</w:t>
            </w:r>
            <w:bookmarkEnd w:id="746"/>
            <w:bookmarkEnd w:id="747"/>
            <w:bookmarkEnd w:id="748"/>
          </w:p>
          <w:p w14:paraId="47A19DCE" w14:textId="77777777" w:rsidR="00642422" w:rsidRPr="00F05A8A" w:rsidRDefault="00642422" w:rsidP="002F075E">
            <w:pPr>
              <w:rPr>
                <w:sz w:val="22"/>
                <w:szCs w:val="22"/>
              </w:rPr>
            </w:pPr>
            <w:r w:rsidRPr="00F05A8A">
              <w:rPr>
                <w:sz w:val="22"/>
                <w:szCs w:val="22"/>
              </w:rPr>
              <w:t>La politique en matière d'accessibilité des TIC a été élaborée en 2019. Les quatre manifestations ci-après ont été organisées en Iraq dans le cadre de la Semaine de l'inclusion numérique UIT-UNESCO, qui a eu lieu à Bagdad du 22 au 25 septembre 2019:</w:t>
            </w:r>
          </w:p>
          <w:p w14:paraId="1E2FBF81" w14:textId="77777777" w:rsidR="00642422" w:rsidRPr="00F05A8A" w:rsidRDefault="00642422" w:rsidP="002F075E">
            <w:pPr>
              <w:pStyle w:val="enumlev1"/>
              <w:rPr>
                <w:sz w:val="22"/>
                <w:szCs w:val="22"/>
              </w:rPr>
            </w:pPr>
            <w:r w:rsidRPr="00F05A8A">
              <w:rPr>
                <w:sz w:val="22"/>
                <w:szCs w:val="22"/>
              </w:rPr>
              <w:t>•</w:t>
            </w:r>
            <w:r w:rsidRPr="00F05A8A">
              <w:rPr>
                <w:sz w:val="22"/>
                <w:szCs w:val="22"/>
              </w:rPr>
              <w:tab/>
              <w:t>Forum sur l'inclusion numérique en collaboration avec l'UNESCO: organisé pour donner des informations sur des projets et activités menés par des parties prenantes importantes de la région des États arabes (22 septembre, environ 150 participants).</w:t>
            </w:r>
          </w:p>
          <w:p w14:paraId="28D27F46" w14:textId="77777777" w:rsidR="00642422" w:rsidRPr="00F05A8A" w:rsidRDefault="00642422" w:rsidP="002F075E">
            <w:pPr>
              <w:pStyle w:val="enumlev1"/>
              <w:rPr>
                <w:sz w:val="22"/>
                <w:szCs w:val="22"/>
              </w:rPr>
            </w:pPr>
            <w:r w:rsidRPr="00F05A8A">
              <w:rPr>
                <w:sz w:val="22"/>
                <w:szCs w:val="22"/>
              </w:rPr>
              <w:t>•</w:t>
            </w:r>
            <w:r w:rsidRPr="00F05A8A">
              <w:rPr>
                <w:sz w:val="22"/>
                <w:szCs w:val="22"/>
              </w:rPr>
              <w:tab/>
              <w:t>Atelier national sur l'accessibilité des TIC pour les personnes handicapées: organisé pour présenter le projet de proposition de l'UIT concernant la politique nationale en matière d'accessibilité des TIC de l'Iraq (23 septembre, environ 30 participants).</w:t>
            </w:r>
          </w:p>
          <w:p w14:paraId="2E6957E1" w14:textId="77777777" w:rsidR="00642422" w:rsidRPr="00F05A8A" w:rsidRDefault="00642422" w:rsidP="002F075E">
            <w:pPr>
              <w:pStyle w:val="enumlev1"/>
              <w:rPr>
                <w:sz w:val="22"/>
                <w:szCs w:val="22"/>
              </w:rPr>
            </w:pPr>
            <w:r w:rsidRPr="00F05A8A">
              <w:rPr>
                <w:sz w:val="22"/>
                <w:szCs w:val="22"/>
              </w:rPr>
              <w:t>•</w:t>
            </w:r>
            <w:r w:rsidRPr="00F05A8A">
              <w:rPr>
                <w:sz w:val="22"/>
                <w:szCs w:val="22"/>
              </w:rPr>
              <w:tab/>
              <w:t>Atelier national sur les politiques relatives à l'apprentissage intelligent, en collaboration avec l'UNESCO: organisé pour donner des éclaircissements sur les questions clés relevant des politiques relatives à l'apprentissage intelligent (24 septembre, environ 30 participants).</w:t>
            </w:r>
          </w:p>
          <w:p w14:paraId="1A5D161A" w14:textId="77777777" w:rsidR="00642422" w:rsidRPr="00F05A8A" w:rsidRDefault="00642422" w:rsidP="002F075E">
            <w:pPr>
              <w:pStyle w:val="enumlev1"/>
              <w:rPr>
                <w:sz w:val="22"/>
                <w:szCs w:val="22"/>
              </w:rPr>
            </w:pPr>
            <w:r w:rsidRPr="00F05A8A">
              <w:rPr>
                <w:sz w:val="22"/>
                <w:szCs w:val="22"/>
              </w:rPr>
              <w:t>•</w:t>
            </w:r>
            <w:r w:rsidRPr="00F05A8A">
              <w:rPr>
                <w:sz w:val="22"/>
                <w:szCs w:val="22"/>
              </w:rPr>
              <w:tab/>
              <w:t>Atelier national sur la cybersécurité pour les institutions financières: atelier de renforcement des capacités visant à donner des éclaircissements sur les questions importantes que les institutions financières devraient traiter dans le cadre de leur mission pour protéger leurs infrastructures TIC essentielles (25 septembre, environ 50 participants).</w:t>
            </w:r>
          </w:p>
          <w:p w14:paraId="0025A23D" w14:textId="77777777" w:rsidR="00642422" w:rsidRPr="00F05A8A" w:rsidRDefault="00642422" w:rsidP="002F075E">
            <w:pPr>
              <w:spacing w:after="120"/>
              <w:rPr>
                <w:sz w:val="22"/>
                <w:szCs w:val="22"/>
              </w:rPr>
            </w:pPr>
            <w:r w:rsidRPr="00F05A8A">
              <w:rPr>
                <w:sz w:val="22"/>
                <w:szCs w:val="22"/>
              </w:rPr>
              <w:t>L'assistance qui était fournie dans plusieurs domaines n'a pas pu se poursuivre en raison de l'instabilité dans la région et dans le monde. Cette assistance portait notamment sur l'élaboration d'une stratégie nationale en matière de cybersécurité, la sensibilisation à la protection des enfants en ligne, la radiodiffusion numérique et les statistiques relatives aux déchets d'équipements électriques et électroniques. Ceci correspondait totalement au plan de mise en œuvre de la Résolution 211 convenu avec l'Iraq.</w:t>
            </w:r>
          </w:p>
        </w:tc>
      </w:tr>
      <w:tr w:rsidR="00642422" w:rsidRPr="00F05A8A" w14:paraId="7B305FB8" w14:textId="77777777" w:rsidTr="00142C01">
        <w:tc>
          <w:tcPr>
            <w:tcW w:w="10065" w:type="dxa"/>
          </w:tcPr>
          <w:p w14:paraId="7560BDA9" w14:textId="77777777" w:rsidR="00642422" w:rsidRPr="00F05A8A" w:rsidRDefault="00642422" w:rsidP="002F075E">
            <w:pPr>
              <w:pStyle w:val="Headingb"/>
              <w:keepNext w:val="0"/>
              <w:keepLines w:val="0"/>
              <w:spacing w:before="120"/>
              <w:ind w:left="0" w:firstLine="0"/>
              <w:rPr>
                <w:sz w:val="22"/>
                <w:szCs w:val="22"/>
              </w:rPr>
            </w:pPr>
            <w:bookmarkStart w:id="749" w:name="_Toc72846501"/>
            <w:bookmarkStart w:id="750" w:name="_Toc72846751"/>
            <w:bookmarkStart w:id="751" w:name="_Toc95387606"/>
            <w:r w:rsidRPr="00F05A8A">
              <w:rPr>
                <w:sz w:val="22"/>
                <w:szCs w:val="22"/>
              </w:rPr>
              <w:t>Résolution 213 (Rév. Dubaï, 2018) – Mesures visant à améliorer, à promouvoir et à renforcer l'octroi de bourses de l'UIT</w:t>
            </w:r>
            <w:bookmarkEnd w:id="749"/>
            <w:bookmarkEnd w:id="750"/>
            <w:bookmarkEnd w:id="751"/>
          </w:p>
          <w:p w14:paraId="1B58EB37" w14:textId="77777777" w:rsidR="00642422" w:rsidRPr="00F05A8A" w:rsidRDefault="00642422" w:rsidP="002F075E">
            <w:pPr>
              <w:rPr>
                <w:sz w:val="22"/>
                <w:szCs w:val="22"/>
              </w:rPr>
            </w:pPr>
            <w:r w:rsidRPr="00F05A8A">
              <w:rPr>
                <w:sz w:val="22"/>
                <w:szCs w:val="22"/>
              </w:rPr>
              <w:t xml:space="preserve">Un projet de politique révisée concernant l'attribution de bourses dans le cadre de manifestations et d'activités financées sur le budget ordinaire de l'UIT, et une liste révisée des pays pouvant recevoir des bourses ont été présentés au GTC-FHR (voir </w:t>
            </w:r>
            <w:hyperlink r:id="rId569" w:history="1">
              <w:r w:rsidRPr="00F05A8A">
                <w:rPr>
                  <w:rStyle w:val="Hyperlink"/>
                  <w:sz w:val="22"/>
                  <w:szCs w:val="22"/>
                </w:rPr>
                <w:t>ici</w:t>
              </w:r>
            </w:hyperlink>
            <w:r w:rsidRPr="00F05A8A">
              <w:rPr>
                <w:sz w:val="22"/>
                <w:szCs w:val="22"/>
              </w:rPr>
              <w:t>). L'Ordre de service N° 07/05 avait été révisé, ainsi que la liste de pays éligibles associée, qui est une adaptation du rapport annuel des Nations Unies intitulé "</w:t>
            </w:r>
            <w:r w:rsidRPr="00F05A8A">
              <w:rPr>
                <w:i/>
                <w:iCs/>
                <w:sz w:val="22"/>
                <w:szCs w:val="22"/>
              </w:rPr>
              <w:t>Situation et perspectives de l'économie mondiale 2019</w:t>
            </w:r>
            <w:r w:rsidRPr="00F05A8A">
              <w:rPr>
                <w:sz w:val="22"/>
                <w:szCs w:val="22"/>
              </w:rPr>
              <w:t xml:space="preserve">". Le rapport des Nations Unies pour 2020 a été publié le 16 janvier 2020, bien après que ce document a été posté sur le site web du Groupe de travail du Conseil. </w:t>
            </w:r>
            <w:r w:rsidRPr="00F05A8A">
              <w:rPr>
                <w:sz w:val="22"/>
                <w:szCs w:val="22"/>
              </w:rPr>
              <w:lastRenderedPageBreak/>
              <w:t>Cela étant dit, les modifications apportées au rapport des Nations Unies pour 2020 seront reportées dans la liste qui sera présentée au Conseil en juin.</w:t>
            </w:r>
          </w:p>
          <w:p w14:paraId="3D446955" w14:textId="77777777" w:rsidR="00642422" w:rsidRPr="00F05A8A" w:rsidRDefault="00642422" w:rsidP="002F075E">
            <w:pPr>
              <w:rPr>
                <w:bCs/>
                <w:sz w:val="22"/>
                <w:szCs w:val="22"/>
              </w:rPr>
            </w:pPr>
            <w:r w:rsidRPr="00F05A8A">
              <w:rPr>
                <w:bCs/>
                <w:sz w:val="22"/>
                <w:szCs w:val="22"/>
              </w:rPr>
              <w:t>D'avril 2018 à novembre 2021, le TSB a octroyé 370 bourses pour les réunions suivantes:</w:t>
            </w:r>
          </w:p>
          <w:p w14:paraId="0489BF3E" w14:textId="77777777" w:rsidR="00642422" w:rsidRPr="00F05A8A" w:rsidRDefault="00642422" w:rsidP="002F075E">
            <w:pPr>
              <w:pStyle w:val="enumlev1"/>
              <w:spacing w:before="60" w:after="80"/>
              <w:rPr>
                <w:sz w:val="22"/>
                <w:szCs w:val="22"/>
              </w:rPr>
            </w:pPr>
            <w:r w:rsidRPr="00F05A8A">
              <w:rPr>
                <w:sz w:val="22"/>
                <w:szCs w:val="22"/>
              </w:rPr>
              <w:t>•</w:t>
            </w:r>
            <w:r w:rsidRPr="00F05A8A">
              <w:rPr>
                <w:sz w:val="22"/>
                <w:szCs w:val="22"/>
              </w:rPr>
              <w:tab/>
              <w:t>À Genève: réunions des Commissions d'études 2, 3, 5, 9, 11, 12, 13, 15, 16, 17 et 20 de l'UIT-T et du GCNT.</w:t>
            </w:r>
          </w:p>
          <w:p w14:paraId="337A6D70" w14:textId="77777777" w:rsidR="00642422" w:rsidRPr="00F05A8A" w:rsidRDefault="00642422" w:rsidP="002F075E">
            <w:pPr>
              <w:pStyle w:val="enumlev1"/>
              <w:spacing w:before="60"/>
              <w:rPr>
                <w:sz w:val="22"/>
                <w:szCs w:val="22"/>
              </w:rPr>
            </w:pPr>
            <w:r w:rsidRPr="00F05A8A">
              <w:rPr>
                <w:sz w:val="22"/>
                <w:szCs w:val="22"/>
              </w:rPr>
              <w:t>•</w:t>
            </w:r>
            <w:r w:rsidRPr="00F05A8A">
              <w:rPr>
                <w:sz w:val="22"/>
                <w:szCs w:val="22"/>
              </w:rPr>
              <w:tab/>
              <w:t>En dehors de Genève: réunions des Groupes</w:t>
            </w:r>
            <w:r w:rsidRPr="00F05A8A">
              <w:t xml:space="preserve"> </w:t>
            </w:r>
            <w:r w:rsidRPr="00F05A8A">
              <w:rPr>
                <w:sz w:val="22"/>
                <w:szCs w:val="22"/>
              </w:rPr>
              <w:t>SG5RG-AFR + SG20RG-AFR et SG13RG-AFR (Nigéria); formation sur la conformité et l'interopérabilité pour la région Afrique (Ghana); réunions du Groupe SG3RG-AFR (Madagascar), de la CE 9 (Colombie), de la CE 20 et des Groupes SG2RG</w:t>
            </w:r>
            <w:r w:rsidRPr="00F05A8A">
              <w:rPr>
                <w:sz w:val="22"/>
                <w:szCs w:val="22"/>
              </w:rPr>
              <w:noBreakHyphen/>
              <w:t>ARB + SG2RG-AFR (Égypte), SG3RG-AO (Sri Lanka), SG2RG-ARB + SG2RG-AFR + SG3RG-ARB (EAU), SG12RG-AFR (Rwanda), SG3RG-ARB + SG5RG-ARB et SG17RG-ARB (Koweït), de la CE 16 (Slovénie), des Groupes SG2RG-AMR + SG3RG-LAC (Nicaragua), SG20RG-EECAT et SG3RG</w:t>
            </w:r>
            <w:r w:rsidRPr="00F05A8A">
              <w:rPr>
                <w:sz w:val="22"/>
                <w:szCs w:val="22"/>
              </w:rPr>
              <w:noBreakHyphen/>
              <w:t>EECAT (Bélarus), SG12RG-AFR (Tchad), SG11RG-EECAT + SG20RG-EECAT et SG3RG</w:t>
            </w:r>
            <w:r w:rsidRPr="00F05A8A">
              <w:rPr>
                <w:sz w:val="22"/>
                <w:szCs w:val="22"/>
              </w:rPr>
              <w:noBreakHyphen/>
              <w:t>EECAT + SG11RG-EECAT + SG13RG-EECAT (Russie), de la CE 5 (France), de la CE 9 (Japon); formation sur la conformité et l'interopérabilité pour la région Afrique et réunions des Groupes SG11RG-AFR et SG17RG-AFR + SG17RG-ARB et SG2RG-AFR + SG2RG-ARB (Tunisie), de la CE 13 (Zimbabwe), de la CE 20 et des Groupes SG3RG-AO (Chine), SG5RG-AFR + SG5RG-ARB + SG20RG</w:t>
            </w:r>
            <w:r w:rsidRPr="00F05A8A">
              <w:rPr>
                <w:sz w:val="22"/>
                <w:szCs w:val="22"/>
              </w:rPr>
              <w:noBreakHyphen/>
              <w:t>AFR (Tanzanie).</w:t>
            </w:r>
          </w:p>
          <w:p w14:paraId="7AC53933" w14:textId="77777777" w:rsidR="00642422" w:rsidRPr="00F05A8A" w:rsidRDefault="00642422" w:rsidP="002F075E">
            <w:pPr>
              <w:spacing w:after="120"/>
              <w:rPr>
                <w:sz w:val="22"/>
                <w:szCs w:val="22"/>
              </w:rPr>
            </w:pPr>
            <w:r w:rsidRPr="00F05A8A">
              <w:rPr>
                <w:sz w:val="22"/>
                <w:szCs w:val="22"/>
              </w:rPr>
              <w:t>Le TSB a reçu 643 demandes de bourse. Au total, 462 bourses ont été octroyées, dont 370 ont été utilisées pour un montant total de 825 000 CHF.</w:t>
            </w:r>
          </w:p>
        </w:tc>
      </w:tr>
      <w:tr w:rsidR="00642422" w:rsidRPr="00F05A8A" w14:paraId="337C6E3C" w14:textId="77777777" w:rsidTr="00142C01">
        <w:tc>
          <w:tcPr>
            <w:tcW w:w="10065" w:type="dxa"/>
          </w:tcPr>
          <w:p w14:paraId="09D52257" w14:textId="77777777" w:rsidR="00642422" w:rsidRPr="00F05A8A" w:rsidRDefault="00642422" w:rsidP="002F075E">
            <w:pPr>
              <w:pStyle w:val="Headingb"/>
              <w:rPr>
                <w:sz w:val="22"/>
                <w:szCs w:val="22"/>
              </w:rPr>
            </w:pPr>
            <w:bookmarkStart w:id="752" w:name="_Toc72846502"/>
            <w:bookmarkStart w:id="753" w:name="_Toc72846752"/>
            <w:bookmarkStart w:id="754" w:name="_Toc95387607"/>
            <w:r w:rsidRPr="00F05A8A">
              <w:rPr>
                <w:sz w:val="22"/>
                <w:szCs w:val="22"/>
              </w:rPr>
              <w:lastRenderedPageBreak/>
              <w:t>Décision 5 (Rév. Dubaï, 2018) – Produits et charges de l'Union pour la période 2020-2023</w:t>
            </w:r>
            <w:bookmarkEnd w:id="752"/>
            <w:bookmarkEnd w:id="753"/>
            <w:bookmarkEnd w:id="754"/>
          </w:p>
          <w:p w14:paraId="509306E5" w14:textId="77777777" w:rsidR="00642422" w:rsidRPr="00F05A8A" w:rsidRDefault="00642422" w:rsidP="002F075E">
            <w:pPr>
              <w:keepNext/>
              <w:keepLines/>
              <w:spacing w:after="120"/>
              <w:rPr>
                <w:sz w:val="22"/>
                <w:szCs w:val="22"/>
              </w:rPr>
            </w:pPr>
            <w:r w:rsidRPr="00F05A8A">
              <w:rPr>
                <w:sz w:val="22"/>
                <w:szCs w:val="22"/>
              </w:rPr>
              <w:t xml:space="preserve">Voir le rapport à l'intention du Conseil (Document </w:t>
            </w:r>
            <w:hyperlink r:id="rId570" w:history="1">
              <w:r w:rsidRPr="00F05A8A">
                <w:rPr>
                  <w:rStyle w:val="Hyperlink"/>
                  <w:sz w:val="22"/>
                  <w:szCs w:val="22"/>
                </w:rPr>
                <w:t>C20/9</w:t>
              </w:r>
            </w:hyperlink>
            <w:r w:rsidRPr="00F05A8A">
              <w:rPr>
                <w:sz w:val="22"/>
                <w:szCs w:val="22"/>
              </w:rPr>
              <w:t xml:space="preserve">) et le </w:t>
            </w:r>
            <w:hyperlink r:id="rId571" w:history="1">
              <w:r w:rsidRPr="00F05A8A">
                <w:rPr>
                  <w:rStyle w:val="Hyperlink"/>
                  <w:sz w:val="22"/>
                  <w:szCs w:val="22"/>
                </w:rPr>
                <w:t>Rapport du Président du GTC</w:t>
              </w:r>
              <w:r w:rsidRPr="00F05A8A">
                <w:rPr>
                  <w:rStyle w:val="Hyperlink"/>
                  <w:sz w:val="22"/>
                  <w:szCs w:val="22"/>
                </w:rPr>
                <w:noBreakHyphen/>
                <w:t>FHR</w:t>
              </w:r>
            </w:hyperlink>
            <w:r w:rsidRPr="00F05A8A">
              <w:rPr>
                <w:sz w:val="22"/>
                <w:szCs w:val="22"/>
              </w:rPr>
              <w:t>.</w:t>
            </w:r>
          </w:p>
        </w:tc>
      </w:tr>
    </w:tbl>
    <w:p w14:paraId="3B5B5B09" w14:textId="2863E3C1" w:rsidR="005910E4" w:rsidRPr="00F05A8A" w:rsidRDefault="005910E4" w:rsidP="002F075E">
      <w:bookmarkStart w:id="755" w:name="_Toc41032152"/>
      <w:bookmarkStart w:id="756" w:name="_Toc72846753"/>
      <w:bookmarkStart w:id="757" w:name="_Toc98513623"/>
      <w:r w:rsidRPr="00F05A8A">
        <w:br w:type="page"/>
      </w:r>
    </w:p>
    <w:p w14:paraId="0D006B37" w14:textId="3F730A35" w:rsidR="00D80461" w:rsidRPr="00F05A8A" w:rsidRDefault="00D80461" w:rsidP="002F075E">
      <w:pPr>
        <w:pStyle w:val="AnnexNo"/>
        <w:rPr>
          <w:caps w:val="0"/>
        </w:rPr>
      </w:pPr>
      <w:bookmarkStart w:id="758" w:name="_Toc107466588"/>
      <w:r w:rsidRPr="00F05A8A">
        <w:lastRenderedPageBreak/>
        <w:t>Annexe 2</w:t>
      </w:r>
      <w:bookmarkEnd w:id="755"/>
      <w:bookmarkEnd w:id="756"/>
      <w:r w:rsidRPr="00F05A8A">
        <w:br/>
      </w:r>
      <w:bookmarkStart w:id="759" w:name="_Toc41032153"/>
      <w:bookmarkStart w:id="760" w:name="_Toc72846754"/>
      <w:r w:rsidRPr="00F05A8A">
        <w:br/>
      </w:r>
      <w:r w:rsidRPr="00F05A8A">
        <w:rPr>
          <w:caps w:val="0"/>
        </w:rPr>
        <w:t>Résultats des travaux de l'Union/Efficacité des catalyseurs</w:t>
      </w:r>
      <w:bookmarkEnd w:id="757"/>
      <w:bookmarkEnd w:id="758"/>
      <w:bookmarkEnd w:id="759"/>
      <w:bookmarkEnd w:id="760"/>
    </w:p>
    <w:p w14:paraId="641DE223" w14:textId="77777777" w:rsidR="00D80461" w:rsidRPr="00F05A8A" w:rsidRDefault="00D80461" w:rsidP="002F075E">
      <w:pPr>
        <w:pStyle w:val="Heading2"/>
      </w:pPr>
      <w:bookmarkStart w:id="761" w:name="_Toc41032154"/>
      <w:bookmarkStart w:id="762" w:name="_Toc72846755"/>
      <w:bookmarkStart w:id="763" w:name="_Toc98513624"/>
      <w:bookmarkStart w:id="764" w:name="_Toc107466589"/>
      <w:r w:rsidRPr="00F05A8A">
        <w:t>Objectifs de l'UIT-R</w:t>
      </w:r>
      <w:bookmarkEnd w:id="761"/>
      <w:bookmarkEnd w:id="762"/>
      <w:bookmarkEnd w:id="763"/>
      <w:bookmarkEnd w:id="764"/>
    </w:p>
    <w:p w14:paraId="69794BA7" w14:textId="77777777" w:rsidR="00D80461" w:rsidRPr="00F05A8A" w:rsidRDefault="00D80461" w:rsidP="002F075E">
      <w:pPr>
        <w:spacing w:before="240"/>
      </w:pPr>
      <w:r w:rsidRPr="00F05A8A">
        <w:rPr>
          <w:b/>
          <w:bCs/>
        </w:rPr>
        <w:t>Objectif R.1</w:t>
      </w:r>
      <w:r w:rsidRPr="00F05A8A">
        <w:t>: Répondre, de manière rationnelle, équitable, efficace, économique et rapide aux besoins des membres de l'UIT en ce qui concerne les ressources du spectre des fréquences radioélectriques et des orbites des satellites, tout en évitant les brouillages préjudiciables</w:t>
      </w:r>
    </w:p>
    <w:p w14:paraId="6D5837EE" w14:textId="77777777" w:rsidR="00D80461" w:rsidRPr="00F05A8A" w:rsidRDefault="00D80461" w:rsidP="002F075E">
      <w:pPr>
        <w:pStyle w:val="Headingb"/>
        <w:spacing w:after="120"/>
      </w:pPr>
      <w:bookmarkStart w:id="765" w:name="_Toc41032155"/>
      <w:bookmarkStart w:id="766" w:name="_Toc72846756"/>
      <w:bookmarkStart w:id="767" w:name="_Toc95387611"/>
      <w:r w:rsidRPr="00F05A8A">
        <w:t>Résultats</w:t>
      </w:r>
      <w:bookmarkEnd w:id="765"/>
      <w:bookmarkEnd w:id="766"/>
      <w:bookmarkEnd w:id="7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337AED5F" w14:textId="77777777" w:rsidTr="00142C01">
        <w:tc>
          <w:tcPr>
            <w:tcW w:w="9629" w:type="dxa"/>
            <w:shd w:val="clear" w:color="auto" w:fill="DBE5F1" w:themeFill="accent1" w:themeFillTint="33"/>
          </w:tcPr>
          <w:p w14:paraId="6C66A5BC" w14:textId="77777777" w:rsidR="00D80461" w:rsidRPr="00F05A8A" w:rsidRDefault="00D80461" w:rsidP="002F075E">
            <w:r w:rsidRPr="00F05A8A">
              <w:t>R.1-a: Nombre accru de pays ayant des réseaux à satellite et des stations terriennes inscrits dans le Fichier de référence international des fréquences (Fichier de référence)</w:t>
            </w:r>
          </w:p>
          <w:p w14:paraId="38F11C4D" w14:textId="77777777" w:rsidR="00D80461" w:rsidRPr="00F05A8A" w:rsidRDefault="00D80461" w:rsidP="002F075E">
            <w:r w:rsidRPr="00F05A8A">
              <w:t>R.1-b: Nombre accru de pays pour lesquels des assignations de fréquence à des services de Terre sont inscrites dans le Fichier de référence</w:t>
            </w:r>
          </w:p>
          <w:p w14:paraId="14D78B52" w14:textId="77777777" w:rsidR="00D80461" w:rsidRPr="00F05A8A" w:rsidRDefault="00D80461" w:rsidP="002F075E">
            <w:r w:rsidRPr="00F05A8A">
              <w:t>R.1-c: Pourcentage accru d'assignations inscrites dans le Fichier de référence avec une conclusion favorable</w:t>
            </w:r>
          </w:p>
          <w:p w14:paraId="2C0877FF" w14:textId="77777777" w:rsidR="00D80461" w:rsidRPr="00F05A8A" w:rsidRDefault="00D80461" w:rsidP="002F075E">
            <w:r w:rsidRPr="00F05A8A">
              <w:t>R.1-d: Pourcentage accru de pays ayant mené à bien le passage à la télévision numérique de Terre</w:t>
            </w:r>
          </w:p>
          <w:p w14:paraId="5BF035BF" w14:textId="77777777" w:rsidR="00D80461" w:rsidRPr="00F05A8A" w:rsidRDefault="00D80461" w:rsidP="002F075E">
            <w:r w:rsidRPr="00F05A8A">
              <w:t>R.1-e: Pourcentage accru de fréquences assignées à des réseaux à satellite et exemptes de brouillage préjudiciable</w:t>
            </w:r>
          </w:p>
          <w:p w14:paraId="294ABE80" w14:textId="77777777" w:rsidR="00D80461" w:rsidRPr="00F05A8A" w:rsidRDefault="00D80461" w:rsidP="002F075E">
            <w:pPr>
              <w:spacing w:after="120"/>
            </w:pPr>
            <w:r w:rsidRPr="00F05A8A">
              <w:t>R.1-f: Pourcentage accru d'assignations à des services de Terre inscrites dans le Fichier de référence et exemptes de brouillage préjudiciable</w:t>
            </w:r>
          </w:p>
        </w:tc>
      </w:tr>
    </w:tbl>
    <w:p w14:paraId="0DF12A2F" w14:textId="77777777" w:rsidR="00D80461" w:rsidRPr="00F05A8A" w:rsidRDefault="00D80461" w:rsidP="002F075E">
      <w:pPr>
        <w:pStyle w:val="Headingb"/>
        <w:spacing w:after="120"/>
      </w:pPr>
      <w:bookmarkStart w:id="768" w:name="_Toc41032156"/>
      <w:bookmarkStart w:id="769" w:name="_Toc72846757"/>
      <w:bookmarkStart w:id="770" w:name="_Toc95387612"/>
      <w:r w:rsidRPr="00F05A8A">
        <w:t>Progrès accomplis</w:t>
      </w:r>
      <w:bookmarkEnd w:id="768"/>
      <w:bookmarkEnd w:id="769"/>
      <w:bookmarkEnd w:id="770"/>
    </w:p>
    <w:tbl>
      <w:tblPr>
        <w:tblW w:w="0" w:type="auto"/>
        <w:tblInd w:w="-5" w:type="dxa"/>
        <w:tblLook w:val="04A0" w:firstRow="1" w:lastRow="0" w:firstColumn="1" w:lastColumn="0" w:noHBand="0" w:noVBand="1"/>
      </w:tblPr>
      <w:tblGrid>
        <w:gridCol w:w="4850"/>
        <w:gridCol w:w="4800"/>
      </w:tblGrid>
      <w:tr w:rsidR="00D80461" w:rsidRPr="00F05A8A" w14:paraId="3553A215" w14:textId="77777777" w:rsidTr="00142C01">
        <w:tc>
          <w:tcPr>
            <w:tcW w:w="9644" w:type="dxa"/>
            <w:gridSpan w:val="2"/>
          </w:tcPr>
          <w:p w14:paraId="77EC0A4A" w14:textId="77777777" w:rsidR="00D80461" w:rsidRPr="00F05A8A" w:rsidRDefault="00D80461" w:rsidP="002F075E">
            <w:pPr>
              <w:spacing w:before="240" w:after="240"/>
            </w:pPr>
            <w:r w:rsidRPr="00F05A8A">
              <w:rPr>
                <w:lang w:eastAsia="fr-FR"/>
              </w:rPr>
              <w:drawing>
                <wp:inline distT="0" distB="0" distL="0" distR="0" wp14:anchorId="34045FB4" wp14:editId="26D844FF">
                  <wp:extent cx="3470400" cy="1897200"/>
                  <wp:effectExtent l="0" t="0" r="0" b="8255"/>
                  <wp:docPr id="203575366" name="Picture 2035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470400" cy="1897200"/>
                          </a:xfrm>
                          <a:prstGeom prst="rect">
                            <a:avLst/>
                          </a:prstGeom>
                          <a:noFill/>
                          <a:ln>
                            <a:noFill/>
                          </a:ln>
                        </pic:spPr>
                      </pic:pic>
                    </a:graphicData>
                  </a:graphic>
                </wp:inline>
              </w:drawing>
            </w:r>
          </w:p>
        </w:tc>
      </w:tr>
      <w:tr w:rsidR="00D80461" w:rsidRPr="00F05A8A" w14:paraId="6A06DAC7" w14:textId="77777777" w:rsidTr="00142C01">
        <w:tc>
          <w:tcPr>
            <w:tcW w:w="4999" w:type="dxa"/>
          </w:tcPr>
          <w:p w14:paraId="647DDA5D" w14:textId="77777777" w:rsidR="00D80461" w:rsidRPr="00F05A8A" w:rsidRDefault="00D80461" w:rsidP="002F075E">
            <w:pPr>
              <w:spacing w:before="240" w:after="240"/>
              <w:jc w:val="center"/>
            </w:pPr>
            <w:r w:rsidRPr="00F05A8A">
              <w:rPr>
                <w:lang w:eastAsia="fr-FR"/>
              </w:rPr>
              <w:lastRenderedPageBreak/>
              <w:drawing>
                <wp:inline distT="0" distB="0" distL="0" distR="0" wp14:anchorId="51DBC4DA" wp14:editId="771BAD58">
                  <wp:extent cx="3143478" cy="1888179"/>
                  <wp:effectExtent l="0" t="0" r="0" b="0"/>
                  <wp:docPr id="1802487835" name="Picture 18024878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5" name="Picture 1802487835" descr="Chart, bar chart&#10;&#10;Description automatically generated"/>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163221" cy="1900038"/>
                          </a:xfrm>
                          <a:prstGeom prst="rect">
                            <a:avLst/>
                          </a:prstGeom>
                          <a:noFill/>
                        </pic:spPr>
                      </pic:pic>
                    </a:graphicData>
                  </a:graphic>
                </wp:inline>
              </w:drawing>
            </w:r>
          </w:p>
        </w:tc>
        <w:tc>
          <w:tcPr>
            <w:tcW w:w="4645" w:type="dxa"/>
          </w:tcPr>
          <w:p w14:paraId="4B2F20B7" w14:textId="77777777" w:rsidR="00D80461" w:rsidRPr="00F05A8A" w:rsidRDefault="00D80461" w:rsidP="002F075E">
            <w:pPr>
              <w:spacing w:before="240" w:after="240"/>
              <w:jc w:val="center"/>
            </w:pPr>
            <w:r w:rsidRPr="00F05A8A">
              <w:rPr>
                <w:lang w:eastAsia="fr-FR"/>
              </w:rPr>
              <w:drawing>
                <wp:inline distT="0" distB="0" distL="0" distR="0" wp14:anchorId="7BD5F41D" wp14:editId="5A02F325">
                  <wp:extent cx="3109967" cy="1823085"/>
                  <wp:effectExtent l="0" t="0" r="0" b="5715"/>
                  <wp:docPr id="1802487836" name="Picture 18024878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6" name="Picture 1802487836" descr="Chart, bar chart&#10;&#10;Description automatically generated"/>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152742" cy="1848160"/>
                          </a:xfrm>
                          <a:prstGeom prst="rect">
                            <a:avLst/>
                          </a:prstGeom>
                          <a:noFill/>
                        </pic:spPr>
                      </pic:pic>
                    </a:graphicData>
                  </a:graphic>
                </wp:inline>
              </w:drawing>
            </w:r>
          </w:p>
        </w:tc>
      </w:tr>
      <w:tr w:rsidR="00D80461" w:rsidRPr="00F05A8A" w14:paraId="7DED8BF9" w14:textId="77777777" w:rsidTr="00142C01">
        <w:tc>
          <w:tcPr>
            <w:tcW w:w="4999" w:type="dxa"/>
          </w:tcPr>
          <w:p w14:paraId="2403FD61" w14:textId="77777777" w:rsidR="00D80461" w:rsidRPr="00F05A8A" w:rsidRDefault="00D80461" w:rsidP="002F075E">
            <w:pPr>
              <w:spacing w:before="240" w:after="240"/>
              <w:jc w:val="center"/>
            </w:pPr>
            <w:r w:rsidRPr="00F05A8A">
              <w:rPr>
                <w:lang w:eastAsia="fr-FR"/>
              </w:rPr>
              <w:drawing>
                <wp:inline distT="0" distB="0" distL="0" distR="0" wp14:anchorId="3E36C0F6" wp14:editId="55957422">
                  <wp:extent cx="2741269" cy="1793595"/>
                  <wp:effectExtent l="0" t="0" r="2540" b="0"/>
                  <wp:docPr id="1802487833" name="Picture 18024878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3" name="Picture 1802487833" descr="Chart, line chart&#10;&#10;Description automatically generated"/>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748499" cy="1798325"/>
                          </a:xfrm>
                          <a:prstGeom prst="rect">
                            <a:avLst/>
                          </a:prstGeom>
                          <a:noFill/>
                        </pic:spPr>
                      </pic:pic>
                    </a:graphicData>
                  </a:graphic>
                </wp:inline>
              </w:drawing>
            </w:r>
          </w:p>
        </w:tc>
        <w:tc>
          <w:tcPr>
            <w:tcW w:w="4645" w:type="dxa"/>
          </w:tcPr>
          <w:p w14:paraId="481C3A18" w14:textId="77777777" w:rsidR="00D80461" w:rsidRPr="00F05A8A" w:rsidRDefault="00D80461" w:rsidP="002F075E">
            <w:pPr>
              <w:spacing w:before="240" w:after="240"/>
              <w:jc w:val="center"/>
            </w:pPr>
            <w:r w:rsidRPr="00F05A8A">
              <w:rPr>
                <w:lang w:eastAsia="fr-FR"/>
              </w:rPr>
              <w:drawing>
                <wp:inline distT="0" distB="0" distL="0" distR="0" wp14:anchorId="6195233A" wp14:editId="317550F9">
                  <wp:extent cx="2928055" cy="1758782"/>
                  <wp:effectExtent l="0" t="0" r="5715" b="0"/>
                  <wp:docPr id="1802487839" name="Picture 18024878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9" name="Picture 1802487839" descr="Chart, bar chart&#10;&#10;Description automatically generated"/>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946393" cy="1769797"/>
                          </a:xfrm>
                          <a:prstGeom prst="rect">
                            <a:avLst/>
                          </a:prstGeom>
                          <a:noFill/>
                        </pic:spPr>
                      </pic:pic>
                    </a:graphicData>
                  </a:graphic>
                </wp:inline>
              </w:drawing>
            </w:r>
          </w:p>
        </w:tc>
      </w:tr>
      <w:tr w:rsidR="00D80461" w:rsidRPr="00F05A8A" w14:paraId="17C36E57" w14:textId="77777777" w:rsidTr="00142C01">
        <w:tc>
          <w:tcPr>
            <w:tcW w:w="4999" w:type="dxa"/>
          </w:tcPr>
          <w:p w14:paraId="1D1FC6D2" w14:textId="77777777" w:rsidR="00D80461" w:rsidRPr="00F05A8A" w:rsidRDefault="00D80461" w:rsidP="002F075E">
            <w:pPr>
              <w:spacing w:before="240" w:after="240"/>
              <w:jc w:val="center"/>
            </w:pPr>
            <w:bookmarkStart w:id="771" w:name="_Hlk71790871"/>
            <w:r w:rsidRPr="00F05A8A">
              <w:rPr>
                <w:lang w:eastAsia="fr-FR"/>
              </w:rPr>
              <w:drawing>
                <wp:inline distT="0" distB="0" distL="0" distR="0" wp14:anchorId="7CB01F52" wp14:editId="0BAE75D8">
                  <wp:extent cx="3014225" cy="1810541"/>
                  <wp:effectExtent l="0" t="0" r="0" b="0"/>
                  <wp:docPr id="1802487842" name="Picture 180248784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42" name="Picture 1802487842" descr="Table&#10;&#10;Description automatically generated with low confidence"/>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023806" cy="1816296"/>
                          </a:xfrm>
                          <a:prstGeom prst="rect">
                            <a:avLst/>
                          </a:prstGeom>
                          <a:noFill/>
                        </pic:spPr>
                      </pic:pic>
                    </a:graphicData>
                  </a:graphic>
                </wp:inline>
              </w:drawing>
            </w:r>
          </w:p>
        </w:tc>
        <w:tc>
          <w:tcPr>
            <w:tcW w:w="4645" w:type="dxa"/>
          </w:tcPr>
          <w:p w14:paraId="671B2766" w14:textId="77777777" w:rsidR="00D80461" w:rsidRPr="00F05A8A" w:rsidRDefault="00D80461" w:rsidP="002F075E">
            <w:pPr>
              <w:spacing w:before="240" w:after="240"/>
              <w:jc w:val="center"/>
            </w:pPr>
            <w:r w:rsidRPr="00F05A8A">
              <w:rPr>
                <w:lang w:eastAsia="fr-FR"/>
              </w:rPr>
              <w:drawing>
                <wp:inline distT="0" distB="0" distL="0" distR="0" wp14:anchorId="3EEB860F" wp14:editId="6C82B5D4">
                  <wp:extent cx="2956248" cy="1775716"/>
                  <wp:effectExtent l="0" t="0" r="0" b="0"/>
                  <wp:docPr id="1802487843" name="Picture 180248784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43" name="Picture 1802487843" descr="Graphical user interface, application&#10;&#10;Description automatically generated with medium confidence"/>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990142" cy="1796075"/>
                          </a:xfrm>
                          <a:prstGeom prst="rect">
                            <a:avLst/>
                          </a:prstGeom>
                          <a:noFill/>
                        </pic:spPr>
                      </pic:pic>
                    </a:graphicData>
                  </a:graphic>
                </wp:inline>
              </w:drawing>
            </w:r>
          </w:p>
        </w:tc>
      </w:tr>
    </w:tbl>
    <w:bookmarkEnd w:id="771"/>
    <w:p w14:paraId="3F6CC3DE" w14:textId="77777777" w:rsidR="00D80461" w:rsidRPr="00F05A8A" w:rsidRDefault="00D80461" w:rsidP="002F075E">
      <w:pPr>
        <w:spacing w:before="360"/>
      </w:pPr>
      <w:r w:rsidRPr="00F05A8A">
        <w:rPr>
          <w:b/>
          <w:bCs/>
        </w:rPr>
        <w:t>Objectif R.2</w:t>
      </w:r>
      <w:r w:rsidRPr="00F05A8A">
        <w:t xml:space="preserve"> (Normes relatives aux radiocommunications): 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p w14:paraId="4AA2E155" w14:textId="77777777" w:rsidR="00D80461" w:rsidRPr="00F05A8A" w:rsidRDefault="00D80461" w:rsidP="002F075E">
      <w:pPr>
        <w:pStyle w:val="Headingb"/>
        <w:spacing w:after="120"/>
      </w:pPr>
      <w:bookmarkStart w:id="772" w:name="_Toc41032157"/>
      <w:bookmarkStart w:id="773" w:name="_Toc72846758"/>
      <w:bookmarkStart w:id="774" w:name="_Toc95387613"/>
      <w:r w:rsidRPr="00F05A8A">
        <w:br w:type="page"/>
      </w:r>
    </w:p>
    <w:p w14:paraId="65AB50DE" w14:textId="77777777" w:rsidR="00D80461" w:rsidRPr="00F05A8A" w:rsidRDefault="00D80461" w:rsidP="002F075E">
      <w:pPr>
        <w:pStyle w:val="Headingb"/>
        <w:spacing w:after="120"/>
      </w:pPr>
      <w:r w:rsidRPr="00F05A8A">
        <w:lastRenderedPageBreak/>
        <w:t>Résultats</w:t>
      </w:r>
      <w:bookmarkEnd w:id="772"/>
      <w:bookmarkEnd w:id="773"/>
      <w:bookmarkEnd w:id="7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7B01D1BB" w14:textId="77777777" w:rsidTr="00142C01">
        <w:tc>
          <w:tcPr>
            <w:tcW w:w="9629" w:type="dxa"/>
            <w:shd w:val="clear" w:color="auto" w:fill="DBE5F1" w:themeFill="accent1" w:themeFillTint="33"/>
          </w:tcPr>
          <w:p w14:paraId="784A506D" w14:textId="77777777" w:rsidR="00D80461" w:rsidRPr="00F05A8A" w:rsidRDefault="00D80461" w:rsidP="002F075E">
            <w:pPr>
              <w:spacing w:after="120"/>
            </w:pPr>
            <w:r w:rsidRPr="00F05A8A">
              <w:t xml:space="preserve">R.2-a: Accès et recours accrus au large bande mobile, y compris dans les bandes de fréquences identifiées pour les Télécommunications mobiles internationales (IMT) </w:t>
            </w:r>
          </w:p>
          <w:p w14:paraId="55FC687F" w14:textId="77777777" w:rsidR="00D80461" w:rsidRPr="00F05A8A" w:rsidRDefault="00D80461" w:rsidP="002F075E">
            <w:pPr>
              <w:spacing w:after="120"/>
            </w:pPr>
            <w:r w:rsidRPr="00F05A8A">
              <w:t>R.2-b: Diminution du panier des prix du large bande mobile en pourcentage du revenu national brut (RNB) par habitant</w:t>
            </w:r>
          </w:p>
          <w:p w14:paraId="4F41B690" w14:textId="77777777" w:rsidR="00D80461" w:rsidRPr="00F05A8A" w:rsidRDefault="00D80461" w:rsidP="002F075E">
            <w:pPr>
              <w:spacing w:after="120"/>
            </w:pPr>
            <w:r w:rsidRPr="00F05A8A">
              <w:t>R.2-c: Nombre accru de liaisons fixes et volume accru de trafic acheminé par le service fixe (Tbit/s)</w:t>
            </w:r>
          </w:p>
          <w:p w14:paraId="270597C4" w14:textId="77777777" w:rsidR="00D80461" w:rsidRPr="00F05A8A" w:rsidRDefault="00D80461" w:rsidP="002F075E">
            <w:pPr>
              <w:spacing w:after="120"/>
            </w:pPr>
            <w:r w:rsidRPr="00F05A8A">
              <w:t>R.2-d: Nombre accru de ménages recevant la télévision numérique de Terre</w:t>
            </w:r>
          </w:p>
          <w:p w14:paraId="1C9C11CC" w14:textId="77777777" w:rsidR="00D80461" w:rsidRPr="00F05A8A" w:rsidRDefault="00D80461" w:rsidP="002F075E">
            <w:pPr>
              <w:spacing w:after="120"/>
            </w:pPr>
            <w:r w:rsidRPr="00F05A8A">
              <w:t>R.2-e: Nombre accru de répéteurs de satellite (équivalent 36 MHz) installés sur des satellites de communication en service et capacité correspondante (Tbit/s); nombre de microstations, nombre de ménages recevant la télévision par satellite</w:t>
            </w:r>
          </w:p>
          <w:p w14:paraId="2A637F8D" w14:textId="77777777" w:rsidR="00D80461" w:rsidRPr="00F05A8A" w:rsidRDefault="00D80461" w:rsidP="002F075E">
            <w:pPr>
              <w:spacing w:after="120"/>
            </w:pPr>
            <w:r w:rsidRPr="00F05A8A">
              <w:t>R.2-f: Nombre accru de dispositifs pouvant recevoir les signaux du service de radionavigation par satellite</w:t>
            </w:r>
          </w:p>
          <w:p w14:paraId="4620FFCA" w14:textId="77777777" w:rsidR="00D80461" w:rsidRPr="00F05A8A" w:rsidRDefault="00D80461" w:rsidP="002F075E">
            <w:pPr>
              <w:spacing w:after="120"/>
            </w:pPr>
            <w:r w:rsidRPr="00F05A8A">
              <w:t>R.2-g: Nombre accru de satellites ayant une charge utile pour l'exploration de la Terre en service, quantité et résolution correspondantes des images transmises et volume de données téléchargées (Téraoctets)</w:t>
            </w:r>
          </w:p>
        </w:tc>
      </w:tr>
    </w:tbl>
    <w:p w14:paraId="0FD7DB9D" w14:textId="77777777" w:rsidR="00D80461" w:rsidRPr="00F05A8A" w:rsidRDefault="00D80461" w:rsidP="002F075E">
      <w:pPr>
        <w:pStyle w:val="Headingb"/>
        <w:spacing w:after="120"/>
      </w:pPr>
      <w:bookmarkStart w:id="775" w:name="_Toc41032158"/>
      <w:bookmarkStart w:id="776" w:name="_Toc72846759"/>
      <w:bookmarkStart w:id="777" w:name="_Toc95387614"/>
      <w:r w:rsidRPr="00F05A8A">
        <w:t>Progrès accomplis</w:t>
      </w:r>
      <w:bookmarkEnd w:id="775"/>
      <w:bookmarkEnd w:id="776"/>
      <w:bookmarkEnd w:id="777"/>
    </w:p>
    <w:tbl>
      <w:tblPr>
        <w:tblW w:w="0" w:type="auto"/>
        <w:tblLook w:val="04A0" w:firstRow="1" w:lastRow="0" w:firstColumn="1" w:lastColumn="0" w:noHBand="0" w:noVBand="1"/>
      </w:tblPr>
      <w:tblGrid>
        <w:gridCol w:w="4819"/>
        <w:gridCol w:w="4820"/>
      </w:tblGrid>
      <w:tr w:rsidR="00D80461" w:rsidRPr="00F05A8A" w14:paraId="08A5488F" w14:textId="77777777" w:rsidTr="00142C01">
        <w:tc>
          <w:tcPr>
            <w:tcW w:w="9639" w:type="dxa"/>
            <w:gridSpan w:val="2"/>
          </w:tcPr>
          <w:p w14:paraId="6710C011" w14:textId="77777777" w:rsidR="00D80461" w:rsidRPr="00F05A8A" w:rsidRDefault="00D80461" w:rsidP="002F075E">
            <w:pPr>
              <w:rPr>
                <w:rFonts w:cs="Calibri"/>
                <w:b/>
                <w:bCs/>
              </w:rPr>
            </w:pPr>
            <w:bookmarkStart w:id="778" w:name="lt_pId1554"/>
            <w:r w:rsidRPr="00F05A8A">
              <w:rPr>
                <w:rFonts w:cs="Calibri"/>
                <w:b/>
                <w:bCs/>
              </w:rPr>
              <w:t>R.2a</w:t>
            </w:r>
            <w:bookmarkEnd w:id="778"/>
          </w:p>
        </w:tc>
      </w:tr>
      <w:tr w:rsidR="00D80461" w:rsidRPr="00F05A8A" w14:paraId="1259099D" w14:textId="77777777" w:rsidTr="00142C01">
        <w:tblPrEx>
          <w:tblCellMar>
            <w:left w:w="70" w:type="dxa"/>
            <w:right w:w="70" w:type="dxa"/>
          </w:tblCellMar>
        </w:tblPrEx>
        <w:tc>
          <w:tcPr>
            <w:tcW w:w="9639" w:type="dxa"/>
            <w:gridSpan w:val="2"/>
          </w:tcPr>
          <w:p w14:paraId="47DD5D81" w14:textId="77777777" w:rsidR="00D80461" w:rsidRPr="00F05A8A" w:rsidRDefault="00D80461" w:rsidP="002F075E">
            <w:pPr>
              <w:jc w:val="center"/>
              <w:rPr>
                <w:rFonts w:cs="Calibri"/>
                <w:b/>
                <w:bCs/>
              </w:rPr>
            </w:pPr>
            <w:r w:rsidRPr="00F05A8A">
              <w:rPr>
                <w:rFonts w:cs="Calibri"/>
                <w:b/>
                <w:bCs/>
                <w:lang w:eastAsia="fr-FR"/>
              </w:rPr>
              <w:drawing>
                <wp:inline distT="0" distB="0" distL="0" distR="0" wp14:anchorId="6D8671AF" wp14:editId="59C44786">
                  <wp:extent cx="4579620" cy="2750820"/>
                  <wp:effectExtent l="0" t="0" r="0" b="0"/>
                  <wp:docPr id="1802487845" name="Picture 18024878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45" name="Picture 1802487845" descr="Chart, bar chart&#10;&#10;Description automatically generate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tc>
      </w:tr>
      <w:tr w:rsidR="00D80461" w:rsidRPr="00F05A8A" w14:paraId="3397C912" w14:textId="77777777" w:rsidTr="00142C01">
        <w:tc>
          <w:tcPr>
            <w:tcW w:w="9639" w:type="dxa"/>
            <w:gridSpan w:val="2"/>
          </w:tcPr>
          <w:p w14:paraId="7CD28726" w14:textId="77777777" w:rsidR="00D80461" w:rsidRPr="00F05A8A" w:rsidRDefault="00D80461" w:rsidP="002F075E">
            <w:pPr>
              <w:jc w:val="center"/>
              <w:rPr>
                <w:rFonts w:cs="Calibri"/>
                <w:bCs/>
                <w:sz w:val="12"/>
                <w:szCs w:val="12"/>
              </w:rPr>
            </w:pPr>
          </w:p>
        </w:tc>
      </w:tr>
      <w:tr w:rsidR="00D80461" w:rsidRPr="00F05A8A" w14:paraId="474905D7" w14:textId="77777777" w:rsidTr="00142C01">
        <w:tc>
          <w:tcPr>
            <w:tcW w:w="9639" w:type="dxa"/>
            <w:gridSpan w:val="2"/>
          </w:tcPr>
          <w:p w14:paraId="61099293" w14:textId="77777777" w:rsidR="00D80461" w:rsidRPr="00F05A8A" w:rsidRDefault="00D80461" w:rsidP="002F075E">
            <w:pPr>
              <w:keepNext/>
              <w:rPr>
                <w:rFonts w:cs="Calibri"/>
                <w:color w:val="0000FF"/>
                <w:u w:val="single"/>
              </w:rPr>
            </w:pPr>
            <w:bookmarkStart w:id="779" w:name="lt_pId1555"/>
            <w:r w:rsidRPr="00F05A8A">
              <w:rPr>
                <w:rFonts w:cs="Calibri"/>
                <w:b/>
                <w:bCs/>
              </w:rPr>
              <w:lastRenderedPageBreak/>
              <w:t xml:space="preserve">R.2b: </w:t>
            </w:r>
            <w:r w:rsidRPr="00F05A8A">
              <w:rPr>
                <w:rFonts w:cs="Calibri"/>
              </w:rPr>
              <w:t xml:space="preserve">Voir aussi les résultats pour les Cibles stratégiques 1.3, 2.5 et 2.6 dans la </w:t>
            </w:r>
            <w:hyperlink w:anchor="Section_3_1" w:history="1">
              <w:r w:rsidRPr="00F05A8A">
                <w:rPr>
                  <w:rStyle w:val="Hyperlink"/>
                  <w:rFonts w:cs="Calibri"/>
                </w:rPr>
                <w:t>section 3.1</w:t>
              </w:r>
              <w:bookmarkEnd w:id="779"/>
            </w:hyperlink>
          </w:p>
        </w:tc>
      </w:tr>
      <w:tr w:rsidR="00D80461" w:rsidRPr="00F05A8A" w14:paraId="114F7BCC" w14:textId="77777777" w:rsidTr="00142C01">
        <w:tc>
          <w:tcPr>
            <w:tcW w:w="4819" w:type="dxa"/>
          </w:tcPr>
          <w:p w14:paraId="5771ED49" w14:textId="77777777" w:rsidR="00D80461" w:rsidRPr="00F05A8A" w:rsidRDefault="00D80461" w:rsidP="002F075E">
            <w:pPr>
              <w:keepNext/>
              <w:jc w:val="center"/>
              <w:rPr>
                <w:rFonts w:cs="Calibri"/>
                <w:b/>
                <w:bCs/>
              </w:rPr>
            </w:pPr>
            <w:r w:rsidRPr="00F05A8A">
              <w:rPr>
                <w:rFonts w:cs="Calibri"/>
                <w:b/>
                <w:bCs/>
                <w:lang w:eastAsia="fr-FR"/>
              </w:rPr>
              <w:drawing>
                <wp:inline distT="0" distB="0" distL="0" distR="0" wp14:anchorId="59F8D0BF" wp14:editId="396D0CE6">
                  <wp:extent cx="2448000" cy="1512000"/>
                  <wp:effectExtent l="0" t="0" r="0" b="0"/>
                  <wp:docPr id="1802487821" name="Picture 18024878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21" name="Picture 1802487821" descr="Chart, bar chart&#10;&#10;Description automatically generated"/>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448000" cy="1512000"/>
                          </a:xfrm>
                          <a:prstGeom prst="rect">
                            <a:avLst/>
                          </a:prstGeom>
                          <a:noFill/>
                        </pic:spPr>
                      </pic:pic>
                    </a:graphicData>
                  </a:graphic>
                </wp:inline>
              </w:drawing>
            </w:r>
          </w:p>
        </w:tc>
        <w:tc>
          <w:tcPr>
            <w:tcW w:w="4820" w:type="dxa"/>
          </w:tcPr>
          <w:p w14:paraId="48A8DDBD" w14:textId="77777777" w:rsidR="00D80461" w:rsidRPr="00F05A8A" w:rsidRDefault="00D80461" w:rsidP="002F075E">
            <w:pPr>
              <w:jc w:val="center"/>
              <w:rPr>
                <w:rFonts w:cs="Calibri"/>
                <w:b/>
                <w:bCs/>
              </w:rPr>
            </w:pPr>
            <w:r w:rsidRPr="00F05A8A">
              <w:rPr>
                <w:rFonts w:cs="Calibri"/>
                <w:b/>
                <w:bCs/>
                <w:lang w:eastAsia="fr-FR"/>
              </w:rPr>
              <w:drawing>
                <wp:inline distT="0" distB="0" distL="0" distR="0" wp14:anchorId="2794A168" wp14:editId="0C00E20F">
                  <wp:extent cx="2451600" cy="1512000"/>
                  <wp:effectExtent l="0" t="0" r="6350" b="0"/>
                  <wp:docPr id="1802487820" name="Picture 18024878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20" name="Picture 1802487820" descr="Chart, bar chart&#10;&#10;Description automatically generated"/>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451600" cy="1512000"/>
                          </a:xfrm>
                          <a:prstGeom prst="rect">
                            <a:avLst/>
                          </a:prstGeom>
                          <a:noFill/>
                        </pic:spPr>
                      </pic:pic>
                    </a:graphicData>
                  </a:graphic>
                </wp:inline>
              </w:drawing>
            </w:r>
          </w:p>
        </w:tc>
      </w:tr>
    </w:tbl>
    <w:p w14:paraId="314CF64F" w14:textId="77777777" w:rsidR="00D80461" w:rsidRPr="00F05A8A" w:rsidRDefault="00D80461" w:rsidP="002F075E">
      <w:pPr>
        <w:rPr>
          <w:sz w:val="2"/>
          <w:szCs w:val="2"/>
        </w:rPr>
      </w:pPr>
      <w:bookmarkStart w:id="780" w:name="lt_pId1556"/>
    </w:p>
    <w:tbl>
      <w:tblPr>
        <w:tblW w:w="0" w:type="auto"/>
        <w:tblLayout w:type="fixed"/>
        <w:tblLook w:val="04A0" w:firstRow="1" w:lastRow="0" w:firstColumn="1" w:lastColumn="0" w:noHBand="0" w:noVBand="1"/>
      </w:tblPr>
      <w:tblGrid>
        <w:gridCol w:w="4820"/>
        <w:gridCol w:w="4819"/>
      </w:tblGrid>
      <w:tr w:rsidR="00D80461" w:rsidRPr="00F05A8A" w14:paraId="57406731" w14:textId="77777777" w:rsidTr="00142C01">
        <w:tc>
          <w:tcPr>
            <w:tcW w:w="4820" w:type="dxa"/>
          </w:tcPr>
          <w:p w14:paraId="70920D30" w14:textId="77777777" w:rsidR="00D80461" w:rsidRPr="00F05A8A" w:rsidRDefault="00D80461" w:rsidP="002F075E">
            <w:pPr>
              <w:rPr>
                <w:rFonts w:cs="Calibri"/>
                <w:b/>
                <w:bCs/>
              </w:rPr>
            </w:pPr>
            <w:r w:rsidRPr="00F05A8A">
              <w:rPr>
                <w:rFonts w:cs="Calibri"/>
                <w:b/>
                <w:bCs/>
              </w:rPr>
              <w:t>R.2e</w:t>
            </w:r>
            <w:bookmarkEnd w:id="780"/>
          </w:p>
        </w:tc>
        <w:tc>
          <w:tcPr>
            <w:tcW w:w="4819" w:type="dxa"/>
          </w:tcPr>
          <w:p w14:paraId="2E10D822" w14:textId="77777777" w:rsidR="00D80461" w:rsidRPr="00F05A8A" w:rsidRDefault="00D80461" w:rsidP="002F075E">
            <w:pPr>
              <w:rPr>
                <w:rFonts w:cs="Calibri"/>
                <w:b/>
                <w:bCs/>
              </w:rPr>
            </w:pPr>
          </w:p>
        </w:tc>
      </w:tr>
      <w:tr w:rsidR="00D80461" w:rsidRPr="00F05A8A" w14:paraId="2BDC0E73" w14:textId="77777777" w:rsidTr="00142C01">
        <w:tc>
          <w:tcPr>
            <w:tcW w:w="4820" w:type="dxa"/>
          </w:tcPr>
          <w:p w14:paraId="5CC3B0A5"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18ED13AC" wp14:editId="5A186621">
                  <wp:extent cx="2520000" cy="1512000"/>
                  <wp:effectExtent l="0" t="0" r="0" b="0"/>
                  <wp:docPr id="203575400" name="Picture 20357540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00" name="Picture 203575400" descr="Chart, bar chart&#10;&#10;Description automatically generated"/>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520000" cy="1512000"/>
                          </a:xfrm>
                          <a:prstGeom prst="rect">
                            <a:avLst/>
                          </a:prstGeom>
                          <a:noFill/>
                        </pic:spPr>
                      </pic:pic>
                    </a:graphicData>
                  </a:graphic>
                </wp:inline>
              </w:drawing>
            </w:r>
          </w:p>
        </w:tc>
        <w:tc>
          <w:tcPr>
            <w:tcW w:w="4819" w:type="dxa"/>
          </w:tcPr>
          <w:p w14:paraId="5A5C8EB8"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7512E61D" wp14:editId="7112D67A">
                  <wp:extent cx="2534400" cy="1522800"/>
                  <wp:effectExtent l="0" t="0" r="0" b="1270"/>
                  <wp:docPr id="1820414992" name="Picture 182041499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2" name="Picture 1820414992" descr="Chart&#10;&#10;Description automatically generated"/>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534400" cy="1522800"/>
                          </a:xfrm>
                          <a:prstGeom prst="rect">
                            <a:avLst/>
                          </a:prstGeom>
                          <a:noFill/>
                        </pic:spPr>
                      </pic:pic>
                    </a:graphicData>
                  </a:graphic>
                </wp:inline>
              </w:drawing>
            </w:r>
          </w:p>
        </w:tc>
      </w:tr>
      <w:tr w:rsidR="00D80461" w:rsidRPr="00F05A8A" w14:paraId="039C30DB" w14:textId="77777777" w:rsidTr="00142C01">
        <w:tc>
          <w:tcPr>
            <w:tcW w:w="4820" w:type="dxa"/>
          </w:tcPr>
          <w:p w14:paraId="342310F1" w14:textId="77777777" w:rsidR="00D80461" w:rsidRPr="00F05A8A" w:rsidRDefault="00D80461" w:rsidP="002F075E">
            <w:pPr>
              <w:spacing w:before="240" w:after="240"/>
              <w:jc w:val="center"/>
              <w:rPr>
                <w:rFonts w:cs="Calibri"/>
              </w:rPr>
            </w:pPr>
            <w:r w:rsidRPr="00F05A8A">
              <w:rPr>
                <w:rFonts w:cs="Calibri"/>
                <w:lang w:eastAsia="fr-FR"/>
              </w:rPr>
              <w:drawing>
                <wp:inline distT="0" distB="0" distL="0" distR="0" wp14:anchorId="7ABAEE8B" wp14:editId="705E3DCF">
                  <wp:extent cx="2523600" cy="1569600"/>
                  <wp:effectExtent l="0" t="0" r="0" b="0"/>
                  <wp:docPr id="1820414993" name="Picture 182041499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3" name="Picture 1820414993" descr="Chart, bar chart&#10;&#10;Description automatically generated"/>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523600" cy="1569600"/>
                          </a:xfrm>
                          <a:prstGeom prst="rect">
                            <a:avLst/>
                          </a:prstGeom>
                          <a:noFill/>
                        </pic:spPr>
                      </pic:pic>
                    </a:graphicData>
                  </a:graphic>
                </wp:inline>
              </w:drawing>
            </w:r>
          </w:p>
        </w:tc>
        <w:tc>
          <w:tcPr>
            <w:tcW w:w="4819" w:type="dxa"/>
          </w:tcPr>
          <w:p w14:paraId="404DCC1C" w14:textId="77777777" w:rsidR="00D80461" w:rsidRPr="00F05A8A" w:rsidRDefault="00D80461" w:rsidP="002F075E">
            <w:pPr>
              <w:spacing w:before="240" w:after="240"/>
              <w:jc w:val="center"/>
              <w:rPr>
                <w:rFonts w:cs="Calibri"/>
                <w:bCs/>
              </w:rPr>
            </w:pPr>
            <w:r w:rsidRPr="00F05A8A">
              <w:rPr>
                <w:rFonts w:cs="Calibri"/>
                <w:bCs/>
                <w:lang w:eastAsia="fr-FR"/>
              </w:rPr>
              <w:drawing>
                <wp:inline distT="0" distB="0" distL="0" distR="0" wp14:anchorId="6A761D04" wp14:editId="5044152B">
                  <wp:extent cx="2744868" cy="1729452"/>
                  <wp:effectExtent l="0" t="0" r="0" b="4445"/>
                  <wp:docPr id="1802487849" name="Picture 18024878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49" name="Picture 1802487849" descr="Chart, bar chart&#10;&#10;Description automatically generated"/>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752929" cy="1734531"/>
                          </a:xfrm>
                          <a:prstGeom prst="rect">
                            <a:avLst/>
                          </a:prstGeom>
                          <a:noFill/>
                        </pic:spPr>
                      </pic:pic>
                    </a:graphicData>
                  </a:graphic>
                </wp:inline>
              </w:drawing>
            </w:r>
          </w:p>
        </w:tc>
      </w:tr>
      <w:tr w:rsidR="00D80461" w:rsidRPr="00F05A8A" w14:paraId="0B225397" w14:textId="77777777" w:rsidTr="00142C01">
        <w:tc>
          <w:tcPr>
            <w:tcW w:w="4820" w:type="dxa"/>
          </w:tcPr>
          <w:p w14:paraId="1A0AFD81" w14:textId="77777777" w:rsidR="00D80461" w:rsidRPr="00F05A8A" w:rsidRDefault="00D80461" w:rsidP="002F075E">
            <w:pPr>
              <w:keepNext/>
              <w:keepLines/>
              <w:rPr>
                <w:rFonts w:cs="Calibri"/>
                <w:b/>
                <w:bCs/>
              </w:rPr>
            </w:pPr>
            <w:bookmarkStart w:id="781" w:name="lt_pId1558"/>
            <w:r w:rsidRPr="00F05A8A">
              <w:rPr>
                <w:rFonts w:cs="Calibri"/>
                <w:b/>
                <w:bCs/>
              </w:rPr>
              <w:lastRenderedPageBreak/>
              <w:t>R.2f:</w:t>
            </w:r>
            <w:bookmarkEnd w:id="781"/>
          </w:p>
        </w:tc>
        <w:tc>
          <w:tcPr>
            <w:tcW w:w="4819" w:type="dxa"/>
          </w:tcPr>
          <w:p w14:paraId="32ABFD54" w14:textId="77777777" w:rsidR="00D80461" w:rsidRPr="00F05A8A" w:rsidRDefault="00D80461" w:rsidP="002F075E">
            <w:pPr>
              <w:keepNext/>
              <w:keepLines/>
              <w:rPr>
                <w:rFonts w:cs="Calibri"/>
                <w:b/>
                <w:bCs/>
              </w:rPr>
            </w:pPr>
          </w:p>
        </w:tc>
      </w:tr>
      <w:tr w:rsidR="00D80461" w:rsidRPr="00F05A8A" w14:paraId="4FB4F2C4" w14:textId="77777777" w:rsidTr="00142C01">
        <w:tc>
          <w:tcPr>
            <w:tcW w:w="4820" w:type="dxa"/>
          </w:tcPr>
          <w:p w14:paraId="3EED73B0" w14:textId="77777777" w:rsidR="00D80461" w:rsidRPr="00F05A8A" w:rsidRDefault="00D80461" w:rsidP="002F075E">
            <w:pPr>
              <w:keepNext/>
              <w:keepLines/>
              <w:spacing w:before="240" w:after="240"/>
              <w:jc w:val="center"/>
              <w:rPr>
                <w:rFonts w:cs="Calibri"/>
                <w:b/>
                <w:bCs/>
              </w:rPr>
            </w:pPr>
            <w:r w:rsidRPr="00F05A8A">
              <w:rPr>
                <w:rFonts w:cs="Calibri"/>
                <w:b/>
                <w:bCs/>
                <w:lang w:eastAsia="fr-FR"/>
              </w:rPr>
              <w:drawing>
                <wp:inline distT="0" distB="0" distL="0" distR="0" wp14:anchorId="5EECEFFB" wp14:editId="42BF5676">
                  <wp:extent cx="3061798" cy="1976875"/>
                  <wp:effectExtent l="0" t="0" r="5715" b="4445"/>
                  <wp:docPr id="1802487850" name="Picture 180248785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0" name="Picture 1802487850" descr="Chart, bar chart&#10;&#10;Description automatically generated"/>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085972" cy="1992483"/>
                          </a:xfrm>
                          <a:prstGeom prst="rect">
                            <a:avLst/>
                          </a:prstGeom>
                          <a:noFill/>
                        </pic:spPr>
                      </pic:pic>
                    </a:graphicData>
                  </a:graphic>
                </wp:inline>
              </w:drawing>
            </w:r>
          </w:p>
        </w:tc>
        <w:tc>
          <w:tcPr>
            <w:tcW w:w="4819" w:type="dxa"/>
          </w:tcPr>
          <w:p w14:paraId="367C0ABE" w14:textId="77777777" w:rsidR="00D80461" w:rsidRPr="00F05A8A" w:rsidRDefault="00D80461" w:rsidP="002F075E">
            <w:pPr>
              <w:keepNext/>
              <w:keepLines/>
              <w:spacing w:before="240" w:after="240"/>
              <w:jc w:val="center"/>
              <w:rPr>
                <w:rFonts w:cs="Calibri"/>
                <w:b/>
                <w:bCs/>
              </w:rPr>
            </w:pPr>
            <w:r w:rsidRPr="00F05A8A">
              <w:rPr>
                <w:rFonts w:cs="Calibri"/>
                <w:b/>
                <w:bCs/>
                <w:lang w:eastAsia="fr-FR"/>
              </w:rPr>
              <w:drawing>
                <wp:inline distT="0" distB="0" distL="0" distR="0" wp14:anchorId="4164C462" wp14:editId="51CEC36F">
                  <wp:extent cx="2870611" cy="1724277"/>
                  <wp:effectExtent l="0" t="0" r="6350" b="9525"/>
                  <wp:docPr id="1802487851" name="Picture 18024878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1" name="Picture 1802487851" descr="Chart, bar chart&#10;&#10;Description automatically generated"/>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885205" cy="1733043"/>
                          </a:xfrm>
                          <a:prstGeom prst="rect">
                            <a:avLst/>
                          </a:prstGeom>
                          <a:noFill/>
                        </pic:spPr>
                      </pic:pic>
                    </a:graphicData>
                  </a:graphic>
                </wp:inline>
              </w:drawing>
            </w:r>
          </w:p>
        </w:tc>
      </w:tr>
      <w:tr w:rsidR="00D80461" w:rsidRPr="00F05A8A" w14:paraId="15D0E651" w14:textId="77777777" w:rsidTr="00142C01">
        <w:tc>
          <w:tcPr>
            <w:tcW w:w="4820" w:type="dxa"/>
          </w:tcPr>
          <w:p w14:paraId="6BD21793"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042C5F61" wp14:editId="3553CEDA">
                  <wp:extent cx="2962800" cy="1710000"/>
                  <wp:effectExtent l="0" t="0" r="0" b="5080"/>
                  <wp:docPr id="1802487826" name="Picture 18024878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26" name="Picture 1802487826" descr="Chart, bar chart&#10;&#10;Description automatically generated"/>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962800" cy="1710000"/>
                          </a:xfrm>
                          <a:prstGeom prst="rect">
                            <a:avLst/>
                          </a:prstGeom>
                          <a:noFill/>
                        </pic:spPr>
                      </pic:pic>
                    </a:graphicData>
                  </a:graphic>
                </wp:inline>
              </w:drawing>
            </w:r>
          </w:p>
        </w:tc>
        <w:tc>
          <w:tcPr>
            <w:tcW w:w="4819" w:type="dxa"/>
          </w:tcPr>
          <w:p w14:paraId="75DF6274"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6B334707" wp14:editId="2938BC79">
                  <wp:extent cx="2915543" cy="1690227"/>
                  <wp:effectExtent l="0" t="0" r="0" b="5715"/>
                  <wp:docPr id="1802487854" name="Picture 18024878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4" name="Picture 1802487854" descr="Chart, bar chart&#10;&#10;Description automatically generated"/>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932898" cy="1700288"/>
                          </a:xfrm>
                          <a:prstGeom prst="rect">
                            <a:avLst/>
                          </a:prstGeom>
                          <a:noFill/>
                        </pic:spPr>
                      </pic:pic>
                    </a:graphicData>
                  </a:graphic>
                </wp:inline>
              </w:drawing>
            </w:r>
          </w:p>
        </w:tc>
      </w:tr>
    </w:tbl>
    <w:p w14:paraId="0A2073BE" w14:textId="77777777" w:rsidR="00D80461" w:rsidRPr="00F05A8A" w:rsidRDefault="00D80461" w:rsidP="002F075E">
      <w:pPr>
        <w:keepNext/>
        <w:spacing w:before="360"/>
      </w:pPr>
      <w:r w:rsidRPr="00F05A8A">
        <w:rPr>
          <w:b/>
          <w:bCs/>
        </w:rPr>
        <w:t>Objectif R.3</w:t>
      </w:r>
      <w:r w:rsidRPr="00F05A8A">
        <w:t xml:space="preserve"> (Échange de connaissances): Encourager l'acquisition et l'échange de connaissances et de savoir-faire dans le domaine des radiocommunications</w:t>
      </w:r>
    </w:p>
    <w:p w14:paraId="1A04E9FC" w14:textId="77777777" w:rsidR="00D80461" w:rsidRPr="00F05A8A" w:rsidRDefault="00D80461" w:rsidP="002F075E">
      <w:pPr>
        <w:pStyle w:val="Headingb"/>
        <w:spacing w:after="120"/>
      </w:pPr>
      <w:bookmarkStart w:id="782" w:name="_Toc41032159"/>
      <w:bookmarkStart w:id="783" w:name="_Toc72846760"/>
      <w:bookmarkStart w:id="784" w:name="_Toc95387615"/>
      <w:r w:rsidRPr="00F05A8A">
        <w:t>Résultats</w:t>
      </w:r>
      <w:bookmarkEnd w:id="782"/>
      <w:bookmarkEnd w:id="783"/>
      <w:bookmarkEnd w:id="7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46263359" w14:textId="77777777" w:rsidTr="00142C01">
        <w:tc>
          <w:tcPr>
            <w:tcW w:w="9629" w:type="dxa"/>
            <w:shd w:val="clear" w:color="auto" w:fill="DBE5F1" w:themeFill="accent1" w:themeFillTint="33"/>
          </w:tcPr>
          <w:p w14:paraId="49913799" w14:textId="77777777" w:rsidR="00D80461" w:rsidRPr="00F05A8A" w:rsidRDefault="00D80461" w:rsidP="002F075E">
            <w:pPr>
              <w:spacing w:after="120"/>
            </w:pPr>
            <w:r w:rsidRPr="00F05A8A">
              <w:t>R.3-a: Renforcement des connaissances et du savoir-faire en ce qui concerne le Règlement des radiocommunications, les Règles de procédure, les accords régionaux, les recommandations et les bonnes pratiques en matière d'utilisation du spectre</w:t>
            </w:r>
          </w:p>
          <w:p w14:paraId="630EB442" w14:textId="77777777" w:rsidR="00D80461" w:rsidRPr="00F05A8A" w:rsidRDefault="00D80461" w:rsidP="002F075E">
            <w:pPr>
              <w:spacing w:after="120"/>
            </w:pPr>
            <w:r w:rsidRPr="00F05A8A">
              <w:t>R.3-b: Renforcement de la participation, en particulier des pays en développement, aux activités de l'UIT-R (y compris par la participation à distance)</w:t>
            </w:r>
          </w:p>
        </w:tc>
      </w:tr>
    </w:tbl>
    <w:p w14:paraId="428CC256" w14:textId="77777777" w:rsidR="00D80461" w:rsidRPr="00F05A8A" w:rsidRDefault="00D80461" w:rsidP="002F075E">
      <w:pPr>
        <w:pStyle w:val="Headingb"/>
        <w:spacing w:after="120"/>
      </w:pPr>
      <w:bookmarkStart w:id="785" w:name="_Toc41032160"/>
      <w:bookmarkStart w:id="786" w:name="_Toc72846761"/>
      <w:bookmarkStart w:id="787" w:name="_Toc95387616"/>
      <w:r w:rsidRPr="00F05A8A">
        <w:lastRenderedPageBreak/>
        <w:t>Progrès accomplis</w:t>
      </w:r>
      <w:bookmarkEnd w:id="785"/>
      <w:bookmarkEnd w:id="786"/>
      <w:bookmarkEnd w:id="787"/>
    </w:p>
    <w:tbl>
      <w:tblPr>
        <w:tblW w:w="0" w:type="auto"/>
        <w:tblLook w:val="04A0" w:firstRow="1" w:lastRow="0" w:firstColumn="1" w:lastColumn="0" w:noHBand="0" w:noVBand="1"/>
      </w:tblPr>
      <w:tblGrid>
        <w:gridCol w:w="4823"/>
        <w:gridCol w:w="4822"/>
      </w:tblGrid>
      <w:tr w:rsidR="00D80461" w:rsidRPr="00F05A8A" w14:paraId="06B5DDAD" w14:textId="77777777" w:rsidTr="00142C01">
        <w:tc>
          <w:tcPr>
            <w:tcW w:w="4861" w:type="dxa"/>
          </w:tcPr>
          <w:p w14:paraId="2D083163" w14:textId="77777777" w:rsidR="00D80461" w:rsidRPr="00F05A8A" w:rsidRDefault="00D80461" w:rsidP="002F075E">
            <w:pPr>
              <w:spacing w:before="240" w:after="240"/>
              <w:jc w:val="center"/>
              <w:rPr>
                <w:rFonts w:cs="Calibri"/>
              </w:rPr>
            </w:pPr>
            <w:r w:rsidRPr="00F05A8A">
              <w:rPr>
                <w:rFonts w:cs="Calibri"/>
                <w:lang w:eastAsia="fr-FR"/>
              </w:rPr>
              <w:drawing>
                <wp:inline distT="0" distB="0" distL="0" distR="0" wp14:anchorId="00A33B36" wp14:editId="11234483">
                  <wp:extent cx="3144735" cy="1879552"/>
                  <wp:effectExtent l="0" t="0" r="0" b="6985"/>
                  <wp:docPr id="1802487855" name="Picture 18024878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5" name="Picture 1802487855" descr="Chart, bar chart&#10;&#10;Description automatically generated"/>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162705" cy="1890292"/>
                          </a:xfrm>
                          <a:prstGeom prst="rect">
                            <a:avLst/>
                          </a:prstGeom>
                          <a:noFill/>
                        </pic:spPr>
                      </pic:pic>
                    </a:graphicData>
                  </a:graphic>
                </wp:inline>
              </w:drawing>
            </w:r>
          </w:p>
        </w:tc>
        <w:tc>
          <w:tcPr>
            <w:tcW w:w="4778" w:type="dxa"/>
          </w:tcPr>
          <w:p w14:paraId="2E5B7C22" w14:textId="77777777" w:rsidR="00D80461" w:rsidRPr="00F05A8A" w:rsidRDefault="00D80461" w:rsidP="002F075E">
            <w:pPr>
              <w:spacing w:before="240" w:after="240"/>
              <w:jc w:val="center"/>
              <w:rPr>
                <w:rFonts w:cs="Calibri"/>
              </w:rPr>
            </w:pPr>
            <w:r w:rsidRPr="00F05A8A">
              <w:rPr>
                <w:rFonts w:cs="Calibri"/>
                <w:lang w:eastAsia="fr-FR"/>
              </w:rPr>
              <w:drawing>
                <wp:inline distT="0" distB="0" distL="0" distR="0" wp14:anchorId="11080A6B" wp14:editId="7C846C05">
                  <wp:extent cx="3143752" cy="1878965"/>
                  <wp:effectExtent l="0" t="0" r="0" b="6985"/>
                  <wp:docPr id="1802487856" name="Picture 18024878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6" name="Picture 1802487856" descr="Chart, bar chart&#10;&#10;Description automatically generated"/>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164367" cy="1891286"/>
                          </a:xfrm>
                          <a:prstGeom prst="rect">
                            <a:avLst/>
                          </a:prstGeom>
                          <a:noFill/>
                        </pic:spPr>
                      </pic:pic>
                    </a:graphicData>
                  </a:graphic>
                </wp:inline>
              </w:drawing>
            </w:r>
          </w:p>
        </w:tc>
      </w:tr>
      <w:tr w:rsidR="00D80461" w:rsidRPr="00F05A8A" w14:paraId="5D54828E" w14:textId="77777777" w:rsidTr="00142C01">
        <w:tc>
          <w:tcPr>
            <w:tcW w:w="4861" w:type="dxa"/>
          </w:tcPr>
          <w:p w14:paraId="0A05E79B" w14:textId="77777777" w:rsidR="00D80461" w:rsidRPr="00F05A8A" w:rsidRDefault="00D80461" w:rsidP="002F075E">
            <w:pPr>
              <w:spacing w:before="240" w:after="240"/>
              <w:jc w:val="center"/>
              <w:rPr>
                <w:rFonts w:cs="Calibri"/>
              </w:rPr>
            </w:pPr>
            <w:r w:rsidRPr="00F05A8A">
              <w:rPr>
                <w:rFonts w:cs="Calibri"/>
                <w:lang w:eastAsia="fr-FR"/>
              </w:rPr>
              <w:drawing>
                <wp:inline distT="0" distB="0" distL="0" distR="0" wp14:anchorId="7F30E666" wp14:editId="1203D2EA">
                  <wp:extent cx="2976268" cy="1610348"/>
                  <wp:effectExtent l="0" t="0" r="0" b="9525"/>
                  <wp:docPr id="544008540" name="Picture 5440085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8540" name="Picture 544008540" descr="Chart, bar chart&#10;&#10;Description automatically generated"/>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993796" cy="1619832"/>
                          </a:xfrm>
                          <a:prstGeom prst="rect">
                            <a:avLst/>
                          </a:prstGeom>
                          <a:noFill/>
                        </pic:spPr>
                      </pic:pic>
                    </a:graphicData>
                  </a:graphic>
                </wp:inline>
              </w:drawing>
            </w:r>
          </w:p>
        </w:tc>
        <w:tc>
          <w:tcPr>
            <w:tcW w:w="4778" w:type="dxa"/>
          </w:tcPr>
          <w:p w14:paraId="1F92C9CD" w14:textId="77777777" w:rsidR="00D80461" w:rsidRPr="00F05A8A" w:rsidRDefault="00D80461" w:rsidP="002F075E">
            <w:pPr>
              <w:spacing w:before="240" w:after="240"/>
              <w:jc w:val="center"/>
              <w:rPr>
                <w:rFonts w:cs="Calibri"/>
              </w:rPr>
            </w:pPr>
            <w:r w:rsidRPr="00F05A8A">
              <w:rPr>
                <w:rFonts w:cs="Calibri"/>
                <w:lang w:eastAsia="fr-FR"/>
              </w:rPr>
              <w:drawing>
                <wp:inline distT="0" distB="0" distL="0" distR="0" wp14:anchorId="37BF183A" wp14:editId="39112BE8">
                  <wp:extent cx="2910459" cy="2000390"/>
                  <wp:effectExtent l="0" t="0" r="4445" b="0"/>
                  <wp:docPr id="1802487857" name="Picture 18024878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7" name="Picture 1802487857" descr="Chart, bar chart&#10;&#10;Description automatically generated"/>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925089" cy="2010446"/>
                          </a:xfrm>
                          <a:prstGeom prst="rect">
                            <a:avLst/>
                          </a:prstGeom>
                          <a:noFill/>
                        </pic:spPr>
                      </pic:pic>
                    </a:graphicData>
                  </a:graphic>
                </wp:inline>
              </w:drawing>
            </w:r>
          </w:p>
        </w:tc>
      </w:tr>
    </w:tbl>
    <w:p w14:paraId="0E216D90" w14:textId="77777777" w:rsidR="00D80461" w:rsidRPr="00F05A8A" w:rsidRDefault="00D80461" w:rsidP="002F075E">
      <w:pPr>
        <w:pStyle w:val="Heading2"/>
      </w:pPr>
      <w:bookmarkStart w:id="788" w:name="_Toc41032161"/>
      <w:bookmarkStart w:id="789" w:name="_Toc72846762"/>
      <w:bookmarkStart w:id="790" w:name="_Toc98513625"/>
      <w:bookmarkStart w:id="791" w:name="_Toc107466590"/>
      <w:r w:rsidRPr="00F05A8A">
        <w:t>Objectifs de l'UIT-T</w:t>
      </w:r>
      <w:bookmarkEnd w:id="788"/>
      <w:bookmarkEnd w:id="789"/>
      <w:bookmarkEnd w:id="790"/>
      <w:bookmarkEnd w:id="791"/>
    </w:p>
    <w:p w14:paraId="3374D6F9" w14:textId="77777777" w:rsidR="00D80461" w:rsidRPr="00F05A8A" w:rsidRDefault="00D80461" w:rsidP="002F075E">
      <w:r w:rsidRPr="00F05A8A">
        <w:rPr>
          <w:b/>
          <w:bCs/>
        </w:rPr>
        <w:t>Objectif T.1</w:t>
      </w:r>
      <w:r w:rsidRPr="00F05A8A">
        <w:t xml:space="preserve"> (Élaboration de normes): Élaborer dans les meilleurs délais des normes internationales non discriminatoires (Recommandations UIT-T) dans le domaine des télécommunications/TIC et promouvoir l'interopérabilité et l'amélioration de la qualité de fonctionnement des équipements, des réseaux, des services et des applications</w:t>
      </w:r>
    </w:p>
    <w:p w14:paraId="2467E800" w14:textId="77777777" w:rsidR="00D80461" w:rsidRPr="00F05A8A" w:rsidRDefault="00D80461" w:rsidP="002F075E">
      <w:pPr>
        <w:pStyle w:val="Headingb"/>
        <w:spacing w:after="120"/>
      </w:pPr>
      <w:bookmarkStart w:id="792" w:name="_Toc41032162"/>
      <w:bookmarkStart w:id="793" w:name="_Toc72846763"/>
      <w:bookmarkStart w:id="794" w:name="_Toc95387618"/>
      <w:r w:rsidRPr="00F05A8A">
        <w:t>Résultats</w:t>
      </w:r>
      <w:bookmarkEnd w:id="792"/>
      <w:bookmarkEnd w:id="793"/>
      <w:bookmarkEnd w:id="794"/>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5C9C2B44" w14:textId="77777777" w:rsidTr="00142C01">
        <w:tc>
          <w:tcPr>
            <w:tcW w:w="9629" w:type="dxa"/>
            <w:shd w:val="clear" w:color="auto" w:fill="DBE5F1" w:themeFill="accent1" w:themeFillTint="33"/>
          </w:tcPr>
          <w:p w14:paraId="413BFDCC" w14:textId="77777777" w:rsidR="00D80461" w:rsidRPr="00F05A8A" w:rsidRDefault="00D80461" w:rsidP="002F075E">
            <w:r w:rsidRPr="00F05A8A">
              <w:t>T.1-a: Utilisation accrue des Recommandations UIT-T</w:t>
            </w:r>
          </w:p>
          <w:p w14:paraId="358464FC" w14:textId="77777777" w:rsidR="00D80461" w:rsidRPr="00F05A8A" w:rsidRDefault="00D80461" w:rsidP="002F075E">
            <w:r w:rsidRPr="00F05A8A">
              <w:t>T.1-b: Amélioration de la conformité aux Recommandations UIT-T</w:t>
            </w:r>
          </w:p>
          <w:p w14:paraId="3322E446" w14:textId="77777777" w:rsidR="00D80461" w:rsidRPr="00F05A8A" w:rsidRDefault="00D80461" w:rsidP="002F075E">
            <w:pPr>
              <w:spacing w:after="120"/>
            </w:pPr>
            <w:r w:rsidRPr="00F05A8A">
              <w:t>T.1-c: Amélioration des normes applicables aux nouvelles technologies et aux nouveaux services</w:t>
            </w:r>
          </w:p>
        </w:tc>
      </w:tr>
    </w:tbl>
    <w:p w14:paraId="6E34C7BC" w14:textId="77777777" w:rsidR="00D80461" w:rsidRPr="00F05A8A" w:rsidRDefault="00D80461" w:rsidP="002F075E">
      <w:pPr>
        <w:pStyle w:val="Headingb"/>
        <w:spacing w:after="120"/>
      </w:pPr>
      <w:bookmarkStart w:id="795" w:name="_Toc41032163"/>
      <w:bookmarkStart w:id="796" w:name="_Toc72846764"/>
      <w:bookmarkStart w:id="797" w:name="_Toc95387619"/>
      <w:r w:rsidRPr="00F05A8A">
        <w:lastRenderedPageBreak/>
        <w:t>Progrès accomplis</w:t>
      </w:r>
      <w:bookmarkEnd w:id="795"/>
      <w:bookmarkEnd w:id="796"/>
      <w:bookmarkEnd w:id="797"/>
    </w:p>
    <w:tbl>
      <w:tblPr>
        <w:tblW w:w="0" w:type="auto"/>
        <w:tblLook w:val="04A0" w:firstRow="1" w:lastRow="0" w:firstColumn="1" w:lastColumn="0" w:noHBand="0" w:noVBand="1"/>
      </w:tblPr>
      <w:tblGrid>
        <w:gridCol w:w="4833"/>
        <w:gridCol w:w="4812"/>
      </w:tblGrid>
      <w:tr w:rsidR="00D80461" w:rsidRPr="00F05A8A" w14:paraId="145F44FA" w14:textId="77777777" w:rsidTr="00142C01">
        <w:tc>
          <w:tcPr>
            <w:tcW w:w="4819" w:type="dxa"/>
          </w:tcPr>
          <w:p w14:paraId="79DF770C" w14:textId="77777777" w:rsidR="00D80461" w:rsidRPr="00F05A8A" w:rsidRDefault="00D80461" w:rsidP="002F075E">
            <w:pPr>
              <w:keepNext/>
              <w:keepLines/>
              <w:rPr>
                <w:rFonts w:cs="Calibri"/>
                <w:b/>
                <w:bCs/>
              </w:rPr>
            </w:pPr>
            <w:bookmarkStart w:id="798" w:name="lt_pId1571"/>
            <w:r w:rsidRPr="00F05A8A">
              <w:rPr>
                <w:rFonts w:cs="Calibri"/>
                <w:b/>
                <w:bCs/>
              </w:rPr>
              <w:t>T.1-a</w:t>
            </w:r>
            <w:bookmarkEnd w:id="798"/>
          </w:p>
        </w:tc>
        <w:tc>
          <w:tcPr>
            <w:tcW w:w="4820" w:type="dxa"/>
          </w:tcPr>
          <w:p w14:paraId="0CE6FC07" w14:textId="77777777" w:rsidR="00D80461" w:rsidRPr="00F05A8A" w:rsidRDefault="00D80461" w:rsidP="002F075E">
            <w:pPr>
              <w:keepNext/>
              <w:keepLines/>
              <w:rPr>
                <w:rFonts w:cs="Calibri"/>
                <w:b/>
                <w:bCs/>
              </w:rPr>
            </w:pPr>
          </w:p>
        </w:tc>
      </w:tr>
      <w:tr w:rsidR="00D80461" w:rsidRPr="00F05A8A" w14:paraId="5D872CA3" w14:textId="77777777" w:rsidTr="00142C01">
        <w:tc>
          <w:tcPr>
            <w:tcW w:w="4819" w:type="dxa"/>
          </w:tcPr>
          <w:p w14:paraId="25E5F9A6" w14:textId="77777777" w:rsidR="00D80461" w:rsidRPr="00F05A8A" w:rsidRDefault="00D80461" w:rsidP="002F075E">
            <w:pPr>
              <w:keepNext/>
              <w:keepLines/>
              <w:spacing w:before="240" w:after="240"/>
              <w:jc w:val="center"/>
              <w:rPr>
                <w:rFonts w:cs="Calibri"/>
                <w:b/>
                <w:bCs/>
              </w:rPr>
            </w:pPr>
            <w:r w:rsidRPr="00F05A8A">
              <w:rPr>
                <w:rFonts w:cs="Calibri"/>
                <w:b/>
                <w:bCs/>
                <w:lang w:eastAsia="fr-FR"/>
              </w:rPr>
              <w:drawing>
                <wp:inline distT="0" distB="0" distL="0" distR="0" wp14:anchorId="62CE3E05" wp14:editId="1D2E1E62">
                  <wp:extent cx="3042946" cy="1827793"/>
                  <wp:effectExtent l="0" t="0" r="5080" b="1270"/>
                  <wp:docPr id="1802487859" name="Picture 18024878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9" name="Picture 1802487859" descr="Chart, bar chart&#10;&#10;Description automatically generated"/>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65236" cy="1841182"/>
                          </a:xfrm>
                          <a:prstGeom prst="rect">
                            <a:avLst/>
                          </a:prstGeom>
                          <a:noFill/>
                        </pic:spPr>
                      </pic:pic>
                    </a:graphicData>
                  </a:graphic>
                </wp:inline>
              </w:drawing>
            </w:r>
          </w:p>
        </w:tc>
        <w:tc>
          <w:tcPr>
            <w:tcW w:w="4820" w:type="dxa"/>
          </w:tcPr>
          <w:p w14:paraId="02A70C15" w14:textId="77777777" w:rsidR="00D80461" w:rsidRPr="00F05A8A" w:rsidRDefault="00D80461" w:rsidP="002F075E">
            <w:pPr>
              <w:keepNext/>
              <w:keepLines/>
              <w:spacing w:before="240" w:after="240"/>
              <w:jc w:val="center"/>
              <w:rPr>
                <w:rFonts w:cs="Calibri"/>
                <w:b/>
                <w:bCs/>
              </w:rPr>
            </w:pPr>
            <w:r w:rsidRPr="00F05A8A">
              <w:rPr>
                <w:rFonts w:cs="Calibri"/>
                <w:b/>
                <w:bCs/>
                <w:lang w:eastAsia="fr-FR"/>
              </w:rPr>
              <w:drawing>
                <wp:inline distT="0" distB="0" distL="0" distR="0" wp14:anchorId="0D5063E8" wp14:editId="601567A3">
                  <wp:extent cx="2977675" cy="1763814"/>
                  <wp:effectExtent l="0" t="0" r="0" b="8255"/>
                  <wp:docPr id="1802487858" name="Picture 180248785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58" name="Picture 1802487858" descr="A picture containing chart&#10;&#10;Description automatically generated"/>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991554" cy="1772035"/>
                          </a:xfrm>
                          <a:prstGeom prst="rect">
                            <a:avLst/>
                          </a:prstGeom>
                          <a:noFill/>
                        </pic:spPr>
                      </pic:pic>
                    </a:graphicData>
                  </a:graphic>
                </wp:inline>
              </w:drawing>
            </w:r>
          </w:p>
        </w:tc>
      </w:tr>
      <w:tr w:rsidR="00D80461" w:rsidRPr="00F05A8A" w14:paraId="1042876F" w14:textId="77777777" w:rsidTr="00142C01">
        <w:tc>
          <w:tcPr>
            <w:tcW w:w="9639" w:type="dxa"/>
            <w:gridSpan w:val="2"/>
          </w:tcPr>
          <w:p w14:paraId="25C84D19"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3035C670" wp14:editId="1A0A7195">
                  <wp:extent cx="3297600" cy="1929600"/>
                  <wp:effectExtent l="0" t="0" r="0" b="0"/>
                  <wp:docPr id="203575404" name="Picture 20357540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04" name="Picture 203575404" descr="Chart, bar chart&#10;&#10;Description automatically generated"/>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297600" cy="1929600"/>
                          </a:xfrm>
                          <a:prstGeom prst="rect">
                            <a:avLst/>
                          </a:prstGeom>
                          <a:noFill/>
                        </pic:spPr>
                      </pic:pic>
                    </a:graphicData>
                  </a:graphic>
                </wp:inline>
              </w:drawing>
            </w:r>
          </w:p>
        </w:tc>
      </w:tr>
      <w:tr w:rsidR="00D80461" w:rsidRPr="00F05A8A" w14:paraId="314298D3" w14:textId="77777777" w:rsidTr="00142C01">
        <w:tc>
          <w:tcPr>
            <w:tcW w:w="4819" w:type="dxa"/>
          </w:tcPr>
          <w:p w14:paraId="63526E83"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1DB43221" wp14:editId="24F3DD07">
                  <wp:extent cx="3054206" cy="1871932"/>
                  <wp:effectExtent l="0" t="0" r="0" b="0"/>
                  <wp:docPr id="1802487860" name="Picture 18024878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0" name="Picture 1802487860" descr="Chart, line chart&#10;&#10;Description automatically generated"/>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070439" cy="1881881"/>
                          </a:xfrm>
                          <a:prstGeom prst="rect">
                            <a:avLst/>
                          </a:prstGeom>
                          <a:noFill/>
                        </pic:spPr>
                      </pic:pic>
                    </a:graphicData>
                  </a:graphic>
                </wp:inline>
              </w:drawing>
            </w:r>
          </w:p>
        </w:tc>
        <w:tc>
          <w:tcPr>
            <w:tcW w:w="4820" w:type="dxa"/>
          </w:tcPr>
          <w:p w14:paraId="6C66727A"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3A73227F" wp14:editId="6DFF2A84">
                  <wp:extent cx="2993440" cy="1751162"/>
                  <wp:effectExtent l="0" t="0" r="0" b="1905"/>
                  <wp:docPr id="1802487861" name="Picture 18024878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1" name="Picture 1802487861" descr="Chart, bar chart&#10;&#10;Description automatically generated"/>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018491" cy="1765817"/>
                          </a:xfrm>
                          <a:prstGeom prst="rect">
                            <a:avLst/>
                          </a:prstGeom>
                          <a:noFill/>
                        </pic:spPr>
                      </pic:pic>
                    </a:graphicData>
                  </a:graphic>
                </wp:inline>
              </w:drawing>
            </w:r>
          </w:p>
        </w:tc>
      </w:tr>
      <w:tr w:rsidR="00D80461" w:rsidRPr="00F05A8A" w14:paraId="6925F2AB" w14:textId="77777777" w:rsidTr="00142C01">
        <w:tc>
          <w:tcPr>
            <w:tcW w:w="4819" w:type="dxa"/>
          </w:tcPr>
          <w:p w14:paraId="62ED9CB5" w14:textId="77777777" w:rsidR="00D80461" w:rsidRPr="00F05A8A" w:rsidRDefault="00D80461" w:rsidP="002F075E">
            <w:pPr>
              <w:keepNext/>
              <w:rPr>
                <w:rFonts w:cs="Calibri"/>
              </w:rPr>
            </w:pPr>
            <w:bookmarkStart w:id="799" w:name="lt_pId1572"/>
            <w:r w:rsidRPr="00F05A8A">
              <w:rPr>
                <w:rFonts w:cs="Calibri"/>
                <w:b/>
                <w:bCs/>
              </w:rPr>
              <w:t>T.1-b</w:t>
            </w:r>
            <w:bookmarkEnd w:id="799"/>
          </w:p>
        </w:tc>
        <w:tc>
          <w:tcPr>
            <w:tcW w:w="4820" w:type="dxa"/>
          </w:tcPr>
          <w:p w14:paraId="50A1C596" w14:textId="77777777" w:rsidR="00D80461" w:rsidRPr="00F05A8A" w:rsidRDefault="00D80461" w:rsidP="002F075E">
            <w:pPr>
              <w:rPr>
                <w:rFonts w:cs="Calibri"/>
                <w:b/>
                <w:bCs/>
              </w:rPr>
            </w:pPr>
          </w:p>
        </w:tc>
      </w:tr>
      <w:tr w:rsidR="00D80461" w:rsidRPr="00F05A8A" w14:paraId="4B33E26D" w14:textId="77777777" w:rsidTr="00142C01">
        <w:tc>
          <w:tcPr>
            <w:tcW w:w="4819" w:type="dxa"/>
          </w:tcPr>
          <w:p w14:paraId="6FDB6887" w14:textId="77777777" w:rsidR="00D80461" w:rsidRPr="00F05A8A" w:rsidRDefault="00D80461" w:rsidP="002F075E">
            <w:pPr>
              <w:spacing w:before="240" w:after="240"/>
              <w:jc w:val="center"/>
              <w:rPr>
                <w:rFonts w:cs="Calibri"/>
                <w:b/>
                <w:bCs/>
              </w:rPr>
            </w:pPr>
          </w:p>
        </w:tc>
        <w:tc>
          <w:tcPr>
            <w:tcW w:w="4820" w:type="dxa"/>
          </w:tcPr>
          <w:p w14:paraId="4F45FE26" w14:textId="77777777" w:rsidR="00D80461" w:rsidRPr="00F05A8A" w:rsidRDefault="00D80461" w:rsidP="002F075E">
            <w:pPr>
              <w:spacing w:before="240" w:after="240"/>
              <w:jc w:val="center"/>
              <w:rPr>
                <w:rFonts w:cs="Calibri"/>
                <w:b/>
                <w:bCs/>
              </w:rPr>
            </w:pPr>
          </w:p>
        </w:tc>
      </w:tr>
      <w:tr w:rsidR="00D80461" w:rsidRPr="00F05A8A" w14:paraId="33BE693E" w14:textId="77777777" w:rsidTr="00142C01">
        <w:tc>
          <w:tcPr>
            <w:tcW w:w="4819" w:type="dxa"/>
          </w:tcPr>
          <w:p w14:paraId="20825BA6" w14:textId="77777777" w:rsidR="00D80461" w:rsidRPr="00F05A8A" w:rsidRDefault="00D80461" w:rsidP="002F075E">
            <w:pPr>
              <w:keepNext/>
              <w:keepLines/>
              <w:rPr>
                <w:rFonts w:cs="Calibri"/>
                <w:b/>
                <w:bCs/>
              </w:rPr>
            </w:pPr>
            <w:bookmarkStart w:id="800" w:name="lt_pId1573"/>
            <w:r w:rsidRPr="00F05A8A">
              <w:rPr>
                <w:rFonts w:cs="Calibri"/>
                <w:b/>
                <w:bCs/>
              </w:rPr>
              <w:lastRenderedPageBreak/>
              <w:t>T.1-c</w:t>
            </w:r>
            <w:bookmarkEnd w:id="800"/>
          </w:p>
        </w:tc>
        <w:tc>
          <w:tcPr>
            <w:tcW w:w="4820" w:type="dxa"/>
          </w:tcPr>
          <w:p w14:paraId="44029FEF" w14:textId="77777777" w:rsidR="00D80461" w:rsidRPr="00F05A8A" w:rsidRDefault="00D80461" w:rsidP="002F075E">
            <w:pPr>
              <w:keepNext/>
              <w:keepLines/>
              <w:rPr>
                <w:rFonts w:cs="Calibri"/>
                <w:b/>
                <w:bCs/>
              </w:rPr>
            </w:pPr>
          </w:p>
        </w:tc>
      </w:tr>
      <w:tr w:rsidR="00D80461" w:rsidRPr="00F05A8A" w14:paraId="3719B3F5" w14:textId="77777777" w:rsidTr="00142C01">
        <w:tc>
          <w:tcPr>
            <w:tcW w:w="4819" w:type="dxa"/>
          </w:tcPr>
          <w:p w14:paraId="2AD84C10" w14:textId="77777777" w:rsidR="00D80461" w:rsidRPr="00F05A8A" w:rsidRDefault="00D80461" w:rsidP="002F075E">
            <w:pPr>
              <w:keepNext/>
              <w:keepLines/>
              <w:spacing w:before="240" w:after="240"/>
              <w:rPr>
                <w:rFonts w:cs="Calibri"/>
                <w:b/>
                <w:bCs/>
              </w:rPr>
            </w:pPr>
            <w:r w:rsidRPr="00F05A8A">
              <w:rPr>
                <w:rFonts w:cs="Calibri"/>
                <w:b/>
                <w:bCs/>
                <w:lang w:eastAsia="fr-FR"/>
              </w:rPr>
              <w:drawing>
                <wp:inline distT="0" distB="0" distL="0" distR="0" wp14:anchorId="710EF59F" wp14:editId="65F1D5B6">
                  <wp:extent cx="3137870" cy="1858705"/>
                  <wp:effectExtent l="0" t="0" r="5715" b="8255"/>
                  <wp:docPr id="1802487862" name="Picture 18024878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2" name="Picture 1802487862" descr="Chart, bar chart&#10;&#10;Description automatically generated"/>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150459" cy="1866162"/>
                          </a:xfrm>
                          <a:prstGeom prst="rect">
                            <a:avLst/>
                          </a:prstGeom>
                          <a:noFill/>
                        </pic:spPr>
                      </pic:pic>
                    </a:graphicData>
                  </a:graphic>
                </wp:inline>
              </w:drawing>
            </w:r>
          </w:p>
        </w:tc>
        <w:tc>
          <w:tcPr>
            <w:tcW w:w="4820" w:type="dxa"/>
          </w:tcPr>
          <w:p w14:paraId="46EAC1CD" w14:textId="77777777" w:rsidR="00D80461" w:rsidRPr="00F05A8A" w:rsidRDefault="00D80461" w:rsidP="002F075E">
            <w:pPr>
              <w:keepNext/>
              <w:keepLines/>
              <w:spacing w:before="240" w:after="240"/>
              <w:rPr>
                <w:rFonts w:cs="Calibri"/>
                <w:b/>
                <w:bCs/>
              </w:rPr>
            </w:pPr>
            <w:r w:rsidRPr="00F05A8A">
              <w:rPr>
                <w:rFonts w:cs="Calibri"/>
                <w:b/>
                <w:bCs/>
                <w:lang w:eastAsia="fr-FR"/>
              </w:rPr>
              <w:drawing>
                <wp:inline distT="0" distB="0" distL="0" distR="0" wp14:anchorId="09A09830" wp14:editId="70FB2095">
                  <wp:extent cx="3129116" cy="1879552"/>
                  <wp:effectExtent l="0" t="0" r="0" b="6985"/>
                  <wp:docPr id="1802487863" name="Picture 18024878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3" name="Picture 1802487863" descr="Chart, bar chart&#10;&#10;Description automatically generated"/>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144927" cy="1889049"/>
                          </a:xfrm>
                          <a:prstGeom prst="rect">
                            <a:avLst/>
                          </a:prstGeom>
                          <a:noFill/>
                        </pic:spPr>
                      </pic:pic>
                    </a:graphicData>
                  </a:graphic>
                </wp:inline>
              </w:drawing>
            </w:r>
          </w:p>
        </w:tc>
      </w:tr>
      <w:tr w:rsidR="00D80461" w:rsidRPr="00F05A8A" w14:paraId="1ECCA7C3" w14:textId="77777777" w:rsidTr="00142C01">
        <w:tc>
          <w:tcPr>
            <w:tcW w:w="4819" w:type="dxa"/>
          </w:tcPr>
          <w:p w14:paraId="701999B7" w14:textId="77777777" w:rsidR="00D80461" w:rsidRPr="00F05A8A" w:rsidRDefault="00D80461" w:rsidP="002F075E">
            <w:pPr>
              <w:spacing w:before="240" w:after="240"/>
              <w:rPr>
                <w:rFonts w:cs="Calibri"/>
                <w:b/>
                <w:bCs/>
              </w:rPr>
            </w:pPr>
            <w:r w:rsidRPr="00F05A8A">
              <w:rPr>
                <w:b/>
                <w:bCs/>
                <w:lang w:eastAsia="fr-FR"/>
              </w:rPr>
              <w:drawing>
                <wp:inline distT="0" distB="0" distL="0" distR="0" wp14:anchorId="6D1DE857" wp14:editId="2F674752">
                  <wp:extent cx="2582266" cy="1601234"/>
                  <wp:effectExtent l="0" t="0" r="8890" b="0"/>
                  <wp:docPr id="1802487864" name="Picture 18024878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4" name="Picture 1802487864" descr="Chart, line chart&#10;&#10;Description automatically generated"/>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613671" cy="1620708"/>
                          </a:xfrm>
                          <a:prstGeom prst="rect">
                            <a:avLst/>
                          </a:prstGeom>
                          <a:noFill/>
                        </pic:spPr>
                      </pic:pic>
                    </a:graphicData>
                  </a:graphic>
                </wp:inline>
              </w:drawing>
            </w:r>
          </w:p>
          <w:p w14:paraId="212AE7E9" w14:textId="77777777" w:rsidR="00D80461" w:rsidRPr="00F05A8A" w:rsidRDefault="00D80461" w:rsidP="002F075E">
            <w:pPr>
              <w:spacing w:before="240" w:after="240"/>
              <w:rPr>
                <w:rFonts w:cs="Calibri"/>
                <w:bCs/>
              </w:rPr>
            </w:pPr>
            <w:r w:rsidRPr="00F05A8A">
              <w:rPr>
                <w:rFonts w:cs="Calibri"/>
                <w:bCs/>
              </w:rPr>
              <w:t>Légende: Nombre de Recommandations décrivant des spécifications de test</w:t>
            </w:r>
          </w:p>
        </w:tc>
        <w:tc>
          <w:tcPr>
            <w:tcW w:w="4820" w:type="dxa"/>
          </w:tcPr>
          <w:p w14:paraId="060F94D0" w14:textId="77777777" w:rsidR="00D80461" w:rsidRPr="00F05A8A" w:rsidRDefault="00D80461" w:rsidP="002F075E">
            <w:pPr>
              <w:spacing w:before="240" w:after="240"/>
              <w:rPr>
                <w:rFonts w:cs="Calibri"/>
                <w:b/>
                <w:bCs/>
              </w:rPr>
            </w:pPr>
          </w:p>
        </w:tc>
      </w:tr>
    </w:tbl>
    <w:p w14:paraId="2C4CA029" w14:textId="77777777" w:rsidR="00D80461" w:rsidRPr="00F05A8A" w:rsidRDefault="00D80461" w:rsidP="002F075E">
      <w:pPr>
        <w:spacing w:before="360"/>
      </w:pPr>
      <w:r w:rsidRPr="00F05A8A">
        <w:rPr>
          <w:b/>
        </w:rPr>
        <w:t xml:space="preserve">Objectif T.2 </w:t>
      </w:r>
      <w:r w:rsidRPr="00F05A8A">
        <w:t>(Réduire l'écart en matière de normalisation): Encourager la participation active des membres, en particulier ceux des pays en développement, à la définition et à l'adoption de normes internationales non discriminatoires (Recommandations UIT-T) dans en vue de réduire l'écart en matière de normalisation</w:t>
      </w:r>
    </w:p>
    <w:p w14:paraId="12A900D7" w14:textId="77777777" w:rsidR="00D80461" w:rsidRPr="00F05A8A" w:rsidRDefault="00D80461" w:rsidP="002F075E">
      <w:pPr>
        <w:pStyle w:val="Headingb"/>
        <w:spacing w:after="120"/>
      </w:pPr>
      <w:bookmarkStart w:id="801" w:name="_Toc41032164"/>
      <w:bookmarkStart w:id="802" w:name="_Toc72846765"/>
      <w:bookmarkStart w:id="803" w:name="_Toc95387620"/>
      <w:r w:rsidRPr="00F05A8A">
        <w:t>Résultats</w:t>
      </w:r>
      <w:bookmarkEnd w:id="801"/>
      <w:bookmarkEnd w:id="802"/>
      <w:bookmarkEnd w:id="803"/>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5480B484" w14:textId="77777777" w:rsidTr="00142C01">
        <w:tc>
          <w:tcPr>
            <w:tcW w:w="9629" w:type="dxa"/>
            <w:shd w:val="clear" w:color="auto" w:fill="DBE5F1" w:themeFill="accent1" w:themeFillTint="33"/>
          </w:tcPr>
          <w:p w14:paraId="7891F791" w14:textId="77777777" w:rsidR="00D80461" w:rsidRPr="00F05A8A" w:rsidRDefault="00D80461" w:rsidP="002F075E">
            <w:r w:rsidRPr="00F05A8A">
              <w:t>T.2-a: Participation accrue, en particulier des pays en développement, aux travaux de normalisation de l'UIT-T, notamment en ce qui concerne la participation aux réunions, la soumission de contributions, l'exercice de fonctions, à des postes à responsabilité, et l'organisation de réunions ou d'ateliers</w:t>
            </w:r>
          </w:p>
          <w:p w14:paraId="12D3701D" w14:textId="77777777" w:rsidR="00D80461" w:rsidRPr="00F05A8A" w:rsidRDefault="00D80461" w:rsidP="002F075E">
            <w:pPr>
              <w:spacing w:after="120"/>
            </w:pPr>
            <w:r w:rsidRPr="00F05A8A">
              <w:t>T.2-b: Augmentation du nombre de membres de l'UIT-T, notamment de Membres de Secteur, d'Associés et d'établissements universitaires</w:t>
            </w:r>
          </w:p>
        </w:tc>
      </w:tr>
    </w:tbl>
    <w:p w14:paraId="689A1DB1" w14:textId="77777777" w:rsidR="00D80461" w:rsidRPr="00F05A8A" w:rsidRDefault="00D80461" w:rsidP="002F075E">
      <w:pPr>
        <w:pStyle w:val="Headingb"/>
        <w:spacing w:after="120"/>
        <w:rPr>
          <w:highlight w:val="lightGray"/>
        </w:rPr>
      </w:pPr>
      <w:bookmarkStart w:id="804" w:name="_Toc41032165"/>
      <w:bookmarkStart w:id="805" w:name="_Toc72846766"/>
      <w:bookmarkStart w:id="806" w:name="_Toc95387621"/>
      <w:r w:rsidRPr="00F05A8A">
        <w:lastRenderedPageBreak/>
        <w:t>Progrès accomplis</w:t>
      </w:r>
      <w:bookmarkEnd w:id="804"/>
      <w:bookmarkEnd w:id="805"/>
      <w:bookmarkEnd w:id="806"/>
    </w:p>
    <w:tbl>
      <w:tblPr>
        <w:tblW w:w="0" w:type="auto"/>
        <w:tblLook w:val="04A0" w:firstRow="1" w:lastRow="0" w:firstColumn="1" w:lastColumn="0" w:noHBand="0" w:noVBand="1"/>
      </w:tblPr>
      <w:tblGrid>
        <w:gridCol w:w="4871"/>
        <w:gridCol w:w="4774"/>
      </w:tblGrid>
      <w:tr w:rsidR="00D80461" w:rsidRPr="00F05A8A" w14:paraId="1C1EE140" w14:textId="77777777" w:rsidTr="00142C01">
        <w:tc>
          <w:tcPr>
            <w:tcW w:w="4683" w:type="dxa"/>
          </w:tcPr>
          <w:p w14:paraId="7B720529" w14:textId="77777777" w:rsidR="00D80461" w:rsidRPr="00F05A8A" w:rsidRDefault="00D80461" w:rsidP="002F075E">
            <w:pPr>
              <w:keepNext/>
              <w:keepLines/>
              <w:rPr>
                <w:rFonts w:cs="Calibri"/>
                <w:b/>
                <w:bCs/>
              </w:rPr>
            </w:pPr>
            <w:bookmarkStart w:id="807" w:name="lt_pId1579"/>
            <w:r w:rsidRPr="00F05A8A">
              <w:rPr>
                <w:rFonts w:cs="Calibri"/>
                <w:b/>
                <w:bCs/>
              </w:rPr>
              <w:t>T.2-a</w:t>
            </w:r>
            <w:bookmarkEnd w:id="807"/>
          </w:p>
        </w:tc>
        <w:tc>
          <w:tcPr>
            <w:tcW w:w="4956" w:type="dxa"/>
          </w:tcPr>
          <w:p w14:paraId="603CEB61" w14:textId="77777777" w:rsidR="00D80461" w:rsidRPr="00F05A8A" w:rsidRDefault="00D80461" w:rsidP="002F075E">
            <w:pPr>
              <w:keepNext/>
              <w:keepLines/>
              <w:rPr>
                <w:rFonts w:cs="Calibri"/>
                <w:b/>
                <w:bCs/>
              </w:rPr>
            </w:pPr>
          </w:p>
        </w:tc>
      </w:tr>
      <w:tr w:rsidR="00D80461" w:rsidRPr="00F05A8A" w14:paraId="2CE4FA58" w14:textId="77777777" w:rsidTr="00142C01">
        <w:tc>
          <w:tcPr>
            <w:tcW w:w="4683" w:type="dxa"/>
          </w:tcPr>
          <w:p w14:paraId="67B41523"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2827D60E" wp14:editId="1B4B9295">
                  <wp:extent cx="3042489" cy="1406028"/>
                  <wp:effectExtent l="0" t="0" r="5715" b="3810"/>
                  <wp:docPr id="1802487865" name="Picture 180248786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5" name="Picture 1802487865" descr="Chart, bar chart&#10;&#10;Description automatically generated"/>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062927" cy="1415473"/>
                          </a:xfrm>
                          <a:prstGeom prst="rect">
                            <a:avLst/>
                          </a:prstGeom>
                          <a:noFill/>
                        </pic:spPr>
                      </pic:pic>
                    </a:graphicData>
                  </a:graphic>
                </wp:inline>
              </w:drawing>
            </w:r>
          </w:p>
        </w:tc>
        <w:tc>
          <w:tcPr>
            <w:tcW w:w="4956" w:type="dxa"/>
          </w:tcPr>
          <w:p w14:paraId="029BC519"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3D431A26" wp14:editId="524EEA3D">
                  <wp:extent cx="2803759" cy="1553497"/>
                  <wp:effectExtent l="0" t="0" r="0" b="8890"/>
                  <wp:docPr id="1802487866" name="Picture 180248786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6" name="Picture 1802487866" descr="Chart, bar chart&#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831416" cy="1568821"/>
                          </a:xfrm>
                          <a:prstGeom prst="rect">
                            <a:avLst/>
                          </a:prstGeom>
                          <a:noFill/>
                        </pic:spPr>
                      </pic:pic>
                    </a:graphicData>
                  </a:graphic>
                </wp:inline>
              </w:drawing>
            </w:r>
          </w:p>
        </w:tc>
      </w:tr>
      <w:tr w:rsidR="00D80461" w:rsidRPr="00F05A8A" w14:paraId="3212F4C0" w14:textId="77777777" w:rsidTr="00142C01">
        <w:tc>
          <w:tcPr>
            <w:tcW w:w="4683" w:type="dxa"/>
          </w:tcPr>
          <w:p w14:paraId="6764C687"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387CF61C" wp14:editId="2CFA62BF">
                  <wp:extent cx="2968217" cy="1756195"/>
                  <wp:effectExtent l="0" t="0" r="3810" b="0"/>
                  <wp:docPr id="1802487868" name="Picture 18024878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8" name="Picture 1802487868" descr="Chart, line chart&#10;&#10;Description automatically generated"/>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978967" cy="1762556"/>
                          </a:xfrm>
                          <a:prstGeom prst="rect">
                            <a:avLst/>
                          </a:prstGeom>
                          <a:noFill/>
                        </pic:spPr>
                      </pic:pic>
                    </a:graphicData>
                  </a:graphic>
                </wp:inline>
              </w:drawing>
            </w:r>
          </w:p>
        </w:tc>
        <w:tc>
          <w:tcPr>
            <w:tcW w:w="4956" w:type="dxa"/>
          </w:tcPr>
          <w:p w14:paraId="2021219B" w14:textId="77777777" w:rsidR="00D80461" w:rsidRPr="00F05A8A" w:rsidRDefault="00D80461" w:rsidP="002F075E">
            <w:pPr>
              <w:spacing w:before="240" w:after="240"/>
              <w:jc w:val="center"/>
            </w:pPr>
            <w:r w:rsidRPr="00F05A8A">
              <w:rPr>
                <w:lang w:eastAsia="fr-FR"/>
              </w:rPr>
              <w:drawing>
                <wp:inline distT="0" distB="0" distL="0" distR="0" wp14:anchorId="1CAAF34F" wp14:editId="6544E0D5">
                  <wp:extent cx="2966673" cy="1777042"/>
                  <wp:effectExtent l="0" t="0" r="5715" b="0"/>
                  <wp:docPr id="1802487867" name="Picture 180248786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7" name="Picture 1802487867" descr="A picture containing chart&#10;&#10;Description automatically generated"/>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981601" cy="1785984"/>
                          </a:xfrm>
                          <a:prstGeom prst="rect">
                            <a:avLst/>
                          </a:prstGeom>
                          <a:noFill/>
                        </pic:spPr>
                      </pic:pic>
                    </a:graphicData>
                  </a:graphic>
                </wp:inline>
              </w:drawing>
            </w:r>
          </w:p>
        </w:tc>
      </w:tr>
      <w:tr w:rsidR="00D80461" w:rsidRPr="00F05A8A" w14:paraId="3E49847F" w14:textId="77777777" w:rsidTr="00142C01">
        <w:tc>
          <w:tcPr>
            <w:tcW w:w="4683" w:type="dxa"/>
          </w:tcPr>
          <w:p w14:paraId="1C44417E" w14:textId="77777777" w:rsidR="00D80461" w:rsidRPr="00F05A8A" w:rsidRDefault="00D80461" w:rsidP="002F075E">
            <w:pPr>
              <w:spacing w:before="240" w:after="240"/>
              <w:rPr>
                <w:rFonts w:cs="Calibri"/>
                <w:b/>
                <w:bCs/>
              </w:rPr>
            </w:pPr>
            <w:r w:rsidRPr="00F05A8A">
              <w:rPr>
                <w:rFonts w:cs="Calibri"/>
                <w:b/>
                <w:bCs/>
                <w:lang w:eastAsia="fr-FR"/>
              </w:rPr>
              <w:drawing>
                <wp:inline distT="0" distB="0" distL="0" distR="0" wp14:anchorId="1E7241FE" wp14:editId="205A755B">
                  <wp:extent cx="2951400" cy="1660441"/>
                  <wp:effectExtent l="0" t="0" r="1905" b="0"/>
                  <wp:docPr id="1802487869" name="Picture 18024878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69" name="Picture 1802487869" descr="Chart, line chart&#10;&#10;Description automatically generated"/>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964236" cy="1667662"/>
                          </a:xfrm>
                          <a:prstGeom prst="rect">
                            <a:avLst/>
                          </a:prstGeom>
                          <a:noFill/>
                        </pic:spPr>
                      </pic:pic>
                    </a:graphicData>
                  </a:graphic>
                </wp:inline>
              </w:drawing>
            </w:r>
          </w:p>
        </w:tc>
        <w:tc>
          <w:tcPr>
            <w:tcW w:w="4956" w:type="dxa"/>
          </w:tcPr>
          <w:p w14:paraId="01914D27" w14:textId="77777777" w:rsidR="00D80461" w:rsidRPr="00F05A8A" w:rsidRDefault="00D80461" w:rsidP="002F075E">
            <w:pPr>
              <w:rPr>
                <w:rFonts w:cs="Calibri"/>
                <w:b/>
                <w:bCs/>
              </w:rPr>
            </w:pPr>
          </w:p>
        </w:tc>
      </w:tr>
      <w:tr w:rsidR="00D80461" w:rsidRPr="00F05A8A" w14:paraId="085BE6A2" w14:textId="77777777" w:rsidTr="00142C01">
        <w:tc>
          <w:tcPr>
            <w:tcW w:w="4683" w:type="dxa"/>
          </w:tcPr>
          <w:p w14:paraId="256CBFE0" w14:textId="77777777" w:rsidR="00D80461" w:rsidRPr="00F05A8A" w:rsidRDefault="00D80461" w:rsidP="002F075E">
            <w:pPr>
              <w:keepNext/>
              <w:keepLines/>
            </w:pPr>
            <w:r w:rsidRPr="00F05A8A">
              <w:rPr>
                <w:rFonts w:cs="Calibri"/>
                <w:b/>
                <w:bCs/>
              </w:rPr>
              <w:lastRenderedPageBreak/>
              <w:t>T.2-b</w:t>
            </w:r>
          </w:p>
        </w:tc>
        <w:tc>
          <w:tcPr>
            <w:tcW w:w="4956" w:type="dxa"/>
          </w:tcPr>
          <w:p w14:paraId="5809BB1B" w14:textId="77777777" w:rsidR="00D80461" w:rsidRPr="00F05A8A" w:rsidRDefault="00D80461" w:rsidP="002F075E">
            <w:pPr>
              <w:keepNext/>
              <w:keepLines/>
              <w:rPr>
                <w:rFonts w:cs="Calibri"/>
                <w:b/>
                <w:bCs/>
              </w:rPr>
            </w:pPr>
          </w:p>
        </w:tc>
      </w:tr>
      <w:tr w:rsidR="00D80461" w:rsidRPr="00F05A8A" w14:paraId="5FD1CB58" w14:textId="77777777" w:rsidTr="00142C01">
        <w:tc>
          <w:tcPr>
            <w:tcW w:w="4683" w:type="dxa"/>
          </w:tcPr>
          <w:p w14:paraId="48AB96F0" w14:textId="77777777" w:rsidR="00D80461" w:rsidRPr="00F05A8A" w:rsidRDefault="00D80461" w:rsidP="002F075E">
            <w:pPr>
              <w:keepNext/>
              <w:keepLines/>
              <w:spacing w:before="240" w:after="240"/>
              <w:rPr>
                <w:rFonts w:cs="Calibri"/>
                <w:b/>
                <w:bCs/>
              </w:rPr>
            </w:pPr>
            <w:r w:rsidRPr="00F05A8A">
              <w:rPr>
                <w:rFonts w:cs="Calibri"/>
                <w:b/>
                <w:bCs/>
                <w:lang w:eastAsia="fr-FR"/>
              </w:rPr>
              <w:drawing>
                <wp:inline distT="0" distB="0" distL="0" distR="0" wp14:anchorId="4954F3DB" wp14:editId="5B1C038E">
                  <wp:extent cx="3011956" cy="1782074"/>
                  <wp:effectExtent l="0" t="0" r="0" b="8890"/>
                  <wp:docPr id="1802487870" name="Picture 1802487870"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70" name="Picture 1802487870" descr="Chart, bar chart, box and whisker chart&#10;&#10;Description automatically generated"/>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020511" cy="1787136"/>
                          </a:xfrm>
                          <a:prstGeom prst="rect">
                            <a:avLst/>
                          </a:prstGeom>
                          <a:noFill/>
                        </pic:spPr>
                      </pic:pic>
                    </a:graphicData>
                  </a:graphic>
                </wp:inline>
              </w:drawing>
            </w:r>
          </w:p>
        </w:tc>
        <w:tc>
          <w:tcPr>
            <w:tcW w:w="4956" w:type="dxa"/>
          </w:tcPr>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64"/>
              <w:gridCol w:w="1848"/>
              <w:gridCol w:w="723"/>
            </w:tblGrid>
            <w:tr w:rsidR="00D80461" w:rsidRPr="00F05A8A" w14:paraId="62774381" w14:textId="77777777" w:rsidTr="00142C01">
              <w:tc>
                <w:tcPr>
                  <w:tcW w:w="4535" w:type="dxa"/>
                  <w:gridSpan w:val="3"/>
                </w:tcPr>
                <w:p w14:paraId="79CA56F7" w14:textId="77777777" w:rsidR="00D80461" w:rsidRPr="00F05A8A" w:rsidRDefault="00D80461" w:rsidP="002F075E">
                  <w:pPr>
                    <w:pStyle w:val="Tablehead"/>
                    <w:jc w:val="left"/>
                    <w:rPr>
                      <w:rFonts w:cs="Calibri"/>
                      <w:color w:val="4F81BD" w:themeColor="accent1"/>
                      <w:sz w:val="16"/>
                      <w:szCs w:val="14"/>
                    </w:rPr>
                  </w:pPr>
                  <w:r w:rsidRPr="00F05A8A">
                    <w:rPr>
                      <w:color w:val="1F497D" w:themeColor="text2"/>
                      <w:sz w:val="20"/>
                      <w:szCs w:val="18"/>
                    </w:rPr>
                    <w:t>Nombre total de membres de l'UIT-T (au 31 décembre 2021)</w:t>
                  </w:r>
                </w:p>
              </w:tc>
            </w:tr>
            <w:tr w:rsidR="00D80461" w:rsidRPr="00F05A8A" w14:paraId="27C9F692" w14:textId="77777777" w:rsidTr="00142C01">
              <w:tc>
                <w:tcPr>
                  <w:tcW w:w="1964" w:type="dxa"/>
                  <w:vMerge w:val="restart"/>
                  <w:tcBorders>
                    <w:top w:val="single" w:sz="4" w:space="0" w:color="auto"/>
                    <w:bottom w:val="single" w:sz="4" w:space="0" w:color="auto"/>
                    <w:right w:val="nil"/>
                  </w:tcBorders>
                </w:tcPr>
                <w:p w14:paraId="14659CC8" w14:textId="77777777" w:rsidR="00D80461" w:rsidRPr="00F05A8A" w:rsidRDefault="00D80461" w:rsidP="002F075E">
                  <w:pPr>
                    <w:pStyle w:val="Tabletext0"/>
                    <w:rPr>
                      <w:rFonts w:cs="Calibri"/>
                      <w:sz w:val="18"/>
                      <w:lang w:val="fr-FR"/>
                    </w:rPr>
                  </w:pPr>
                  <w:r w:rsidRPr="00F05A8A">
                    <w:rPr>
                      <w:color w:val="4F81BD" w:themeColor="accent1"/>
                      <w:sz w:val="18"/>
                      <w:lang w:val="fr-FR"/>
                    </w:rPr>
                    <w:t>Membres du Secteur de l'UIT-T</w:t>
                  </w:r>
                </w:p>
              </w:tc>
              <w:tc>
                <w:tcPr>
                  <w:tcW w:w="1848" w:type="dxa"/>
                  <w:tcBorders>
                    <w:top w:val="single" w:sz="4" w:space="0" w:color="auto"/>
                    <w:left w:val="nil"/>
                    <w:bottom w:val="nil"/>
                  </w:tcBorders>
                </w:tcPr>
                <w:p w14:paraId="193C743C"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développés</w:t>
                  </w:r>
                </w:p>
              </w:tc>
              <w:tc>
                <w:tcPr>
                  <w:tcW w:w="723" w:type="dxa"/>
                  <w:tcBorders>
                    <w:top w:val="single" w:sz="4" w:space="0" w:color="auto"/>
                    <w:bottom w:val="nil"/>
                  </w:tcBorders>
                </w:tcPr>
                <w:p w14:paraId="3F43D187" w14:textId="77777777" w:rsidR="00D80461" w:rsidRPr="00F05A8A" w:rsidRDefault="00D80461" w:rsidP="002F075E">
                  <w:pPr>
                    <w:pStyle w:val="Tabletext0"/>
                    <w:rPr>
                      <w:rFonts w:cs="Calibri"/>
                      <w:sz w:val="16"/>
                      <w:szCs w:val="14"/>
                      <w:lang w:val="fr-FR"/>
                    </w:rPr>
                  </w:pPr>
                  <w:r w:rsidRPr="00F05A8A">
                    <w:rPr>
                      <w:rFonts w:cs="Calibri"/>
                      <w:sz w:val="16"/>
                      <w:szCs w:val="14"/>
                      <w:lang w:val="fr-FR"/>
                    </w:rPr>
                    <w:t>150</w:t>
                  </w:r>
                </w:p>
              </w:tc>
            </w:tr>
            <w:tr w:rsidR="00D80461" w:rsidRPr="00F05A8A" w14:paraId="5762BD90" w14:textId="77777777" w:rsidTr="00142C01">
              <w:tc>
                <w:tcPr>
                  <w:tcW w:w="1964" w:type="dxa"/>
                  <w:vMerge/>
                  <w:tcBorders>
                    <w:top w:val="single" w:sz="4" w:space="0" w:color="auto"/>
                    <w:bottom w:val="single" w:sz="4" w:space="0" w:color="auto"/>
                    <w:right w:val="nil"/>
                  </w:tcBorders>
                </w:tcPr>
                <w:p w14:paraId="0A05004E" w14:textId="77777777" w:rsidR="00D80461" w:rsidRPr="00F05A8A" w:rsidRDefault="00D80461" w:rsidP="002F075E">
                  <w:pPr>
                    <w:pStyle w:val="Tabletext0"/>
                    <w:rPr>
                      <w:rFonts w:cs="Calibri"/>
                      <w:sz w:val="16"/>
                      <w:szCs w:val="14"/>
                      <w:lang w:val="fr-FR"/>
                    </w:rPr>
                  </w:pPr>
                </w:p>
              </w:tc>
              <w:tc>
                <w:tcPr>
                  <w:tcW w:w="1848" w:type="dxa"/>
                  <w:tcBorders>
                    <w:top w:val="nil"/>
                    <w:left w:val="nil"/>
                    <w:bottom w:val="nil"/>
                  </w:tcBorders>
                </w:tcPr>
                <w:p w14:paraId="7CE96BD3"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en développement</w:t>
                  </w:r>
                </w:p>
              </w:tc>
              <w:tc>
                <w:tcPr>
                  <w:tcW w:w="723" w:type="dxa"/>
                  <w:tcBorders>
                    <w:top w:val="nil"/>
                    <w:bottom w:val="nil"/>
                  </w:tcBorders>
                </w:tcPr>
                <w:p w14:paraId="21DA8666" w14:textId="77777777" w:rsidR="00D80461" w:rsidRPr="00F05A8A" w:rsidRDefault="00D80461" w:rsidP="002F075E">
                  <w:pPr>
                    <w:pStyle w:val="Tabletext0"/>
                    <w:rPr>
                      <w:rFonts w:cs="Calibri"/>
                      <w:sz w:val="16"/>
                      <w:szCs w:val="14"/>
                      <w:lang w:val="fr-FR"/>
                    </w:rPr>
                  </w:pPr>
                  <w:r w:rsidRPr="00F05A8A">
                    <w:rPr>
                      <w:rFonts w:cs="Calibri"/>
                      <w:sz w:val="16"/>
                      <w:szCs w:val="14"/>
                      <w:lang w:val="fr-FR"/>
                    </w:rPr>
                    <w:t>104</w:t>
                  </w:r>
                </w:p>
              </w:tc>
            </w:tr>
            <w:tr w:rsidR="00D80461" w:rsidRPr="00F05A8A" w14:paraId="13140676" w14:textId="77777777" w:rsidTr="00142C01">
              <w:tc>
                <w:tcPr>
                  <w:tcW w:w="1964" w:type="dxa"/>
                  <w:vMerge/>
                  <w:tcBorders>
                    <w:top w:val="single" w:sz="4" w:space="0" w:color="auto"/>
                    <w:bottom w:val="single" w:sz="4" w:space="0" w:color="auto"/>
                    <w:right w:val="nil"/>
                  </w:tcBorders>
                </w:tcPr>
                <w:p w14:paraId="020F143C" w14:textId="77777777" w:rsidR="00D80461" w:rsidRPr="00F05A8A" w:rsidRDefault="00D80461" w:rsidP="002F075E">
                  <w:pPr>
                    <w:pStyle w:val="Tabletext0"/>
                    <w:rPr>
                      <w:rFonts w:cs="Calibri"/>
                      <w:sz w:val="16"/>
                      <w:szCs w:val="14"/>
                      <w:lang w:val="fr-FR"/>
                    </w:rPr>
                  </w:pPr>
                </w:p>
              </w:tc>
              <w:tc>
                <w:tcPr>
                  <w:tcW w:w="1848" w:type="dxa"/>
                  <w:tcBorders>
                    <w:top w:val="nil"/>
                    <w:left w:val="nil"/>
                    <w:bottom w:val="single" w:sz="4" w:space="0" w:color="auto"/>
                  </w:tcBorders>
                </w:tcPr>
                <w:p w14:paraId="1787E9E3"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les moins avancés</w:t>
                  </w:r>
                </w:p>
              </w:tc>
              <w:tc>
                <w:tcPr>
                  <w:tcW w:w="723" w:type="dxa"/>
                  <w:tcBorders>
                    <w:top w:val="nil"/>
                    <w:bottom w:val="single" w:sz="4" w:space="0" w:color="auto"/>
                  </w:tcBorders>
                </w:tcPr>
                <w:p w14:paraId="542463C3" w14:textId="77777777" w:rsidR="00D80461" w:rsidRPr="00F05A8A" w:rsidRDefault="00D80461" w:rsidP="002F075E">
                  <w:pPr>
                    <w:pStyle w:val="Tabletext0"/>
                    <w:rPr>
                      <w:rFonts w:cs="Calibri"/>
                      <w:sz w:val="16"/>
                      <w:szCs w:val="14"/>
                      <w:lang w:val="fr-FR"/>
                    </w:rPr>
                  </w:pPr>
                  <w:r w:rsidRPr="00F05A8A">
                    <w:rPr>
                      <w:rFonts w:cs="Calibri"/>
                      <w:sz w:val="16"/>
                      <w:szCs w:val="14"/>
                      <w:lang w:val="fr-FR"/>
                    </w:rPr>
                    <w:t>15</w:t>
                  </w:r>
                </w:p>
              </w:tc>
            </w:tr>
            <w:tr w:rsidR="00D80461" w:rsidRPr="00F05A8A" w14:paraId="035121E5" w14:textId="77777777" w:rsidTr="00142C01">
              <w:tc>
                <w:tcPr>
                  <w:tcW w:w="1964" w:type="dxa"/>
                  <w:vMerge w:val="restart"/>
                  <w:tcBorders>
                    <w:top w:val="single" w:sz="4" w:space="0" w:color="auto"/>
                    <w:bottom w:val="single" w:sz="4" w:space="0" w:color="auto"/>
                    <w:right w:val="nil"/>
                  </w:tcBorders>
                </w:tcPr>
                <w:p w14:paraId="02488F73" w14:textId="77777777" w:rsidR="00D80461" w:rsidRPr="00F05A8A" w:rsidRDefault="00D80461" w:rsidP="002F075E">
                  <w:pPr>
                    <w:pStyle w:val="Tabletext0"/>
                    <w:rPr>
                      <w:rFonts w:cs="Calibri"/>
                      <w:sz w:val="18"/>
                      <w:lang w:val="fr-FR"/>
                    </w:rPr>
                  </w:pPr>
                  <w:r w:rsidRPr="00F05A8A">
                    <w:rPr>
                      <w:color w:val="4F81BD" w:themeColor="accent1"/>
                      <w:sz w:val="18"/>
                      <w:lang w:val="fr-FR"/>
                    </w:rPr>
                    <w:t>Associés de l'UIT-T</w:t>
                  </w:r>
                </w:p>
              </w:tc>
              <w:tc>
                <w:tcPr>
                  <w:tcW w:w="1848" w:type="dxa"/>
                  <w:tcBorders>
                    <w:top w:val="single" w:sz="4" w:space="0" w:color="auto"/>
                    <w:left w:val="nil"/>
                    <w:bottom w:val="nil"/>
                  </w:tcBorders>
                </w:tcPr>
                <w:p w14:paraId="34B3D332"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développés</w:t>
                  </w:r>
                </w:p>
              </w:tc>
              <w:tc>
                <w:tcPr>
                  <w:tcW w:w="723" w:type="dxa"/>
                  <w:tcBorders>
                    <w:top w:val="single" w:sz="4" w:space="0" w:color="auto"/>
                    <w:bottom w:val="nil"/>
                  </w:tcBorders>
                </w:tcPr>
                <w:p w14:paraId="71B9E347" w14:textId="77777777" w:rsidR="00D80461" w:rsidRPr="00F05A8A" w:rsidRDefault="00D80461" w:rsidP="002F075E">
                  <w:pPr>
                    <w:pStyle w:val="Tabletext0"/>
                    <w:rPr>
                      <w:rFonts w:cs="Calibri"/>
                      <w:sz w:val="16"/>
                      <w:szCs w:val="14"/>
                      <w:lang w:val="fr-FR"/>
                    </w:rPr>
                  </w:pPr>
                  <w:r w:rsidRPr="00F05A8A">
                    <w:rPr>
                      <w:rFonts w:cs="Calibri"/>
                      <w:sz w:val="16"/>
                      <w:szCs w:val="14"/>
                      <w:lang w:val="fr-FR"/>
                    </w:rPr>
                    <w:t>168</w:t>
                  </w:r>
                </w:p>
              </w:tc>
            </w:tr>
            <w:tr w:rsidR="00D80461" w:rsidRPr="00F05A8A" w14:paraId="27542055" w14:textId="77777777" w:rsidTr="00142C01">
              <w:tc>
                <w:tcPr>
                  <w:tcW w:w="1964" w:type="dxa"/>
                  <w:vMerge/>
                  <w:tcBorders>
                    <w:top w:val="single" w:sz="4" w:space="0" w:color="auto"/>
                    <w:bottom w:val="single" w:sz="4" w:space="0" w:color="auto"/>
                    <w:right w:val="nil"/>
                  </w:tcBorders>
                </w:tcPr>
                <w:p w14:paraId="5A8DEE7C" w14:textId="77777777" w:rsidR="00D80461" w:rsidRPr="00F05A8A" w:rsidRDefault="00D80461" w:rsidP="002F075E">
                  <w:pPr>
                    <w:pStyle w:val="Tabletext0"/>
                    <w:rPr>
                      <w:rFonts w:cs="Calibri"/>
                      <w:sz w:val="16"/>
                      <w:szCs w:val="14"/>
                      <w:lang w:val="fr-FR"/>
                    </w:rPr>
                  </w:pPr>
                </w:p>
              </w:tc>
              <w:tc>
                <w:tcPr>
                  <w:tcW w:w="1848" w:type="dxa"/>
                  <w:tcBorders>
                    <w:top w:val="nil"/>
                    <w:left w:val="nil"/>
                    <w:bottom w:val="nil"/>
                  </w:tcBorders>
                </w:tcPr>
                <w:p w14:paraId="1202EFE8"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en développement</w:t>
                  </w:r>
                </w:p>
              </w:tc>
              <w:tc>
                <w:tcPr>
                  <w:tcW w:w="723" w:type="dxa"/>
                  <w:tcBorders>
                    <w:top w:val="nil"/>
                    <w:bottom w:val="nil"/>
                  </w:tcBorders>
                </w:tcPr>
                <w:p w14:paraId="15BA4E22" w14:textId="77777777" w:rsidR="00D80461" w:rsidRPr="00F05A8A" w:rsidRDefault="00D80461" w:rsidP="002F075E">
                  <w:pPr>
                    <w:pStyle w:val="Tabletext0"/>
                    <w:rPr>
                      <w:rFonts w:cs="Calibri"/>
                      <w:sz w:val="16"/>
                      <w:szCs w:val="14"/>
                      <w:lang w:val="fr-FR"/>
                    </w:rPr>
                  </w:pPr>
                  <w:r w:rsidRPr="00F05A8A">
                    <w:rPr>
                      <w:rFonts w:cs="Calibri"/>
                      <w:sz w:val="16"/>
                      <w:szCs w:val="14"/>
                      <w:lang w:val="fr-FR"/>
                    </w:rPr>
                    <w:t>52</w:t>
                  </w:r>
                </w:p>
              </w:tc>
            </w:tr>
            <w:tr w:rsidR="00D80461" w:rsidRPr="00F05A8A" w14:paraId="158F6566" w14:textId="77777777" w:rsidTr="00142C01">
              <w:tc>
                <w:tcPr>
                  <w:tcW w:w="1964" w:type="dxa"/>
                  <w:vMerge/>
                  <w:tcBorders>
                    <w:top w:val="single" w:sz="4" w:space="0" w:color="auto"/>
                    <w:bottom w:val="single" w:sz="4" w:space="0" w:color="auto"/>
                    <w:right w:val="nil"/>
                  </w:tcBorders>
                </w:tcPr>
                <w:p w14:paraId="61691646" w14:textId="77777777" w:rsidR="00D80461" w:rsidRPr="00F05A8A" w:rsidRDefault="00D80461" w:rsidP="002F075E">
                  <w:pPr>
                    <w:pStyle w:val="Tabletext0"/>
                    <w:rPr>
                      <w:rFonts w:cs="Calibri"/>
                      <w:sz w:val="16"/>
                      <w:szCs w:val="14"/>
                      <w:lang w:val="fr-FR"/>
                    </w:rPr>
                  </w:pPr>
                </w:p>
              </w:tc>
              <w:tc>
                <w:tcPr>
                  <w:tcW w:w="1848" w:type="dxa"/>
                  <w:tcBorders>
                    <w:top w:val="nil"/>
                    <w:left w:val="nil"/>
                    <w:bottom w:val="single" w:sz="4" w:space="0" w:color="auto"/>
                  </w:tcBorders>
                </w:tcPr>
                <w:p w14:paraId="17885A84" w14:textId="77777777" w:rsidR="00D80461" w:rsidRPr="00F05A8A" w:rsidRDefault="00D80461" w:rsidP="002F075E">
                  <w:pPr>
                    <w:pStyle w:val="Tabletext0"/>
                    <w:rPr>
                      <w:color w:val="4F81BD" w:themeColor="accent1"/>
                      <w:sz w:val="16"/>
                      <w:szCs w:val="14"/>
                      <w:lang w:val="fr-FR"/>
                    </w:rPr>
                  </w:pPr>
                  <w:r w:rsidRPr="00F05A8A">
                    <w:rPr>
                      <w:color w:val="4F81BD" w:themeColor="accent1"/>
                      <w:sz w:val="16"/>
                      <w:szCs w:val="14"/>
                      <w:lang w:val="fr-FR"/>
                    </w:rPr>
                    <w:t>Pays les moins avancés</w:t>
                  </w:r>
                </w:p>
              </w:tc>
              <w:tc>
                <w:tcPr>
                  <w:tcW w:w="723" w:type="dxa"/>
                  <w:tcBorders>
                    <w:top w:val="nil"/>
                    <w:bottom w:val="single" w:sz="4" w:space="0" w:color="auto"/>
                  </w:tcBorders>
                </w:tcPr>
                <w:p w14:paraId="650540AF" w14:textId="77777777" w:rsidR="00D80461" w:rsidRPr="00F05A8A" w:rsidRDefault="00D80461" w:rsidP="002F075E">
                  <w:pPr>
                    <w:pStyle w:val="Tabletext0"/>
                    <w:rPr>
                      <w:rFonts w:cs="Calibri"/>
                      <w:sz w:val="16"/>
                      <w:szCs w:val="14"/>
                      <w:lang w:val="fr-FR"/>
                    </w:rPr>
                  </w:pPr>
                  <w:r w:rsidRPr="00F05A8A">
                    <w:rPr>
                      <w:rFonts w:cs="Calibri"/>
                      <w:sz w:val="16"/>
                      <w:szCs w:val="14"/>
                      <w:lang w:val="fr-FR"/>
                    </w:rPr>
                    <w:t>1</w:t>
                  </w:r>
                </w:p>
              </w:tc>
            </w:tr>
            <w:tr w:rsidR="00D80461" w:rsidRPr="00F05A8A" w14:paraId="2DF0F6CC" w14:textId="77777777" w:rsidTr="00142C01">
              <w:tc>
                <w:tcPr>
                  <w:tcW w:w="1964" w:type="dxa"/>
                  <w:vMerge w:val="restart"/>
                  <w:tcBorders>
                    <w:top w:val="single" w:sz="4" w:space="0" w:color="auto"/>
                    <w:bottom w:val="nil"/>
                    <w:right w:val="nil"/>
                  </w:tcBorders>
                </w:tcPr>
                <w:p w14:paraId="3931BC24" w14:textId="77777777" w:rsidR="00D80461" w:rsidRPr="00F05A8A" w:rsidRDefault="00D80461" w:rsidP="002F075E">
                  <w:pPr>
                    <w:pStyle w:val="Tabletext0"/>
                    <w:rPr>
                      <w:color w:val="4F81BD" w:themeColor="accent1"/>
                      <w:sz w:val="18"/>
                      <w:lang w:val="fr-FR"/>
                    </w:rPr>
                  </w:pPr>
                  <w:r w:rsidRPr="00F05A8A">
                    <w:rPr>
                      <w:color w:val="4F81BD" w:themeColor="accent1"/>
                      <w:sz w:val="18"/>
                      <w:lang w:val="fr-FR"/>
                    </w:rPr>
                    <w:t>Établissements universitaires</w:t>
                  </w:r>
                </w:p>
              </w:tc>
              <w:tc>
                <w:tcPr>
                  <w:tcW w:w="1848" w:type="dxa"/>
                  <w:tcBorders>
                    <w:top w:val="single" w:sz="4" w:space="0" w:color="auto"/>
                    <w:left w:val="nil"/>
                    <w:bottom w:val="nil"/>
                  </w:tcBorders>
                </w:tcPr>
                <w:p w14:paraId="440B92DC"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développés</w:t>
                  </w:r>
                </w:p>
              </w:tc>
              <w:tc>
                <w:tcPr>
                  <w:tcW w:w="723" w:type="dxa"/>
                  <w:tcBorders>
                    <w:top w:val="single" w:sz="4" w:space="0" w:color="auto"/>
                    <w:bottom w:val="nil"/>
                  </w:tcBorders>
                </w:tcPr>
                <w:p w14:paraId="0B0DDD57" w14:textId="77777777" w:rsidR="00D80461" w:rsidRPr="00F05A8A" w:rsidRDefault="00D80461" w:rsidP="002F075E">
                  <w:pPr>
                    <w:pStyle w:val="Tabletext0"/>
                    <w:rPr>
                      <w:rFonts w:cs="Calibri"/>
                      <w:sz w:val="16"/>
                      <w:szCs w:val="14"/>
                      <w:lang w:val="fr-FR"/>
                    </w:rPr>
                  </w:pPr>
                  <w:r w:rsidRPr="00F05A8A">
                    <w:rPr>
                      <w:rFonts w:cs="Calibri"/>
                      <w:sz w:val="16"/>
                      <w:szCs w:val="14"/>
                      <w:lang w:val="fr-FR"/>
                    </w:rPr>
                    <w:t>53</w:t>
                  </w:r>
                </w:p>
              </w:tc>
            </w:tr>
            <w:tr w:rsidR="00D80461" w:rsidRPr="00F05A8A" w14:paraId="18811992" w14:textId="77777777" w:rsidTr="00142C01">
              <w:tc>
                <w:tcPr>
                  <w:tcW w:w="1964" w:type="dxa"/>
                  <w:vMerge/>
                  <w:tcBorders>
                    <w:top w:val="single" w:sz="4" w:space="0" w:color="auto"/>
                    <w:bottom w:val="nil"/>
                    <w:right w:val="nil"/>
                  </w:tcBorders>
                </w:tcPr>
                <w:p w14:paraId="1038BFB0" w14:textId="77777777" w:rsidR="00D80461" w:rsidRPr="00F05A8A" w:rsidRDefault="00D80461" w:rsidP="002F075E">
                  <w:pPr>
                    <w:pStyle w:val="Tabletext0"/>
                    <w:rPr>
                      <w:rFonts w:cs="Calibri"/>
                      <w:b/>
                      <w:sz w:val="16"/>
                      <w:szCs w:val="14"/>
                      <w:lang w:val="fr-FR"/>
                    </w:rPr>
                  </w:pPr>
                </w:p>
              </w:tc>
              <w:tc>
                <w:tcPr>
                  <w:tcW w:w="1848" w:type="dxa"/>
                  <w:tcBorders>
                    <w:top w:val="nil"/>
                    <w:left w:val="nil"/>
                    <w:bottom w:val="nil"/>
                  </w:tcBorders>
                </w:tcPr>
                <w:p w14:paraId="6C1E72AA" w14:textId="77777777" w:rsidR="00D80461" w:rsidRPr="00F05A8A" w:rsidRDefault="00D80461" w:rsidP="002F075E">
                  <w:pPr>
                    <w:pStyle w:val="Tabletext0"/>
                    <w:rPr>
                      <w:rFonts w:cs="Calibri"/>
                      <w:color w:val="4F81BD" w:themeColor="accent1"/>
                      <w:sz w:val="16"/>
                      <w:szCs w:val="14"/>
                      <w:lang w:val="fr-FR"/>
                    </w:rPr>
                  </w:pPr>
                  <w:r w:rsidRPr="00F05A8A">
                    <w:rPr>
                      <w:color w:val="4F81BD" w:themeColor="accent1"/>
                      <w:sz w:val="16"/>
                      <w:szCs w:val="14"/>
                      <w:lang w:val="fr-FR"/>
                    </w:rPr>
                    <w:t>Pays en développement</w:t>
                  </w:r>
                </w:p>
              </w:tc>
              <w:tc>
                <w:tcPr>
                  <w:tcW w:w="723" w:type="dxa"/>
                  <w:tcBorders>
                    <w:top w:val="nil"/>
                    <w:bottom w:val="nil"/>
                  </w:tcBorders>
                </w:tcPr>
                <w:p w14:paraId="6721D8A5" w14:textId="77777777" w:rsidR="00D80461" w:rsidRPr="00F05A8A" w:rsidRDefault="00D80461" w:rsidP="002F075E">
                  <w:pPr>
                    <w:pStyle w:val="Tabletext0"/>
                    <w:rPr>
                      <w:rFonts w:cs="Calibri"/>
                      <w:sz w:val="16"/>
                      <w:szCs w:val="14"/>
                      <w:lang w:val="fr-FR"/>
                    </w:rPr>
                  </w:pPr>
                  <w:r w:rsidRPr="00F05A8A">
                    <w:rPr>
                      <w:rFonts w:cs="Calibri"/>
                      <w:sz w:val="16"/>
                      <w:szCs w:val="14"/>
                      <w:lang w:val="fr-FR"/>
                    </w:rPr>
                    <w:t>104</w:t>
                  </w:r>
                </w:p>
              </w:tc>
            </w:tr>
            <w:tr w:rsidR="00D80461" w:rsidRPr="00F05A8A" w14:paraId="6E0730DF" w14:textId="77777777" w:rsidTr="00142C01">
              <w:tc>
                <w:tcPr>
                  <w:tcW w:w="1964" w:type="dxa"/>
                  <w:vMerge/>
                  <w:tcBorders>
                    <w:top w:val="single" w:sz="4" w:space="0" w:color="auto"/>
                    <w:bottom w:val="nil"/>
                    <w:right w:val="nil"/>
                  </w:tcBorders>
                </w:tcPr>
                <w:p w14:paraId="2BBEB189" w14:textId="77777777" w:rsidR="00D80461" w:rsidRPr="00F05A8A" w:rsidRDefault="00D80461" w:rsidP="002F075E">
                  <w:pPr>
                    <w:pStyle w:val="Tabletext0"/>
                    <w:rPr>
                      <w:rFonts w:cs="Calibri"/>
                      <w:b/>
                      <w:sz w:val="16"/>
                      <w:szCs w:val="14"/>
                      <w:lang w:val="fr-FR"/>
                    </w:rPr>
                  </w:pPr>
                </w:p>
              </w:tc>
              <w:tc>
                <w:tcPr>
                  <w:tcW w:w="1848" w:type="dxa"/>
                  <w:tcBorders>
                    <w:top w:val="nil"/>
                    <w:left w:val="nil"/>
                  </w:tcBorders>
                </w:tcPr>
                <w:p w14:paraId="4DAD90C9" w14:textId="77777777" w:rsidR="00D80461" w:rsidRPr="00F05A8A" w:rsidRDefault="00D80461" w:rsidP="002F075E">
                  <w:pPr>
                    <w:pStyle w:val="Tabletext0"/>
                    <w:rPr>
                      <w:color w:val="4F81BD" w:themeColor="accent1"/>
                      <w:sz w:val="16"/>
                      <w:szCs w:val="14"/>
                      <w:lang w:val="fr-FR"/>
                    </w:rPr>
                  </w:pPr>
                  <w:r w:rsidRPr="00F05A8A">
                    <w:rPr>
                      <w:color w:val="4F81BD" w:themeColor="accent1"/>
                      <w:sz w:val="16"/>
                      <w:szCs w:val="14"/>
                      <w:lang w:val="fr-FR"/>
                    </w:rPr>
                    <w:t>Pays les moins avancés</w:t>
                  </w:r>
                </w:p>
              </w:tc>
              <w:tc>
                <w:tcPr>
                  <w:tcW w:w="723" w:type="dxa"/>
                  <w:tcBorders>
                    <w:top w:val="nil"/>
                  </w:tcBorders>
                </w:tcPr>
                <w:p w14:paraId="16985BD1" w14:textId="77777777" w:rsidR="00D80461" w:rsidRPr="00F05A8A" w:rsidRDefault="00D80461" w:rsidP="002F075E">
                  <w:pPr>
                    <w:pStyle w:val="Tabletext0"/>
                    <w:rPr>
                      <w:rFonts w:cs="Calibri"/>
                      <w:sz w:val="16"/>
                      <w:szCs w:val="14"/>
                      <w:lang w:val="fr-FR"/>
                    </w:rPr>
                  </w:pPr>
                  <w:r w:rsidRPr="00F05A8A">
                    <w:rPr>
                      <w:rFonts w:cs="Calibri"/>
                      <w:sz w:val="16"/>
                      <w:szCs w:val="14"/>
                      <w:lang w:val="fr-FR"/>
                    </w:rPr>
                    <w:t>4</w:t>
                  </w:r>
                </w:p>
              </w:tc>
            </w:tr>
          </w:tbl>
          <w:p w14:paraId="24EAD3F3" w14:textId="77777777" w:rsidR="00D80461" w:rsidRPr="00F05A8A" w:rsidRDefault="00D80461" w:rsidP="002F075E">
            <w:pPr>
              <w:keepNext/>
              <w:keepLines/>
              <w:rPr>
                <w:rFonts w:cs="Calibri"/>
                <w:b/>
                <w:bCs/>
              </w:rPr>
            </w:pPr>
          </w:p>
        </w:tc>
      </w:tr>
    </w:tbl>
    <w:p w14:paraId="0E72E668" w14:textId="77777777" w:rsidR="00D80461" w:rsidRPr="00F05A8A" w:rsidRDefault="00D80461" w:rsidP="002F075E">
      <w:pPr>
        <w:spacing w:before="240"/>
      </w:pPr>
      <w:r w:rsidRPr="00F05A8A">
        <w:rPr>
          <w:b/>
          <w:bCs/>
        </w:rPr>
        <w:t>Objectif T.3</w:t>
      </w:r>
      <w:r w:rsidRPr="00F05A8A">
        <w:t xml:space="preserve"> (Ressources de télécommunications): Garantir l'attribution et la gestion efficaces des ressources de numérotage, de nommage, d'adressage et d'identification utilisées dans les télécommunications internationales, conformément aux procédures et aux Recommandations de l'UIT</w:t>
      </w:r>
      <w:r w:rsidRPr="00F05A8A">
        <w:noBreakHyphen/>
        <w:t>T</w:t>
      </w:r>
    </w:p>
    <w:p w14:paraId="68FDEBC9" w14:textId="77777777" w:rsidR="00D80461" w:rsidRPr="00F05A8A" w:rsidRDefault="00D80461" w:rsidP="002F075E">
      <w:pPr>
        <w:pStyle w:val="Headingb"/>
        <w:spacing w:after="120"/>
      </w:pPr>
      <w:bookmarkStart w:id="808" w:name="_Toc41032166"/>
      <w:bookmarkStart w:id="809" w:name="_Toc72846767"/>
      <w:bookmarkStart w:id="810" w:name="_Toc95387622"/>
      <w:r w:rsidRPr="00F05A8A">
        <w:t>Résultats</w:t>
      </w:r>
      <w:bookmarkEnd w:id="808"/>
      <w:bookmarkEnd w:id="809"/>
      <w:bookmarkEnd w:id="810"/>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18A99FBD" w14:textId="77777777" w:rsidTr="00142C01">
        <w:tc>
          <w:tcPr>
            <w:tcW w:w="9629" w:type="dxa"/>
            <w:shd w:val="clear" w:color="auto" w:fill="DBE5F1" w:themeFill="accent1" w:themeFillTint="33"/>
          </w:tcPr>
          <w:p w14:paraId="704B6D36" w14:textId="77777777" w:rsidR="00D80461" w:rsidRPr="00F05A8A" w:rsidRDefault="00D80461" w:rsidP="002F075E">
            <w:pPr>
              <w:spacing w:after="120"/>
            </w:pPr>
            <w:r w:rsidRPr="00F05A8A">
              <w:t>T.3-a: Attribution rapide et correcte des ressources de numérotage, de nommage, d'adressage et d'identification utilisées dans les télécommunications internationales, conformément aux recommandations pertinentes</w:t>
            </w:r>
          </w:p>
        </w:tc>
      </w:tr>
    </w:tbl>
    <w:p w14:paraId="3E61D786" w14:textId="77777777" w:rsidR="00D80461" w:rsidRPr="00F05A8A" w:rsidRDefault="00D80461" w:rsidP="002F075E">
      <w:pPr>
        <w:pStyle w:val="Headingb"/>
        <w:spacing w:after="240"/>
      </w:pPr>
      <w:bookmarkStart w:id="811" w:name="_Toc41032167"/>
      <w:bookmarkStart w:id="812" w:name="_Toc72846768"/>
      <w:bookmarkStart w:id="813" w:name="_Toc95387623"/>
      <w:r w:rsidRPr="00F05A8A">
        <w:t>Progrès accomplis</w:t>
      </w:r>
      <w:bookmarkEnd w:id="811"/>
      <w:bookmarkEnd w:id="812"/>
      <w:bookmarkEnd w:id="813"/>
    </w:p>
    <w:p w14:paraId="4A95FC8E" w14:textId="77777777" w:rsidR="00D80461" w:rsidRPr="00F05A8A" w:rsidRDefault="00D80461" w:rsidP="002F075E">
      <w:pPr>
        <w:jc w:val="center"/>
        <w:rPr>
          <w:highlight w:val="lightGray"/>
        </w:rPr>
      </w:pPr>
      <w:r w:rsidRPr="00F05A8A">
        <w:rPr>
          <w:highlight w:val="lightGray"/>
          <w:lang w:eastAsia="fr-FR"/>
        </w:rPr>
        <w:drawing>
          <wp:inline distT="0" distB="0" distL="0" distR="0" wp14:anchorId="5CC1471C" wp14:editId="7DD1E5EB">
            <wp:extent cx="5318760" cy="3383280"/>
            <wp:effectExtent l="0" t="0" r="0" b="7620"/>
            <wp:docPr id="1820414985" name="Picture 182041498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5" name="Picture 1820414985" descr="Chart, bar chart&#10;&#10;Description automatically generated"/>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318760" cy="3383280"/>
                    </a:xfrm>
                    <a:prstGeom prst="rect">
                      <a:avLst/>
                    </a:prstGeom>
                    <a:noFill/>
                  </pic:spPr>
                </pic:pic>
              </a:graphicData>
            </a:graphic>
          </wp:inline>
        </w:drawing>
      </w:r>
    </w:p>
    <w:p w14:paraId="7706BB5C" w14:textId="77777777" w:rsidR="00D80461" w:rsidRPr="00F05A8A" w:rsidRDefault="00D80461" w:rsidP="002F075E">
      <w:pPr>
        <w:keepNext/>
        <w:keepLines/>
        <w:spacing w:before="360"/>
      </w:pPr>
      <w:r w:rsidRPr="00F05A8A">
        <w:rPr>
          <w:b/>
          <w:bCs/>
        </w:rPr>
        <w:lastRenderedPageBreak/>
        <w:t>Objectif T.4</w:t>
      </w:r>
      <w:r w:rsidRPr="00F05A8A">
        <w:t xml:space="preserve"> (Échange de connaissances): Encourager la sensibilisation ainsi que l'acquisition et l'échange de connaissances et de savoir</w:t>
      </w:r>
      <w:r w:rsidRPr="00F05A8A">
        <w:noBreakHyphen/>
        <w:t>faire concernant les activités de normalisation de l'UIT-T</w:t>
      </w:r>
    </w:p>
    <w:p w14:paraId="584EA837" w14:textId="77777777" w:rsidR="00D80461" w:rsidRPr="00F05A8A" w:rsidRDefault="00D80461" w:rsidP="002F075E">
      <w:pPr>
        <w:pStyle w:val="Headingb"/>
        <w:spacing w:after="120"/>
      </w:pPr>
      <w:bookmarkStart w:id="814" w:name="_Toc41032168"/>
      <w:bookmarkStart w:id="815" w:name="_Toc72846769"/>
      <w:bookmarkStart w:id="816" w:name="_Toc95387624"/>
      <w:r w:rsidRPr="00F05A8A">
        <w:t>Résultats</w:t>
      </w:r>
      <w:bookmarkEnd w:id="814"/>
      <w:bookmarkEnd w:id="815"/>
      <w:bookmarkEnd w:id="816"/>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1D492B84" w14:textId="77777777" w:rsidTr="00142C01">
        <w:tc>
          <w:tcPr>
            <w:tcW w:w="9629" w:type="dxa"/>
            <w:shd w:val="clear" w:color="auto" w:fill="DBE5F1" w:themeFill="accent1" w:themeFillTint="33"/>
          </w:tcPr>
          <w:p w14:paraId="5C98201E" w14:textId="77777777" w:rsidR="00D80461" w:rsidRPr="00F05A8A" w:rsidRDefault="00D80461" w:rsidP="002F075E">
            <w:r w:rsidRPr="00F05A8A">
              <w:t xml:space="preserve">T.4-a: Renforcement des connaissances relatives aux normes UIT-T et aux bonnes pratiques concernant leur mise en œuvre </w:t>
            </w:r>
          </w:p>
          <w:p w14:paraId="53150C71" w14:textId="77777777" w:rsidR="00D80461" w:rsidRPr="00F05A8A" w:rsidRDefault="00D80461" w:rsidP="002F075E">
            <w:r w:rsidRPr="00F05A8A">
              <w:t>T.4-b: Renforcement de la participation aux activités de normalisation de l'UIT-T et prise de conscience accrue de l'importance des normes UIT-T</w:t>
            </w:r>
          </w:p>
          <w:p w14:paraId="698B3A51" w14:textId="77777777" w:rsidR="00D80461" w:rsidRPr="00F05A8A" w:rsidRDefault="00D80461" w:rsidP="002F075E">
            <w:pPr>
              <w:spacing w:after="120"/>
            </w:pPr>
            <w:r w:rsidRPr="00F05A8A">
              <w:t>T.4-c: Visibilité accrue du Secteur</w:t>
            </w:r>
          </w:p>
        </w:tc>
      </w:tr>
    </w:tbl>
    <w:p w14:paraId="1B17249F" w14:textId="77777777" w:rsidR="00D80461" w:rsidRPr="00F05A8A" w:rsidRDefault="00D80461" w:rsidP="002F075E">
      <w:pPr>
        <w:pStyle w:val="Headingb"/>
      </w:pPr>
      <w:bookmarkStart w:id="817" w:name="_Toc41032169"/>
      <w:bookmarkStart w:id="818" w:name="_Toc72846770"/>
      <w:bookmarkStart w:id="819" w:name="_Toc95387625"/>
      <w:r w:rsidRPr="00F05A8A">
        <w:t>Progrès accomplis</w:t>
      </w:r>
      <w:bookmarkEnd w:id="817"/>
      <w:bookmarkEnd w:id="818"/>
      <w:bookmarkEnd w:id="819"/>
    </w:p>
    <w:p w14:paraId="61E4AE0B" w14:textId="77777777" w:rsidR="00D80461" w:rsidRPr="00F05A8A" w:rsidRDefault="00D80461" w:rsidP="002F075E">
      <w:bookmarkStart w:id="820" w:name="lt_pId1591"/>
      <w:r w:rsidRPr="00F05A8A">
        <w:t xml:space="preserve">Les indicateurs pertinents sont déjà mentionnés dans les paragraphes consacrés aux objectifs T.1 et T.2 </w:t>
      </w:r>
      <w:bookmarkEnd w:id="820"/>
      <w:r w:rsidRPr="00F05A8A">
        <w:t>ci-dessus.</w:t>
      </w:r>
    </w:p>
    <w:p w14:paraId="1CF5C460" w14:textId="77777777" w:rsidR="00D80461" w:rsidRPr="00F05A8A" w:rsidRDefault="00D80461" w:rsidP="002F075E">
      <w:r w:rsidRPr="00F05A8A">
        <w:rPr>
          <w:b/>
          <w:bCs/>
        </w:rPr>
        <w:t>Objectif T.5</w:t>
      </w:r>
      <w:r w:rsidRPr="00F05A8A">
        <w:t xml:space="preserve"> (Coopération avec les organismes de normalisation): Élargir et faciliter la coopération avec les organismes internationaux, régionaux et nationaux de normalisation</w:t>
      </w:r>
    </w:p>
    <w:p w14:paraId="1B7B4B54" w14:textId="77777777" w:rsidR="00D80461" w:rsidRPr="00F05A8A" w:rsidRDefault="00D80461" w:rsidP="002F075E">
      <w:pPr>
        <w:pStyle w:val="Headingb"/>
        <w:spacing w:after="120"/>
      </w:pPr>
      <w:bookmarkStart w:id="821" w:name="_Toc41032170"/>
      <w:bookmarkStart w:id="822" w:name="_Toc72846771"/>
      <w:bookmarkStart w:id="823" w:name="_Toc95387626"/>
      <w:r w:rsidRPr="00F05A8A">
        <w:t>Résultats</w:t>
      </w:r>
      <w:bookmarkEnd w:id="821"/>
      <w:bookmarkEnd w:id="822"/>
      <w:bookmarkEnd w:id="823"/>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20162D0B" w14:textId="77777777" w:rsidTr="00142C01">
        <w:tc>
          <w:tcPr>
            <w:tcW w:w="9629" w:type="dxa"/>
            <w:shd w:val="clear" w:color="auto" w:fill="DBE5F1" w:themeFill="accent1" w:themeFillTint="33"/>
          </w:tcPr>
          <w:p w14:paraId="64058EAF" w14:textId="77777777" w:rsidR="00D80461" w:rsidRPr="00F05A8A" w:rsidRDefault="00D80461" w:rsidP="002F075E">
            <w:r w:rsidRPr="00F05A8A">
              <w:t>T.5-a: Renforcement de la communication avec d'autres organismes de normalisation</w:t>
            </w:r>
          </w:p>
          <w:p w14:paraId="443FC01E" w14:textId="77777777" w:rsidR="00D80461" w:rsidRPr="00F05A8A" w:rsidRDefault="00D80461" w:rsidP="002F075E">
            <w:r w:rsidRPr="00F05A8A">
              <w:t>T.5-b: Diminution du nombre de normes incompatibles entre elles</w:t>
            </w:r>
          </w:p>
          <w:p w14:paraId="5CBA11FE" w14:textId="77777777" w:rsidR="00D80461" w:rsidRPr="00F05A8A" w:rsidRDefault="00D80461" w:rsidP="002F075E">
            <w:r w:rsidRPr="00F05A8A">
              <w:t xml:space="preserve">T.5-c: Nombre accru de mémorandums d'accord/d'accords de collaboration conclus avec d'autres organisations </w:t>
            </w:r>
          </w:p>
          <w:p w14:paraId="695127F8" w14:textId="77777777" w:rsidR="00D80461" w:rsidRPr="00F05A8A" w:rsidRDefault="00D80461" w:rsidP="002F075E">
            <w:r w:rsidRPr="00F05A8A">
              <w:t>T.5-d: Nombre accru d'organisations habilitées conformément aux recommandations UIT-T A.4, A.5 et A.6</w:t>
            </w:r>
          </w:p>
          <w:p w14:paraId="6977481B" w14:textId="77777777" w:rsidR="00D80461" w:rsidRPr="00F05A8A" w:rsidRDefault="00D80461" w:rsidP="002F075E">
            <w:pPr>
              <w:spacing w:after="120"/>
            </w:pPr>
            <w:r w:rsidRPr="00F05A8A">
              <w:t>T.5-e: Nombre accru d'ateliers ou de réunions organisés conjointement avec d'autres organisations</w:t>
            </w:r>
          </w:p>
        </w:tc>
      </w:tr>
    </w:tbl>
    <w:p w14:paraId="0DCAD4CB" w14:textId="77777777" w:rsidR="00D80461" w:rsidRPr="00F05A8A" w:rsidRDefault="00D80461" w:rsidP="002F075E">
      <w:pPr>
        <w:pStyle w:val="Headingb"/>
        <w:spacing w:after="120"/>
      </w:pPr>
      <w:bookmarkStart w:id="824" w:name="_Toc41032171"/>
      <w:bookmarkStart w:id="825" w:name="_Toc72846772"/>
      <w:bookmarkStart w:id="826" w:name="_Toc95387627"/>
      <w:r w:rsidRPr="00F05A8A">
        <w:t>Progrès accomplis</w:t>
      </w:r>
      <w:bookmarkEnd w:id="824"/>
      <w:bookmarkEnd w:id="825"/>
      <w:bookmarkEnd w:id="826"/>
    </w:p>
    <w:tbl>
      <w:tblPr>
        <w:tblW w:w="0" w:type="auto"/>
        <w:tblLook w:val="04A0" w:firstRow="1" w:lastRow="0" w:firstColumn="1" w:lastColumn="0" w:noHBand="0" w:noVBand="1"/>
      </w:tblPr>
      <w:tblGrid>
        <w:gridCol w:w="4905"/>
        <w:gridCol w:w="4740"/>
      </w:tblGrid>
      <w:tr w:rsidR="00D80461" w:rsidRPr="00F05A8A" w14:paraId="22D3BCD5" w14:textId="77777777" w:rsidTr="00142C01">
        <w:tc>
          <w:tcPr>
            <w:tcW w:w="4830" w:type="dxa"/>
          </w:tcPr>
          <w:p w14:paraId="39522266" w14:textId="77777777" w:rsidR="00D80461" w:rsidRPr="00F05A8A" w:rsidRDefault="00D80461" w:rsidP="002F075E">
            <w:pPr>
              <w:rPr>
                <w:rFonts w:cs="Calibri"/>
                <w:b/>
                <w:bCs/>
              </w:rPr>
            </w:pPr>
            <w:bookmarkStart w:id="827" w:name="lt_pId1600"/>
            <w:r w:rsidRPr="00F05A8A">
              <w:rPr>
                <w:rFonts w:cs="Calibri"/>
                <w:b/>
                <w:bCs/>
              </w:rPr>
              <w:t>T.5-a</w:t>
            </w:r>
            <w:bookmarkEnd w:id="827"/>
          </w:p>
        </w:tc>
        <w:tc>
          <w:tcPr>
            <w:tcW w:w="4809" w:type="dxa"/>
          </w:tcPr>
          <w:p w14:paraId="1EFE74CE" w14:textId="77777777" w:rsidR="00D80461" w:rsidRPr="00F05A8A" w:rsidRDefault="00D80461" w:rsidP="002F075E">
            <w:pPr>
              <w:rPr>
                <w:rFonts w:cs="Calibri"/>
                <w:b/>
                <w:bCs/>
              </w:rPr>
            </w:pPr>
            <w:bookmarkStart w:id="828" w:name="lt_pId1601"/>
            <w:r w:rsidRPr="00F05A8A">
              <w:rPr>
                <w:rFonts w:cs="Calibri"/>
                <w:b/>
                <w:bCs/>
              </w:rPr>
              <w:t>T.5-b/c</w:t>
            </w:r>
            <w:bookmarkEnd w:id="828"/>
          </w:p>
        </w:tc>
      </w:tr>
      <w:tr w:rsidR="00D80461" w:rsidRPr="00F05A8A" w14:paraId="0D9D8CCF" w14:textId="77777777" w:rsidTr="00142C01">
        <w:tc>
          <w:tcPr>
            <w:tcW w:w="4830" w:type="dxa"/>
          </w:tcPr>
          <w:p w14:paraId="3000017C"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786E6606" wp14:editId="3E4CE58C">
                  <wp:extent cx="3086030" cy="1853672"/>
                  <wp:effectExtent l="0" t="0" r="635" b="0"/>
                  <wp:docPr id="1820414986" name="Picture 18204149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6" name="Picture 1820414986" descr="Chart&#10;&#10;Description automatically generated"/>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096653" cy="1860053"/>
                          </a:xfrm>
                          <a:prstGeom prst="rect">
                            <a:avLst/>
                          </a:prstGeom>
                          <a:noFill/>
                        </pic:spPr>
                      </pic:pic>
                    </a:graphicData>
                  </a:graphic>
                </wp:inline>
              </w:drawing>
            </w:r>
          </w:p>
        </w:tc>
        <w:tc>
          <w:tcPr>
            <w:tcW w:w="4809" w:type="dxa"/>
          </w:tcPr>
          <w:p w14:paraId="0B45BE2D" w14:textId="77777777" w:rsidR="00D80461" w:rsidRPr="00F05A8A" w:rsidRDefault="00D80461" w:rsidP="002F075E">
            <w:pPr>
              <w:spacing w:before="240" w:after="240"/>
              <w:jc w:val="center"/>
              <w:rPr>
                <w:rFonts w:cs="Calibri"/>
                <w:b/>
                <w:bCs/>
              </w:rPr>
            </w:pPr>
            <w:r w:rsidRPr="00F05A8A">
              <w:rPr>
                <w:rFonts w:cs="Calibri"/>
                <w:b/>
                <w:bCs/>
                <w:lang w:eastAsia="fr-FR"/>
              </w:rPr>
              <w:drawing>
                <wp:inline distT="0" distB="0" distL="0" distR="0" wp14:anchorId="270EFEF5" wp14:editId="0557C158">
                  <wp:extent cx="2977200" cy="1778400"/>
                  <wp:effectExtent l="0" t="0" r="0" b="0"/>
                  <wp:docPr id="1820415024" name="Picture 18204150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4" name="Picture 1820415024" descr="Chart, bar chart&#10;&#10;Description automatically generated"/>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977200" cy="1778400"/>
                          </a:xfrm>
                          <a:prstGeom prst="rect">
                            <a:avLst/>
                          </a:prstGeom>
                          <a:noFill/>
                        </pic:spPr>
                      </pic:pic>
                    </a:graphicData>
                  </a:graphic>
                </wp:inline>
              </w:drawing>
            </w:r>
          </w:p>
        </w:tc>
      </w:tr>
      <w:tr w:rsidR="00D80461" w:rsidRPr="00F05A8A" w14:paraId="623E2392" w14:textId="77777777" w:rsidTr="00142C01">
        <w:tc>
          <w:tcPr>
            <w:tcW w:w="4830" w:type="dxa"/>
          </w:tcPr>
          <w:p w14:paraId="702F871C" w14:textId="77777777" w:rsidR="00D80461" w:rsidRPr="00F05A8A" w:rsidRDefault="00D80461" w:rsidP="002F075E">
            <w:pPr>
              <w:keepNext/>
              <w:keepLines/>
              <w:rPr>
                <w:rFonts w:cs="Calibri"/>
                <w:b/>
                <w:bCs/>
              </w:rPr>
            </w:pPr>
            <w:bookmarkStart w:id="829" w:name="lt_pId1602"/>
            <w:r w:rsidRPr="00F05A8A">
              <w:rPr>
                <w:rFonts w:cs="Calibri"/>
                <w:b/>
                <w:bCs/>
              </w:rPr>
              <w:lastRenderedPageBreak/>
              <w:t>T1.5-d</w:t>
            </w:r>
            <w:bookmarkEnd w:id="829"/>
          </w:p>
        </w:tc>
        <w:tc>
          <w:tcPr>
            <w:tcW w:w="4809" w:type="dxa"/>
          </w:tcPr>
          <w:p w14:paraId="6A5F39ED" w14:textId="77777777" w:rsidR="00D80461" w:rsidRPr="00F05A8A" w:rsidRDefault="00D80461" w:rsidP="002F075E">
            <w:pPr>
              <w:rPr>
                <w:rFonts w:cs="Calibri"/>
                <w:b/>
                <w:bCs/>
              </w:rPr>
            </w:pPr>
          </w:p>
        </w:tc>
      </w:tr>
      <w:tr w:rsidR="00D80461" w:rsidRPr="00F05A8A" w14:paraId="782CA74C" w14:textId="77777777" w:rsidTr="00142C01">
        <w:tc>
          <w:tcPr>
            <w:tcW w:w="4830" w:type="dxa"/>
          </w:tcPr>
          <w:p w14:paraId="04E77627" w14:textId="77777777" w:rsidR="00D80461" w:rsidRPr="00F05A8A" w:rsidRDefault="00D80461" w:rsidP="002F075E">
            <w:pPr>
              <w:keepNext/>
              <w:keepLines/>
              <w:spacing w:before="240" w:after="240"/>
              <w:rPr>
                <w:rFonts w:cs="Calibri"/>
                <w:b/>
                <w:bCs/>
              </w:rPr>
            </w:pPr>
            <w:r w:rsidRPr="00F05A8A">
              <w:rPr>
                <w:rFonts w:cs="Calibri"/>
                <w:b/>
                <w:bCs/>
                <w:lang w:eastAsia="fr-FR"/>
              </w:rPr>
              <w:drawing>
                <wp:inline distT="0" distB="0" distL="0" distR="0" wp14:anchorId="12A0F343" wp14:editId="43A0FDD9">
                  <wp:extent cx="2980800" cy="1796400"/>
                  <wp:effectExtent l="0" t="0" r="0" b="0"/>
                  <wp:docPr id="1820415025" name="Picture 1820415025"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5" name="Picture 1820415025" descr="Chart, bar chart, waterfall chart&#10;&#10;Description automatically generated"/>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980800" cy="1796400"/>
                          </a:xfrm>
                          <a:prstGeom prst="rect">
                            <a:avLst/>
                          </a:prstGeom>
                          <a:noFill/>
                        </pic:spPr>
                      </pic:pic>
                    </a:graphicData>
                  </a:graphic>
                </wp:inline>
              </w:drawing>
            </w:r>
          </w:p>
        </w:tc>
        <w:tc>
          <w:tcPr>
            <w:tcW w:w="4809" w:type="dxa"/>
          </w:tcPr>
          <w:p w14:paraId="3EAC6F0A" w14:textId="77777777" w:rsidR="00D80461" w:rsidRPr="00F05A8A" w:rsidRDefault="00D80461" w:rsidP="002F075E">
            <w:pPr>
              <w:rPr>
                <w:rFonts w:cs="Calibri"/>
                <w:b/>
                <w:bCs/>
              </w:rPr>
            </w:pPr>
          </w:p>
        </w:tc>
      </w:tr>
    </w:tbl>
    <w:p w14:paraId="641B188D" w14:textId="77777777" w:rsidR="00D80461" w:rsidRPr="00F05A8A" w:rsidRDefault="00D80461" w:rsidP="002F075E">
      <w:pPr>
        <w:pStyle w:val="Heading2"/>
      </w:pPr>
      <w:bookmarkStart w:id="830" w:name="_Toc41032172"/>
      <w:bookmarkStart w:id="831" w:name="_Toc72846773"/>
      <w:bookmarkStart w:id="832" w:name="_Toc98513626"/>
      <w:bookmarkStart w:id="833" w:name="_Toc107466591"/>
      <w:r w:rsidRPr="00F05A8A">
        <w:t>Objectifs de l'UIT-D</w:t>
      </w:r>
      <w:bookmarkEnd w:id="830"/>
      <w:bookmarkEnd w:id="831"/>
      <w:bookmarkEnd w:id="832"/>
      <w:bookmarkEnd w:id="833"/>
    </w:p>
    <w:p w14:paraId="7E89C27E" w14:textId="77777777" w:rsidR="00D80461" w:rsidRPr="00F05A8A" w:rsidRDefault="00D80461" w:rsidP="002F075E">
      <w:r w:rsidRPr="00F05A8A">
        <w:rPr>
          <w:b/>
          <w:bCs/>
        </w:rPr>
        <w:t>Objectif D.1</w:t>
      </w:r>
      <w:r w:rsidRPr="00F05A8A">
        <w:t xml:space="preserve"> (Coordination): Promouvoir </w:t>
      </w:r>
      <w:r w:rsidRPr="00F05A8A">
        <w:rPr>
          <w:bCs/>
        </w:rPr>
        <w:t xml:space="preserve">la coopération et la conclusion d'accords à l'échelle internationale </w:t>
      </w:r>
      <w:r w:rsidRPr="00F05A8A">
        <w:t>concernant les questions de développement des télécommunications/TIC</w:t>
      </w:r>
    </w:p>
    <w:p w14:paraId="05F763D9" w14:textId="77777777" w:rsidR="00D80461" w:rsidRPr="00F05A8A" w:rsidRDefault="00D80461" w:rsidP="002F075E">
      <w:pPr>
        <w:pStyle w:val="Headingb"/>
        <w:spacing w:after="120"/>
      </w:pPr>
      <w:bookmarkStart w:id="834" w:name="_Toc41032173"/>
      <w:bookmarkStart w:id="835" w:name="_Toc72846774"/>
      <w:bookmarkStart w:id="836" w:name="_Toc95387629"/>
      <w:r w:rsidRPr="00F05A8A">
        <w:t>Résultats</w:t>
      </w:r>
      <w:bookmarkEnd w:id="834"/>
      <w:bookmarkEnd w:id="835"/>
      <w:bookmarkEnd w:id="836"/>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3EB39449" w14:textId="77777777" w:rsidTr="00142C01">
        <w:tc>
          <w:tcPr>
            <w:tcW w:w="9629" w:type="dxa"/>
            <w:shd w:val="clear" w:color="auto" w:fill="DBE5F1" w:themeFill="accent1" w:themeFillTint="33"/>
          </w:tcPr>
          <w:p w14:paraId="7EBE29E9" w14:textId="77777777" w:rsidR="00D80461" w:rsidRPr="00F05A8A" w:rsidRDefault="00D80461" w:rsidP="002F075E">
            <w:r w:rsidRPr="00F05A8A">
              <w:t xml:space="preserve">D.1-a: Examen plus approfondi et meilleure adhésion au projet de contribution de l'UIT-D au projet de </w:t>
            </w:r>
            <w:r w:rsidRPr="00F05A8A">
              <w:rPr>
                <w:b/>
                <w:bCs/>
              </w:rPr>
              <w:t>plan stratégique</w:t>
            </w:r>
            <w:r w:rsidRPr="00F05A8A">
              <w:t xml:space="preserve"> de l'UIT, à la </w:t>
            </w:r>
            <w:r w:rsidRPr="00F05A8A">
              <w:rPr>
                <w:b/>
                <w:bCs/>
              </w:rPr>
              <w:t>Déclaration</w:t>
            </w:r>
            <w:r w:rsidRPr="00F05A8A">
              <w:t xml:space="preserve"> de la Conférence mondiale de développement des télécommunications (CMDT) et au </w:t>
            </w:r>
            <w:r w:rsidRPr="00F05A8A">
              <w:rPr>
                <w:b/>
                <w:bCs/>
              </w:rPr>
              <w:t xml:space="preserve">Plan d'action </w:t>
            </w:r>
            <w:r w:rsidRPr="00F05A8A">
              <w:t>de la CMDT</w:t>
            </w:r>
          </w:p>
          <w:p w14:paraId="605AC4AE" w14:textId="77777777" w:rsidR="00D80461" w:rsidRPr="00F05A8A" w:rsidRDefault="00D80461" w:rsidP="002F075E">
            <w:r w:rsidRPr="00F05A8A">
              <w:t xml:space="preserve">D.1-b: Évaluation de la mise en œuvre du </w:t>
            </w:r>
            <w:r w:rsidRPr="00F05A8A">
              <w:rPr>
                <w:b/>
                <w:bCs/>
              </w:rPr>
              <w:t xml:space="preserve">Plan d'action </w:t>
            </w:r>
            <w:r w:rsidRPr="00F05A8A">
              <w:t xml:space="preserve">et du </w:t>
            </w:r>
            <w:r w:rsidRPr="00F05A8A">
              <w:rPr>
                <w:b/>
                <w:bCs/>
              </w:rPr>
              <w:t>plan d'action du SMSI</w:t>
            </w:r>
          </w:p>
          <w:p w14:paraId="15383CED" w14:textId="77777777" w:rsidR="00D80461" w:rsidRPr="00F05A8A" w:rsidRDefault="00D80461" w:rsidP="002F075E">
            <w:r w:rsidRPr="00F05A8A">
              <w:t>D.1-c: Renforcement de l'</w:t>
            </w:r>
            <w:r w:rsidRPr="00F05A8A">
              <w:rPr>
                <w:b/>
                <w:bCs/>
              </w:rPr>
              <w:t>échange de connaissances, du dialogue</w:t>
            </w:r>
            <w:r w:rsidRPr="00F05A8A">
              <w:t xml:space="preserve"> et des </w:t>
            </w:r>
            <w:r w:rsidRPr="00F05A8A">
              <w:rPr>
                <w:b/>
                <w:bCs/>
              </w:rPr>
              <w:t>partenariats</w:t>
            </w:r>
            <w:r w:rsidRPr="00F05A8A">
              <w:t xml:space="preserve"> entre les États Membres, les Membres de Secteur, les Associés et les établissements universitaires et d'autres parties prenantes participant aux travaux du Secteur concernant les questions de télécommunication/TIC</w:t>
            </w:r>
          </w:p>
          <w:p w14:paraId="29861149" w14:textId="77777777" w:rsidR="00D80461" w:rsidRPr="00F05A8A" w:rsidRDefault="00D80461" w:rsidP="002F075E">
            <w:r w:rsidRPr="00F05A8A">
              <w:t>D.1-d: Renforcement du processus et de la mise en œuvre de projets de développement des télécommunications/TIC et d'initiatives régionales</w:t>
            </w:r>
          </w:p>
          <w:p w14:paraId="1751F869" w14:textId="77777777" w:rsidR="00D80461" w:rsidRPr="00F05A8A" w:rsidRDefault="00D80461" w:rsidP="002F075E">
            <w:pPr>
              <w:spacing w:after="120"/>
            </w:pPr>
            <w:r w:rsidRPr="00F05A8A">
              <w:t>D.1-e: Faciliter la conclusion d'accords de coopération concernant des programmes de développement des télécommunications/TIC entre les États Membres, ainsi qu'entre les États Membres et d'autres parties prenantes de l'écosystème des TIC, sur la base des demandes formulées par les États Membres concernés de l'UIT</w:t>
            </w:r>
          </w:p>
        </w:tc>
      </w:tr>
    </w:tbl>
    <w:p w14:paraId="0A4C7A95" w14:textId="77777777" w:rsidR="00D80461" w:rsidRPr="00F05A8A" w:rsidRDefault="00D80461" w:rsidP="002F075E">
      <w:pPr>
        <w:pStyle w:val="Headingb"/>
        <w:spacing w:after="240"/>
      </w:pPr>
      <w:bookmarkStart w:id="837" w:name="_Toc41032174"/>
      <w:bookmarkStart w:id="838" w:name="_Toc72846775"/>
      <w:bookmarkStart w:id="839" w:name="_Toc95387630"/>
      <w:r w:rsidRPr="00F05A8A">
        <w:lastRenderedPageBreak/>
        <w:t>Progrès accomplis</w:t>
      </w:r>
      <w:bookmarkEnd w:id="837"/>
      <w:bookmarkEnd w:id="838"/>
      <w:bookmarkEnd w:id="839"/>
    </w:p>
    <w:p w14:paraId="3307533D" w14:textId="77777777" w:rsidR="00D80461" w:rsidRPr="00F05A8A" w:rsidRDefault="00D80461" w:rsidP="002F075E">
      <w:pPr>
        <w:jc w:val="center"/>
      </w:pPr>
      <w:r w:rsidRPr="00F05A8A">
        <w:rPr>
          <w:lang w:eastAsia="fr-FR"/>
        </w:rPr>
        <w:drawing>
          <wp:inline distT="0" distB="0" distL="0" distR="0" wp14:anchorId="123743A1" wp14:editId="6D2A2A23">
            <wp:extent cx="5369357" cy="3133097"/>
            <wp:effectExtent l="0" t="0" r="3175" b="0"/>
            <wp:docPr id="203575382" name="Picture 2035753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82" name="Picture 203575382" descr="Graphical user interface&#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385241" cy="3142366"/>
                    </a:xfrm>
                    <a:prstGeom prst="rect">
                      <a:avLst/>
                    </a:prstGeom>
                    <a:noFill/>
                  </pic:spPr>
                </pic:pic>
              </a:graphicData>
            </a:graphic>
          </wp:inline>
        </w:drawing>
      </w:r>
    </w:p>
    <w:p w14:paraId="3B110BF9" w14:textId="77777777" w:rsidR="00D80461" w:rsidRPr="00F05A8A" w:rsidRDefault="00D80461" w:rsidP="002F075E">
      <w:pPr>
        <w:keepNext/>
        <w:keepLines/>
      </w:pPr>
      <w:r w:rsidRPr="00F05A8A">
        <w:rPr>
          <w:b/>
          <w:bCs/>
        </w:rPr>
        <w:t>Objectif D.2</w:t>
      </w:r>
      <w:r w:rsidRPr="00F05A8A">
        <w:t xml:space="preserve"> (Infrastructure moderne et sûre pour les télécommunications/TIC): Infrastructure moderne et sûre pour les télécommunications/TIC: Promouvoir le développement d'infrastructures et de services, et notamment établir la confiance et la sécurité dans l'utilisation des télécommunications/TIC</w:t>
      </w:r>
    </w:p>
    <w:p w14:paraId="18052DDF" w14:textId="77777777" w:rsidR="00D80461" w:rsidRPr="00F05A8A" w:rsidRDefault="00D80461" w:rsidP="002F075E">
      <w:pPr>
        <w:pStyle w:val="Headingb"/>
        <w:spacing w:after="120"/>
      </w:pPr>
      <w:bookmarkStart w:id="840" w:name="_Toc41032175"/>
      <w:bookmarkStart w:id="841" w:name="_Toc72846776"/>
      <w:bookmarkStart w:id="842" w:name="_Toc95387631"/>
      <w:r w:rsidRPr="00F05A8A">
        <w:t>Résultats</w:t>
      </w:r>
      <w:bookmarkEnd w:id="840"/>
      <w:bookmarkEnd w:id="841"/>
      <w:bookmarkEnd w:id="842"/>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53FBEB41" w14:textId="77777777" w:rsidTr="00142C01">
        <w:tc>
          <w:tcPr>
            <w:tcW w:w="9629" w:type="dxa"/>
            <w:shd w:val="clear" w:color="auto" w:fill="DBE5F1" w:themeFill="accent1" w:themeFillTint="33"/>
          </w:tcPr>
          <w:p w14:paraId="19BD7265" w14:textId="77777777" w:rsidR="00D80461" w:rsidRPr="00F05A8A" w:rsidRDefault="00D80461" w:rsidP="002F075E">
            <w:r w:rsidRPr="00F05A8A">
              <w:t>D.2-a: Renforcement de la capacité des membres de l'UIT de fournir des infrastructures et des services de télécommunication/TIC robustes</w:t>
            </w:r>
          </w:p>
          <w:p w14:paraId="13DA50E1" w14:textId="77777777" w:rsidR="00D80461" w:rsidRPr="00F05A8A" w:rsidRDefault="00D80461" w:rsidP="002F075E">
            <w:r w:rsidRPr="00F05A8A">
              <w:t>D.2-b: 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p>
          <w:p w14:paraId="395D8674" w14:textId="77777777" w:rsidR="00D80461" w:rsidRPr="00F05A8A" w:rsidRDefault="00D80461" w:rsidP="002F075E">
            <w:pPr>
              <w:spacing w:after="120"/>
            </w:pPr>
            <w:r w:rsidRPr="00F05A8A">
              <w:t>D.2-c: Renforcement de la capacité des États Membres d'utiliser les télécommunications/TIC pour l'atténuation et la gestion des risques de catastrophe, pour garantir la disponibilité des télécommunications d'urgence et appuyer la coopération dans ce domaine</w:t>
            </w:r>
          </w:p>
        </w:tc>
      </w:tr>
    </w:tbl>
    <w:p w14:paraId="027CF1A9" w14:textId="77777777" w:rsidR="00D80461" w:rsidRPr="00F05A8A" w:rsidRDefault="00D80461" w:rsidP="002F075E">
      <w:pPr>
        <w:pStyle w:val="Headingb"/>
        <w:spacing w:after="120"/>
      </w:pPr>
      <w:bookmarkStart w:id="843" w:name="_Toc41032176"/>
      <w:bookmarkStart w:id="844" w:name="_Toc72846777"/>
      <w:bookmarkStart w:id="845" w:name="_Toc95387632"/>
      <w:r w:rsidRPr="00F05A8A">
        <w:lastRenderedPageBreak/>
        <w:t>Progrès accomplis</w:t>
      </w:r>
      <w:bookmarkEnd w:id="843"/>
      <w:bookmarkEnd w:id="844"/>
      <w:bookmarkEnd w:id="845"/>
    </w:p>
    <w:p w14:paraId="0E4F9A18" w14:textId="77777777" w:rsidR="00D80461" w:rsidRPr="00F05A8A" w:rsidRDefault="00D80461" w:rsidP="002F075E">
      <w:pPr>
        <w:pStyle w:val="Headingb"/>
        <w:spacing w:after="240"/>
        <w:rPr>
          <w:sz w:val="20"/>
          <w:highlight w:val="lightGray"/>
        </w:rPr>
      </w:pPr>
      <w:bookmarkStart w:id="846" w:name="_Toc72846778"/>
      <w:bookmarkStart w:id="847" w:name="_Toc95387633"/>
      <w:r w:rsidRPr="00F05A8A">
        <w:rPr>
          <w:rFonts w:eastAsia="Calibri"/>
        </w:rPr>
        <w:t>Priorité thématique: Réseaux et infrastructures numériques</w:t>
      </w:r>
      <w:bookmarkEnd w:id="846"/>
      <w:bookmarkEnd w:id="847"/>
    </w:p>
    <w:tbl>
      <w:tblPr>
        <w:tblW w:w="0" w:type="auto"/>
        <w:tblLook w:val="04A0" w:firstRow="1" w:lastRow="0" w:firstColumn="1" w:lastColumn="0" w:noHBand="0" w:noVBand="1"/>
      </w:tblPr>
      <w:tblGrid>
        <w:gridCol w:w="4508"/>
        <w:gridCol w:w="4508"/>
      </w:tblGrid>
      <w:tr w:rsidR="00D80461" w:rsidRPr="00F05A8A" w14:paraId="333ED015" w14:textId="77777777" w:rsidTr="00142C01">
        <w:tc>
          <w:tcPr>
            <w:tcW w:w="4508" w:type="dxa"/>
          </w:tcPr>
          <w:p w14:paraId="1ED738F4" w14:textId="77777777" w:rsidR="00D80461" w:rsidRPr="00F05A8A" w:rsidRDefault="00D80461" w:rsidP="002F075E">
            <w:pPr>
              <w:jc w:val="center"/>
            </w:pPr>
            <w:r w:rsidRPr="00F05A8A">
              <w:rPr>
                <w:lang w:eastAsia="fr-FR"/>
              </w:rPr>
              <w:drawing>
                <wp:inline distT="0" distB="0" distL="0" distR="0" wp14:anchorId="059F78D4" wp14:editId="51EB1716">
                  <wp:extent cx="2470068" cy="1476202"/>
                  <wp:effectExtent l="0" t="0" r="0" b="0"/>
                  <wp:docPr id="203575389" name="Picture 20357538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89" name="Picture 203575389" descr="Chart, treemap chart&#10;&#10;Description automatically generated"/>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497074" cy="1492342"/>
                          </a:xfrm>
                          <a:prstGeom prst="rect">
                            <a:avLst/>
                          </a:prstGeom>
                          <a:noFill/>
                        </pic:spPr>
                      </pic:pic>
                    </a:graphicData>
                  </a:graphic>
                </wp:inline>
              </w:drawing>
            </w:r>
          </w:p>
        </w:tc>
        <w:tc>
          <w:tcPr>
            <w:tcW w:w="4508" w:type="dxa"/>
          </w:tcPr>
          <w:p w14:paraId="41B0B5E4" w14:textId="77777777" w:rsidR="00D80461" w:rsidRPr="00F05A8A" w:rsidRDefault="00D80461" w:rsidP="002F075E">
            <w:pPr>
              <w:jc w:val="center"/>
            </w:pPr>
            <w:r w:rsidRPr="00F05A8A">
              <w:rPr>
                <w:lang w:eastAsia="fr-FR"/>
              </w:rPr>
              <w:drawing>
                <wp:inline distT="0" distB="0" distL="0" distR="0" wp14:anchorId="42E17811" wp14:editId="5EC7EC2E">
                  <wp:extent cx="2375270" cy="1488419"/>
                  <wp:effectExtent l="0" t="0" r="0" b="0"/>
                  <wp:docPr id="203575391" name="Picture 20357539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1" name="Picture 203575391" descr="Chart, bar chart&#10;&#10;Description automatically generated"/>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399632" cy="1503685"/>
                          </a:xfrm>
                          <a:prstGeom prst="rect">
                            <a:avLst/>
                          </a:prstGeom>
                          <a:noFill/>
                        </pic:spPr>
                      </pic:pic>
                    </a:graphicData>
                  </a:graphic>
                </wp:inline>
              </w:drawing>
            </w:r>
          </w:p>
        </w:tc>
      </w:tr>
      <w:tr w:rsidR="00D80461" w:rsidRPr="00F05A8A" w14:paraId="1B353C21" w14:textId="77777777" w:rsidTr="00142C01">
        <w:tc>
          <w:tcPr>
            <w:tcW w:w="4508" w:type="dxa"/>
          </w:tcPr>
          <w:p w14:paraId="0BC190D2" w14:textId="77777777" w:rsidR="00D80461" w:rsidRPr="00F05A8A" w:rsidRDefault="00D80461" w:rsidP="002F075E">
            <w:pPr>
              <w:tabs>
                <w:tab w:val="left" w:pos="3149"/>
              </w:tabs>
            </w:pPr>
          </w:p>
        </w:tc>
        <w:tc>
          <w:tcPr>
            <w:tcW w:w="4508" w:type="dxa"/>
          </w:tcPr>
          <w:p w14:paraId="1BDD7DF1" w14:textId="77777777" w:rsidR="00D80461" w:rsidRPr="00F05A8A" w:rsidRDefault="00D80461" w:rsidP="002F075E"/>
        </w:tc>
      </w:tr>
      <w:tr w:rsidR="00D80461" w:rsidRPr="00F05A8A" w14:paraId="7C62DC4E" w14:textId="77777777" w:rsidTr="00142C01">
        <w:tc>
          <w:tcPr>
            <w:tcW w:w="9016" w:type="dxa"/>
            <w:gridSpan w:val="2"/>
          </w:tcPr>
          <w:p w14:paraId="64506C97" w14:textId="77777777" w:rsidR="00D80461" w:rsidRPr="00F05A8A" w:rsidRDefault="00D80461" w:rsidP="002F075E">
            <w:pPr>
              <w:spacing w:before="0"/>
            </w:pPr>
            <w:r w:rsidRPr="00F05A8A">
              <w:rPr>
                <w:lang w:eastAsia="fr-FR"/>
              </w:rPr>
              <w:drawing>
                <wp:inline distT="0" distB="0" distL="0" distR="0" wp14:anchorId="36BC8FE8" wp14:editId="7AE98009">
                  <wp:extent cx="2695699" cy="1385557"/>
                  <wp:effectExtent l="0" t="0" r="0" b="5715"/>
                  <wp:docPr id="203575393" name="Picture 20357539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3" name="Picture 203575393" descr="Timeline&#10;&#10;Description automatically generated"/>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12283" cy="1394081"/>
                          </a:xfrm>
                          <a:prstGeom prst="rect">
                            <a:avLst/>
                          </a:prstGeom>
                          <a:noFill/>
                        </pic:spPr>
                      </pic:pic>
                    </a:graphicData>
                  </a:graphic>
                </wp:inline>
              </w:drawing>
            </w:r>
          </w:p>
        </w:tc>
      </w:tr>
    </w:tbl>
    <w:p w14:paraId="77AA9B69" w14:textId="77777777" w:rsidR="00D80461" w:rsidRPr="00F05A8A" w:rsidRDefault="00D80461" w:rsidP="002F075E">
      <w:pPr>
        <w:pStyle w:val="Headingb"/>
        <w:spacing w:after="120"/>
        <w:rPr>
          <w:rFonts w:eastAsia="Calibri"/>
        </w:rPr>
      </w:pPr>
      <w:bookmarkStart w:id="848" w:name="_Toc72846779"/>
      <w:bookmarkStart w:id="849" w:name="_Toc95387634"/>
      <w:r w:rsidRPr="00F05A8A">
        <w:rPr>
          <w:rFonts w:eastAsia="Calibri"/>
        </w:rPr>
        <w:t>Priorité thématique: Cybersécurité</w:t>
      </w:r>
      <w:bookmarkEnd w:id="848"/>
      <w:bookmarkEnd w:id="849"/>
    </w:p>
    <w:tbl>
      <w:tblPr>
        <w:tblW w:w="5000" w:type="pct"/>
        <w:tblLook w:val="04A0" w:firstRow="1" w:lastRow="0" w:firstColumn="1" w:lastColumn="0" w:noHBand="0" w:noVBand="1"/>
      </w:tblPr>
      <w:tblGrid>
        <w:gridCol w:w="4855"/>
        <w:gridCol w:w="4790"/>
      </w:tblGrid>
      <w:tr w:rsidR="00D80461" w:rsidRPr="00F05A8A" w14:paraId="43164720" w14:textId="77777777" w:rsidTr="00142C01">
        <w:tc>
          <w:tcPr>
            <w:tcW w:w="2517" w:type="pct"/>
          </w:tcPr>
          <w:p w14:paraId="67190DBE" w14:textId="77777777" w:rsidR="00D80461" w:rsidRPr="00F05A8A" w:rsidRDefault="00D80461" w:rsidP="002F075E">
            <w:pPr>
              <w:jc w:val="center"/>
            </w:pPr>
            <w:r w:rsidRPr="00F05A8A">
              <w:rPr>
                <w:lang w:eastAsia="fr-FR"/>
              </w:rPr>
              <w:drawing>
                <wp:inline distT="0" distB="0" distL="0" distR="0" wp14:anchorId="6AE1C16B" wp14:editId="71C6124A">
                  <wp:extent cx="2840400" cy="1350000"/>
                  <wp:effectExtent l="0" t="0" r="0" b="3175"/>
                  <wp:docPr id="203575394" name="Picture 20357539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4" name="Picture 203575394" descr="A picture containing chart&#10;&#10;Description automatically generated"/>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840400" cy="1350000"/>
                          </a:xfrm>
                          <a:prstGeom prst="rect">
                            <a:avLst/>
                          </a:prstGeom>
                          <a:noFill/>
                        </pic:spPr>
                      </pic:pic>
                    </a:graphicData>
                  </a:graphic>
                </wp:inline>
              </w:drawing>
            </w:r>
          </w:p>
        </w:tc>
        <w:tc>
          <w:tcPr>
            <w:tcW w:w="2483" w:type="pct"/>
          </w:tcPr>
          <w:p w14:paraId="473122F1" w14:textId="77777777" w:rsidR="00D80461" w:rsidRPr="00F05A8A" w:rsidRDefault="00D80461" w:rsidP="002F075E">
            <w:r w:rsidRPr="00F05A8A">
              <w:rPr>
                <w:lang w:eastAsia="fr-FR"/>
              </w:rPr>
              <w:drawing>
                <wp:inline distT="0" distB="0" distL="0" distR="0" wp14:anchorId="56B89ACA" wp14:editId="0317259B">
                  <wp:extent cx="2761013" cy="1350366"/>
                  <wp:effectExtent l="0" t="0" r="0" b="2540"/>
                  <wp:docPr id="203575395" name="Picture 20357539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5" name="Picture 203575395" descr="Chart&#10;&#10;Description automatically generated"/>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801575" cy="1370204"/>
                          </a:xfrm>
                          <a:prstGeom prst="rect">
                            <a:avLst/>
                          </a:prstGeom>
                          <a:noFill/>
                        </pic:spPr>
                      </pic:pic>
                    </a:graphicData>
                  </a:graphic>
                </wp:inline>
              </w:drawing>
            </w:r>
          </w:p>
        </w:tc>
      </w:tr>
      <w:tr w:rsidR="00D80461" w:rsidRPr="00F05A8A" w14:paraId="16C806C7" w14:textId="77777777" w:rsidTr="00142C01">
        <w:tc>
          <w:tcPr>
            <w:tcW w:w="2517" w:type="pct"/>
          </w:tcPr>
          <w:p w14:paraId="48B36CB8" w14:textId="77777777" w:rsidR="00D80461" w:rsidRPr="00F05A8A" w:rsidRDefault="00D80461" w:rsidP="002F075E"/>
        </w:tc>
        <w:tc>
          <w:tcPr>
            <w:tcW w:w="2483" w:type="pct"/>
          </w:tcPr>
          <w:p w14:paraId="265E9D5F" w14:textId="77777777" w:rsidR="00D80461" w:rsidRPr="00F05A8A" w:rsidRDefault="00D80461" w:rsidP="002F075E"/>
        </w:tc>
      </w:tr>
      <w:tr w:rsidR="00D80461" w:rsidRPr="00F05A8A" w14:paraId="75FB65D9" w14:textId="77777777" w:rsidTr="00142C01">
        <w:tc>
          <w:tcPr>
            <w:tcW w:w="2517" w:type="pct"/>
          </w:tcPr>
          <w:p w14:paraId="12B8BBCA" w14:textId="77777777" w:rsidR="00D80461" w:rsidRPr="00F05A8A" w:rsidRDefault="00D80461" w:rsidP="002F075E">
            <w:r w:rsidRPr="00F05A8A">
              <w:rPr>
                <w:lang w:eastAsia="fr-FR"/>
              </w:rPr>
              <w:drawing>
                <wp:inline distT="0" distB="0" distL="0" distR="0" wp14:anchorId="2A0A6634" wp14:editId="6BFFA9E3">
                  <wp:extent cx="2800800" cy="1350000"/>
                  <wp:effectExtent l="0" t="0" r="0" b="3175"/>
                  <wp:docPr id="203575396" name="Picture 20357539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6" name="Picture 203575396" descr="Chart, bar chart&#10;&#10;Description automatically generated"/>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800800" cy="1350000"/>
                          </a:xfrm>
                          <a:prstGeom prst="rect">
                            <a:avLst/>
                          </a:prstGeom>
                          <a:noFill/>
                        </pic:spPr>
                      </pic:pic>
                    </a:graphicData>
                  </a:graphic>
                </wp:inline>
              </w:drawing>
            </w:r>
          </w:p>
        </w:tc>
        <w:tc>
          <w:tcPr>
            <w:tcW w:w="2483" w:type="pct"/>
          </w:tcPr>
          <w:p w14:paraId="5408F066" w14:textId="77777777" w:rsidR="00D80461" w:rsidRPr="00F05A8A" w:rsidRDefault="00D80461" w:rsidP="002F075E">
            <w:pPr>
              <w:jc w:val="center"/>
            </w:pPr>
            <w:r w:rsidRPr="00F05A8A">
              <w:rPr>
                <w:lang w:eastAsia="fr-FR"/>
              </w:rPr>
              <w:drawing>
                <wp:inline distT="0" distB="0" distL="0" distR="0" wp14:anchorId="4A2567DE" wp14:editId="180E99F9">
                  <wp:extent cx="2800800" cy="1350000"/>
                  <wp:effectExtent l="0" t="0" r="0" b="3175"/>
                  <wp:docPr id="203575399" name="Picture 20357539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9" name="Picture 203575399" descr="Chart&#10;&#10;Description automatically generated with low confidence"/>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800800" cy="1350000"/>
                          </a:xfrm>
                          <a:prstGeom prst="rect">
                            <a:avLst/>
                          </a:prstGeom>
                          <a:noFill/>
                        </pic:spPr>
                      </pic:pic>
                    </a:graphicData>
                  </a:graphic>
                </wp:inline>
              </w:drawing>
            </w:r>
          </w:p>
        </w:tc>
      </w:tr>
    </w:tbl>
    <w:p w14:paraId="487F2C25" w14:textId="77777777" w:rsidR="00D80461" w:rsidRPr="00F05A8A" w:rsidRDefault="00D80461" w:rsidP="002F075E">
      <w:pPr>
        <w:pStyle w:val="Headingb"/>
        <w:spacing w:after="120"/>
        <w:rPr>
          <w:rFonts w:eastAsia="Calibri"/>
        </w:rPr>
      </w:pPr>
      <w:bookmarkStart w:id="850" w:name="_Toc72846780"/>
      <w:bookmarkStart w:id="851" w:name="_Toc95387635"/>
      <w:r w:rsidRPr="00F05A8A">
        <w:rPr>
          <w:rFonts w:eastAsia="Calibri"/>
        </w:rPr>
        <w:lastRenderedPageBreak/>
        <w:t>Priorité thématique: Télécommunications d'urgence</w:t>
      </w:r>
      <w:bookmarkEnd w:id="850"/>
      <w:bookmarkEnd w:id="851"/>
    </w:p>
    <w:tbl>
      <w:tblPr>
        <w:tblW w:w="5000" w:type="pct"/>
        <w:tblLook w:val="04A0" w:firstRow="1" w:lastRow="0" w:firstColumn="1" w:lastColumn="0" w:noHBand="0" w:noVBand="1"/>
      </w:tblPr>
      <w:tblGrid>
        <w:gridCol w:w="4822"/>
        <w:gridCol w:w="4823"/>
      </w:tblGrid>
      <w:tr w:rsidR="00D80461" w:rsidRPr="00F05A8A" w14:paraId="533860E7" w14:textId="77777777" w:rsidTr="00142C01">
        <w:tc>
          <w:tcPr>
            <w:tcW w:w="2500" w:type="pct"/>
            <w:vAlign w:val="bottom"/>
          </w:tcPr>
          <w:p w14:paraId="51CD5A16" w14:textId="77777777" w:rsidR="00D80461" w:rsidRPr="00F05A8A" w:rsidRDefault="00D80461" w:rsidP="002F075E">
            <w:pPr>
              <w:spacing w:before="0"/>
              <w:jc w:val="center"/>
              <w:rPr>
                <w:rFonts w:eastAsia="Calibri"/>
              </w:rPr>
            </w:pPr>
            <w:r w:rsidRPr="00F05A8A">
              <w:rPr>
                <w:rFonts w:eastAsia="Calibri"/>
                <w:lang w:eastAsia="fr-FR"/>
              </w:rPr>
              <w:drawing>
                <wp:inline distT="0" distB="0" distL="0" distR="0" wp14:anchorId="0335B5A2" wp14:editId="3E85C8F7">
                  <wp:extent cx="2502000" cy="1350000"/>
                  <wp:effectExtent l="0" t="0" r="0" b="3175"/>
                  <wp:docPr id="203575402" name="Picture 20357540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02" name="Picture 203575402" descr="Timeline&#10;&#10;Description automatically generated with medium confidence"/>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02000" cy="1350000"/>
                          </a:xfrm>
                          <a:prstGeom prst="rect">
                            <a:avLst/>
                          </a:prstGeom>
                          <a:noFill/>
                        </pic:spPr>
                      </pic:pic>
                    </a:graphicData>
                  </a:graphic>
                </wp:inline>
              </w:drawing>
            </w:r>
          </w:p>
        </w:tc>
        <w:tc>
          <w:tcPr>
            <w:tcW w:w="2500" w:type="pct"/>
            <w:vAlign w:val="bottom"/>
          </w:tcPr>
          <w:p w14:paraId="4E05E53E" w14:textId="77777777" w:rsidR="00D80461" w:rsidRPr="00F05A8A" w:rsidRDefault="00D80461" w:rsidP="002F075E">
            <w:pPr>
              <w:jc w:val="center"/>
              <w:rPr>
                <w:rFonts w:eastAsia="Calibri"/>
              </w:rPr>
            </w:pPr>
            <w:r w:rsidRPr="00F05A8A">
              <w:rPr>
                <w:rFonts w:eastAsia="Calibri"/>
                <w:lang w:eastAsia="fr-FR"/>
              </w:rPr>
              <w:drawing>
                <wp:inline distT="0" distB="0" distL="0" distR="0" wp14:anchorId="2D7B7FA7" wp14:editId="75DD04ED">
                  <wp:extent cx="2660400" cy="1350000"/>
                  <wp:effectExtent l="0" t="0" r="0" b="0"/>
                  <wp:docPr id="203575405" name="Picture 2035754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05" name="Picture 203575405" descr="Chart, bar chart&#10;&#10;Description automatically generated"/>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660400" cy="1350000"/>
                          </a:xfrm>
                          <a:prstGeom prst="rect">
                            <a:avLst/>
                          </a:prstGeom>
                          <a:noFill/>
                        </pic:spPr>
                      </pic:pic>
                    </a:graphicData>
                  </a:graphic>
                </wp:inline>
              </w:drawing>
            </w:r>
          </w:p>
        </w:tc>
      </w:tr>
    </w:tbl>
    <w:p w14:paraId="34EA4E8B" w14:textId="77777777" w:rsidR="00D80461" w:rsidRPr="00F05A8A" w:rsidRDefault="00D80461" w:rsidP="002F075E">
      <w:pPr>
        <w:spacing w:before="240"/>
      </w:pPr>
      <w:r w:rsidRPr="00F05A8A">
        <w:rPr>
          <w:b/>
          <w:bCs/>
        </w:rPr>
        <w:t>Objectif D.3</w:t>
      </w:r>
      <w:r w:rsidRPr="00F05A8A">
        <w:t xml:space="preserve"> (Environnement propice): Promouvoir la mise en place de politiques et d'un environnement réglementaire propice au développement durable des télécommunications/TIC</w:t>
      </w:r>
    </w:p>
    <w:p w14:paraId="1BD3EF0F" w14:textId="77777777" w:rsidR="00D80461" w:rsidRPr="00F05A8A" w:rsidRDefault="00D80461" w:rsidP="002F075E">
      <w:pPr>
        <w:pStyle w:val="Headingb"/>
        <w:spacing w:after="120"/>
      </w:pPr>
      <w:bookmarkStart w:id="852" w:name="_Toc41032177"/>
      <w:bookmarkStart w:id="853" w:name="_Toc72846781"/>
      <w:bookmarkStart w:id="854" w:name="_Toc95387636"/>
      <w:r w:rsidRPr="00F05A8A">
        <w:t>Résultats</w:t>
      </w:r>
      <w:bookmarkEnd w:id="852"/>
      <w:bookmarkEnd w:id="853"/>
      <w:bookmarkEnd w:id="854"/>
    </w:p>
    <w:tbl>
      <w:tblPr>
        <w:tblW w:w="0" w:type="auto"/>
        <w:shd w:val="clear" w:color="auto" w:fill="DBE5F1" w:themeFill="accent1" w:themeFillTint="33"/>
        <w:tblLook w:val="04A0" w:firstRow="1" w:lastRow="0" w:firstColumn="1" w:lastColumn="0" w:noHBand="0" w:noVBand="1"/>
      </w:tblPr>
      <w:tblGrid>
        <w:gridCol w:w="9629"/>
      </w:tblGrid>
      <w:tr w:rsidR="00D80461" w:rsidRPr="00F05A8A" w14:paraId="4AD4E744" w14:textId="77777777" w:rsidTr="00142C01">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86CDA5" w14:textId="77777777" w:rsidR="00D80461" w:rsidRPr="00F05A8A" w:rsidRDefault="00D80461" w:rsidP="002F075E">
            <w:r w:rsidRPr="00F05A8A">
              <w:t>D.3-a: Renforcement de la capacité des États Membres d'élaborer des cadres politiques, juridiques et réglementaires favorables au développement des télécommunications/TIC</w:t>
            </w:r>
          </w:p>
          <w:p w14:paraId="4A8BF973" w14:textId="77777777" w:rsidR="00D80461" w:rsidRPr="00F05A8A" w:rsidRDefault="00D80461" w:rsidP="002F075E">
            <w:r w:rsidRPr="00F05A8A">
              <w:t>D.3-b: Renforcement de la capacité des États Membres de produire des statistiques sur les télécommunications/TIC de qualité et comparables à l'échelle internationale, qui tiennent compte de l'évolution et des tendances dans le secteur des télécommunications/TIC, à partir de normes et de méthodologies convenues</w:t>
            </w:r>
          </w:p>
          <w:p w14:paraId="76ED87B1" w14:textId="77777777" w:rsidR="00D80461" w:rsidRPr="00F05A8A" w:rsidRDefault="00D80461" w:rsidP="002F075E">
            <w:r w:rsidRPr="00F05A8A">
              <w:t xml:space="preserve">D.3-c: Renforcement des capacités humaines et institutionnelles des membres de l'UIT à exploiter pleinement du potentiel des télécommunications/TIC </w:t>
            </w:r>
          </w:p>
          <w:p w14:paraId="117B861E" w14:textId="77777777" w:rsidR="00D80461" w:rsidRPr="00F05A8A" w:rsidRDefault="00D80461" w:rsidP="002F075E">
            <w:pPr>
              <w:spacing w:after="120"/>
            </w:pPr>
            <w:r w:rsidRPr="00F05A8A">
              <w:t>D.3-d: Renforcement de la capacité des membres de l'UIT d'intégrer l'innovation dans le secteur des télécommunications/TIC et la généralisation du numérique dans leurs programmes nationaux de développement et d'élaborer des stratégies visant à promouvoir les initiatives en matière d'innovation, y compris dans le cadre de partenariats publics, privés ou public-privé</w:t>
            </w:r>
          </w:p>
        </w:tc>
      </w:tr>
    </w:tbl>
    <w:p w14:paraId="64B908A6" w14:textId="77777777" w:rsidR="00D80461" w:rsidRPr="00F05A8A" w:rsidRDefault="00D80461" w:rsidP="002F075E">
      <w:pPr>
        <w:pStyle w:val="Headingb"/>
        <w:spacing w:after="120"/>
      </w:pPr>
      <w:bookmarkStart w:id="855" w:name="_Toc41032178"/>
      <w:bookmarkStart w:id="856" w:name="_Toc72846782"/>
      <w:bookmarkStart w:id="857" w:name="_Toc95387637"/>
      <w:r w:rsidRPr="00F05A8A">
        <w:t>Progrès accomplis</w:t>
      </w:r>
      <w:bookmarkEnd w:id="855"/>
      <w:bookmarkEnd w:id="856"/>
      <w:bookmarkEnd w:id="857"/>
    </w:p>
    <w:p w14:paraId="298DA631" w14:textId="77777777" w:rsidR="00D80461" w:rsidRPr="00F05A8A" w:rsidRDefault="00D80461" w:rsidP="002F075E">
      <w:pPr>
        <w:pStyle w:val="Headingb"/>
        <w:spacing w:after="120"/>
      </w:pPr>
      <w:bookmarkStart w:id="858" w:name="_Toc72846783"/>
      <w:bookmarkStart w:id="859" w:name="_Toc95387638"/>
      <w:r w:rsidRPr="00F05A8A">
        <w:t>Priorité thématique: Politiques et réglementation</w:t>
      </w:r>
      <w:bookmarkEnd w:id="858"/>
      <w:bookmarkEnd w:id="859"/>
    </w:p>
    <w:p w14:paraId="3A2D7021" w14:textId="77777777" w:rsidR="00D80461" w:rsidRPr="00F05A8A" w:rsidRDefault="00D80461" w:rsidP="002F075E">
      <w:pPr>
        <w:pStyle w:val="Figure"/>
        <w:keepNext w:val="0"/>
        <w:keepLines w:val="0"/>
      </w:pPr>
      <w:r w:rsidRPr="00F05A8A">
        <w:rPr>
          <w:lang w:eastAsia="fr-FR"/>
        </w:rPr>
        <w:drawing>
          <wp:inline distT="0" distB="0" distL="0" distR="0" wp14:anchorId="3B130171" wp14:editId="632B23F1">
            <wp:extent cx="5531971" cy="1903991"/>
            <wp:effectExtent l="0" t="0" r="0" b="0"/>
            <wp:docPr id="203575406" name="Picture 2035754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06" name="Picture 203575406" descr="Text&#10;&#10;Description automatically generated"/>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548366" cy="1909634"/>
                    </a:xfrm>
                    <a:prstGeom prst="rect">
                      <a:avLst/>
                    </a:prstGeom>
                    <a:noFill/>
                  </pic:spPr>
                </pic:pic>
              </a:graphicData>
            </a:graphic>
          </wp:inline>
        </w:drawing>
      </w:r>
    </w:p>
    <w:p w14:paraId="7C338304" w14:textId="77777777" w:rsidR="00D80461" w:rsidRPr="00F05A8A" w:rsidRDefault="00D80461" w:rsidP="002F075E">
      <w:pPr>
        <w:pStyle w:val="Figuretitle"/>
        <w:keepNext w:val="0"/>
      </w:pPr>
      <w:r w:rsidRPr="00F05A8A">
        <w:rPr>
          <w:lang w:eastAsia="fr-FR"/>
        </w:rPr>
        <w:lastRenderedPageBreak/>
        <w:drawing>
          <wp:inline distT="0" distB="0" distL="0" distR="0" wp14:anchorId="090EB0DE" wp14:editId="13A3DFBC">
            <wp:extent cx="3912919" cy="1718077"/>
            <wp:effectExtent l="0" t="0" r="0" b="0"/>
            <wp:docPr id="203575408" name="Picture 20357540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08" name="Picture 203575408" descr="A picture containing chart&#10;&#10;Description automatically generated"/>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020344" cy="1765245"/>
                    </a:xfrm>
                    <a:prstGeom prst="rect">
                      <a:avLst/>
                    </a:prstGeom>
                    <a:noFill/>
                  </pic:spPr>
                </pic:pic>
              </a:graphicData>
            </a:graphic>
          </wp:inline>
        </w:drawing>
      </w:r>
    </w:p>
    <w:p w14:paraId="5F363945" w14:textId="77777777" w:rsidR="00D80461" w:rsidRPr="00F05A8A" w:rsidRDefault="00D80461" w:rsidP="002F075E">
      <w:pPr>
        <w:pStyle w:val="Headingb"/>
        <w:spacing w:after="120"/>
      </w:pPr>
      <w:bookmarkStart w:id="860" w:name="_Toc72846784"/>
      <w:bookmarkStart w:id="861" w:name="_Toc95387639"/>
      <w:r w:rsidRPr="00F05A8A">
        <w:t>Priorité thématique: Statistiques</w:t>
      </w:r>
      <w:bookmarkEnd w:id="860"/>
      <w:bookmarkEnd w:id="861"/>
    </w:p>
    <w:tbl>
      <w:tblPr>
        <w:tblW w:w="5000" w:type="pct"/>
        <w:jc w:val="center"/>
        <w:tblLook w:val="04A0" w:firstRow="1" w:lastRow="0" w:firstColumn="1" w:lastColumn="0" w:noHBand="0" w:noVBand="1"/>
      </w:tblPr>
      <w:tblGrid>
        <w:gridCol w:w="4822"/>
        <w:gridCol w:w="4823"/>
      </w:tblGrid>
      <w:tr w:rsidR="00D80461" w:rsidRPr="00F05A8A" w14:paraId="5A8C49FB" w14:textId="77777777" w:rsidTr="00142C01">
        <w:trPr>
          <w:jc w:val="center"/>
        </w:trPr>
        <w:tc>
          <w:tcPr>
            <w:tcW w:w="2500" w:type="pct"/>
            <w:vAlign w:val="bottom"/>
          </w:tcPr>
          <w:p w14:paraId="3E3FFFFB" w14:textId="77777777" w:rsidR="00D80461" w:rsidRPr="00F05A8A" w:rsidRDefault="00D80461" w:rsidP="002F075E">
            <w:pPr>
              <w:spacing w:before="0"/>
              <w:jc w:val="center"/>
              <w:rPr>
                <w:rFonts w:eastAsia="Calibri"/>
              </w:rPr>
            </w:pPr>
            <w:r w:rsidRPr="00F05A8A">
              <w:rPr>
                <w:rFonts w:eastAsia="Calibri"/>
                <w:lang w:eastAsia="fr-FR"/>
              </w:rPr>
              <w:drawing>
                <wp:inline distT="0" distB="0" distL="0" distR="0" wp14:anchorId="10CAF3C9" wp14:editId="54F71A3E">
                  <wp:extent cx="2552400" cy="1350000"/>
                  <wp:effectExtent l="0" t="0" r="0" b="0"/>
                  <wp:docPr id="203575411" name="Picture 2035754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11" name="Picture 203575411" descr="Chart&#10;&#10;Description automatically generated"/>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552400" cy="1350000"/>
                          </a:xfrm>
                          <a:prstGeom prst="rect">
                            <a:avLst/>
                          </a:prstGeom>
                          <a:noFill/>
                        </pic:spPr>
                      </pic:pic>
                    </a:graphicData>
                  </a:graphic>
                </wp:inline>
              </w:drawing>
            </w:r>
          </w:p>
        </w:tc>
        <w:tc>
          <w:tcPr>
            <w:tcW w:w="2500" w:type="pct"/>
            <w:vAlign w:val="bottom"/>
          </w:tcPr>
          <w:p w14:paraId="384C19F3" w14:textId="77777777" w:rsidR="00D80461" w:rsidRPr="00F05A8A" w:rsidRDefault="00D80461" w:rsidP="002F075E">
            <w:pPr>
              <w:jc w:val="center"/>
              <w:rPr>
                <w:rFonts w:eastAsia="Calibri"/>
              </w:rPr>
            </w:pPr>
            <w:r w:rsidRPr="00F05A8A">
              <w:rPr>
                <w:rFonts w:eastAsia="Calibri"/>
                <w:lang w:eastAsia="fr-FR"/>
              </w:rPr>
              <w:drawing>
                <wp:inline distT="0" distB="0" distL="0" distR="0" wp14:anchorId="26B6AD84" wp14:editId="492B777F">
                  <wp:extent cx="2548800" cy="1350000"/>
                  <wp:effectExtent l="0" t="0" r="0" b="0"/>
                  <wp:docPr id="203575416" name="Picture 20357541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16" name="Picture 203575416" descr="Chart&#10;&#10;Description automatically generated with medium confidence"/>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548800" cy="1350000"/>
                          </a:xfrm>
                          <a:prstGeom prst="rect">
                            <a:avLst/>
                          </a:prstGeom>
                          <a:noFill/>
                        </pic:spPr>
                      </pic:pic>
                    </a:graphicData>
                  </a:graphic>
                </wp:inline>
              </w:drawing>
            </w:r>
          </w:p>
        </w:tc>
      </w:tr>
      <w:tr w:rsidR="00D80461" w:rsidRPr="00F05A8A" w14:paraId="020D203B" w14:textId="77777777" w:rsidTr="00142C01">
        <w:trPr>
          <w:jc w:val="center"/>
        </w:trPr>
        <w:tc>
          <w:tcPr>
            <w:tcW w:w="2500" w:type="pct"/>
            <w:vAlign w:val="bottom"/>
          </w:tcPr>
          <w:p w14:paraId="52FEFFB1" w14:textId="77777777" w:rsidR="00D80461" w:rsidRPr="00F05A8A" w:rsidRDefault="00D80461" w:rsidP="002F075E">
            <w:r w:rsidRPr="00F05A8A">
              <w:rPr>
                <w:lang w:eastAsia="fr-FR"/>
              </w:rPr>
              <w:drawing>
                <wp:inline distT="0" distB="0" distL="0" distR="0" wp14:anchorId="2394151C" wp14:editId="02FAA213">
                  <wp:extent cx="2826000" cy="1350000"/>
                  <wp:effectExtent l="0" t="0" r="0" b="0"/>
                  <wp:docPr id="203575417" name="Picture 2035754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17" name="Picture 203575417" descr="Chart, bar chart&#10;&#10;Description automatically generated"/>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826000" cy="1350000"/>
                          </a:xfrm>
                          <a:prstGeom prst="rect">
                            <a:avLst/>
                          </a:prstGeom>
                          <a:noFill/>
                        </pic:spPr>
                      </pic:pic>
                    </a:graphicData>
                  </a:graphic>
                </wp:inline>
              </w:drawing>
            </w:r>
          </w:p>
        </w:tc>
        <w:tc>
          <w:tcPr>
            <w:tcW w:w="2500" w:type="pct"/>
            <w:vAlign w:val="bottom"/>
          </w:tcPr>
          <w:p w14:paraId="1BA41D84" w14:textId="77777777" w:rsidR="00D80461" w:rsidRPr="00F05A8A" w:rsidRDefault="00D80461" w:rsidP="002F075E">
            <w:pPr>
              <w:jc w:val="center"/>
            </w:pPr>
            <w:r w:rsidRPr="00F05A8A">
              <w:rPr>
                <w:lang w:eastAsia="fr-FR"/>
              </w:rPr>
              <w:drawing>
                <wp:inline distT="0" distB="0" distL="0" distR="0" wp14:anchorId="642870A4" wp14:editId="7E763731">
                  <wp:extent cx="2826000" cy="1350000"/>
                  <wp:effectExtent l="0" t="0" r="0" b="0"/>
                  <wp:docPr id="203575418" name="Picture 2035754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18" name="Picture 203575418" descr="Chart, bar chart&#10;&#10;Description automatically generated"/>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826000" cy="1350000"/>
                          </a:xfrm>
                          <a:prstGeom prst="rect">
                            <a:avLst/>
                          </a:prstGeom>
                          <a:noFill/>
                        </pic:spPr>
                      </pic:pic>
                    </a:graphicData>
                  </a:graphic>
                </wp:inline>
              </w:drawing>
            </w:r>
          </w:p>
        </w:tc>
      </w:tr>
    </w:tbl>
    <w:p w14:paraId="4C9A31A7" w14:textId="77777777" w:rsidR="00D80461" w:rsidRPr="00F05A8A" w:rsidRDefault="00D80461" w:rsidP="002F075E">
      <w:pPr>
        <w:pStyle w:val="Headingb"/>
        <w:spacing w:after="120"/>
      </w:pPr>
      <w:bookmarkStart w:id="862" w:name="_Toc72846785"/>
      <w:bookmarkStart w:id="863" w:name="_Toc95387640"/>
      <w:r w:rsidRPr="00F05A8A">
        <w:t>Priorité thématique: Renforcement des capacités</w:t>
      </w:r>
      <w:bookmarkEnd w:id="862"/>
      <w:bookmarkEnd w:id="863"/>
    </w:p>
    <w:tbl>
      <w:tblPr>
        <w:tblW w:w="5000" w:type="pct"/>
        <w:tblLook w:val="04A0" w:firstRow="1" w:lastRow="0" w:firstColumn="1" w:lastColumn="0" w:noHBand="0" w:noVBand="1"/>
      </w:tblPr>
      <w:tblGrid>
        <w:gridCol w:w="4822"/>
        <w:gridCol w:w="4823"/>
      </w:tblGrid>
      <w:tr w:rsidR="00D80461" w:rsidRPr="00F05A8A" w14:paraId="3D07C4B3" w14:textId="77777777" w:rsidTr="00142C01">
        <w:tc>
          <w:tcPr>
            <w:tcW w:w="2500" w:type="pct"/>
          </w:tcPr>
          <w:p w14:paraId="526FB2AE" w14:textId="77777777" w:rsidR="00D80461" w:rsidRPr="00F05A8A" w:rsidRDefault="00D80461" w:rsidP="002F075E">
            <w:pPr>
              <w:spacing w:before="0"/>
              <w:jc w:val="center"/>
              <w:rPr>
                <w:rFonts w:eastAsia="Calibri"/>
              </w:rPr>
            </w:pPr>
            <w:r w:rsidRPr="00F05A8A">
              <w:rPr>
                <w:rFonts w:eastAsia="Calibri"/>
                <w:lang w:eastAsia="fr-FR"/>
              </w:rPr>
              <w:drawing>
                <wp:inline distT="0" distB="0" distL="0" distR="0" wp14:anchorId="18304E10" wp14:editId="102F67A6">
                  <wp:extent cx="2553401" cy="1845119"/>
                  <wp:effectExtent l="0" t="0" r="0" b="0"/>
                  <wp:docPr id="203575420" name="Picture 2035754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20" name="Picture 203575420" descr="Chart, bar chart&#10;&#10;Description automatically generated"/>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572575" cy="1858974"/>
                          </a:xfrm>
                          <a:prstGeom prst="rect">
                            <a:avLst/>
                          </a:prstGeom>
                          <a:noFill/>
                        </pic:spPr>
                      </pic:pic>
                    </a:graphicData>
                  </a:graphic>
                </wp:inline>
              </w:drawing>
            </w:r>
          </w:p>
        </w:tc>
        <w:tc>
          <w:tcPr>
            <w:tcW w:w="2500" w:type="pct"/>
          </w:tcPr>
          <w:p w14:paraId="222693FB" w14:textId="77777777" w:rsidR="00D80461" w:rsidRPr="00F05A8A" w:rsidRDefault="00D80461" w:rsidP="002F075E">
            <w:pPr>
              <w:jc w:val="center"/>
              <w:rPr>
                <w:rFonts w:eastAsia="Calibri"/>
              </w:rPr>
            </w:pPr>
            <w:r w:rsidRPr="00F05A8A">
              <w:rPr>
                <w:rFonts w:eastAsia="Calibri"/>
                <w:lang w:eastAsia="fr-FR"/>
              </w:rPr>
              <w:drawing>
                <wp:inline distT="0" distB="0" distL="0" distR="0" wp14:anchorId="05A808C0" wp14:editId="1A645F21">
                  <wp:extent cx="2336626" cy="1567543"/>
                  <wp:effectExtent l="0" t="0" r="0" b="0"/>
                  <wp:docPr id="203575419" name="Picture 2035754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19" name="Picture 203575419" descr="Chart&#10;&#10;Description automatically generated"/>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369699" cy="1589730"/>
                          </a:xfrm>
                          <a:prstGeom prst="rect">
                            <a:avLst/>
                          </a:prstGeom>
                          <a:noFill/>
                        </pic:spPr>
                      </pic:pic>
                    </a:graphicData>
                  </a:graphic>
                </wp:inline>
              </w:drawing>
            </w:r>
          </w:p>
        </w:tc>
      </w:tr>
    </w:tbl>
    <w:p w14:paraId="6E11C990" w14:textId="77777777" w:rsidR="00D80461" w:rsidRPr="00F05A8A" w:rsidRDefault="00D80461" w:rsidP="002F075E">
      <w:pPr>
        <w:pStyle w:val="Headingb"/>
        <w:rPr>
          <w:rFonts w:eastAsia="Calibri"/>
        </w:rPr>
      </w:pPr>
      <w:bookmarkStart w:id="864" w:name="_Toc72846786"/>
      <w:bookmarkStart w:id="865" w:name="_Toc95387641"/>
      <w:r w:rsidRPr="00F05A8A">
        <w:rPr>
          <w:rFonts w:eastAsia="Calibri"/>
        </w:rPr>
        <w:lastRenderedPageBreak/>
        <w:t>Priorité thématique: Écosystème de l'innovation numérique</w:t>
      </w:r>
      <w:bookmarkEnd w:id="864"/>
      <w:bookmarkEnd w:id="865"/>
    </w:p>
    <w:p w14:paraId="3B6E7E8B" w14:textId="77777777" w:rsidR="00D80461" w:rsidRPr="00F05A8A" w:rsidRDefault="00D80461" w:rsidP="002F075E">
      <w:pPr>
        <w:jc w:val="center"/>
      </w:pPr>
      <w:r w:rsidRPr="00F05A8A">
        <w:rPr>
          <w:lang w:eastAsia="fr-FR"/>
        </w:rPr>
        <w:drawing>
          <wp:inline distT="0" distB="0" distL="0" distR="0" wp14:anchorId="17A2435E" wp14:editId="46FF2079">
            <wp:extent cx="5370363" cy="1354315"/>
            <wp:effectExtent l="0" t="0" r="0" b="0"/>
            <wp:docPr id="203575422" name="Picture 2035754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22" name="Picture 203575422" descr="Chart&#10;&#10;Description automatically generated with low confidence"/>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418941" cy="1366565"/>
                    </a:xfrm>
                    <a:prstGeom prst="rect">
                      <a:avLst/>
                    </a:prstGeom>
                    <a:noFill/>
                  </pic:spPr>
                </pic:pic>
              </a:graphicData>
            </a:graphic>
          </wp:inline>
        </w:drawing>
      </w:r>
    </w:p>
    <w:p w14:paraId="18F95D43" w14:textId="77777777" w:rsidR="00D80461" w:rsidRPr="00F05A8A" w:rsidRDefault="00D80461" w:rsidP="002F075E">
      <w:pPr>
        <w:spacing w:before="0"/>
        <w:rPr>
          <w:sz w:val="20"/>
          <w:szCs w:val="16"/>
        </w:rPr>
      </w:pPr>
    </w:p>
    <w:tbl>
      <w:tblPr>
        <w:tblW w:w="5000" w:type="pct"/>
        <w:tblLook w:val="04A0" w:firstRow="1" w:lastRow="0" w:firstColumn="1" w:lastColumn="0" w:noHBand="0" w:noVBand="1"/>
      </w:tblPr>
      <w:tblGrid>
        <w:gridCol w:w="4799"/>
        <w:gridCol w:w="4846"/>
      </w:tblGrid>
      <w:tr w:rsidR="00D80461" w:rsidRPr="00F05A8A" w14:paraId="290132D4" w14:textId="77777777" w:rsidTr="00142C01">
        <w:tc>
          <w:tcPr>
            <w:tcW w:w="2454" w:type="pct"/>
          </w:tcPr>
          <w:p w14:paraId="317B80BF" w14:textId="77777777" w:rsidR="00D80461" w:rsidRPr="00F05A8A" w:rsidRDefault="00D80461" w:rsidP="002F075E">
            <w:pPr>
              <w:spacing w:before="0"/>
              <w:rPr>
                <w:rFonts w:eastAsia="Calibri"/>
              </w:rPr>
            </w:pPr>
            <w:r w:rsidRPr="00F05A8A">
              <w:rPr>
                <w:rFonts w:eastAsia="Calibri"/>
                <w:lang w:eastAsia="fr-FR"/>
              </w:rPr>
              <w:drawing>
                <wp:inline distT="0" distB="0" distL="0" distR="0" wp14:anchorId="448DAC0E" wp14:editId="0A0E76B9">
                  <wp:extent cx="2955600" cy="1350000"/>
                  <wp:effectExtent l="0" t="0" r="0" b="3175"/>
                  <wp:docPr id="1802487808" name="Picture 180248780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08" name="Picture 1802487808" descr="A picture containing chart&#10;&#10;Description automatically generated"/>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955600" cy="1350000"/>
                          </a:xfrm>
                          <a:prstGeom prst="rect">
                            <a:avLst/>
                          </a:prstGeom>
                          <a:noFill/>
                        </pic:spPr>
                      </pic:pic>
                    </a:graphicData>
                  </a:graphic>
                </wp:inline>
              </w:drawing>
            </w:r>
          </w:p>
        </w:tc>
        <w:tc>
          <w:tcPr>
            <w:tcW w:w="2546" w:type="pct"/>
          </w:tcPr>
          <w:p w14:paraId="6A06FC12" w14:textId="77777777" w:rsidR="00D80461" w:rsidRPr="00F05A8A" w:rsidRDefault="00D80461" w:rsidP="002F075E">
            <w:pPr>
              <w:jc w:val="center"/>
              <w:rPr>
                <w:rFonts w:eastAsia="Calibri"/>
              </w:rPr>
            </w:pPr>
            <w:r w:rsidRPr="00F05A8A">
              <w:rPr>
                <w:rFonts w:eastAsia="Calibri"/>
                <w:lang w:eastAsia="fr-FR"/>
              </w:rPr>
              <w:drawing>
                <wp:inline distT="0" distB="0" distL="0" distR="0" wp14:anchorId="67ED3E51" wp14:editId="137CA296">
                  <wp:extent cx="2986335" cy="1162902"/>
                  <wp:effectExtent l="0" t="0" r="0" b="0"/>
                  <wp:docPr id="1802487811" name="Picture 18024878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1" name="Picture 1802487811" descr="A picture containing chart&#10;&#10;Description automatically generated"/>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003441" cy="1169563"/>
                          </a:xfrm>
                          <a:prstGeom prst="rect">
                            <a:avLst/>
                          </a:prstGeom>
                          <a:noFill/>
                        </pic:spPr>
                      </pic:pic>
                    </a:graphicData>
                  </a:graphic>
                </wp:inline>
              </w:drawing>
            </w:r>
          </w:p>
        </w:tc>
      </w:tr>
    </w:tbl>
    <w:p w14:paraId="2E07C542" w14:textId="77777777" w:rsidR="00D80461" w:rsidRPr="00F05A8A" w:rsidRDefault="00D80461" w:rsidP="002F075E">
      <w:pPr>
        <w:spacing w:before="240"/>
      </w:pPr>
      <w:r w:rsidRPr="00F05A8A">
        <w:rPr>
          <w:b/>
          <w:bCs/>
        </w:rPr>
        <w:t>Objectif D.4</w:t>
      </w:r>
      <w:r w:rsidRPr="00F05A8A">
        <w:t xml:space="preserve"> (Société de l'information inclusive): Encourager le développement et l'utilisation des télécommunications/TIC et d'applications pour mobiliser les individus et les sociétés en faveur du développement durable</w:t>
      </w:r>
    </w:p>
    <w:p w14:paraId="7B27516F" w14:textId="77777777" w:rsidR="00D80461" w:rsidRPr="00F05A8A" w:rsidRDefault="00D80461" w:rsidP="002F075E">
      <w:pPr>
        <w:pStyle w:val="Headingb"/>
        <w:spacing w:after="120"/>
      </w:pPr>
      <w:bookmarkStart w:id="866" w:name="_Toc41032179"/>
      <w:bookmarkStart w:id="867" w:name="_Toc72846787"/>
      <w:bookmarkStart w:id="868" w:name="_Toc95387642"/>
      <w:r w:rsidRPr="00F05A8A">
        <w:t>Résultats</w:t>
      </w:r>
      <w:bookmarkEnd w:id="866"/>
      <w:bookmarkEnd w:id="867"/>
      <w:bookmarkEnd w:id="868"/>
    </w:p>
    <w:tbl>
      <w:tblPr>
        <w:tblW w:w="0" w:type="auto"/>
        <w:shd w:val="clear" w:color="auto" w:fill="DBE5F1" w:themeFill="accent1" w:themeFillTint="33"/>
        <w:tblLook w:val="04A0" w:firstRow="1" w:lastRow="0" w:firstColumn="1" w:lastColumn="0" w:noHBand="0" w:noVBand="1"/>
      </w:tblPr>
      <w:tblGrid>
        <w:gridCol w:w="9629"/>
      </w:tblGrid>
      <w:tr w:rsidR="00D80461" w:rsidRPr="00F05A8A" w14:paraId="4AF6DE6C" w14:textId="77777777" w:rsidTr="00142C01">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6C1513" w14:textId="77777777" w:rsidR="00D80461" w:rsidRPr="00F05A8A" w:rsidRDefault="00D80461" w:rsidP="002F075E">
            <w:r w:rsidRPr="00F05A8A">
              <w:t>D.4-a: Amélioration de l'accès aux télécommunications/TIC et de leur utilisation dans les pays les moins avancés (</w:t>
            </w:r>
            <w:r w:rsidRPr="00F05A8A">
              <w:rPr>
                <w:bCs/>
              </w:rPr>
              <w:t>PMA</w:t>
            </w:r>
            <w:r w:rsidRPr="00F05A8A">
              <w:t>), les petits États insulaires en développement (</w:t>
            </w:r>
            <w:r w:rsidRPr="00F05A8A">
              <w:rPr>
                <w:bCs/>
              </w:rPr>
              <w:t>PEID</w:t>
            </w:r>
            <w:r w:rsidRPr="00F05A8A">
              <w:t>) et les pays en développement sans littoral (</w:t>
            </w:r>
            <w:r w:rsidRPr="00F05A8A">
              <w:rPr>
                <w:bCs/>
              </w:rPr>
              <w:t>PDSL</w:t>
            </w:r>
            <w:r w:rsidRPr="00F05A8A">
              <w:t xml:space="preserve">), ainsi que dans les </w:t>
            </w:r>
            <w:r w:rsidRPr="00F05A8A">
              <w:rPr>
                <w:bCs/>
              </w:rPr>
              <w:t>pays dont l'économie est en transition</w:t>
            </w:r>
          </w:p>
          <w:p w14:paraId="03713639" w14:textId="77777777" w:rsidR="00D80461" w:rsidRPr="00F05A8A" w:rsidRDefault="00D80461" w:rsidP="002F075E">
            <w:r w:rsidRPr="00F05A8A">
              <w:t>D.4-b: Renforcement de la capacité des membres de l'UIT d'accélérer le développement économique et social en exploitant et en utilisant les nouvelles technologies et les services et applications des télécommunications/TIC</w:t>
            </w:r>
          </w:p>
          <w:p w14:paraId="2939E4A7" w14:textId="77777777" w:rsidR="00D80461" w:rsidRPr="00F05A8A" w:rsidRDefault="00D80461" w:rsidP="002F075E">
            <w:r w:rsidRPr="00F05A8A">
              <w:t>D.4-c: 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p w14:paraId="2D059A22" w14:textId="77777777" w:rsidR="00D80461" w:rsidRPr="00F05A8A" w:rsidRDefault="00D80461" w:rsidP="002F075E">
            <w:pPr>
              <w:spacing w:after="120"/>
            </w:pPr>
            <w:r w:rsidRPr="00F05A8A">
              <w:t>D.4-d: 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r>
    </w:tbl>
    <w:p w14:paraId="7BBFA76D" w14:textId="77777777" w:rsidR="00D80461" w:rsidRPr="00F05A8A" w:rsidRDefault="00D80461" w:rsidP="002F075E">
      <w:pPr>
        <w:pStyle w:val="Headingb"/>
        <w:spacing w:after="120"/>
      </w:pPr>
      <w:bookmarkStart w:id="869" w:name="_Toc41032180"/>
      <w:bookmarkStart w:id="870" w:name="_Toc72846788"/>
      <w:bookmarkStart w:id="871" w:name="_Toc95387643"/>
      <w:r w:rsidRPr="00F05A8A">
        <w:lastRenderedPageBreak/>
        <w:t>Progrès accomplis</w:t>
      </w:r>
      <w:bookmarkEnd w:id="869"/>
      <w:bookmarkEnd w:id="870"/>
      <w:bookmarkEnd w:id="871"/>
    </w:p>
    <w:p w14:paraId="02870AC5" w14:textId="77777777" w:rsidR="00D80461" w:rsidRPr="00F05A8A" w:rsidRDefault="00D80461" w:rsidP="002F075E">
      <w:pPr>
        <w:pStyle w:val="Headingb"/>
        <w:spacing w:after="120"/>
      </w:pPr>
      <w:bookmarkStart w:id="872" w:name="_Toc72846789"/>
      <w:bookmarkStart w:id="873" w:name="_Toc95387644"/>
      <w:r w:rsidRPr="00F05A8A">
        <w:t>Priorité thématique: Services et applications numériques</w:t>
      </w:r>
      <w:bookmarkEnd w:id="872"/>
      <w:bookmarkEnd w:id="873"/>
    </w:p>
    <w:tbl>
      <w:tblPr>
        <w:tblW w:w="0" w:type="auto"/>
        <w:tblLook w:val="04A0" w:firstRow="1" w:lastRow="0" w:firstColumn="1" w:lastColumn="0" w:noHBand="0" w:noVBand="1"/>
      </w:tblPr>
      <w:tblGrid>
        <w:gridCol w:w="4274"/>
        <w:gridCol w:w="5371"/>
      </w:tblGrid>
      <w:tr w:rsidR="00D80461" w:rsidRPr="00F05A8A" w14:paraId="2F00CD70" w14:textId="77777777" w:rsidTr="00142C01">
        <w:tc>
          <w:tcPr>
            <w:tcW w:w="4413" w:type="dxa"/>
          </w:tcPr>
          <w:p w14:paraId="11B4D8F3" w14:textId="77777777" w:rsidR="00D80461" w:rsidRPr="00F05A8A" w:rsidRDefault="00D80461" w:rsidP="002F075E">
            <w:pPr>
              <w:rPr>
                <w:rFonts w:eastAsia="Calibri"/>
                <w:b/>
                <w:bCs/>
              </w:rPr>
            </w:pPr>
            <w:r w:rsidRPr="00F05A8A">
              <w:rPr>
                <w:rFonts w:eastAsia="Calibri"/>
                <w:b/>
                <w:bCs/>
                <w:lang w:eastAsia="fr-FR"/>
              </w:rPr>
              <w:drawing>
                <wp:inline distT="0" distB="0" distL="0" distR="0" wp14:anchorId="2F762351" wp14:editId="6235B78F">
                  <wp:extent cx="2772003" cy="1613189"/>
                  <wp:effectExtent l="0" t="0" r="0" b="0"/>
                  <wp:docPr id="1802487816" name="Picture 18024878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6" name="Picture 1802487816" descr="A picture containing chart&#10;&#10;Description automatically generated"/>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819721" cy="1640959"/>
                          </a:xfrm>
                          <a:prstGeom prst="rect">
                            <a:avLst/>
                          </a:prstGeom>
                          <a:noFill/>
                        </pic:spPr>
                      </pic:pic>
                    </a:graphicData>
                  </a:graphic>
                </wp:inline>
              </w:drawing>
            </w:r>
          </w:p>
          <w:p w14:paraId="61F38A4A" w14:textId="77777777" w:rsidR="00D80461" w:rsidRPr="00F05A8A" w:rsidRDefault="00D80461" w:rsidP="002F075E">
            <w:pPr>
              <w:spacing w:before="0"/>
              <w:rPr>
                <w:rFonts w:eastAsia="Calibri"/>
              </w:rPr>
            </w:pPr>
          </w:p>
        </w:tc>
        <w:tc>
          <w:tcPr>
            <w:tcW w:w="5226" w:type="dxa"/>
          </w:tcPr>
          <w:p w14:paraId="570D2993" w14:textId="77777777" w:rsidR="00D80461" w:rsidRPr="00F05A8A" w:rsidRDefault="00D80461" w:rsidP="002F075E">
            <w:pPr>
              <w:rPr>
                <w:rFonts w:eastAsia="Calibri"/>
              </w:rPr>
            </w:pPr>
            <w:r w:rsidRPr="00F05A8A">
              <w:rPr>
                <w:rFonts w:eastAsia="Calibri"/>
                <w:lang w:eastAsia="fr-FR"/>
              </w:rPr>
              <w:drawing>
                <wp:inline distT="0" distB="0" distL="0" distR="0" wp14:anchorId="41CFE0AF" wp14:editId="5EEB7D74">
                  <wp:extent cx="3521502" cy="1233577"/>
                  <wp:effectExtent l="0" t="0" r="0" b="0"/>
                  <wp:docPr id="203575390" name="Picture 2035753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90" name="Picture 203575390" descr="Chart&#10;&#10;Description automatically generated"/>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551384" cy="1244044"/>
                          </a:xfrm>
                          <a:prstGeom prst="rect">
                            <a:avLst/>
                          </a:prstGeom>
                          <a:noFill/>
                        </pic:spPr>
                      </pic:pic>
                    </a:graphicData>
                  </a:graphic>
                </wp:inline>
              </w:drawing>
            </w:r>
          </w:p>
        </w:tc>
      </w:tr>
    </w:tbl>
    <w:p w14:paraId="4CD5FDC8" w14:textId="77777777" w:rsidR="00D80461" w:rsidRPr="00F05A8A" w:rsidRDefault="00D80461" w:rsidP="002F075E">
      <w:pPr>
        <w:pStyle w:val="Headingb"/>
      </w:pPr>
      <w:bookmarkStart w:id="874" w:name="_Toc72846790"/>
      <w:bookmarkStart w:id="875" w:name="_Toc95387645"/>
      <w:r w:rsidRPr="00F05A8A">
        <w:t>Priorité thématique: Environnement</w:t>
      </w:r>
      <w:bookmarkEnd w:id="874"/>
      <w:bookmarkEnd w:id="875"/>
    </w:p>
    <w:p w14:paraId="4875AF0F" w14:textId="77777777" w:rsidR="00D80461" w:rsidRPr="00F05A8A" w:rsidRDefault="00D80461" w:rsidP="002F075E">
      <w:pPr>
        <w:jc w:val="center"/>
      </w:pPr>
      <w:r w:rsidRPr="00F05A8A">
        <w:rPr>
          <w:lang w:eastAsia="fr-FR"/>
        </w:rPr>
        <w:drawing>
          <wp:inline distT="0" distB="0" distL="0" distR="0" wp14:anchorId="0B38A9DB" wp14:editId="17D8DA74">
            <wp:extent cx="3895162" cy="2044481"/>
            <wp:effectExtent l="0" t="0" r="0" b="0"/>
            <wp:docPr id="1802487812" name="Picture 18024878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2" name="Picture 1802487812" descr="A picture containing chart&#10;&#10;Description automatically generated"/>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911348" cy="2052977"/>
                    </a:xfrm>
                    <a:prstGeom prst="rect">
                      <a:avLst/>
                    </a:prstGeom>
                    <a:noFill/>
                  </pic:spPr>
                </pic:pic>
              </a:graphicData>
            </a:graphic>
          </wp:inline>
        </w:drawing>
      </w:r>
    </w:p>
    <w:p w14:paraId="65C99E46" w14:textId="77777777" w:rsidR="00D80461" w:rsidRPr="00F05A8A" w:rsidRDefault="00D80461" w:rsidP="002F075E">
      <w:pPr>
        <w:jc w:val="center"/>
      </w:pPr>
    </w:p>
    <w:p w14:paraId="02C9DCBE" w14:textId="77777777" w:rsidR="00D80461" w:rsidRPr="00F05A8A" w:rsidRDefault="00D80461" w:rsidP="002F075E">
      <w:pPr>
        <w:jc w:val="center"/>
      </w:pPr>
      <w:r w:rsidRPr="00F05A8A">
        <w:rPr>
          <w:lang w:eastAsia="fr-FR"/>
        </w:rPr>
        <w:drawing>
          <wp:inline distT="0" distB="0" distL="0" distR="0" wp14:anchorId="754147D7" wp14:editId="646DE9AE">
            <wp:extent cx="4308514" cy="1785668"/>
            <wp:effectExtent l="0" t="0" r="0" b="0"/>
            <wp:docPr id="1802487809" name="Picture 180248780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09" name="Picture 1802487809" descr="Text&#10;&#10;Description automatically generated with medium confidence"/>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319505" cy="1790223"/>
                    </a:xfrm>
                    <a:prstGeom prst="rect">
                      <a:avLst/>
                    </a:prstGeom>
                    <a:noFill/>
                  </pic:spPr>
                </pic:pic>
              </a:graphicData>
            </a:graphic>
          </wp:inline>
        </w:drawing>
      </w:r>
    </w:p>
    <w:p w14:paraId="15261B6D" w14:textId="77777777" w:rsidR="00D80461" w:rsidRPr="00F05A8A" w:rsidRDefault="00D80461" w:rsidP="002F075E">
      <w:pPr>
        <w:pStyle w:val="Headingb"/>
      </w:pPr>
      <w:bookmarkStart w:id="876" w:name="_Toc72846791"/>
      <w:bookmarkStart w:id="877" w:name="_Toc95387646"/>
      <w:r w:rsidRPr="00F05A8A">
        <w:lastRenderedPageBreak/>
        <w:t>Priorité thématique: Inclusion numérique</w:t>
      </w:r>
      <w:bookmarkEnd w:id="876"/>
      <w:bookmarkEnd w:id="877"/>
    </w:p>
    <w:p w14:paraId="71F6D321" w14:textId="77777777" w:rsidR="00D80461" w:rsidRPr="00F05A8A" w:rsidRDefault="00D80461" w:rsidP="002F075E">
      <w:pPr>
        <w:pStyle w:val="Figure"/>
      </w:pPr>
      <w:bookmarkStart w:id="878" w:name="_Toc41032181"/>
      <w:r w:rsidRPr="00F05A8A">
        <w:rPr>
          <w:lang w:eastAsia="fr-FR"/>
        </w:rPr>
        <w:drawing>
          <wp:inline distT="0" distB="0" distL="0" distR="0" wp14:anchorId="67AAABAC" wp14:editId="1988E22B">
            <wp:extent cx="3181946" cy="1992702"/>
            <wp:effectExtent l="0" t="0" r="0" b="0"/>
            <wp:docPr id="203575421" name="Picture 2035754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21" name="Picture 203575421" descr="Chart, bar chart&#10;&#10;Description automatically generated"/>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187994" cy="1996490"/>
                    </a:xfrm>
                    <a:prstGeom prst="rect">
                      <a:avLst/>
                    </a:prstGeom>
                    <a:noFill/>
                  </pic:spPr>
                </pic:pic>
              </a:graphicData>
            </a:graphic>
          </wp:inline>
        </w:drawing>
      </w:r>
    </w:p>
    <w:p w14:paraId="250E821D" w14:textId="77777777" w:rsidR="00D80461" w:rsidRPr="00F05A8A" w:rsidRDefault="00D80461" w:rsidP="002F075E">
      <w:pPr>
        <w:pStyle w:val="Heading2"/>
      </w:pPr>
      <w:bookmarkStart w:id="879" w:name="_Toc72846792"/>
      <w:bookmarkStart w:id="880" w:name="_Toc98513627"/>
      <w:bookmarkStart w:id="881" w:name="_Toc107466592"/>
      <w:r w:rsidRPr="00F05A8A">
        <w:t>Objectifs intersectoriels</w:t>
      </w:r>
      <w:bookmarkEnd w:id="878"/>
      <w:bookmarkEnd w:id="879"/>
      <w:bookmarkEnd w:id="880"/>
      <w:bookmarkEnd w:id="881"/>
    </w:p>
    <w:p w14:paraId="38A26661" w14:textId="77777777" w:rsidR="00D80461" w:rsidRPr="00F05A8A" w:rsidRDefault="00D80461" w:rsidP="002F075E">
      <w:r w:rsidRPr="00F05A8A">
        <w:rPr>
          <w:b/>
          <w:bCs/>
        </w:rPr>
        <w:t>Objectif I.1</w:t>
      </w:r>
      <w:r w:rsidRPr="00F05A8A">
        <w:t xml:space="preserve"> (Collaboration): Encourager une collaboration plus étroite entre toutes les parties prenantes de l'écosystème des télécommunications/TIC</w:t>
      </w:r>
    </w:p>
    <w:p w14:paraId="493E7AE5" w14:textId="77777777" w:rsidR="00D80461" w:rsidRPr="00F05A8A" w:rsidRDefault="00D80461" w:rsidP="002F075E">
      <w:pPr>
        <w:pStyle w:val="Headingb"/>
        <w:spacing w:after="120"/>
      </w:pPr>
      <w:bookmarkStart w:id="882" w:name="_Toc41032182"/>
      <w:bookmarkStart w:id="883" w:name="_Toc72846793"/>
      <w:bookmarkStart w:id="884" w:name="_Toc95387649"/>
      <w:r w:rsidRPr="00F05A8A">
        <w:t>Résultats</w:t>
      </w:r>
      <w:bookmarkEnd w:id="882"/>
      <w:bookmarkEnd w:id="883"/>
      <w:bookmarkEnd w:id="884"/>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03219145" w14:textId="77777777" w:rsidTr="00142C01">
        <w:tc>
          <w:tcPr>
            <w:tcW w:w="9629" w:type="dxa"/>
            <w:shd w:val="clear" w:color="auto" w:fill="DBE5F1" w:themeFill="accent1" w:themeFillTint="33"/>
          </w:tcPr>
          <w:p w14:paraId="7CFD6CFE" w14:textId="77777777" w:rsidR="00D80461" w:rsidRPr="00F05A8A" w:rsidRDefault="00D80461" w:rsidP="002F075E">
            <w:r w:rsidRPr="00F05A8A">
              <w:t>I.1-a: Renforcement de la collaboration entre les parties prenantes concernées</w:t>
            </w:r>
          </w:p>
          <w:p w14:paraId="214B4942" w14:textId="77777777" w:rsidR="00D80461" w:rsidRPr="00F05A8A" w:rsidRDefault="00D80461" w:rsidP="002F075E">
            <w:r w:rsidRPr="00F05A8A">
              <w:t>I.1-b: Renforcement des synergies nées des partenariats concernant les télécommunications/TIC</w:t>
            </w:r>
          </w:p>
          <w:p w14:paraId="60461B8D" w14:textId="77777777" w:rsidR="00D80461" w:rsidRPr="00F05A8A" w:rsidRDefault="00D80461" w:rsidP="002F075E">
            <w:r w:rsidRPr="00F05A8A">
              <w:t xml:space="preserve">I.1-c: Meilleure reconnaissance des télécommunications/TIC, d'une part, en tant que catalyseur intersectoriel pour la mise en œuvre des grandes orientations du SMSI et du Programme de développement durable à l'horizon 2030 </w:t>
            </w:r>
          </w:p>
          <w:p w14:paraId="7C9BE15C" w14:textId="77777777" w:rsidR="00D80461" w:rsidRPr="00F05A8A" w:rsidRDefault="00D80461" w:rsidP="002F075E">
            <w:pPr>
              <w:spacing w:after="120"/>
            </w:pPr>
            <w:r w:rsidRPr="00F05A8A">
              <w:t>I.1-d: Appui accru aux membres de l'UIT dans l'élaboration et la fourniture de produits et de services TIC</w:t>
            </w:r>
          </w:p>
        </w:tc>
      </w:tr>
    </w:tbl>
    <w:p w14:paraId="39CEA782" w14:textId="77777777" w:rsidR="00D80461" w:rsidRPr="00F05A8A" w:rsidRDefault="00D80461" w:rsidP="002F075E">
      <w:pPr>
        <w:pStyle w:val="Headingb"/>
        <w:spacing w:after="120"/>
        <w:rPr>
          <w:highlight w:val="green"/>
        </w:rPr>
      </w:pPr>
      <w:bookmarkStart w:id="885" w:name="_Toc41032183"/>
      <w:bookmarkStart w:id="886" w:name="_Toc72846794"/>
      <w:bookmarkStart w:id="887" w:name="_Toc95387650"/>
      <w:r w:rsidRPr="00F05A8A">
        <w:rPr>
          <w:rFonts w:cs="Calibri"/>
          <w:b w:val="0"/>
          <w:lang w:eastAsia="fr-FR"/>
        </w:rPr>
        <mc:AlternateContent>
          <mc:Choice Requires="wps">
            <w:drawing>
              <wp:anchor distT="0" distB="0" distL="114300" distR="114300" simplePos="0" relativeHeight="251767808" behindDoc="0" locked="0" layoutInCell="1" allowOverlap="1" wp14:anchorId="335948B0" wp14:editId="03466334">
                <wp:simplePos x="0" y="0"/>
                <wp:positionH relativeFrom="column">
                  <wp:posOffset>2118360</wp:posOffset>
                </wp:positionH>
                <wp:positionV relativeFrom="paragraph">
                  <wp:posOffset>8605520</wp:posOffset>
                </wp:positionV>
                <wp:extent cx="4019550" cy="189865"/>
                <wp:effectExtent l="0" t="0" r="0" b="635"/>
                <wp:wrapNone/>
                <wp:docPr id="544008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89865"/>
                        </a:xfrm>
                        <a:prstGeom prst="rect">
                          <a:avLst/>
                        </a:prstGeom>
                        <a:solidFill>
                          <a:srgbClr val="FFFFFF"/>
                        </a:solidFill>
                        <a:ln w="9525">
                          <a:noFill/>
                          <a:miter lim="800000"/>
                          <a:headEnd/>
                          <a:tailEnd/>
                        </a:ln>
                      </wps:spPr>
                      <wps:txbx>
                        <w:txbxContent>
                          <w:p w14:paraId="300AED0D" w14:textId="77777777" w:rsidR="00756EAD" w:rsidRPr="002D74F3" w:rsidRDefault="00756EAD" w:rsidP="00D80461">
                            <w:pPr>
                              <w:tabs>
                                <w:tab w:val="clear" w:pos="1134"/>
                                <w:tab w:val="left" w:pos="1064"/>
                              </w:tabs>
                              <w:spacing w:before="0"/>
                              <w:rPr>
                                <w:sz w:val="18"/>
                                <w:szCs w:val="18"/>
                              </w:rPr>
                            </w:pPr>
                            <w:r w:rsidRPr="002D74F3">
                              <w:rPr>
                                <w:bCs/>
                                <w:iCs/>
                                <w:sz w:val="20"/>
                              </w:rPr>
                              <w:t>0%</w:t>
                            </w:r>
                            <w:r w:rsidRPr="002D74F3">
                              <w:rPr>
                                <w:bCs/>
                                <w:iCs/>
                                <w:sz w:val="20"/>
                              </w:rPr>
                              <w:tab/>
                            </w:r>
                            <w:r>
                              <w:rPr>
                                <w:bCs/>
                                <w:iCs/>
                                <w:sz w:val="20"/>
                              </w:rPr>
                              <w:tab/>
                            </w:r>
                            <w:r w:rsidRPr="002D74F3">
                              <w:rPr>
                                <w:bCs/>
                                <w:iCs/>
                                <w:sz w:val="20"/>
                              </w:rPr>
                              <w:t>10%</w:t>
                            </w:r>
                            <w:r w:rsidRPr="002D74F3">
                              <w:rPr>
                                <w:bCs/>
                                <w:iCs/>
                                <w:sz w:val="20"/>
                              </w:rPr>
                              <w:tab/>
                            </w:r>
                            <w:r>
                              <w:rPr>
                                <w:bCs/>
                                <w:iCs/>
                                <w:sz w:val="20"/>
                              </w:rPr>
                              <w:tab/>
                            </w:r>
                            <w:r w:rsidRPr="002D74F3">
                              <w:rPr>
                                <w:bCs/>
                                <w:iCs/>
                                <w:sz w:val="20"/>
                              </w:rPr>
                              <w:t>20%</w:t>
                            </w:r>
                            <w:r w:rsidRPr="002D74F3">
                              <w:rPr>
                                <w:bCs/>
                                <w:iCs/>
                                <w:sz w:val="20"/>
                              </w:rPr>
                              <w:tab/>
                            </w:r>
                            <w:r>
                              <w:rPr>
                                <w:bCs/>
                                <w:iCs/>
                                <w:sz w:val="20"/>
                              </w:rPr>
                              <w:tab/>
                            </w:r>
                            <w:r>
                              <w:rPr>
                                <w:bCs/>
                                <w:iCs/>
                                <w:sz w:val="20"/>
                              </w:rPr>
                              <w:tab/>
                            </w:r>
                            <w:r w:rsidRPr="002D74F3">
                              <w:rPr>
                                <w:bCs/>
                                <w:iCs/>
                                <w:sz w:val="20"/>
                              </w:rPr>
                              <w:t>30%</w:t>
                            </w:r>
                            <w:r w:rsidRPr="002D74F3">
                              <w:rPr>
                                <w:bCs/>
                                <w:iCs/>
                                <w:sz w:val="20"/>
                              </w:rPr>
                              <w:tab/>
                              <w:t>40%</w:t>
                            </w:r>
                            <w:r w:rsidRPr="002D74F3">
                              <w:rPr>
                                <w:bCs/>
                                <w:iCs/>
                                <w:sz w:val="20"/>
                              </w:rPr>
                              <w:tab/>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48B0" id="_x0000_s1174" type="#_x0000_t202" style="position:absolute;left:0;text-align:left;margin-left:166.8pt;margin-top:677.6pt;width:316.5pt;height:1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" stroked="f">
                <v:textbox inset="0,0,0,0">
                  <w:txbxContent>
                    <w:p w14:paraId="300AED0D" w14:textId="77777777" w:rsidR="00756EAD" w:rsidRPr="002D74F3" w:rsidRDefault="00756EAD" w:rsidP="00D80461">
                      <w:pPr>
                        <w:tabs>
                          <w:tab w:val="clear" w:pos="1134"/>
                          <w:tab w:val="left" w:pos="1064"/>
                        </w:tabs>
                        <w:spacing w:before="0"/>
                        <w:rPr>
                          <w:sz w:val="18"/>
                          <w:szCs w:val="18"/>
                        </w:rPr>
                      </w:pPr>
                      <w:r w:rsidRPr="002D74F3">
                        <w:rPr>
                          <w:bCs/>
                          <w:iCs/>
                          <w:sz w:val="20"/>
                        </w:rPr>
                        <w:t>0%</w:t>
                      </w:r>
                      <w:r w:rsidRPr="002D74F3">
                        <w:rPr>
                          <w:bCs/>
                          <w:iCs/>
                          <w:sz w:val="20"/>
                        </w:rPr>
                        <w:tab/>
                      </w:r>
                      <w:r>
                        <w:rPr>
                          <w:bCs/>
                          <w:iCs/>
                          <w:sz w:val="20"/>
                        </w:rPr>
                        <w:tab/>
                      </w:r>
                      <w:r w:rsidRPr="002D74F3">
                        <w:rPr>
                          <w:bCs/>
                          <w:iCs/>
                          <w:sz w:val="20"/>
                        </w:rPr>
                        <w:t>10%</w:t>
                      </w:r>
                      <w:r w:rsidRPr="002D74F3">
                        <w:rPr>
                          <w:bCs/>
                          <w:iCs/>
                          <w:sz w:val="20"/>
                        </w:rPr>
                        <w:tab/>
                      </w:r>
                      <w:r>
                        <w:rPr>
                          <w:bCs/>
                          <w:iCs/>
                          <w:sz w:val="20"/>
                        </w:rPr>
                        <w:tab/>
                      </w:r>
                      <w:r w:rsidRPr="002D74F3">
                        <w:rPr>
                          <w:bCs/>
                          <w:iCs/>
                          <w:sz w:val="20"/>
                        </w:rPr>
                        <w:t>20%</w:t>
                      </w:r>
                      <w:r w:rsidRPr="002D74F3">
                        <w:rPr>
                          <w:bCs/>
                          <w:iCs/>
                          <w:sz w:val="20"/>
                        </w:rPr>
                        <w:tab/>
                      </w:r>
                      <w:r>
                        <w:rPr>
                          <w:bCs/>
                          <w:iCs/>
                          <w:sz w:val="20"/>
                        </w:rPr>
                        <w:tab/>
                      </w:r>
                      <w:r>
                        <w:rPr>
                          <w:bCs/>
                          <w:iCs/>
                          <w:sz w:val="20"/>
                        </w:rPr>
                        <w:tab/>
                      </w:r>
                      <w:r w:rsidRPr="002D74F3">
                        <w:rPr>
                          <w:bCs/>
                          <w:iCs/>
                          <w:sz w:val="20"/>
                        </w:rPr>
                        <w:t>30%</w:t>
                      </w:r>
                      <w:r w:rsidRPr="002D74F3">
                        <w:rPr>
                          <w:bCs/>
                          <w:iCs/>
                          <w:sz w:val="20"/>
                        </w:rPr>
                        <w:tab/>
                        <w:t>40%</w:t>
                      </w:r>
                      <w:r w:rsidRPr="002D74F3">
                        <w:rPr>
                          <w:bCs/>
                          <w:iCs/>
                          <w:sz w:val="20"/>
                        </w:rPr>
                        <w:tab/>
                        <w:t>50%</w:t>
                      </w:r>
                    </w:p>
                  </w:txbxContent>
                </v:textbox>
              </v:shape>
            </w:pict>
          </mc:Fallback>
        </mc:AlternateContent>
      </w:r>
      <w:r w:rsidRPr="00F05A8A">
        <w:t>Progrès accomplis</w:t>
      </w:r>
      <w:bookmarkEnd w:id="885"/>
      <w:bookmarkEnd w:id="886"/>
      <w:bookmarkEnd w:id="887"/>
    </w:p>
    <w:p w14:paraId="47FCFCD9" w14:textId="77777777" w:rsidR="00D80461" w:rsidRPr="00F05A8A" w:rsidRDefault="00D80461" w:rsidP="002F075E">
      <w:bookmarkStart w:id="888" w:name="lt_pId1640"/>
      <w:r w:rsidRPr="00F05A8A">
        <w:t>Trois nouvelles questions ont été ajoutées à l'enquête 2020 menée auprès des Membres de l'UIT pour évaluer les progrès accomplis dans la réalisation des cibles I.1-a, I.1-b et I.1</w:t>
      </w:r>
      <w:r w:rsidRPr="00F05A8A">
        <w:noBreakHyphen/>
        <w:t>c.</w:t>
      </w:r>
      <w:bookmarkEnd w:id="888"/>
    </w:p>
    <w:p w14:paraId="4F7CDA69" w14:textId="77777777" w:rsidR="00D80461" w:rsidRPr="00F05A8A" w:rsidRDefault="00D80461" w:rsidP="002F075E">
      <w:r w:rsidRPr="00F05A8A">
        <w:rPr>
          <w:b/>
        </w:rPr>
        <w:t>2019</w:t>
      </w:r>
      <w:r w:rsidRPr="00F05A8A">
        <w:t>:</w:t>
      </w:r>
    </w:p>
    <w:p w14:paraId="03D3D639" w14:textId="77777777" w:rsidR="00D80461" w:rsidRPr="00F05A8A" w:rsidRDefault="00D80461" w:rsidP="002F075E">
      <w:r w:rsidRPr="00F05A8A">
        <w:rPr>
          <w:lang w:eastAsia="fr-FR"/>
        </w:rPr>
        <mc:AlternateContent>
          <mc:Choice Requires="wps">
            <w:drawing>
              <wp:anchor distT="0" distB="0" distL="114300" distR="114300" simplePos="0" relativeHeight="251774976" behindDoc="0" locked="0" layoutInCell="1" allowOverlap="1" wp14:anchorId="3E587E82" wp14:editId="63FA190B">
                <wp:simplePos x="0" y="0"/>
                <wp:positionH relativeFrom="column">
                  <wp:posOffset>3925088</wp:posOffset>
                </wp:positionH>
                <wp:positionV relativeFrom="paragraph">
                  <wp:posOffset>584454</wp:posOffset>
                </wp:positionV>
                <wp:extent cx="941070" cy="129603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3DE77C07"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48DF933"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059DFF82"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195FD9F2"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D38E9D7"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5B6F972C"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3E587E82" id="_x0000_s1175" type="#_x0000_t202" style="position:absolute;margin-left:309.05pt;margin-top:46pt;width:74.1pt;height:102.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" fillcolor="white [3212]" stroked="f">
                <v:textbox inset="0,0,0,0">
                  <w:txbxContent>
                    <w:p w14:paraId="3DE77C07"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48DF933"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059DFF82"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195FD9F2"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D38E9D7"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5B6F972C"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mc:AlternateContent>
          <mc:Choice Requires="wps">
            <w:drawing>
              <wp:anchor distT="0" distB="0" distL="114300" distR="114300" simplePos="0" relativeHeight="251773952" behindDoc="0" locked="0" layoutInCell="1" allowOverlap="1" wp14:anchorId="0C9FA759" wp14:editId="63E3A778">
                <wp:simplePos x="0" y="0"/>
                <wp:positionH relativeFrom="column">
                  <wp:posOffset>1784909</wp:posOffset>
                </wp:positionH>
                <wp:positionV relativeFrom="paragraph">
                  <wp:posOffset>584301</wp:posOffset>
                </wp:positionV>
                <wp:extent cx="941070" cy="129603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2E8A793E"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15A085B"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45FF53D0"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6F3F3AB6"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67BC4463"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C9875F0"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0C9FA759" id="_x0000_s1176" type="#_x0000_t202" style="position:absolute;margin-left:140.55pt;margin-top:46pt;width:74.1pt;height:102.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" fillcolor="white [3212]" stroked="f">
                <v:textbox inset="0,0,0,0">
                  <w:txbxContent>
                    <w:p w14:paraId="2E8A793E"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15A085B"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45FF53D0"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6F3F3AB6"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67BC4463"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C9875F0"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72928" behindDoc="0" locked="0" layoutInCell="1" allowOverlap="1" wp14:anchorId="2F9C91E4" wp14:editId="2495B5DD">
                <wp:simplePos x="0" y="0"/>
                <wp:positionH relativeFrom="column">
                  <wp:posOffset>4378604</wp:posOffset>
                </wp:positionH>
                <wp:positionV relativeFrom="paragraph">
                  <wp:posOffset>328955</wp:posOffset>
                </wp:positionV>
                <wp:extent cx="1989735" cy="255474"/>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735" cy="255474"/>
                        </a:xfrm>
                        <a:prstGeom prst="rect">
                          <a:avLst/>
                        </a:prstGeom>
                        <a:solidFill>
                          <a:schemeClr val="bg1"/>
                        </a:solidFill>
                        <a:ln w="9525">
                          <a:noFill/>
                          <a:miter lim="800000"/>
                          <a:headEnd/>
                          <a:tailEnd/>
                        </a:ln>
                      </wps:spPr>
                      <wps:txbx>
                        <w:txbxContent>
                          <w:p w14:paraId="266C1929" w14:textId="77777777" w:rsidR="00756EAD" w:rsidRPr="00901030" w:rsidRDefault="00756EAD" w:rsidP="00D80461">
                            <w:pPr>
                              <w:spacing w:before="0"/>
                              <w:jc w:val="center"/>
                              <w:rPr>
                                <w:b/>
                                <w:sz w:val="14"/>
                                <w:szCs w:val="14"/>
                              </w:rPr>
                            </w:pPr>
                            <w:r w:rsidRPr="00901030">
                              <w:rPr>
                                <w:b/>
                                <w:bCs/>
                                <w:sz w:val="14"/>
                                <w:szCs w:val="14"/>
                              </w:rPr>
                              <w:t>Les TIC/télécommunications contribuent grandement à la réalisation des ODD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91E4" id="Text Box 207" o:spid="_x0000_s1177" type="#_x0000_t202" style="position:absolute;margin-left:344.75pt;margin-top:25.9pt;width:156.6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" fillcolor="white [3212]" stroked="f">
                <v:textbox inset="0,0,0,0">
                  <w:txbxContent>
                    <w:p w14:paraId="266C1929" w14:textId="77777777" w:rsidR="00756EAD" w:rsidRPr="00901030" w:rsidRDefault="00756EAD" w:rsidP="00D80461">
                      <w:pPr>
                        <w:spacing w:before="0"/>
                        <w:jc w:val="center"/>
                        <w:rPr>
                          <w:b/>
                          <w:sz w:val="14"/>
                          <w:szCs w:val="14"/>
                        </w:rPr>
                      </w:pPr>
                      <w:r w:rsidRPr="00901030">
                        <w:rPr>
                          <w:b/>
                          <w:bCs/>
                          <w:sz w:val="14"/>
                          <w:szCs w:val="14"/>
                        </w:rPr>
                        <w:t>Les TIC/télécommunications contribuent grandement à la réalisation des ODD</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71904" behindDoc="0" locked="0" layoutInCell="1" allowOverlap="1" wp14:anchorId="1E6EB78E" wp14:editId="18847504">
                <wp:simplePos x="0" y="0"/>
                <wp:positionH relativeFrom="column">
                  <wp:posOffset>2074316</wp:posOffset>
                </wp:positionH>
                <wp:positionV relativeFrom="paragraph">
                  <wp:posOffset>328955</wp:posOffset>
                </wp:positionV>
                <wp:extent cx="2304288" cy="255474"/>
                <wp:effectExtent l="0" t="0"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88" cy="255474"/>
                        </a:xfrm>
                        <a:prstGeom prst="rect">
                          <a:avLst/>
                        </a:prstGeom>
                        <a:solidFill>
                          <a:schemeClr val="bg1"/>
                        </a:solidFill>
                        <a:ln w="9525">
                          <a:noFill/>
                          <a:miter lim="800000"/>
                          <a:headEnd/>
                          <a:tailEnd/>
                        </a:ln>
                      </wps:spPr>
                      <wps:txbx>
                        <w:txbxContent>
                          <w:p w14:paraId="5DB1432C" w14:textId="77777777" w:rsidR="00756EAD" w:rsidRPr="00901030" w:rsidRDefault="00756EAD" w:rsidP="00D80461">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EB78E" id="Text Box 206" o:spid="_x0000_s1178" type="#_x0000_t202" style="position:absolute;margin-left:163.35pt;margin-top:25.9pt;width:181.4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" fillcolor="white [3212]" stroked="f">
                <v:textbox inset="0,0,0,0">
                  <w:txbxContent>
                    <w:p w14:paraId="5DB1432C" w14:textId="77777777" w:rsidR="00756EAD" w:rsidRPr="00901030" w:rsidRDefault="00756EAD" w:rsidP="00D80461">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69856" behindDoc="0" locked="0" layoutInCell="1" allowOverlap="1" wp14:anchorId="2C89D74C" wp14:editId="3F1544F8">
                <wp:simplePos x="0" y="0"/>
                <wp:positionH relativeFrom="column">
                  <wp:posOffset>-186080</wp:posOffset>
                </wp:positionH>
                <wp:positionV relativeFrom="paragraph">
                  <wp:posOffset>328955</wp:posOffset>
                </wp:positionV>
                <wp:extent cx="2259965" cy="255474"/>
                <wp:effectExtent l="0" t="0" r="698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474"/>
                        </a:xfrm>
                        <a:prstGeom prst="rect">
                          <a:avLst/>
                        </a:prstGeom>
                        <a:solidFill>
                          <a:schemeClr val="bg1"/>
                        </a:solidFill>
                        <a:ln w="9525">
                          <a:noFill/>
                          <a:miter lim="800000"/>
                          <a:headEnd/>
                          <a:tailEnd/>
                        </a:ln>
                      </wps:spPr>
                      <wps:txbx>
                        <w:txbxContent>
                          <w:p w14:paraId="436FCCBE" w14:textId="77777777" w:rsidR="00756EAD" w:rsidRPr="00901030" w:rsidRDefault="00756EAD" w:rsidP="00D80461">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9D74C" id="Text Box 204" o:spid="_x0000_s1179" type="#_x0000_t202" style="position:absolute;margin-left:-14.65pt;margin-top:25.9pt;width:177.95pt;height:2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" fillcolor="white [3212]" stroked="f">
                <v:textbox inset="0,0,0,0">
                  <w:txbxContent>
                    <w:p w14:paraId="436FCCBE" w14:textId="77777777" w:rsidR="00756EAD" w:rsidRPr="00901030" w:rsidRDefault="00756EAD" w:rsidP="00D80461">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70880" behindDoc="0" locked="0" layoutInCell="1" allowOverlap="1" wp14:anchorId="2E03A713" wp14:editId="5D2D5A98">
                <wp:simplePos x="0" y="0"/>
                <wp:positionH relativeFrom="column">
                  <wp:posOffset>-3201</wp:posOffset>
                </wp:positionH>
                <wp:positionV relativeFrom="paragraph">
                  <wp:posOffset>72923</wp:posOffset>
                </wp:positionV>
                <wp:extent cx="3021177" cy="190196"/>
                <wp:effectExtent l="0" t="0" r="8255"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90196"/>
                        </a:xfrm>
                        <a:prstGeom prst="rect">
                          <a:avLst/>
                        </a:prstGeom>
                        <a:solidFill>
                          <a:schemeClr val="bg1"/>
                        </a:solidFill>
                        <a:ln w="9525">
                          <a:noFill/>
                          <a:miter lim="800000"/>
                          <a:headEnd/>
                          <a:tailEnd/>
                        </a:ln>
                      </wps:spPr>
                      <wps:txbx>
                        <w:txbxContent>
                          <w:p w14:paraId="4A8973ED" w14:textId="77777777" w:rsidR="00756EAD" w:rsidRPr="00901030" w:rsidRDefault="00756EAD" w:rsidP="00D80461">
                            <w:pPr>
                              <w:spacing w:before="0"/>
                              <w:rPr>
                                <w:b/>
                                <w:sz w:val="22"/>
                                <w:szCs w:val="22"/>
                              </w:rPr>
                            </w:pPr>
                            <w:r>
                              <w:rPr>
                                <w:b/>
                                <w:bCs/>
                                <w:sz w:val="22"/>
                                <w:szCs w:val="22"/>
                              </w:rPr>
                              <w:t xml:space="preserve">19 – </w:t>
                            </w:r>
                            <w:r w:rsidRPr="00901030">
                              <w:rPr>
                                <w:b/>
                                <w:bCs/>
                                <w:sz w:val="22"/>
                                <w:szCs w:val="22"/>
                              </w:rPr>
                              <w:t>Que pensez-vous des affirmations suivantes?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3A713" id="Text Box 205" o:spid="_x0000_s1180" type="#_x0000_t202" style="position:absolute;margin-left:-.25pt;margin-top:5.75pt;width:237.9pt;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" fillcolor="white [3212]" stroked="f">
                <v:textbox inset="0,0,0,0">
                  <w:txbxContent>
                    <w:p w14:paraId="4A8973ED" w14:textId="77777777" w:rsidR="00756EAD" w:rsidRPr="00901030" w:rsidRDefault="00756EAD" w:rsidP="00D80461">
                      <w:pPr>
                        <w:spacing w:before="0"/>
                        <w:rPr>
                          <w:b/>
                          <w:sz w:val="22"/>
                          <w:szCs w:val="22"/>
                        </w:rPr>
                      </w:pPr>
                      <w:r>
                        <w:rPr>
                          <w:b/>
                          <w:bCs/>
                          <w:sz w:val="22"/>
                          <w:szCs w:val="22"/>
                        </w:rPr>
                        <w:t xml:space="preserve">19 – </w:t>
                      </w:r>
                      <w:r w:rsidRPr="00901030">
                        <w:rPr>
                          <w:b/>
                          <w:bCs/>
                          <w:sz w:val="22"/>
                          <w:szCs w:val="22"/>
                        </w:rPr>
                        <w:t>Que pensez-vous des affirmations suivantes?</w:t>
                      </w:r>
                    </w:p>
                  </w:txbxContent>
                </v:textbox>
              </v:shape>
            </w:pict>
          </mc:Fallback>
        </mc:AlternateContent>
      </w:r>
      <w:r w:rsidRPr="00F05A8A">
        <w:rPr>
          <w:lang w:eastAsia="fr-FR"/>
        </w:rPr>
        <mc:AlternateContent>
          <mc:Choice Requires="wps">
            <w:drawing>
              <wp:anchor distT="0" distB="0" distL="114300" distR="114300" simplePos="0" relativeHeight="251768832" behindDoc="0" locked="0" layoutInCell="1" allowOverlap="1" wp14:anchorId="2FF95921" wp14:editId="0BDD0DA6">
                <wp:simplePos x="0" y="0"/>
                <wp:positionH relativeFrom="column">
                  <wp:posOffset>-299923</wp:posOffset>
                </wp:positionH>
                <wp:positionV relativeFrom="paragraph">
                  <wp:posOffset>584302</wp:posOffset>
                </wp:positionV>
                <wp:extent cx="941070" cy="129603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74073804"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53FCE045"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2734A9C9"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A623B05"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157EEEBC"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41995373"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2FF95921" id="_x0000_s1181" type="#_x0000_t202" style="position:absolute;margin-left:-23.6pt;margin-top:46pt;width:74.1pt;height:102.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" fillcolor="white [3212]" stroked="f">
                <v:textbox inset="0,0,0,0">
                  <w:txbxContent>
                    <w:p w14:paraId="74073804"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53FCE045"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2734A9C9"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A623B05"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157EEEBC"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41995373"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w:drawing>
          <wp:inline distT="0" distB="0" distL="0" distR="0" wp14:anchorId="3A6157CC" wp14:editId="4371F351">
            <wp:extent cx="6307200" cy="2091600"/>
            <wp:effectExtent l="0" t="0" r="0" b="4445"/>
            <wp:docPr id="1975730823" name="Picture 5914827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23" name="Picture 591482762" descr="Chart, bar chart&#10;&#10;Description automatically generated"/>
                    <pic:cNvPicPr/>
                  </pic:nvPicPr>
                  <pic:blipFill>
                    <a:blip r:embed="rId638">
                      <a:extLst>
                        <a:ext uri="{28A0092B-C50C-407E-A947-70E740481C1C}">
                          <a14:useLocalDpi xmlns:a14="http://schemas.microsoft.com/office/drawing/2010/main" val="0"/>
                        </a:ext>
                      </a:extLst>
                    </a:blip>
                    <a:stretch>
                      <a:fillRect/>
                    </a:stretch>
                  </pic:blipFill>
                  <pic:spPr>
                    <a:xfrm>
                      <a:off x="0" y="0"/>
                      <a:ext cx="6307200" cy="2091600"/>
                    </a:xfrm>
                    <a:prstGeom prst="rect">
                      <a:avLst/>
                    </a:prstGeom>
                  </pic:spPr>
                </pic:pic>
              </a:graphicData>
            </a:graphic>
          </wp:inline>
        </w:drawing>
      </w:r>
    </w:p>
    <w:p w14:paraId="70CE07A5" w14:textId="77777777" w:rsidR="00D80461" w:rsidRPr="00F05A8A" w:rsidRDefault="00D80461" w:rsidP="002F075E">
      <w:pPr>
        <w:keepNext/>
      </w:pPr>
      <w:r w:rsidRPr="00F05A8A">
        <w:rPr>
          <w:b/>
        </w:rPr>
        <w:lastRenderedPageBreak/>
        <w:t>2020</w:t>
      </w:r>
      <w:r w:rsidRPr="00F05A8A">
        <w:t>:</w:t>
      </w:r>
    </w:p>
    <w:p w14:paraId="2B0834F6" w14:textId="77777777" w:rsidR="00D80461" w:rsidRPr="00F05A8A" w:rsidRDefault="00D80461" w:rsidP="002F075E">
      <w:r w:rsidRPr="00F05A8A">
        <w:rPr>
          <w:lang w:eastAsia="fr-FR"/>
        </w:rPr>
        <mc:AlternateContent>
          <mc:Choice Requires="wps">
            <w:drawing>
              <wp:anchor distT="0" distB="0" distL="114300" distR="114300" simplePos="0" relativeHeight="251778048" behindDoc="0" locked="0" layoutInCell="1" allowOverlap="1" wp14:anchorId="05904BD6" wp14:editId="0BBA0951">
                <wp:simplePos x="0" y="0"/>
                <wp:positionH relativeFrom="column">
                  <wp:posOffset>4118458</wp:posOffset>
                </wp:positionH>
                <wp:positionV relativeFrom="paragraph">
                  <wp:posOffset>125450</wp:posOffset>
                </wp:positionV>
                <wp:extent cx="941070" cy="1244829"/>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44829"/>
                        </a:xfrm>
                        <a:prstGeom prst="rect">
                          <a:avLst/>
                        </a:prstGeom>
                        <a:solidFill>
                          <a:schemeClr val="bg1"/>
                        </a:solidFill>
                        <a:ln w="9525">
                          <a:noFill/>
                          <a:miter lim="800000"/>
                          <a:headEnd/>
                          <a:tailEnd/>
                        </a:ln>
                      </wps:spPr>
                      <wps:txbx>
                        <w:txbxContent>
                          <w:p w14:paraId="0DBF40BA"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D22E22E" w14:textId="77777777" w:rsidR="00756EAD" w:rsidRPr="00901030" w:rsidRDefault="00756EAD" w:rsidP="00D80461">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3E4BEAE8"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017FAB37"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19D803CC" w14:textId="77777777" w:rsidR="00756EAD" w:rsidRPr="00901030" w:rsidRDefault="00756EAD" w:rsidP="00D80461">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904BD6" id="_x0000_s1182" type="#_x0000_t202" style="position:absolute;margin-left:324.3pt;margin-top:9.9pt;width:74.1pt;height:98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" fillcolor="white [3212]" stroked="f">
                <v:textbox inset="0,0,0,0">
                  <w:txbxContent>
                    <w:p w14:paraId="0DBF40BA"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D22E22E" w14:textId="77777777" w:rsidR="00756EAD" w:rsidRPr="00901030" w:rsidRDefault="00756EAD" w:rsidP="00D80461">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3E4BEAE8"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017FAB37"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19D803CC" w14:textId="77777777" w:rsidR="00756EAD" w:rsidRPr="00901030" w:rsidRDefault="00756EAD" w:rsidP="00D80461">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mc:AlternateContent>
          <mc:Choice Requires="wps">
            <w:drawing>
              <wp:anchor distT="0" distB="0" distL="114300" distR="114300" simplePos="0" relativeHeight="251777024" behindDoc="0" locked="0" layoutInCell="1" allowOverlap="1" wp14:anchorId="7B042138" wp14:editId="687B5568">
                <wp:simplePos x="0" y="0"/>
                <wp:positionH relativeFrom="column">
                  <wp:posOffset>1876806</wp:posOffset>
                </wp:positionH>
                <wp:positionV relativeFrom="paragraph">
                  <wp:posOffset>126136</wp:posOffset>
                </wp:positionV>
                <wp:extent cx="941070" cy="1244829"/>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44829"/>
                        </a:xfrm>
                        <a:prstGeom prst="rect">
                          <a:avLst/>
                        </a:prstGeom>
                        <a:solidFill>
                          <a:schemeClr val="bg1"/>
                        </a:solidFill>
                        <a:ln w="9525">
                          <a:noFill/>
                          <a:miter lim="800000"/>
                          <a:headEnd/>
                          <a:tailEnd/>
                        </a:ln>
                      </wps:spPr>
                      <wps:txbx>
                        <w:txbxContent>
                          <w:p w14:paraId="686EFDB7"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05083FC5" w14:textId="77777777" w:rsidR="00756EAD" w:rsidRPr="00901030" w:rsidRDefault="00756EAD" w:rsidP="00D80461">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2883221D"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49C07931"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7F631A7" w14:textId="77777777" w:rsidR="00756EAD" w:rsidRPr="00901030" w:rsidRDefault="00756EAD" w:rsidP="00D80461">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B042138" id="_x0000_s1183" type="#_x0000_t202" style="position:absolute;margin-left:147.8pt;margin-top:9.95pt;width:74.1pt;height:9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" fillcolor="white [3212]" stroked="f">
                <v:textbox inset="0,0,0,0">
                  <w:txbxContent>
                    <w:p w14:paraId="686EFDB7"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05083FC5" w14:textId="77777777" w:rsidR="00756EAD" w:rsidRPr="00901030" w:rsidRDefault="00756EAD" w:rsidP="00D80461">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2883221D"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49C07931" w14:textId="77777777" w:rsidR="00756EAD" w:rsidRPr="00901030" w:rsidRDefault="00756EAD" w:rsidP="00D80461">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77F631A7" w14:textId="77777777" w:rsidR="00756EAD" w:rsidRPr="00901030" w:rsidRDefault="00756EAD" w:rsidP="00D80461">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mc:AlternateContent>
          <mc:Choice Requires="wps">
            <w:drawing>
              <wp:anchor distT="0" distB="0" distL="114300" distR="114300" simplePos="0" relativeHeight="251776000" behindDoc="0" locked="0" layoutInCell="1" allowOverlap="1" wp14:anchorId="5E885E8E" wp14:editId="30A05D61">
                <wp:simplePos x="0" y="0"/>
                <wp:positionH relativeFrom="column">
                  <wp:posOffset>-219456</wp:posOffset>
                </wp:positionH>
                <wp:positionV relativeFrom="paragraph">
                  <wp:posOffset>75489</wp:posOffset>
                </wp:positionV>
                <wp:extent cx="941070" cy="129603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1B6AC5A5"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A2D0A7A"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5CF7EBB8" w14:textId="77777777" w:rsidR="00756EAD" w:rsidRPr="00901030" w:rsidRDefault="00756EAD" w:rsidP="00D80461">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E1AE649"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59013C56" w14:textId="77777777" w:rsidR="00756EAD" w:rsidRPr="00901030" w:rsidRDefault="00756EAD" w:rsidP="00D80461">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1F748377"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5E885E8E" id="_x0000_s1184" type="#_x0000_t202" style="position:absolute;margin-left:-17.3pt;margin-top:5.95pt;width:74.1pt;height:102.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" fillcolor="white [3212]" stroked="f">
                <v:textbox inset="0,0,0,0">
                  <w:txbxContent>
                    <w:p w14:paraId="1B6AC5A5"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A2D0A7A"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5CF7EBB8" w14:textId="77777777" w:rsidR="00756EAD" w:rsidRPr="00901030" w:rsidRDefault="00756EAD" w:rsidP="00D80461">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E1AE649"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59013C56" w14:textId="77777777" w:rsidR="00756EAD" w:rsidRPr="00901030" w:rsidRDefault="00756EAD" w:rsidP="00D80461">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1F748377"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w:drawing>
          <wp:inline distT="0" distB="0" distL="0" distR="0" wp14:anchorId="132B2C61" wp14:editId="7A524C6B">
            <wp:extent cx="6764400" cy="1497600"/>
            <wp:effectExtent l="0" t="0" r="0" b="7620"/>
            <wp:docPr id="1193504074" name="Picture 11935040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4" name="Picture 1193504074" descr="Chart&#10;&#10;Description automatically generated"/>
                    <pic:cNvPicPr/>
                  </pic:nvPicPr>
                  <pic:blipFill>
                    <a:blip r:embed="rId639"/>
                    <a:stretch>
                      <a:fillRect/>
                    </a:stretch>
                  </pic:blipFill>
                  <pic:spPr>
                    <a:xfrm>
                      <a:off x="0" y="0"/>
                      <a:ext cx="6764400" cy="1497600"/>
                    </a:xfrm>
                    <a:prstGeom prst="rect">
                      <a:avLst/>
                    </a:prstGeom>
                  </pic:spPr>
                </pic:pic>
              </a:graphicData>
            </a:graphic>
          </wp:inline>
        </w:drawing>
      </w:r>
    </w:p>
    <w:p w14:paraId="74E48A1F" w14:textId="77777777" w:rsidR="00D80461" w:rsidRPr="00F05A8A" w:rsidRDefault="00D80461" w:rsidP="002F075E">
      <w:pPr>
        <w:keepNext/>
      </w:pPr>
      <w:r w:rsidRPr="00F05A8A">
        <w:rPr>
          <w:b/>
          <w:bCs/>
        </w:rPr>
        <w:t>2021</w:t>
      </w:r>
      <w:r w:rsidRPr="00F05A8A">
        <w:t>:</w:t>
      </w:r>
    </w:p>
    <w:p w14:paraId="7E93AF69" w14:textId="77777777" w:rsidR="00D80461" w:rsidRPr="00F05A8A" w:rsidRDefault="00D80461" w:rsidP="002F075E">
      <w:r w:rsidRPr="00F05A8A">
        <w:rPr>
          <w:lang w:eastAsia="fr-FR"/>
        </w:rPr>
        <mc:AlternateContent>
          <mc:Choice Requires="wps">
            <w:drawing>
              <wp:anchor distT="0" distB="0" distL="114300" distR="114300" simplePos="0" relativeHeight="251794432" behindDoc="0" locked="0" layoutInCell="1" allowOverlap="1" wp14:anchorId="424A9424" wp14:editId="4221F8E0">
                <wp:simplePos x="0" y="0"/>
                <wp:positionH relativeFrom="column">
                  <wp:posOffset>3899139</wp:posOffset>
                </wp:positionH>
                <wp:positionV relativeFrom="paragraph">
                  <wp:posOffset>415458</wp:posOffset>
                </wp:positionV>
                <wp:extent cx="941070" cy="1233577"/>
                <wp:effectExtent l="0" t="0" r="0" b="5080"/>
                <wp:wrapNone/>
                <wp:docPr id="544008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33577"/>
                        </a:xfrm>
                        <a:prstGeom prst="rect">
                          <a:avLst/>
                        </a:prstGeom>
                        <a:solidFill>
                          <a:schemeClr val="bg1"/>
                        </a:solidFill>
                        <a:ln w="9525">
                          <a:noFill/>
                          <a:miter lim="800000"/>
                          <a:headEnd/>
                          <a:tailEnd/>
                        </a:ln>
                      </wps:spPr>
                      <wps:txbx>
                        <w:txbxContent>
                          <w:p w14:paraId="7292A98F"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F7FD1CD"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65A0933E"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5C3D8F68" w14:textId="77777777" w:rsidR="00756EAD" w:rsidRPr="00901030" w:rsidRDefault="00756EAD" w:rsidP="00D80461">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40B37979" w14:textId="77777777" w:rsidR="00756EAD" w:rsidRPr="00901030" w:rsidRDefault="00756EAD" w:rsidP="00D80461">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24A9424" id="_x0000_s1185" type="#_x0000_t202" style="position:absolute;margin-left:307pt;margin-top:32.7pt;width:74.1pt;height:97.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" fillcolor="white [3212]" stroked="f">
                <v:textbox inset="0,0,0,0">
                  <w:txbxContent>
                    <w:p w14:paraId="7292A98F"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F7FD1CD"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65A0933E"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5C3D8F68" w14:textId="77777777" w:rsidR="00756EAD" w:rsidRPr="00901030" w:rsidRDefault="00756EAD" w:rsidP="00D80461">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40B37979" w14:textId="77777777" w:rsidR="00756EAD" w:rsidRPr="00901030" w:rsidRDefault="00756EAD" w:rsidP="00D80461">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mc:AlternateContent>
          <mc:Choice Requires="wps">
            <w:drawing>
              <wp:anchor distT="0" distB="0" distL="114300" distR="114300" simplePos="0" relativeHeight="251793408" behindDoc="0" locked="0" layoutInCell="1" allowOverlap="1" wp14:anchorId="2C559460" wp14:editId="6A29E909">
                <wp:simplePos x="0" y="0"/>
                <wp:positionH relativeFrom="column">
                  <wp:posOffset>1755140</wp:posOffset>
                </wp:positionH>
                <wp:positionV relativeFrom="paragraph">
                  <wp:posOffset>416823</wp:posOffset>
                </wp:positionV>
                <wp:extent cx="941070" cy="1233577"/>
                <wp:effectExtent l="0" t="0" r="0" b="5080"/>
                <wp:wrapNone/>
                <wp:docPr id="544008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33577"/>
                        </a:xfrm>
                        <a:prstGeom prst="rect">
                          <a:avLst/>
                        </a:prstGeom>
                        <a:solidFill>
                          <a:schemeClr val="bg1"/>
                        </a:solidFill>
                        <a:ln w="9525">
                          <a:noFill/>
                          <a:miter lim="800000"/>
                          <a:headEnd/>
                          <a:tailEnd/>
                        </a:ln>
                      </wps:spPr>
                      <wps:txbx>
                        <w:txbxContent>
                          <w:p w14:paraId="2401875E"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9B2EE8C"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1076630E"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8C2BCAC" w14:textId="77777777" w:rsidR="00756EAD" w:rsidRPr="00901030" w:rsidRDefault="00756EAD" w:rsidP="00D80461">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51CCC8E2" w14:textId="77777777" w:rsidR="00756EAD" w:rsidRPr="00901030" w:rsidRDefault="00756EAD" w:rsidP="00D80461">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C559460" id="_x0000_s1186" type="#_x0000_t202" style="position:absolute;margin-left:138.2pt;margin-top:32.8pt;width:74.1pt;height:97.1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" fillcolor="white [3212]" stroked="f">
                <v:textbox inset="0,0,0,0">
                  <w:txbxContent>
                    <w:p w14:paraId="2401875E"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69B2EE8C"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1076630E"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8C2BCAC" w14:textId="77777777" w:rsidR="00756EAD" w:rsidRPr="00901030" w:rsidRDefault="00756EAD" w:rsidP="00D80461">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51CCC8E2" w14:textId="77777777" w:rsidR="00756EAD" w:rsidRPr="00901030" w:rsidRDefault="00756EAD" w:rsidP="00D80461">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lang w:eastAsia="fr-FR"/>
        </w:rPr>
        <mc:AlternateContent>
          <mc:Choice Requires="wps">
            <w:drawing>
              <wp:anchor distT="0" distB="0" distL="114300" distR="114300" simplePos="0" relativeHeight="251792384" behindDoc="0" locked="0" layoutInCell="1" allowOverlap="1" wp14:anchorId="64DDE704" wp14:editId="2FF4821C">
                <wp:simplePos x="0" y="0"/>
                <wp:positionH relativeFrom="column">
                  <wp:posOffset>-198371</wp:posOffset>
                </wp:positionH>
                <wp:positionV relativeFrom="paragraph">
                  <wp:posOffset>351454</wp:posOffset>
                </wp:positionV>
                <wp:extent cx="941070" cy="1296035"/>
                <wp:effectExtent l="0" t="0" r="0" b="0"/>
                <wp:wrapNone/>
                <wp:docPr id="544008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0B06BAC3"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C378151"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1868B5ED"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0418131A"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2AA1834B"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1136AC97"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64DDE704" id="_x0000_s1187" type="#_x0000_t202" style="position:absolute;margin-left:-15.6pt;margin-top:27.65pt;width:74.1pt;height:102.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" fillcolor="white [3212]" stroked="f">
                <v:textbox inset="0,0,0,0">
                  <w:txbxContent>
                    <w:p w14:paraId="0B06BAC3" w14:textId="77777777" w:rsidR="00756EAD" w:rsidRPr="00901030" w:rsidRDefault="00756EAD" w:rsidP="00D80461">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C378151"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1868B5ED"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0418131A" w14:textId="77777777" w:rsidR="00756EAD" w:rsidRPr="00901030" w:rsidRDefault="00756EAD" w:rsidP="00D80461">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2AA1834B" w14:textId="77777777" w:rsidR="00756EAD" w:rsidRPr="00901030" w:rsidRDefault="00756EAD" w:rsidP="00D80461">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1136AC97" w14:textId="77777777" w:rsidR="00756EAD" w:rsidRPr="00901030" w:rsidRDefault="00756EAD" w:rsidP="00D80461">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89312" behindDoc="0" locked="0" layoutInCell="1" allowOverlap="1" wp14:anchorId="52303719" wp14:editId="1EBEAC80">
                <wp:simplePos x="0" y="0"/>
                <wp:positionH relativeFrom="column">
                  <wp:posOffset>-250190</wp:posOffset>
                </wp:positionH>
                <wp:positionV relativeFrom="paragraph">
                  <wp:posOffset>80645</wp:posOffset>
                </wp:positionV>
                <wp:extent cx="2259965" cy="255270"/>
                <wp:effectExtent l="0" t="0" r="6985" b="0"/>
                <wp:wrapNone/>
                <wp:docPr id="544008552" name="Text Box 544008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270"/>
                        </a:xfrm>
                        <a:prstGeom prst="rect">
                          <a:avLst/>
                        </a:prstGeom>
                        <a:solidFill>
                          <a:schemeClr val="bg1"/>
                        </a:solidFill>
                        <a:ln w="9525">
                          <a:noFill/>
                          <a:miter lim="800000"/>
                          <a:headEnd/>
                          <a:tailEnd/>
                        </a:ln>
                      </wps:spPr>
                      <wps:txbx>
                        <w:txbxContent>
                          <w:p w14:paraId="6B333455" w14:textId="77777777" w:rsidR="00756EAD" w:rsidRPr="00901030" w:rsidRDefault="00756EAD" w:rsidP="00D80461">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3719" id="Text Box 544008552" o:spid="_x0000_s1188" type="#_x0000_t202" style="position:absolute;margin-left:-19.7pt;margin-top:6.35pt;width:177.95pt;height:20.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" fillcolor="white [3212]" stroked="f">
                <v:textbox inset="0,0,0,0">
                  <w:txbxContent>
                    <w:p w14:paraId="6B333455" w14:textId="77777777" w:rsidR="00756EAD" w:rsidRPr="00901030" w:rsidRDefault="00756EAD" w:rsidP="00D80461">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90336" behindDoc="0" locked="0" layoutInCell="1" allowOverlap="1" wp14:anchorId="13EC6BFE" wp14:editId="6FF7994E">
                <wp:simplePos x="0" y="0"/>
                <wp:positionH relativeFrom="column">
                  <wp:posOffset>2016760</wp:posOffset>
                </wp:positionH>
                <wp:positionV relativeFrom="paragraph">
                  <wp:posOffset>80645</wp:posOffset>
                </wp:positionV>
                <wp:extent cx="2303780" cy="255270"/>
                <wp:effectExtent l="0" t="0" r="1270" b="0"/>
                <wp:wrapNone/>
                <wp:docPr id="544008553" name="Text Box 544008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5270"/>
                        </a:xfrm>
                        <a:prstGeom prst="rect">
                          <a:avLst/>
                        </a:prstGeom>
                        <a:solidFill>
                          <a:schemeClr val="bg1"/>
                        </a:solidFill>
                        <a:ln w="9525">
                          <a:noFill/>
                          <a:miter lim="800000"/>
                          <a:headEnd/>
                          <a:tailEnd/>
                        </a:ln>
                      </wps:spPr>
                      <wps:txbx>
                        <w:txbxContent>
                          <w:p w14:paraId="0735553A" w14:textId="77777777" w:rsidR="00756EAD" w:rsidRPr="00901030" w:rsidRDefault="00756EAD" w:rsidP="00D80461">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C6BFE" id="Text Box 544008553" o:spid="_x0000_s1189" type="#_x0000_t202" style="position:absolute;margin-left:158.8pt;margin-top:6.35pt;width:181.4pt;height:20.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" fillcolor="white [3212]" stroked="f">
                <v:textbox inset="0,0,0,0">
                  <w:txbxContent>
                    <w:p w14:paraId="0735553A" w14:textId="77777777" w:rsidR="00756EAD" w:rsidRPr="00901030" w:rsidRDefault="00756EAD" w:rsidP="00D80461">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v:textbox>
              </v:shape>
            </w:pict>
          </mc:Fallback>
        </mc:AlternateContent>
      </w:r>
      <w:r w:rsidRPr="00F05A8A">
        <w:rPr>
          <w:rFonts w:ascii="Times New Roman" w:hAnsi="Times New Roman"/>
          <w:szCs w:val="24"/>
          <w:lang w:eastAsia="fr-FR"/>
        </w:rPr>
        <mc:AlternateContent>
          <mc:Choice Requires="wps">
            <w:drawing>
              <wp:anchor distT="0" distB="0" distL="114300" distR="114300" simplePos="0" relativeHeight="251791360" behindDoc="0" locked="0" layoutInCell="1" allowOverlap="1" wp14:anchorId="08C141B8" wp14:editId="7902F766">
                <wp:simplePos x="0" y="0"/>
                <wp:positionH relativeFrom="column">
                  <wp:posOffset>4322241</wp:posOffset>
                </wp:positionH>
                <wp:positionV relativeFrom="paragraph">
                  <wp:posOffset>73025</wp:posOffset>
                </wp:positionV>
                <wp:extent cx="1989455" cy="255270"/>
                <wp:effectExtent l="0" t="0" r="0" b="0"/>
                <wp:wrapNone/>
                <wp:docPr id="544008554" name="Text Box 544008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55270"/>
                        </a:xfrm>
                        <a:prstGeom prst="rect">
                          <a:avLst/>
                        </a:prstGeom>
                        <a:solidFill>
                          <a:schemeClr val="bg1"/>
                        </a:solidFill>
                        <a:ln w="9525">
                          <a:noFill/>
                          <a:miter lim="800000"/>
                          <a:headEnd/>
                          <a:tailEnd/>
                        </a:ln>
                      </wps:spPr>
                      <wps:txbx>
                        <w:txbxContent>
                          <w:p w14:paraId="14FD9F67" w14:textId="77777777" w:rsidR="00756EAD" w:rsidRPr="00901030" w:rsidRDefault="00756EAD" w:rsidP="00D80461">
                            <w:pPr>
                              <w:spacing w:before="0"/>
                              <w:jc w:val="center"/>
                              <w:rPr>
                                <w:b/>
                                <w:sz w:val="14"/>
                                <w:szCs w:val="14"/>
                              </w:rPr>
                            </w:pPr>
                            <w:r w:rsidRPr="00901030">
                              <w:rPr>
                                <w:b/>
                                <w:bCs/>
                                <w:sz w:val="14"/>
                                <w:szCs w:val="14"/>
                              </w:rPr>
                              <w:t>Les TIC/télécommunications contribuent grandement à la réalisation des ODD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141B8" id="Text Box 544008554" o:spid="_x0000_s1190" type="#_x0000_t202" style="position:absolute;margin-left:340.35pt;margin-top:5.75pt;width:156.65pt;height:2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" fillcolor="white [3212]" stroked="f">
                <v:textbox inset="0,0,0,0">
                  <w:txbxContent>
                    <w:p w14:paraId="14FD9F67" w14:textId="77777777" w:rsidR="00756EAD" w:rsidRPr="00901030" w:rsidRDefault="00756EAD" w:rsidP="00D80461">
                      <w:pPr>
                        <w:spacing w:before="0"/>
                        <w:jc w:val="center"/>
                        <w:rPr>
                          <w:b/>
                          <w:sz w:val="14"/>
                          <w:szCs w:val="14"/>
                        </w:rPr>
                      </w:pPr>
                      <w:r w:rsidRPr="00901030">
                        <w:rPr>
                          <w:b/>
                          <w:bCs/>
                          <w:sz w:val="14"/>
                          <w:szCs w:val="14"/>
                        </w:rPr>
                        <w:t>Les TIC/télécommunications contribuent grandement à la réalisation des ODD</w:t>
                      </w:r>
                    </w:p>
                  </w:txbxContent>
                </v:textbox>
              </v:shape>
            </w:pict>
          </mc:Fallback>
        </mc:AlternateContent>
      </w:r>
      <w:r w:rsidRPr="00F05A8A">
        <w:rPr>
          <w:lang w:eastAsia="fr-FR"/>
        </w:rPr>
        <w:drawing>
          <wp:inline distT="0" distB="0" distL="0" distR="0" wp14:anchorId="01D9EFCE" wp14:editId="20D16D1B">
            <wp:extent cx="6274421" cy="1825351"/>
            <wp:effectExtent l="0" t="0" r="0" b="3810"/>
            <wp:docPr id="203575423" name="Picture 125797774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423" name="Picture 1257977740" descr="Graphical user interface, chart&#10;&#10;Description automatically generated"/>
                    <pic:cNvPicPr/>
                  </pic:nvPicPr>
                  <pic:blipFill>
                    <a:blip r:embed="rId640"/>
                    <a:stretch>
                      <a:fillRect/>
                    </a:stretch>
                  </pic:blipFill>
                  <pic:spPr>
                    <a:xfrm>
                      <a:off x="0" y="0"/>
                      <a:ext cx="6319305" cy="1838409"/>
                    </a:xfrm>
                    <a:prstGeom prst="rect">
                      <a:avLst/>
                    </a:prstGeom>
                  </pic:spPr>
                </pic:pic>
              </a:graphicData>
            </a:graphic>
          </wp:inline>
        </w:drawing>
      </w:r>
    </w:p>
    <w:tbl>
      <w:tblPr>
        <w:tblW w:w="0" w:type="auto"/>
        <w:tblLook w:val="04A0" w:firstRow="1" w:lastRow="0" w:firstColumn="1" w:lastColumn="0" w:noHBand="0" w:noVBand="1"/>
      </w:tblPr>
      <w:tblGrid>
        <w:gridCol w:w="4825"/>
        <w:gridCol w:w="4820"/>
      </w:tblGrid>
      <w:tr w:rsidR="00D80461" w:rsidRPr="00F05A8A" w14:paraId="77D93B7D" w14:textId="77777777" w:rsidTr="00142C01">
        <w:tc>
          <w:tcPr>
            <w:tcW w:w="4822" w:type="dxa"/>
          </w:tcPr>
          <w:p w14:paraId="02BD3B92" w14:textId="77777777" w:rsidR="00D80461" w:rsidRPr="00F05A8A" w:rsidRDefault="00D80461" w:rsidP="002F075E">
            <w:pPr>
              <w:spacing w:before="240" w:after="240"/>
              <w:jc w:val="center"/>
              <w:rPr>
                <w:sz w:val="20"/>
                <w:highlight w:val="yellow"/>
              </w:rPr>
            </w:pPr>
            <w:r w:rsidRPr="00F05A8A">
              <w:rPr>
                <w:rFonts w:ascii="Times New Roman" w:hAnsi="Times New Roman"/>
                <w:szCs w:val="24"/>
                <w:lang w:eastAsia="fr-FR"/>
              </w:rPr>
              <mc:AlternateContent>
                <mc:Choice Requires="wps">
                  <w:drawing>
                    <wp:anchor distT="0" distB="0" distL="114300" distR="114300" simplePos="0" relativeHeight="251795456" behindDoc="0" locked="0" layoutInCell="1" allowOverlap="1" wp14:anchorId="1D53724A" wp14:editId="25544452">
                      <wp:simplePos x="0" y="0"/>
                      <wp:positionH relativeFrom="column">
                        <wp:posOffset>582379</wp:posOffset>
                      </wp:positionH>
                      <wp:positionV relativeFrom="paragraph">
                        <wp:posOffset>127180</wp:posOffset>
                      </wp:positionV>
                      <wp:extent cx="1854679" cy="255270"/>
                      <wp:effectExtent l="0" t="0" r="0" b="0"/>
                      <wp:wrapNone/>
                      <wp:docPr id="544008561" name="Text Box 544008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79" cy="255270"/>
                              </a:xfrm>
                              <a:prstGeom prst="rect">
                                <a:avLst/>
                              </a:prstGeom>
                              <a:solidFill>
                                <a:schemeClr val="bg1"/>
                              </a:solidFill>
                              <a:ln w="9525">
                                <a:noFill/>
                                <a:miter lim="800000"/>
                                <a:headEnd/>
                                <a:tailEnd/>
                              </a:ln>
                            </wps:spPr>
                            <wps:txbx>
                              <w:txbxContent>
                                <w:p w14:paraId="7BBBF693" w14:textId="77777777" w:rsidR="00756EAD" w:rsidRPr="00FF1878" w:rsidRDefault="00756EAD" w:rsidP="00D80461">
                                  <w:pPr>
                                    <w:spacing w:before="0"/>
                                    <w:jc w:val="center"/>
                                    <w:rPr>
                                      <w:b/>
                                      <w:sz w:val="16"/>
                                      <w:szCs w:val="16"/>
                                      <w:lang w:val="fr-CH"/>
                                    </w:rPr>
                                  </w:pPr>
                                  <w:r w:rsidRPr="00FF1878">
                                    <w:rPr>
                                      <w:b/>
                                      <w:bCs/>
                                      <w:sz w:val="16"/>
                                      <w:szCs w:val="16"/>
                                      <w:lang w:val="fr-CH"/>
                                    </w:rPr>
                                    <w:t>Participants au Forum du SMSI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3724A" id="Text Box 544008561" o:spid="_x0000_s1191" type="#_x0000_t202" style="position:absolute;left:0;text-align:left;margin-left:45.85pt;margin-top:10pt;width:146.05pt;height:2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" fillcolor="white [3212]" stroked="f">
                      <v:textbox inset="0,0,0,0">
                        <w:txbxContent>
                          <w:p w14:paraId="7BBBF693" w14:textId="77777777" w:rsidR="00756EAD" w:rsidRPr="00FF1878" w:rsidRDefault="00756EAD" w:rsidP="00D80461">
                            <w:pPr>
                              <w:spacing w:before="0"/>
                              <w:jc w:val="center"/>
                              <w:rPr>
                                <w:b/>
                                <w:sz w:val="16"/>
                                <w:szCs w:val="16"/>
                                <w:lang w:val="fr-CH"/>
                              </w:rPr>
                            </w:pPr>
                            <w:r w:rsidRPr="00FF1878">
                              <w:rPr>
                                <w:b/>
                                <w:bCs/>
                                <w:sz w:val="16"/>
                                <w:szCs w:val="16"/>
                                <w:lang w:val="fr-CH"/>
                              </w:rPr>
                              <w:t>Participants au Forum du SMSI</w:t>
                            </w:r>
                          </w:p>
                        </w:txbxContent>
                      </v:textbox>
                    </v:shape>
                  </w:pict>
                </mc:Fallback>
              </mc:AlternateContent>
            </w:r>
            <w:r w:rsidRPr="00F05A8A">
              <w:rPr>
                <w:lang w:eastAsia="fr-FR"/>
              </w:rPr>
              <w:drawing>
                <wp:inline distT="0" distB="0" distL="0" distR="0" wp14:anchorId="2CCDC38C" wp14:editId="6CD3AFD1">
                  <wp:extent cx="2817795" cy="910425"/>
                  <wp:effectExtent l="0" t="0" r="1905" b="4445"/>
                  <wp:docPr id="1193504075" name="Picture 119350407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5" name="Picture 1193504075" descr="Chart&#10;&#10;Description automatically generated with medium confidence"/>
                          <pic:cNvPicPr>
                            <a:picLocks noChangeAspect="1" noChangeArrowheads="1"/>
                          </pic:cNvPicPr>
                        </pic:nvPicPr>
                        <pic:blipFill>
                          <a:blip r:embed="rId641" cstate="print">
                            <a:extLst>
                              <a:ext uri="{28A0092B-C50C-407E-A947-70E740481C1C}">
                                <a14:useLocalDpi xmlns:a14="http://schemas.microsoft.com/office/drawing/2010/main" val="0"/>
                              </a:ext>
                            </a:extLst>
                          </a:blip>
                          <a:stretch>
                            <a:fillRect/>
                          </a:stretch>
                        </pic:blipFill>
                        <pic:spPr bwMode="auto">
                          <a:xfrm>
                            <a:off x="0" y="0"/>
                            <a:ext cx="2837644" cy="916838"/>
                          </a:xfrm>
                          <a:prstGeom prst="rect">
                            <a:avLst/>
                          </a:prstGeom>
                          <a:noFill/>
                        </pic:spPr>
                      </pic:pic>
                    </a:graphicData>
                  </a:graphic>
                </wp:inline>
              </w:drawing>
            </w:r>
          </w:p>
        </w:tc>
        <w:tc>
          <w:tcPr>
            <w:tcW w:w="4817" w:type="dxa"/>
          </w:tcPr>
          <w:p w14:paraId="30A2FD39" w14:textId="77777777" w:rsidR="00D80461" w:rsidRPr="00F05A8A" w:rsidRDefault="00D80461" w:rsidP="002F075E">
            <w:pPr>
              <w:spacing w:before="240" w:after="240"/>
              <w:rPr>
                <w:sz w:val="20"/>
                <w:highlight w:val="yellow"/>
              </w:rPr>
            </w:pPr>
            <w:r w:rsidRPr="00F05A8A">
              <w:rPr>
                <w:lang w:eastAsia="fr-FR"/>
              </w:rPr>
              <w:drawing>
                <wp:inline distT="0" distB="0" distL="0" distR="0" wp14:anchorId="100CDC97" wp14:editId="5877437A">
                  <wp:extent cx="2764800" cy="1663200"/>
                  <wp:effectExtent l="0" t="0" r="0" b="0"/>
                  <wp:docPr id="1820415028" name="Picture 18204150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8" name="Picture 1820415028" descr="Chart, bar chart&#10;&#10;Description automatically generated"/>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764800" cy="1663200"/>
                          </a:xfrm>
                          <a:prstGeom prst="rect">
                            <a:avLst/>
                          </a:prstGeom>
                          <a:noFill/>
                        </pic:spPr>
                      </pic:pic>
                    </a:graphicData>
                  </a:graphic>
                </wp:inline>
              </w:drawing>
            </w:r>
          </w:p>
        </w:tc>
      </w:tr>
      <w:tr w:rsidR="00D80461" w:rsidRPr="00F05A8A" w14:paraId="0FFE9AE8" w14:textId="77777777" w:rsidTr="00142C01">
        <w:tc>
          <w:tcPr>
            <w:tcW w:w="4822" w:type="dxa"/>
          </w:tcPr>
          <w:p w14:paraId="63CC1BB3" w14:textId="77777777" w:rsidR="00D80461" w:rsidRPr="00F05A8A" w:rsidRDefault="00D80461" w:rsidP="002F075E">
            <w:pPr>
              <w:spacing w:before="240" w:after="240"/>
              <w:jc w:val="center"/>
            </w:pPr>
            <w:r w:rsidRPr="00F05A8A">
              <w:rPr>
                <w:lang w:eastAsia="fr-FR"/>
              </w:rPr>
              <w:drawing>
                <wp:inline distT="0" distB="0" distL="0" distR="0" wp14:anchorId="7264891E" wp14:editId="15ED3006">
                  <wp:extent cx="2980800" cy="1767600"/>
                  <wp:effectExtent l="0" t="0" r="0" b="4445"/>
                  <wp:docPr id="1820415029" name="Picture 18204150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9" name="Picture 1820415029" descr="Chart, bar chart&#10;&#10;Description automatically generated"/>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980800" cy="1767600"/>
                          </a:xfrm>
                          <a:prstGeom prst="rect">
                            <a:avLst/>
                          </a:prstGeom>
                          <a:noFill/>
                        </pic:spPr>
                      </pic:pic>
                    </a:graphicData>
                  </a:graphic>
                </wp:inline>
              </w:drawing>
            </w:r>
          </w:p>
        </w:tc>
        <w:tc>
          <w:tcPr>
            <w:tcW w:w="4817" w:type="dxa"/>
          </w:tcPr>
          <w:p w14:paraId="284F9472" w14:textId="77777777" w:rsidR="00D80461" w:rsidRPr="00F05A8A" w:rsidRDefault="00D80461" w:rsidP="002F075E">
            <w:pPr>
              <w:spacing w:before="240" w:after="240"/>
            </w:pPr>
            <w:r w:rsidRPr="00F05A8A">
              <w:rPr>
                <w:lang w:eastAsia="fr-FR"/>
              </w:rPr>
              <w:drawing>
                <wp:inline distT="0" distB="0" distL="0" distR="0" wp14:anchorId="47580DDA" wp14:editId="18183C77">
                  <wp:extent cx="2977200" cy="1764000"/>
                  <wp:effectExtent l="0" t="0" r="0" b="8255"/>
                  <wp:docPr id="1820415030" name="Picture 18204150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0" name="Picture 1820415030" descr="Chart, bar chart&#10;&#10;Description automatically generated"/>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977200" cy="1764000"/>
                          </a:xfrm>
                          <a:prstGeom prst="rect">
                            <a:avLst/>
                          </a:prstGeom>
                          <a:noFill/>
                        </pic:spPr>
                      </pic:pic>
                    </a:graphicData>
                  </a:graphic>
                </wp:inline>
              </w:drawing>
            </w:r>
          </w:p>
        </w:tc>
      </w:tr>
      <w:tr w:rsidR="00D80461" w:rsidRPr="00F05A8A" w14:paraId="3CE2B1F9" w14:textId="77777777" w:rsidTr="00142C01">
        <w:tc>
          <w:tcPr>
            <w:tcW w:w="4822" w:type="dxa"/>
          </w:tcPr>
          <w:p w14:paraId="35896051" w14:textId="77777777" w:rsidR="00D80461" w:rsidRPr="00F05A8A" w:rsidRDefault="00D80461" w:rsidP="002F075E">
            <w:pPr>
              <w:spacing w:before="240" w:after="240"/>
              <w:jc w:val="center"/>
            </w:pPr>
            <w:r w:rsidRPr="00F05A8A">
              <w:rPr>
                <w:lang w:eastAsia="fr-FR"/>
              </w:rPr>
              <w:lastRenderedPageBreak/>
              <w:drawing>
                <wp:inline distT="0" distB="0" distL="0" distR="0" wp14:anchorId="74D453A8" wp14:editId="109A373D">
                  <wp:extent cx="2930400" cy="1764000"/>
                  <wp:effectExtent l="0" t="0" r="3810" b="8255"/>
                  <wp:docPr id="1090112898" name="Picture 10901128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12898" name="Picture 1090112898" descr="Chart, line chart&#10;&#10;Description automatically generated"/>
                          <pic:cNvPicPr/>
                        </pic:nvPicPr>
                        <pic:blipFill>
                          <a:blip r:embed="rId645"/>
                          <a:stretch>
                            <a:fillRect/>
                          </a:stretch>
                        </pic:blipFill>
                        <pic:spPr>
                          <a:xfrm>
                            <a:off x="0" y="0"/>
                            <a:ext cx="2930400" cy="1764000"/>
                          </a:xfrm>
                          <a:prstGeom prst="rect">
                            <a:avLst/>
                          </a:prstGeom>
                        </pic:spPr>
                      </pic:pic>
                    </a:graphicData>
                  </a:graphic>
                </wp:inline>
              </w:drawing>
            </w:r>
          </w:p>
        </w:tc>
        <w:tc>
          <w:tcPr>
            <w:tcW w:w="4817" w:type="dxa"/>
          </w:tcPr>
          <w:p w14:paraId="7240D971" w14:textId="77777777" w:rsidR="00D80461" w:rsidRPr="00F05A8A" w:rsidRDefault="00D80461" w:rsidP="002F075E">
            <w:pPr>
              <w:spacing w:before="240" w:after="240"/>
            </w:pPr>
            <w:r w:rsidRPr="00F05A8A">
              <w:rPr>
                <w:lang w:eastAsia="fr-FR"/>
              </w:rPr>
              <w:drawing>
                <wp:inline distT="0" distB="0" distL="0" distR="0" wp14:anchorId="0745E586" wp14:editId="1F82E84D">
                  <wp:extent cx="2923200" cy="1728000"/>
                  <wp:effectExtent l="0" t="0" r="0" b="5715"/>
                  <wp:docPr id="1090112899" name="Picture 10901128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12899" name="Picture 1090112899" descr="Chart, bar chart&#10;&#10;Description automatically generated"/>
                          <pic:cNvPicPr/>
                        </pic:nvPicPr>
                        <pic:blipFill>
                          <a:blip r:embed="rId646"/>
                          <a:stretch>
                            <a:fillRect/>
                          </a:stretch>
                        </pic:blipFill>
                        <pic:spPr>
                          <a:xfrm>
                            <a:off x="0" y="0"/>
                            <a:ext cx="2923200" cy="1728000"/>
                          </a:xfrm>
                          <a:prstGeom prst="rect">
                            <a:avLst/>
                          </a:prstGeom>
                        </pic:spPr>
                      </pic:pic>
                    </a:graphicData>
                  </a:graphic>
                </wp:inline>
              </w:drawing>
            </w:r>
          </w:p>
        </w:tc>
      </w:tr>
    </w:tbl>
    <w:p w14:paraId="5FD262EA" w14:textId="77777777" w:rsidR="00D80461" w:rsidRPr="00F05A8A" w:rsidRDefault="00D80461" w:rsidP="002F075E">
      <w:pPr>
        <w:keepNext/>
        <w:keepLines/>
        <w:spacing w:before="360"/>
      </w:pPr>
      <w:r w:rsidRPr="00F05A8A">
        <w:rPr>
          <w:b/>
          <w:bCs/>
        </w:rPr>
        <w:t>Objectif I.2</w:t>
      </w:r>
      <w:r w:rsidRPr="00F05A8A">
        <w:t xml:space="preserve"> (Nouvelles tendances en matière de TIC): Améliorer l'identification, la prise en compte et l'analyse de la transformation numérique et des nouvelles tendances dans l'environnement des télécommunications/TIC</w:t>
      </w:r>
    </w:p>
    <w:p w14:paraId="25299376" w14:textId="77777777" w:rsidR="00D80461" w:rsidRPr="00F05A8A" w:rsidRDefault="00D80461" w:rsidP="002F075E">
      <w:pPr>
        <w:pStyle w:val="Headingb"/>
        <w:spacing w:after="120"/>
      </w:pPr>
      <w:bookmarkStart w:id="889" w:name="_Toc41032184"/>
      <w:bookmarkStart w:id="890" w:name="_Toc72846795"/>
      <w:bookmarkStart w:id="891" w:name="_Toc95387651"/>
      <w:r w:rsidRPr="00F05A8A">
        <w:t>Résultats</w:t>
      </w:r>
      <w:bookmarkEnd w:id="889"/>
      <w:bookmarkEnd w:id="890"/>
      <w:bookmarkEnd w:id="891"/>
    </w:p>
    <w:tbl>
      <w:tblPr>
        <w:tblW w:w="0" w:type="auto"/>
        <w:shd w:val="clear" w:color="auto" w:fill="DBE5F1" w:themeFill="accent1" w:themeFillTint="33"/>
        <w:tblLook w:val="04A0" w:firstRow="1" w:lastRow="0" w:firstColumn="1" w:lastColumn="0" w:noHBand="0" w:noVBand="1"/>
      </w:tblPr>
      <w:tblGrid>
        <w:gridCol w:w="9629"/>
      </w:tblGrid>
      <w:tr w:rsidR="00D80461" w:rsidRPr="00F05A8A" w14:paraId="050BB8F0" w14:textId="77777777" w:rsidTr="00142C01">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AD149" w14:textId="77777777" w:rsidR="00D80461" w:rsidRPr="00F05A8A" w:rsidRDefault="00D80461" w:rsidP="002F075E">
            <w:pPr>
              <w:spacing w:after="120"/>
            </w:pPr>
            <w:r w:rsidRPr="00F05A8A">
              <w:t>I.2-a: Identification, prise en compte et analyse de la transformation numérique et des nouvelles tendances des télécommunications/TIC</w:t>
            </w:r>
          </w:p>
        </w:tc>
      </w:tr>
    </w:tbl>
    <w:p w14:paraId="2DC27361" w14:textId="77777777" w:rsidR="00D80461" w:rsidRPr="00F05A8A" w:rsidRDefault="00D80461" w:rsidP="002F075E">
      <w:pPr>
        <w:pStyle w:val="Headingb"/>
        <w:spacing w:after="240"/>
      </w:pPr>
      <w:bookmarkStart w:id="892" w:name="_Toc41032185"/>
      <w:bookmarkStart w:id="893" w:name="_Toc72846796"/>
      <w:bookmarkStart w:id="894" w:name="_Toc95387652"/>
      <w:r w:rsidRPr="00F05A8A">
        <w:t>Progrès accomplis</w:t>
      </w:r>
      <w:bookmarkEnd w:id="892"/>
      <w:bookmarkEnd w:id="893"/>
      <w:bookmarkEnd w:id="894"/>
    </w:p>
    <w:p w14:paraId="17D11FD1" w14:textId="77777777" w:rsidR="00D80461" w:rsidRPr="00F05A8A" w:rsidRDefault="00D80461" w:rsidP="002F075E">
      <w:pPr>
        <w:jc w:val="center"/>
        <w:rPr>
          <w:highlight w:val="lightGray"/>
        </w:rPr>
      </w:pPr>
      <w:r w:rsidRPr="00F05A8A">
        <w:rPr>
          <w:highlight w:val="lightGray"/>
          <w:lang w:eastAsia="fr-FR"/>
        </w:rPr>
        <w:drawing>
          <wp:inline distT="0" distB="0" distL="0" distR="0" wp14:anchorId="7C16824C" wp14:editId="0691A3E2">
            <wp:extent cx="3602686" cy="2087592"/>
            <wp:effectExtent l="0" t="0" r="0" b="8255"/>
            <wp:docPr id="1820414990" name="Picture 18204149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0" name="Picture 1820414990" descr="Chart, bar chart&#10;&#10;Description automatically generated"/>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619972" cy="2097609"/>
                    </a:xfrm>
                    <a:prstGeom prst="rect">
                      <a:avLst/>
                    </a:prstGeom>
                    <a:noFill/>
                  </pic:spPr>
                </pic:pic>
              </a:graphicData>
            </a:graphic>
          </wp:inline>
        </w:drawing>
      </w:r>
    </w:p>
    <w:p w14:paraId="4CBE44A8" w14:textId="77777777" w:rsidR="00D80461" w:rsidRPr="00F05A8A" w:rsidRDefault="00D80461" w:rsidP="002F075E">
      <w:pPr>
        <w:jc w:val="center"/>
        <w:rPr>
          <w:highlight w:val="lightGray"/>
        </w:rPr>
      </w:pPr>
      <w:r w:rsidRPr="00F05A8A">
        <w:rPr>
          <w:highlight w:val="lightGray"/>
          <w:lang w:eastAsia="fr-FR"/>
        </w:rPr>
        <w:lastRenderedPageBreak/>
        <w:drawing>
          <wp:inline distT="0" distB="0" distL="0" distR="0" wp14:anchorId="1C48DBC3" wp14:editId="32238655">
            <wp:extent cx="4704245" cy="2754959"/>
            <wp:effectExtent l="0" t="0" r="1270" b="7620"/>
            <wp:docPr id="203575388" name="Picture 203575388"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88" name="Picture 203575388" descr="Chart, bar chart&#10;&#10;Description automatically generated with medium confidence"/>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724011" cy="2766534"/>
                    </a:xfrm>
                    <a:prstGeom prst="rect">
                      <a:avLst/>
                    </a:prstGeom>
                    <a:noFill/>
                  </pic:spPr>
                </pic:pic>
              </a:graphicData>
            </a:graphic>
          </wp:inline>
        </w:drawing>
      </w:r>
    </w:p>
    <w:p w14:paraId="3A5CAF8F" w14:textId="77777777" w:rsidR="00D80461" w:rsidRPr="00F05A8A" w:rsidRDefault="00D80461" w:rsidP="002F075E">
      <w:pPr>
        <w:keepNext/>
        <w:keepLines/>
      </w:pPr>
      <w:r w:rsidRPr="00F05A8A">
        <w:rPr>
          <w:b/>
          <w:bCs/>
        </w:rPr>
        <w:t>Objectif I.3</w:t>
      </w:r>
      <w:r w:rsidRPr="00F05A8A">
        <w:t xml:space="preserve"> (Accessibilité des télécommunications/TIC): Améliorer l'accessibilité des télécommunications/TIC pour les personnes handicapées et les personnes ayant des besoins particuliers</w:t>
      </w:r>
    </w:p>
    <w:p w14:paraId="10C7C237" w14:textId="77777777" w:rsidR="00D80461" w:rsidRPr="00F05A8A" w:rsidRDefault="00D80461" w:rsidP="002F075E">
      <w:pPr>
        <w:pStyle w:val="Headingb"/>
        <w:spacing w:after="120"/>
      </w:pPr>
      <w:bookmarkStart w:id="895" w:name="_Toc41032186"/>
      <w:bookmarkStart w:id="896" w:name="_Toc72846797"/>
      <w:bookmarkStart w:id="897" w:name="_Toc95387653"/>
      <w:r w:rsidRPr="00F05A8A">
        <w:t>Résultats</w:t>
      </w:r>
      <w:bookmarkEnd w:id="895"/>
      <w:bookmarkEnd w:id="896"/>
      <w:bookmarkEnd w:id="897"/>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D80461" w:rsidRPr="00F05A8A" w14:paraId="6CB14294" w14:textId="77777777" w:rsidTr="00142C01">
        <w:tc>
          <w:tcPr>
            <w:tcW w:w="9629" w:type="dxa"/>
            <w:shd w:val="clear" w:color="auto" w:fill="DBE5F1" w:themeFill="accent1" w:themeFillTint="33"/>
          </w:tcPr>
          <w:p w14:paraId="5A727379" w14:textId="77777777" w:rsidR="00D80461" w:rsidRPr="00F05A8A" w:rsidRDefault="00D80461" w:rsidP="002F075E">
            <w:pPr>
              <w:spacing w:after="120"/>
            </w:pPr>
            <w:r w:rsidRPr="00F05A8A">
              <w:t>I.3-a: Disponibilité accrue d'équipements, de services et d'applications de télécommunication/TIC conformes aux principes de conception universelle</w:t>
            </w:r>
          </w:p>
          <w:p w14:paraId="73C4CB56" w14:textId="77777777" w:rsidR="00D80461" w:rsidRPr="00F05A8A" w:rsidRDefault="00D80461" w:rsidP="002F075E">
            <w:pPr>
              <w:spacing w:after="120"/>
            </w:pPr>
            <w:r w:rsidRPr="00F05A8A">
              <w:t>I.3-b: Renforcement de la participation des organisations de personnes handicapées et de personnes ayant des besoins particuliers aux travaux de l'Union</w:t>
            </w:r>
          </w:p>
          <w:p w14:paraId="5FB98F09" w14:textId="77777777" w:rsidR="00D80461" w:rsidRPr="00F05A8A" w:rsidRDefault="00D80461" w:rsidP="002F075E">
            <w:pPr>
              <w:spacing w:after="120"/>
            </w:pPr>
            <w:r w:rsidRPr="00F05A8A">
              <w:t>I.3-c: Sensibilisation accrue, y compris par une reconnaissance multilatérale et intergouvernementale, à la nécessité d'améliorer l'accès aux télécommunications/TIC pour les personnes handicapées et pour les personnes ayant des besoins particuliers</w:t>
            </w:r>
          </w:p>
        </w:tc>
      </w:tr>
    </w:tbl>
    <w:p w14:paraId="675420B3" w14:textId="77777777" w:rsidR="00D80461" w:rsidRPr="00F05A8A" w:rsidRDefault="00D80461" w:rsidP="002F075E">
      <w:pPr>
        <w:pStyle w:val="Headingb"/>
        <w:spacing w:after="120"/>
      </w:pPr>
      <w:bookmarkStart w:id="898" w:name="_Toc41032187"/>
      <w:bookmarkStart w:id="899" w:name="_Toc72846798"/>
      <w:bookmarkStart w:id="900" w:name="_Toc95387654"/>
      <w:r w:rsidRPr="00F05A8A">
        <w:t>Progrès accomplis</w:t>
      </w:r>
      <w:bookmarkEnd w:id="898"/>
      <w:bookmarkEnd w:id="899"/>
      <w:bookmarkEnd w:id="900"/>
    </w:p>
    <w:tbl>
      <w:tblPr>
        <w:tblW w:w="0" w:type="auto"/>
        <w:tblLook w:val="04A0" w:firstRow="1" w:lastRow="0" w:firstColumn="1" w:lastColumn="0" w:noHBand="0" w:noVBand="1"/>
      </w:tblPr>
      <w:tblGrid>
        <w:gridCol w:w="4753"/>
        <w:gridCol w:w="4892"/>
      </w:tblGrid>
      <w:tr w:rsidR="00D80461" w:rsidRPr="00F05A8A" w14:paraId="4816338F" w14:textId="77777777" w:rsidTr="00142C01">
        <w:tc>
          <w:tcPr>
            <w:tcW w:w="4989" w:type="dxa"/>
          </w:tcPr>
          <w:p w14:paraId="21775376" w14:textId="77777777" w:rsidR="00D80461" w:rsidRPr="00F05A8A" w:rsidRDefault="00D80461" w:rsidP="002F075E">
            <w:pPr>
              <w:spacing w:before="240" w:after="240"/>
            </w:pPr>
            <w:r w:rsidRPr="00F05A8A">
              <w:rPr>
                <w:lang w:eastAsia="fr-FR"/>
              </w:rPr>
              <w:drawing>
                <wp:inline distT="0" distB="0" distL="0" distR="0" wp14:anchorId="17E53117" wp14:editId="4E98FA66">
                  <wp:extent cx="2811672" cy="1939613"/>
                  <wp:effectExtent l="0" t="0" r="8255" b="3810"/>
                  <wp:docPr id="32" name="Picture 32"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diagram, line chart&#10;&#10;Description automatically generated"/>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834876" cy="1955620"/>
                          </a:xfrm>
                          <a:prstGeom prst="rect">
                            <a:avLst/>
                          </a:prstGeom>
                          <a:noFill/>
                        </pic:spPr>
                      </pic:pic>
                    </a:graphicData>
                  </a:graphic>
                </wp:inline>
              </w:drawing>
            </w:r>
          </w:p>
        </w:tc>
        <w:tc>
          <w:tcPr>
            <w:tcW w:w="4650" w:type="dxa"/>
          </w:tcPr>
          <w:p w14:paraId="79C9A6F0" w14:textId="77777777" w:rsidR="00D80461" w:rsidRPr="00F05A8A" w:rsidRDefault="00D80461" w:rsidP="002F075E">
            <w:pPr>
              <w:spacing w:before="0"/>
            </w:pPr>
            <w:r w:rsidRPr="00F05A8A">
              <w:rPr>
                <w:lang w:eastAsia="fr-FR"/>
              </w:rPr>
              <w:drawing>
                <wp:inline distT="0" distB="0" distL="0" distR="0" wp14:anchorId="5DCAF9FD" wp14:editId="4EE53E12">
                  <wp:extent cx="3035484" cy="1791742"/>
                  <wp:effectExtent l="0" t="0" r="0" b="0"/>
                  <wp:docPr id="214" name="Picture 21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hart, waterfall chart&#10;&#10;Description automatically generated"/>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038146" cy="1793313"/>
                          </a:xfrm>
                          <a:prstGeom prst="rect">
                            <a:avLst/>
                          </a:prstGeom>
                          <a:noFill/>
                        </pic:spPr>
                      </pic:pic>
                    </a:graphicData>
                  </a:graphic>
                </wp:inline>
              </w:drawing>
            </w:r>
          </w:p>
        </w:tc>
      </w:tr>
      <w:tr w:rsidR="00D80461" w:rsidRPr="00F05A8A" w14:paraId="14B44A49" w14:textId="77777777" w:rsidTr="00142C01">
        <w:tc>
          <w:tcPr>
            <w:tcW w:w="9639" w:type="dxa"/>
            <w:gridSpan w:val="2"/>
          </w:tcPr>
          <w:p w14:paraId="16C4BDDB" w14:textId="77777777" w:rsidR="00D80461" w:rsidRPr="00F05A8A" w:rsidDel="007557E0" w:rsidRDefault="00D80461" w:rsidP="002F075E">
            <w:pPr>
              <w:spacing w:before="240" w:after="240"/>
              <w:jc w:val="center"/>
            </w:pPr>
            <w:r w:rsidRPr="00F05A8A">
              <w:rPr>
                <w:lang w:eastAsia="fr-FR"/>
              </w:rPr>
              <w:lastRenderedPageBreak/>
              <w:drawing>
                <wp:inline distT="0" distB="0" distL="0" distR="0" wp14:anchorId="4B8B063D" wp14:editId="2F7B39DD">
                  <wp:extent cx="6117196" cy="2105108"/>
                  <wp:effectExtent l="0" t="0" r="0" b="9525"/>
                  <wp:docPr id="1820415008" name="Picture 18204150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8" name="Picture 1820415008" descr="Chart, line chart&#10;&#10;Description automatically generated"/>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6158269" cy="2119243"/>
                          </a:xfrm>
                          <a:prstGeom prst="rect">
                            <a:avLst/>
                          </a:prstGeom>
                          <a:noFill/>
                        </pic:spPr>
                      </pic:pic>
                    </a:graphicData>
                  </a:graphic>
                </wp:inline>
              </w:drawing>
            </w:r>
          </w:p>
        </w:tc>
      </w:tr>
      <w:tr w:rsidR="00D80461" w:rsidRPr="00F05A8A" w14:paraId="08B247B9" w14:textId="77777777" w:rsidTr="00142C01">
        <w:tc>
          <w:tcPr>
            <w:tcW w:w="9639" w:type="dxa"/>
            <w:gridSpan w:val="2"/>
          </w:tcPr>
          <w:p w14:paraId="6392902F" w14:textId="77777777" w:rsidR="00D80461" w:rsidRPr="00F05A8A" w:rsidRDefault="00D80461" w:rsidP="002F075E">
            <w:pPr>
              <w:spacing w:after="160"/>
              <w:jc w:val="center"/>
            </w:pPr>
          </w:p>
        </w:tc>
      </w:tr>
    </w:tbl>
    <w:p w14:paraId="3A764638" w14:textId="77777777" w:rsidR="00D80461" w:rsidRPr="00F05A8A" w:rsidRDefault="00D80461" w:rsidP="002F075E">
      <w:pPr>
        <w:spacing w:before="360"/>
      </w:pPr>
      <w:r w:rsidRPr="00F05A8A">
        <w:rPr>
          <w:b/>
          <w:bCs/>
        </w:rPr>
        <w:t>Objectif I.4</w:t>
      </w:r>
      <w:r w:rsidRPr="00F05A8A">
        <w:t xml:space="preserve"> (Égalité hommes-femmes et inclusion): Renforcer l'utilisation des télécommunications/TIC au service de l'égalité hommes-femmes et de l'inclusion ainsi que de l'autonomisation des femmes et des jeunes filles</w:t>
      </w:r>
    </w:p>
    <w:p w14:paraId="6670AD28" w14:textId="77777777" w:rsidR="00D80461" w:rsidRPr="00F05A8A" w:rsidRDefault="00D80461" w:rsidP="002F075E">
      <w:pPr>
        <w:pStyle w:val="Headingb"/>
        <w:spacing w:after="120"/>
      </w:pPr>
      <w:bookmarkStart w:id="901" w:name="_Toc41032188"/>
      <w:bookmarkStart w:id="902" w:name="_Toc72846799"/>
      <w:bookmarkStart w:id="903" w:name="_Toc95387655"/>
      <w:r w:rsidRPr="00F05A8A">
        <w:t>Résultats</w:t>
      </w:r>
      <w:bookmarkEnd w:id="901"/>
      <w:bookmarkEnd w:id="902"/>
      <w:bookmarkEnd w:id="903"/>
    </w:p>
    <w:tbl>
      <w:tblPr>
        <w:tblW w:w="0" w:type="auto"/>
        <w:shd w:val="clear" w:color="auto" w:fill="DBE5F1" w:themeFill="accent1" w:themeFillTint="33"/>
        <w:tblLook w:val="04A0" w:firstRow="1" w:lastRow="0" w:firstColumn="1" w:lastColumn="0" w:noHBand="0" w:noVBand="1"/>
      </w:tblPr>
      <w:tblGrid>
        <w:gridCol w:w="9629"/>
      </w:tblGrid>
      <w:tr w:rsidR="00D80461" w:rsidRPr="00F05A8A" w14:paraId="1644262C" w14:textId="77777777" w:rsidTr="00142C01">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AFB711" w14:textId="77777777" w:rsidR="00D80461" w:rsidRPr="00F05A8A" w:rsidRDefault="00D80461" w:rsidP="002F075E">
            <w:pPr>
              <w:spacing w:after="120"/>
            </w:pPr>
            <w:r w:rsidRPr="00F05A8A">
              <w:t>I.4-a: Renforcement de l'accès aux télécommunications/TIC et de leur utilisation pour promouvoir l'autonomisation des femmes</w:t>
            </w:r>
          </w:p>
          <w:p w14:paraId="6F0ED15A" w14:textId="77777777" w:rsidR="00D80461" w:rsidRPr="00F05A8A" w:rsidRDefault="00D80461" w:rsidP="002F075E">
            <w:pPr>
              <w:spacing w:after="120"/>
            </w:pPr>
            <w:r w:rsidRPr="00F05A8A">
              <w:t>I.4-b: Participation accrue des femmes à tous les niveaux du processus décisionnel dans le cadre des travaux de l'Union et du secteur des télécommunications/TIC</w:t>
            </w:r>
          </w:p>
          <w:p w14:paraId="26826328" w14:textId="77777777" w:rsidR="00D80461" w:rsidRPr="00F05A8A" w:rsidRDefault="00D80461" w:rsidP="002F075E">
            <w:pPr>
              <w:spacing w:after="120"/>
            </w:pPr>
            <w:r w:rsidRPr="00F05A8A">
              <w:t>I.4-c: Engagement accru auprès d'autres organisations du système des Nations Unies et parties prenantes s'occupant de l'utilisation des télécommunications/TIC pour promouvoir l'autonomisation des femmes</w:t>
            </w:r>
          </w:p>
          <w:p w14:paraId="7322B9F0" w14:textId="77777777" w:rsidR="00D80461" w:rsidRPr="00F05A8A" w:rsidRDefault="00D80461" w:rsidP="002F075E">
            <w:pPr>
              <w:spacing w:after="120"/>
            </w:pPr>
            <w:r w:rsidRPr="00F05A8A">
              <w:t>I.4-d: Mise en œuvre complète, dans le cadre des attributions de l'UIT, de la stratégie sur la parité hommes-femmes applicable à l'ensemble du système des Nations Unies</w:t>
            </w:r>
          </w:p>
        </w:tc>
      </w:tr>
    </w:tbl>
    <w:p w14:paraId="4F7934BC" w14:textId="77777777" w:rsidR="00D80461" w:rsidRPr="00F05A8A" w:rsidRDefault="00D80461" w:rsidP="002F075E">
      <w:pPr>
        <w:pStyle w:val="Headingb"/>
        <w:spacing w:after="120"/>
      </w:pPr>
      <w:bookmarkStart w:id="904" w:name="_Toc41032189"/>
      <w:bookmarkStart w:id="905" w:name="_Toc72846800"/>
      <w:bookmarkStart w:id="906" w:name="_Toc95387656"/>
      <w:r w:rsidRPr="00F05A8A">
        <w:t>Progrès accomplis</w:t>
      </w:r>
      <w:bookmarkEnd w:id="904"/>
      <w:bookmarkEnd w:id="905"/>
      <w:bookmarkEnd w:id="906"/>
    </w:p>
    <w:p w14:paraId="77E8E676" w14:textId="77777777" w:rsidR="00D80461" w:rsidRPr="00F05A8A" w:rsidRDefault="00D80461" w:rsidP="002F075E">
      <w:r w:rsidRPr="00F05A8A">
        <w:t>Voir la Cible 2.8</w:t>
      </w:r>
    </w:p>
    <w:p w14:paraId="3CDE38B9" w14:textId="77777777" w:rsidR="00D80461" w:rsidRPr="00F05A8A" w:rsidRDefault="00D80461" w:rsidP="002F075E">
      <w:r w:rsidRPr="00F05A8A">
        <w:rPr>
          <w:b/>
          <w:bCs/>
        </w:rPr>
        <w:t>Objectif I.5</w:t>
      </w:r>
      <w:r w:rsidRPr="00F05A8A">
        <w:t xml:space="preserve"> (Environnement durable): Mettre à profit les télécommunications/TIC pour réduire l'empreinte environnementale</w:t>
      </w:r>
    </w:p>
    <w:p w14:paraId="3432F4CA" w14:textId="77777777" w:rsidR="00D80461" w:rsidRPr="00F05A8A" w:rsidRDefault="00D80461" w:rsidP="002F075E">
      <w:pPr>
        <w:pStyle w:val="Headingb"/>
        <w:spacing w:after="120"/>
      </w:pPr>
      <w:bookmarkStart w:id="907" w:name="_Toc41032190"/>
      <w:bookmarkStart w:id="908" w:name="_Toc72846801"/>
      <w:bookmarkStart w:id="909" w:name="_Toc95387657"/>
      <w:r w:rsidRPr="00F05A8A">
        <w:t>Résultats</w:t>
      </w:r>
      <w:bookmarkEnd w:id="907"/>
      <w:bookmarkEnd w:id="908"/>
      <w:bookmarkEnd w:id="909"/>
    </w:p>
    <w:tbl>
      <w:tblPr>
        <w:tblW w:w="0" w:type="auto"/>
        <w:shd w:val="clear" w:color="auto" w:fill="DBE5F1" w:themeFill="accent1" w:themeFillTint="33"/>
        <w:tblLook w:val="04A0" w:firstRow="1" w:lastRow="0" w:firstColumn="1" w:lastColumn="0" w:noHBand="0" w:noVBand="1"/>
      </w:tblPr>
      <w:tblGrid>
        <w:gridCol w:w="9629"/>
      </w:tblGrid>
      <w:tr w:rsidR="00D80461" w:rsidRPr="00F05A8A" w14:paraId="27326FF5" w14:textId="77777777" w:rsidTr="00142C01">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E5AC39" w14:textId="77777777" w:rsidR="00D80461" w:rsidRPr="00F05A8A" w:rsidRDefault="00D80461" w:rsidP="002F075E">
            <w:pPr>
              <w:spacing w:after="120"/>
            </w:pPr>
            <w:r w:rsidRPr="00F05A8A">
              <w:t xml:space="preserve">I.5-a: Efficacité accrue des politiques et normes relatives à l'environnement </w:t>
            </w:r>
          </w:p>
          <w:p w14:paraId="030CBB16" w14:textId="77777777" w:rsidR="00D80461" w:rsidRPr="00F05A8A" w:rsidRDefault="00D80461" w:rsidP="002F075E">
            <w:pPr>
              <w:spacing w:after="120"/>
            </w:pPr>
            <w:r w:rsidRPr="00F05A8A">
              <w:t>I.5-b: Réduction de la consommation d'énergie des applications de télécommunication/TIC</w:t>
            </w:r>
          </w:p>
          <w:p w14:paraId="1A71ED32" w14:textId="77777777" w:rsidR="00D80461" w:rsidRPr="00F05A8A" w:rsidRDefault="00D80461" w:rsidP="002F075E">
            <w:pPr>
              <w:spacing w:after="120"/>
            </w:pPr>
            <w:r w:rsidRPr="00F05A8A">
              <w:t>I.5-c: Augmentation du volume de déchets d'équipements électriques et électroniques recyclés</w:t>
            </w:r>
          </w:p>
          <w:p w14:paraId="1FA56578" w14:textId="77777777" w:rsidR="00D80461" w:rsidRPr="00F05A8A" w:rsidRDefault="00D80461" w:rsidP="002F075E">
            <w:pPr>
              <w:spacing w:after="120"/>
            </w:pPr>
            <w:r w:rsidRPr="00F05A8A">
              <w:t>I.5-d: Amélioration des solutions pour les villes intelligentes et durables</w:t>
            </w:r>
          </w:p>
        </w:tc>
      </w:tr>
    </w:tbl>
    <w:p w14:paraId="54FDC8CB" w14:textId="77777777" w:rsidR="00D80461" w:rsidRPr="00F05A8A" w:rsidRDefault="00D80461" w:rsidP="002F075E">
      <w:pPr>
        <w:pStyle w:val="Headingb"/>
        <w:spacing w:after="240"/>
      </w:pPr>
      <w:bookmarkStart w:id="910" w:name="_Toc41032191"/>
      <w:bookmarkStart w:id="911" w:name="_Toc72846802"/>
      <w:bookmarkStart w:id="912" w:name="_Toc95387658"/>
      <w:r w:rsidRPr="00F05A8A">
        <w:lastRenderedPageBreak/>
        <w:t>Progrès accomplis</w:t>
      </w:r>
      <w:bookmarkEnd w:id="910"/>
      <w:bookmarkEnd w:id="911"/>
      <w:bookmarkEnd w:id="912"/>
    </w:p>
    <w:tbl>
      <w:tblPr>
        <w:tblW w:w="0" w:type="auto"/>
        <w:tblLook w:val="04A0" w:firstRow="1" w:lastRow="0" w:firstColumn="1" w:lastColumn="0" w:noHBand="0" w:noVBand="1"/>
      </w:tblPr>
      <w:tblGrid>
        <w:gridCol w:w="5057"/>
        <w:gridCol w:w="4588"/>
      </w:tblGrid>
      <w:tr w:rsidR="00D80461" w:rsidRPr="00F05A8A" w14:paraId="1D8E559F" w14:textId="77777777" w:rsidTr="00142C01">
        <w:tc>
          <w:tcPr>
            <w:tcW w:w="4986" w:type="dxa"/>
          </w:tcPr>
          <w:p w14:paraId="270CF5D4" w14:textId="77777777" w:rsidR="00D80461" w:rsidRPr="00F05A8A" w:rsidRDefault="00D80461" w:rsidP="002F075E">
            <w:pPr>
              <w:spacing w:before="240" w:after="240"/>
              <w:jc w:val="center"/>
              <w:rPr>
                <w:rFonts w:cs="Calibri"/>
                <w:b/>
                <w:bCs/>
                <w:sz w:val="21"/>
                <w:szCs w:val="21"/>
              </w:rPr>
            </w:pPr>
            <w:r w:rsidRPr="00F05A8A">
              <w:rPr>
                <w:rFonts w:cs="Calibri"/>
                <w:b/>
                <w:lang w:eastAsia="fr-FR"/>
              </w:rPr>
              <mc:AlternateContent>
                <mc:Choice Requires="wps">
                  <w:drawing>
                    <wp:anchor distT="0" distB="0" distL="114300" distR="114300" simplePos="0" relativeHeight="251781120" behindDoc="0" locked="0" layoutInCell="1" allowOverlap="1" wp14:anchorId="256795C0" wp14:editId="11E89EA6">
                      <wp:simplePos x="0" y="0"/>
                      <wp:positionH relativeFrom="column">
                        <wp:posOffset>506730</wp:posOffset>
                      </wp:positionH>
                      <wp:positionV relativeFrom="paragraph">
                        <wp:posOffset>1791817</wp:posOffset>
                      </wp:positionV>
                      <wp:extent cx="2567635" cy="131674"/>
                      <wp:effectExtent l="0" t="0" r="4445"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31674"/>
                              </a:xfrm>
                              <a:prstGeom prst="rect">
                                <a:avLst/>
                              </a:prstGeom>
                              <a:solidFill>
                                <a:srgbClr val="FFFFFF"/>
                              </a:solidFill>
                              <a:ln w="9525">
                                <a:noFill/>
                                <a:miter lim="800000"/>
                                <a:headEnd/>
                                <a:tailEnd/>
                              </a:ln>
                            </wps:spPr>
                            <wps:txbx>
                              <w:txbxContent>
                                <w:p w14:paraId="20810CD1" w14:textId="77777777" w:rsidR="00756EAD" w:rsidRPr="00A37624" w:rsidRDefault="00756EAD" w:rsidP="00D80461">
                                  <w:pPr>
                                    <w:tabs>
                                      <w:tab w:val="clear" w:pos="1134"/>
                                      <w:tab w:val="left" w:pos="1064"/>
                                    </w:tabs>
                                    <w:spacing w:before="20"/>
                                    <w:rPr>
                                      <w:sz w:val="13"/>
                                      <w:szCs w:val="13"/>
                                    </w:rPr>
                                  </w:pPr>
                                  <w:r>
                                    <w:rPr>
                                      <w:bCs/>
                                      <w:iCs/>
                                      <w:sz w:val="13"/>
                                      <w:szCs w:val="13"/>
                                    </w:rPr>
                                    <w:t>Pourcentage de déchets qui auraient été collectés et correctement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795C0" id="_x0000_s1192" type="#_x0000_t202" style="position:absolute;left:0;text-align:left;margin-left:39.9pt;margin-top:141.1pt;width:202.2pt;height:1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" stroked="f">
                      <v:textbox inset="0,0,0,0">
                        <w:txbxContent>
                          <w:p w14:paraId="20810CD1" w14:textId="77777777" w:rsidR="00756EAD" w:rsidRPr="00A37624" w:rsidRDefault="00756EAD" w:rsidP="00D80461">
                            <w:pPr>
                              <w:tabs>
                                <w:tab w:val="clear" w:pos="1134"/>
                                <w:tab w:val="left" w:pos="1064"/>
                              </w:tabs>
                              <w:spacing w:before="20"/>
                              <w:rPr>
                                <w:sz w:val="13"/>
                                <w:szCs w:val="13"/>
                              </w:rPr>
                            </w:pPr>
                            <w:r>
                              <w:rPr>
                                <w:bCs/>
                                <w:iCs/>
                                <w:sz w:val="13"/>
                                <w:szCs w:val="13"/>
                              </w:rPr>
                              <w:t>Pourcentage de déchets qui auraient été collectés et correctement recyclés</w:t>
                            </w:r>
                          </w:p>
                        </w:txbxContent>
                      </v:textbox>
                    </v:shape>
                  </w:pict>
                </mc:Fallback>
              </mc:AlternateContent>
            </w:r>
            <w:r w:rsidRPr="00F05A8A">
              <w:rPr>
                <w:rFonts w:cs="Calibri"/>
                <w:b/>
                <w:lang w:eastAsia="fr-FR"/>
              </w:rPr>
              <mc:AlternateContent>
                <mc:Choice Requires="wps">
                  <w:drawing>
                    <wp:anchor distT="0" distB="0" distL="114300" distR="114300" simplePos="0" relativeHeight="251780096" behindDoc="0" locked="0" layoutInCell="1" allowOverlap="1" wp14:anchorId="241B0D1D" wp14:editId="3CD2DDF6">
                      <wp:simplePos x="0" y="0"/>
                      <wp:positionH relativeFrom="column">
                        <wp:posOffset>507492</wp:posOffset>
                      </wp:positionH>
                      <wp:positionV relativeFrom="paragraph">
                        <wp:posOffset>1616990</wp:posOffset>
                      </wp:positionV>
                      <wp:extent cx="2567635" cy="131674"/>
                      <wp:effectExtent l="0" t="0" r="4445" b="190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31674"/>
                              </a:xfrm>
                              <a:prstGeom prst="rect">
                                <a:avLst/>
                              </a:prstGeom>
                              <a:solidFill>
                                <a:srgbClr val="FFFFFF"/>
                              </a:solidFill>
                              <a:ln w="9525">
                                <a:noFill/>
                                <a:miter lim="800000"/>
                                <a:headEnd/>
                                <a:tailEnd/>
                              </a:ln>
                            </wps:spPr>
                            <wps:txbx>
                              <w:txbxContent>
                                <w:p w14:paraId="454258D8" w14:textId="77777777" w:rsidR="00756EAD" w:rsidRPr="00A37624" w:rsidRDefault="00756EAD" w:rsidP="00D80461">
                                  <w:pPr>
                                    <w:tabs>
                                      <w:tab w:val="clear" w:pos="1134"/>
                                      <w:tab w:val="left" w:pos="1064"/>
                                    </w:tabs>
                                    <w:spacing w:before="20"/>
                                    <w:rPr>
                                      <w:sz w:val="13"/>
                                      <w:szCs w:val="13"/>
                                    </w:rPr>
                                  </w:pPr>
                                  <w:r w:rsidRPr="00A37624">
                                    <w:rPr>
                                      <w:bCs/>
                                      <w:iCs/>
                                      <w:sz w:val="13"/>
                                      <w:szCs w:val="13"/>
                                    </w:rPr>
                                    <w:t>Déchets d'équipements électriques et électroniques générés (mégatonnes)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B0D1D" id="_x0000_s1193" type="#_x0000_t202" style="position:absolute;left:0;text-align:left;margin-left:39.95pt;margin-top:127.3pt;width:202.2pt;height:1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" stroked="f">
                      <v:textbox inset="0,0,0,0">
                        <w:txbxContent>
                          <w:p w14:paraId="454258D8" w14:textId="77777777" w:rsidR="00756EAD" w:rsidRPr="00A37624" w:rsidRDefault="00756EAD" w:rsidP="00D80461">
                            <w:pPr>
                              <w:tabs>
                                <w:tab w:val="clear" w:pos="1134"/>
                                <w:tab w:val="left" w:pos="1064"/>
                              </w:tabs>
                              <w:spacing w:before="20"/>
                              <w:rPr>
                                <w:sz w:val="13"/>
                                <w:szCs w:val="13"/>
                              </w:rPr>
                            </w:pPr>
                            <w:r w:rsidRPr="00A37624">
                              <w:rPr>
                                <w:bCs/>
                                <w:iCs/>
                                <w:sz w:val="13"/>
                                <w:szCs w:val="13"/>
                              </w:rPr>
                              <w:t>Déchets d'équipements électriques et électroniques générés (mégatonnes)</w:t>
                            </w:r>
                          </w:p>
                        </w:txbxContent>
                      </v:textbox>
                    </v:shape>
                  </w:pict>
                </mc:Fallback>
              </mc:AlternateContent>
            </w:r>
            <w:r w:rsidRPr="00F05A8A">
              <w:rPr>
                <w:rFonts w:cs="Calibri"/>
                <w:b/>
                <w:lang w:eastAsia="fr-FR"/>
              </w:rPr>
              <mc:AlternateContent>
                <mc:Choice Requires="wps">
                  <w:drawing>
                    <wp:anchor distT="0" distB="0" distL="114300" distR="114300" simplePos="0" relativeHeight="251779072" behindDoc="0" locked="0" layoutInCell="1" allowOverlap="1" wp14:anchorId="009A0AB3" wp14:editId="309930D2">
                      <wp:simplePos x="0" y="0"/>
                      <wp:positionH relativeFrom="column">
                        <wp:posOffset>242772</wp:posOffset>
                      </wp:positionH>
                      <wp:positionV relativeFrom="paragraph">
                        <wp:posOffset>200355</wp:posOffset>
                      </wp:positionV>
                      <wp:extent cx="2531059" cy="307238"/>
                      <wp:effectExtent l="0" t="0" r="317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059" cy="307238"/>
                              </a:xfrm>
                              <a:prstGeom prst="rect">
                                <a:avLst/>
                              </a:prstGeom>
                              <a:solidFill>
                                <a:srgbClr val="FFFFFF"/>
                              </a:solidFill>
                              <a:ln w="9525">
                                <a:noFill/>
                                <a:miter lim="800000"/>
                                <a:headEnd/>
                                <a:tailEnd/>
                              </a:ln>
                            </wps:spPr>
                            <wps:txbx>
                              <w:txbxContent>
                                <w:p w14:paraId="352FD502" w14:textId="77777777" w:rsidR="00756EAD" w:rsidRPr="00F31E86" w:rsidRDefault="00756EAD" w:rsidP="00D80461">
                                  <w:pPr>
                                    <w:tabs>
                                      <w:tab w:val="clear" w:pos="1134"/>
                                      <w:tab w:val="left" w:pos="1064"/>
                                    </w:tabs>
                                    <w:spacing w:before="0"/>
                                    <w:jc w:val="center"/>
                                    <w:rPr>
                                      <w:color w:val="7F7F7F" w:themeColor="text1" w:themeTint="80"/>
                                      <w:sz w:val="16"/>
                                      <w:szCs w:val="16"/>
                                    </w:rPr>
                                  </w:pPr>
                                  <w:r w:rsidRPr="00F31E86">
                                    <w:rPr>
                                      <w:b/>
                                      <w:bCs/>
                                      <w:iCs/>
                                      <w:color w:val="7F7F7F" w:themeColor="text1" w:themeTint="80"/>
                                      <w:sz w:val="16"/>
                                      <w:szCs w:val="16"/>
                                    </w:rPr>
                                    <w:t>Déchets d'équipements électriques et électroniques générés et recyclés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A0AB3" id="_x0000_s1194" type="#_x0000_t202" style="position:absolute;left:0;text-align:left;margin-left:19.1pt;margin-top:15.8pt;width:199.3pt;height:2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" stroked="f">
                      <v:textbox inset="0,0,0,0">
                        <w:txbxContent>
                          <w:p w14:paraId="352FD502" w14:textId="77777777" w:rsidR="00756EAD" w:rsidRPr="00F31E86" w:rsidRDefault="00756EAD" w:rsidP="00D80461">
                            <w:pPr>
                              <w:tabs>
                                <w:tab w:val="clear" w:pos="1134"/>
                                <w:tab w:val="left" w:pos="1064"/>
                              </w:tabs>
                              <w:spacing w:before="0"/>
                              <w:jc w:val="center"/>
                              <w:rPr>
                                <w:color w:val="7F7F7F" w:themeColor="text1" w:themeTint="80"/>
                                <w:sz w:val="16"/>
                                <w:szCs w:val="16"/>
                              </w:rPr>
                            </w:pPr>
                            <w:r w:rsidRPr="00F31E86">
                              <w:rPr>
                                <w:b/>
                                <w:bCs/>
                                <w:iCs/>
                                <w:color w:val="7F7F7F" w:themeColor="text1" w:themeTint="80"/>
                                <w:sz w:val="16"/>
                                <w:szCs w:val="16"/>
                              </w:rPr>
                              <w:t>Déchets d'équipements électriques et électroniques générés et recyclés – Monde</w:t>
                            </w:r>
                          </w:p>
                        </w:txbxContent>
                      </v:textbox>
                    </v:shape>
                  </w:pict>
                </mc:Fallback>
              </mc:AlternateContent>
            </w:r>
            <w:r w:rsidRPr="00F05A8A">
              <w:rPr>
                <w:lang w:eastAsia="fr-FR"/>
              </w:rPr>
              <w:drawing>
                <wp:inline distT="0" distB="0" distL="0" distR="0" wp14:anchorId="7FF2C02D" wp14:editId="1EC38C87">
                  <wp:extent cx="3074400" cy="1846800"/>
                  <wp:effectExtent l="0" t="0" r="0" b="1270"/>
                  <wp:docPr id="587916762" name="Picture 4922943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16762" name="Picture 492294313" descr="Chart, waterfall chart&#10;&#10;Description automatically generated"/>
                          <pic:cNvPicPr/>
                        </pic:nvPicPr>
                        <pic:blipFill>
                          <a:blip r:embed="rId652" cstate="print">
                            <a:extLst>
                              <a:ext uri="{28A0092B-C50C-407E-A947-70E740481C1C}">
                                <a14:useLocalDpi xmlns:a14="http://schemas.microsoft.com/office/drawing/2010/main" val="0"/>
                              </a:ext>
                            </a:extLst>
                          </a:blip>
                          <a:stretch>
                            <a:fillRect/>
                          </a:stretch>
                        </pic:blipFill>
                        <pic:spPr>
                          <a:xfrm>
                            <a:off x="0" y="0"/>
                            <a:ext cx="3074400" cy="1846800"/>
                          </a:xfrm>
                          <a:prstGeom prst="rect">
                            <a:avLst/>
                          </a:prstGeom>
                        </pic:spPr>
                      </pic:pic>
                    </a:graphicData>
                  </a:graphic>
                </wp:inline>
              </w:drawing>
            </w:r>
          </w:p>
        </w:tc>
        <w:tc>
          <w:tcPr>
            <w:tcW w:w="4653" w:type="dxa"/>
          </w:tcPr>
          <w:p w14:paraId="373F96F0" w14:textId="77777777" w:rsidR="00D80461" w:rsidRPr="00F05A8A" w:rsidRDefault="00D80461" w:rsidP="002F075E">
            <w:pPr>
              <w:spacing w:after="160"/>
              <w:rPr>
                <w:rFonts w:cs="Calibri"/>
                <w:b/>
                <w:bCs/>
                <w:sz w:val="21"/>
                <w:szCs w:val="21"/>
              </w:rPr>
            </w:pPr>
            <w:r w:rsidRPr="00F05A8A">
              <w:rPr>
                <w:rFonts w:cs="Calibri"/>
                <w:b/>
                <w:lang w:eastAsia="fr-FR"/>
              </w:rPr>
              <mc:AlternateContent>
                <mc:Choice Requires="wps">
                  <w:drawing>
                    <wp:anchor distT="0" distB="0" distL="114300" distR="114300" simplePos="0" relativeHeight="251797504" behindDoc="0" locked="0" layoutInCell="1" allowOverlap="1" wp14:anchorId="4EF2D0D0" wp14:editId="54419720">
                      <wp:simplePos x="0" y="0"/>
                      <wp:positionH relativeFrom="column">
                        <wp:posOffset>1490464</wp:posOffset>
                      </wp:positionH>
                      <wp:positionV relativeFrom="paragraph">
                        <wp:posOffset>1625576</wp:posOffset>
                      </wp:positionV>
                      <wp:extent cx="313690" cy="138989"/>
                      <wp:effectExtent l="0" t="0" r="0" b="0"/>
                      <wp:wrapNone/>
                      <wp:docPr id="20357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8989"/>
                              </a:xfrm>
                              <a:prstGeom prst="rect">
                                <a:avLst/>
                              </a:prstGeom>
                              <a:solidFill>
                                <a:srgbClr val="5F9BFD"/>
                              </a:solidFill>
                              <a:ln w="9525">
                                <a:noFill/>
                                <a:miter lim="800000"/>
                                <a:headEnd/>
                                <a:tailEnd/>
                              </a:ln>
                            </wps:spPr>
                            <wps:txbx>
                              <w:txbxContent>
                                <w:p w14:paraId="617C0A6A" w14:textId="77777777" w:rsidR="00756EAD" w:rsidRPr="00F31E86" w:rsidRDefault="00756EAD" w:rsidP="00D80461">
                                  <w:pPr>
                                    <w:tabs>
                                      <w:tab w:val="clear" w:pos="1134"/>
                                      <w:tab w:val="left" w:pos="1064"/>
                                    </w:tabs>
                                    <w:spacing w:before="0"/>
                                    <w:jc w:val="center"/>
                                    <w:rPr>
                                      <w:b/>
                                      <w:color w:val="404040" w:themeColor="text1" w:themeTint="BF"/>
                                      <w:sz w:val="2"/>
                                      <w:szCs w:val="2"/>
                                      <w:lang w:val="fr-CH"/>
                                    </w:rPr>
                                  </w:pPr>
                                  <w:r w:rsidRPr="00F31E86">
                                    <w:rPr>
                                      <w:b/>
                                      <w:bCs/>
                                      <w:iCs/>
                                      <w:color w:val="404040" w:themeColor="text1" w:themeTint="BF"/>
                                      <w:sz w:val="18"/>
                                      <w:szCs w:val="18"/>
                                      <w:lang w:val="fr-CH"/>
                                    </w:rPr>
                                    <w:t>8,80%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2D0D0" id="_x0000_s1195" type="#_x0000_t202" style="position:absolute;margin-left:117.35pt;margin-top:128pt;width:24.7pt;height:10.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" fillcolor="#5f9bfd" stroked="f">
                      <v:textbox inset="0,0,0,0">
                        <w:txbxContent>
                          <w:p w14:paraId="617C0A6A" w14:textId="77777777" w:rsidR="00756EAD" w:rsidRPr="00F31E86" w:rsidRDefault="00756EAD" w:rsidP="00D80461">
                            <w:pPr>
                              <w:tabs>
                                <w:tab w:val="clear" w:pos="1134"/>
                                <w:tab w:val="left" w:pos="1064"/>
                              </w:tabs>
                              <w:spacing w:before="0"/>
                              <w:jc w:val="center"/>
                              <w:rPr>
                                <w:b/>
                                <w:color w:val="404040" w:themeColor="text1" w:themeTint="BF"/>
                                <w:sz w:val="2"/>
                                <w:szCs w:val="2"/>
                                <w:lang w:val="fr-CH"/>
                              </w:rPr>
                            </w:pPr>
                            <w:r w:rsidRPr="00F31E86">
                              <w:rPr>
                                <w:b/>
                                <w:bCs/>
                                <w:iCs/>
                                <w:color w:val="404040" w:themeColor="text1" w:themeTint="BF"/>
                                <w:sz w:val="18"/>
                                <w:szCs w:val="18"/>
                                <w:lang w:val="fr-CH"/>
                              </w:rPr>
                              <w:t>8,80%</w:t>
                            </w:r>
                          </w:p>
                        </w:txbxContent>
                      </v:textbox>
                    </v:shape>
                  </w:pict>
                </mc:Fallback>
              </mc:AlternateContent>
            </w:r>
            <w:r w:rsidRPr="00F05A8A">
              <w:rPr>
                <w:lang w:eastAsia="fr-FR"/>
              </w:rPr>
              <w:drawing>
                <wp:anchor distT="0" distB="0" distL="114300" distR="114300" simplePos="0" relativeHeight="251796480" behindDoc="0" locked="0" layoutInCell="1" allowOverlap="1" wp14:anchorId="734F7F1D" wp14:editId="4BCC693B">
                  <wp:simplePos x="0" y="0"/>
                  <wp:positionH relativeFrom="column">
                    <wp:posOffset>12808</wp:posOffset>
                  </wp:positionH>
                  <wp:positionV relativeFrom="paragraph">
                    <wp:posOffset>183898</wp:posOffset>
                  </wp:positionV>
                  <wp:extent cx="2859438" cy="1673524"/>
                  <wp:effectExtent l="0" t="0" r="0" b="3175"/>
                  <wp:wrapNone/>
                  <wp:docPr id="1090112905" name="Picture 109011290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12905" name="Picture 1090112905" descr="Chart, funnel chart&#10;&#10;Description automatically generated"/>
                          <pic:cNvPicPr/>
                        </pic:nvPicPr>
                        <pic:blipFill>
                          <a:blip r:embed="rId653">
                            <a:extLst>
                              <a:ext uri="{28A0092B-C50C-407E-A947-70E740481C1C}">
                                <a14:useLocalDpi xmlns:a14="http://schemas.microsoft.com/office/drawing/2010/main" val="0"/>
                              </a:ext>
                            </a:extLst>
                          </a:blip>
                          <a:stretch>
                            <a:fillRect/>
                          </a:stretch>
                        </pic:blipFill>
                        <pic:spPr>
                          <a:xfrm>
                            <a:off x="0" y="0"/>
                            <a:ext cx="2859438" cy="1673524"/>
                          </a:xfrm>
                          <a:prstGeom prst="rect">
                            <a:avLst/>
                          </a:prstGeom>
                        </pic:spPr>
                      </pic:pic>
                    </a:graphicData>
                  </a:graphic>
                </wp:anchor>
              </w:drawing>
            </w:r>
          </w:p>
        </w:tc>
      </w:tr>
      <w:tr w:rsidR="00D80461" w:rsidRPr="00F05A8A" w14:paraId="30B2D0A8" w14:textId="77777777" w:rsidTr="00142C01">
        <w:tc>
          <w:tcPr>
            <w:tcW w:w="4986" w:type="dxa"/>
          </w:tcPr>
          <w:p w14:paraId="787785D5" w14:textId="77777777" w:rsidR="00D80461" w:rsidRPr="00F05A8A" w:rsidRDefault="00D80461" w:rsidP="002F075E">
            <w:pPr>
              <w:spacing w:before="240" w:after="240"/>
              <w:jc w:val="center"/>
              <w:rPr>
                <w:rFonts w:cs="Calibri"/>
                <w:b/>
              </w:rPr>
            </w:pPr>
          </w:p>
        </w:tc>
        <w:tc>
          <w:tcPr>
            <w:tcW w:w="4653" w:type="dxa"/>
          </w:tcPr>
          <w:p w14:paraId="1C562AC0" w14:textId="77777777" w:rsidR="00D80461" w:rsidRPr="00F05A8A" w:rsidRDefault="00D80461" w:rsidP="002F075E">
            <w:pPr>
              <w:spacing w:after="160"/>
            </w:pPr>
          </w:p>
        </w:tc>
      </w:tr>
    </w:tbl>
    <w:p w14:paraId="56FB8CC1" w14:textId="77777777" w:rsidR="00D80461" w:rsidRPr="00F05A8A" w:rsidRDefault="00D80461" w:rsidP="002F075E">
      <w:pPr>
        <w:jc w:val="center"/>
        <w:rPr>
          <w:b/>
          <w:bCs/>
        </w:rPr>
      </w:pPr>
      <w:r w:rsidRPr="00F05A8A">
        <w:rPr>
          <w:b/>
          <w:bCs/>
          <w:lang w:eastAsia="fr-FR"/>
        </w:rPr>
        <w:drawing>
          <wp:inline distT="0" distB="0" distL="0" distR="0" wp14:anchorId="7BEDD346" wp14:editId="6DCF1246">
            <wp:extent cx="3456000" cy="2127600"/>
            <wp:effectExtent l="0" t="0" r="0" b="6350"/>
            <wp:docPr id="221" name="Picture 2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hart, bar chart&#10;&#10;Description automatically generated"/>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456000" cy="2127600"/>
                    </a:xfrm>
                    <a:prstGeom prst="rect">
                      <a:avLst/>
                    </a:prstGeom>
                    <a:noFill/>
                  </pic:spPr>
                </pic:pic>
              </a:graphicData>
            </a:graphic>
          </wp:inline>
        </w:drawing>
      </w:r>
    </w:p>
    <w:p w14:paraId="0B53AC25" w14:textId="77777777" w:rsidR="00D80461" w:rsidRPr="00F05A8A" w:rsidRDefault="00D80461" w:rsidP="002F075E">
      <w:pPr>
        <w:spacing w:before="360"/>
      </w:pPr>
      <w:r w:rsidRPr="00F05A8A">
        <w:rPr>
          <w:b/>
          <w:bCs/>
        </w:rPr>
        <w:t>Objectif I.6</w:t>
      </w:r>
      <w:r w:rsidRPr="00F05A8A">
        <w:t xml:space="preserve"> (Réduction des chevauchements et des doubles emplois): Réduire les chevauchements et les doubles emplois et favoriser une coordination plus étroite et transparente entre le Secrétariat général et les Secteurs de l'UIT, compte tenu des crédits budgétaires de l'Union ainsi que des compétences spécialisées et du mandat de chaque Secteur</w:t>
      </w:r>
    </w:p>
    <w:p w14:paraId="23FFCDBA" w14:textId="77777777" w:rsidR="00D80461" w:rsidRPr="00F05A8A" w:rsidRDefault="00D80461" w:rsidP="002F075E">
      <w:pPr>
        <w:pStyle w:val="Headingb"/>
        <w:spacing w:after="120"/>
      </w:pPr>
      <w:bookmarkStart w:id="913" w:name="_Toc41032192"/>
      <w:bookmarkStart w:id="914" w:name="_Toc72846803"/>
      <w:bookmarkStart w:id="915" w:name="_Toc95387659"/>
      <w:r w:rsidRPr="00F05A8A">
        <w:t>Résultats</w:t>
      </w:r>
      <w:bookmarkEnd w:id="913"/>
      <w:bookmarkEnd w:id="914"/>
      <w:bookmarkEnd w:id="915"/>
    </w:p>
    <w:tbl>
      <w:tblPr>
        <w:tblW w:w="0" w:type="auto"/>
        <w:shd w:val="clear" w:color="auto" w:fill="DBE5F1" w:themeFill="accent1" w:themeFillTint="33"/>
        <w:tblLook w:val="04A0" w:firstRow="1" w:lastRow="0" w:firstColumn="1" w:lastColumn="0" w:noHBand="0" w:noVBand="1"/>
      </w:tblPr>
      <w:tblGrid>
        <w:gridCol w:w="9629"/>
      </w:tblGrid>
      <w:tr w:rsidR="00D80461" w:rsidRPr="00F05A8A" w14:paraId="42E39F2C" w14:textId="77777777" w:rsidTr="00142C01">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41A95" w14:textId="77777777" w:rsidR="00D80461" w:rsidRPr="00F05A8A" w:rsidRDefault="00D80461" w:rsidP="002F075E">
            <w:pPr>
              <w:spacing w:before="60" w:after="120"/>
            </w:pPr>
            <w:r w:rsidRPr="00F05A8A">
              <w:t xml:space="preserve">I.6-a: Collaboration plus étroite et transparente entre les Secteurs de l'UIT, le Secrétariat général et les trois Bureaux </w:t>
            </w:r>
          </w:p>
          <w:p w14:paraId="11FCA0F2" w14:textId="77777777" w:rsidR="00D80461" w:rsidRPr="00F05A8A" w:rsidRDefault="00D80461" w:rsidP="002F075E">
            <w:pPr>
              <w:spacing w:after="120"/>
            </w:pPr>
            <w:r w:rsidRPr="00F05A8A">
              <w:t>I.6-b: Réduction des chevauchements et des doubles emplois entre les Secteurs de l'UIT et les travaux du Secrétariat général et des trois Bureaux</w:t>
            </w:r>
          </w:p>
          <w:p w14:paraId="23B71D16" w14:textId="77777777" w:rsidR="00D80461" w:rsidRPr="00F05A8A" w:rsidRDefault="00D80461" w:rsidP="002F075E">
            <w:pPr>
              <w:spacing w:after="120"/>
            </w:pPr>
            <w:r w:rsidRPr="00F05A8A">
              <w:t>I.6-c: Réalisation d'économies en évitant les chevauchements</w:t>
            </w:r>
          </w:p>
        </w:tc>
      </w:tr>
    </w:tbl>
    <w:p w14:paraId="315E2E15" w14:textId="77777777" w:rsidR="00D80461" w:rsidRPr="00F05A8A" w:rsidRDefault="00D80461" w:rsidP="002F075E">
      <w:pPr>
        <w:pStyle w:val="Headingb"/>
        <w:spacing w:after="600"/>
        <w:rPr>
          <w:highlight w:val="lightGray"/>
        </w:rPr>
      </w:pPr>
      <w:bookmarkStart w:id="916" w:name="_Toc41032193"/>
      <w:bookmarkStart w:id="917" w:name="_Toc72846804"/>
      <w:bookmarkStart w:id="918" w:name="_Toc95387660"/>
      <w:r w:rsidRPr="00F05A8A">
        <w:lastRenderedPageBreak/>
        <w:t>Progrès accomplis</w:t>
      </w:r>
      <w:bookmarkEnd w:id="916"/>
      <w:bookmarkEnd w:id="917"/>
      <w:bookmarkEnd w:id="918"/>
    </w:p>
    <w:p w14:paraId="051A9FF8" w14:textId="77777777" w:rsidR="00D80461" w:rsidRPr="00F05A8A" w:rsidRDefault="00D80461" w:rsidP="002F075E">
      <w:pPr>
        <w:spacing w:after="160"/>
        <w:jc w:val="center"/>
        <w:rPr>
          <w:b/>
          <w:bCs/>
        </w:rPr>
      </w:pPr>
      <w:r w:rsidRPr="00F05A8A">
        <w:rPr>
          <w:b/>
          <w:bCs/>
          <w:lang w:eastAsia="fr-FR"/>
        </w:rPr>
        <w:drawing>
          <wp:inline distT="0" distB="0" distL="0" distR="0" wp14:anchorId="3BFCEC5C" wp14:editId="710452AC">
            <wp:extent cx="4777740" cy="2750820"/>
            <wp:effectExtent l="0" t="0" r="3810" b="0"/>
            <wp:docPr id="544008515" name="Picture 5440085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8515" name="Picture 544008515" descr="Timeline&#10;&#10;Description automatically generated"/>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777740" cy="2750820"/>
                    </a:xfrm>
                    <a:prstGeom prst="rect">
                      <a:avLst/>
                    </a:prstGeom>
                    <a:noFill/>
                  </pic:spPr>
                </pic:pic>
              </a:graphicData>
            </a:graphic>
          </wp:inline>
        </w:drawing>
      </w:r>
    </w:p>
    <w:p w14:paraId="69779361" w14:textId="77777777" w:rsidR="00D80461" w:rsidRPr="00F05A8A" w:rsidRDefault="00D80461" w:rsidP="002F075E">
      <w:pPr>
        <w:spacing w:after="160"/>
        <w:jc w:val="center"/>
        <w:rPr>
          <w:b/>
          <w:bCs/>
        </w:rPr>
      </w:pPr>
      <w:r w:rsidRPr="00F05A8A">
        <w:rPr>
          <w:b/>
          <w:bCs/>
          <w:lang w:eastAsia="fr-FR"/>
        </w:rPr>
        <w:drawing>
          <wp:inline distT="0" distB="0" distL="0" distR="0" wp14:anchorId="4DE474BD" wp14:editId="505F51FF">
            <wp:extent cx="6254246" cy="2813262"/>
            <wp:effectExtent l="0" t="0" r="0" b="6350"/>
            <wp:docPr id="61" name="Picture 6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with medium confidence"/>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6284378" cy="2826816"/>
                    </a:xfrm>
                    <a:prstGeom prst="rect">
                      <a:avLst/>
                    </a:prstGeom>
                    <a:noFill/>
                  </pic:spPr>
                </pic:pic>
              </a:graphicData>
            </a:graphic>
          </wp:inline>
        </w:drawing>
      </w:r>
    </w:p>
    <w:p w14:paraId="2B5DE979" w14:textId="77777777" w:rsidR="00D80461" w:rsidRPr="00F05A8A" w:rsidRDefault="00D80461" w:rsidP="002F075E">
      <w:pPr>
        <w:spacing w:after="480"/>
        <w:jc w:val="center"/>
        <w:rPr>
          <w:b/>
          <w:bCs/>
          <w:sz w:val="2"/>
          <w:szCs w:val="2"/>
        </w:rPr>
      </w:pPr>
    </w:p>
    <w:p w14:paraId="4CD29CC0" w14:textId="77777777" w:rsidR="00D80461" w:rsidRPr="00F05A8A" w:rsidRDefault="00D80461" w:rsidP="002F075E">
      <w:pPr>
        <w:spacing w:after="160"/>
        <w:jc w:val="center"/>
        <w:rPr>
          <w:b/>
          <w:bCs/>
        </w:rPr>
      </w:pPr>
      <w:r w:rsidRPr="00F05A8A">
        <w:rPr>
          <w:rFonts w:cs="Calibri"/>
          <w:b/>
          <w:lang w:eastAsia="fr-FR"/>
        </w:rPr>
        <w:lastRenderedPageBreak/>
        <mc:AlternateContent>
          <mc:Choice Requires="wps">
            <w:drawing>
              <wp:anchor distT="0" distB="0" distL="114300" distR="114300" simplePos="0" relativeHeight="251788288" behindDoc="0" locked="0" layoutInCell="1" allowOverlap="1" wp14:anchorId="73D98D95" wp14:editId="7C19872F">
                <wp:simplePos x="0" y="0"/>
                <wp:positionH relativeFrom="column">
                  <wp:posOffset>3880789</wp:posOffset>
                </wp:positionH>
                <wp:positionV relativeFrom="paragraph">
                  <wp:posOffset>1902511</wp:posOffset>
                </wp:positionV>
                <wp:extent cx="313690" cy="138989"/>
                <wp:effectExtent l="0" t="0" r="0" b="0"/>
                <wp:wrapNone/>
                <wp:docPr id="20357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8989"/>
                        </a:xfrm>
                        <a:prstGeom prst="rect">
                          <a:avLst/>
                        </a:prstGeom>
                        <a:solidFill>
                          <a:srgbClr val="0070C0"/>
                        </a:solidFill>
                        <a:ln w="9525">
                          <a:noFill/>
                          <a:miter lim="800000"/>
                          <a:headEnd/>
                          <a:tailEnd/>
                        </a:ln>
                      </wps:spPr>
                      <wps:txbx>
                        <w:txbxContent>
                          <w:p w14:paraId="4DA27DB5" w14:textId="77777777" w:rsidR="00756EAD" w:rsidRPr="00BF7119" w:rsidRDefault="00756EAD" w:rsidP="00D80461">
                            <w:pPr>
                              <w:tabs>
                                <w:tab w:val="clear" w:pos="1134"/>
                                <w:tab w:val="left" w:pos="1064"/>
                              </w:tabs>
                              <w:spacing w:before="0"/>
                              <w:jc w:val="center"/>
                              <w:rPr>
                                <w:b/>
                                <w:color w:val="FFFFFF" w:themeColor="background1"/>
                                <w:sz w:val="2"/>
                                <w:szCs w:val="2"/>
                              </w:rPr>
                            </w:pPr>
                            <w:r>
                              <w:rPr>
                                <w:b/>
                                <w:bCs/>
                                <w:iCs/>
                                <w:color w:val="FFFFFF" w:themeColor="background1"/>
                                <w:sz w:val="18"/>
                                <w:szCs w:val="18"/>
                              </w:rPr>
                              <w:t>1 074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98D95" id="_x0000_s1196" type="#_x0000_t202" style="position:absolute;left:0;text-align:left;margin-left:305.55pt;margin-top:149.8pt;width:24.7pt;height:10.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" fillcolor="#0070c0" stroked="f">
                <v:textbox inset="0,0,0,0">
                  <w:txbxContent>
                    <w:p w14:paraId="4DA27DB5" w14:textId="77777777" w:rsidR="00756EAD" w:rsidRPr="00BF7119" w:rsidRDefault="00756EAD" w:rsidP="00D80461">
                      <w:pPr>
                        <w:tabs>
                          <w:tab w:val="clear" w:pos="1134"/>
                          <w:tab w:val="left" w:pos="1064"/>
                        </w:tabs>
                        <w:spacing w:before="0"/>
                        <w:jc w:val="center"/>
                        <w:rPr>
                          <w:b/>
                          <w:color w:val="FFFFFF" w:themeColor="background1"/>
                          <w:sz w:val="2"/>
                          <w:szCs w:val="2"/>
                        </w:rPr>
                      </w:pPr>
                      <w:r>
                        <w:rPr>
                          <w:b/>
                          <w:bCs/>
                          <w:iCs/>
                          <w:color w:val="FFFFFF" w:themeColor="background1"/>
                          <w:sz w:val="18"/>
                          <w:szCs w:val="18"/>
                        </w:rPr>
                        <w:t>1 074</w:t>
                      </w:r>
                    </w:p>
                  </w:txbxContent>
                </v:textbox>
              </v:shape>
            </w:pict>
          </mc:Fallback>
        </mc:AlternateContent>
      </w:r>
      <w:r w:rsidRPr="00F05A8A">
        <w:rPr>
          <w:rFonts w:cs="Calibri"/>
          <w:b/>
          <w:lang w:eastAsia="fr-FR"/>
        </w:rPr>
        <mc:AlternateContent>
          <mc:Choice Requires="wps">
            <w:drawing>
              <wp:anchor distT="0" distB="0" distL="114300" distR="114300" simplePos="0" relativeHeight="251787264" behindDoc="0" locked="0" layoutInCell="1" allowOverlap="1" wp14:anchorId="7A64123A" wp14:editId="6C1C3A85">
                <wp:simplePos x="0" y="0"/>
                <wp:positionH relativeFrom="column">
                  <wp:posOffset>3883964</wp:posOffset>
                </wp:positionH>
                <wp:positionV relativeFrom="paragraph">
                  <wp:posOffset>1420343</wp:posOffset>
                </wp:positionV>
                <wp:extent cx="313690" cy="131673"/>
                <wp:effectExtent l="0" t="0" r="0" b="1905"/>
                <wp:wrapNone/>
                <wp:docPr id="20357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181714E4" w14:textId="77777777" w:rsidR="00756EAD" w:rsidRPr="00BF7119" w:rsidRDefault="00756EAD" w:rsidP="00D80461">
                            <w:pPr>
                              <w:tabs>
                                <w:tab w:val="clear" w:pos="1134"/>
                                <w:tab w:val="left" w:pos="1064"/>
                              </w:tabs>
                              <w:spacing w:before="0"/>
                              <w:jc w:val="center"/>
                              <w:rPr>
                                <w:b/>
                                <w:color w:val="FFFFFF" w:themeColor="background1"/>
                                <w:sz w:val="2"/>
                                <w:szCs w:val="2"/>
                              </w:rPr>
                            </w:pPr>
                            <w:r>
                              <w:rPr>
                                <w:b/>
                                <w:bCs/>
                                <w:iCs/>
                                <w:color w:val="FFFFFF" w:themeColor="background1"/>
                                <w:sz w:val="18"/>
                                <w:szCs w:val="18"/>
                              </w:rPr>
                              <w:t>7 505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123A" id="_x0000_s1197" type="#_x0000_t202" style="position:absolute;left:0;text-align:left;margin-left:305.8pt;margin-top:111.85pt;width:24.7pt;height:10.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" fillcolor="#0070c0" stroked="f">
                <v:textbox inset="0,0,0,0">
                  <w:txbxContent>
                    <w:p w14:paraId="181714E4" w14:textId="77777777" w:rsidR="00756EAD" w:rsidRPr="00BF7119" w:rsidRDefault="00756EAD" w:rsidP="00D80461">
                      <w:pPr>
                        <w:tabs>
                          <w:tab w:val="clear" w:pos="1134"/>
                          <w:tab w:val="left" w:pos="1064"/>
                        </w:tabs>
                        <w:spacing w:before="0"/>
                        <w:jc w:val="center"/>
                        <w:rPr>
                          <w:b/>
                          <w:color w:val="FFFFFF" w:themeColor="background1"/>
                          <w:sz w:val="2"/>
                          <w:szCs w:val="2"/>
                        </w:rPr>
                      </w:pPr>
                      <w:r>
                        <w:rPr>
                          <w:b/>
                          <w:bCs/>
                          <w:iCs/>
                          <w:color w:val="FFFFFF" w:themeColor="background1"/>
                          <w:sz w:val="18"/>
                          <w:szCs w:val="18"/>
                        </w:rPr>
                        <w:t>7 505</w:t>
                      </w:r>
                    </w:p>
                  </w:txbxContent>
                </v:textbox>
              </v:shape>
            </w:pict>
          </mc:Fallback>
        </mc:AlternateContent>
      </w:r>
      <w:r w:rsidRPr="00F05A8A">
        <w:rPr>
          <w:rFonts w:cs="Calibri"/>
          <w:b/>
          <w:lang w:eastAsia="fr-FR"/>
        </w:rPr>
        <mc:AlternateContent>
          <mc:Choice Requires="wps">
            <w:drawing>
              <wp:anchor distT="0" distB="0" distL="114300" distR="114300" simplePos="0" relativeHeight="251786240" behindDoc="0" locked="0" layoutInCell="1" allowOverlap="1" wp14:anchorId="11FDFF79" wp14:editId="583E81DF">
                <wp:simplePos x="0" y="0"/>
                <wp:positionH relativeFrom="column">
                  <wp:posOffset>3829963</wp:posOffset>
                </wp:positionH>
                <wp:positionV relativeFrom="paragraph">
                  <wp:posOffset>929716</wp:posOffset>
                </wp:positionV>
                <wp:extent cx="364897" cy="131445"/>
                <wp:effectExtent l="0" t="0" r="0" b="1905"/>
                <wp:wrapNone/>
                <wp:docPr id="1820415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97" cy="131445"/>
                        </a:xfrm>
                        <a:prstGeom prst="rect">
                          <a:avLst/>
                        </a:prstGeom>
                        <a:solidFill>
                          <a:srgbClr val="0070C0"/>
                        </a:solidFill>
                        <a:ln w="9525">
                          <a:noFill/>
                          <a:miter lim="800000"/>
                          <a:headEnd/>
                          <a:tailEnd/>
                        </a:ln>
                      </wps:spPr>
                      <wps:txbx>
                        <w:txbxContent>
                          <w:p w14:paraId="505D575A" w14:textId="77777777" w:rsidR="00756EAD" w:rsidRPr="00BF7119" w:rsidRDefault="00756EAD" w:rsidP="00D80461">
                            <w:pPr>
                              <w:tabs>
                                <w:tab w:val="clear" w:pos="1134"/>
                                <w:tab w:val="left" w:pos="1064"/>
                              </w:tabs>
                              <w:spacing w:before="0"/>
                              <w:jc w:val="center"/>
                              <w:rPr>
                                <w:b/>
                                <w:color w:val="FFFFFF" w:themeColor="background1"/>
                                <w:sz w:val="2"/>
                                <w:szCs w:val="2"/>
                              </w:rPr>
                            </w:pPr>
                            <w:r>
                              <w:rPr>
                                <w:b/>
                                <w:bCs/>
                                <w:iCs/>
                                <w:color w:val="FFFFFF" w:themeColor="background1"/>
                                <w:sz w:val="18"/>
                                <w:szCs w:val="18"/>
                              </w:rPr>
                              <w:t>5 81</w:t>
                            </w:r>
                            <w:r w:rsidRPr="00BF7119">
                              <w:rPr>
                                <w:b/>
                                <w:bCs/>
                                <w:iCs/>
                                <w:color w:val="FFFFFF" w:themeColor="background1"/>
                                <w:sz w:val="18"/>
                                <w:szCs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DFF79" id="_x0000_s1198" type="#_x0000_t202" style="position:absolute;left:0;text-align:left;margin-left:301.55pt;margin-top:73.2pt;width:28.75pt;height:1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" fillcolor="#0070c0" stroked="f">
                <v:textbox inset="0,0,0,0">
                  <w:txbxContent>
                    <w:p w14:paraId="505D575A" w14:textId="77777777" w:rsidR="00756EAD" w:rsidRPr="00BF7119" w:rsidRDefault="00756EAD" w:rsidP="00D80461">
                      <w:pPr>
                        <w:tabs>
                          <w:tab w:val="clear" w:pos="1134"/>
                          <w:tab w:val="left" w:pos="1064"/>
                        </w:tabs>
                        <w:spacing w:before="0"/>
                        <w:jc w:val="center"/>
                        <w:rPr>
                          <w:b/>
                          <w:color w:val="FFFFFF" w:themeColor="background1"/>
                          <w:sz w:val="2"/>
                          <w:szCs w:val="2"/>
                        </w:rPr>
                      </w:pPr>
                      <w:r>
                        <w:rPr>
                          <w:b/>
                          <w:bCs/>
                          <w:iCs/>
                          <w:color w:val="FFFFFF" w:themeColor="background1"/>
                          <w:sz w:val="18"/>
                          <w:szCs w:val="18"/>
                        </w:rPr>
                        <w:t>5 81</w:t>
                      </w:r>
                      <w:r w:rsidRPr="00BF7119">
                        <w:rPr>
                          <w:b/>
                          <w:bCs/>
                          <w:iCs/>
                          <w:color w:val="FFFFFF" w:themeColor="background1"/>
                          <w:sz w:val="18"/>
                          <w:szCs w:val="18"/>
                        </w:rPr>
                        <w:t>8</w:t>
                      </w:r>
                    </w:p>
                  </w:txbxContent>
                </v:textbox>
              </v:shape>
            </w:pict>
          </mc:Fallback>
        </mc:AlternateContent>
      </w:r>
      <w:r w:rsidRPr="00F05A8A">
        <w:rPr>
          <w:rFonts w:cs="Calibri"/>
          <w:b/>
          <w:lang w:eastAsia="fr-FR"/>
        </w:rPr>
        <mc:AlternateContent>
          <mc:Choice Requires="wps">
            <w:drawing>
              <wp:anchor distT="0" distB="0" distL="114300" distR="114300" simplePos="0" relativeHeight="251785216" behindDoc="0" locked="0" layoutInCell="1" allowOverlap="1" wp14:anchorId="71093BB3" wp14:editId="0A442D41">
                <wp:simplePos x="0" y="0"/>
                <wp:positionH relativeFrom="column">
                  <wp:posOffset>3881171</wp:posOffset>
                </wp:positionH>
                <wp:positionV relativeFrom="paragraph">
                  <wp:posOffset>461543</wp:posOffset>
                </wp:positionV>
                <wp:extent cx="313690" cy="131673"/>
                <wp:effectExtent l="0" t="0" r="0" b="1905"/>
                <wp:wrapNone/>
                <wp:docPr id="182041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48AD1E6C" w14:textId="77777777" w:rsidR="00756EAD" w:rsidRPr="00BF7119" w:rsidRDefault="00756EAD" w:rsidP="00D80461">
                            <w:pPr>
                              <w:tabs>
                                <w:tab w:val="clear" w:pos="1134"/>
                                <w:tab w:val="left" w:pos="1064"/>
                              </w:tabs>
                              <w:spacing w:before="0"/>
                              <w:jc w:val="center"/>
                              <w:rPr>
                                <w:b/>
                                <w:color w:val="FFFFFF" w:themeColor="background1"/>
                                <w:sz w:val="2"/>
                                <w:szCs w:val="2"/>
                              </w:rPr>
                            </w:pPr>
                            <w:r w:rsidRPr="00BF7119">
                              <w:rPr>
                                <w:b/>
                                <w:bCs/>
                                <w:iCs/>
                                <w:color w:val="FFFFFF" w:themeColor="background1"/>
                                <w:sz w:val="18"/>
                                <w:szCs w:val="18"/>
                              </w:rPr>
                              <w:t>1 728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3BB3" id="_x0000_s1199" type="#_x0000_t202" style="position:absolute;left:0;text-align:left;margin-left:305.6pt;margin-top:36.35pt;width:24.7pt;height:1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" fillcolor="#0070c0" stroked="f">
                <v:textbox inset="0,0,0,0">
                  <w:txbxContent>
                    <w:p w14:paraId="48AD1E6C" w14:textId="77777777" w:rsidR="00756EAD" w:rsidRPr="00BF7119" w:rsidRDefault="00756EAD" w:rsidP="00D80461">
                      <w:pPr>
                        <w:tabs>
                          <w:tab w:val="clear" w:pos="1134"/>
                          <w:tab w:val="left" w:pos="1064"/>
                        </w:tabs>
                        <w:spacing w:before="0"/>
                        <w:jc w:val="center"/>
                        <w:rPr>
                          <w:b/>
                          <w:color w:val="FFFFFF" w:themeColor="background1"/>
                          <w:sz w:val="2"/>
                          <w:szCs w:val="2"/>
                        </w:rPr>
                      </w:pPr>
                      <w:r w:rsidRPr="00BF7119">
                        <w:rPr>
                          <w:b/>
                          <w:bCs/>
                          <w:iCs/>
                          <w:color w:val="FFFFFF" w:themeColor="background1"/>
                          <w:sz w:val="18"/>
                          <w:szCs w:val="18"/>
                        </w:rPr>
                        <w:t>1 728</w:t>
                      </w:r>
                    </w:p>
                  </w:txbxContent>
                </v:textbox>
              </v:shape>
            </w:pict>
          </mc:Fallback>
        </mc:AlternateContent>
      </w:r>
      <w:r w:rsidRPr="00F05A8A">
        <w:rPr>
          <w:rFonts w:cs="Calibri"/>
          <w:b/>
          <w:lang w:eastAsia="fr-FR"/>
        </w:rPr>
        <mc:AlternateContent>
          <mc:Choice Requires="wps">
            <w:drawing>
              <wp:anchor distT="0" distB="0" distL="114300" distR="114300" simplePos="0" relativeHeight="251783168" behindDoc="0" locked="0" layoutInCell="1" allowOverlap="1" wp14:anchorId="7488C764" wp14:editId="3E562AAF">
                <wp:simplePos x="0" y="0"/>
                <wp:positionH relativeFrom="column">
                  <wp:posOffset>172364</wp:posOffset>
                </wp:positionH>
                <wp:positionV relativeFrom="paragraph">
                  <wp:posOffset>208636</wp:posOffset>
                </wp:positionV>
                <wp:extent cx="2003451" cy="2062429"/>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51" cy="2062429"/>
                        </a:xfrm>
                        <a:prstGeom prst="rect">
                          <a:avLst/>
                        </a:prstGeom>
                        <a:solidFill>
                          <a:srgbClr val="FFFFFF"/>
                        </a:solidFill>
                        <a:ln w="9525">
                          <a:noFill/>
                          <a:miter lim="800000"/>
                          <a:headEnd/>
                          <a:tailEnd/>
                        </a:ln>
                      </wps:spPr>
                      <wps:txbx>
                        <w:txbxContent>
                          <w:p w14:paraId="06E767DA" w14:textId="77777777" w:rsidR="00756EAD" w:rsidRPr="00880980" w:rsidRDefault="00756EAD" w:rsidP="00D80461">
                            <w:pPr>
                              <w:tabs>
                                <w:tab w:val="clear" w:pos="1134"/>
                                <w:tab w:val="left" w:pos="1064"/>
                              </w:tabs>
                              <w:jc w:val="right"/>
                              <w:rPr>
                                <w:bCs/>
                                <w:iCs/>
                                <w:sz w:val="18"/>
                                <w:szCs w:val="18"/>
                              </w:rPr>
                            </w:pPr>
                            <w:r w:rsidRPr="00880980">
                              <w:rPr>
                                <w:bCs/>
                                <w:iCs/>
                                <w:sz w:val="18"/>
                                <w:szCs w:val="18"/>
                              </w:rPr>
                              <w:t xml:space="preserve">Mise en évidence de tous les types et de tous les cas de recoupement des fonctions </w:t>
                            </w:r>
                          </w:p>
                          <w:p w14:paraId="7687C76C" w14:textId="77777777" w:rsidR="00756EAD" w:rsidRPr="00880980" w:rsidRDefault="00756EAD" w:rsidP="00D80461">
                            <w:pPr>
                              <w:tabs>
                                <w:tab w:val="clear" w:pos="1134"/>
                                <w:tab w:val="left" w:pos="1064"/>
                              </w:tabs>
                              <w:jc w:val="right"/>
                              <w:rPr>
                                <w:bCs/>
                                <w:iCs/>
                                <w:sz w:val="18"/>
                                <w:szCs w:val="18"/>
                              </w:rPr>
                            </w:pPr>
                            <w:r w:rsidRPr="00880980">
                              <w:rPr>
                                <w:bCs/>
                                <w:iCs/>
                                <w:sz w:val="18"/>
                                <w:szCs w:val="18"/>
                              </w:rPr>
                              <w:t xml:space="preserve">Réduction naturelle des effectifs, redéploiement du personnel, examen et éventuel déclassement de postes vacants </w:t>
                            </w:r>
                          </w:p>
                          <w:p w14:paraId="51FA6109" w14:textId="77777777" w:rsidR="00756EAD" w:rsidRPr="00880980" w:rsidRDefault="00756EAD" w:rsidP="00D80461">
                            <w:pPr>
                              <w:tabs>
                                <w:tab w:val="clear" w:pos="1134"/>
                                <w:tab w:val="left" w:pos="1064"/>
                              </w:tabs>
                              <w:spacing w:before="360"/>
                              <w:jc w:val="right"/>
                              <w:rPr>
                                <w:bCs/>
                                <w:iCs/>
                                <w:sz w:val="18"/>
                                <w:szCs w:val="18"/>
                              </w:rPr>
                            </w:pPr>
                            <w:r w:rsidRPr="00880980">
                              <w:rPr>
                                <w:bCs/>
                                <w:iCs/>
                                <w:sz w:val="18"/>
                                <w:szCs w:val="18"/>
                              </w:rPr>
                              <w:t>Économies liées à la pandémie de COVID</w:t>
                            </w:r>
                          </w:p>
                          <w:p w14:paraId="0D697834" w14:textId="77777777" w:rsidR="00756EAD" w:rsidRPr="00880980" w:rsidRDefault="00756EAD" w:rsidP="00D80461">
                            <w:pPr>
                              <w:tabs>
                                <w:tab w:val="clear" w:pos="1134"/>
                                <w:tab w:val="left" w:pos="1064"/>
                              </w:tabs>
                              <w:spacing w:before="360"/>
                              <w:jc w:val="right"/>
                              <w:rPr>
                                <w:sz w:val="18"/>
                                <w:szCs w:val="18"/>
                              </w:rPr>
                            </w:pPr>
                            <w:r w:rsidRPr="00880980">
                              <w:rPr>
                                <w:bCs/>
                                <w:iCs/>
                                <w:sz w:val="18"/>
                                <w:szCs w:val="18"/>
                              </w:rPr>
                              <w:t>Autre</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C764" id="_x0000_s1200" type="#_x0000_t202" style="position:absolute;left:0;text-align:left;margin-left:13.55pt;margin-top:16.45pt;width:157.75pt;height:16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" stroked="f">
                <v:textbox inset="0,0,1mm,0">
                  <w:txbxContent>
                    <w:p w14:paraId="06E767DA" w14:textId="77777777" w:rsidR="00756EAD" w:rsidRPr="00880980" w:rsidRDefault="00756EAD" w:rsidP="00D80461">
                      <w:pPr>
                        <w:tabs>
                          <w:tab w:val="clear" w:pos="1134"/>
                          <w:tab w:val="left" w:pos="1064"/>
                        </w:tabs>
                        <w:jc w:val="right"/>
                        <w:rPr>
                          <w:bCs/>
                          <w:iCs/>
                          <w:sz w:val="18"/>
                          <w:szCs w:val="18"/>
                        </w:rPr>
                      </w:pPr>
                      <w:r w:rsidRPr="00880980">
                        <w:rPr>
                          <w:bCs/>
                          <w:iCs/>
                          <w:sz w:val="18"/>
                          <w:szCs w:val="18"/>
                        </w:rPr>
                        <w:t xml:space="preserve">Mise en évidence de tous les types et de tous les cas de recoupement des fonctions </w:t>
                      </w:r>
                    </w:p>
                    <w:p w14:paraId="7687C76C" w14:textId="77777777" w:rsidR="00756EAD" w:rsidRPr="00880980" w:rsidRDefault="00756EAD" w:rsidP="00D80461">
                      <w:pPr>
                        <w:tabs>
                          <w:tab w:val="clear" w:pos="1134"/>
                          <w:tab w:val="left" w:pos="1064"/>
                        </w:tabs>
                        <w:jc w:val="right"/>
                        <w:rPr>
                          <w:bCs/>
                          <w:iCs/>
                          <w:sz w:val="18"/>
                          <w:szCs w:val="18"/>
                        </w:rPr>
                      </w:pPr>
                      <w:r w:rsidRPr="00880980">
                        <w:rPr>
                          <w:bCs/>
                          <w:iCs/>
                          <w:sz w:val="18"/>
                          <w:szCs w:val="18"/>
                        </w:rPr>
                        <w:t xml:space="preserve">Réduction naturelle des effectifs, redéploiement du personnel, examen et éventuel déclassement de postes vacants </w:t>
                      </w:r>
                    </w:p>
                    <w:p w14:paraId="51FA6109" w14:textId="77777777" w:rsidR="00756EAD" w:rsidRPr="00880980" w:rsidRDefault="00756EAD" w:rsidP="00D80461">
                      <w:pPr>
                        <w:tabs>
                          <w:tab w:val="clear" w:pos="1134"/>
                          <w:tab w:val="left" w:pos="1064"/>
                        </w:tabs>
                        <w:spacing w:before="360"/>
                        <w:jc w:val="right"/>
                        <w:rPr>
                          <w:bCs/>
                          <w:iCs/>
                          <w:sz w:val="18"/>
                          <w:szCs w:val="18"/>
                        </w:rPr>
                      </w:pPr>
                      <w:r w:rsidRPr="00880980">
                        <w:rPr>
                          <w:bCs/>
                          <w:iCs/>
                          <w:sz w:val="18"/>
                          <w:szCs w:val="18"/>
                        </w:rPr>
                        <w:t>Économies liées à la pandémie de COVID</w:t>
                      </w:r>
                    </w:p>
                    <w:p w14:paraId="0D697834" w14:textId="77777777" w:rsidR="00756EAD" w:rsidRPr="00880980" w:rsidRDefault="00756EAD" w:rsidP="00D80461">
                      <w:pPr>
                        <w:tabs>
                          <w:tab w:val="clear" w:pos="1134"/>
                          <w:tab w:val="left" w:pos="1064"/>
                        </w:tabs>
                        <w:spacing w:before="360"/>
                        <w:jc w:val="right"/>
                        <w:rPr>
                          <w:sz w:val="18"/>
                          <w:szCs w:val="18"/>
                        </w:rPr>
                      </w:pPr>
                      <w:r w:rsidRPr="00880980">
                        <w:rPr>
                          <w:bCs/>
                          <w:iCs/>
                          <w:sz w:val="18"/>
                          <w:szCs w:val="18"/>
                        </w:rPr>
                        <w:t>Autre</w:t>
                      </w:r>
                    </w:p>
                  </w:txbxContent>
                </v:textbox>
              </v:shape>
            </w:pict>
          </mc:Fallback>
        </mc:AlternateContent>
      </w:r>
      <w:r w:rsidRPr="00F05A8A">
        <w:rPr>
          <w:rFonts w:cs="Calibri"/>
          <w:b/>
          <w:lang w:eastAsia="fr-FR"/>
        </w:rPr>
        <mc:AlternateContent>
          <mc:Choice Requires="wps">
            <w:drawing>
              <wp:anchor distT="0" distB="0" distL="114300" distR="114300" simplePos="0" relativeHeight="251782144" behindDoc="0" locked="0" layoutInCell="1" allowOverlap="1" wp14:anchorId="0AB05006" wp14:editId="28FA9E7E">
                <wp:simplePos x="0" y="0"/>
                <wp:positionH relativeFrom="column">
                  <wp:posOffset>1214323</wp:posOffset>
                </wp:positionH>
                <wp:positionV relativeFrom="paragraph">
                  <wp:posOffset>18415</wp:posOffset>
                </wp:positionV>
                <wp:extent cx="3825849" cy="307238"/>
                <wp:effectExtent l="0" t="0" r="381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49" cy="307238"/>
                        </a:xfrm>
                        <a:prstGeom prst="rect">
                          <a:avLst/>
                        </a:prstGeom>
                        <a:solidFill>
                          <a:srgbClr val="FFFFFF"/>
                        </a:solidFill>
                        <a:ln w="9525">
                          <a:noFill/>
                          <a:miter lim="800000"/>
                          <a:headEnd/>
                          <a:tailEnd/>
                        </a:ln>
                      </wps:spPr>
                      <wps:txbx>
                        <w:txbxContent>
                          <w:p w14:paraId="6BFAEB0C" w14:textId="77777777" w:rsidR="00756EAD" w:rsidRPr="007551A7" w:rsidRDefault="00756EAD" w:rsidP="00D80461">
                            <w:pPr>
                              <w:tabs>
                                <w:tab w:val="clear" w:pos="1134"/>
                                <w:tab w:val="left" w:pos="1064"/>
                              </w:tabs>
                              <w:spacing w:before="0"/>
                              <w:jc w:val="center"/>
                              <w:rPr>
                                <w:color w:val="7F7F7F" w:themeColor="text1" w:themeTint="80"/>
                                <w:szCs w:val="24"/>
                              </w:rPr>
                            </w:pPr>
                            <w:r w:rsidRPr="007551A7">
                              <w:rPr>
                                <w:b/>
                                <w:bCs/>
                                <w:iCs/>
                                <w:color w:val="7F7F7F" w:themeColor="text1" w:themeTint="80"/>
                                <w:szCs w:val="24"/>
                              </w:rPr>
                              <w:t>Mesures d'efficacité prévues (2020-23) (en milliers CHF)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05006" id="_x0000_s1201" type="#_x0000_t202" style="position:absolute;left:0;text-align:left;margin-left:95.6pt;margin-top:1.45pt;width:301.25pt;height:2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" stroked="f">
                <v:textbox inset="0,0,0,0">
                  <w:txbxContent>
                    <w:p w14:paraId="6BFAEB0C" w14:textId="77777777" w:rsidR="00756EAD" w:rsidRPr="007551A7" w:rsidRDefault="00756EAD" w:rsidP="00D80461">
                      <w:pPr>
                        <w:tabs>
                          <w:tab w:val="clear" w:pos="1134"/>
                          <w:tab w:val="left" w:pos="1064"/>
                        </w:tabs>
                        <w:spacing w:before="0"/>
                        <w:jc w:val="center"/>
                        <w:rPr>
                          <w:color w:val="7F7F7F" w:themeColor="text1" w:themeTint="80"/>
                          <w:szCs w:val="24"/>
                        </w:rPr>
                      </w:pPr>
                      <w:r w:rsidRPr="007551A7">
                        <w:rPr>
                          <w:b/>
                          <w:bCs/>
                          <w:iCs/>
                          <w:color w:val="7F7F7F" w:themeColor="text1" w:themeTint="80"/>
                          <w:szCs w:val="24"/>
                        </w:rPr>
                        <w:t>Mesures d'efficacité prévues (2020-23) (en milliers CHF)</w:t>
                      </w:r>
                    </w:p>
                  </w:txbxContent>
                </v:textbox>
              </v:shape>
            </w:pict>
          </mc:Fallback>
        </mc:AlternateContent>
      </w:r>
      <w:r w:rsidRPr="00F05A8A">
        <w:rPr>
          <w:b/>
          <w:bCs/>
          <w:lang w:eastAsia="fr-FR"/>
        </w:rPr>
        <w:drawing>
          <wp:inline distT="0" distB="0" distL="0" distR="0" wp14:anchorId="319F16F9" wp14:editId="3F412812">
            <wp:extent cx="5774400" cy="2275200"/>
            <wp:effectExtent l="0" t="0" r="0" b="0"/>
            <wp:docPr id="1193504092" name="Picture 119350409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2" name="Picture 1193504092" descr="Chart, bar chart&#10;&#10;Description automatically generated"/>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774400" cy="2275200"/>
                    </a:xfrm>
                    <a:prstGeom prst="rect">
                      <a:avLst/>
                    </a:prstGeom>
                    <a:noFill/>
                  </pic:spPr>
                </pic:pic>
              </a:graphicData>
            </a:graphic>
          </wp:inline>
        </w:drawing>
      </w:r>
    </w:p>
    <w:p w14:paraId="46D44AC4" w14:textId="77777777" w:rsidR="00D80461" w:rsidRPr="00F05A8A" w:rsidRDefault="00D80461" w:rsidP="002F075E">
      <w:pPr>
        <w:spacing w:after="160"/>
        <w:jc w:val="center"/>
        <w:rPr>
          <w:b/>
          <w:bCs/>
        </w:rPr>
      </w:pPr>
      <w:r w:rsidRPr="00F05A8A">
        <w:rPr>
          <w:b/>
          <w:bCs/>
          <w:lang w:eastAsia="fr-FR"/>
        </w:rPr>
        <w:drawing>
          <wp:inline distT="0" distB="0" distL="0" distR="0" wp14:anchorId="41AB1DAB" wp14:editId="5C9E0EDF">
            <wp:extent cx="5874536" cy="2035834"/>
            <wp:effectExtent l="0" t="0" r="0" b="2540"/>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900222" cy="2044735"/>
                    </a:xfrm>
                    <a:prstGeom prst="rect">
                      <a:avLst/>
                    </a:prstGeom>
                    <a:noFill/>
                  </pic:spPr>
                </pic:pic>
              </a:graphicData>
            </a:graphic>
          </wp:inline>
        </w:drawing>
      </w:r>
    </w:p>
    <w:p w14:paraId="594512F3" w14:textId="77777777" w:rsidR="00D80461" w:rsidRPr="00F05A8A" w:rsidRDefault="00D80461" w:rsidP="002F075E">
      <w:pPr>
        <w:pStyle w:val="Heading2"/>
      </w:pPr>
      <w:bookmarkStart w:id="919" w:name="_Toc41032194"/>
      <w:bookmarkStart w:id="920" w:name="_Toc72846805"/>
      <w:bookmarkStart w:id="921" w:name="_Toc98513628"/>
      <w:bookmarkStart w:id="922" w:name="_Toc107466593"/>
      <w:r w:rsidRPr="00F05A8A">
        <w:t>Catalyseurs</w:t>
      </w:r>
      <w:bookmarkEnd w:id="919"/>
      <w:bookmarkEnd w:id="920"/>
      <w:bookmarkEnd w:id="921"/>
      <w:bookmarkEnd w:id="922"/>
    </w:p>
    <w:p w14:paraId="49F4D4A3" w14:textId="77777777" w:rsidR="00D80461" w:rsidRPr="00F05A8A" w:rsidRDefault="00D80461" w:rsidP="002F075E">
      <w:pPr>
        <w:pStyle w:val="Headingb"/>
        <w:spacing w:after="240"/>
        <w:ind w:left="0" w:firstLine="0"/>
      </w:pPr>
      <w:bookmarkStart w:id="923" w:name="_Toc41032195"/>
      <w:bookmarkStart w:id="924" w:name="_Toc72846806"/>
      <w:bookmarkStart w:id="925" w:name="_Toc95387662"/>
      <w:r w:rsidRPr="00F05A8A">
        <w:t>E.1: Veiller à l'utilisation efficace et efficiente des ressources humaines, financières et en capital et garantir un environnement de travail propice, sûr et sécurisé</w:t>
      </w:r>
      <w:bookmarkEnd w:id="923"/>
      <w:bookmarkEnd w:id="924"/>
      <w:bookmarkEnd w:id="925"/>
    </w:p>
    <w:tbl>
      <w:tblPr>
        <w:tblW w:w="9643" w:type="dxa"/>
        <w:jc w:val="center"/>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4540"/>
        <w:gridCol w:w="851"/>
        <w:gridCol w:w="708"/>
        <w:gridCol w:w="709"/>
        <w:gridCol w:w="709"/>
        <w:gridCol w:w="709"/>
        <w:gridCol w:w="708"/>
        <w:gridCol w:w="709"/>
      </w:tblGrid>
      <w:tr w:rsidR="00D80461" w:rsidRPr="00F05A8A" w14:paraId="201934BE" w14:textId="77777777" w:rsidTr="00142C01">
        <w:trPr>
          <w:jc w:val="center"/>
        </w:trPr>
        <w:tc>
          <w:tcPr>
            <w:tcW w:w="4540" w:type="dxa"/>
            <w:tcBorders>
              <w:top w:val="single" w:sz="4" w:space="0" w:color="auto"/>
              <w:bottom w:val="nil"/>
            </w:tcBorders>
            <w:shd w:val="clear" w:color="auto" w:fill="95B3D7" w:themeFill="accent1" w:themeFillTint="99"/>
          </w:tcPr>
          <w:p w14:paraId="508E3B51" w14:textId="77777777" w:rsidR="00D80461" w:rsidRPr="00F05A8A" w:rsidRDefault="00D80461" w:rsidP="002F075E">
            <w:pPr>
              <w:pStyle w:val="Tabletext"/>
              <w:rPr>
                <w:szCs w:val="22"/>
              </w:rPr>
            </w:pPr>
          </w:p>
        </w:tc>
        <w:tc>
          <w:tcPr>
            <w:tcW w:w="851" w:type="dxa"/>
            <w:tcBorders>
              <w:top w:val="single" w:sz="4" w:space="0" w:color="auto"/>
              <w:bottom w:val="nil"/>
            </w:tcBorders>
            <w:shd w:val="clear" w:color="auto" w:fill="95B3D7" w:themeFill="accent1" w:themeFillTint="99"/>
          </w:tcPr>
          <w:p w14:paraId="7B8684EA" w14:textId="77777777" w:rsidR="00D80461" w:rsidRPr="00F05A8A" w:rsidRDefault="00D80461" w:rsidP="002F075E">
            <w:pPr>
              <w:pStyle w:val="Tabletext"/>
              <w:rPr>
                <w:color w:val="FFFFFF" w:themeColor="background1"/>
                <w:szCs w:val="22"/>
              </w:rPr>
            </w:pPr>
            <w:r w:rsidRPr="00F05A8A">
              <w:rPr>
                <w:color w:val="FFFFFF" w:themeColor="background1"/>
                <w:szCs w:val="22"/>
              </w:rPr>
              <w:t>2014</w:t>
            </w:r>
          </w:p>
        </w:tc>
        <w:tc>
          <w:tcPr>
            <w:tcW w:w="708" w:type="dxa"/>
            <w:tcBorders>
              <w:top w:val="single" w:sz="4" w:space="0" w:color="auto"/>
              <w:bottom w:val="nil"/>
            </w:tcBorders>
            <w:shd w:val="clear" w:color="auto" w:fill="95B3D7" w:themeFill="accent1" w:themeFillTint="99"/>
          </w:tcPr>
          <w:p w14:paraId="72A5F3D3" w14:textId="77777777" w:rsidR="00D80461" w:rsidRPr="00F05A8A" w:rsidRDefault="00D80461" w:rsidP="002F075E">
            <w:pPr>
              <w:pStyle w:val="Tabletext"/>
              <w:rPr>
                <w:color w:val="FFFFFF" w:themeColor="background1"/>
                <w:szCs w:val="22"/>
              </w:rPr>
            </w:pPr>
            <w:r w:rsidRPr="00F05A8A">
              <w:rPr>
                <w:color w:val="FFFFFF" w:themeColor="background1"/>
                <w:szCs w:val="22"/>
              </w:rPr>
              <w:t>2015</w:t>
            </w:r>
          </w:p>
        </w:tc>
        <w:tc>
          <w:tcPr>
            <w:tcW w:w="709" w:type="dxa"/>
            <w:tcBorders>
              <w:top w:val="single" w:sz="4" w:space="0" w:color="auto"/>
              <w:bottom w:val="nil"/>
            </w:tcBorders>
            <w:shd w:val="clear" w:color="auto" w:fill="95B3D7" w:themeFill="accent1" w:themeFillTint="99"/>
          </w:tcPr>
          <w:p w14:paraId="6387D85E" w14:textId="77777777" w:rsidR="00D80461" w:rsidRPr="00F05A8A" w:rsidRDefault="00D80461" w:rsidP="002F075E">
            <w:pPr>
              <w:pStyle w:val="Tabletext"/>
              <w:rPr>
                <w:color w:val="FFFFFF" w:themeColor="background1"/>
                <w:szCs w:val="22"/>
              </w:rPr>
            </w:pPr>
            <w:r w:rsidRPr="00F05A8A">
              <w:rPr>
                <w:color w:val="FFFFFF" w:themeColor="background1"/>
                <w:szCs w:val="22"/>
              </w:rPr>
              <w:t>2016</w:t>
            </w:r>
          </w:p>
        </w:tc>
        <w:tc>
          <w:tcPr>
            <w:tcW w:w="709" w:type="dxa"/>
            <w:tcBorders>
              <w:top w:val="single" w:sz="4" w:space="0" w:color="auto"/>
              <w:bottom w:val="nil"/>
            </w:tcBorders>
            <w:shd w:val="clear" w:color="auto" w:fill="95B3D7" w:themeFill="accent1" w:themeFillTint="99"/>
          </w:tcPr>
          <w:p w14:paraId="6D846B95" w14:textId="77777777" w:rsidR="00D80461" w:rsidRPr="00F05A8A" w:rsidRDefault="00D80461" w:rsidP="002F075E">
            <w:pPr>
              <w:pStyle w:val="Tabletext"/>
              <w:rPr>
                <w:color w:val="FFFFFF" w:themeColor="background1"/>
                <w:szCs w:val="22"/>
              </w:rPr>
            </w:pPr>
            <w:r w:rsidRPr="00F05A8A">
              <w:rPr>
                <w:color w:val="FFFFFF" w:themeColor="background1"/>
                <w:szCs w:val="22"/>
              </w:rPr>
              <w:t>2017</w:t>
            </w:r>
          </w:p>
        </w:tc>
        <w:tc>
          <w:tcPr>
            <w:tcW w:w="709" w:type="dxa"/>
            <w:tcBorders>
              <w:top w:val="single" w:sz="4" w:space="0" w:color="auto"/>
              <w:bottom w:val="nil"/>
            </w:tcBorders>
            <w:shd w:val="clear" w:color="auto" w:fill="95B3D7" w:themeFill="accent1" w:themeFillTint="99"/>
          </w:tcPr>
          <w:p w14:paraId="0C202061" w14:textId="77777777" w:rsidR="00D80461" w:rsidRPr="00F05A8A" w:rsidRDefault="00D80461" w:rsidP="002F075E">
            <w:pPr>
              <w:pStyle w:val="Tabletext"/>
              <w:rPr>
                <w:color w:val="FFFFFF" w:themeColor="background1"/>
                <w:szCs w:val="22"/>
              </w:rPr>
            </w:pPr>
            <w:r w:rsidRPr="00F05A8A">
              <w:rPr>
                <w:color w:val="FFFFFF" w:themeColor="background1"/>
                <w:szCs w:val="22"/>
              </w:rPr>
              <w:t>2018</w:t>
            </w:r>
          </w:p>
        </w:tc>
        <w:tc>
          <w:tcPr>
            <w:tcW w:w="708" w:type="dxa"/>
            <w:tcBorders>
              <w:top w:val="single" w:sz="4" w:space="0" w:color="auto"/>
              <w:bottom w:val="nil"/>
            </w:tcBorders>
            <w:shd w:val="clear" w:color="auto" w:fill="95B3D7" w:themeFill="accent1" w:themeFillTint="99"/>
          </w:tcPr>
          <w:p w14:paraId="4786D66B" w14:textId="77777777" w:rsidR="00D80461" w:rsidRPr="00F05A8A" w:rsidRDefault="00D80461" w:rsidP="002F075E">
            <w:pPr>
              <w:pStyle w:val="Tabletext"/>
              <w:rPr>
                <w:color w:val="FFFFFF" w:themeColor="background1"/>
                <w:szCs w:val="22"/>
              </w:rPr>
            </w:pPr>
            <w:r w:rsidRPr="00F05A8A">
              <w:rPr>
                <w:color w:val="FFFFFF" w:themeColor="background1"/>
                <w:szCs w:val="22"/>
              </w:rPr>
              <w:t>2019</w:t>
            </w:r>
          </w:p>
        </w:tc>
        <w:tc>
          <w:tcPr>
            <w:tcW w:w="709" w:type="dxa"/>
            <w:tcBorders>
              <w:top w:val="single" w:sz="4" w:space="0" w:color="auto"/>
              <w:bottom w:val="nil"/>
            </w:tcBorders>
            <w:shd w:val="clear" w:color="auto" w:fill="95B3D7" w:themeFill="accent1" w:themeFillTint="99"/>
          </w:tcPr>
          <w:p w14:paraId="1ADCB505" w14:textId="77777777" w:rsidR="00D80461" w:rsidRPr="00F05A8A" w:rsidRDefault="00D80461" w:rsidP="002F075E">
            <w:pPr>
              <w:pStyle w:val="Tabletext"/>
              <w:rPr>
                <w:color w:val="FFFFFF" w:themeColor="background1"/>
                <w:szCs w:val="22"/>
              </w:rPr>
            </w:pPr>
            <w:r w:rsidRPr="00F05A8A">
              <w:rPr>
                <w:color w:val="FFFFFF" w:themeColor="background1"/>
                <w:szCs w:val="22"/>
              </w:rPr>
              <w:t>2020</w:t>
            </w:r>
          </w:p>
        </w:tc>
      </w:tr>
      <w:tr w:rsidR="00D80461" w:rsidRPr="00F05A8A" w14:paraId="25BB6C6E" w14:textId="77777777" w:rsidTr="00142C01">
        <w:trPr>
          <w:jc w:val="center"/>
        </w:trPr>
        <w:tc>
          <w:tcPr>
            <w:tcW w:w="4540" w:type="dxa"/>
            <w:tcBorders>
              <w:top w:val="nil"/>
              <w:bottom w:val="nil"/>
            </w:tcBorders>
            <w:shd w:val="clear" w:color="auto" w:fill="DBE5F1" w:themeFill="accent1" w:themeFillTint="33"/>
          </w:tcPr>
          <w:p w14:paraId="02093225" w14:textId="77777777" w:rsidR="00D80461" w:rsidRPr="00F05A8A" w:rsidRDefault="00D80461" w:rsidP="002F075E">
            <w:pPr>
              <w:pStyle w:val="Tabletext"/>
              <w:rPr>
                <w:szCs w:val="22"/>
                <w:highlight w:val="yellow"/>
              </w:rPr>
            </w:pPr>
            <w:r w:rsidRPr="00F05A8A">
              <w:rPr>
                <w:szCs w:val="22"/>
              </w:rPr>
              <w:t>Respect des normes IPSAS (ou audit annuel des comptes résultant en une opinion sans réserve)</w:t>
            </w:r>
          </w:p>
        </w:tc>
        <w:tc>
          <w:tcPr>
            <w:tcW w:w="851" w:type="dxa"/>
            <w:tcBorders>
              <w:top w:val="nil"/>
              <w:bottom w:val="nil"/>
            </w:tcBorders>
            <w:shd w:val="clear" w:color="auto" w:fill="DBE5F1" w:themeFill="accent1" w:themeFillTint="33"/>
            <w:vAlign w:val="center"/>
          </w:tcPr>
          <w:p w14:paraId="35D5761B"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5920BA48"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57975025"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62EA7C2C"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58AA90EE" w14:textId="77777777" w:rsidR="00D80461" w:rsidRPr="00F05A8A" w:rsidRDefault="00D80461" w:rsidP="002F075E">
            <w:pPr>
              <w:pStyle w:val="Tabletext"/>
              <w:jc w:val="center"/>
              <w:rPr>
                <w:szCs w:val="22"/>
              </w:rPr>
            </w:pPr>
            <w:r w:rsidRPr="00F05A8A">
              <w:rPr>
                <w:rFonts w:ascii="Wingdings" w:hAnsi="Wingdings"/>
                <w:color w:val="FF0000"/>
                <w:szCs w:val="22"/>
              </w:rPr>
              <w:sym w:font="Wingdings" w:char="F0FB"/>
            </w:r>
          </w:p>
        </w:tc>
        <w:tc>
          <w:tcPr>
            <w:tcW w:w="708" w:type="dxa"/>
            <w:tcBorders>
              <w:top w:val="nil"/>
              <w:bottom w:val="nil"/>
            </w:tcBorders>
            <w:shd w:val="clear" w:color="auto" w:fill="DBE5F1" w:themeFill="accent1" w:themeFillTint="33"/>
            <w:vAlign w:val="center"/>
          </w:tcPr>
          <w:p w14:paraId="2286D859" w14:textId="77777777" w:rsidR="00D80461" w:rsidRPr="00F05A8A" w:rsidRDefault="00D80461" w:rsidP="002F075E">
            <w:pPr>
              <w:pStyle w:val="Tabletext"/>
              <w:jc w:val="center"/>
              <w:rPr>
                <w:szCs w:val="22"/>
              </w:rPr>
            </w:pPr>
            <w:r w:rsidRPr="00F05A8A">
              <w:rPr>
                <w:rFonts w:ascii="Wingdings" w:hAnsi="Wingdings"/>
                <w:color w:val="FF0000"/>
                <w:szCs w:val="22"/>
              </w:rPr>
              <w:sym w:font="Wingdings" w:char="F0FB"/>
            </w:r>
          </w:p>
        </w:tc>
        <w:tc>
          <w:tcPr>
            <w:tcW w:w="709" w:type="dxa"/>
            <w:tcBorders>
              <w:top w:val="nil"/>
              <w:bottom w:val="nil"/>
            </w:tcBorders>
            <w:shd w:val="clear" w:color="auto" w:fill="DBE5F1" w:themeFill="accent1" w:themeFillTint="33"/>
            <w:vAlign w:val="center"/>
          </w:tcPr>
          <w:p w14:paraId="2A2698AA" w14:textId="77777777" w:rsidR="00D80461" w:rsidRPr="00F05A8A" w:rsidRDefault="00D80461" w:rsidP="002F075E">
            <w:pPr>
              <w:pStyle w:val="Tabletext"/>
              <w:jc w:val="center"/>
              <w:rPr>
                <w:rFonts w:ascii="Wingdings" w:hAnsi="Wingdings"/>
                <w:color w:val="FF0000"/>
                <w:szCs w:val="22"/>
              </w:rPr>
            </w:pPr>
            <w:r w:rsidRPr="00F05A8A">
              <w:rPr>
                <w:rFonts w:ascii="Wingdings" w:hAnsi="Wingdings"/>
                <w:color w:val="FF0000"/>
                <w:szCs w:val="22"/>
              </w:rPr>
              <w:sym w:font="Wingdings" w:char="F0FB"/>
            </w:r>
          </w:p>
        </w:tc>
      </w:tr>
      <w:tr w:rsidR="00D80461" w:rsidRPr="00F05A8A" w14:paraId="7A5BE7FA" w14:textId="77777777" w:rsidTr="00142C01">
        <w:trPr>
          <w:jc w:val="center"/>
        </w:trPr>
        <w:tc>
          <w:tcPr>
            <w:tcW w:w="4540" w:type="dxa"/>
            <w:tcBorders>
              <w:top w:val="nil"/>
              <w:bottom w:val="nil"/>
            </w:tcBorders>
            <w:shd w:val="clear" w:color="auto" w:fill="FFFFFF" w:themeFill="background1"/>
          </w:tcPr>
          <w:p w14:paraId="223B740E" w14:textId="77777777" w:rsidR="00D80461" w:rsidRPr="00F05A8A" w:rsidRDefault="00D80461" w:rsidP="002F075E">
            <w:pPr>
              <w:pStyle w:val="Tabletext"/>
              <w:rPr>
                <w:szCs w:val="22"/>
                <w:highlight w:val="yellow"/>
              </w:rPr>
            </w:pPr>
            <w:r w:rsidRPr="00F05A8A">
              <w:rPr>
                <w:szCs w:val="22"/>
              </w:rPr>
              <w:t>Services d'achat et des voyages (lignes directrices de l'UIT et bonnes pratiques des Nations Unies en place)</w:t>
            </w:r>
          </w:p>
        </w:tc>
        <w:tc>
          <w:tcPr>
            <w:tcW w:w="851" w:type="dxa"/>
            <w:tcBorders>
              <w:top w:val="nil"/>
              <w:bottom w:val="nil"/>
            </w:tcBorders>
            <w:shd w:val="clear" w:color="auto" w:fill="FFFFFF" w:themeFill="background1"/>
            <w:vAlign w:val="center"/>
          </w:tcPr>
          <w:p w14:paraId="5DE00A7C"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bottom w:val="nil"/>
            </w:tcBorders>
            <w:shd w:val="clear" w:color="auto" w:fill="FFFFFF" w:themeFill="background1"/>
            <w:vAlign w:val="center"/>
          </w:tcPr>
          <w:p w14:paraId="76FF293C"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35DDDC1B"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1B51D4A6"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2D5799CE"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bottom w:val="nil"/>
            </w:tcBorders>
            <w:shd w:val="clear" w:color="auto" w:fill="FFFFFF" w:themeFill="background1"/>
            <w:vAlign w:val="center"/>
          </w:tcPr>
          <w:p w14:paraId="14B441D7"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624E8BF4" w14:textId="77777777" w:rsidR="00D80461" w:rsidRPr="00F05A8A" w:rsidRDefault="00D80461" w:rsidP="002F075E">
            <w:pPr>
              <w:pStyle w:val="Tabletext"/>
              <w:jc w:val="center"/>
              <w:rPr>
                <w:rFonts w:ascii="Wingdings" w:hAnsi="Wingdings"/>
                <w:szCs w:val="22"/>
              </w:rPr>
            </w:pPr>
            <w:r w:rsidRPr="00F05A8A">
              <w:rPr>
                <w:rFonts w:ascii="Wingdings" w:hAnsi="Wingdings"/>
                <w:szCs w:val="22"/>
              </w:rPr>
              <w:sym w:font="Wingdings" w:char="F0FC"/>
            </w:r>
          </w:p>
        </w:tc>
      </w:tr>
      <w:tr w:rsidR="00D80461" w:rsidRPr="00F05A8A" w14:paraId="56BD9571" w14:textId="77777777" w:rsidTr="00142C01">
        <w:trPr>
          <w:jc w:val="center"/>
        </w:trPr>
        <w:tc>
          <w:tcPr>
            <w:tcW w:w="4540" w:type="dxa"/>
            <w:tcBorders>
              <w:top w:val="nil"/>
              <w:bottom w:val="nil"/>
            </w:tcBorders>
            <w:shd w:val="clear" w:color="auto" w:fill="DBE5F1" w:themeFill="accent1" w:themeFillTint="33"/>
          </w:tcPr>
          <w:p w14:paraId="32DF67F1" w14:textId="77777777" w:rsidR="00D80461" w:rsidRPr="00F05A8A" w:rsidRDefault="00D80461" w:rsidP="002F075E">
            <w:pPr>
              <w:pStyle w:val="Tabletext"/>
              <w:rPr>
                <w:szCs w:val="22"/>
                <w:highlight w:val="yellow"/>
              </w:rPr>
            </w:pPr>
            <w:r w:rsidRPr="00F05A8A">
              <w:rPr>
                <w:szCs w:val="22"/>
              </w:rPr>
              <w:t>Mise en œuvre du budget (pas de dépassement des dépenses)</w:t>
            </w:r>
          </w:p>
        </w:tc>
        <w:tc>
          <w:tcPr>
            <w:tcW w:w="851" w:type="dxa"/>
            <w:tcBorders>
              <w:top w:val="nil"/>
              <w:bottom w:val="nil"/>
            </w:tcBorders>
            <w:shd w:val="clear" w:color="auto" w:fill="DBE5F1" w:themeFill="accent1" w:themeFillTint="33"/>
            <w:vAlign w:val="center"/>
          </w:tcPr>
          <w:p w14:paraId="3FA367C9"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7AD15EAF"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4D2A6984"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6F1ED63A"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0D0D50C8"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52E0B6BC"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11CF3F57" w14:textId="77777777" w:rsidR="00D80461" w:rsidRPr="00F05A8A" w:rsidRDefault="00D80461" w:rsidP="002F075E">
            <w:pPr>
              <w:pStyle w:val="Tabletext"/>
              <w:jc w:val="center"/>
              <w:rPr>
                <w:rFonts w:ascii="Wingdings" w:hAnsi="Wingdings"/>
                <w:szCs w:val="22"/>
              </w:rPr>
            </w:pPr>
            <w:r w:rsidRPr="00F05A8A">
              <w:rPr>
                <w:rFonts w:ascii="Wingdings" w:hAnsi="Wingdings"/>
                <w:szCs w:val="22"/>
              </w:rPr>
              <w:sym w:font="Wingdings" w:char="F0FC"/>
            </w:r>
          </w:p>
        </w:tc>
      </w:tr>
      <w:tr w:rsidR="00D80461" w:rsidRPr="00F05A8A" w14:paraId="597D8B6C" w14:textId="77777777" w:rsidTr="00142C01">
        <w:trPr>
          <w:jc w:val="center"/>
        </w:trPr>
        <w:tc>
          <w:tcPr>
            <w:tcW w:w="4540" w:type="dxa"/>
            <w:tcBorders>
              <w:top w:val="nil"/>
            </w:tcBorders>
            <w:shd w:val="clear" w:color="auto" w:fill="FFFFFF" w:themeFill="background1"/>
          </w:tcPr>
          <w:p w14:paraId="421AE9AA" w14:textId="77777777" w:rsidR="00D80461" w:rsidRPr="00F05A8A" w:rsidRDefault="00D80461" w:rsidP="002F075E">
            <w:pPr>
              <w:pStyle w:val="Tabletext"/>
              <w:rPr>
                <w:szCs w:val="22"/>
                <w:highlight w:val="yellow"/>
              </w:rPr>
            </w:pPr>
            <w:r w:rsidRPr="00F05A8A">
              <w:rPr>
                <w:szCs w:val="22"/>
              </w:rPr>
              <w:t>Blessures ou incidents relatifs au travail &lt;2%</w:t>
            </w:r>
          </w:p>
        </w:tc>
        <w:tc>
          <w:tcPr>
            <w:tcW w:w="851" w:type="dxa"/>
            <w:tcBorders>
              <w:top w:val="nil"/>
            </w:tcBorders>
            <w:shd w:val="clear" w:color="auto" w:fill="FFFFFF" w:themeFill="background1"/>
            <w:vAlign w:val="center"/>
          </w:tcPr>
          <w:p w14:paraId="1D8301E4"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tcBorders>
            <w:shd w:val="clear" w:color="auto" w:fill="FFFFFF" w:themeFill="background1"/>
            <w:vAlign w:val="center"/>
          </w:tcPr>
          <w:p w14:paraId="45EC4738"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tcBorders>
            <w:shd w:val="clear" w:color="auto" w:fill="FFFFFF" w:themeFill="background1"/>
            <w:vAlign w:val="center"/>
          </w:tcPr>
          <w:p w14:paraId="1474FC73"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tcBorders>
            <w:shd w:val="clear" w:color="auto" w:fill="FFFFFF" w:themeFill="background1"/>
            <w:vAlign w:val="center"/>
          </w:tcPr>
          <w:p w14:paraId="670577BB"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tcBorders>
            <w:shd w:val="clear" w:color="auto" w:fill="FFFFFF" w:themeFill="background1"/>
            <w:vAlign w:val="center"/>
          </w:tcPr>
          <w:p w14:paraId="57CF245D"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8" w:type="dxa"/>
            <w:tcBorders>
              <w:top w:val="nil"/>
            </w:tcBorders>
            <w:shd w:val="clear" w:color="auto" w:fill="FFFFFF" w:themeFill="background1"/>
            <w:vAlign w:val="center"/>
          </w:tcPr>
          <w:p w14:paraId="40B2DF0C" w14:textId="77777777" w:rsidR="00D80461" w:rsidRPr="00F05A8A" w:rsidRDefault="00D80461" w:rsidP="002F075E">
            <w:pPr>
              <w:pStyle w:val="Tabletext"/>
              <w:jc w:val="center"/>
              <w:rPr>
                <w:szCs w:val="22"/>
              </w:rPr>
            </w:pPr>
            <w:r w:rsidRPr="00F05A8A">
              <w:rPr>
                <w:rFonts w:ascii="Wingdings" w:hAnsi="Wingdings"/>
                <w:szCs w:val="22"/>
              </w:rPr>
              <w:sym w:font="Wingdings" w:char="F0FC"/>
            </w:r>
          </w:p>
        </w:tc>
        <w:tc>
          <w:tcPr>
            <w:tcW w:w="709" w:type="dxa"/>
            <w:tcBorders>
              <w:top w:val="nil"/>
            </w:tcBorders>
            <w:shd w:val="clear" w:color="auto" w:fill="FFFFFF" w:themeFill="background1"/>
            <w:vAlign w:val="center"/>
          </w:tcPr>
          <w:p w14:paraId="2923B257" w14:textId="77777777" w:rsidR="00D80461" w:rsidRPr="00F05A8A" w:rsidRDefault="00D80461" w:rsidP="002F075E">
            <w:pPr>
              <w:pStyle w:val="Tabletext"/>
              <w:jc w:val="center"/>
              <w:rPr>
                <w:rFonts w:ascii="Wingdings" w:hAnsi="Wingdings"/>
                <w:szCs w:val="22"/>
              </w:rPr>
            </w:pPr>
            <w:r w:rsidRPr="00F05A8A">
              <w:rPr>
                <w:rFonts w:ascii="Wingdings" w:hAnsi="Wingdings"/>
                <w:szCs w:val="22"/>
              </w:rPr>
              <w:sym w:font="Wingdings" w:char="F0FC"/>
            </w:r>
          </w:p>
        </w:tc>
      </w:tr>
    </w:tbl>
    <w:p w14:paraId="405A8394" w14:textId="77777777" w:rsidR="00D80461" w:rsidRPr="00F05A8A" w:rsidRDefault="00D80461" w:rsidP="002F075E">
      <w:bookmarkStart w:id="926" w:name="_Toc41032196"/>
    </w:p>
    <w:tbl>
      <w:tblPr>
        <w:tblW w:w="0" w:type="auto"/>
        <w:tblLook w:val="04A0" w:firstRow="1" w:lastRow="0" w:firstColumn="1" w:lastColumn="0" w:noHBand="0" w:noVBand="1"/>
      </w:tblPr>
      <w:tblGrid>
        <w:gridCol w:w="4835"/>
        <w:gridCol w:w="4810"/>
      </w:tblGrid>
      <w:tr w:rsidR="00D80461" w:rsidRPr="00F05A8A" w14:paraId="1806EFE2" w14:textId="77777777" w:rsidTr="00142C01">
        <w:tc>
          <w:tcPr>
            <w:tcW w:w="4888" w:type="dxa"/>
          </w:tcPr>
          <w:p w14:paraId="6B769A55" w14:textId="77777777" w:rsidR="00D80461" w:rsidRPr="00F05A8A" w:rsidRDefault="00D80461" w:rsidP="002F075E">
            <w:pPr>
              <w:spacing w:before="240" w:after="240"/>
              <w:jc w:val="center"/>
              <w:rPr>
                <w:rFonts w:cs="Calibri"/>
                <w:b/>
                <w:bCs/>
              </w:rPr>
            </w:pPr>
            <w:r w:rsidRPr="00F05A8A">
              <w:rPr>
                <w:lang w:eastAsia="fr-FR"/>
              </w:rPr>
              <w:lastRenderedPageBreak/>
              <w:drawing>
                <wp:inline distT="0" distB="0" distL="0" distR="0" wp14:anchorId="36AD747A" wp14:editId="375A42A3">
                  <wp:extent cx="3067200" cy="1807200"/>
                  <wp:effectExtent l="0" t="0" r="0" b="3175"/>
                  <wp:docPr id="1304106817" name="Picture 13041068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06817" name="Picture 1304106817" descr="Chart, waterfall chart&#10;&#10;Description automatically generated"/>
                          <pic:cNvPicPr/>
                        </pic:nvPicPr>
                        <pic:blipFill>
                          <a:blip r:embed="rId659"/>
                          <a:stretch>
                            <a:fillRect/>
                          </a:stretch>
                        </pic:blipFill>
                        <pic:spPr>
                          <a:xfrm>
                            <a:off x="0" y="0"/>
                            <a:ext cx="3067200" cy="1807200"/>
                          </a:xfrm>
                          <a:prstGeom prst="rect">
                            <a:avLst/>
                          </a:prstGeom>
                        </pic:spPr>
                      </pic:pic>
                    </a:graphicData>
                  </a:graphic>
                </wp:inline>
              </w:drawing>
            </w:r>
          </w:p>
        </w:tc>
        <w:tc>
          <w:tcPr>
            <w:tcW w:w="4751" w:type="dxa"/>
          </w:tcPr>
          <w:p w14:paraId="400B995A" w14:textId="77777777" w:rsidR="00D80461" w:rsidRPr="00F05A8A" w:rsidRDefault="00D80461" w:rsidP="002F075E">
            <w:pPr>
              <w:jc w:val="center"/>
              <w:rPr>
                <w:rFonts w:cs="Calibri"/>
                <w:b/>
                <w:bCs/>
              </w:rPr>
            </w:pPr>
          </w:p>
        </w:tc>
      </w:tr>
      <w:tr w:rsidR="00D80461" w:rsidRPr="00F05A8A" w14:paraId="33529E1A" w14:textId="77777777" w:rsidTr="00142C01">
        <w:tc>
          <w:tcPr>
            <w:tcW w:w="9639" w:type="dxa"/>
            <w:gridSpan w:val="2"/>
          </w:tcPr>
          <w:p w14:paraId="5D2D70F0" w14:textId="77777777" w:rsidR="00D80461" w:rsidRPr="00F05A8A" w:rsidRDefault="00D80461" w:rsidP="002F075E">
            <w:pPr>
              <w:spacing w:before="240" w:after="240"/>
              <w:jc w:val="center"/>
              <w:rPr>
                <w:sz w:val="20"/>
                <w:highlight w:val="yellow"/>
              </w:rPr>
            </w:pPr>
            <w:r w:rsidRPr="00F05A8A">
              <w:rPr>
                <w:lang w:eastAsia="fr-FR"/>
              </w:rPr>
              <w:drawing>
                <wp:inline distT="0" distB="0" distL="0" distR="0" wp14:anchorId="1CBB4AA6" wp14:editId="582B7734">
                  <wp:extent cx="5868000" cy="1760400"/>
                  <wp:effectExtent l="0" t="0" r="0" b="0"/>
                  <wp:docPr id="227" name="Picture 22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 waterfall chart&#10;&#10;Description automatically generated"/>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868000" cy="1760400"/>
                          </a:xfrm>
                          <a:prstGeom prst="rect">
                            <a:avLst/>
                          </a:prstGeom>
                          <a:noFill/>
                        </pic:spPr>
                      </pic:pic>
                    </a:graphicData>
                  </a:graphic>
                </wp:inline>
              </w:drawing>
            </w:r>
          </w:p>
        </w:tc>
      </w:tr>
      <w:tr w:rsidR="00D80461" w:rsidRPr="00F05A8A" w14:paraId="7805C768" w14:textId="77777777" w:rsidTr="00142C01">
        <w:tc>
          <w:tcPr>
            <w:tcW w:w="4888" w:type="dxa"/>
          </w:tcPr>
          <w:p w14:paraId="0388090A" w14:textId="77777777" w:rsidR="00D80461" w:rsidRPr="00F05A8A" w:rsidRDefault="00D80461" w:rsidP="002F075E">
            <w:pPr>
              <w:spacing w:before="240" w:after="240"/>
              <w:rPr>
                <w:rFonts w:cs="Calibri"/>
                <w:b/>
                <w:bCs/>
              </w:rPr>
            </w:pPr>
            <w:r w:rsidRPr="00F05A8A">
              <w:rPr>
                <w:rFonts w:cs="Calibri"/>
                <w:b/>
                <w:bCs/>
                <w:lang w:eastAsia="fr-FR"/>
              </w:rPr>
              <w:drawing>
                <wp:inline distT="0" distB="0" distL="0" distR="0" wp14:anchorId="1688E8E0" wp14:editId="1D5A8AD5">
                  <wp:extent cx="2905200" cy="1951200"/>
                  <wp:effectExtent l="0" t="0" r="0" b="0"/>
                  <wp:docPr id="1802487810" name="Picture 18024878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0" name="Picture 1802487810" descr="Chart, line chart&#10;&#10;Description automatically generated"/>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905200" cy="1951200"/>
                          </a:xfrm>
                          <a:prstGeom prst="rect">
                            <a:avLst/>
                          </a:prstGeom>
                          <a:noFill/>
                        </pic:spPr>
                      </pic:pic>
                    </a:graphicData>
                  </a:graphic>
                </wp:inline>
              </w:drawing>
            </w:r>
          </w:p>
        </w:tc>
        <w:tc>
          <w:tcPr>
            <w:tcW w:w="4751" w:type="dxa"/>
          </w:tcPr>
          <w:p w14:paraId="14CF83F3" w14:textId="77777777" w:rsidR="00D80461" w:rsidRPr="00F05A8A" w:rsidRDefault="00D80461" w:rsidP="002F075E">
            <w:pPr>
              <w:spacing w:before="480" w:after="240"/>
              <w:rPr>
                <w:rFonts w:cs="Calibri"/>
                <w:b/>
                <w:bCs/>
              </w:rPr>
            </w:pPr>
            <w:r w:rsidRPr="00F05A8A">
              <w:rPr>
                <w:rFonts w:cs="Calibri"/>
                <w:b/>
                <w:bCs/>
                <w:lang w:eastAsia="fr-FR"/>
              </w:rPr>
              <w:drawing>
                <wp:inline distT="0" distB="0" distL="0" distR="0" wp14:anchorId="358CBC5C" wp14:editId="7322EAFD">
                  <wp:extent cx="2750400" cy="1652400"/>
                  <wp:effectExtent l="0" t="0" r="0" b="5080"/>
                  <wp:docPr id="250" name="Picture 25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chart&#10;&#10;Description automatically generated"/>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D80461" w:rsidRPr="00F05A8A" w14:paraId="5FD06DBA" w14:textId="77777777" w:rsidTr="00142C01">
        <w:tc>
          <w:tcPr>
            <w:tcW w:w="4888" w:type="dxa"/>
          </w:tcPr>
          <w:p w14:paraId="10BFE196" w14:textId="77777777" w:rsidR="00D80461" w:rsidRPr="00F05A8A" w:rsidRDefault="00D80461" w:rsidP="002F075E">
            <w:pPr>
              <w:spacing w:before="240" w:after="240"/>
            </w:pPr>
            <w:r w:rsidRPr="00F05A8A">
              <w:rPr>
                <w:lang w:eastAsia="fr-FR"/>
              </w:rPr>
              <w:drawing>
                <wp:inline distT="0" distB="0" distL="0" distR="0" wp14:anchorId="1D9DD663" wp14:editId="4B364BC9">
                  <wp:extent cx="2980800" cy="1789200"/>
                  <wp:effectExtent l="0" t="0" r="0" b="1905"/>
                  <wp:docPr id="252" name="Picture 25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Chart, waterfall chart&#10;&#10;Description automatically generated"/>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980800" cy="1789200"/>
                          </a:xfrm>
                          <a:prstGeom prst="rect">
                            <a:avLst/>
                          </a:prstGeom>
                          <a:noFill/>
                        </pic:spPr>
                      </pic:pic>
                    </a:graphicData>
                  </a:graphic>
                </wp:inline>
              </w:drawing>
            </w:r>
          </w:p>
        </w:tc>
        <w:tc>
          <w:tcPr>
            <w:tcW w:w="4751" w:type="dxa"/>
          </w:tcPr>
          <w:p w14:paraId="2C3DF443" w14:textId="77777777" w:rsidR="00D80461" w:rsidRPr="00F05A8A" w:rsidRDefault="00D80461" w:rsidP="002F075E">
            <w:pPr>
              <w:spacing w:before="240" w:after="240"/>
              <w:jc w:val="center"/>
            </w:pPr>
            <w:r w:rsidRPr="00F05A8A">
              <w:rPr>
                <w:lang w:eastAsia="fr-FR"/>
              </w:rPr>
              <w:drawing>
                <wp:inline distT="0" distB="0" distL="0" distR="0" wp14:anchorId="7D064438" wp14:editId="74740F41">
                  <wp:extent cx="2977200" cy="1785600"/>
                  <wp:effectExtent l="0" t="0" r="0" b="5715"/>
                  <wp:docPr id="254" name="Picture 2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hart&#10;&#10;Description automatically generated"/>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p>
        </w:tc>
      </w:tr>
      <w:tr w:rsidR="00D80461" w:rsidRPr="00F05A8A" w14:paraId="79533CEB" w14:textId="77777777" w:rsidTr="00142C01">
        <w:tc>
          <w:tcPr>
            <w:tcW w:w="4888" w:type="dxa"/>
          </w:tcPr>
          <w:p w14:paraId="5A0E6C09" w14:textId="77777777" w:rsidR="00D80461" w:rsidRPr="00F05A8A" w:rsidRDefault="00D80461" w:rsidP="002F075E">
            <w:pPr>
              <w:spacing w:before="240" w:after="240"/>
            </w:pPr>
            <w:r w:rsidRPr="00F05A8A">
              <w:rPr>
                <w:lang w:eastAsia="fr-FR"/>
              </w:rPr>
              <w:lastRenderedPageBreak/>
              <w:drawing>
                <wp:inline distT="0" distB="0" distL="0" distR="0" wp14:anchorId="237A14A5" wp14:editId="1D76C44D">
                  <wp:extent cx="3002400" cy="1785600"/>
                  <wp:effectExtent l="0" t="0" r="7620" b="5715"/>
                  <wp:docPr id="1193504064" name="Picture 119350406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64" name="Picture 1193504064" descr="Chart, box and whisker chart&#10;&#10;Description automatically generated"/>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002400" cy="1785600"/>
                          </a:xfrm>
                          <a:prstGeom prst="rect">
                            <a:avLst/>
                          </a:prstGeom>
                          <a:noFill/>
                        </pic:spPr>
                      </pic:pic>
                    </a:graphicData>
                  </a:graphic>
                </wp:inline>
              </w:drawing>
            </w:r>
          </w:p>
        </w:tc>
        <w:tc>
          <w:tcPr>
            <w:tcW w:w="4751" w:type="dxa"/>
          </w:tcPr>
          <w:p w14:paraId="76536B95" w14:textId="77777777" w:rsidR="00D80461" w:rsidRPr="00F05A8A" w:rsidRDefault="00D80461" w:rsidP="002F075E">
            <w:pPr>
              <w:spacing w:before="240" w:after="240"/>
              <w:jc w:val="both"/>
            </w:pPr>
            <w:r w:rsidRPr="00F05A8A">
              <w:rPr>
                <w:lang w:eastAsia="fr-FR"/>
              </w:rPr>
              <w:drawing>
                <wp:inline distT="0" distB="0" distL="0" distR="0" wp14:anchorId="705586F3" wp14:editId="1C271556">
                  <wp:extent cx="3074105" cy="1751750"/>
                  <wp:effectExtent l="0" t="0" r="0" b="1270"/>
                  <wp:docPr id="203575374" name="Picture 20357537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74" name="Picture 203575374" descr="Chart, bar chart&#10;&#10;Description automatically generated"/>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107768" cy="1770933"/>
                          </a:xfrm>
                          <a:prstGeom prst="rect">
                            <a:avLst/>
                          </a:prstGeom>
                          <a:noFill/>
                        </pic:spPr>
                      </pic:pic>
                    </a:graphicData>
                  </a:graphic>
                </wp:inline>
              </w:drawing>
            </w:r>
          </w:p>
        </w:tc>
      </w:tr>
      <w:tr w:rsidR="00D80461" w:rsidRPr="00F05A8A" w14:paraId="7606D36A" w14:textId="77777777" w:rsidTr="00142C01">
        <w:tc>
          <w:tcPr>
            <w:tcW w:w="4888" w:type="dxa"/>
          </w:tcPr>
          <w:p w14:paraId="09550513" w14:textId="77777777" w:rsidR="00D80461" w:rsidRPr="00F05A8A" w:rsidRDefault="00D80461" w:rsidP="002F075E">
            <w:pPr>
              <w:spacing w:before="240" w:after="240"/>
            </w:pPr>
            <w:r w:rsidRPr="00F05A8A">
              <w:rPr>
                <w:highlight w:val="green"/>
                <w:lang w:eastAsia="fr-FR"/>
              </w:rPr>
              <mc:AlternateContent>
                <mc:Choice Requires="wps">
                  <w:drawing>
                    <wp:anchor distT="45720" distB="45720" distL="114300" distR="114300" simplePos="0" relativeHeight="251798528" behindDoc="0" locked="0" layoutInCell="1" allowOverlap="1" wp14:anchorId="226A3DDD" wp14:editId="60D414E9">
                      <wp:simplePos x="0" y="0"/>
                      <wp:positionH relativeFrom="column">
                        <wp:posOffset>306334</wp:posOffset>
                      </wp:positionH>
                      <wp:positionV relativeFrom="paragraph">
                        <wp:posOffset>2084657</wp:posOffset>
                      </wp:positionV>
                      <wp:extent cx="2360930" cy="232914"/>
                      <wp:effectExtent l="0" t="0" r="8890" b="0"/>
                      <wp:wrapNone/>
                      <wp:docPr id="203575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914"/>
                              </a:xfrm>
                              <a:prstGeom prst="rect">
                                <a:avLst/>
                              </a:prstGeom>
                              <a:solidFill>
                                <a:srgbClr val="FFFFFF"/>
                              </a:solidFill>
                              <a:ln w="9525">
                                <a:noFill/>
                                <a:miter lim="800000"/>
                                <a:headEnd/>
                                <a:tailEnd/>
                              </a:ln>
                            </wps:spPr>
                            <wps:txbx>
                              <w:txbxContent>
                                <w:p w14:paraId="7CDEF568" w14:textId="77777777" w:rsidR="00756EAD" w:rsidRPr="00AD3FBD" w:rsidRDefault="00756EAD" w:rsidP="00D80461">
                                  <w:pPr>
                                    <w:spacing w:before="0"/>
                                    <w:jc w:val="center"/>
                                    <w:rPr>
                                      <w:b/>
                                      <w:bCs/>
                                      <w:iCs/>
                                      <w:color w:val="7F7F7F" w:themeColor="text1" w:themeTint="80"/>
                                      <w:sz w:val="17"/>
                                      <w:szCs w:val="17"/>
                                    </w:rPr>
                                  </w:pPr>
                                  <w:r w:rsidRPr="00AD3FBD">
                                    <w:rPr>
                                      <w:b/>
                                      <w:bCs/>
                                      <w:iCs/>
                                      <w:color w:val="404040" w:themeColor="text1" w:themeTint="BF"/>
                                      <w:sz w:val="17"/>
                                      <w:szCs w:val="17"/>
                                    </w:rPr>
                                    <w:t>Membres du personnel par Secteur en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6A3DDD" id="_x0000_s1202" type="#_x0000_t202" style="position:absolute;margin-left:24.1pt;margin-top:164.15pt;width:185.9pt;height:18.35pt;z-index:251798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" stroked="f">
                      <v:textbox>
                        <w:txbxContent>
                          <w:p w14:paraId="7CDEF568" w14:textId="77777777" w:rsidR="00756EAD" w:rsidRPr="00AD3FBD" w:rsidRDefault="00756EAD" w:rsidP="00D80461">
                            <w:pPr>
                              <w:spacing w:before="0"/>
                              <w:jc w:val="center"/>
                              <w:rPr>
                                <w:b/>
                                <w:bCs/>
                                <w:iCs/>
                                <w:color w:val="7F7F7F" w:themeColor="text1" w:themeTint="80"/>
                                <w:sz w:val="17"/>
                                <w:szCs w:val="17"/>
                              </w:rPr>
                            </w:pPr>
                            <w:r w:rsidRPr="00AD3FBD">
                              <w:rPr>
                                <w:b/>
                                <w:bCs/>
                                <w:iCs/>
                                <w:color w:val="404040" w:themeColor="text1" w:themeTint="BF"/>
                                <w:sz w:val="17"/>
                                <w:szCs w:val="17"/>
                              </w:rPr>
                              <w:t>Membres du personnel par Secteur en 2020</w:t>
                            </w:r>
                          </w:p>
                        </w:txbxContent>
                      </v:textbox>
                    </v:shape>
                  </w:pict>
                </mc:Fallback>
              </mc:AlternateContent>
            </w:r>
            <w:r w:rsidRPr="00F05A8A">
              <w:rPr>
                <w:lang w:eastAsia="fr-FR"/>
              </w:rPr>
              <w:drawing>
                <wp:inline distT="0" distB="0" distL="0" distR="0" wp14:anchorId="43330F61" wp14:editId="18E1C2D3">
                  <wp:extent cx="2977200" cy="1785600"/>
                  <wp:effectExtent l="0" t="0" r="0" b="5715"/>
                  <wp:docPr id="229" name="Picture 2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pie chart&#10;&#10;Description automatically generated"/>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r w:rsidRPr="00F05A8A">
              <w:t xml:space="preserve"> </w:t>
            </w:r>
          </w:p>
          <w:p w14:paraId="1DB06D91" w14:textId="77777777" w:rsidR="00D80461" w:rsidRPr="00F05A8A" w:rsidRDefault="00D80461" w:rsidP="002F075E">
            <w:pPr>
              <w:spacing w:before="240" w:after="240"/>
              <w:jc w:val="center"/>
              <w:rPr>
                <w:highlight w:val="green"/>
              </w:rPr>
            </w:pPr>
            <w:r w:rsidRPr="00F05A8A">
              <w:rPr>
                <w:highlight w:val="green"/>
                <w:lang w:eastAsia="fr-FR"/>
              </w:rPr>
              <mc:AlternateContent>
                <mc:Choice Requires="wps">
                  <w:drawing>
                    <wp:anchor distT="45720" distB="45720" distL="114300" distR="114300" simplePos="0" relativeHeight="251799552" behindDoc="0" locked="0" layoutInCell="1" allowOverlap="1" wp14:anchorId="27FBD02D" wp14:editId="026E18AE">
                      <wp:simplePos x="0" y="0"/>
                      <wp:positionH relativeFrom="column">
                        <wp:posOffset>1883278</wp:posOffset>
                      </wp:positionH>
                      <wp:positionV relativeFrom="paragraph">
                        <wp:posOffset>1487501</wp:posOffset>
                      </wp:positionV>
                      <wp:extent cx="325919" cy="236030"/>
                      <wp:effectExtent l="0" t="0" r="0" b="0"/>
                      <wp:wrapNone/>
                      <wp:docPr id="203575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19" cy="236030"/>
                              </a:xfrm>
                              <a:prstGeom prst="rect">
                                <a:avLst/>
                              </a:prstGeom>
                              <a:solidFill>
                                <a:srgbClr val="FFFFFF"/>
                              </a:solidFill>
                              <a:ln w="9525">
                                <a:noFill/>
                                <a:miter lim="800000"/>
                                <a:headEnd/>
                                <a:tailEnd/>
                              </a:ln>
                            </wps:spPr>
                            <wps:txbx>
                              <w:txbxContent>
                                <w:p w14:paraId="2182CBD0" w14:textId="77777777" w:rsidR="00756EAD" w:rsidRPr="00436D2D" w:rsidRDefault="00756EAD" w:rsidP="00D80461">
                                  <w:pPr>
                                    <w:spacing w:before="0"/>
                                    <w:ind w:left="-142"/>
                                    <w:rPr>
                                      <w:b/>
                                      <w:bCs/>
                                      <w:iCs/>
                                      <w:color w:val="7F7F7F" w:themeColor="text1" w:themeTint="80"/>
                                      <w:sz w:val="16"/>
                                      <w:szCs w:val="16"/>
                                      <w:lang w:val="fr-CH"/>
                                    </w:rPr>
                                  </w:pPr>
                                  <w:r w:rsidRPr="00436D2D">
                                    <w:rPr>
                                      <w:b/>
                                      <w:bCs/>
                                      <w:iCs/>
                                      <w:color w:val="595959" w:themeColor="text1" w:themeTint="A6"/>
                                      <w:sz w:val="16"/>
                                      <w:szCs w:val="16"/>
                                      <w:lang w:val="fr-CH"/>
                                    </w:rPr>
                                    <w:t>SG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BD02D" id="_x0000_s1203" type="#_x0000_t202" style="position:absolute;left:0;text-align:left;margin-left:148.3pt;margin-top:117.15pt;width:25.65pt;height:18.6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" stroked="f">
                      <v:textbox>
                        <w:txbxContent>
                          <w:p w14:paraId="2182CBD0" w14:textId="77777777" w:rsidR="00756EAD" w:rsidRPr="00436D2D" w:rsidRDefault="00756EAD" w:rsidP="00D80461">
                            <w:pPr>
                              <w:spacing w:before="0"/>
                              <w:ind w:left="-142"/>
                              <w:rPr>
                                <w:b/>
                                <w:bCs/>
                                <w:iCs/>
                                <w:color w:val="7F7F7F" w:themeColor="text1" w:themeTint="80"/>
                                <w:sz w:val="16"/>
                                <w:szCs w:val="16"/>
                                <w:lang w:val="fr-CH"/>
                              </w:rPr>
                            </w:pPr>
                            <w:r w:rsidRPr="00436D2D">
                              <w:rPr>
                                <w:b/>
                                <w:bCs/>
                                <w:iCs/>
                                <w:color w:val="595959" w:themeColor="text1" w:themeTint="A6"/>
                                <w:sz w:val="16"/>
                                <w:szCs w:val="16"/>
                                <w:lang w:val="fr-CH"/>
                              </w:rPr>
                              <w:t>SG</w:t>
                            </w:r>
                          </w:p>
                        </w:txbxContent>
                      </v:textbox>
                    </v:shape>
                  </w:pict>
                </mc:Fallback>
              </mc:AlternateContent>
            </w:r>
            <w:r w:rsidRPr="00F05A8A">
              <w:rPr>
                <w:b/>
                <w:bCs/>
                <w:lang w:eastAsia="fr-FR"/>
              </w:rPr>
              <w:drawing>
                <wp:inline distT="0" distB="0" distL="0" distR="0" wp14:anchorId="54B585E1" wp14:editId="52DDEB32">
                  <wp:extent cx="2743195" cy="1742535"/>
                  <wp:effectExtent l="0" t="0" r="635" b="0"/>
                  <wp:docPr id="1193504109" name="Picture 119350410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09" name="Picture 1193504109" descr="Chart, pie chart&#10;&#10;Description automatically generated"/>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766858" cy="1757567"/>
                          </a:xfrm>
                          <a:prstGeom prst="rect">
                            <a:avLst/>
                          </a:prstGeom>
                          <a:noFill/>
                        </pic:spPr>
                      </pic:pic>
                    </a:graphicData>
                  </a:graphic>
                </wp:inline>
              </w:drawing>
            </w:r>
          </w:p>
        </w:tc>
        <w:tc>
          <w:tcPr>
            <w:tcW w:w="4751" w:type="dxa"/>
          </w:tcPr>
          <w:p w14:paraId="146807FB" w14:textId="77777777" w:rsidR="00D80461" w:rsidRPr="00F05A8A" w:rsidRDefault="00D80461" w:rsidP="002F075E">
            <w:pPr>
              <w:spacing w:before="240" w:after="240"/>
              <w:rPr>
                <w:b/>
                <w:bCs/>
                <w:lang w:eastAsia="fr-FR"/>
              </w:rPr>
            </w:pPr>
          </w:p>
        </w:tc>
      </w:tr>
      <w:tr w:rsidR="00D80461" w:rsidRPr="00F05A8A" w14:paraId="0D6C17AD" w14:textId="77777777" w:rsidTr="00142C01">
        <w:tc>
          <w:tcPr>
            <w:tcW w:w="4888" w:type="dxa"/>
          </w:tcPr>
          <w:p w14:paraId="7EE9824A" w14:textId="77777777" w:rsidR="00D80461" w:rsidRPr="00F05A8A" w:rsidRDefault="00D80461" w:rsidP="002F075E"/>
        </w:tc>
        <w:tc>
          <w:tcPr>
            <w:tcW w:w="4751" w:type="dxa"/>
          </w:tcPr>
          <w:p w14:paraId="5F384997" w14:textId="77777777" w:rsidR="00D80461" w:rsidRPr="00F05A8A" w:rsidRDefault="00D80461" w:rsidP="002F075E"/>
        </w:tc>
      </w:tr>
      <w:tr w:rsidR="00D80461" w:rsidRPr="00F05A8A" w14:paraId="30268AF7" w14:textId="77777777" w:rsidTr="00142C01">
        <w:tc>
          <w:tcPr>
            <w:tcW w:w="4888" w:type="dxa"/>
          </w:tcPr>
          <w:p w14:paraId="06D4F7F5" w14:textId="77777777" w:rsidR="00D80461" w:rsidRPr="00F05A8A" w:rsidRDefault="00D80461" w:rsidP="002F075E">
            <w:pPr>
              <w:spacing w:before="240" w:after="240"/>
              <w:jc w:val="center"/>
            </w:pPr>
            <w:r w:rsidRPr="00F05A8A">
              <w:rPr>
                <w:lang w:eastAsia="fr-FR"/>
              </w:rPr>
              <w:drawing>
                <wp:inline distT="0" distB="0" distL="0" distR="0" wp14:anchorId="2694C192" wp14:editId="33D2C0CD">
                  <wp:extent cx="3090629" cy="1723010"/>
                  <wp:effectExtent l="0" t="0" r="0" b="0"/>
                  <wp:docPr id="203575380" name="Picture 20357538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80" name="Picture 203575380" descr="Chart, bar chart&#10;&#10;Description automatically generated"/>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110571" cy="1734128"/>
                          </a:xfrm>
                          <a:prstGeom prst="rect">
                            <a:avLst/>
                          </a:prstGeom>
                          <a:noFill/>
                        </pic:spPr>
                      </pic:pic>
                    </a:graphicData>
                  </a:graphic>
                </wp:inline>
              </w:drawing>
            </w:r>
          </w:p>
        </w:tc>
        <w:tc>
          <w:tcPr>
            <w:tcW w:w="4751" w:type="dxa"/>
          </w:tcPr>
          <w:p w14:paraId="333916A5" w14:textId="77777777" w:rsidR="00D80461" w:rsidRPr="00F05A8A" w:rsidRDefault="00D80461" w:rsidP="002F075E">
            <w:pPr>
              <w:spacing w:before="240" w:after="240"/>
              <w:jc w:val="center"/>
            </w:pPr>
          </w:p>
        </w:tc>
      </w:tr>
    </w:tbl>
    <w:p w14:paraId="51ADE319" w14:textId="77777777" w:rsidR="00D80461" w:rsidRPr="00F05A8A" w:rsidRDefault="00D80461" w:rsidP="002F075E">
      <w:pPr>
        <w:pStyle w:val="Headingb"/>
        <w:spacing w:before="360" w:after="120"/>
        <w:ind w:left="0" w:firstLine="0"/>
      </w:pPr>
      <w:bookmarkStart w:id="927" w:name="_Toc72846807"/>
      <w:bookmarkStart w:id="928" w:name="_Toc95387663"/>
      <w:r w:rsidRPr="00F05A8A">
        <w:lastRenderedPageBreak/>
        <w:t>E.2: Veiller à l'efficacité et à l'accessibilité des infrastructures (conférences, réunions, documentation, publications et information)</w:t>
      </w:r>
      <w:bookmarkEnd w:id="926"/>
      <w:bookmarkEnd w:id="927"/>
      <w:bookmarkEnd w:id="928"/>
    </w:p>
    <w:tbl>
      <w:tblPr>
        <w:tblW w:w="0" w:type="auto"/>
        <w:tblLook w:val="04A0" w:firstRow="1" w:lastRow="0" w:firstColumn="1" w:lastColumn="0" w:noHBand="0" w:noVBand="1"/>
      </w:tblPr>
      <w:tblGrid>
        <w:gridCol w:w="9016"/>
      </w:tblGrid>
      <w:tr w:rsidR="00D80461" w:rsidRPr="00F05A8A" w14:paraId="4489D20E" w14:textId="77777777" w:rsidTr="00142C01">
        <w:tc>
          <w:tcPr>
            <w:tcW w:w="9016" w:type="dxa"/>
          </w:tcPr>
          <w:p w14:paraId="16EE06DC" w14:textId="77777777" w:rsidR="00D80461" w:rsidRPr="00F05A8A" w:rsidRDefault="00D80461" w:rsidP="002F075E">
            <w:pPr>
              <w:spacing w:before="240" w:after="240"/>
              <w:jc w:val="center"/>
              <w:rPr>
                <w:b/>
                <w:bCs/>
              </w:rPr>
            </w:pPr>
            <w:r w:rsidRPr="00F05A8A">
              <w:rPr>
                <w:b/>
                <w:bCs/>
                <w:lang w:eastAsia="fr-FR"/>
              </w:rPr>
              <w:drawing>
                <wp:inline distT="0" distB="0" distL="0" distR="0" wp14:anchorId="373B4C3E" wp14:editId="78E8C335">
                  <wp:extent cx="4467600" cy="2991600"/>
                  <wp:effectExtent l="0" t="0" r="9525" b="0"/>
                  <wp:docPr id="1802487815" name="Picture 18024878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5" name="Picture 1802487815" descr="Chart, bar chart&#10;&#10;Description automatically generated"/>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467600" cy="2991600"/>
                          </a:xfrm>
                          <a:prstGeom prst="rect">
                            <a:avLst/>
                          </a:prstGeom>
                          <a:noFill/>
                        </pic:spPr>
                      </pic:pic>
                    </a:graphicData>
                  </a:graphic>
                </wp:inline>
              </w:drawing>
            </w:r>
          </w:p>
        </w:tc>
      </w:tr>
      <w:tr w:rsidR="00D80461" w:rsidRPr="00F05A8A" w14:paraId="65B602AC" w14:textId="77777777" w:rsidTr="00142C01">
        <w:tc>
          <w:tcPr>
            <w:tcW w:w="9016" w:type="dxa"/>
          </w:tcPr>
          <w:p w14:paraId="764C3C66" w14:textId="77777777" w:rsidR="00D80461" w:rsidRPr="00F05A8A" w:rsidRDefault="00D80461" w:rsidP="002F075E">
            <w:pPr>
              <w:spacing w:before="240" w:after="240"/>
              <w:jc w:val="center"/>
              <w:rPr>
                <w:b/>
                <w:bCs/>
              </w:rPr>
            </w:pPr>
            <w:r w:rsidRPr="00F05A8A">
              <w:rPr>
                <w:b/>
                <w:bCs/>
                <w:lang w:eastAsia="fr-FR"/>
              </w:rPr>
              <w:drawing>
                <wp:inline distT="0" distB="0" distL="0" distR="0" wp14:anchorId="1495BC8C" wp14:editId="4F6EF6BD">
                  <wp:extent cx="5346000" cy="3304800"/>
                  <wp:effectExtent l="0" t="0" r="7620" b="0"/>
                  <wp:docPr id="1802487817" name="Picture 18024878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17" name="Picture 1802487817" descr="Chart, bar chart&#10;&#10;Description automatically generated"/>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5346000" cy="3304800"/>
                          </a:xfrm>
                          <a:prstGeom prst="rect">
                            <a:avLst/>
                          </a:prstGeom>
                          <a:noFill/>
                        </pic:spPr>
                      </pic:pic>
                    </a:graphicData>
                  </a:graphic>
                </wp:inline>
              </w:drawing>
            </w:r>
          </w:p>
        </w:tc>
      </w:tr>
      <w:tr w:rsidR="00D80461" w:rsidRPr="00F05A8A" w14:paraId="718742AD" w14:textId="77777777" w:rsidTr="00142C01">
        <w:tc>
          <w:tcPr>
            <w:tcW w:w="9016" w:type="dxa"/>
          </w:tcPr>
          <w:p w14:paraId="129176CD" w14:textId="77777777" w:rsidR="00D80461" w:rsidRPr="00F05A8A" w:rsidRDefault="00D80461" w:rsidP="002F075E">
            <w:pPr>
              <w:spacing w:before="240" w:after="240"/>
              <w:jc w:val="center"/>
              <w:rPr>
                <w:b/>
                <w:bCs/>
              </w:rPr>
            </w:pPr>
          </w:p>
        </w:tc>
      </w:tr>
      <w:tr w:rsidR="00D80461" w:rsidRPr="00F05A8A" w14:paraId="7D44E458" w14:textId="77777777" w:rsidTr="00142C01">
        <w:tc>
          <w:tcPr>
            <w:tcW w:w="9016" w:type="dxa"/>
          </w:tcPr>
          <w:p w14:paraId="6D15ED7E" w14:textId="77777777" w:rsidR="00D80461" w:rsidRPr="00F05A8A" w:rsidRDefault="00D80461" w:rsidP="002F075E">
            <w:pPr>
              <w:spacing w:before="240" w:after="240"/>
              <w:jc w:val="center"/>
              <w:rPr>
                <w:b/>
                <w:bCs/>
              </w:rPr>
            </w:pPr>
            <w:r w:rsidRPr="00F05A8A">
              <w:rPr>
                <w:b/>
                <w:bCs/>
                <w:lang w:eastAsia="fr-FR"/>
              </w:rPr>
              <w:lastRenderedPageBreak/>
              <w:drawing>
                <wp:inline distT="0" distB="0" distL="0" distR="0" wp14:anchorId="6EFC8D1E" wp14:editId="69BEBDA5">
                  <wp:extent cx="3885961" cy="2335882"/>
                  <wp:effectExtent l="0" t="0" r="635" b="7620"/>
                  <wp:docPr id="203575381" name="Picture 20357538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81" name="Picture 203575381" descr="A picture containing chart&#10;&#10;Description automatically generated"/>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897560" cy="2342854"/>
                          </a:xfrm>
                          <a:prstGeom prst="rect">
                            <a:avLst/>
                          </a:prstGeom>
                          <a:noFill/>
                        </pic:spPr>
                      </pic:pic>
                    </a:graphicData>
                  </a:graphic>
                </wp:inline>
              </w:drawing>
            </w:r>
          </w:p>
        </w:tc>
      </w:tr>
    </w:tbl>
    <w:p w14:paraId="56F9019F" w14:textId="77777777" w:rsidR="00D80461" w:rsidRPr="00F05A8A" w:rsidRDefault="00D80461" w:rsidP="002F075E">
      <w:pPr>
        <w:pStyle w:val="Headingb"/>
        <w:spacing w:before="360" w:after="240"/>
        <w:ind w:left="0" w:firstLine="0"/>
      </w:pPr>
      <w:bookmarkStart w:id="929" w:name="_Toc41032197"/>
      <w:bookmarkStart w:id="930" w:name="_Toc72846808"/>
      <w:bookmarkStart w:id="931" w:name="_Toc95387664"/>
      <w:r w:rsidRPr="00F05A8A">
        <w:t>E.3: Fournir des services efficaces en ce qui concerne les membres, le protocole, la communication et la mobilisation des ressources</w:t>
      </w:r>
      <w:bookmarkEnd w:id="929"/>
      <w:bookmarkEnd w:id="930"/>
      <w:bookmarkEnd w:id="931"/>
    </w:p>
    <w:p w14:paraId="29C02221" w14:textId="77777777" w:rsidR="00D80461" w:rsidRPr="00F05A8A" w:rsidRDefault="00D80461" w:rsidP="002F075E">
      <w:pPr>
        <w:spacing w:before="240" w:after="240"/>
        <w:jc w:val="center"/>
        <w:rPr>
          <w:b/>
          <w:bCs/>
        </w:rPr>
      </w:pPr>
      <w:r w:rsidRPr="00F05A8A">
        <w:rPr>
          <w:b/>
          <w:bCs/>
          <w:lang w:eastAsia="fr-FR"/>
        </w:rPr>
        <mc:AlternateContent>
          <mc:Choice Requires="wps">
            <w:drawing>
              <wp:anchor distT="45720" distB="45720" distL="114300" distR="114300" simplePos="0" relativeHeight="251823104" behindDoc="0" locked="0" layoutInCell="1" allowOverlap="1" wp14:anchorId="557E459F" wp14:editId="6841C711">
                <wp:simplePos x="0" y="0"/>
                <wp:positionH relativeFrom="margin">
                  <wp:posOffset>3081768</wp:posOffset>
                </wp:positionH>
                <wp:positionV relativeFrom="paragraph">
                  <wp:posOffset>1587076</wp:posOffset>
                </wp:positionV>
                <wp:extent cx="1357576" cy="1716604"/>
                <wp:effectExtent l="0" t="0" r="0" b="0"/>
                <wp:wrapNone/>
                <wp:docPr id="1820415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576" cy="1716604"/>
                        </a:xfrm>
                        <a:prstGeom prst="rect">
                          <a:avLst/>
                        </a:prstGeom>
                        <a:solidFill>
                          <a:srgbClr val="FFFFFF"/>
                        </a:solidFill>
                        <a:ln w="9525">
                          <a:noFill/>
                          <a:miter lim="800000"/>
                          <a:headEnd/>
                          <a:tailEnd/>
                        </a:ln>
                      </wps:spPr>
                      <wps:txbx>
                        <w:txbxContent>
                          <w:p w14:paraId="556BABFB" w14:textId="77777777" w:rsidR="00756EAD" w:rsidRPr="00E16849" w:rsidRDefault="00756EAD" w:rsidP="00D80461">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des 3 Secteurs</w:t>
                            </w:r>
                          </w:p>
                          <w:p w14:paraId="1EB1961A"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Estimation du nombre total de contributions</w:t>
                            </w:r>
                          </w:p>
                          <w:p w14:paraId="1DD815BA" w14:textId="77777777" w:rsidR="00756EAD" w:rsidRPr="00E16849" w:rsidRDefault="00756EAD" w:rsidP="00D80461">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l'UIT-R</w:t>
                            </w:r>
                          </w:p>
                          <w:p w14:paraId="05C62F7B" w14:textId="77777777" w:rsidR="00756EAD" w:rsidRPr="00E16849" w:rsidRDefault="00756EAD" w:rsidP="00D80461">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w:t>
                            </w:r>
                            <w:r>
                              <w:rPr>
                                <w:bCs/>
                                <w:color w:val="808080" w:themeColor="background1" w:themeShade="80"/>
                                <w:sz w:val="14"/>
                                <w:szCs w:val="14"/>
                                <w:lang w:val="fr-CH"/>
                              </w:rPr>
                              <w:t>-T</w:t>
                            </w:r>
                          </w:p>
                          <w:p w14:paraId="1F1829EC" w14:textId="77777777" w:rsidR="00756EAD" w:rsidRPr="0079428C" w:rsidRDefault="00756EAD" w:rsidP="00D80461">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Membres de l'UIT</w:t>
                            </w:r>
                            <w:r>
                              <w:rPr>
                                <w:bCs/>
                                <w:color w:val="808080" w:themeColor="background1" w:themeShade="80"/>
                                <w:sz w:val="14"/>
                                <w:szCs w:val="14"/>
                                <w:lang w:val="fr-CH"/>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E459F" id="_x0000_s1204" type="#_x0000_t202" style="position:absolute;left:0;text-align:left;margin-left:242.65pt;margin-top:124.95pt;width:106.9pt;height:135.1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" stroked="f">
                <v:textbox>
                  <w:txbxContent>
                    <w:p w14:paraId="556BABFB" w14:textId="77777777" w:rsidR="00756EAD" w:rsidRPr="00E16849" w:rsidRDefault="00756EAD" w:rsidP="00D80461">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des 3 Secteurs</w:t>
                      </w:r>
                    </w:p>
                    <w:p w14:paraId="1EB1961A"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Estimation du nombre total de contributions</w:t>
                      </w:r>
                    </w:p>
                    <w:p w14:paraId="1DD815BA" w14:textId="77777777" w:rsidR="00756EAD" w:rsidRPr="00E16849" w:rsidRDefault="00756EAD" w:rsidP="00D80461">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l'UIT-R</w:t>
                      </w:r>
                    </w:p>
                    <w:p w14:paraId="05C62F7B" w14:textId="77777777" w:rsidR="00756EAD" w:rsidRPr="00E16849" w:rsidRDefault="00756EAD" w:rsidP="00D80461">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w:t>
                      </w:r>
                      <w:r>
                        <w:rPr>
                          <w:bCs/>
                          <w:color w:val="808080" w:themeColor="background1" w:themeShade="80"/>
                          <w:sz w:val="14"/>
                          <w:szCs w:val="14"/>
                          <w:lang w:val="fr-CH"/>
                        </w:rPr>
                        <w:t>-T</w:t>
                      </w:r>
                    </w:p>
                    <w:p w14:paraId="1F1829EC" w14:textId="77777777" w:rsidR="00756EAD" w:rsidRPr="0079428C" w:rsidRDefault="00756EAD" w:rsidP="00D80461">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Membres de l'UIT</w:t>
                      </w:r>
                      <w:r>
                        <w:rPr>
                          <w:bCs/>
                          <w:color w:val="808080" w:themeColor="background1" w:themeShade="80"/>
                          <w:sz w:val="14"/>
                          <w:szCs w:val="14"/>
                          <w:lang w:val="fr-CH"/>
                        </w:rPr>
                        <w:t>-D</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2080" behindDoc="0" locked="0" layoutInCell="1" allowOverlap="1" wp14:anchorId="3E7EBD01" wp14:editId="1F25A36F">
                <wp:simplePos x="0" y="0"/>
                <wp:positionH relativeFrom="margin">
                  <wp:posOffset>682193</wp:posOffset>
                </wp:positionH>
                <wp:positionV relativeFrom="paragraph">
                  <wp:posOffset>1588450</wp:posOffset>
                </wp:positionV>
                <wp:extent cx="1357576" cy="1716604"/>
                <wp:effectExtent l="0" t="0" r="0" b="0"/>
                <wp:wrapNone/>
                <wp:docPr id="1820415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576" cy="1716604"/>
                        </a:xfrm>
                        <a:prstGeom prst="rect">
                          <a:avLst/>
                        </a:prstGeom>
                        <a:solidFill>
                          <a:srgbClr val="FFFFFF"/>
                        </a:solidFill>
                        <a:ln w="9525">
                          <a:noFill/>
                          <a:miter lim="800000"/>
                          <a:headEnd/>
                          <a:tailEnd/>
                        </a:ln>
                      </wps:spPr>
                      <wps:txbx>
                        <w:txbxContent>
                          <w:p w14:paraId="786A8376" w14:textId="77777777" w:rsidR="00756EAD" w:rsidRPr="00E16849" w:rsidRDefault="00756EAD" w:rsidP="00D80461">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Entités membres</w:t>
                            </w:r>
                          </w:p>
                          <w:p w14:paraId="29424F10"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Nombre total de Membres</w:t>
                            </w:r>
                          </w:p>
                          <w:p w14:paraId="6FDFE2C4"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Secteur</w:t>
                            </w:r>
                          </w:p>
                          <w:p w14:paraId="7B0B5DC1"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Associés</w:t>
                            </w:r>
                          </w:p>
                          <w:p w14:paraId="7E18AC52" w14:textId="77777777" w:rsidR="00756EAD" w:rsidRPr="0079428C" w:rsidRDefault="00756EAD" w:rsidP="00D80461">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Établissements universitaires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BD01" id="_x0000_s1205" type="#_x0000_t202" style="position:absolute;left:0;text-align:left;margin-left:53.7pt;margin-top:125.05pt;width:106.9pt;height:135.1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" stroked="f">
                <v:textbox>
                  <w:txbxContent>
                    <w:p w14:paraId="786A8376" w14:textId="77777777" w:rsidR="00756EAD" w:rsidRPr="00E16849" w:rsidRDefault="00756EAD" w:rsidP="00D80461">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Entités membres</w:t>
                      </w:r>
                    </w:p>
                    <w:p w14:paraId="29424F10"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Nombre total de Membres</w:t>
                      </w:r>
                    </w:p>
                    <w:p w14:paraId="6FDFE2C4"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Secteur</w:t>
                      </w:r>
                    </w:p>
                    <w:p w14:paraId="7B0B5DC1" w14:textId="77777777" w:rsidR="00756EAD" w:rsidRPr="00E16849" w:rsidRDefault="00756EAD" w:rsidP="00D80461">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Associés</w:t>
                      </w:r>
                    </w:p>
                    <w:p w14:paraId="7E18AC52" w14:textId="77777777" w:rsidR="00756EAD" w:rsidRPr="0079428C" w:rsidRDefault="00756EAD" w:rsidP="00D80461">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Établissements universitaires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1056" behindDoc="0" locked="0" layoutInCell="1" allowOverlap="1" wp14:anchorId="01FBAB86" wp14:editId="2EEFF11F">
                <wp:simplePos x="0" y="0"/>
                <wp:positionH relativeFrom="margin">
                  <wp:align>center</wp:align>
                </wp:positionH>
                <wp:positionV relativeFrom="paragraph">
                  <wp:posOffset>1285454</wp:posOffset>
                </wp:positionV>
                <wp:extent cx="3865164" cy="286100"/>
                <wp:effectExtent l="0" t="0" r="2540" b="0"/>
                <wp:wrapNone/>
                <wp:docPr id="1820415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164" cy="286100"/>
                        </a:xfrm>
                        <a:prstGeom prst="rect">
                          <a:avLst/>
                        </a:prstGeom>
                        <a:solidFill>
                          <a:srgbClr val="FFFFFF"/>
                        </a:solidFill>
                        <a:ln w="9525">
                          <a:noFill/>
                          <a:miter lim="800000"/>
                          <a:headEnd/>
                          <a:tailEnd/>
                        </a:ln>
                      </wps:spPr>
                      <wps:txbx>
                        <w:txbxContent>
                          <w:p w14:paraId="4087F38A" w14:textId="77777777" w:rsidR="00756EAD" w:rsidRPr="0079428C" w:rsidRDefault="00756EAD" w:rsidP="00D80461">
                            <w:pPr>
                              <w:tabs>
                                <w:tab w:val="clear" w:pos="567"/>
                                <w:tab w:val="clear" w:pos="1134"/>
                                <w:tab w:val="clear" w:pos="1701"/>
                              </w:tabs>
                              <w:spacing w:before="0" w:line="140" w:lineRule="exact"/>
                              <w:jc w:val="center"/>
                              <w:rPr>
                                <w:b/>
                                <w:color w:val="404040" w:themeColor="text1" w:themeTint="BF"/>
                                <w:sz w:val="14"/>
                                <w:szCs w:val="14"/>
                                <w:lang w:val="fr-CH"/>
                              </w:rPr>
                            </w:pPr>
                            <w:r w:rsidRPr="0079428C">
                              <w:rPr>
                                <w:b/>
                                <w:color w:val="404040" w:themeColor="text1" w:themeTint="BF"/>
                                <w:sz w:val="14"/>
                                <w:szCs w:val="14"/>
                                <w:lang w:val="fr-CH"/>
                              </w:rPr>
                              <w:t>Indicateurs fondamentaux de performance concernant les membres</w:t>
                            </w:r>
                          </w:p>
                          <w:p w14:paraId="3A96BF9D" w14:textId="77777777" w:rsidR="00756EAD" w:rsidRPr="0079428C" w:rsidRDefault="00756EAD" w:rsidP="00D80461">
                            <w:pPr>
                              <w:tabs>
                                <w:tab w:val="clear" w:pos="567"/>
                                <w:tab w:val="clear" w:pos="1134"/>
                                <w:tab w:val="clear" w:pos="1701"/>
                              </w:tabs>
                              <w:spacing w:before="0" w:line="140" w:lineRule="exact"/>
                              <w:jc w:val="center"/>
                              <w:rPr>
                                <w:b/>
                                <w:sz w:val="14"/>
                                <w:szCs w:val="14"/>
                              </w:rPr>
                            </w:pPr>
                            <w:r w:rsidRPr="0079428C">
                              <w:rPr>
                                <w:b/>
                                <w:color w:val="404040" w:themeColor="text1" w:themeTint="BF"/>
                                <w:sz w:val="14"/>
                                <w:szCs w:val="14"/>
                                <w:lang w:val="fr-CH"/>
                              </w:rPr>
                              <w:t>(par rapport à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BAB86" id="_x0000_s1206" type="#_x0000_t202" style="position:absolute;left:0;text-align:left;margin-left:0;margin-top:101.2pt;width:304.35pt;height:22.55pt;z-index:251821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kXEwIAAP8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" stroked="f">
                <v:textbox>
                  <w:txbxContent>
                    <w:p w14:paraId="4087F38A" w14:textId="77777777" w:rsidR="00756EAD" w:rsidRPr="0079428C" w:rsidRDefault="00756EAD" w:rsidP="00D80461">
                      <w:pPr>
                        <w:tabs>
                          <w:tab w:val="clear" w:pos="567"/>
                          <w:tab w:val="clear" w:pos="1134"/>
                          <w:tab w:val="clear" w:pos="1701"/>
                        </w:tabs>
                        <w:spacing w:before="0" w:line="140" w:lineRule="exact"/>
                        <w:jc w:val="center"/>
                        <w:rPr>
                          <w:b/>
                          <w:color w:val="404040" w:themeColor="text1" w:themeTint="BF"/>
                          <w:sz w:val="14"/>
                          <w:szCs w:val="14"/>
                          <w:lang w:val="fr-CH"/>
                        </w:rPr>
                      </w:pPr>
                      <w:r w:rsidRPr="0079428C">
                        <w:rPr>
                          <w:b/>
                          <w:color w:val="404040" w:themeColor="text1" w:themeTint="BF"/>
                          <w:sz w:val="14"/>
                          <w:szCs w:val="14"/>
                          <w:lang w:val="fr-CH"/>
                        </w:rPr>
                        <w:t>Indicateurs fondamentaux de performance concernant les membres</w:t>
                      </w:r>
                    </w:p>
                    <w:p w14:paraId="3A96BF9D" w14:textId="77777777" w:rsidR="00756EAD" w:rsidRPr="0079428C" w:rsidRDefault="00756EAD" w:rsidP="00D80461">
                      <w:pPr>
                        <w:tabs>
                          <w:tab w:val="clear" w:pos="567"/>
                          <w:tab w:val="clear" w:pos="1134"/>
                          <w:tab w:val="clear" w:pos="1701"/>
                        </w:tabs>
                        <w:spacing w:before="0" w:line="140" w:lineRule="exact"/>
                        <w:jc w:val="center"/>
                        <w:rPr>
                          <w:b/>
                          <w:sz w:val="14"/>
                          <w:szCs w:val="14"/>
                        </w:rPr>
                      </w:pPr>
                      <w:r w:rsidRPr="0079428C">
                        <w:rPr>
                          <w:b/>
                          <w:color w:val="404040" w:themeColor="text1" w:themeTint="BF"/>
                          <w:sz w:val="14"/>
                          <w:szCs w:val="14"/>
                          <w:lang w:val="fr-CH"/>
                        </w:rPr>
                        <w:t>(par rapport à 2020)</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0032" behindDoc="0" locked="0" layoutInCell="1" allowOverlap="1" wp14:anchorId="46020A01" wp14:editId="5746ADBD">
                <wp:simplePos x="0" y="0"/>
                <wp:positionH relativeFrom="column">
                  <wp:posOffset>732475</wp:posOffset>
                </wp:positionH>
                <wp:positionV relativeFrom="paragraph">
                  <wp:posOffset>1032930</wp:posOffset>
                </wp:positionV>
                <wp:extent cx="2709011" cy="156631"/>
                <wp:effectExtent l="0" t="0" r="0" b="0"/>
                <wp:wrapNone/>
                <wp:docPr id="182041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011" cy="156631"/>
                        </a:xfrm>
                        <a:prstGeom prst="rect">
                          <a:avLst/>
                        </a:prstGeom>
                        <a:solidFill>
                          <a:srgbClr val="FFFFFF"/>
                        </a:solidFill>
                        <a:ln w="9525">
                          <a:noFill/>
                          <a:miter lim="800000"/>
                          <a:headEnd/>
                          <a:tailEnd/>
                        </a:ln>
                      </wps:spPr>
                      <wps:txbx>
                        <w:txbxContent>
                          <w:p w14:paraId="276F17CB" w14:textId="77777777" w:rsidR="00756EAD" w:rsidRPr="004E49BD" w:rsidRDefault="00756EAD" w:rsidP="00D80461">
                            <w:pPr>
                              <w:tabs>
                                <w:tab w:val="clear" w:pos="567"/>
                                <w:tab w:val="clear" w:pos="1134"/>
                                <w:tab w:val="clear" w:pos="1701"/>
                              </w:tabs>
                              <w:spacing w:before="0" w:line="100" w:lineRule="exact"/>
                              <w:rPr>
                                <w:sz w:val="12"/>
                                <w:szCs w:val="12"/>
                              </w:rPr>
                            </w:pPr>
                            <w:r w:rsidRPr="0079428C">
                              <w:rPr>
                                <w:bCs/>
                                <w:color w:val="808080" w:themeColor="background1" w:themeShade="80"/>
                                <w:sz w:val="10"/>
                                <w:szCs w:val="10"/>
                                <w:lang w:val="fr-CH"/>
                              </w:rPr>
                              <w:t>*Note: Les établissements universitaires sont automatiquement Membres des 3 Secteurs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0A01" id="_x0000_s1207" type="#_x0000_t202" style="position:absolute;left:0;text-align:left;margin-left:57.7pt;margin-top:81.35pt;width:213.3pt;height:12.3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" stroked="f">
                <v:textbox>
                  <w:txbxContent>
                    <w:p w14:paraId="276F17CB" w14:textId="77777777" w:rsidR="00756EAD" w:rsidRPr="004E49BD" w:rsidRDefault="00756EAD" w:rsidP="00D80461">
                      <w:pPr>
                        <w:tabs>
                          <w:tab w:val="clear" w:pos="567"/>
                          <w:tab w:val="clear" w:pos="1134"/>
                          <w:tab w:val="clear" w:pos="1701"/>
                        </w:tabs>
                        <w:spacing w:before="0" w:line="100" w:lineRule="exact"/>
                        <w:rPr>
                          <w:sz w:val="12"/>
                          <w:szCs w:val="12"/>
                        </w:rPr>
                      </w:pPr>
                      <w:r w:rsidRPr="0079428C">
                        <w:rPr>
                          <w:bCs/>
                          <w:color w:val="808080" w:themeColor="background1" w:themeShade="80"/>
                          <w:sz w:val="10"/>
                          <w:szCs w:val="10"/>
                          <w:lang w:val="fr-CH"/>
                        </w:rPr>
                        <w:t>*Note: Les établissements universitaires sont automatiquement Membres des 3 Secteurs</w:t>
                      </w:r>
                    </w:p>
                  </w:txbxContent>
                </v:textbox>
              </v:shape>
            </w:pict>
          </mc:Fallback>
        </mc:AlternateContent>
      </w:r>
      <w:r w:rsidRPr="00F05A8A">
        <w:rPr>
          <w:b/>
          <w:bCs/>
          <w:lang w:eastAsia="fr-FR"/>
        </w:rPr>
        <mc:AlternateContent>
          <mc:Choice Requires="wps">
            <w:drawing>
              <wp:anchor distT="45720" distB="45720" distL="114300" distR="114300" simplePos="0" relativeHeight="251819008" behindDoc="0" locked="0" layoutInCell="1" allowOverlap="1" wp14:anchorId="4D8422A5" wp14:editId="6131FEDD">
                <wp:simplePos x="0" y="0"/>
                <wp:positionH relativeFrom="margin">
                  <wp:posOffset>710413</wp:posOffset>
                </wp:positionH>
                <wp:positionV relativeFrom="paragraph">
                  <wp:posOffset>517342</wp:posOffset>
                </wp:positionV>
                <wp:extent cx="611470" cy="555372"/>
                <wp:effectExtent l="0" t="0" r="0" b="0"/>
                <wp:wrapNone/>
                <wp:docPr id="1820415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70" cy="555372"/>
                        </a:xfrm>
                        <a:prstGeom prst="rect">
                          <a:avLst/>
                        </a:prstGeom>
                        <a:solidFill>
                          <a:srgbClr val="FFFFFF"/>
                        </a:solidFill>
                        <a:ln w="9525">
                          <a:noFill/>
                          <a:miter lim="800000"/>
                          <a:headEnd/>
                          <a:tailEnd/>
                        </a:ln>
                      </wps:spPr>
                      <wps:txbx>
                        <w:txbxContent>
                          <w:p w14:paraId="078D0058"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Membres de Secteur</w:t>
                            </w:r>
                          </w:p>
                          <w:p w14:paraId="4752D9DB"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Associés</w:t>
                            </w:r>
                          </w:p>
                          <w:p w14:paraId="507C6EA4"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Établissements universitaires*</w:t>
                            </w:r>
                          </w:p>
                          <w:p w14:paraId="50AD5960"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p>
                          <w:p w14:paraId="254AA2E0"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Montant des 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422A5" id="_x0000_s1208" type="#_x0000_t202" style="position:absolute;left:0;text-align:left;margin-left:55.95pt;margin-top:40.75pt;width:48.15pt;height:43.7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" stroked="f">
                <v:textbox>
                  <w:txbxContent>
                    <w:p w14:paraId="078D0058"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Membres de Secteur</w:t>
                      </w:r>
                    </w:p>
                    <w:p w14:paraId="4752D9DB"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Associés</w:t>
                      </w:r>
                    </w:p>
                    <w:p w14:paraId="507C6EA4"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Établissements universitaires*</w:t>
                      </w:r>
                    </w:p>
                    <w:p w14:paraId="50AD5960"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p>
                    <w:p w14:paraId="254AA2E0" w14:textId="77777777" w:rsidR="00756EAD" w:rsidRPr="0079428C" w:rsidRDefault="00756EAD" w:rsidP="00D80461">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Montant des contributions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17984" behindDoc="0" locked="0" layoutInCell="1" allowOverlap="1" wp14:anchorId="560B45D7" wp14:editId="098335FB">
                <wp:simplePos x="0" y="0"/>
                <wp:positionH relativeFrom="column">
                  <wp:posOffset>4665021</wp:posOffset>
                </wp:positionH>
                <wp:positionV relativeFrom="paragraph">
                  <wp:posOffset>360150</wp:posOffset>
                </wp:positionV>
                <wp:extent cx="639519" cy="218783"/>
                <wp:effectExtent l="0" t="0" r="8255" b="0"/>
                <wp:wrapNone/>
                <wp:docPr id="1820415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19" cy="218783"/>
                        </a:xfrm>
                        <a:prstGeom prst="rect">
                          <a:avLst/>
                        </a:prstGeom>
                        <a:solidFill>
                          <a:srgbClr val="FFFFFF"/>
                        </a:solidFill>
                        <a:ln w="9525">
                          <a:noFill/>
                          <a:miter lim="800000"/>
                          <a:headEnd/>
                          <a:tailEnd/>
                        </a:ln>
                      </wps:spPr>
                      <wps:txbx>
                        <w:txbxContent>
                          <w:p w14:paraId="1A7AC986" w14:textId="77777777" w:rsidR="00756EAD" w:rsidRPr="00C4052B" w:rsidRDefault="00756EAD" w:rsidP="00D80461">
                            <w:pPr>
                              <w:tabs>
                                <w:tab w:val="clear" w:pos="567"/>
                                <w:tab w:val="clear" w:pos="1134"/>
                                <w:tab w:val="clear" w:pos="1701"/>
                              </w:tabs>
                              <w:spacing w:before="0"/>
                              <w:rPr>
                                <w:sz w:val="12"/>
                                <w:szCs w:val="12"/>
                                <w:lang w:val="fr-CH"/>
                              </w:rPr>
                            </w:pPr>
                            <w:r>
                              <w:rPr>
                                <w:b/>
                                <w:color w:val="4F81BD" w:themeColor="accent1"/>
                                <w:sz w:val="12"/>
                                <w:szCs w:val="12"/>
                                <w:lang w:val="fr-CH"/>
                              </w:rPr>
                              <w:t>Total général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B45D7" id="_x0000_s1209" type="#_x0000_t202" style="position:absolute;left:0;text-align:left;margin-left:367.3pt;margin-top:28.35pt;width:50.35pt;height:17.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0EgIAAP4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" stroked="f">
                <v:textbox>
                  <w:txbxContent>
                    <w:p w14:paraId="1A7AC986" w14:textId="77777777" w:rsidR="00756EAD" w:rsidRPr="00C4052B" w:rsidRDefault="00756EAD" w:rsidP="00D80461">
                      <w:pPr>
                        <w:tabs>
                          <w:tab w:val="clear" w:pos="567"/>
                          <w:tab w:val="clear" w:pos="1134"/>
                          <w:tab w:val="clear" w:pos="1701"/>
                        </w:tabs>
                        <w:spacing w:before="0"/>
                        <w:rPr>
                          <w:sz w:val="12"/>
                          <w:szCs w:val="12"/>
                          <w:lang w:val="fr-CH"/>
                        </w:rPr>
                      </w:pPr>
                      <w:r>
                        <w:rPr>
                          <w:b/>
                          <w:color w:val="4F81BD" w:themeColor="accent1"/>
                          <w:sz w:val="12"/>
                          <w:szCs w:val="12"/>
                          <w:lang w:val="fr-CH"/>
                        </w:rPr>
                        <w:t>Total général</w:t>
                      </w:r>
                    </w:p>
                  </w:txbxContent>
                </v:textbox>
              </v:shape>
            </w:pict>
          </mc:Fallback>
        </mc:AlternateContent>
      </w:r>
      <w:r w:rsidRPr="00F05A8A">
        <w:rPr>
          <w:b/>
          <w:bCs/>
          <w:lang w:eastAsia="fr-FR"/>
        </w:rPr>
        <mc:AlternateContent>
          <mc:Choice Requires="wps">
            <w:drawing>
              <wp:anchor distT="45720" distB="45720" distL="114300" distR="114300" simplePos="0" relativeHeight="251816960" behindDoc="0" locked="0" layoutInCell="1" allowOverlap="1" wp14:anchorId="09BA8EBE" wp14:editId="5502B71C">
                <wp:simplePos x="0" y="0"/>
                <wp:positionH relativeFrom="column">
                  <wp:posOffset>3846300</wp:posOffset>
                </wp:positionH>
                <wp:positionV relativeFrom="paragraph">
                  <wp:posOffset>360267</wp:posOffset>
                </wp:positionV>
                <wp:extent cx="718057" cy="252442"/>
                <wp:effectExtent l="0" t="0" r="6350" b="0"/>
                <wp:wrapNone/>
                <wp:docPr id="1820415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057" cy="252442"/>
                        </a:xfrm>
                        <a:prstGeom prst="rect">
                          <a:avLst/>
                        </a:prstGeom>
                        <a:solidFill>
                          <a:srgbClr val="FFFFFF"/>
                        </a:solidFill>
                        <a:ln w="9525">
                          <a:noFill/>
                          <a:miter lim="800000"/>
                          <a:headEnd/>
                          <a:tailEnd/>
                        </a:ln>
                      </wps:spPr>
                      <wps:txbx>
                        <w:txbxContent>
                          <w:p w14:paraId="3B168D9A" w14:textId="77777777" w:rsidR="00756EAD" w:rsidRPr="00C4052B" w:rsidRDefault="00756EAD" w:rsidP="00D80461">
                            <w:pPr>
                              <w:tabs>
                                <w:tab w:val="clear" w:pos="567"/>
                                <w:tab w:val="clear" w:pos="1134"/>
                                <w:tab w:val="clear" w:pos="1701"/>
                              </w:tabs>
                              <w:spacing w:before="0" w:line="120" w:lineRule="exact"/>
                              <w:rPr>
                                <w:sz w:val="12"/>
                                <w:szCs w:val="12"/>
                                <w:lang w:val="fr-CH"/>
                              </w:rPr>
                            </w:pPr>
                            <w:r w:rsidRPr="00C4052B">
                              <w:rPr>
                                <w:b/>
                                <w:color w:val="4F81BD" w:themeColor="accent1"/>
                                <w:sz w:val="12"/>
                                <w:szCs w:val="12"/>
                                <w:lang w:val="fr-CH"/>
                              </w:rPr>
                              <w:t>Établissements universitaires</w:t>
                            </w:r>
                            <w:r>
                              <w:rPr>
                                <w:b/>
                                <w:color w:val="4F81BD" w:themeColor="accent1"/>
                                <w:sz w:val="12"/>
                                <w:szCs w:val="12"/>
                                <w:lang w:val="fr-C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8EBE" id="_x0000_s1210" type="#_x0000_t202" style="position:absolute;left:0;text-align:left;margin-left:302.85pt;margin-top:28.35pt;width:56.55pt;height:19.9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" stroked="f">
                <v:textbox>
                  <w:txbxContent>
                    <w:p w14:paraId="3B168D9A" w14:textId="77777777" w:rsidR="00756EAD" w:rsidRPr="00C4052B" w:rsidRDefault="00756EAD" w:rsidP="00D80461">
                      <w:pPr>
                        <w:tabs>
                          <w:tab w:val="clear" w:pos="567"/>
                          <w:tab w:val="clear" w:pos="1134"/>
                          <w:tab w:val="clear" w:pos="1701"/>
                        </w:tabs>
                        <w:spacing w:before="0" w:line="120" w:lineRule="exact"/>
                        <w:rPr>
                          <w:sz w:val="12"/>
                          <w:szCs w:val="12"/>
                          <w:lang w:val="fr-CH"/>
                        </w:rPr>
                      </w:pPr>
                      <w:r w:rsidRPr="00C4052B">
                        <w:rPr>
                          <w:b/>
                          <w:color w:val="4F81BD" w:themeColor="accent1"/>
                          <w:sz w:val="12"/>
                          <w:szCs w:val="12"/>
                          <w:lang w:val="fr-CH"/>
                        </w:rPr>
                        <w:t>Établissements universitaires</w:t>
                      </w:r>
                      <w:r>
                        <w:rPr>
                          <w:b/>
                          <w:color w:val="4F81BD" w:themeColor="accent1"/>
                          <w:sz w:val="12"/>
                          <w:szCs w:val="12"/>
                          <w:lang w:val="fr-CH"/>
                        </w:rPr>
                        <w:t>*</w:t>
                      </w:r>
                    </w:p>
                  </w:txbxContent>
                </v:textbox>
              </v:shape>
            </w:pict>
          </mc:Fallback>
        </mc:AlternateContent>
      </w:r>
      <w:r w:rsidRPr="00F05A8A">
        <w:rPr>
          <w:b/>
          <w:bCs/>
          <w:lang w:eastAsia="fr-FR"/>
        </w:rPr>
        <mc:AlternateContent>
          <mc:Choice Requires="wps">
            <w:drawing>
              <wp:anchor distT="45720" distB="45720" distL="114300" distR="114300" simplePos="0" relativeHeight="251815936" behindDoc="0" locked="0" layoutInCell="1" allowOverlap="1" wp14:anchorId="64378DD4" wp14:editId="4248E3FE">
                <wp:simplePos x="0" y="0"/>
                <wp:positionH relativeFrom="column">
                  <wp:posOffset>3183462</wp:posOffset>
                </wp:positionH>
                <wp:positionV relativeFrom="paragraph">
                  <wp:posOffset>376446</wp:posOffset>
                </wp:positionV>
                <wp:extent cx="392687" cy="173904"/>
                <wp:effectExtent l="0" t="0" r="7620" b="0"/>
                <wp:wrapNone/>
                <wp:docPr id="1820415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7" cy="173904"/>
                        </a:xfrm>
                        <a:prstGeom prst="rect">
                          <a:avLst/>
                        </a:prstGeom>
                        <a:solidFill>
                          <a:srgbClr val="FFFFFF"/>
                        </a:solidFill>
                        <a:ln w="9525">
                          <a:noFill/>
                          <a:miter lim="800000"/>
                          <a:headEnd/>
                          <a:tailEnd/>
                        </a:ln>
                      </wps:spPr>
                      <wps:txbx>
                        <w:txbxContent>
                          <w:p w14:paraId="0822D67E" w14:textId="77777777" w:rsidR="00756EAD" w:rsidRPr="004E49BD" w:rsidRDefault="00756EAD" w:rsidP="00D80461">
                            <w:pPr>
                              <w:tabs>
                                <w:tab w:val="clear" w:pos="567"/>
                                <w:tab w:val="clear" w:pos="1134"/>
                                <w:tab w:val="clear" w:pos="1701"/>
                              </w:tabs>
                              <w:spacing w:before="0"/>
                              <w:rPr>
                                <w:sz w:val="12"/>
                                <w:szCs w:val="12"/>
                              </w:rPr>
                            </w:pPr>
                            <w:r>
                              <w:rPr>
                                <w:b/>
                                <w:color w:val="4F81BD" w:themeColor="accent1"/>
                                <w:sz w:val="12"/>
                                <w:szCs w:val="12"/>
                              </w:rPr>
                              <w:t>UIT-D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78DD4" id="_x0000_s1211" type="#_x0000_t202" style="position:absolute;left:0;text-align:left;margin-left:250.65pt;margin-top:29.65pt;width:30.9pt;height:13.7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" stroked="f">
                <v:textbox>
                  <w:txbxContent>
                    <w:p w14:paraId="0822D67E" w14:textId="77777777" w:rsidR="00756EAD" w:rsidRPr="004E49BD" w:rsidRDefault="00756EAD" w:rsidP="00D80461">
                      <w:pPr>
                        <w:tabs>
                          <w:tab w:val="clear" w:pos="567"/>
                          <w:tab w:val="clear" w:pos="1134"/>
                          <w:tab w:val="clear" w:pos="1701"/>
                        </w:tabs>
                        <w:spacing w:before="0"/>
                        <w:rPr>
                          <w:sz w:val="12"/>
                          <w:szCs w:val="12"/>
                        </w:rPr>
                      </w:pPr>
                      <w:r>
                        <w:rPr>
                          <w:b/>
                          <w:color w:val="4F81BD" w:themeColor="accent1"/>
                          <w:sz w:val="12"/>
                          <w:szCs w:val="12"/>
                        </w:rPr>
                        <w:t>UIT-D</w:t>
                      </w:r>
                    </w:p>
                  </w:txbxContent>
                </v:textbox>
              </v:shape>
            </w:pict>
          </mc:Fallback>
        </mc:AlternateContent>
      </w:r>
      <w:r w:rsidRPr="00F05A8A">
        <w:rPr>
          <w:b/>
          <w:bCs/>
          <w:lang w:eastAsia="fr-FR"/>
        </w:rPr>
        <mc:AlternateContent>
          <mc:Choice Requires="wps">
            <w:drawing>
              <wp:anchor distT="45720" distB="45720" distL="114300" distR="114300" simplePos="0" relativeHeight="251814912" behindDoc="0" locked="0" layoutInCell="1" allowOverlap="1" wp14:anchorId="015F6949" wp14:editId="4456B91C">
                <wp:simplePos x="0" y="0"/>
                <wp:positionH relativeFrom="column">
                  <wp:posOffset>2364830</wp:posOffset>
                </wp:positionH>
                <wp:positionV relativeFrom="paragraph">
                  <wp:posOffset>365273</wp:posOffset>
                </wp:positionV>
                <wp:extent cx="392687" cy="173904"/>
                <wp:effectExtent l="0" t="0" r="7620" b="0"/>
                <wp:wrapNone/>
                <wp:docPr id="1820415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7" cy="173904"/>
                        </a:xfrm>
                        <a:prstGeom prst="rect">
                          <a:avLst/>
                        </a:prstGeom>
                        <a:solidFill>
                          <a:srgbClr val="FFFFFF"/>
                        </a:solidFill>
                        <a:ln w="9525">
                          <a:noFill/>
                          <a:miter lim="800000"/>
                          <a:headEnd/>
                          <a:tailEnd/>
                        </a:ln>
                      </wps:spPr>
                      <wps:txbx>
                        <w:txbxContent>
                          <w:p w14:paraId="69A11FF5" w14:textId="77777777" w:rsidR="00756EAD" w:rsidRPr="004E49BD" w:rsidRDefault="00756EAD" w:rsidP="00D80461">
                            <w:pPr>
                              <w:tabs>
                                <w:tab w:val="clear" w:pos="567"/>
                                <w:tab w:val="clear" w:pos="1134"/>
                                <w:tab w:val="clear" w:pos="1701"/>
                              </w:tabs>
                              <w:spacing w:before="0"/>
                              <w:rPr>
                                <w:sz w:val="12"/>
                                <w:szCs w:val="12"/>
                              </w:rPr>
                            </w:pPr>
                            <w:r>
                              <w:rPr>
                                <w:b/>
                                <w:color w:val="4F81BD" w:themeColor="accent1"/>
                                <w:sz w:val="12"/>
                                <w:szCs w:val="12"/>
                              </w:rPr>
                              <w:t>UIT-T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F6949" id="_x0000_s1212" type="#_x0000_t202" style="position:absolute;left:0;text-align:left;margin-left:186.2pt;margin-top:28.75pt;width:30.9pt;height:13.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" stroked="f">
                <v:textbox>
                  <w:txbxContent>
                    <w:p w14:paraId="69A11FF5" w14:textId="77777777" w:rsidR="00756EAD" w:rsidRPr="004E49BD" w:rsidRDefault="00756EAD" w:rsidP="00D80461">
                      <w:pPr>
                        <w:tabs>
                          <w:tab w:val="clear" w:pos="567"/>
                          <w:tab w:val="clear" w:pos="1134"/>
                          <w:tab w:val="clear" w:pos="1701"/>
                        </w:tabs>
                        <w:spacing w:before="0"/>
                        <w:rPr>
                          <w:sz w:val="12"/>
                          <w:szCs w:val="12"/>
                        </w:rPr>
                      </w:pPr>
                      <w:r>
                        <w:rPr>
                          <w:b/>
                          <w:color w:val="4F81BD" w:themeColor="accent1"/>
                          <w:sz w:val="12"/>
                          <w:szCs w:val="12"/>
                        </w:rPr>
                        <w:t>UIT-T</w:t>
                      </w:r>
                    </w:p>
                  </w:txbxContent>
                </v:textbox>
              </v:shape>
            </w:pict>
          </mc:Fallback>
        </mc:AlternateContent>
      </w:r>
      <w:r w:rsidRPr="00F05A8A">
        <w:rPr>
          <w:b/>
          <w:bCs/>
          <w:lang w:eastAsia="fr-FR"/>
        </w:rPr>
        <mc:AlternateContent>
          <mc:Choice Requires="wps">
            <w:drawing>
              <wp:anchor distT="45720" distB="45720" distL="114300" distR="114300" simplePos="0" relativeHeight="251813888" behindDoc="0" locked="0" layoutInCell="1" allowOverlap="1" wp14:anchorId="4E084BBA" wp14:editId="2F4DFABC">
                <wp:simplePos x="0" y="0"/>
                <wp:positionH relativeFrom="column">
                  <wp:posOffset>1562654</wp:posOffset>
                </wp:positionH>
                <wp:positionV relativeFrom="paragraph">
                  <wp:posOffset>365760</wp:posOffset>
                </wp:positionV>
                <wp:extent cx="392687" cy="173904"/>
                <wp:effectExtent l="0" t="0" r="7620" b="0"/>
                <wp:wrapNone/>
                <wp:docPr id="1820415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7" cy="173904"/>
                        </a:xfrm>
                        <a:prstGeom prst="rect">
                          <a:avLst/>
                        </a:prstGeom>
                        <a:solidFill>
                          <a:srgbClr val="FFFFFF"/>
                        </a:solidFill>
                        <a:ln w="9525">
                          <a:noFill/>
                          <a:miter lim="800000"/>
                          <a:headEnd/>
                          <a:tailEnd/>
                        </a:ln>
                      </wps:spPr>
                      <wps:txbx>
                        <w:txbxContent>
                          <w:p w14:paraId="5DB902B5" w14:textId="77777777" w:rsidR="00756EAD" w:rsidRPr="004E49BD" w:rsidRDefault="00756EAD" w:rsidP="00D80461">
                            <w:pPr>
                              <w:tabs>
                                <w:tab w:val="clear" w:pos="567"/>
                                <w:tab w:val="clear" w:pos="1134"/>
                                <w:tab w:val="clear" w:pos="1701"/>
                              </w:tabs>
                              <w:spacing w:before="0"/>
                              <w:rPr>
                                <w:sz w:val="12"/>
                                <w:szCs w:val="12"/>
                              </w:rPr>
                            </w:pPr>
                            <w:r>
                              <w:rPr>
                                <w:b/>
                                <w:color w:val="4F81BD" w:themeColor="accent1"/>
                                <w:sz w:val="12"/>
                                <w:szCs w:val="12"/>
                              </w:rPr>
                              <w:t>UIT-R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84BBA" id="_x0000_s1213" type="#_x0000_t202" style="position:absolute;left:0;text-align:left;margin-left:123.05pt;margin-top:28.8pt;width:30.9pt;height:13.7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" stroked="f">
                <v:textbox>
                  <w:txbxContent>
                    <w:p w14:paraId="5DB902B5" w14:textId="77777777" w:rsidR="00756EAD" w:rsidRPr="004E49BD" w:rsidRDefault="00756EAD" w:rsidP="00D80461">
                      <w:pPr>
                        <w:tabs>
                          <w:tab w:val="clear" w:pos="567"/>
                          <w:tab w:val="clear" w:pos="1134"/>
                          <w:tab w:val="clear" w:pos="1701"/>
                        </w:tabs>
                        <w:spacing w:before="0"/>
                        <w:rPr>
                          <w:sz w:val="12"/>
                          <w:szCs w:val="12"/>
                        </w:rPr>
                      </w:pPr>
                      <w:r>
                        <w:rPr>
                          <w:b/>
                          <w:color w:val="4F81BD" w:themeColor="accent1"/>
                          <w:sz w:val="12"/>
                          <w:szCs w:val="12"/>
                        </w:rPr>
                        <w:t>UIT-R</w:t>
                      </w:r>
                    </w:p>
                  </w:txbxContent>
                </v:textbox>
              </v:shape>
            </w:pict>
          </mc:Fallback>
        </mc:AlternateContent>
      </w:r>
      <w:r w:rsidRPr="00F05A8A">
        <w:rPr>
          <w:b/>
          <w:bCs/>
          <w:lang w:eastAsia="fr-FR"/>
        </w:rPr>
        <mc:AlternateContent>
          <mc:Choice Requires="wps">
            <w:drawing>
              <wp:anchor distT="45720" distB="45720" distL="114300" distR="114300" simplePos="0" relativeHeight="251812864" behindDoc="0" locked="0" layoutInCell="1" allowOverlap="1" wp14:anchorId="5D98C1CE" wp14:editId="484FEEED">
                <wp:simplePos x="0" y="0"/>
                <wp:positionH relativeFrom="column">
                  <wp:posOffset>2261126</wp:posOffset>
                </wp:positionH>
                <wp:positionV relativeFrom="paragraph">
                  <wp:posOffset>239395</wp:posOffset>
                </wp:positionV>
                <wp:extent cx="1823190" cy="1404620"/>
                <wp:effectExtent l="0" t="0" r="5715" b="5080"/>
                <wp:wrapNone/>
                <wp:docPr id="1820415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190" cy="1404620"/>
                        </a:xfrm>
                        <a:prstGeom prst="rect">
                          <a:avLst/>
                        </a:prstGeom>
                        <a:solidFill>
                          <a:srgbClr val="FFFFFF"/>
                        </a:solidFill>
                        <a:ln w="9525">
                          <a:noFill/>
                          <a:miter lim="800000"/>
                          <a:headEnd/>
                          <a:tailEnd/>
                        </a:ln>
                      </wps:spPr>
                      <wps:txbx>
                        <w:txbxContent>
                          <w:p w14:paraId="12729EDC" w14:textId="77777777" w:rsidR="00756EAD" w:rsidRPr="00C4052B" w:rsidRDefault="00756EAD" w:rsidP="00D80461">
                            <w:pPr>
                              <w:spacing w:before="0"/>
                              <w:jc w:val="center"/>
                              <w:rPr>
                                <w:sz w:val="11"/>
                                <w:szCs w:val="11"/>
                              </w:rPr>
                            </w:pPr>
                            <w:r w:rsidRPr="00C4052B">
                              <w:rPr>
                                <w:b/>
                                <w:color w:val="FF0000"/>
                                <w:sz w:val="11"/>
                                <w:szCs w:val="11"/>
                              </w:rPr>
                              <w:t>Données relatives aux Membres au 31 décembre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8C1CE" id="_x0000_s1214" type="#_x0000_t202" style="position:absolute;left:0;text-align:left;margin-left:178.05pt;margin-top:18.85pt;width:143.5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ptEgIAAAAE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" stroked="f">
                <v:textbox style="mso-fit-shape-to-text:t">
                  <w:txbxContent>
                    <w:p w14:paraId="12729EDC" w14:textId="77777777" w:rsidR="00756EAD" w:rsidRPr="00C4052B" w:rsidRDefault="00756EAD" w:rsidP="00D80461">
                      <w:pPr>
                        <w:spacing w:before="0"/>
                        <w:jc w:val="center"/>
                        <w:rPr>
                          <w:sz w:val="11"/>
                          <w:szCs w:val="11"/>
                        </w:rPr>
                      </w:pPr>
                      <w:r w:rsidRPr="00C4052B">
                        <w:rPr>
                          <w:b/>
                          <w:color w:val="FF0000"/>
                          <w:sz w:val="11"/>
                          <w:szCs w:val="11"/>
                        </w:rPr>
                        <w:t>Données relatives aux Membres au 31 décembre 2021</w:t>
                      </w:r>
                    </w:p>
                  </w:txbxContent>
                </v:textbox>
              </v:shape>
            </w:pict>
          </mc:Fallback>
        </mc:AlternateContent>
      </w:r>
      <w:r w:rsidRPr="00F05A8A">
        <w:rPr>
          <w:b/>
          <w:bCs/>
          <w:lang w:eastAsia="fr-FR"/>
        </w:rPr>
        <mc:AlternateContent>
          <mc:Choice Requires="wps">
            <w:drawing>
              <wp:anchor distT="45720" distB="45720" distL="114300" distR="114300" simplePos="0" relativeHeight="251811840" behindDoc="0" locked="0" layoutInCell="1" allowOverlap="1" wp14:anchorId="3D8DD3F0" wp14:editId="05086FDD">
                <wp:simplePos x="0" y="0"/>
                <wp:positionH relativeFrom="column">
                  <wp:posOffset>4053863</wp:posOffset>
                </wp:positionH>
                <wp:positionV relativeFrom="paragraph">
                  <wp:posOffset>46117</wp:posOffset>
                </wp:positionV>
                <wp:extent cx="1727824" cy="1404620"/>
                <wp:effectExtent l="0" t="0" r="6350" b="0"/>
                <wp:wrapNone/>
                <wp:docPr id="1820415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24" cy="1404620"/>
                        </a:xfrm>
                        <a:prstGeom prst="rect">
                          <a:avLst/>
                        </a:prstGeom>
                        <a:solidFill>
                          <a:srgbClr val="FFFFFF"/>
                        </a:solidFill>
                        <a:ln w="9525">
                          <a:noFill/>
                          <a:miter lim="800000"/>
                          <a:headEnd/>
                          <a:tailEnd/>
                        </a:ln>
                      </wps:spPr>
                      <wps:txbx>
                        <w:txbxContent>
                          <w:p w14:paraId="3F76FF31" w14:textId="77777777" w:rsidR="00756EAD" w:rsidRPr="004E49BD" w:rsidRDefault="00756EAD" w:rsidP="00D80461">
                            <w:pPr>
                              <w:spacing w:before="0"/>
                              <w:rPr>
                                <w:b/>
                                <w:sz w:val="12"/>
                                <w:szCs w:val="12"/>
                              </w:rPr>
                            </w:pPr>
                            <w:r w:rsidRPr="004E49BD">
                              <w:rPr>
                                <w:b/>
                                <w:color w:val="4F81BD" w:themeColor="accent1"/>
                                <w:sz w:val="12"/>
                                <w:szCs w:val="12"/>
                              </w:rPr>
                              <w:t xml:space="preserve">110 </w:t>
                            </w:r>
                            <w:r w:rsidRPr="004E49BD">
                              <w:rPr>
                                <w:b/>
                                <w:sz w:val="12"/>
                                <w:szCs w:val="12"/>
                              </w:rPr>
                              <w:t>Membres des 3 Secteurs</w:t>
                            </w:r>
                          </w:p>
                          <w:p w14:paraId="5328D0BE" w14:textId="77777777" w:rsidR="00756EAD" w:rsidRPr="004E49BD" w:rsidRDefault="00756EAD" w:rsidP="00D80461">
                            <w:pPr>
                              <w:spacing w:before="0"/>
                              <w:rPr>
                                <w:sz w:val="12"/>
                                <w:szCs w:val="12"/>
                              </w:rPr>
                            </w:pPr>
                            <w:r w:rsidRPr="004E49BD">
                              <w:rPr>
                                <w:b/>
                                <w:color w:val="4F81BD" w:themeColor="accent1"/>
                                <w:sz w:val="12"/>
                                <w:szCs w:val="12"/>
                              </w:rPr>
                              <w:t xml:space="preserve">51 </w:t>
                            </w:r>
                            <w:r w:rsidRPr="00C4052B">
                              <w:rPr>
                                <w:b/>
                                <w:sz w:val="12"/>
                                <w:szCs w:val="12"/>
                              </w:rPr>
                              <w:t>Associés avec une contribution pour les</w:t>
                            </w:r>
                            <w:r>
                              <w:rPr>
                                <w:b/>
                                <w:sz w:val="12"/>
                                <w:szCs w:val="12"/>
                              </w:rPr>
                              <w:t xml:space="preserve"> </w:t>
                            </w:r>
                            <w:r w:rsidRPr="00C4052B">
                              <w:rPr>
                                <w:b/>
                                <w:sz w:val="12"/>
                                <w:szCs w:val="12"/>
                              </w:rPr>
                              <w:t>PME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DD3F0" id="_x0000_s1215" type="#_x0000_t202" style="position:absolute;left:0;text-align:left;margin-left:319.2pt;margin-top:3.65pt;width:136.05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" stroked="f">
                <v:textbox style="mso-fit-shape-to-text:t">
                  <w:txbxContent>
                    <w:p w14:paraId="3F76FF31" w14:textId="77777777" w:rsidR="00756EAD" w:rsidRPr="004E49BD" w:rsidRDefault="00756EAD" w:rsidP="00D80461">
                      <w:pPr>
                        <w:spacing w:before="0"/>
                        <w:rPr>
                          <w:b/>
                          <w:sz w:val="12"/>
                          <w:szCs w:val="12"/>
                        </w:rPr>
                      </w:pPr>
                      <w:r w:rsidRPr="004E49BD">
                        <w:rPr>
                          <w:b/>
                          <w:color w:val="4F81BD" w:themeColor="accent1"/>
                          <w:sz w:val="12"/>
                          <w:szCs w:val="12"/>
                        </w:rPr>
                        <w:t xml:space="preserve">110 </w:t>
                      </w:r>
                      <w:r w:rsidRPr="004E49BD">
                        <w:rPr>
                          <w:b/>
                          <w:sz w:val="12"/>
                          <w:szCs w:val="12"/>
                        </w:rPr>
                        <w:t>Membres des 3 Secteurs</w:t>
                      </w:r>
                    </w:p>
                    <w:p w14:paraId="5328D0BE" w14:textId="77777777" w:rsidR="00756EAD" w:rsidRPr="004E49BD" w:rsidRDefault="00756EAD" w:rsidP="00D80461">
                      <w:pPr>
                        <w:spacing w:before="0"/>
                        <w:rPr>
                          <w:sz w:val="12"/>
                          <w:szCs w:val="12"/>
                        </w:rPr>
                      </w:pPr>
                      <w:r w:rsidRPr="004E49BD">
                        <w:rPr>
                          <w:b/>
                          <w:color w:val="4F81BD" w:themeColor="accent1"/>
                          <w:sz w:val="12"/>
                          <w:szCs w:val="12"/>
                        </w:rPr>
                        <w:t xml:space="preserve">51 </w:t>
                      </w:r>
                      <w:r w:rsidRPr="00C4052B">
                        <w:rPr>
                          <w:b/>
                          <w:sz w:val="12"/>
                          <w:szCs w:val="12"/>
                        </w:rPr>
                        <w:t>Associés avec une contribution pour les</w:t>
                      </w:r>
                      <w:r>
                        <w:rPr>
                          <w:b/>
                          <w:sz w:val="12"/>
                          <w:szCs w:val="12"/>
                        </w:rPr>
                        <w:t xml:space="preserve"> </w:t>
                      </w:r>
                      <w:r w:rsidRPr="00C4052B">
                        <w:rPr>
                          <w:b/>
                          <w:sz w:val="12"/>
                          <w:szCs w:val="12"/>
                        </w:rPr>
                        <w:t>PME</w:t>
                      </w:r>
                    </w:p>
                  </w:txbxContent>
                </v:textbox>
              </v:shape>
            </w:pict>
          </mc:Fallback>
        </mc:AlternateContent>
      </w:r>
      <w:r w:rsidRPr="00F05A8A">
        <w:rPr>
          <w:b/>
          <w:bCs/>
          <w:lang w:eastAsia="fr-FR"/>
        </w:rPr>
        <mc:AlternateContent>
          <mc:Choice Requires="wps">
            <w:drawing>
              <wp:anchor distT="45720" distB="45720" distL="114300" distR="114300" simplePos="0" relativeHeight="251810816" behindDoc="0" locked="0" layoutInCell="1" allowOverlap="1" wp14:anchorId="2FB82450" wp14:editId="4655DF4A">
                <wp:simplePos x="0" y="0"/>
                <wp:positionH relativeFrom="column">
                  <wp:posOffset>1152759</wp:posOffset>
                </wp:positionH>
                <wp:positionV relativeFrom="paragraph">
                  <wp:posOffset>79044</wp:posOffset>
                </wp:positionV>
                <wp:extent cx="920010" cy="1404620"/>
                <wp:effectExtent l="0" t="0" r="0" b="0"/>
                <wp:wrapNone/>
                <wp:docPr id="182041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010" cy="1404620"/>
                        </a:xfrm>
                        <a:prstGeom prst="rect">
                          <a:avLst/>
                        </a:prstGeom>
                        <a:solidFill>
                          <a:srgbClr val="FFFFFF"/>
                        </a:solidFill>
                        <a:ln w="9525">
                          <a:noFill/>
                          <a:miter lim="800000"/>
                          <a:headEnd/>
                          <a:tailEnd/>
                        </a:ln>
                      </wps:spPr>
                      <wps:txbx>
                        <w:txbxContent>
                          <w:p w14:paraId="39EF1353" w14:textId="77777777" w:rsidR="00756EAD" w:rsidRPr="004E49BD" w:rsidRDefault="00756EAD" w:rsidP="00D80461">
                            <w:pPr>
                              <w:spacing w:before="0"/>
                              <w:rPr>
                                <w:b/>
                                <w:sz w:val="12"/>
                                <w:szCs w:val="12"/>
                              </w:rPr>
                            </w:pPr>
                            <w:r w:rsidRPr="004E49BD">
                              <w:rPr>
                                <w:b/>
                                <w:color w:val="4F81BD" w:themeColor="accent1"/>
                                <w:sz w:val="12"/>
                                <w:szCs w:val="12"/>
                              </w:rPr>
                              <w:t>945</w:t>
                            </w:r>
                            <w:r w:rsidRPr="004E49BD">
                              <w:rPr>
                                <w:b/>
                                <w:sz w:val="12"/>
                                <w:szCs w:val="12"/>
                              </w:rPr>
                              <w:t xml:space="preserve"> entités membres</w:t>
                            </w:r>
                          </w:p>
                          <w:p w14:paraId="23C53843" w14:textId="77777777" w:rsidR="00756EAD" w:rsidRPr="004E49BD" w:rsidRDefault="00756EAD" w:rsidP="00D80461">
                            <w:pPr>
                              <w:spacing w:before="0"/>
                              <w:rPr>
                                <w:sz w:val="12"/>
                                <w:szCs w:val="12"/>
                              </w:rPr>
                            </w:pPr>
                            <w:r w:rsidRPr="004E49BD">
                              <w:rPr>
                                <w:b/>
                                <w:color w:val="4F81BD" w:themeColor="accent1"/>
                                <w:sz w:val="12"/>
                                <w:szCs w:val="12"/>
                              </w:rPr>
                              <w:t xml:space="preserve">1 277 </w:t>
                            </w:r>
                            <w:r w:rsidRPr="004E49BD">
                              <w:rPr>
                                <w:b/>
                                <w:sz w:val="12"/>
                                <w:szCs w:val="12"/>
                              </w:rPr>
                              <w:t>membres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82450" id="_x0000_s1216" type="#_x0000_t202" style="position:absolute;left:0;text-align:left;margin-left:90.75pt;margin-top:6.2pt;width:72.4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O2EAIAAP8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" stroked="f">
                <v:textbox style="mso-fit-shape-to-text:t">
                  <w:txbxContent>
                    <w:p w14:paraId="39EF1353" w14:textId="77777777" w:rsidR="00756EAD" w:rsidRPr="004E49BD" w:rsidRDefault="00756EAD" w:rsidP="00D80461">
                      <w:pPr>
                        <w:spacing w:before="0"/>
                        <w:rPr>
                          <w:b/>
                          <w:sz w:val="12"/>
                          <w:szCs w:val="12"/>
                        </w:rPr>
                      </w:pPr>
                      <w:r w:rsidRPr="004E49BD">
                        <w:rPr>
                          <w:b/>
                          <w:color w:val="4F81BD" w:themeColor="accent1"/>
                          <w:sz w:val="12"/>
                          <w:szCs w:val="12"/>
                        </w:rPr>
                        <w:t>945</w:t>
                      </w:r>
                      <w:r w:rsidRPr="004E49BD">
                        <w:rPr>
                          <w:b/>
                          <w:sz w:val="12"/>
                          <w:szCs w:val="12"/>
                        </w:rPr>
                        <w:t xml:space="preserve"> entités membres</w:t>
                      </w:r>
                    </w:p>
                    <w:p w14:paraId="23C53843" w14:textId="77777777" w:rsidR="00756EAD" w:rsidRPr="004E49BD" w:rsidRDefault="00756EAD" w:rsidP="00D80461">
                      <w:pPr>
                        <w:spacing w:before="0"/>
                        <w:rPr>
                          <w:sz w:val="12"/>
                          <w:szCs w:val="12"/>
                        </w:rPr>
                      </w:pPr>
                      <w:r w:rsidRPr="004E49BD">
                        <w:rPr>
                          <w:b/>
                          <w:color w:val="4F81BD" w:themeColor="accent1"/>
                          <w:sz w:val="12"/>
                          <w:szCs w:val="12"/>
                        </w:rPr>
                        <w:t xml:space="preserve">1 277 </w:t>
                      </w:r>
                      <w:r w:rsidRPr="004E49BD">
                        <w:rPr>
                          <w:b/>
                          <w:sz w:val="12"/>
                          <w:szCs w:val="12"/>
                        </w:rPr>
                        <w:t>membres</w:t>
                      </w:r>
                    </w:p>
                  </w:txbxContent>
                </v:textbox>
              </v:shape>
            </w:pict>
          </mc:Fallback>
        </mc:AlternateContent>
      </w:r>
      <w:r w:rsidRPr="00F05A8A">
        <w:rPr>
          <w:rFonts w:cs="Calibri"/>
          <w:b/>
          <w:lang w:eastAsia="fr-FR"/>
        </w:rPr>
        <mc:AlternateContent>
          <mc:Choice Requires="wps">
            <w:drawing>
              <wp:anchor distT="0" distB="0" distL="114300" distR="114300" simplePos="0" relativeHeight="251784192" behindDoc="0" locked="0" layoutInCell="1" allowOverlap="1" wp14:anchorId="6763E5A2" wp14:editId="7E6D6A30">
                <wp:simplePos x="0" y="0"/>
                <wp:positionH relativeFrom="column">
                  <wp:posOffset>2103507</wp:posOffset>
                </wp:positionH>
                <wp:positionV relativeFrom="paragraph">
                  <wp:posOffset>-1988</wp:posOffset>
                </wp:positionV>
                <wp:extent cx="2011680" cy="307238"/>
                <wp:effectExtent l="0" t="0" r="762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7238"/>
                        </a:xfrm>
                        <a:prstGeom prst="rect">
                          <a:avLst/>
                        </a:prstGeom>
                        <a:solidFill>
                          <a:srgbClr val="FFFFFF"/>
                        </a:solidFill>
                        <a:ln w="9525">
                          <a:noFill/>
                          <a:miter lim="800000"/>
                          <a:headEnd/>
                          <a:tailEnd/>
                        </a:ln>
                      </wps:spPr>
                      <wps:txbx>
                        <w:txbxContent>
                          <w:p w14:paraId="4D03A9B3" w14:textId="77777777" w:rsidR="00756EAD" w:rsidRPr="00CF49A0" w:rsidRDefault="00756EAD" w:rsidP="00D80461">
                            <w:pPr>
                              <w:tabs>
                                <w:tab w:val="clear" w:pos="1134"/>
                                <w:tab w:val="left" w:pos="1064"/>
                              </w:tabs>
                              <w:spacing w:before="0"/>
                              <w:jc w:val="center"/>
                              <w:rPr>
                                <w:sz w:val="2"/>
                                <w:szCs w:val="2"/>
                              </w:rPr>
                            </w:pPr>
                            <w:r w:rsidRPr="00CF49A0">
                              <w:rPr>
                                <w:b/>
                                <w:bCs/>
                                <w:iCs/>
                                <w:sz w:val="22"/>
                                <w:szCs w:val="22"/>
                              </w:rPr>
                              <w:t>Membres</w:t>
                            </w:r>
                            <w:r>
                              <w:rPr>
                                <w:b/>
                                <w:bCs/>
                                <w:iCs/>
                                <w:sz w:val="22"/>
                                <w:szCs w:val="22"/>
                              </w:rPr>
                              <w:t xml:space="preserve"> </w:t>
                            </w:r>
                            <w:r w:rsidRPr="00CF49A0">
                              <w:rPr>
                                <w:b/>
                                <w:bCs/>
                                <w:iCs/>
                                <w:sz w:val="22"/>
                                <w:szCs w:val="22"/>
                              </w:rPr>
                              <w:t>– Rapport annuel 20</w:t>
                            </w:r>
                            <w:r>
                              <w:rPr>
                                <w:b/>
                                <w:bCs/>
                                <w:iCs/>
                                <w:sz w:val="22"/>
                                <w:szCs w:val="22"/>
                              </w:rPr>
                              <w:t>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3E5A2" id="_x0000_s1217" type="#_x0000_t202" style="position:absolute;left:0;text-align:left;margin-left:165.65pt;margin-top:-.15pt;width:158.4pt;height:2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" stroked="f">
                <v:textbox inset="0,0,0,0">
                  <w:txbxContent>
                    <w:p w14:paraId="4D03A9B3" w14:textId="77777777" w:rsidR="00756EAD" w:rsidRPr="00CF49A0" w:rsidRDefault="00756EAD" w:rsidP="00D80461">
                      <w:pPr>
                        <w:tabs>
                          <w:tab w:val="clear" w:pos="1134"/>
                          <w:tab w:val="left" w:pos="1064"/>
                        </w:tabs>
                        <w:spacing w:before="0"/>
                        <w:jc w:val="center"/>
                        <w:rPr>
                          <w:sz w:val="2"/>
                          <w:szCs w:val="2"/>
                        </w:rPr>
                      </w:pPr>
                      <w:r w:rsidRPr="00CF49A0">
                        <w:rPr>
                          <w:b/>
                          <w:bCs/>
                          <w:iCs/>
                          <w:sz w:val="22"/>
                          <w:szCs w:val="22"/>
                        </w:rPr>
                        <w:t>Membres</w:t>
                      </w:r>
                      <w:r>
                        <w:rPr>
                          <w:b/>
                          <w:bCs/>
                          <w:iCs/>
                          <w:sz w:val="22"/>
                          <w:szCs w:val="22"/>
                        </w:rPr>
                        <w:t xml:space="preserve"> </w:t>
                      </w:r>
                      <w:r w:rsidRPr="00CF49A0">
                        <w:rPr>
                          <w:b/>
                          <w:bCs/>
                          <w:iCs/>
                          <w:sz w:val="22"/>
                          <w:szCs w:val="22"/>
                        </w:rPr>
                        <w:t>– Rapport annuel 20</w:t>
                      </w:r>
                      <w:r>
                        <w:rPr>
                          <w:b/>
                          <w:bCs/>
                          <w:iCs/>
                          <w:sz w:val="22"/>
                          <w:szCs w:val="22"/>
                        </w:rPr>
                        <w:t>21</w:t>
                      </w:r>
                    </w:p>
                  </w:txbxContent>
                </v:textbox>
              </v:shape>
            </w:pict>
          </mc:Fallback>
        </mc:AlternateContent>
      </w:r>
      <w:r w:rsidRPr="00F05A8A">
        <w:rPr>
          <w:b/>
          <w:bCs/>
          <w:lang w:eastAsia="fr-FR"/>
        </w:rPr>
        <w:drawing>
          <wp:inline distT="0" distB="0" distL="0" distR="0" wp14:anchorId="468FBAAF" wp14:editId="12F9A02C">
            <wp:extent cx="4758610" cy="3368881"/>
            <wp:effectExtent l="0" t="0" r="4445" b="3175"/>
            <wp:docPr id="1975730816" name="Picture 19757308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16" name="Picture 1975730816" descr="Graphical user interface&#10;&#10;Description automatically generated"/>
                    <pic:cNvPicPr/>
                  </pic:nvPicPr>
                  <pic:blipFill>
                    <a:blip r:embed="rId673"/>
                    <a:stretch>
                      <a:fillRect/>
                    </a:stretch>
                  </pic:blipFill>
                  <pic:spPr>
                    <a:xfrm>
                      <a:off x="0" y="0"/>
                      <a:ext cx="4769132" cy="3376330"/>
                    </a:xfrm>
                    <a:prstGeom prst="rect">
                      <a:avLst/>
                    </a:prstGeom>
                  </pic:spPr>
                </pic:pic>
              </a:graphicData>
            </a:graphic>
          </wp:inline>
        </w:drawing>
      </w:r>
    </w:p>
    <w:p w14:paraId="4AEA1F02" w14:textId="77777777" w:rsidR="00D80461" w:rsidRPr="00F05A8A" w:rsidRDefault="00D80461" w:rsidP="002F075E">
      <w:pPr>
        <w:jc w:val="center"/>
        <w:rPr>
          <w:b/>
          <w:bCs/>
        </w:rPr>
      </w:pPr>
      <w:r w:rsidRPr="00F05A8A">
        <w:rPr>
          <w:b/>
          <w:bCs/>
          <w:lang w:eastAsia="fr-FR"/>
        </w:rPr>
        <w:lastRenderedPageBreak/>
        <mc:AlternateContent>
          <mc:Choice Requires="wps">
            <w:drawing>
              <wp:anchor distT="45720" distB="45720" distL="114300" distR="114300" simplePos="0" relativeHeight="251828224" behindDoc="0" locked="0" layoutInCell="1" allowOverlap="1" wp14:anchorId="0D826E3C" wp14:editId="5FCBBAC1">
                <wp:simplePos x="0" y="0"/>
                <wp:positionH relativeFrom="margin">
                  <wp:posOffset>701723</wp:posOffset>
                </wp:positionH>
                <wp:positionV relativeFrom="paragraph">
                  <wp:posOffset>1133772</wp:posOffset>
                </wp:positionV>
                <wp:extent cx="1746885" cy="181486"/>
                <wp:effectExtent l="0" t="0" r="5715" b="9525"/>
                <wp:wrapNone/>
                <wp:docPr id="1820415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81486"/>
                        </a:xfrm>
                        <a:prstGeom prst="rect">
                          <a:avLst/>
                        </a:prstGeom>
                        <a:solidFill>
                          <a:srgbClr val="FFFFFF"/>
                        </a:solidFill>
                        <a:ln w="9525">
                          <a:noFill/>
                          <a:miter lim="800000"/>
                          <a:headEnd/>
                          <a:tailEnd/>
                        </a:ln>
                      </wps:spPr>
                      <wps:txbx>
                        <w:txbxContent>
                          <w:p w14:paraId="1CB91ADC"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20" w:after="100" w:afterAutospacing="1" w:line="120" w:lineRule="exact"/>
                              <w:ind w:left="-142" w:right="-244"/>
                              <w:rPr>
                                <w:b/>
                                <w:color w:val="404040" w:themeColor="text1" w:themeTint="BF"/>
                                <w:sz w:val="12"/>
                                <w:szCs w:val="12"/>
                                <w:lang w:val="fr-CH"/>
                              </w:rPr>
                            </w:pPr>
                            <w:r w:rsidRPr="00A07B9A">
                              <w:rPr>
                                <w:b/>
                                <w:color w:val="404040" w:themeColor="text1" w:themeTint="BF"/>
                                <w:sz w:val="12"/>
                                <w:szCs w:val="12"/>
                                <w:lang w:val="fr-CH"/>
                              </w:rPr>
                              <w:t>Croissance annuelle du nombre de Membres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26E3C" id="_x0000_s1218" type="#_x0000_t202" style="position:absolute;left:0;text-align:left;margin-left:55.25pt;margin-top:89.25pt;width:137.55pt;height:14.3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" stroked="f">
                <v:textbox>
                  <w:txbxContent>
                    <w:p w14:paraId="1CB91ADC"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20" w:after="100" w:afterAutospacing="1" w:line="120" w:lineRule="exact"/>
                        <w:ind w:left="-142" w:right="-244"/>
                        <w:rPr>
                          <w:b/>
                          <w:color w:val="404040" w:themeColor="text1" w:themeTint="BF"/>
                          <w:sz w:val="12"/>
                          <w:szCs w:val="12"/>
                          <w:lang w:val="fr-CH"/>
                        </w:rPr>
                      </w:pPr>
                      <w:r w:rsidRPr="00A07B9A">
                        <w:rPr>
                          <w:b/>
                          <w:color w:val="404040" w:themeColor="text1" w:themeTint="BF"/>
                          <w:sz w:val="12"/>
                          <w:szCs w:val="12"/>
                          <w:lang w:val="fr-CH"/>
                        </w:rPr>
                        <w:t>Croissance annuelle du nombre de Membres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9248" behindDoc="0" locked="0" layoutInCell="1" allowOverlap="1" wp14:anchorId="25C8587B" wp14:editId="11F71C69">
                <wp:simplePos x="0" y="0"/>
                <wp:positionH relativeFrom="margin">
                  <wp:posOffset>399026</wp:posOffset>
                </wp:positionH>
                <wp:positionV relativeFrom="paragraph">
                  <wp:posOffset>1412865</wp:posOffset>
                </wp:positionV>
                <wp:extent cx="757451" cy="586853"/>
                <wp:effectExtent l="0" t="0" r="5080" b="3810"/>
                <wp:wrapNone/>
                <wp:docPr id="182041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51" cy="586853"/>
                        </a:xfrm>
                        <a:prstGeom prst="rect">
                          <a:avLst/>
                        </a:prstGeom>
                        <a:solidFill>
                          <a:srgbClr val="FFFFFF"/>
                        </a:solidFill>
                        <a:ln w="9525">
                          <a:noFill/>
                          <a:miter lim="800000"/>
                          <a:headEnd/>
                          <a:tailEnd/>
                        </a:ln>
                      </wps:spPr>
                      <wps:txbx>
                        <w:txbxContent>
                          <w:p w14:paraId="60B60008"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Membres</w:t>
                            </w:r>
                          </w:p>
                          <w:p w14:paraId="412C19C8" w14:textId="77777777" w:rsidR="00756EAD" w:rsidRPr="00A07B9A" w:rsidRDefault="00756EAD" w:rsidP="00D80461">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 de variation</w:t>
                            </w:r>
                          </w:p>
                          <w:p w14:paraId="53E5F68E"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Montant des contributions</w:t>
                            </w:r>
                          </w:p>
                          <w:p w14:paraId="38308AD1" w14:textId="77777777" w:rsidR="00756EAD" w:rsidRPr="00A07B9A" w:rsidRDefault="00756EAD" w:rsidP="00D80461">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2"/>
                                <w:szCs w:val="12"/>
                                <w:lang w:val="fr-CH"/>
                              </w:rPr>
                            </w:pPr>
                            <w:r w:rsidRPr="00A07B9A">
                              <w:rPr>
                                <w:bCs/>
                                <w:color w:val="404040" w:themeColor="text1" w:themeTint="BF"/>
                                <w:sz w:val="11"/>
                                <w:szCs w:val="11"/>
                                <w:shd w:val="clear" w:color="auto" w:fill="DAEEF3" w:themeFill="accent5" w:themeFillTint="33"/>
                                <w:lang w:val="fr-CH"/>
                              </w:rPr>
                              <w:t>% de variation concernant les 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8587B" id="_x0000_s1219" type="#_x0000_t202" style="position:absolute;left:0;text-align:left;margin-left:31.4pt;margin-top:111.25pt;width:59.65pt;height:46.2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" stroked="f">
                <v:textbox>
                  <w:txbxContent>
                    <w:p w14:paraId="60B60008"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Membres</w:t>
                      </w:r>
                    </w:p>
                    <w:p w14:paraId="412C19C8" w14:textId="77777777" w:rsidR="00756EAD" w:rsidRPr="00A07B9A" w:rsidRDefault="00756EAD" w:rsidP="00D80461">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 de variation</w:t>
                      </w:r>
                    </w:p>
                    <w:p w14:paraId="53E5F68E"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Montant des contributions</w:t>
                      </w:r>
                    </w:p>
                    <w:p w14:paraId="38308AD1" w14:textId="77777777" w:rsidR="00756EAD" w:rsidRPr="00A07B9A" w:rsidRDefault="00756EAD" w:rsidP="00D80461">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2"/>
                          <w:szCs w:val="12"/>
                          <w:lang w:val="fr-CH"/>
                        </w:rPr>
                      </w:pPr>
                      <w:r w:rsidRPr="00A07B9A">
                        <w:rPr>
                          <w:bCs/>
                          <w:color w:val="404040" w:themeColor="text1" w:themeTint="BF"/>
                          <w:sz w:val="11"/>
                          <w:szCs w:val="11"/>
                          <w:shd w:val="clear" w:color="auto" w:fill="DAEEF3" w:themeFill="accent5" w:themeFillTint="33"/>
                          <w:lang w:val="fr-CH"/>
                        </w:rPr>
                        <w:t>% de variation concernant les contributions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7200" behindDoc="0" locked="0" layoutInCell="1" allowOverlap="1" wp14:anchorId="5009A4B0" wp14:editId="1CFFC4CA">
                <wp:simplePos x="0" y="0"/>
                <wp:positionH relativeFrom="margin">
                  <wp:posOffset>711996</wp:posOffset>
                </wp:positionH>
                <wp:positionV relativeFrom="paragraph">
                  <wp:posOffset>852331</wp:posOffset>
                </wp:positionV>
                <wp:extent cx="477672" cy="279779"/>
                <wp:effectExtent l="0" t="0" r="0" b="6350"/>
                <wp:wrapNone/>
                <wp:docPr id="1820415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72" cy="279779"/>
                        </a:xfrm>
                        <a:prstGeom prst="rect">
                          <a:avLst/>
                        </a:prstGeom>
                        <a:solidFill>
                          <a:srgbClr val="FFFFFF"/>
                        </a:solidFill>
                        <a:ln w="9525">
                          <a:noFill/>
                          <a:miter lim="800000"/>
                          <a:headEnd/>
                          <a:tailEnd/>
                        </a:ln>
                      </wps:spPr>
                      <wps:txbx>
                        <w:txbxContent>
                          <w:p w14:paraId="6F1DF1D6" w14:textId="77777777" w:rsidR="00756EAD" w:rsidRPr="00A07B9A" w:rsidRDefault="00756EAD" w:rsidP="00D80461">
                            <w:pPr>
                              <w:shd w:val="clear" w:color="auto" w:fill="EEECE1" w:themeFill="background2"/>
                              <w:tabs>
                                <w:tab w:val="clear" w:pos="567"/>
                                <w:tab w:val="clear" w:pos="1134"/>
                                <w:tab w:val="clear" w:pos="1701"/>
                                <w:tab w:val="clear" w:pos="2268"/>
                                <w:tab w:val="clear" w:pos="2835"/>
                                <w:tab w:val="left" w:pos="1276"/>
                                <w:tab w:val="left" w:pos="3686"/>
                              </w:tabs>
                              <w:spacing w:before="20" w:after="100" w:afterAutospacing="1" w:line="120" w:lineRule="exact"/>
                              <w:ind w:left="-142"/>
                              <w:rPr>
                                <w:bCs/>
                                <w:color w:val="404040" w:themeColor="text1" w:themeTint="BF"/>
                                <w:sz w:val="10"/>
                                <w:szCs w:val="10"/>
                                <w:lang w:val="fr-CH"/>
                              </w:rPr>
                            </w:pPr>
                            <w:r w:rsidRPr="00A07B9A">
                              <w:rPr>
                                <w:bCs/>
                                <w:color w:val="404040" w:themeColor="text1" w:themeTint="BF"/>
                                <w:sz w:val="10"/>
                                <w:szCs w:val="10"/>
                                <w:lang w:val="fr-CH"/>
                              </w:rPr>
                              <w:t>Montant des 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9A4B0" id="_x0000_s1220" type="#_x0000_t202" style="position:absolute;left:0;text-align:left;margin-left:56.05pt;margin-top:67.1pt;width:37.6pt;height:22.0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" stroked="f">
                <v:textbox>
                  <w:txbxContent>
                    <w:p w14:paraId="6F1DF1D6" w14:textId="77777777" w:rsidR="00756EAD" w:rsidRPr="00A07B9A" w:rsidRDefault="00756EAD" w:rsidP="00D80461">
                      <w:pPr>
                        <w:shd w:val="clear" w:color="auto" w:fill="EEECE1" w:themeFill="background2"/>
                        <w:tabs>
                          <w:tab w:val="clear" w:pos="567"/>
                          <w:tab w:val="clear" w:pos="1134"/>
                          <w:tab w:val="clear" w:pos="1701"/>
                          <w:tab w:val="clear" w:pos="2268"/>
                          <w:tab w:val="clear" w:pos="2835"/>
                          <w:tab w:val="left" w:pos="1276"/>
                          <w:tab w:val="left" w:pos="3686"/>
                        </w:tabs>
                        <w:spacing w:before="20" w:after="100" w:afterAutospacing="1" w:line="120" w:lineRule="exact"/>
                        <w:ind w:left="-142"/>
                        <w:rPr>
                          <w:bCs/>
                          <w:color w:val="404040" w:themeColor="text1" w:themeTint="BF"/>
                          <w:sz w:val="10"/>
                          <w:szCs w:val="10"/>
                          <w:lang w:val="fr-CH"/>
                        </w:rPr>
                      </w:pPr>
                      <w:r w:rsidRPr="00A07B9A">
                        <w:rPr>
                          <w:bCs/>
                          <w:color w:val="404040" w:themeColor="text1" w:themeTint="BF"/>
                          <w:sz w:val="10"/>
                          <w:szCs w:val="10"/>
                          <w:lang w:val="fr-CH"/>
                        </w:rPr>
                        <w:t>Montant des contributions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6176" behindDoc="0" locked="0" layoutInCell="1" allowOverlap="1" wp14:anchorId="1B2D2C7D" wp14:editId="2F10663E">
                <wp:simplePos x="0" y="0"/>
                <wp:positionH relativeFrom="margin">
                  <wp:posOffset>630564</wp:posOffset>
                </wp:positionH>
                <wp:positionV relativeFrom="paragraph">
                  <wp:posOffset>490855</wp:posOffset>
                </wp:positionV>
                <wp:extent cx="484496" cy="361666"/>
                <wp:effectExtent l="0" t="0" r="0" b="635"/>
                <wp:wrapNone/>
                <wp:docPr id="1820415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96" cy="361666"/>
                        </a:xfrm>
                        <a:prstGeom prst="rect">
                          <a:avLst/>
                        </a:prstGeom>
                        <a:solidFill>
                          <a:srgbClr val="FFFFFF"/>
                        </a:solidFill>
                        <a:ln w="9525">
                          <a:noFill/>
                          <a:miter lim="800000"/>
                          <a:headEnd/>
                          <a:tailEnd/>
                        </a:ln>
                      </wps:spPr>
                      <wps:txbx>
                        <w:txbxContent>
                          <w:p w14:paraId="4ED111C6"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Nombre de dossiers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D2C7D" id="_x0000_s1221" type="#_x0000_t202" style="position:absolute;left:0;text-align:left;margin-left:49.65pt;margin-top:38.65pt;width:38.15pt;height:28.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" stroked="f">
                <v:textbox>
                  <w:txbxContent>
                    <w:p w14:paraId="4ED111C6"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Nombre de dossiers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5152" behindDoc="0" locked="0" layoutInCell="1" allowOverlap="1" wp14:anchorId="232F2028" wp14:editId="61F16AE2">
                <wp:simplePos x="0" y="0"/>
                <wp:positionH relativeFrom="margin">
                  <wp:posOffset>1060621</wp:posOffset>
                </wp:positionH>
                <wp:positionV relativeFrom="paragraph">
                  <wp:posOffset>286859</wp:posOffset>
                </wp:positionV>
                <wp:extent cx="4700678" cy="286603"/>
                <wp:effectExtent l="0" t="0" r="5080" b="0"/>
                <wp:wrapNone/>
                <wp:docPr id="1820415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678" cy="286603"/>
                        </a:xfrm>
                        <a:prstGeom prst="rect">
                          <a:avLst/>
                        </a:prstGeom>
                        <a:solidFill>
                          <a:srgbClr val="FFFFFF"/>
                        </a:solidFill>
                        <a:ln w="9525">
                          <a:noFill/>
                          <a:miter lim="800000"/>
                          <a:headEnd/>
                          <a:tailEnd/>
                        </a:ln>
                      </wps:spPr>
                      <wps:txbx>
                        <w:txbxContent>
                          <w:p w14:paraId="340E013D" w14:textId="77777777" w:rsidR="00756EAD" w:rsidRPr="00B87C5E" w:rsidRDefault="00756EAD" w:rsidP="00D80461">
                            <w:pPr>
                              <w:tabs>
                                <w:tab w:val="clear" w:pos="567"/>
                                <w:tab w:val="clear" w:pos="1134"/>
                                <w:tab w:val="clear" w:pos="1701"/>
                                <w:tab w:val="clear" w:pos="2268"/>
                                <w:tab w:val="clear" w:pos="2835"/>
                                <w:tab w:val="left" w:pos="4820"/>
                              </w:tabs>
                              <w:spacing w:before="0"/>
                              <w:ind w:firstLine="426"/>
                              <w:rPr>
                                <w:b/>
                                <w:color w:val="404040" w:themeColor="text1" w:themeTint="BF"/>
                                <w:sz w:val="13"/>
                                <w:szCs w:val="13"/>
                                <w:lang w:val="fr-CH"/>
                              </w:rPr>
                            </w:pPr>
                            <w:r w:rsidRPr="00B87C5E">
                              <w:rPr>
                                <w:b/>
                                <w:color w:val="404040" w:themeColor="text1" w:themeTint="BF"/>
                                <w:sz w:val="13"/>
                                <w:szCs w:val="13"/>
                                <w:lang w:val="fr-CH"/>
                              </w:rPr>
                              <w:t>Changements observés concernant les Membres en 2021</w:t>
                            </w:r>
                            <w:r w:rsidRPr="00B87C5E">
                              <w:rPr>
                                <w:b/>
                                <w:color w:val="404040" w:themeColor="text1" w:themeTint="BF"/>
                                <w:sz w:val="13"/>
                                <w:szCs w:val="13"/>
                                <w:lang w:val="fr-CH"/>
                              </w:rPr>
                              <w:tab/>
                              <w:t>Variation nette en 2021</w:t>
                            </w:r>
                          </w:p>
                          <w:p w14:paraId="18525A8D"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Nouveaux Membres</w:t>
                            </w:r>
                            <w:r w:rsidRPr="00A07B9A">
                              <w:rPr>
                                <w:bCs/>
                                <w:color w:val="404040" w:themeColor="text1" w:themeTint="BF"/>
                                <w:sz w:val="12"/>
                                <w:szCs w:val="12"/>
                                <w:lang w:val="fr-CH"/>
                              </w:rPr>
                              <w:tab/>
                              <w:t>Membres ayant dénoncé leur participation</w:t>
                            </w:r>
                            <w:r w:rsidRPr="00A07B9A">
                              <w:rPr>
                                <w:bCs/>
                                <w:color w:val="404040" w:themeColor="text1" w:themeTint="BF"/>
                                <w:sz w:val="12"/>
                                <w:szCs w:val="12"/>
                                <w:lang w:val="fr-CH"/>
                              </w:rPr>
                              <w:tab/>
                              <w:t>Membres exclus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F2028" id="_x0000_s1222" type="#_x0000_t202" style="position:absolute;left:0;text-align:left;margin-left:83.5pt;margin-top:22.6pt;width:370.15pt;height:22.5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EwIAAP8DAAAOAAAAZHJzL2Uyb0RvYy54bWysU9uO2yAQfa/Uf0C8N3bSJJt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" stroked="f">
                <v:textbox>
                  <w:txbxContent>
                    <w:p w14:paraId="340E013D" w14:textId="77777777" w:rsidR="00756EAD" w:rsidRPr="00B87C5E" w:rsidRDefault="00756EAD" w:rsidP="00D80461">
                      <w:pPr>
                        <w:tabs>
                          <w:tab w:val="clear" w:pos="567"/>
                          <w:tab w:val="clear" w:pos="1134"/>
                          <w:tab w:val="clear" w:pos="1701"/>
                          <w:tab w:val="clear" w:pos="2268"/>
                          <w:tab w:val="clear" w:pos="2835"/>
                          <w:tab w:val="left" w:pos="4820"/>
                        </w:tabs>
                        <w:spacing w:before="0"/>
                        <w:ind w:firstLine="426"/>
                        <w:rPr>
                          <w:b/>
                          <w:color w:val="404040" w:themeColor="text1" w:themeTint="BF"/>
                          <w:sz w:val="13"/>
                          <w:szCs w:val="13"/>
                          <w:lang w:val="fr-CH"/>
                        </w:rPr>
                      </w:pPr>
                      <w:r w:rsidRPr="00B87C5E">
                        <w:rPr>
                          <w:b/>
                          <w:color w:val="404040" w:themeColor="text1" w:themeTint="BF"/>
                          <w:sz w:val="13"/>
                          <w:szCs w:val="13"/>
                          <w:lang w:val="fr-CH"/>
                        </w:rPr>
                        <w:t>Changements observés concernant les Membres en 2021</w:t>
                      </w:r>
                      <w:r w:rsidRPr="00B87C5E">
                        <w:rPr>
                          <w:b/>
                          <w:color w:val="404040" w:themeColor="text1" w:themeTint="BF"/>
                          <w:sz w:val="13"/>
                          <w:szCs w:val="13"/>
                          <w:lang w:val="fr-CH"/>
                        </w:rPr>
                        <w:tab/>
                        <w:t>Variation nette en 2021</w:t>
                      </w:r>
                    </w:p>
                    <w:p w14:paraId="18525A8D" w14:textId="77777777" w:rsidR="00756EAD" w:rsidRPr="00A07B9A" w:rsidRDefault="00756EAD" w:rsidP="00D80461">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Nouveaux Membres</w:t>
                      </w:r>
                      <w:r w:rsidRPr="00A07B9A">
                        <w:rPr>
                          <w:bCs/>
                          <w:color w:val="404040" w:themeColor="text1" w:themeTint="BF"/>
                          <w:sz w:val="12"/>
                          <w:szCs w:val="12"/>
                          <w:lang w:val="fr-CH"/>
                        </w:rPr>
                        <w:tab/>
                        <w:t>Membres ayant dénoncé leur participation</w:t>
                      </w:r>
                      <w:r w:rsidRPr="00A07B9A">
                        <w:rPr>
                          <w:bCs/>
                          <w:color w:val="404040" w:themeColor="text1" w:themeTint="BF"/>
                          <w:sz w:val="12"/>
                          <w:szCs w:val="12"/>
                          <w:lang w:val="fr-CH"/>
                        </w:rPr>
                        <w:tab/>
                        <w:t>Membres exclus</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24128" behindDoc="0" locked="0" layoutInCell="1" allowOverlap="1" wp14:anchorId="059E3D77" wp14:editId="22A8BE25">
                <wp:simplePos x="0" y="0"/>
                <wp:positionH relativeFrom="margin">
                  <wp:align>center</wp:align>
                </wp:positionH>
                <wp:positionV relativeFrom="paragraph">
                  <wp:posOffset>6653</wp:posOffset>
                </wp:positionV>
                <wp:extent cx="2422478" cy="327546"/>
                <wp:effectExtent l="0" t="0" r="0" b="0"/>
                <wp:wrapNone/>
                <wp:docPr id="1820415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478" cy="327546"/>
                        </a:xfrm>
                        <a:prstGeom prst="rect">
                          <a:avLst/>
                        </a:prstGeom>
                        <a:solidFill>
                          <a:srgbClr val="FFFFFF"/>
                        </a:solidFill>
                        <a:ln w="9525">
                          <a:noFill/>
                          <a:miter lim="800000"/>
                          <a:headEnd/>
                          <a:tailEnd/>
                        </a:ln>
                      </wps:spPr>
                      <wps:txbx>
                        <w:txbxContent>
                          <w:p w14:paraId="0B068489" w14:textId="77777777" w:rsidR="00756EAD" w:rsidRDefault="00756EAD" w:rsidP="00D80461">
                            <w:pPr>
                              <w:tabs>
                                <w:tab w:val="clear" w:pos="567"/>
                                <w:tab w:val="clear" w:pos="1134"/>
                                <w:tab w:val="clear" w:pos="1701"/>
                              </w:tabs>
                              <w:spacing w:before="0" w:line="180" w:lineRule="exact"/>
                              <w:jc w:val="center"/>
                              <w:rPr>
                                <w:b/>
                                <w:color w:val="404040" w:themeColor="text1" w:themeTint="BF"/>
                                <w:sz w:val="18"/>
                                <w:szCs w:val="18"/>
                                <w:lang w:val="fr-CH"/>
                              </w:rPr>
                            </w:pPr>
                            <w:r w:rsidRPr="00B87C5E">
                              <w:rPr>
                                <w:b/>
                                <w:color w:val="404040" w:themeColor="text1" w:themeTint="BF"/>
                                <w:sz w:val="18"/>
                                <w:szCs w:val="18"/>
                                <w:lang w:val="fr-CH"/>
                              </w:rPr>
                              <w:t>Résultats annuels concernant les Membres</w:t>
                            </w:r>
                          </w:p>
                          <w:p w14:paraId="14172163" w14:textId="77777777" w:rsidR="00756EAD" w:rsidRPr="00B87C5E" w:rsidRDefault="00756EAD" w:rsidP="00D80461">
                            <w:pPr>
                              <w:tabs>
                                <w:tab w:val="clear" w:pos="567"/>
                                <w:tab w:val="clear" w:pos="1134"/>
                                <w:tab w:val="clear" w:pos="1701"/>
                              </w:tabs>
                              <w:spacing w:before="0" w:line="180" w:lineRule="exact"/>
                              <w:jc w:val="center"/>
                              <w:rPr>
                                <w:b/>
                                <w:sz w:val="18"/>
                                <w:szCs w:val="18"/>
                              </w:rPr>
                            </w:pPr>
                            <w:r w:rsidRPr="00B87C5E">
                              <w:rPr>
                                <w:b/>
                                <w:color w:val="404040" w:themeColor="text1" w:themeTint="BF"/>
                                <w:sz w:val="18"/>
                                <w:szCs w:val="18"/>
                                <w:lang w:val="fr-CH"/>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3D77" id="_x0000_s1223" type="#_x0000_t202" style="position:absolute;left:0;text-align:left;margin-left:0;margin-top:.5pt;width:190.75pt;height:25.8pt;z-index:251824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" stroked="f">
                <v:textbox>
                  <w:txbxContent>
                    <w:p w14:paraId="0B068489" w14:textId="77777777" w:rsidR="00756EAD" w:rsidRDefault="00756EAD" w:rsidP="00D80461">
                      <w:pPr>
                        <w:tabs>
                          <w:tab w:val="clear" w:pos="567"/>
                          <w:tab w:val="clear" w:pos="1134"/>
                          <w:tab w:val="clear" w:pos="1701"/>
                        </w:tabs>
                        <w:spacing w:before="0" w:line="180" w:lineRule="exact"/>
                        <w:jc w:val="center"/>
                        <w:rPr>
                          <w:b/>
                          <w:color w:val="404040" w:themeColor="text1" w:themeTint="BF"/>
                          <w:sz w:val="18"/>
                          <w:szCs w:val="18"/>
                          <w:lang w:val="fr-CH"/>
                        </w:rPr>
                      </w:pPr>
                      <w:r w:rsidRPr="00B87C5E">
                        <w:rPr>
                          <w:b/>
                          <w:color w:val="404040" w:themeColor="text1" w:themeTint="BF"/>
                          <w:sz w:val="18"/>
                          <w:szCs w:val="18"/>
                          <w:lang w:val="fr-CH"/>
                        </w:rPr>
                        <w:t>Résultats annuels concernant les Membres</w:t>
                      </w:r>
                    </w:p>
                    <w:p w14:paraId="14172163" w14:textId="77777777" w:rsidR="00756EAD" w:rsidRPr="00B87C5E" w:rsidRDefault="00756EAD" w:rsidP="00D80461">
                      <w:pPr>
                        <w:tabs>
                          <w:tab w:val="clear" w:pos="567"/>
                          <w:tab w:val="clear" w:pos="1134"/>
                          <w:tab w:val="clear" w:pos="1701"/>
                        </w:tabs>
                        <w:spacing w:before="0" w:line="180" w:lineRule="exact"/>
                        <w:jc w:val="center"/>
                        <w:rPr>
                          <w:b/>
                          <w:sz w:val="18"/>
                          <w:szCs w:val="18"/>
                        </w:rPr>
                      </w:pPr>
                      <w:r w:rsidRPr="00B87C5E">
                        <w:rPr>
                          <w:b/>
                          <w:color w:val="404040" w:themeColor="text1" w:themeTint="BF"/>
                          <w:sz w:val="18"/>
                          <w:szCs w:val="18"/>
                          <w:lang w:val="fr-CH"/>
                        </w:rPr>
                        <w:t>(2021)</w:t>
                      </w:r>
                    </w:p>
                  </w:txbxContent>
                </v:textbox>
                <w10:wrap anchorx="margin"/>
              </v:shape>
            </w:pict>
          </mc:Fallback>
        </mc:AlternateContent>
      </w:r>
      <w:r w:rsidRPr="00F05A8A">
        <w:rPr>
          <w:b/>
          <w:bCs/>
          <w:lang w:eastAsia="fr-FR"/>
        </w:rPr>
        <w:drawing>
          <wp:inline distT="0" distB="0" distL="0" distR="0" wp14:anchorId="3E9368F5" wp14:editId="382E5ED7">
            <wp:extent cx="4751161" cy="1976272"/>
            <wp:effectExtent l="0" t="0" r="0" b="5080"/>
            <wp:docPr id="544008534" name="Picture 54400853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8534" name="Picture 544008534" descr="Calendar&#10;&#10;Description automatically generated"/>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771391" cy="1984687"/>
                    </a:xfrm>
                    <a:prstGeom prst="rect">
                      <a:avLst/>
                    </a:prstGeom>
                    <a:noFill/>
                  </pic:spPr>
                </pic:pic>
              </a:graphicData>
            </a:graphic>
          </wp:inline>
        </w:drawing>
      </w:r>
    </w:p>
    <w:p w14:paraId="12B47376" w14:textId="77777777" w:rsidR="00D80461" w:rsidRPr="00F05A8A" w:rsidRDefault="00D80461" w:rsidP="002F075E">
      <w:pPr>
        <w:spacing w:before="360"/>
        <w:jc w:val="center"/>
        <w:rPr>
          <w:b/>
          <w:bCs/>
        </w:rPr>
      </w:pPr>
      <w:r w:rsidRPr="00F05A8A">
        <w:rPr>
          <w:b/>
          <w:bCs/>
          <w:lang w:eastAsia="fr-FR"/>
        </w:rPr>
        <mc:AlternateContent>
          <mc:Choice Requires="wps">
            <w:drawing>
              <wp:anchor distT="45720" distB="45720" distL="114300" distR="114300" simplePos="0" relativeHeight="251836416" behindDoc="0" locked="0" layoutInCell="1" allowOverlap="1" wp14:anchorId="65F91DCB" wp14:editId="20F8DDB9">
                <wp:simplePos x="0" y="0"/>
                <wp:positionH relativeFrom="column">
                  <wp:posOffset>199475</wp:posOffset>
                </wp:positionH>
                <wp:positionV relativeFrom="paragraph">
                  <wp:posOffset>2018665</wp:posOffset>
                </wp:positionV>
                <wp:extent cx="443986" cy="221993"/>
                <wp:effectExtent l="0" t="0" r="0" b="6985"/>
                <wp:wrapNone/>
                <wp:docPr id="182041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86" cy="221993"/>
                        </a:xfrm>
                        <a:prstGeom prst="rect">
                          <a:avLst/>
                        </a:prstGeom>
                        <a:solidFill>
                          <a:srgbClr val="FFFFFF"/>
                        </a:solidFill>
                        <a:ln w="9525">
                          <a:noFill/>
                          <a:miter lim="800000"/>
                          <a:headEnd/>
                          <a:tailEnd/>
                        </a:ln>
                      </wps:spPr>
                      <wps:txbx>
                        <w:txbxContent>
                          <w:p w14:paraId="0408A292" w14:textId="77777777" w:rsidR="00756EAD" w:rsidRPr="008B7A45" w:rsidRDefault="00756EAD" w:rsidP="00D80461">
                            <w:pPr>
                              <w:tabs>
                                <w:tab w:val="clear" w:pos="567"/>
                              </w:tabs>
                              <w:spacing w:before="0" w:line="100" w:lineRule="exact"/>
                              <w:ind w:left="-142" w:right="-235"/>
                              <w:rPr>
                                <w:sz w:val="10"/>
                                <w:szCs w:val="10"/>
                                <w:lang w:val="fr-CH"/>
                              </w:rPr>
                            </w:pPr>
                            <w:r>
                              <w:rPr>
                                <w:sz w:val="10"/>
                                <w:szCs w:val="10"/>
                                <w:lang w:val="fr-CH"/>
                              </w:rPr>
                              <w:t>Établissements universitaires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91DCB" id="_x0000_s1224" type="#_x0000_t202" style="position:absolute;left:0;text-align:left;margin-left:15.7pt;margin-top:158.95pt;width:34.95pt;height:17.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" stroked="f">
                <v:textbox>
                  <w:txbxContent>
                    <w:p w14:paraId="0408A292" w14:textId="77777777" w:rsidR="00756EAD" w:rsidRPr="008B7A45" w:rsidRDefault="00756EAD" w:rsidP="00D80461">
                      <w:pPr>
                        <w:tabs>
                          <w:tab w:val="clear" w:pos="567"/>
                        </w:tabs>
                        <w:spacing w:before="0" w:line="100" w:lineRule="exact"/>
                        <w:ind w:left="-142" w:right="-235"/>
                        <w:rPr>
                          <w:sz w:val="10"/>
                          <w:szCs w:val="10"/>
                          <w:lang w:val="fr-CH"/>
                        </w:rPr>
                      </w:pPr>
                      <w:r>
                        <w:rPr>
                          <w:sz w:val="10"/>
                          <w:szCs w:val="10"/>
                          <w:lang w:val="fr-CH"/>
                        </w:rPr>
                        <w:t>Établissements universitaires</w:t>
                      </w:r>
                    </w:p>
                  </w:txbxContent>
                </v:textbox>
              </v:shape>
            </w:pict>
          </mc:Fallback>
        </mc:AlternateContent>
      </w:r>
      <w:r w:rsidRPr="00F05A8A">
        <w:rPr>
          <w:b/>
          <w:bCs/>
          <w:lang w:eastAsia="fr-FR"/>
        </w:rPr>
        <mc:AlternateContent>
          <mc:Choice Requires="wps">
            <w:drawing>
              <wp:anchor distT="45720" distB="45720" distL="114300" distR="114300" simplePos="0" relativeHeight="251835392" behindDoc="0" locked="0" layoutInCell="1" allowOverlap="1" wp14:anchorId="065EC80B" wp14:editId="7D2D0C8F">
                <wp:simplePos x="0" y="0"/>
                <wp:positionH relativeFrom="column">
                  <wp:posOffset>193917</wp:posOffset>
                </wp:positionH>
                <wp:positionV relativeFrom="paragraph">
                  <wp:posOffset>1584960</wp:posOffset>
                </wp:positionV>
                <wp:extent cx="839936" cy="391130"/>
                <wp:effectExtent l="0" t="0" r="0" b="9525"/>
                <wp:wrapNone/>
                <wp:docPr id="1820415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36" cy="391130"/>
                        </a:xfrm>
                        <a:prstGeom prst="rect">
                          <a:avLst/>
                        </a:prstGeom>
                        <a:solidFill>
                          <a:srgbClr val="FFFFFF"/>
                        </a:solidFill>
                        <a:ln w="9525">
                          <a:noFill/>
                          <a:miter lim="800000"/>
                          <a:headEnd/>
                          <a:tailEnd/>
                        </a:ln>
                      </wps:spPr>
                      <wps:txbx>
                        <w:txbxContent>
                          <w:p w14:paraId="006896DF" w14:textId="77777777" w:rsidR="00756EAD" w:rsidRDefault="00756EAD" w:rsidP="00D80461">
                            <w:pPr>
                              <w:spacing w:before="0" w:line="100" w:lineRule="exact"/>
                              <w:ind w:left="-142"/>
                              <w:rPr>
                                <w:sz w:val="10"/>
                                <w:szCs w:val="10"/>
                                <w:lang w:val="fr-CH"/>
                              </w:rPr>
                            </w:pPr>
                            <w:r>
                              <w:rPr>
                                <w:sz w:val="10"/>
                                <w:szCs w:val="10"/>
                                <w:lang w:val="fr-CH"/>
                              </w:rPr>
                              <w:t>UIT-D</w:t>
                            </w:r>
                            <w:r>
                              <w:rPr>
                                <w:sz w:val="10"/>
                                <w:szCs w:val="10"/>
                                <w:lang w:val="fr-CH"/>
                              </w:rPr>
                              <w:tab/>
                              <w:t xml:space="preserve">Membre </w:t>
                            </w:r>
                            <w:r>
                              <w:rPr>
                                <w:sz w:val="10"/>
                                <w:szCs w:val="10"/>
                                <w:lang w:val="fr-CH"/>
                              </w:rPr>
                              <w:tab/>
                              <w:t>de Secteur</w:t>
                            </w:r>
                          </w:p>
                          <w:p w14:paraId="47709CA3" w14:textId="77777777" w:rsidR="00756EAD" w:rsidRPr="008B7A45" w:rsidRDefault="00756EAD" w:rsidP="00D80461">
                            <w:pPr>
                              <w:spacing w:line="100" w:lineRule="exact"/>
                              <w:rPr>
                                <w:sz w:val="10"/>
                                <w:szCs w:val="10"/>
                                <w:lang w:val="fr-CH"/>
                              </w:rPr>
                            </w:pPr>
                            <w:r>
                              <w:rPr>
                                <w:sz w:val="10"/>
                                <w:szCs w:val="10"/>
                                <w:lang w:val="fr-CH"/>
                              </w:rPr>
                              <w:tab/>
                              <w:t>Associé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C80B" id="_x0000_s1225" type="#_x0000_t202" style="position:absolute;left:0;text-align:left;margin-left:15.25pt;margin-top:124.8pt;width:66.15pt;height:30.8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" stroked="f">
                <v:textbox>
                  <w:txbxContent>
                    <w:p w14:paraId="006896DF" w14:textId="77777777" w:rsidR="00756EAD" w:rsidRDefault="00756EAD" w:rsidP="00D80461">
                      <w:pPr>
                        <w:spacing w:before="0" w:line="100" w:lineRule="exact"/>
                        <w:ind w:left="-142"/>
                        <w:rPr>
                          <w:sz w:val="10"/>
                          <w:szCs w:val="10"/>
                          <w:lang w:val="fr-CH"/>
                        </w:rPr>
                      </w:pPr>
                      <w:r>
                        <w:rPr>
                          <w:sz w:val="10"/>
                          <w:szCs w:val="10"/>
                          <w:lang w:val="fr-CH"/>
                        </w:rPr>
                        <w:t>UIT-D</w:t>
                      </w:r>
                      <w:r>
                        <w:rPr>
                          <w:sz w:val="10"/>
                          <w:szCs w:val="10"/>
                          <w:lang w:val="fr-CH"/>
                        </w:rPr>
                        <w:tab/>
                        <w:t xml:space="preserve">Membre </w:t>
                      </w:r>
                      <w:r>
                        <w:rPr>
                          <w:sz w:val="10"/>
                          <w:szCs w:val="10"/>
                          <w:lang w:val="fr-CH"/>
                        </w:rPr>
                        <w:tab/>
                        <w:t>de Secteur</w:t>
                      </w:r>
                    </w:p>
                    <w:p w14:paraId="47709CA3" w14:textId="77777777" w:rsidR="00756EAD" w:rsidRPr="008B7A45" w:rsidRDefault="00756EAD" w:rsidP="00D80461">
                      <w:pPr>
                        <w:spacing w:line="100" w:lineRule="exact"/>
                        <w:rPr>
                          <w:sz w:val="10"/>
                          <w:szCs w:val="10"/>
                          <w:lang w:val="fr-CH"/>
                        </w:rPr>
                      </w:pPr>
                      <w:r>
                        <w:rPr>
                          <w:sz w:val="10"/>
                          <w:szCs w:val="10"/>
                          <w:lang w:val="fr-CH"/>
                        </w:rPr>
                        <w:tab/>
                        <w:t>Associé</w:t>
                      </w:r>
                    </w:p>
                  </w:txbxContent>
                </v:textbox>
              </v:shape>
            </w:pict>
          </mc:Fallback>
        </mc:AlternateContent>
      </w:r>
      <w:r w:rsidRPr="00F05A8A">
        <w:rPr>
          <w:b/>
          <w:bCs/>
          <w:lang w:eastAsia="fr-FR"/>
        </w:rPr>
        <mc:AlternateContent>
          <mc:Choice Requires="wps">
            <w:drawing>
              <wp:anchor distT="45720" distB="45720" distL="114300" distR="114300" simplePos="0" relativeHeight="251834368" behindDoc="0" locked="0" layoutInCell="1" allowOverlap="1" wp14:anchorId="4447BD7D" wp14:editId="0F3D41D9">
                <wp:simplePos x="0" y="0"/>
                <wp:positionH relativeFrom="column">
                  <wp:posOffset>213602</wp:posOffset>
                </wp:positionH>
                <wp:positionV relativeFrom="paragraph">
                  <wp:posOffset>1087755</wp:posOffset>
                </wp:positionV>
                <wp:extent cx="839936" cy="391130"/>
                <wp:effectExtent l="0" t="0" r="0" b="9525"/>
                <wp:wrapNone/>
                <wp:docPr id="1820415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36" cy="391130"/>
                        </a:xfrm>
                        <a:prstGeom prst="rect">
                          <a:avLst/>
                        </a:prstGeom>
                        <a:solidFill>
                          <a:srgbClr val="FFFFFF"/>
                        </a:solidFill>
                        <a:ln w="9525">
                          <a:noFill/>
                          <a:miter lim="800000"/>
                          <a:headEnd/>
                          <a:tailEnd/>
                        </a:ln>
                      </wps:spPr>
                      <wps:txbx>
                        <w:txbxContent>
                          <w:p w14:paraId="1F979630" w14:textId="77777777" w:rsidR="00756EAD" w:rsidRDefault="00756EAD" w:rsidP="00D80461">
                            <w:pPr>
                              <w:spacing w:before="0" w:line="100" w:lineRule="exact"/>
                              <w:ind w:left="-142"/>
                              <w:rPr>
                                <w:sz w:val="10"/>
                                <w:szCs w:val="10"/>
                                <w:lang w:val="fr-CH"/>
                              </w:rPr>
                            </w:pPr>
                            <w:r>
                              <w:rPr>
                                <w:sz w:val="10"/>
                                <w:szCs w:val="10"/>
                                <w:lang w:val="fr-CH"/>
                              </w:rPr>
                              <w:t>UIT-T</w:t>
                            </w:r>
                            <w:r>
                              <w:rPr>
                                <w:sz w:val="10"/>
                                <w:szCs w:val="10"/>
                                <w:lang w:val="fr-CH"/>
                              </w:rPr>
                              <w:tab/>
                              <w:t xml:space="preserve">Membre </w:t>
                            </w:r>
                            <w:r>
                              <w:rPr>
                                <w:sz w:val="10"/>
                                <w:szCs w:val="10"/>
                                <w:lang w:val="fr-CH"/>
                              </w:rPr>
                              <w:tab/>
                              <w:t>de Secteur</w:t>
                            </w:r>
                          </w:p>
                          <w:p w14:paraId="1569799F" w14:textId="77777777" w:rsidR="00756EAD" w:rsidRPr="008B7A45" w:rsidRDefault="00756EAD" w:rsidP="00D80461">
                            <w:pPr>
                              <w:spacing w:line="100" w:lineRule="exact"/>
                              <w:rPr>
                                <w:sz w:val="10"/>
                                <w:szCs w:val="10"/>
                                <w:lang w:val="fr-CH"/>
                              </w:rPr>
                            </w:pPr>
                            <w:r>
                              <w:rPr>
                                <w:sz w:val="10"/>
                                <w:szCs w:val="10"/>
                                <w:lang w:val="fr-CH"/>
                              </w:rPr>
                              <w:tab/>
                              <w:t>Associé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7BD7D" id="_x0000_s1226" type="#_x0000_t202" style="position:absolute;left:0;text-align:left;margin-left:16.8pt;margin-top:85.65pt;width:66.15pt;height:30.8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" stroked="f">
                <v:textbox>
                  <w:txbxContent>
                    <w:p w14:paraId="1F979630" w14:textId="77777777" w:rsidR="00756EAD" w:rsidRDefault="00756EAD" w:rsidP="00D80461">
                      <w:pPr>
                        <w:spacing w:before="0" w:line="100" w:lineRule="exact"/>
                        <w:ind w:left="-142"/>
                        <w:rPr>
                          <w:sz w:val="10"/>
                          <w:szCs w:val="10"/>
                          <w:lang w:val="fr-CH"/>
                        </w:rPr>
                      </w:pPr>
                      <w:r>
                        <w:rPr>
                          <w:sz w:val="10"/>
                          <w:szCs w:val="10"/>
                          <w:lang w:val="fr-CH"/>
                        </w:rPr>
                        <w:t>UIT-T</w:t>
                      </w:r>
                      <w:r>
                        <w:rPr>
                          <w:sz w:val="10"/>
                          <w:szCs w:val="10"/>
                          <w:lang w:val="fr-CH"/>
                        </w:rPr>
                        <w:tab/>
                        <w:t xml:space="preserve">Membre </w:t>
                      </w:r>
                      <w:r>
                        <w:rPr>
                          <w:sz w:val="10"/>
                          <w:szCs w:val="10"/>
                          <w:lang w:val="fr-CH"/>
                        </w:rPr>
                        <w:tab/>
                        <w:t>de Secteur</w:t>
                      </w:r>
                    </w:p>
                    <w:p w14:paraId="1569799F" w14:textId="77777777" w:rsidR="00756EAD" w:rsidRPr="008B7A45" w:rsidRDefault="00756EAD" w:rsidP="00D80461">
                      <w:pPr>
                        <w:spacing w:line="100" w:lineRule="exact"/>
                        <w:rPr>
                          <w:sz w:val="10"/>
                          <w:szCs w:val="10"/>
                          <w:lang w:val="fr-CH"/>
                        </w:rPr>
                      </w:pPr>
                      <w:r>
                        <w:rPr>
                          <w:sz w:val="10"/>
                          <w:szCs w:val="10"/>
                          <w:lang w:val="fr-CH"/>
                        </w:rPr>
                        <w:tab/>
                        <w:t>Associé</w:t>
                      </w:r>
                    </w:p>
                  </w:txbxContent>
                </v:textbox>
              </v:shape>
            </w:pict>
          </mc:Fallback>
        </mc:AlternateContent>
      </w:r>
      <w:r w:rsidRPr="00F05A8A">
        <w:rPr>
          <w:b/>
          <w:bCs/>
          <w:lang w:eastAsia="fr-FR"/>
        </w:rPr>
        <mc:AlternateContent>
          <mc:Choice Requires="wps">
            <w:drawing>
              <wp:anchor distT="45720" distB="45720" distL="114300" distR="114300" simplePos="0" relativeHeight="251837440" behindDoc="0" locked="0" layoutInCell="1" allowOverlap="1" wp14:anchorId="3C13E8B7" wp14:editId="62D387E0">
                <wp:simplePos x="0" y="0"/>
                <wp:positionH relativeFrom="column">
                  <wp:posOffset>643582</wp:posOffset>
                </wp:positionH>
                <wp:positionV relativeFrom="paragraph">
                  <wp:posOffset>2018496</wp:posOffset>
                </wp:positionV>
                <wp:extent cx="443986" cy="221993"/>
                <wp:effectExtent l="0" t="0" r="0" b="6985"/>
                <wp:wrapNone/>
                <wp:docPr id="1820415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86" cy="221993"/>
                        </a:xfrm>
                        <a:prstGeom prst="rect">
                          <a:avLst/>
                        </a:prstGeom>
                        <a:solidFill>
                          <a:srgbClr val="FFFFFF"/>
                        </a:solidFill>
                        <a:ln w="9525">
                          <a:noFill/>
                          <a:miter lim="800000"/>
                          <a:headEnd/>
                          <a:tailEnd/>
                        </a:ln>
                      </wps:spPr>
                      <wps:txbx>
                        <w:txbxContent>
                          <w:p w14:paraId="57874D78" w14:textId="77777777" w:rsidR="00756EAD" w:rsidRPr="008B7A45" w:rsidRDefault="00756EAD" w:rsidP="00D80461">
                            <w:pPr>
                              <w:tabs>
                                <w:tab w:val="clear" w:pos="567"/>
                              </w:tabs>
                              <w:spacing w:before="0" w:line="100" w:lineRule="exact"/>
                              <w:ind w:left="-142" w:right="-235"/>
                              <w:rPr>
                                <w:sz w:val="10"/>
                                <w:szCs w:val="10"/>
                                <w:lang w:val="fr-CH"/>
                              </w:rPr>
                            </w:pPr>
                            <w:r>
                              <w:rPr>
                                <w:sz w:val="10"/>
                                <w:szCs w:val="10"/>
                                <w:lang w:val="fr-CH"/>
                              </w:rPr>
                              <w:t>Établissement universitaire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3E8B7" id="_x0000_s1227" type="#_x0000_t202" style="position:absolute;left:0;text-align:left;margin-left:50.7pt;margin-top:158.95pt;width:34.95pt;height:17.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1UEgIAAP4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" stroked="f">
                <v:textbox>
                  <w:txbxContent>
                    <w:p w14:paraId="57874D78" w14:textId="77777777" w:rsidR="00756EAD" w:rsidRPr="008B7A45" w:rsidRDefault="00756EAD" w:rsidP="00D80461">
                      <w:pPr>
                        <w:tabs>
                          <w:tab w:val="clear" w:pos="567"/>
                        </w:tabs>
                        <w:spacing w:before="0" w:line="100" w:lineRule="exact"/>
                        <w:ind w:left="-142" w:right="-235"/>
                        <w:rPr>
                          <w:sz w:val="10"/>
                          <w:szCs w:val="10"/>
                          <w:lang w:val="fr-CH"/>
                        </w:rPr>
                      </w:pPr>
                      <w:r>
                        <w:rPr>
                          <w:sz w:val="10"/>
                          <w:szCs w:val="10"/>
                          <w:lang w:val="fr-CH"/>
                        </w:rPr>
                        <w:t>Établissement universitaire</w:t>
                      </w:r>
                    </w:p>
                  </w:txbxContent>
                </v:textbox>
              </v:shape>
            </w:pict>
          </mc:Fallback>
        </mc:AlternateContent>
      </w:r>
      <w:r w:rsidRPr="00F05A8A">
        <w:rPr>
          <w:b/>
          <w:bCs/>
          <w:lang w:eastAsia="fr-FR"/>
        </w:rPr>
        <mc:AlternateContent>
          <mc:Choice Requires="wps">
            <w:drawing>
              <wp:anchor distT="45720" distB="45720" distL="114300" distR="114300" simplePos="0" relativeHeight="251833344" behindDoc="0" locked="0" layoutInCell="1" allowOverlap="1" wp14:anchorId="68107C95" wp14:editId="5B8842A9">
                <wp:simplePos x="0" y="0"/>
                <wp:positionH relativeFrom="column">
                  <wp:posOffset>220345</wp:posOffset>
                </wp:positionH>
                <wp:positionV relativeFrom="paragraph">
                  <wp:posOffset>607659</wp:posOffset>
                </wp:positionV>
                <wp:extent cx="839936" cy="391130"/>
                <wp:effectExtent l="0" t="0" r="0" b="9525"/>
                <wp:wrapNone/>
                <wp:docPr id="1820415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36" cy="391130"/>
                        </a:xfrm>
                        <a:prstGeom prst="rect">
                          <a:avLst/>
                        </a:prstGeom>
                        <a:solidFill>
                          <a:srgbClr val="FFFFFF"/>
                        </a:solidFill>
                        <a:ln w="9525">
                          <a:noFill/>
                          <a:miter lim="800000"/>
                          <a:headEnd/>
                          <a:tailEnd/>
                        </a:ln>
                      </wps:spPr>
                      <wps:txbx>
                        <w:txbxContent>
                          <w:p w14:paraId="1CC91E8C" w14:textId="77777777" w:rsidR="00756EAD" w:rsidRDefault="00756EAD" w:rsidP="00D80461">
                            <w:pPr>
                              <w:spacing w:before="0" w:line="100" w:lineRule="exact"/>
                              <w:ind w:left="-142"/>
                              <w:rPr>
                                <w:sz w:val="10"/>
                                <w:szCs w:val="10"/>
                                <w:lang w:val="fr-CH"/>
                              </w:rPr>
                            </w:pPr>
                            <w:r>
                              <w:rPr>
                                <w:sz w:val="10"/>
                                <w:szCs w:val="10"/>
                                <w:lang w:val="fr-CH"/>
                              </w:rPr>
                              <w:t>UIT-R</w:t>
                            </w:r>
                            <w:r>
                              <w:rPr>
                                <w:sz w:val="10"/>
                                <w:szCs w:val="10"/>
                                <w:lang w:val="fr-CH"/>
                              </w:rPr>
                              <w:tab/>
                              <w:t xml:space="preserve">Membre </w:t>
                            </w:r>
                            <w:r>
                              <w:rPr>
                                <w:sz w:val="10"/>
                                <w:szCs w:val="10"/>
                                <w:lang w:val="fr-CH"/>
                              </w:rPr>
                              <w:tab/>
                              <w:t>de Secteur</w:t>
                            </w:r>
                          </w:p>
                          <w:p w14:paraId="6AA59070" w14:textId="77777777" w:rsidR="00756EAD" w:rsidRPr="008B7A45" w:rsidRDefault="00756EAD" w:rsidP="00D80461">
                            <w:pPr>
                              <w:spacing w:line="100" w:lineRule="exact"/>
                              <w:rPr>
                                <w:sz w:val="10"/>
                                <w:szCs w:val="10"/>
                                <w:lang w:val="fr-CH"/>
                              </w:rPr>
                            </w:pPr>
                            <w:r>
                              <w:rPr>
                                <w:sz w:val="10"/>
                                <w:szCs w:val="10"/>
                                <w:lang w:val="fr-CH"/>
                              </w:rPr>
                              <w:tab/>
                              <w:t>Associé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07C95" id="_x0000_s1228" type="#_x0000_t202" style="position:absolute;left:0;text-align:left;margin-left:17.35pt;margin-top:47.85pt;width:66.15pt;height:30.8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" stroked="f">
                <v:textbox>
                  <w:txbxContent>
                    <w:p w14:paraId="1CC91E8C" w14:textId="77777777" w:rsidR="00756EAD" w:rsidRDefault="00756EAD" w:rsidP="00D80461">
                      <w:pPr>
                        <w:spacing w:before="0" w:line="100" w:lineRule="exact"/>
                        <w:ind w:left="-142"/>
                        <w:rPr>
                          <w:sz w:val="10"/>
                          <w:szCs w:val="10"/>
                          <w:lang w:val="fr-CH"/>
                        </w:rPr>
                      </w:pPr>
                      <w:r>
                        <w:rPr>
                          <w:sz w:val="10"/>
                          <w:szCs w:val="10"/>
                          <w:lang w:val="fr-CH"/>
                        </w:rPr>
                        <w:t>UIT-R</w:t>
                      </w:r>
                      <w:r>
                        <w:rPr>
                          <w:sz w:val="10"/>
                          <w:szCs w:val="10"/>
                          <w:lang w:val="fr-CH"/>
                        </w:rPr>
                        <w:tab/>
                        <w:t xml:space="preserve">Membre </w:t>
                      </w:r>
                      <w:r>
                        <w:rPr>
                          <w:sz w:val="10"/>
                          <w:szCs w:val="10"/>
                          <w:lang w:val="fr-CH"/>
                        </w:rPr>
                        <w:tab/>
                        <w:t>de Secteur</w:t>
                      </w:r>
                    </w:p>
                    <w:p w14:paraId="6AA59070" w14:textId="77777777" w:rsidR="00756EAD" w:rsidRPr="008B7A45" w:rsidRDefault="00756EAD" w:rsidP="00D80461">
                      <w:pPr>
                        <w:spacing w:line="100" w:lineRule="exact"/>
                        <w:rPr>
                          <w:sz w:val="10"/>
                          <w:szCs w:val="10"/>
                          <w:lang w:val="fr-CH"/>
                        </w:rPr>
                      </w:pPr>
                      <w:r>
                        <w:rPr>
                          <w:sz w:val="10"/>
                          <w:szCs w:val="10"/>
                          <w:lang w:val="fr-CH"/>
                        </w:rPr>
                        <w:tab/>
                        <w:t>Associé</w:t>
                      </w:r>
                    </w:p>
                  </w:txbxContent>
                </v:textbox>
              </v:shape>
            </w:pict>
          </mc:Fallback>
        </mc:AlternateContent>
      </w:r>
      <w:r w:rsidRPr="00F05A8A">
        <w:rPr>
          <w:b/>
          <w:bCs/>
          <w:lang w:eastAsia="fr-FR"/>
        </w:rPr>
        <mc:AlternateContent>
          <mc:Choice Requires="wps">
            <w:drawing>
              <wp:anchor distT="45720" distB="45720" distL="114300" distR="114300" simplePos="0" relativeHeight="251832320" behindDoc="0" locked="0" layoutInCell="1" allowOverlap="1" wp14:anchorId="157221C4" wp14:editId="568623E9">
                <wp:simplePos x="0" y="0"/>
                <wp:positionH relativeFrom="margin">
                  <wp:posOffset>156229</wp:posOffset>
                </wp:positionH>
                <wp:positionV relativeFrom="paragraph">
                  <wp:posOffset>214649</wp:posOffset>
                </wp:positionV>
                <wp:extent cx="6189378" cy="401702"/>
                <wp:effectExtent l="0" t="0" r="1905" b="0"/>
                <wp:wrapNone/>
                <wp:docPr id="1820415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78" cy="401702"/>
                        </a:xfrm>
                        <a:prstGeom prst="rect">
                          <a:avLst/>
                        </a:prstGeom>
                        <a:solidFill>
                          <a:srgbClr val="FFFFFF"/>
                        </a:solidFill>
                        <a:ln w="9525">
                          <a:noFill/>
                          <a:miter lim="800000"/>
                          <a:headEnd/>
                          <a:tailEnd/>
                        </a:ln>
                      </wps:spPr>
                      <wps:txbx>
                        <w:txbxContent>
                          <w:p w14:paraId="44360015" w14:textId="77777777" w:rsidR="00756EAD" w:rsidRPr="00440DEA" w:rsidRDefault="00756EAD" w:rsidP="00D80461">
                            <w:pPr>
                              <w:spacing w:before="0"/>
                              <w:rPr>
                                <w:b/>
                                <w:sz w:val="12"/>
                                <w:szCs w:val="12"/>
                              </w:rPr>
                            </w:pPr>
                            <w:r w:rsidRPr="00440DEA">
                              <w:rPr>
                                <w:b/>
                                <w:sz w:val="12"/>
                                <w:szCs w:val="12"/>
                              </w:rPr>
                              <w:t>Nombre net de Membres par Secteur/type</w:t>
                            </w:r>
                          </w:p>
                          <w:p w14:paraId="66AE06CF" w14:textId="77777777" w:rsidR="00756EAD" w:rsidRPr="00BA1621" w:rsidRDefault="00756EAD" w:rsidP="00D80461">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221C4" id="_x0000_s1229" type="#_x0000_t202" style="position:absolute;left:0;text-align:left;margin-left:12.3pt;margin-top:16.9pt;width:487.35pt;height:31.6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" stroked="f">
                <v:textbox>
                  <w:txbxContent>
                    <w:p w14:paraId="44360015" w14:textId="77777777" w:rsidR="00756EAD" w:rsidRPr="00440DEA" w:rsidRDefault="00756EAD" w:rsidP="00D80461">
                      <w:pPr>
                        <w:spacing w:before="0"/>
                        <w:rPr>
                          <w:b/>
                          <w:sz w:val="12"/>
                          <w:szCs w:val="12"/>
                        </w:rPr>
                      </w:pPr>
                      <w:r w:rsidRPr="00440DEA">
                        <w:rPr>
                          <w:b/>
                          <w:sz w:val="12"/>
                          <w:szCs w:val="12"/>
                        </w:rPr>
                        <w:t>Nombre net de Membres par Secteur/type</w:t>
                      </w:r>
                    </w:p>
                    <w:p w14:paraId="66AE06CF" w14:textId="77777777" w:rsidR="00756EAD" w:rsidRPr="00BA1621" w:rsidRDefault="00756EAD" w:rsidP="00D80461">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31296" behindDoc="0" locked="0" layoutInCell="1" allowOverlap="1" wp14:anchorId="731C74F6" wp14:editId="25C000F9">
                <wp:simplePos x="0" y="0"/>
                <wp:positionH relativeFrom="margin">
                  <wp:posOffset>194310</wp:posOffset>
                </wp:positionH>
                <wp:positionV relativeFrom="paragraph">
                  <wp:posOffset>227099</wp:posOffset>
                </wp:positionV>
                <wp:extent cx="6189378" cy="401702"/>
                <wp:effectExtent l="0" t="0" r="1905" b="0"/>
                <wp:wrapNone/>
                <wp:docPr id="182041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78" cy="401702"/>
                        </a:xfrm>
                        <a:prstGeom prst="rect">
                          <a:avLst/>
                        </a:prstGeom>
                        <a:solidFill>
                          <a:srgbClr val="FFFFFF"/>
                        </a:solidFill>
                        <a:ln w="9525">
                          <a:noFill/>
                          <a:miter lim="800000"/>
                          <a:headEnd/>
                          <a:tailEnd/>
                        </a:ln>
                      </wps:spPr>
                      <wps:txbx>
                        <w:txbxContent>
                          <w:p w14:paraId="138A4361" w14:textId="77777777" w:rsidR="00756EAD" w:rsidRPr="00440DEA" w:rsidRDefault="00756EAD" w:rsidP="00D80461">
                            <w:pPr>
                              <w:spacing w:before="0"/>
                              <w:rPr>
                                <w:b/>
                                <w:sz w:val="12"/>
                                <w:szCs w:val="12"/>
                              </w:rPr>
                            </w:pPr>
                            <w:r w:rsidRPr="00440DEA">
                              <w:rPr>
                                <w:b/>
                                <w:sz w:val="12"/>
                                <w:szCs w:val="12"/>
                              </w:rPr>
                              <w:t>Nombre net de Membres par Secteur/type</w:t>
                            </w:r>
                          </w:p>
                          <w:p w14:paraId="3A47ACD1" w14:textId="77777777" w:rsidR="00756EAD" w:rsidRPr="00BA1621" w:rsidRDefault="00756EAD" w:rsidP="00D80461">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74F6" id="_x0000_s1230" type="#_x0000_t202" style="position:absolute;left:0;text-align:left;margin-left:15.3pt;margin-top:17.9pt;width:487.35pt;height:31.6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aEwIAAP8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" stroked="f">
                <v:textbox>
                  <w:txbxContent>
                    <w:p w14:paraId="138A4361" w14:textId="77777777" w:rsidR="00756EAD" w:rsidRPr="00440DEA" w:rsidRDefault="00756EAD" w:rsidP="00D80461">
                      <w:pPr>
                        <w:spacing w:before="0"/>
                        <w:rPr>
                          <w:b/>
                          <w:sz w:val="12"/>
                          <w:szCs w:val="12"/>
                        </w:rPr>
                      </w:pPr>
                      <w:r w:rsidRPr="00440DEA">
                        <w:rPr>
                          <w:b/>
                          <w:sz w:val="12"/>
                          <w:szCs w:val="12"/>
                        </w:rPr>
                        <w:t>Nombre net de Membres par Secteur/type</w:t>
                      </w:r>
                    </w:p>
                    <w:p w14:paraId="3A47ACD1" w14:textId="77777777" w:rsidR="00756EAD" w:rsidRPr="00BA1621" w:rsidRDefault="00756EAD" w:rsidP="00D80461">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v:textbox>
                <w10:wrap anchorx="margin"/>
              </v:shape>
            </w:pict>
          </mc:Fallback>
        </mc:AlternateContent>
      </w:r>
      <w:r w:rsidRPr="00F05A8A">
        <w:rPr>
          <w:b/>
          <w:bCs/>
          <w:lang w:eastAsia="fr-FR"/>
        </w:rPr>
        <mc:AlternateContent>
          <mc:Choice Requires="wps">
            <w:drawing>
              <wp:anchor distT="45720" distB="45720" distL="114300" distR="114300" simplePos="0" relativeHeight="251830272" behindDoc="0" locked="0" layoutInCell="1" allowOverlap="1" wp14:anchorId="51F210D2" wp14:editId="4E7C2340">
                <wp:simplePos x="0" y="0"/>
                <wp:positionH relativeFrom="margin">
                  <wp:posOffset>152026</wp:posOffset>
                </wp:positionH>
                <wp:positionV relativeFrom="paragraph">
                  <wp:posOffset>163672</wp:posOffset>
                </wp:positionV>
                <wp:extent cx="6189378" cy="401702"/>
                <wp:effectExtent l="0" t="0" r="1905" b="0"/>
                <wp:wrapNone/>
                <wp:docPr id="1820415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78" cy="401702"/>
                        </a:xfrm>
                        <a:prstGeom prst="rect">
                          <a:avLst/>
                        </a:prstGeom>
                        <a:solidFill>
                          <a:srgbClr val="FFFFFF"/>
                        </a:solidFill>
                        <a:ln w="9525">
                          <a:noFill/>
                          <a:miter lim="800000"/>
                          <a:headEnd/>
                          <a:tailEnd/>
                        </a:ln>
                      </wps:spPr>
                      <wps:txbx>
                        <w:txbxContent>
                          <w:p w14:paraId="06C333EF" w14:textId="77777777" w:rsidR="00756EAD" w:rsidRPr="00440DEA" w:rsidRDefault="00756EAD" w:rsidP="00D80461">
                            <w:pPr>
                              <w:spacing w:before="0"/>
                              <w:rPr>
                                <w:b/>
                                <w:sz w:val="12"/>
                                <w:szCs w:val="12"/>
                              </w:rPr>
                            </w:pPr>
                            <w:r w:rsidRPr="00440DEA">
                              <w:rPr>
                                <w:b/>
                                <w:sz w:val="12"/>
                                <w:szCs w:val="12"/>
                              </w:rPr>
                              <w:t>Nombre net de Membres par Secteur/type</w:t>
                            </w:r>
                          </w:p>
                          <w:p w14:paraId="09AC0A1B" w14:textId="77777777" w:rsidR="00756EAD" w:rsidRPr="00BA1621" w:rsidRDefault="00756EAD" w:rsidP="00D80461">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10D2" id="_x0000_s1231" type="#_x0000_t202" style="position:absolute;left:0;text-align:left;margin-left:11.95pt;margin-top:12.9pt;width:487.35pt;height:31.6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NsEwIAAP8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" stroked="f">
                <v:textbox>
                  <w:txbxContent>
                    <w:p w14:paraId="06C333EF" w14:textId="77777777" w:rsidR="00756EAD" w:rsidRPr="00440DEA" w:rsidRDefault="00756EAD" w:rsidP="00D80461">
                      <w:pPr>
                        <w:spacing w:before="0"/>
                        <w:rPr>
                          <w:b/>
                          <w:sz w:val="12"/>
                          <w:szCs w:val="12"/>
                        </w:rPr>
                      </w:pPr>
                      <w:r w:rsidRPr="00440DEA">
                        <w:rPr>
                          <w:b/>
                          <w:sz w:val="12"/>
                          <w:szCs w:val="12"/>
                        </w:rPr>
                        <w:t>Nombre net de Membres par Secteur/type</w:t>
                      </w:r>
                    </w:p>
                    <w:p w14:paraId="09AC0A1B" w14:textId="77777777" w:rsidR="00756EAD" w:rsidRPr="00BA1621" w:rsidRDefault="00756EAD" w:rsidP="00D80461">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v:textbox>
                <w10:wrap anchorx="margin"/>
              </v:shape>
            </w:pict>
          </mc:Fallback>
        </mc:AlternateContent>
      </w:r>
      <w:r w:rsidRPr="00F05A8A">
        <w:rPr>
          <w:b/>
          <w:bCs/>
          <w:lang w:eastAsia="fr-FR"/>
        </w:rPr>
        <w:drawing>
          <wp:inline distT="0" distB="0" distL="0" distR="0" wp14:anchorId="0B613BB9" wp14:editId="2C3CEA25">
            <wp:extent cx="5731510" cy="2041525"/>
            <wp:effectExtent l="0" t="0" r="2540" b="0"/>
            <wp:docPr id="1975730819" name="Picture 19757308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19" name="Picture 1975730819" descr="Chart, waterfall chart&#10;&#10;Description automatically generated"/>
                    <pic:cNvPicPr/>
                  </pic:nvPicPr>
                  <pic:blipFill>
                    <a:blip r:embed="rId675"/>
                    <a:stretch>
                      <a:fillRect/>
                    </a:stretch>
                  </pic:blipFill>
                  <pic:spPr>
                    <a:xfrm>
                      <a:off x="0" y="0"/>
                      <a:ext cx="5731510" cy="2041525"/>
                    </a:xfrm>
                    <a:prstGeom prst="rect">
                      <a:avLst/>
                    </a:prstGeom>
                  </pic:spPr>
                </pic:pic>
              </a:graphicData>
            </a:graphic>
          </wp:inline>
        </w:drawing>
      </w:r>
    </w:p>
    <w:p w14:paraId="2FBE2047" w14:textId="77777777" w:rsidR="00D80461" w:rsidRPr="00F05A8A" w:rsidRDefault="00D80461" w:rsidP="002F075E">
      <w:pPr>
        <w:spacing w:before="0"/>
        <w:rPr>
          <w:b/>
          <w:bCs/>
          <w:sz w:val="2"/>
          <w:szCs w:val="2"/>
        </w:rPr>
      </w:pPr>
    </w:p>
    <w:p w14:paraId="2BE9164A" w14:textId="77777777" w:rsidR="00D80461" w:rsidRPr="00F05A8A" w:rsidRDefault="00D80461" w:rsidP="002F075E">
      <w:pPr>
        <w:pStyle w:val="Figure"/>
        <w:rPr>
          <w:b/>
          <w:bCs/>
        </w:rPr>
      </w:pPr>
      <w:r w:rsidRPr="00F05A8A">
        <w:rPr>
          <w:b/>
          <w:bCs/>
          <w:lang w:eastAsia="fr-FR"/>
        </w:rPr>
        <w:drawing>
          <wp:inline distT="0" distB="0" distL="0" distR="0" wp14:anchorId="37EF6149" wp14:editId="7574112C">
            <wp:extent cx="3583426" cy="1716604"/>
            <wp:effectExtent l="0" t="0" r="0" b="0"/>
            <wp:docPr id="1820414997" name="Picture 18204149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7" name="Picture 1820414997" descr="Chart, bar chart&#10;&#10;Description automatically generated"/>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599999" cy="1724543"/>
                    </a:xfrm>
                    <a:prstGeom prst="rect">
                      <a:avLst/>
                    </a:prstGeom>
                    <a:noFill/>
                  </pic:spPr>
                </pic:pic>
              </a:graphicData>
            </a:graphic>
          </wp:inline>
        </w:drawing>
      </w:r>
    </w:p>
    <w:p w14:paraId="2808EE33" w14:textId="77777777" w:rsidR="00D80461" w:rsidRPr="00F05A8A" w:rsidRDefault="00D80461" w:rsidP="002F075E">
      <w:pPr>
        <w:spacing w:before="360" w:after="240"/>
        <w:rPr>
          <w:rFonts w:eastAsia="Calibri"/>
        </w:rPr>
      </w:pPr>
      <w:r w:rsidRPr="00F05A8A">
        <w:rPr>
          <w:color w:val="000000"/>
        </w:rPr>
        <w:t xml:space="preserve">Cadre de contrôle et d'évaluation de la communication </w:t>
      </w:r>
      <w:r w:rsidRPr="00F05A8A">
        <w:rPr>
          <w:rFonts w:eastAsia="Calibri"/>
        </w:rPr>
        <w:t>élaboré en 2020. Les mesures permettent de prendre des décisions éclairées afin de communiquer de manière plus efficace et d'utiliser les ressources limitées de manière plus rationnelle.</w:t>
      </w:r>
    </w:p>
    <w:p w14:paraId="79A6E1C8" w14:textId="77777777" w:rsidR="00D80461" w:rsidRPr="00F05A8A" w:rsidRDefault="00D80461" w:rsidP="002F075E">
      <w:pPr>
        <w:spacing w:after="240"/>
        <w:jc w:val="center"/>
        <w:rPr>
          <w:rFonts w:eastAsia="Calibri"/>
        </w:rPr>
      </w:pPr>
      <w:r w:rsidRPr="00F05A8A">
        <w:rPr>
          <w:lang w:eastAsia="fr-FR"/>
        </w:rPr>
        <w:lastRenderedPageBreak/>
        <w:drawing>
          <wp:inline distT="0" distB="0" distL="0" distR="0" wp14:anchorId="00C3B528" wp14:editId="6F096FDC">
            <wp:extent cx="6120765" cy="3209925"/>
            <wp:effectExtent l="0" t="0" r="0" b="9525"/>
            <wp:docPr id="238" name="Picture 238"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Website&#10;&#10;Description automatically generated"/>
                    <pic:cNvPicPr/>
                  </pic:nvPicPr>
                  <pic:blipFill>
                    <a:blip r:embed="rId677"/>
                    <a:stretch>
                      <a:fillRect/>
                    </a:stretch>
                  </pic:blipFill>
                  <pic:spPr>
                    <a:xfrm>
                      <a:off x="0" y="0"/>
                      <a:ext cx="6120765" cy="3209925"/>
                    </a:xfrm>
                    <a:prstGeom prst="rect">
                      <a:avLst/>
                    </a:prstGeom>
                  </pic:spPr>
                </pic:pic>
              </a:graphicData>
            </a:graphic>
          </wp:inline>
        </w:drawing>
      </w:r>
    </w:p>
    <w:p w14:paraId="1230ABE5" w14:textId="77777777" w:rsidR="00D80461" w:rsidRPr="00F05A8A" w:rsidRDefault="00D80461" w:rsidP="002F075E">
      <w:pPr>
        <w:jc w:val="both"/>
      </w:pPr>
      <w:bookmarkStart w:id="932" w:name="_Toc41032198"/>
      <w:r w:rsidRPr="00F05A8A">
        <w:t xml:space="preserve">Communications internes. Le secrétariat a renforcé les communications internes afin d'appuyer le projet de nouveau bâtiment du siège de l'UIT et d'édifier une "UIT unie dans l'action" en interne, grâce à un </w:t>
      </w:r>
      <w:r w:rsidRPr="00F05A8A">
        <w:rPr>
          <w:color w:val="000000"/>
        </w:rPr>
        <w:t>bulletin d'actualités numérique élaboré par les fonctionnaires pour les fonctionnaires, intitulé "ITU Connections"</w:t>
      </w:r>
      <w:r w:rsidRPr="00F05A8A">
        <w:t>.</w:t>
      </w:r>
    </w:p>
    <w:p w14:paraId="703F3BF1" w14:textId="77777777" w:rsidR="00D80461" w:rsidRPr="00F05A8A" w:rsidRDefault="00D80461" w:rsidP="002F075E">
      <w:pPr>
        <w:spacing w:after="240"/>
        <w:rPr>
          <w:rFonts w:eastAsia="Calibri"/>
          <w:color w:val="000000" w:themeColor="text1"/>
        </w:rPr>
      </w:pPr>
      <w:r w:rsidRPr="00F05A8A">
        <w:rPr>
          <w:rFonts w:eastAsia="Calibri"/>
          <w:color w:val="000000" w:themeColor="text1"/>
        </w:rPr>
        <w:t xml:space="preserve">Le site web de l'UIT repose sur une plate-forme (version MS SharePoint) qui a plus de dix ans et qui sera bientôt obsolète. Afin d'atténuer les risques qui pourraient en découler pour la continuité des activités et la sécurité, une version bêta de la plate-forme "MyITU" a été lancée en 2020, en tant que première étape vers le remplacement et la modernisation du site web de l'UIT dans sa totalité. Cette plate-forme contient des articles </w:t>
      </w:r>
      <w:r w:rsidRPr="00F05A8A">
        <w:t>des Nouvelles de l'UIT et la revue "Nouvelles de l'UIT"</w:t>
      </w:r>
      <w:r w:rsidRPr="00F05A8A">
        <w:rPr>
          <w:rFonts w:eastAsia="Calibri"/>
          <w:color w:val="000000" w:themeColor="text1"/>
        </w:rPr>
        <w:t>, des publications et des renseignements sur les manifestations, ainsi qu'un espace réservé aux membres, afin de fournir des informations de manière simple et adaptée, en fonction des intérêts des utilisateurs. De plus, en 2020, l'UIT a mis au point un prototype d'un nouveau site web OneITU (Une UIT unie dans l'action): il s'agit d'un site web centré sur l'utilisateur, multilingue, adapté aux dispositifs mobiles et axé sur les résultats, qui véhicule l'image de marque de l'UIT et attire un large éventail d'utilisateurs, en offrant des options de navigation plus intelligentes et des contenus inédits. La plate-forme MyITU et le site web OneITU offriront une expérience optimale aux utilisateurs une fois qu'ils seront mis en service. Ils permettront tous les deux d'améliorer l'expérience des membres de l'UIT ainsi que de nouveaux publics qui connaissent moins bien l'UIT, parmi lesquels des PME, des établissements universitaires et des nouveaux membres de l'Union.</w:t>
      </w:r>
    </w:p>
    <w:p w14:paraId="44EB7EE4" w14:textId="77777777" w:rsidR="00D80461" w:rsidRPr="00F05A8A" w:rsidRDefault="00D80461" w:rsidP="002F075E">
      <w:pPr>
        <w:jc w:val="center"/>
        <w:rPr>
          <w:rFonts w:eastAsia="Calibri"/>
          <w:color w:val="000000" w:themeColor="text1"/>
        </w:rPr>
      </w:pPr>
      <w:r w:rsidRPr="00F05A8A">
        <w:rPr>
          <w:lang w:eastAsia="fr-FR"/>
        </w:rPr>
        <w:lastRenderedPageBreak/>
        <w:drawing>
          <wp:inline distT="0" distB="0" distL="0" distR="0" wp14:anchorId="58152AD5" wp14:editId="3F18FF93">
            <wp:extent cx="5785200" cy="2494800"/>
            <wp:effectExtent l="0" t="0" r="6350" b="1270"/>
            <wp:docPr id="514810882" name="Picture 51481088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2" name="Picture 514810882" descr="A screenshot of a video game&#10;&#10;Description automatically generated with low confidence"/>
                    <pic:cNvPicPr/>
                  </pic:nvPicPr>
                  <pic:blipFill>
                    <a:blip r:embed="rId678">
                      <a:extLst>
                        <a:ext uri="{28A0092B-C50C-407E-A947-70E740481C1C}">
                          <a14:useLocalDpi xmlns:a14="http://schemas.microsoft.com/office/drawing/2010/main" val="0"/>
                        </a:ext>
                      </a:extLst>
                    </a:blip>
                    <a:stretch>
                      <a:fillRect/>
                    </a:stretch>
                  </pic:blipFill>
                  <pic:spPr>
                    <a:xfrm>
                      <a:off x="0" y="0"/>
                      <a:ext cx="5785200" cy="2494800"/>
                    </a:xfrm>
                    <a:prstGeom prst="rect">
                      <a:avLst/>
                    </a:prstGeom>
                  </pic:spPr>
                </pic:pic>
              </a:graphicData>
            </a:graphic>
          </wp:inline>
        </w:drawing>
      </w:r>
    </w:p>
    <w:p w14:paraId="196FD1DD" w14:textId="77777777" w:rsidR="00D80461" w:rsidRPr="00F05A8A" w:rsidRDefault="00D80461" w:rsidP="002F075E">
      <w:pPr>
        <w:spacing w:before="240"/>
        <w:rPr>
          <w:rFonts w:eastAsia="Calibri"/>
          <w:szCs w:val="24"/>
        </w:rPr>
      </w:pPr>
      <w:r w:rsidRPr="00F05A8A">
        <w:rPr>
          <w:rFonts w:eastAsia="Calibri"/>
          <w:szCs w:val="24"/>
        </w:rPr>
        <w:t xml:space="preserve">L'UIT a lancé une </w:t>
      </w:r>
      <w:hyperlink r:id="rId679" w:history="1">
        <w:r w:rsidRPr="00F05A8A">
          <w:rPr>
            <w:rStyle w:val="Hyperlink"/>
            <w:rFonts w:eastAsia="Calibri"/>
            <w:szCs w:val="24"/>
          </w:rPr>
          <w:t>nouvelle série de podcasts</w:t>
        </w:r>
      </w:hyperlink>
      <w:r w:rsidRPr="00F05A8A">
        <w:rPr>
          <w:rFonts w:eastAsia="Calibri"/>
          <w:szCs w:val="24"/>
        </w:rPr>
        <w:t xml:space="preserve">, </w:t>
      </w:r>
      <w:r w:rsidRPr="00F05A8A">
        <w:rPr>
          <w:rFonts w:eastAsia="Calibri"/>
          <w:i/>
          <w:iCs/>
          <w:szCs w:val="24"/>
        </w:rPr>
        <w:t>Les technologies au service du bien social</w:t>
      </w:r>
      <w:r w:rsidRPr="00F05A8A">
        <w:rPr>
          <w:rFonts w:eastAsia="Calibri"/>
          <w:szCs w:val="24"/>
        </w:rPr>
        <w:t>, qui portent sur des thèmes au cœur des travaux de l'UIT, afin d'accroître les retours sur investissement concernant les webinaires de l'UIT et les entretiens avec les délégués.</w:t>
      </w:r>
    </w:p>
    <w:p w14:paraId="71D2C760" w14:textId="77777777" w:rsidR="00D80461" w:rsidRPr="00F05A8A" w:rsidRDefault="00D80461" w:rsidP="002F075E">
      <w:pPr>
        <w:rPr>
          <w:szCs w:val="24"/>
        </w:rPr>
      </w:pPr>
      <w:r w:rsidRPr="00F05A8A">
        <w:rPr>
          <w:rFonts w:asciiTheme="minorHAnsi" w:eastAsiaTheme="minorEastAsia" w:hAnsiTheme="minorHAnsi" w:cstheme="minorHAnsi"/>
          <w:color w:val="333333"/>
          <w:szCs w:val="24"/>
        </w:rPr>
        <w:t xml:space="preserve">L'UIT et ses membres ont une stratégie commune – le Programme Connect 2030. Un </w:t>
      </w:r>
      <w:hyperlink r:id="rId680" w:history="1">
        <w:r w:rsidRPr="00F05A8A">
          <w:rPr>
            <w:rStyle w:val="Hyperlink"/>
            <w:rFonts w:asciiTheme="minorHAnsi" w:eastAsiaTheme="minorEastAsia" w:hAnsiTheme="minorHAnsi" w:cstheme="minorHAnsi"/>
            <w:szCs w:val="24"/>
          </w:rPr>
          <w:t>nouveau site web</w:t>
        </w:r>
      </w:hyperlink>
      <w:r w:rsidRPr="00F05A8A">
        <w:rPr>
          <w:rFonts w:asciiTheme="minorHAnsi" w:eastAsiaTheme="minorEastAsia" w:hAnsiTheme="minorHAnsi" w:cstheme="minorHAnsi"/>
          <w:color w:val="333333"/>
          <w:szCs w:val="24"/>
        </w:rPr>
        <w:t xml:space="preserve"> met à disposition un tableau de bord des buts et des cibles définis dans le Programme et fournit les liens pour accéder aux publications, aux données ainsi qu'à d'autres ressources, de sorte que l'UIT et ses membres puissent accomplir des progrès ensemble en vue de connecter le monde.</w:t>
      </w:r>
    </w:p>
    <w:p w14:paraId="3E37A1A4" w14:textId="77777777" w:rsidR="00D80461" w:rsidRPr="00F05A8A" w:rsidRDefault="00D80461" w:rsidP="002F075E">
      <w:pPr>
        <w:pStyle w:val="Headingb"/>
        <w:spacing w:after="120"/>
        <w:ind w:left="0" w:firstLine="0"/>
      </w:pPr>
      <w:bookmarkStart w:id="933" w:name="_Toc72846809"/>
      <w:bookmarkStart w:id="934" w:name="_Toc95387665"/>
      <w:r w:rsidRPr="00F05A8A">
        <w:t>E.4: Veiller à la planification, à la coordination et à l'exécution efficaces du plan stratégique et des plans opérationnels de l'Union</w:t>
      </w:r>
      <w:bookmarkEnd w:id="932"/>
      <w:bookmarkEnd w:id="933"/>
      <w:bookmarkEnd w:id="934"/>
    </w:p>
    <w:p w14:paraId="7740DC7A" w14:textId="77777777" w:rsidR="00D80461" w:rsidRPr="00F05A8A" w:rsidRDefault="00D80461" w:rsidP="002F075E">
      <w:r w:rsidRPr="00F05A8A">
        <w:t>Voir l'analyse dans la Section 3.</w:t>
      </w:r>
    </w:p>
    <w:p w14:paraId="0E57349A" w14:textId="77777777" w:rsidR="00D80461" w:rsidRPr="00F05A8A" w:rsidRDefault="00D80461" w:rsidP="002F075E">
      <w:pPr>
        <w:pStyle w:val="Headingb"/>
        <w:tabs>
          <w:tab w:val="clear" w:pos="567"/>
        </w:tabs>
        <w:spacing w:after="360"/>
        <w:ind w:left="0" w:firstLine="0"/>
      </w:pPr>
      <w:bookmarkStart w:id="935" w:name="_Toc41032199"/>
      <w:bookmarkStart w:id="936" w:name="_Toc72846810"/>
      <w:bookmarkStart w:id="937" w:name="_Toc95387666"/>
      <w:r w:rsidRPr="00F05A8A">
        <w:t>E.5: Veiller à l'efficacité et à l'efficience de la gouvernance de l'organisation (en interne et à l'extérieur)</w:t>
      </w:r>
      <w:bookmarkEnd w:id="935"/>
      <w:bookmarkEnd w:id="936"/>
      <w:bookmarkEnd w:id="937"/>
    </w:p>
    <w:p w14:paraId="4289AA39" w14:textId="77777777" w:rsidR="00D80461" w:rsidRPr="00F05A8A" w:rsidRDefault="00D80461" w:rsidP="002F075E">
      <w:pPr>
        <w:jc w:val="center"/>
        <w:rPr>
          <w:rFonts w:cs="Calibri"/>
          <w:bCs/>
        </w:rPr>
      </w:pPr>
      <w:r w:rsidRPr="00F05A8A">
        <w:rPr>
          <w:rFonts w:cs="Calibri"/>
          <w:bCs/>
          <w:lang w:eastAsia="fr-FR"/>
        </w:rPr>
        <mc:AlternateContent>
          <mc:Choice Requires="wps">
            <w:drawing>
              <wp:anchor distT="45720" distB="45720" distL="114300" distR="114300" simplePos="0" relativeHeight="251809792" behindDoc="0" locked="0" layoutInCell="1" allowOverlap="1" wp14:anchorId="3D118E35" wp14:editId="65895EFE">
                <wp:simplePos x="0" y="0"/>
                <wp:positionH relativeFrom="column">
                  <wp:posOffset>3423285</wp:posOffset>
                </wp:positionH>
                <wp:positionV relativeFrom="paragraph">
                  <wp:posOffset>1203960</wp:posOffset>
                </wp:positionV>
                <wp:extent cx="1943100" cy="166370"/>
                <wp:effectExtent l="0" t="0" r="0" b="5080"/>
                <wp:wrapNone/>
                <wp:docPr id="182041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6370"/>
                        </a:xfrm>
                        <a:prstGeom prst="rect">
                          <a:avLst/>
                        </a:prstGeom>
                        <a:solidFill>
                          <a:srgbClr val="FFFFFF"/>
                        </a:solidFill>
                        <a:ln w="9525">
                          <a:noFill/>
                          <a:miter lim="800000"/>
                          <a:headEnd/>
                          <a:tailEnd/>
                        </a:ln>
                      </wps:spPr>
                      <wps:txbx>
                        <w:txbxContent>
                          <w:p w14:paraId="7D4DA714" w14:textId="77777777" w:rsidR="00756EAD" w:rsidRPr="00D8112A" w:rsidRDefault="00756EAD" w:rsidP="00D80461">
                            <w:pPr>
                              <w:spacing w:before="100" w:beforeAutospacing="1" w:after="100" w:afterAutospacing="1" w:line="100" w:lineRule="exact"/>
                              <w:ind w:left="-142" w:right="-102"/>
                              <w:rPr>
                                <w:sz w:val="12"/>
                                <w:szCs w:val="12"/>
                                <w:lang w:val="fr-CH"/>
                              </w:rPr>
                            </w:pPr>
                            <w:r w:rsidRPr="00666274">
                              <w:rPr>
                                <w:rFonts w:cs="Calibri"/>
                                <w:bCs/>
                                <w:sz w:val="12"/>
                                <w:szCs w:val="12"/>
                                <w:lang w:val="fr-CH"/>
                              </w:rPr>
                              <w:t>Recommandations OUVERTES par année et par priorité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8E35" id="_x0000_s1232" type="#_x0000_t202" style="position:absolute;left:0;text-align:left;margin-left:269.55pt;margin-top:94.8pt;width:153pt;height:13.1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" stroked="f">
                <v:textbox>
                  <w:txbxContent>
                    <w:p w14:paraId="7D4DA714" w14:textId="77777777" w:rsidR="00756EAD" w:rsidRPr="00D8112A" w:rsidRDefault="00756EAD" w:rsidP="00D80461">
                      <w:pPr>
                        <w:spacing w:before="100" w:beforeAutospacing="1" w:after="100" w:afterAutospacing="1" w:line="100" w:lineRule="exact"/>
                        <w:ind w:left="-142" w:right="-102"/>
                        <w:rPr>
                          <w:sz w:val="12"/>
                          <w:szCs w:val="12"/>
                          <w:lang w:val="fr-CH"/>
                        </w:rPr>
                      </w:pPr>
                      <w:r w:rsidRPr="00666274">
                        <w:rPr>
                          <w:rFonts w:cs="Calibri"/>
                          <w:bCs/>
                          <w:sz w:val="12"/>
                          <w:szCs w:val="12"/>
                          <w:lang w:val="fr-CH"/>
                        </w:rPr>
                        <w:t>Recommandations OUVERTES par année et par priorité</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8768" behindDoc="0" locked="0" layoutInCell="1" allowOverlap="1" wp14:anchorId="620E2B03" wp14:editId="5494EBC7">
                <wp:simplePos x="0" y="0"/>
                <wp:positionH relativeFrom="column">
                  <wp:posOffset>1403985</wp:posOffset>
                </wp:positionH>
                <wp:positionV relativeFrom="paragraph">
                  <wp:posOffset>1203960</wp:posOffset>
                </wp:positionV>
                <wp:extent cx="1957388" cy="166370"/>
                <wp:effectExtent l="0" t="0" r="0" b="5080"/>
                <wp:wrapNone/>
                <wp:docPr id="1820414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388" cy="166370"/>
                        </a:xfrm>
                        <a:prstGeom prst="rect">
                          <a:avLst/>
                        </a:prstGeom>
                        <a:solidFill>
                          <a:srgbClr val="FFFFFF"/>
                        </a:solidFill>
                        <a:ln w="9525">
                          <a:noFill/>
                          <a:miter lim="800000"/>
                          <a:headEnd/>
                          <a:tailEnd/>
                        </a:ln>
                      </wps:spPr>
                      <wps:txbx>
                        <w:txbxContent>
                          <w:p w14:paraId="1C680DA9" w14:textId="77777777" w:rsidR="00756EAD" w:rsidRPr="00D8112A" w:rsidRDefault="00756EAD" w:rsidP="00D80461">
                            <w:pPr>
                              <w:spacing w:before="100" w:beforeAutospacing="1" w:after="100" w:afterAutospacing="1" w:line="100" w:lineRule="exact"/>
                              <w:ind w:left="-142" w:right="-102"/>
                              <w:rPr>
                                <w:sz w:val="12"/>
                                <w:szCs w:val="12"/>
                                <w:lang w:val="fr-CH"/>
                              </w:rPr>
                            </w:pPr>
                            <w:r w:rsidRPr="00666274">
                              <w:rPr>
                                <w:rFonts w:cs="Calibri"/>
                                <w:bCs/>
                                <w:sz w:val="12"/>
                                <w:szCs w:val="12"/>
                                <w:lang w:val="fr-CH"/>
                              </w:rPr>
                              <w:t>Nombre de Recommandations par année et par priorité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2B03" id="_x0000_s1233" type="#_x0000_t202" style="position:absolute;left:0;text-align:left;margin-left:110.55pt;margin-top:94.8pt;width:154.15pt;height:13.1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" stroked="f">
                <v:textbox>
                  <w:txbxContent>
                    <w:p w14:paraId="1C680DA9" w14:textId="77777777" w:rsidR="00756EAD" w:rsidRPr="00D8112A" w:rsidRDefault="00756EAD" w:rsidP="00D80461">
                      <w:pPr>
                        <w:spacing w:before="100" w:beforeAutospacing="1" w:after="100" w:afterAutospacing="1" w:line="100" w:lineRule="exact"/>
                        <w:ind w:left="-142" w:right="-102"/>
                        <w:rPr>
                          <w:sz w:val="12"/>
                          <w:szCs w:val="12"/>
                          <w:lang w:val="fr-CH"/>
                        </w:rPr>
                      </w:pPr>
                      <w:r w:rsidRPr="00666274">
                        <w:rPr>
                          <w:rFonts w:cs="Calibri"/>
                          <w:bCs/>
                          <w:sz w:val="12"/>
                          <w:szCs w:val="12"/>
                          <w:lang w:val="fr-CH"/>
                        </w:rPr>
                        <w:t>Nombre de Recommandations par année et par priorité</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6720" behindDoc="0" locked="0" layoutInCell="1" allowOverlap="1" wp14:anchorId="70261B64" wp14:editId="00F5ACF7">
                <wp:simplePos x="0" y="0"/>
                <wp:positionH relativeFrom="column">
                  <wp:posOffset>3423285</wp:posOffset>
                </wp:positionH>
                <wp:positionV relativeFrom="paragraph">
                  <wp:posOffset>141923</wp:posOffset>
                </wp:positionV>
                <wp:extent cx="1943100" cy="166370"/>
                <wp:effectExtent l="0" t="0" r="9525" b="5080"/>
                <wp:wrapNone/>
                <wp:docPr id="1820414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6370"/>
                        </a:xfrm>
                        <a:prstGeom prst="rect">
                          <a:avLst/>
                        </a:prstGeom>
                        <a:solidFill>
                          <a:srgbClr val="FFFFFF"/>
                        </a:solidFill>
                        <a:ln w="9525">
                          <a:noFill/>
                          <a:miter lim="800000"/>
                          <a:headEnd/>
                          <a:tailEnd/>
                        </a:ln>
                      </wps:spPr>
                      <wps:txbx>
                        <w:txbxContent>
                          <w:p w14:paraId="7083B04B" w14:textId="77777777" w:rsidR="00756EAD" w:rsidRPr="00D8112A" w:rsidRDefault="00756EAD" w:rsidP="00D80461">
                            <w:pPr>
                              <w:spacing w:before="100" w:beforeAutospacing="1" w:after="100" w:afterAutospacing="1" w:line="100" w:lineRule="exact"/>
                              <w:ind w:left="-142" w:right="-102"/>
                              <w:rPr>
                                <w:sz w:val="12"/>
                                <w:szCs w:val="12"/>
                                <w:lang w:val="fr-CH"/>
                              </w:rPr>
                            </w:pPr>
                            <w:r w:rsidRPr="00D8112A">
                              <w:rPr>
                                <w:rFonts w:cs="Calibri"/>
                                <w:bCs/>
                                <w:sz w:val="12"/>
                                <w:szCs w:val="12"/>
                                <w:lang w:val="fr-CH"/>
                              </w:rPr>
                              <w:t>Nombre total de Recommandations par catégorie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61B64" id="_x0000_s1234" type="#_x0000_t202" style="position:absolute;left:0;text-align:left;margin-left:269.55pt;margin-top:11.2pt;width:153pt;height:13.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" stroked="f">
                <v:textbox>
                  <w:txbxContent>
                    <w:p w14:paraId="7083B04B" w14:textId="77777777" w:rsidR="00756EAD" w:rsidRPr="00D8112A" w:rsidRDefault="00756EAD" w:rsidP="00D80461">
                      <w:pPr>
                        <w:spacing w:before="100" w:beforeAutospacing="1" w:after="100" w:afterAutospacing="1" w:line="100" w:lineRule="exact"/>
                        <w:ind w:left="-142" w:right="-102"/>
                        <w:rPr>
                          <w:sz w:val="12"/>
                          <w:szCs w:val="12"/>
                          <w:lang w:val="fr-CH"/>
                        </w:rPr>
                      </w:pPr>
                      <w:r w:rsidRPr="00D8112A">
                        <w:rPr>
                          <w:rFonts w:cs="Calibri"/>
                          <w:bCs/>
                          <w:sz w:val="12"/>
                          <w:szCs w:val="12"/>
                          <w:lang w:val="fr-CH"/>
                        </w:rPr>
                        <w:t>Nombre total de Recommandations par catégorie</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7744" behindDoc="0" locked="0" layoutInCell="1" allowOverlap="1" wp14:anchorId="6BF926EA" wp14:editId="5056DF23">
                <wp:simplePos x="0" y="0"/>
                <wp:positionH relativeFrom="column">
                  <wp:posOffset>3423285</wp:posOffset>
                </wp:positionH>
                <wp:positionV relativeFrom="paragraph">
                  <wp:posOffset>565468</wp:posOffset>
                </wp:positionV>
                <wp:extent cx="1933575" cy="223837"/>
                <wp:effectExtent l="0" t="0" r="9525" b="5080"/>
                <wp:wrapNone/>
                <wp:docPr id="1820414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3837"/>
                        </a:xfrm>
                        <a:prstGeom prst="rect">
                          <a:avLst/>
                        </a:prstGeom>
                        <a:solidFill>
                          <a:srgbClr val="FFFFFF"/>
                        </a:solidFill>
                        <a:ln w="9525">
                          <a:noFill/>
                          <a:miter lim="800000"/>
                          <a:headEnd/>
                          <a:tailEnd/>
                        </a:ln>
                      </wps:spPr>
                      <wps:txbx>
                        <w:txbxContent>
                          <w:p w14:paraId="67BD7B15" w14:textId="77777777" w:rsidR="00756EAD" w:rsidRPr="00D8112A" w:rsidRDefault="00756EAD" w:rsidP="00D80461">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par priorité/Recommandations mises en œuvre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26EA" id="_x0000_s1235" type="#_x0000_t202" style="position:absolute;left:0;text-align:left;margin-left:269.55pt;margin-top:44.55pt;width:152.25pt;height:17.6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" stroked="f">
                <v:textbox>
                  <w:txbxContent>
                    <w:p w14:paraId="67BD7B15" w14:textId="77777777" w:rsidR="00756EAD" w:rsidRPr="00D8112A" w:rsidRDefault="00756EAD" w:rsidP="00D80461">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par priorité/Recommandations mises en œuvre</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5696" behindDoc="0" locked="0" layoutInCell="1" allowOverlap="1" wp14:anchorId="2FBB17F5" wp14:editId="3792EE77">
                <wp:simplePos x="0" y="0"/>
                <wp:positionH relativeFrom="column">
                  <wp:posOffset>1413510</wp:posOffset>
                </wp:positionH>
                <wp:positionV relativeFrom="paragraph">
                  <wp:posOffset>170497</wp:posOffset>
                </wp:positionV>
                <wp:extent cx="962025" cy="228600"/>
                <wp:effectExtent l="0" t="0" r="9525" b="0"/>
                <wp:wrapNone/>
                <wp:docPr id="1820414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solidFill>
                          <a:srgbClr val="FFFFFF"/>
                        </a:solidFill>
                        <a:ln w="9525">
                          <a:noFill/>
                          <a:miter lim="800000"/>
                          <a:headEnd/>
                          <a:tailEnd/>
                        </a:ln>
                      </wps:spPr>
                      <wps:txbx>
                        <w:txbxContent>
                          <w:p w14:paraId="70707451" w14:textId="77777777" w:rsidR="00756EAD" w:rsidRPr="00D8112A" w:rsidRDefault="00756EAD" w:rsidP="00D80461">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mises en œuvre/totales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B17F5" id="_x0000_s1236" type="#_x0000_t202" style="position:absolute;left:0;text-align:left;margin-left:111.3pt;margin-top:13.4pt;width:75.75pt;height:1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" stroked="f">
                <v:textbox>
                  <w:txbxContent>
                    <w:p w14:paraId="70707451" w14:textId="77777777" w:rsidR="00756EAD" w:rsidRPr="00D8112A" w:rsidRDefault="00756EAD" w:rsidP="00D80461">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mises en œuvre/totales</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4672" behindDoc="0" locked="0" layoutInCell="1" allowOverlap="1" wp14:anchorId="1AD32A9E" wp14:editId="3216ABA4">
                <wp:simplePos x="0" y="0"/>
                <wp:positionH relativeFrom="column">
                  <wp:posOffset>732472</wp:posOffset>
                </wp:positionH>
                <wp:positionV relativeFrom="paragraph">
                  <wp:posOffset>1394142</wp:posOffset>
                </wp:positionV>
                <wp:extent cx="638175" cy="152400"/>
                <wp:effectExtent l="0" t="0" r="9525" b="0"/>
                <wp:wrapNone/>
                <wp:docPr id="1820414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52400"/>
                        </a:xfrm>
                        <a:prstGeom prst="rect">
                          <a:avLst/>
                        </a:prstGeom>
                        <a:solidFill>
                          <a:srgbClr val="FFFFFF"/>
                        </a:solidFill>
                        <a:ln w="9525">
                          <a:noFill/>
                          <a:miter lim="800000"/>
                          <a:headEnd/>
                          <a:tailEnd/>
                        </a:ln>
                      </wps:spPr>
                      <wps:txbx>
                        <w:txbxContent>
                          <w:p w14:paraId="0861FD7F" w14:textId="77777777" w:rsidR="00756EAD" w:rsidRPr="00D8112A" w:rsidRDefault="00756EAD" w:rsidP="00D80461">
                            <w:pPr>
                              <w:spacing w:before="100" w:beforeAutospacing="1" w:after="100" w:afterAutospacing="1" w:line="80" w:lineRule="exact"/>
                              <w:ind w:left="-142" w:right="-102"/>
                              <w:rPr>
                                <w:b/>
                                <w:sz w:val="10"/>
                                <w:szCs w:val="10"/>
                              </w:rPr>
                            </w:pPr>
                            <w:r w:rsidRPr="00D8112A">
                              <w:rPr>
                                <w:rFonts w:cs="Calibri"/>
                                <w:b/>
                                <w:sz w:val="10"/>
                                <w:szCs w:val="10"/>
                              </w:rPr>
                              <w:t>Recs à l'intention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32A9E" id="_x0000_s1237" type="#_x0000_t202" style="position:absolute;left:0;text-align:left;margin-left:57.65pt;margin-top:109.75pt;width:50.25pt;height:12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" stroked="f">
                <v:textbox>
                  <w:txbxContent>
                    <w:p w14:paraId="0861FD7F" w14:textId="77777777" w:rsidR="00756EAD" w:rsidRPr="00D8112A" w:rsidRDefault="00756EAD" w:rsidP="00D80461">
                      <w:pPr>
                        <w:spacing w:before="100" w:beforeAutospacing="1" w:after="100" w:afterAutospacing="1" w:line="80" w:lineRule="exact"/>
                        <w:ind w:left="-142" w:right="-102"/>
                        <w:rPr>
                          <w:b/>
                          <w:sz w:val="10"/>
                          <w:szCs w:val="10"/>
                        </w:rPr>
                      </w:pPr>
                      <w:r w:rsidRPr="00D8112A">
                        <w:rPr>
                          <w:rFonts w:cs="Calibri"/>
                          <w:b/>
                          <w:sz w:val="10"/>
                          <w:szCs w:val="10"/>
                        </w:rPr>
                        <w:t>Recs à l'intention de:</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3648" behindDoc="0" locked="0" layoutInCell="1" allowOverlap="1" wp14:anchorId="2AC38DEB" wp14:editId="2B2833F5">
                <wp:simplePos x="0" y="0"/>
                <wp:positionH relativeFrom="column">
                  <wp:posOffset>717550</wp:posOffset>
                </wp:positionH>
                <wp:positionV relativeFrom="paragraph">
                  <wp:posOffset>718503</wp:posOffset>
                </wp:positionV>
                <wp:extent cx="333375" cy="161925"/>
                <wp:effectExtent l="0" t="0" r="9525" b="9525"/>
                <wp:wrapNone/>
                <wp:docPr id="1802487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61925"/>
                        </a:xfrm>
                        <a:prstGeom prst="rect">
                          <a:avLst/>
                        </a:prstGeom>
                        <a:solidFill>
                          <a:srgbClr val="FFFFFF"/>
                        </a:solidFill>
                        <a:ln w="9525">
                          <a:noFill/>
                          <a:miter lim="800000"/>
                          <a:headEnd/>
                          <a:tailEnd/>
                        </a:ln>
                      </wps:spPr>
                      <wps:txbx>
                        <w:txbxContent>
                          <w:p w14:paraId="5D5C333A" w14:textId="77777777" w:rsidR="00756EAD" w:rsidRPr="00D8112A" w:rsidRDefault="00756EAD" w:rsidP="00D80461">
                            <w:pPr>
                              <w:spacing w:before="100" w:beforeAutospacing="1" w:after="100" w:afterAutospacing="1" w:line="80" w:lineRule="exact"/>
                              <w:ind w:left="-142" w:right="-102"/>
                              <w:rPr>
                                <w:sz w:val="10"/>
                                <w:szCs w:val="10"/>
                                <w:lang w:val="fr-CH"/>
                              </w:rPr>
                            </w:pPr>
                            <w:r>
                              <w:rPr>
                                <w:rFonts w:cs="Calibri"/>
                                <w:bCs/>
                                <w:sz w:val="10"/>
                                <w:szCs w:val="10"/>
                                <w:lang w:val="fr-CH"/>
                              </w:rPr>
                              <w:t>C</w:t>
                            </w:r>
                            <w:r w:rsidRPr="00D8112A">
                              <w:rPr>
                                <w:rFonts w:cs="Calibri"/>
                                <w:b/>
                                <w:sz w:val="10"/>
                                <w:szCs w:val="10"/>
                                <w:lang w:val="fr-CH"/>
                              </w:rPr>
                              <w:t>atégor</w:t>
                            </w:r>
                            <w:r w:rsidRPr="00D8112A">
                              <w:rPr>
                                <w:rFonts w:cs="Calibri"/>
                                <w:bCs/>
                                <w:sz w:val="10"/>
                                <w:szCs w:val="10"/>
                                <w:lang w:val="fr-CH"/>
                              </w:rPr>
                              <w: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38DEB" id="_x0000_s1238" type="#_x0000_t202" style="position:absolute;left:0;text-align:left;margin-left:56.5pt;margin-top:56.6pt;width:26.25pt;height:12.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" stroked="f">
                <v:textbox>
                  <w:txbxContent>
                    <w:p w14:paraId="5D5C333A" w14:textId="77777777" w:rsidR="00756EAD" w:rsidRPr="00D8112A" w:rsidRDefault="00756EAD" w:rsidP="00D80461">
                      <w:pPr>
                        <w:spacing w:before="100" w:beforeAutospacing="1" w:after="100" w:afterAutospacing="1" w:line="80" w:lineRule="exact"/>
                        <w:ind w:left="-142" w:right="-102"/>
                        <w:rPr>
                          <w:sz w:val="10"/>
                          <w:szCs w:val="10"/>
                          <w:lang w:val="fr-CH"/>
                        </w:rPr>
                      </w:pPr>
                      <w:r>
                        <w:rPr>
                          <w:rFonts w:cs="Calibri"/>
                          <w:bCs/>
                          <w:sz w:val="10"/>
                          <w:szCs w:val="10"/>
                          <w:lang w:val="fr-CH"/>
                        </w:rPr>
                        <w:t>C</w:t>
                      </w:r>
                      <w:r w:rsidRPr="00D8112A">
                        <w:rPr>
                          <w:rFonts w:cs="Calibri"/>
                          <w:b/>
                          <w:sz w:val="10"/>
                          <w:szCs w:val="10"/>
                          <w:lang w:val="fr-CH"/>
                        </w:rPr>
                        <w:t>atégor</w:t>
                      </w:r>
                      <w:r w:rsidRPr="00D8112A">
                        <w:rPr>
                          <w:rFonts w:cs="Calibri"/>
                          <w:bCs/>
                          <w:sz w:val="10"/>
                          <w:szCs w:val="10"/>
                          <w:lang w:val="fr-CH"/>
                        </w:rPr>
                        <w:t>ie</w:t>
                      </w:r>
                    </w:p>
                  </w:txbxContent>
                </v:textbox>
              </v:shape>
            </w:pict>
          </mc:Fallback>
        </mc:AlternateContent>
      </w:r>
      <w:r w:rsidRPr="00F05A8A">
        <w:rPr>
          <w:rFonts w:cs="Calibri"/>
          <w:bCs/>
          <w:lang w:eastAsia="fr-FR"/>
        </w:rPr>
        <mc:AlternateContent>
          <mc:Choice Requires="wps">
            <w:drawing>
              <wp:anchor distT="45720" distB="45720" distL="114300" distR="114300" simplePos="0" relativeHeight="251802624" behindDoc="0" locked="0" layoutInCell="1" allowOverlap="1" wp14:anchorId="405E11B3" wp14:editId="73D9D5BE">
                <wp:simplePos x="0" y="0"/>
                <wp:positionH relativeFrom="column">
                  <wp:posOffset>717550</wp:posOffset>
                </wp:positionH>
                <wp:positionV relativeFrom="paragraph">
                  <wp:posOffset>450850</wp:posOffset>
                </wp:positionV>
                <wp:extent cx="285750" cy="161925"/>
                <wp:effectExtent l="0" t="0" r="0" b="9525"/>
                <wp:wrapNone/>
                <wp:docPr id="1802487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solidFill>
                        <a:ln w="9525">
                          <a:noFill/>
                          <a:miter lim="800000"/>
                          <a:headEnd/>
                          <a:tailEnd/>
                        </a:ln>
                      </wps:spPr>
                      <wps:txbx>
                        <w:txbxContent>
                          <w:p w14:paraId="1549D29D" w14:textId="77777777" w:rsidR="00756EAD" w:rsidRPr="00D8112A" w:rsidRDefault="00756EAD" w:rsidP="00D80461">
                            <w:pPr>
                              <w:spacing w:before="100" w:beforeAutospacing="1" w:after="100" w:afterAutospacing="1" w:line="80" w:lineRule="exact"/>
                              <w:ind w:left="-142" w:right="-102"/>
                              <w:rPr>
                                <w:b/>
                                <w:sz w:val="10"/>
                                <w:szCs w:val="10"/>
                              </w:rPr>
                            </w:pPr>
                            <w:r w:rsidRPr="00D8112A">
                              <w:rPr>
                                <w:rFonts w:cs="Calibri"/>
                                <w:b/>
                                <w:sz w:val="10"/>
                                <w:szCs w:val="10"/>
                              </w:rPr>
                              <w:t>Priorité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E11B3" id="_x0000_s1239" type="#_x0000_t202" style="position:absolute;left:0;text-align:left;margin-left:56.5pt;margin-top:35.5pt;width:22.5pt;height:12.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" stroked="f">
                <v:textbox>
                  <w:txbxContent>
                    <w:p w14:paraId="1549D29D" w14:textId="77777777" w:rsidR="00756EAD" w:rsidRPr="00D8112A" w:rsidRDefault="00756EAD" w:rsidP="00D80461">
                      <w:pPr>
                        <w:spacing w:before="100" w:beforeAutospacing="1" w:after="100" w:afterAutospacing="1" w:line="80" w:lineRule="exact"/>
                        <w:ind w:left="-142" w:right="-102"/>
                        <w:rPr>
                          <w:b/>
                          <w:sz w:val="10"/>
                          <w:szCs w:val="10"/>
                        </w:rPr>
                      </w:pPr>
                      <w:r w:rsidRPr="00D8112A">
                        <w:rPr>
                          <w:rFonts w:cs="Calibri"/>
                          <w:b/>
                          <w:sz w:val="10"/>
                          <w:szCs w:val="10"/>
                        </w:rPr>
                        <w:t>Priorité</w:t>
                      </w:r>
                    </w:p>
                  </w:txbxContent>
                </v:textbox>
              </v:shape>
            </w:pict>
          </mc:Fallback>
        </mc:AlternateContent>
      </w:r>
      <w:r w:rsidRPr="00F05A8A">
        <w:rPr>
          <w:rFonts w:eastAsia="Calibri"/>
          <w:lang w:eastAsia="fr-FR"/>
        </w:rPr>
        <mc:AlternateContent>
          <mc:Choice Requires="wps">
            <w:drawing>
              <wp:anchor distT="45720" distB="45720" distL="114300" distR="114300" simplePos="0" relativeHeight="251801600" behindDoc="0" locked="0" layoutInCell="1" allowOverlap="1" wp14:anchorId="06E9D270" wp14:editId="533AC244">
                <wp:simplePos x="0" y="0"/>
                <wp:positionH relativeFrom="margin">
                  <wp:posOffset>875347</wp:posOffset>
                </wp:positionH>
                <wp:positionV relativeFrom="margin">
                  <wp:posOffset>527685</wp:posOffset>
                </wp:positionV>
                <wp:extent cx="2414904" cy="152400"/>
                <wp:effectExtent l="0" t="0" r="5080" b="0"/>
                <wp:wrapNone/>
                <wp:docPr id="1802487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4" cy="152400"/>
                        </a:xfrm>
                        <a:prstGeom prst="rect">
                          <a:avLst/>
                        </a:prstGeom>
                        <a:solidFill>
                          <a:srgbClr val="00B0F0"/>
                        </a:solidFill>
                        <a:ln w="9525">
                          <a:noFill/>
                          <a:miter lim="800000"/>
                          <a:headEnd/>
                          <a:tailEnd/>
                        </a:ln>
                      </wps:spPr>
                      <wps:txbx>
                        <w:txbxContent>
                          <w:p w14:paraId="400D22EC" w14:textId="77777777" w:rsidR="00756EAD" w:rsidRPr="00D8112A" w:rsidRDefault="00756EAD" w:rsidP="00D80461">
                            <w:pPr>
                              <w:spacing w:before="0" w:line="100" w:lineRule="exact"/>
                              <w:rPr>
                                <w:rFonts w:cs="Calibri"/>
                                <w:bCs/>
                                <w:color w:val="FFFFFF" w:themeColor="background1"/>
                                <w:sz w:val="12"/>
                                <w:szCs w:val="12"/>
                              </w:rPr>
                            </w:pPr>
                            <w:r w:rsidRPr="00D8112A">
                              <w:rPr>
                                <w:rFonts w:cs="Calibri"/>
                                <w:b/>
                                <w:color w:val="FFFFFF" w:themeColor="background1"/>
                                <w:sz w:val="12"/>
                                <w:szCs w:val="12"/>
                              </w:rPr>
                              <w:t>Tableau de bord de la conformité de l'UIT</w:t>
                            </w:r>
                            <w:r w:rsidRPr="00D8112A">
                              <w:rPr>
                                <w:rFonts w:cs="Calibri"/>
                                <w:bCs/>
                                <w:color w:val="FFFFFF" w:themeColor="background1"/>
                                <w:sz w:val="12"/>
                                <w:szCs w:val="12"/>
                              </w:rPr>
                              <w:t xml:space="preserve"> – Vue d'ensemble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9D270" id="_x0000_s1240" type="#_x0000_t202" style="position:absolute;left:0;text-align:left;margin-left:68.9pt;margin-top:41.55pt;width:190.15pt;height:12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" fillcolor="#00b0f0" stroked="f">
                <v:textbox>
                  <w:txbxContent>
                    <w:p w14:paraId="400D22EC" w14:textId="77777777" w:rsidR="00756EAD" w:rsidRPr="00D8112A" w:rsidRDefault="00756EAD" w:rsidP="00D80461">
                      <w:pPr>
                        <w:spacing w:before="0" w:line="100" w:lineRule="exact"/>
                        <w:rPr>
                          <w:rFonts w:cs="Calibri"/>
                          <w:bCs/>
                          <w:color w:val="FFFFFF" w:themeColor="background1"/>
                          <w:sz w:val="12"/>
                          <w:szCs w:val="12"/>
                        </w:rPr>
                      </w:pPr>
                      <w:r w:rsidRPr="00D8112A">
                        <w:rPr>
                          <w:rFonts w:cs="Calibri"/>
                          <w:b/>
                          <w:color w:val="FFFFFF" w:themeColor="background1"/>
                          <w:sz w:val="12"/>
                          <w:szCs w:val="12"/>
                        </w:rPr>
                        <w:t>Tableau de bord de la conformité de l'UIT</w:t>
                      </w:r>
                      <w:r w:rsidRPr="00D8112A">
                        <w:rPr>
                          <w:rFonts w:cs="Calibri"/>
                          <w:bCs/>
                          <w:color w:val="FFFFFF" w:themeColor="background1"/>
                          <w:sz w:val="12"/>
                          <w:szCs w:val="12"/>
                        </w:rPr>
                        <w:t xml:space="preserve"> – Vue d'ensemble</w:t>
                      </w:r>
                    </w:p>
                  </w:txbxContent>
                </v:textbox>
                <w10:wrap anchorx="margin" anchory="margin"/>
              </v:shape>
            </w:pict>
          </mc:Fallback>
        </mc:AlternateContent>
      </w:r>
      <w:r w:rsidRPr="00F05A8A">
        <w:rPr>
          <w:lang w:eastAsia="fr-FR"/>
        </w:rPr>
        <w:drawing>
          <wp:inline distT="0" distB="0" distL="0" distR="0" wp14:anchorId="103B91A8" wp14:editId="584FA389">
            <wp:extent cx="4727050" cy="2649473"/>
            <wp:effectExtent l="0" t="0" r="0" b="0"/>
            <wp:docPr id="1802487822"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732114" cy="2652311"/>
                    </a:xfrm>
                    <a:prstGeom prst="rect">
                      <a:avLst/>
                    </a:prstGeom>
                    <a:noFill/>
                    <a:ln>
                      <a:noFill/>
                    </a:ln>
                  </pic:spPr>
                </pic:pic>
              </a:graphicData>
            </a:graphic>
          </wp:inline>
        </w:drawing>
      </w:r>
    </w:p>
    <w:p w14:paraId="365421FA" w14:textId="77777777" w:rsidR="00D80461" w:rsidRPr="00F05A8A" w:rsidRDefault="00D80461" w:rsidP="002F075E">
      <w:pPr>
        <w:jc w:val="center"/>
        <w:rPr>
          <w:rFonts w:cs="Calibri"/>
          <w:bCs/>
        </w:rPr>
      </w:pPr>
      <w:r w:rsidRPr="00F05A8A">
        <w:rPr>
          <w:rFonts w:cs="Calibri"/>
          <w:bCs/>
          <w:lang w:eastAsia="fr-FR"/>
        </w:rPr>
        <w:lastRenderedPageBreak/>
        <w:drawing>
          <wp:inline distT="0" distB="0" distL="0" distR="0" wp14:anchorId="02419FE1" wp14:editId="2A9F3DCD">
            <wp:extent cx="3145997" cy="1811547"/>
            <wp:effectExtent l="0" t="0" r="0" b="0"/>
            <wp:docPr id="1802487840" name="Picture 18024878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40" name="Picture 1802487840" descr="Chart&#10;&#10;Description automatically generated"/>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169014" cy="1824801"/>
                    </a:xfrm>
                    <a:prstGeom prst="rect">
                      <a:avLst/>
                    </a:prstGeom>
                    <a:noFill/>
                  </pic:spPr>
                </pic:pic>
              </a:graphicData>
            </a:graphic>
          </wp:inline>
        </w:drawing>
      </w:r>
    </w:p>
    <w:p w14:paraId="54A8426B" w14:textId="77777777" w:rsidR="00D80461" w:rsidRPr="00F05A8A" w:rsidRDefault="00D80461" w:rsidP="002F075E">
      <w:pPr>
        <w:spacing w:before="360"/>
        <w:jc w:val="center"/>
      </w:pPr>
      <w:r w:rsidRPr="00F05A8A">
        <w:t>______________</w:t>
      </w:r>
    </w:p>
    <w:sectPr w:rsidR="00D80461" w:rsidRPr="00F05A8A" w:rsidSect="003A0B7D">
      <w:headerReference w:type="default" r:id="rId683"/>
      <w:footerReference w:type="default" r:id="rId684"/>
      <w:headerReference w:type="first" r:id="rId685"/>
      <w:footerReference w:type="first" r:id="rId686"/>
      <w:type w:val="continuous"/>
      <w:pgSz w:w="11913" w:h="16834"/>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45B8B" w14:textId="77777777" w:rsidR="00B81FFD" w:rsidRDefault="00B81FFD">
      <w:r>
        <w:separator/>
      </w:r>
    </w:p>
  </w:endnote>
  <w:endnote w:type="continuationSeparator" w:id="0">
    <w:p w14:paraId="4CCF6D52" w14:textId="77777777" w:rsidR="00B81FFD" w:rsidRDefault="00B81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8C95" w14:textId="4CCD004C" w:rsidR="00756EAD" w:rsidRPr="0075560B" w:rsidRDefault="00756EAD" w:rsidP="0075560B">
    <w:pPr>
      <w:pStyle w:val="Footer"/>
      <w:rPr>
        <w:lang w:val="en-US"/>
      </w:rPr>
    </w:pPr>
    <w:r w:rsidRPr="0075560B">
      <w:fldChar w:fldCharType="begin"/>
    </w:r>
    <w:r w:rsidRPr="0075560B">
      <w:rPr>
        <w:lang w:val="en-US"/>
      </w:rPr>
      <w:instrText xml:space="preserve"> FILENAME \p \* MERGEFORMAT </w:instrText>
    </w:r>
    <w:r w:rsidRPr="0075560B">
      <w:fldChar w:fldCharType="separate"/>
    </w:r>
    <w:r w:rsidR="00A31F58">
      <w:rPr>
        <w:lang w:val="en-US"/>
      </w:rPr>
      <w:t>P:\FRA\SG\CONF-SG\PP22\000\020F.docx</w:t>
    </w:r>
    <w:r w:rsidRPr="0075560B">
      <w:fldChar w:fldCharType="end"/>
    </w:r>
    <w:r w:rsidRPr="0075560B">
      <w:rPr>
        <w:lang w:val="en-US"/>
      </w:rPr>
      <w:t xml:space="preserve"> </w:t>
    </w:r>
    <w:r>
      <w:rPr>
        <w:lang w:val="en-US"/>
      </w:rPr>
      <w:t>(503869</w:t>
    </w:r>
    <w:r w:rsidRPr="0075560B">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E4F3" w14:textId="77777777" w:rsidR="00756EAD" w:rsidRDefault="00756EAD" w:rsidP="00EE13EF">
    <w:pPr>
      <w:pStyle w:val="firstfooter0"/>
      <w:spacing w:before="0" w:beforeAutospacing="0" w:after="0" w:afterAutospacing="0"/>
      <w:jc w:val="center"/>
      <w:rPr>
        <w:rFonts w:ascii="Symbol" w:hAnsi="Symbol" w:hint="eastAsia"/>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3721" w14:textId="32CECAA4" w:rsidR="00756EAD" w:rsidRPr="00EE13EF" w:rsidRDefault="00756EAD">
    <w:pPr>
      <w:pStyle w:val="Footer"/>
      <w:rPr>
        <w:lang w:val="en-US"/>
      </w:rPr>
    </w:pPr>
    <w:r>
      <w:fldChar w:fldCharType="begin"/>
    </w:r>
    <w:r w:rsidRPr="00EE13EF">
      <w:rPr>
        <w:lang w:val="en-US"/>
      </w:rPr>
      <w:instrText xml:space="preserve"> FILENAME \p \* MERGEFORMAT </w:instrText>
    </w:r>
    <w:r>
      <w:fldChar w:fldCharType="separate"/>
    </w:r>
    <w:r w:rsidR="00A31F58">
      <w:rPr>
        <w:lang w:val="en-US"/>
      </w:rPr>
      <w:t>P:\FRA\SG\CONF-SG\PP22\000\020F.docx</w:t>
    </w:r>
    <w:r>
      <w:fldChar w:fldCharType="end"/>
    </w:r>
    <w:r w:rsidRPr="00EE13EF">
      <w:rPr>
        <w:lang w:val="en-US"/>
      </w:rPr>
      <w:tab/>
    </w:r>
    <w:r>
      <w:fldChar w:fldCharType="begin"/>
    </w:r>
    <w:r>
      <w:instrText xml:space="preserve"> savedate \@ dd.MM.yy </w:instrText>
    </w:r>
    <w:r>
      <w:fldChar w:fldCharType="separate"/>
    </w:r>
    <w:r w:rsidR="001674A2">
      <w:t>20.07.22</w:t>
    </w:r>
    <w:r>
      <w:fldChar w:fldCharType="end"/>
    </w:r>
    <w:r w:rsidRPr="00EE13EF">
      <w:rPr>
        <w:lang w:val="en-US"/>
      </w:rPr>
      <w:tab/>
    </w:r>
    <w:r>
      <w:fldChar w:fldCharType="begin"/>
    </w:r>
    <w:r>
      <w:instrText xml:space="preserve"> printdate \@ dd.MM.yy </w:instrText>
    </w:r>
    <w:r>
      <w:fldChar w:fldCharType="separate"/>
    </w:r>
    <w:r w:rsidR="00A31F58">
      <w:t>00.00.00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EE72" w14:textId="6D16BA05" w:rsidR="00756EAD" w:rsidRPr="0075560B" w:rsidRDefault="00756EAD" w:rsidP="00142C01">
    <w:pPr>
      <w:pStyle w:val="Footer"/>
      <w:rPr>
        <w:color w:val="F2F2F2" w:themeColor="background1" w:themeShade="F2"/>
        <w:lang w:val="en-US"/>
      </w:rPr>
    </w:pPr>
    <w:r w:rsidRPr="0075560B">
      <w:fldChar w:fldCharType="begin"/>
    </w:r>
    <w:r w:rsidRPr="0075560B">
      <w:rPr>
        <w:lang w:val="en-US"/>
      </w:rPr>
      <w:instrText xml:space="preserve"> FILENAME \p \* MERGEFORMAT </w:instrText>
    </w:r>
    <w:r w:rsidRPr="0075560B">
      <w:fldChar w:fldCharType="separate"/>
    </w:r>
    <w:r w:rsidR="00ED2695">
      <w:rPr>
        <w:lang w:val="en-US"/>
      </w:rPr>
      <w:t>P:\FRA\SG\CONF-SG\PP22\000\020F.docx</w:t>
    </w:r>
    <w:r w:rsidRPr="0075560B">
      <w:fldChar w:fldCharType="end"/>
    </w:r>
    <w:r w:rsidRPr="0075560B">
      <w:rPr>
        <w:lang w:val="en-US"/>
      </w:rPr>
      <w:t xml:space="preserve"> </w:t>
    </w:r>
    <w:r>
      <w:rPr>
        <w:lang w:val="en-US"/>
      </w:rPr>
      <w:t>(503869</w:t>
    </w:r>
    <w:r w:rsidRPr="0075560B">
      <w:rPr>
        <w:lang w:val="en-U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CD85" w14:textId="2213E328" w:rsidR="00756EAD" w:rsidRPr="0075560B" w:rsidRDefault="00756EAD" w:rsidP="00142C01">
    <w:pPr>
      <w:pStyle w:val="Footer"/>
      <w:rPr>
        <w:color w:val="F2F2F2" w:themeColor="background1" w:themeShade="F2"/>
        <w:lang w:val="en-US"/>
      </w:rPr>
    </w:pPr>
    <w:r w:rsidRPr="0075560B">
      <w:fldChar w:fldCharType="begin"/>
    </w:r>
    <w:r w:rsidRPr="0075560B">
      <w:rPr>
        <w:lang w:val="en-US"/>
      </w:rPr>
      <w:instrText xml:space="preserve"> FILENAME \p \* MERGEFORMAT </w:instrText>
    </w:r>
    <w:r w:rsidRPr="0075560B">
      <w:fldChar w:fldCharType="separate"/>
    </w:r>
    <w:r w:rsidR="00A31F58">
      <w:rPr>
        <w:lang w:val="en-US"/>
      </w:rPr>
      <w:t>P:\FRA\SG\CONF-SG\PP22\000\020F.docx</w:t>
    </w:r>
    <w:r w:rsidRPr="0075560B">
      <w:fldChar w:fldCharType="end"/>
    </w:r>
    <w:r w:rsidRPr="0075560B">
      <w:rPr>
        <w:lang w:val="en-US"/>
      </w:rPr>
      <w:t xml:space="preserve"> </w:t>
    </w:r>
    <w:r>
      <w:rPr>
        <w:lang w:val="en-US"/>
      </w:rPr>
      <w:t>(503869</w:t>
    </w:r>
    <w:r w:rsidRPr="0075560B">
      <w:rPr>
        <w:lang w:val="en-U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8567" w14:textId="051BDC08" w:rsidR="00756EAD" w:rsidRPr="0075560B" w:rsidRDefault="00756EAD" w:rsidP="00142C01">
    <w:pPr>
      <w:pStyle w:val="Footer"/>
      <w:rPr>
        <w:color w:val="F2F2F2" w:themeColor="background1" w:themeShade="F2"/>
        <w:lang w:val="en-US"/>
      </w:rPr>
    </w:pPr>
    <w:r w:rsidRPr="0075560B">
      <w:fldChar w:fldCharType="begin"/>
    </w:r>
    <w:r w:rsidRPr="0075560B">
      <w:rPr>
        <w:lang w:val="en-US"/>
      </w:rPr>
      <w:instrText xml:space="preserve"> FILENAME \p \* MERGEFORMAT </w:instrText>
    </w:r>
    <w:r w:rsidRPr="0075560B">
      <w:fldChar w:fldCharType="separate"/>
    </w:r>
    <w:r w:rsidR="00A31F58">
      <w:rPr>
        <w:lang w:val="en-US"/>
      </w:rPr>
      <w:t>P:\FRA\SG\CONF-SG\PP22\000\020F.docx</w:t>
    </w:r>
    <w:r w:rsidRPr="0075560B">
      <w:fldChar w:fldCharType="end"/>
    </w:r>
    <w:r w:rsidRPr="0075560B">
      <w:rPr>
        <w:lang w:val="en-US"/>
      </w:rPr>
      <w:t xml:space="preserve"> </w:t>
    </w:r>
    <w:r>
      <w:rPr>
        <w:lang w:val="en-US"/>
      </w:rPr>
      <w:t>(503869</w:t>
    </w:r>
    <w:r w:rsidRPr="0075560B">
      <w:rPr>
        <w:lang w:val="en-U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7C66" w14:textId="36D45412" w:rsidR="00756EAD" w:rsidRPr="0075560B" w:rsidRDefault="00756EAD" w:rsidP="0075560B">
    <w:pPr>
      <w:pStyle w:val="Footer"/>
      <w:rPr>
        <w:lang w:val="en-US"/>
      </w:rPr>
    </w:pPr>
    <w:r w:rsidRPr="0075560B">
      <w:fldChar w:fldCharType="begin"/>
    </w:r>
    <w:r w:rsidRPr="0075560B">
      <w:rPr>
        <w:lang w:val="en-US"/>
      </w:rPr>
      <w:instrText xml:space="preserve"> FILENAME \p \* MERGEFORMAT </w:instrText>
    </w:r>
    <w:r w:rsidRPr="0075560B">
      <w:fldChar w:fldCharType="separate"/>
    </w:r>
    <w:r w:rsidR="00A31F58">
      <w:rPr>
        <w:lang w:val="en-US"/>
      </w:rPr>
      <w:t>P:\FRA\SG\CONF-SG\PP22\000\020F.docx</w:t>
    </w:r>
    <w:r w:rsidRPr="0075560B">
      <w:fldChar w:fldCharType="end"/>
    </w:r>
    <w:r w:rsidRPr="0075560B">
      <w:rPr>
        <w:lang w:val="en-US"/>
      </w:rPr>
      <w:t xml:space="preserve"> </w:t>
    </w:r>
    <w:r>
      <w:rPr>
        <w:lang w:val="en-US"/>
      </w:rPr>
      <w:t>(503869</w:t>
    </w:r>
    <w:r w:rsidRPr="0075560B">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10427" w14:textId="77777777" w:rsidR="00B81FFD" w:rsidRDefault="00B81FFD">
      <w:r>
        <w:t>____________________</w:t>
      </w:r>
    </w:p>
  </w:footnote>
  <w:footnote w:type="continuationSeparator" w:id="0">
    <w:p w14:paraId="658A225E" w14:textId="77777777" w:rsidR="00B81FFD" w:rsidRDefault="00B81FFD">
      <w:r>
        <w:continuationSeparator/>
      </w:r>
    </w:p>
  </w:footnote>
  <w:footnote w:id="1">
    <w:p w14:paraId="3A12AAC1" w14:textId="77777777" w:rsidR="00756EAD" w:rsidRDefault="00756EAD" w:rsidP="00D80461">
      <w:pPr>
        <w:pStyle w:val="FootnoteText"/>
      </w:pPr>
      <w:r>
        <w:rPr>
          <w:rStyle w:val="FootnoteReference"/>
        </w:rPr>
        <w:footnoteRef/>
      </w:r>
      <w:r>
        <w:t xml:space="preserve"> </w:t>
      </w:r>
      <w:r>
        <w:tab/>
      </w:r>
      <w:r w:rsidRPr="009E648A">
        <w:rPr>
          <w:sz w:val="22"/>
          <w:szCs w:val="22"/>
        </w:rPr>
        <w:t>L'accès au large bande à un prix inférieur à 2% du revenu national brut (RNB) mensuel par habitant.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98228"/>
      <w:docPartObj>
        <w:docPartGallery w:val="Page Numbers (Top of Page)"/>
        <w:docPartUnique/>
      </w:docPartObj>
    </w:sdtPr>
    <w:sdtEndPr>
      <w:rPr>
        <w:noProof/>
      </w:rPr>
    </w:sdtEndPr>
    <w:sdtContent>
      <w:p w14:paraId="225D50FC" w14:textId="2ADC523E" w:rsidR="00756EAD" w:rsidRDefault="00756EAD" w:rsidP="0075560B">
        <w:pPr>
          <w:pStyle w:val="Header"/>
        </w:pPr>
        <w:r>
          <w:fldChar w:fldCharType="begin"/>
        </w:r>
        <w:r>
          <w:instrText xml:space="preserve"> PAGE </w:instrText>
        </w:r>
        <w:r>
          <w:fldChar w:fldCharType="separate"/>
        </w:r>
        <w:r w:rsidR="00071FEF">
          <w:rPr>
            <w:noProof/>
          </w:rPr>
          <w:t>2</w:t>
        </w:r>
        <w:r>
          <w:fldChar w:fldCharType="end"/>
        </w:r>
      </w:p>
      <w:p w14:paraId="642CBD25" w14:textId="70F89C86" w:rsidR="00756EAD" w:rsidRDefault="00756EAD" w:rsidP="0075560B">
        <w:pPr>
          <w:pStyle w:val="Header"/>
        </w:pPr>
        <w:r>
          <w:t>PP22/20-F</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52B7" w14:textId="77777777" w:rsidR="00756EAD" w:rsidRDefault="00756EAD">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3EA819C3" w14:textId="77777777" w:rsidR="00756EAD" w:rsidRDefault="00756EAD">
    <w:pPr>
      <w:pStyle w:val="Header"/>
    </w:pPr>
    <w:r>
      <w:t>C2001/#-F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4F18" w14:textId="0E7AB857" w:rsidR="00756EAD" w:rsidRDefault="00756EAD" w:rsidP="0075560B">
    <w:pPr>
      <w:pStyle w:val="Header"/>
    </w:pPr>
    <w:r>
      <w:fldChar w:fldCharType="begin"/>
    </w:r>
    <w:r>
      <w:instrText xml:space="preserve"> PAGE </w:instrText>
    </w:r>
    <w:r>
      <w:fldChar w:fldCharType="separate"/>
    </w:r>
    <w:r w:rsidR="00071FEF">
      <w:rPr>
        <w:noProof/>
      </w:rPr>
      <w:t>7</w:t>
    </w:r>
    <w:r>
      <w:fldChar w:fldCharType="end"/>
    </w:r>
  </w:p>
  <w:p w14:paraId="475B16C0" w14:textId="25864B79" w:rsidR="00756EAD" w:rsidRDefault="00756EAD" w:rsidP="0075560B">
    <w:pPr>
      <w:pStyle w:val="Header"/>
    </w:pPr>
    <w:r>
      <w:t>PP22/20-F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49627"/>
      <w:docPartObj>
        <w:docPartGallery w:val="Page Numbers (Top of Page)"/>
        <w:docPartUnique/>
      </w:docPartObj>
    </w:sdtPr>
    <w:sdtEndPr>
      <w:rPr>
        <w:noProof/>
      </w:rPr>
    </w:sdtEndPr>
    <w:sdtContent>
      <w:p w14:paraId="7C9957C9" w14:textId="37BDE99C" w:rsidR="00756EAD" w:rsidRDefault="00756EAD" w:rsidP="0075560B">
        <w:pPr>
          <w:pStyle w:val="Header"/>
        </w:pPr>
        <w:r>
          <w:fldChar w:fldCharType="begin"/>
        </w:r>
        <w:r>
          <w:instrText xml:space="preserve"> PAGE </w:instrText>
        </w:r>
        <w:r>
          <w:fldChar w:fldCharType="separate"/>
        </w:r>
        <w:r w:rsidR="00071FEF">
          <w:rPr>
            <w:noProof/>
          </w:rPr>
          <w:t>3</w:t>
        </w:r>
        <w:r>
          <w:fldChar w:fldCharType="end"/>
        </w:r>
      </w:p>
      <w:p w14:paraId="3105A13F" w14:textId="21C9AEC3" w:rsidR="00756EAD" w:rsidRDefault="00756EAD" w:rsidP="0075560B">
        <w:pPr>
          <w:pStyle w:val="Header"/>
          <w:rPr>
            <w:noProof/>
          </w:rPr>
        </w:pPr>
        <w:r>
          <w:t>PP22/20-F</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D6A7" w14:textId="4FBD5613" w:rsidR="00756EAD" w:rsidRDefault="00756EAD" w:rsidP="00BD1614">
    <w:pPr>
      <w:pStyle w:val="Header"/>
    </w:pPr>
    <w:r>
      <w:fldChar w:fldCharType="begin"/>
    </w:r>
    <w:r>
      <w:instrText xml:space="preserve"> PAGE </w:instrText>
    </w:r>
    <w:r>
      <w:fldChar w:fldCharType="separate"/>
    </w:r>
    <w:r w:rsidR="00B2395B">
      <w:rPr>
        <w:noProof/>
      </w:rPr>
      <w:t>111</w:t>
    </w:r>
    <w:r>
      <w:fldChar w:fldCharType="end"/>
    </w:r>
  </w:p>
  <w:p w14:paraId="650D8FD2" w14:textId="74697CCC" w:rsidR="00756EAD" w:rsidRDefault="00756EAD" w:rsidP="001E2226">
    <w:pPr>
      <w:pStyle w:val="Header"/>
    </w:pPr>
    <w:r>
      <w:t>PP22/20-F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386857"/>
      <w:docPartObj>
        <w:docPartGallery w:val="Page Numbers (Top of Page)"/>
        <w:docPartUnique/>
      </w:docPartObj>
    </w:sdtPr>
    <w:sdtEndPr>
      <w:rPr>
        <w:noProof/>
      </w:rPr>
    </w:sdtEndPr>
    <w:sdtContent>
      <w:p w14:paraId="5E53A5D2" w14:textId="4728DBB5" w:rsidR="00756EAD" w:rsidRDefault="00756EAD" w:rsidP="0075560B">
        <w:pPr>
          <w:pStyle w:val="Header"/>
        </w:pPr>
        <w:r>
          <w:fldChar w:fldCharType="begin"/>
        </w:r>
        <w:r>
          <w:instrText xml:space="preserve"> PAGE </w:instrText>
        </w:r>
        <w:r>
          <w:fldChar w:fldCharType="separate"/>
        </w:r>
        <w:r w:rsidR="00071FEF">
          <w:rPr>
            <w:noProof/>
          </w:rPr>
          <w:t>8</w:t>
        </w:r>
        <w:r>
          <w:fldChar w:fldCharType="end"/>
        </w:r>
      </w:p>
      <w:p w14:paraId="36A5C22A" w14:textId="4A0D5303" w:rsidR="00756EAD" w:rsidRDefault="00756EAD" w:rsidP="0075560B">
        <w:pPr>
          <w:pStyle w:val="Header"/>
          <w:rPr>
            <w:noProof/>
          </w:rPr>
        </w:pPr>
        <w:r>
          <w:t>PP22/20-F</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A43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1268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169C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9C5E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05D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9EBF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A661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4EB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0E7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FE6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80DEA"/>
    <w:multiLevelType w:val="hybridMultilevel"/>
    <w:tmpl w:val="4274D8E8"/>
    <w:lvl w:ilvl="0" w:tplc="B1605B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5673D5D"/>
    <w:multiLevelType w:val="hybridMultilevel"/>
    <w:tmpl w:val="FFFFFFFF"/>
    <w:lvl w:ilvl="0" w:tplc="C198581C">
      <w:start w:val="1"/>
      <w:numFmt w:val="lowerRoman"/>
      <w:lvlText w:val="%1."/>
      <w:lvlJc w:val="right"/>
      <w:pPr>
        <w:ind w:left="720" w:hanging="360"/>
      </w:pPr>
    </w:lvl>
    <w:lvl w:ilvl="1" w:tplc="918079D0">
      <w:start w:val="1"/>
      <w:numFmt w:val="lowerLetter"/>
      <w:lvlText w:val="%2."/>
      <w:lvlJc w:val="left"/>
      <w:pPr>
        <w:ind w:left="1440" w:hanging="360"/>
      </w:pPr>
    </w:lvl>
    <w:lvl w:ilvl="2" w:tplc="AEA8EC20">
      <w:start w:val="1"/>
      <w:numFmt w:val="lowerRoman"/>
      <w:lvlText w:val="%3."/>
      <w:lvlJc w:val="right"/>
      <w:pPr>
        <w:ind w:left="2160" w:hanging="180"/>
      </w:pPr>
    </w:lvl>
    <w:lvl w:ilvl="3" w:tplc="0956A470">
      <w:start w:val="1"/>
      <w:numFmt w:val="decimal"/>
      <w:lvlText w:val="%4."/>
      <w:lvlJc w:val="left"/>
      <w:pPr>
        <w:ind w:left="2880" w:hanging="360"/>
      </w:pPr>
    </w:lvl>
    <w:lvl w:ilvl="4" w:tplc="CAA8498C">
      <w:start w:val="1"/>
      <w:numFmt w:val="lowerLetter"/>
      <w:lvlText w:val="%5."/>
      <w:lvlJc w:val="left"/>
      <w:pPr>
        <w:ind w:left="3600" w:hanging="360"/>
      </w:pPr>
    </w:lvl>
    <w:lvl w:ilvl="5" w:tplc="E918D8EC">
      <w:start w:val="1"/>
      <w:numFmt w:val="lowerRoman"/>
      <w:lvlText w:val="%6."/>
      <w:lvlJc w:val="right"/>
      <w:pPr>
        <w:ind w:left="4320" w:hanging="180"/>
      </w:pPr>
    </w:lvl>
    <w:lvl w:ilvl="6" w:tplc="5E3CB26E">
      <w:start w:val="1"/>
      <w:numFmt w:val="decimal"/>
      <w:lvlText w:val="%7."/>
      <w:lvlJc w:val="left"/>
      <w:pPr>
        <w:ind w:left="5040" w:hanging="360"/>
      </w:pPr>
    </w:lvl>
    <w:lvl w:ilvl="7" w:tplc="D2E2CE46">
      <w:start w:val="1"/>
      <w:numFmt w:val="lowerLetter"/>
      <w:lvlText w:val="%8."/>
      <w:lvlJc w:val="left"/>
      <w:pPr>
        <w:ind w:left="5760" w:hanging="360"/>
      </w:pPr>
    </w:lvl>
    <w:lvl w:ilvl="8" w:tplc="00BEEAD4">
      <w:start w:val="1"/>
      <w:numFmt w:val="lowerRoman"/>
      <w:lvlText w:val="%9."/>
      <w:lvlJc w:val="right"/>
      <w:pPr>
        <w:ind w:left="6480" w:hanging="180"/>
      </w:pPr>
    </w:lvl>
  </w:abstractNum>
  <w:abstractNum w:abstractNumId="13" w15:restartNumberingAfterBreak="0">
    <w:nsid w:val="22F84A32"/>
    <w:multiLevelType w:val="hybridMultilevel"/>
    <w:tmpl w:val="7FAC7C48"/>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6604F96">
      <w:start w:val="1"/>
      <w:numFmt w:val="bullet"/>
      <w:lvlText w:val=""/>
      <w:lvlJc w:val="left"/>
      <w:pPr>
        <w:ind w:left="2520" w:hanging="360"/>
      </w:pPr>
      <w:rPr>
        <w:rFonts w:ascii="Symbol" w:hAnsi="Symbol" w:hint="default"/>
        <w:color w:val="auto"/>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14" w15:restartNumberingAfterBreak="0">
    <w:nsid w:val="3EF878B5"/>
    <w:multiLevelType w:val="hybridMultilevel"/>
    <w:tmpl w:val="6938FE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DD0394C">
      <w:start w:val="1"/>
      <w:numFmt w:val="bullet"/>
      <w:pStyle w:val="enumlev311pt"/>
      <w:lvlText w:val=""/>
      <w:lvlJc w:val="left"/>
      <w:pPr>
        <w:ind w:left="1800" w:hanging="360"/>
      </w:pPr>
      <w:rPr>
        <w:rFonts w:ascii="Symbol" w:hAnsi="Symbol"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16" w15:restartNumberingAfterBreak="0">
    <w:nsid w:val="67DF24F2"/>
    <w:multiLevelType w:val="hybridMultilevel"/>
    <w:tmpl w:val="7B9C98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729500A3"/>
    <w:multiLevelType w:val="hybridMultilevel"/>
    <w:tmpl w:val="1E482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4214304">
    <w:abstractNumId w:val="9"/>
  </w:num>
  <w:num w:numId="2" w16cid:durableId="900410219">
    <w:abstractNumId w:val="7"/>
  </w:num>
  <w:num w:numId="3" w16cid:durableId="1336029094">
    <w:abstractNumId w:val="6"/>
  </w:num>
  <w:num w:numId="4" w16cid:durableId="1062798865">
    <w:abstractNumId w:val="5"/>
  </w:num>
  <w:num w:numId="5" w16cid:durableId="903563194">
    <w:abstractNumId w:val="4"/>
  </w:num>
  <w:num w:numId="6" w16cid:durableId="800271991">
    <w:abstractNumId w:val="8"/>
  </w:num>
  <w:num w:numId="7" w16cid:durableId="1185822747">
    <w:abstractNumId w:val="3"/>
  </w:num>
  <w:num w:numId="8" w16cid:durableId="678771561">
    <w:abstractNumId w:val="2"/>
  </w:num>
  <w:num w:numId="9" w16cid:durableId="534000777">
    <w:abstractNumId w:val="1"/>
  </w:num>
  <w:num w:numId="10" w16cid:durableId="643697396">
    <w:abstractNumId w:val="0"/>
  </w:num>
  <w:num w:numId="11" w16cid:durableId="1286617702">
    <w:abstractNumId w:val="14"/>
  </w:num>
  <w:num w:numId="12" w16cid:durableId="2022511483">
    <w:abstractNumId w:val="16"/>
  </w:num>
  <w:num w:numId="13" w16cid:durableId="1214389748">
    <w:abstractNumId w:val="13"/>
  </w:num>
  <w:num w:numId="14" w16cid:durableId="2043745416">
    <w:abstractNumId w:val="15"/>
  </w:num>
  <w:num w:numId="15" w16cid:durableId="13380716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8321890">
    <w:abstractNumId w:val="17"/>
  </w:num>
  <w:num w:numId="17" w16cid:durableId="1069225952">
    <w:abstractNumId w:val="12"/>
  </w:num>
  <w:num w:numId="18" w16cid:durableId="654064725">
    <w:abstractNumId w:val="11"/>
  </w:num>
  <w:num w:numId="19" w16cid:durableId="5656513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D5E"/>
    <w:rsid w:val="000054D8"/>
    <w:rsid w:val="0001721E"/>
    <w:rsid w:val="00021BAE"/>
    <w:rsid w:val="00025208"/>
    <w:rsid w:val="00026984"/>
    <w:rsid w:val="00040F1A"/>
    <w:rsid w:val="00041E41"/>
    <w:rsid w:val="00047B2A"/>
    <w:rsid w:val="00054153"/>
    <w:rsid w:val="00054EE7"/>
    <w:rsid w:val="00060D74"/>
    <w:rsid w:val="000665DB"/>
    <w:rsid w:val="00071FEF"/>
    <w:rsid w:val="000721E9"/>
    <w:rsid w:val="00072D5C"/>
    <w:rsid w:val="00082A0E"/>
    <w:rsid w:val="00083267"/>
    <w:rsid w:val="0008398C"/>
    <w:rsid w:val="00083D7C"/>
    <w:rsid w:val="00084308"/>
    <w:rsid w:val="0009380B"/>
    <w:rsid w:val="00095CC6"/>
    <w:rsid w:val="0009652D"/>
    <w:rsid w:val="000B14B6"/>
    <w:rsid w:val="000B73A4"/>
    <w:rsid w:val="000C467B"/>
    <w:rsid w:val="000D081D"/>
    <w:rsid w:val="000D0A4D"/>
    <w:rsid w:val="000D15FB"/>
    <w:rsid w:val="000D1945"/>
    <w:rsid w:val="000D6632"/>
    <w:rsid w:val="000E6390"/>
    <w:rsid w:val="000E715E"/>
    <w:rsid w:val="000F0D4C"/>
    <w:rsid w:val="000F58F7"/>
    <w:rsid w:val="00104ECA"/>
    <w:rsid w:val="001051E4"/>
    <w:rsid w:val="0010691E"/>
    <w:rsid w:val="00111A4E"/>
    <w:rsid w:val="001132D5"/>
    <w:rsid w:val="001331AF"/>
    <w:rsid w:val="0013353E"/>
    <w:rsid w:val="001354EA"/>
    <w:rsid w:val="00136FCE"/>
    <w:rsid w:val="00142C01"/>
    <w:rsid w:val="00153B47"/>
    <w:rsid w:val="00153BA4"/>
    <w:rsid w:val="00155D22"/>
    <w:rsid w:val="00165743"/>
    <w:rsid w:val="001674A2"/>
    <w:rsid w:val="0017465A"/>
    <w:rsid w:val="00183689"/>
    <w:rsid w:val="00187229"/>
    <w:rsid w:val="00194179"/>
    <w:rsid w:val="001941AD"/>
    <w:rsid w:val="0019732C"/>
    <w:rsid w:val="001A0682"/>
    <w:rsid w:val="001A2E50"/>
    <w:rsid w:val="001A44A7"/>
    <w:rsid w:val="001B10E4"/>
    <w:rsid w:val="001B4D8D"/>
    <w:rsid w:val="001C4119"/>
    <w:rsid w:val="001C4152"/>
    <w:rsid w:val="001D1FCE"/>
    <w:rsid w:val="001D31B2"/>
    <w:rsid w:val="001D4EDF"/>
    <w:rsid w:val="001E09D7"/>
    <w:rsid w:val="001E1803"/>
    <w:rsid w:val="001E1B9B"/>
    <w:rsid w:val="001E1F4E"/>
    <w:rsid w:val="001E2226"/>
    <w:rsid w:val="001F00EC"/>
    <w:rsid w:val="001F6233"/>
    <w:rsid w:val="0020561F"/>
    <w:rsid w:val="002058F9"/>
    <w:rsid w:val="002124ED"/>
    <w:rsid w:val="00227EB4"/>
    <w:rsid w:val="00232D5B"/>
    <w:rsid w:val="002338E9"/>
    <w:rsid w:val="002349F6"/>
    <w:rsid w:val="002355CD"/>
    <w:rsid w:val="002376C9"/>
    <w:rsid w:val="00241A99"/>
    <w:rsid w:val="002437F3"/>
    <w:rsid w:val="002508A2"/>
    <w:rsid w:val="002621DF"/>
    <w:rsid w:val="00263FAD"/>
    <w:rsid w:val="00270B2F"/>
    <w:rsid w:val="0028270D"/>
    <w:rsid w:val="0028757B"/>
    <w:rsid w:val="00290F2B"/>
    <w:rsid w:val="00292DF2"/>
    <w:rsid w:val="00295125"/>
    <w:rsid w:val="002A0E1B"/>
    <w:rsid w:val="002A47BD"/>
    <w:rsid w:val="002A7A1D"/>
    <w:rsid w:val="002B2736"/>
    <w:rsid w:val="002B63F2"/>
    <w:rsid w:val="002C0647"/>
    <w:rsid w:val="002C1059"/>
    <w:rsid w:val="002C10AB"/>
    <w:rsid w:val="002C16CF"/>
    <w:rsid w:val="002C2F9C"/>
    <w:rsid w:val="002C5059"/>
    <w:rsid w:val="002C7017"/>
    <w:rsid w:val="002D2C5E"/>
    <w:rsid w:val="002D4445"/>
    <w:rsid w:val="002D5117"/>
    <w:rsid w:val="002D6665"/>
    <w:rsid w:val="002E288E"/>
    <w:rsid w:val="002F075E"/>
    <w:rsid w:val="002F73ED"/>
    <w:rsid w:val="00307227"/>
    <w:rsid w:val="00307B85"/>
    <w:rsid w:val="003223B8"/>
    <w:rsid w:val="00322DEA"/>
    <w:rsid w:val="00325ADA"/>
    <w:rsid w:val="0033149A"/>
    <w:rsid w:val="00331D2A"/>
    <w:rsid w:val="0033449C"/>
    <w:rsid w:val="0034134B"/>
    <w:rsid w:val="003512E0"/>
    <w:rsid w:val="00355FBD"/>
    <w:rsid w:val="00361A9D"/>
    <w:rsid w:val="003772F5"/>
    <w:rsid w:val="00380304"/>
    <w:rsid w:val="00381461"/>
    <w:rsid w:val="00391C12"/>
    <w:rsid w:val="00392529"/>
    <w:rsid w:val="00395B54"/>
    <w:rsid w:val="00396D1B"/>
    <w:rsid w:val="003A0B7D"/>
    <w:rsid w:val="003A26FC"/>
    <w:rsid w:val="003A45C2"/>
    <w:rsid w:val="003A46EF"/>
    <w:rsid w:val="003B4099"/>
    <w:rsid w:val="003C128A"/>
    <w:rsid w:val="003C2A31"/>
    <w:rsid w:val="003C4BE2"/>
    <w:rsid w:val="003C6B8C"/>
    <w:rsid w:val="003D147D"/>
    <w:rsid w:val="003D1B4D"/>
    <w:rsid w:val="003D637A"/>
    <w:rsid w:val="003E7DBA"/>
    <w:rsid w:val="003F5051"/>
    <w:rsid w:val="003F58C8"/>
    <w:rsid w:val="003F60B2"/>
    <w:rsid w:val="003F7D97"/>
    <w:rsid w:val="004012F0"/>
    <w:rsid w:val="00407252"/>
    <w:rsid w:val="00410F52"/>
    <w:rsid w:val="00420EF8"/>
    <w:rsid w:val="004235B0"/>
    <w:rsid w:val="0042780C"/>
    <w:rsid w:val="00430015"/>
    <w:rsid w:val="004304D4"/>
    <w:rsid w:val="0043461A"/>
    <w:rsid w:val="0043719E"/>
    <w:rsid w:val="00460C56"/>
    <w:rsid w:val="00461076"/>
    <w:rsid w:val="00464481"/>
    <w:rsid w:val="004678D0"/>
    <w:rsid w:val="004752C8"/>
    <w:rsid w:val="00482954"/>
    <w:rsid w:val="004853F6"/>
    <w:rsid w:val="00490641"/>
    <w:rsid w:val="00492AB9"/>
    <w:rsid w:val="004951C0"/>
    <w:rsid w:val="004971FA"/>
    <w:rsid w:val="004A13B4"/>
    <w:rsid w:val="004A41C0"/>
    <w:rsid w:val="004A6710"/>
    <w:rsid w:val="004B3D16"/>
    <w:rsid w:val="004B67B0"/>
    <w:rsid w:val="004C0D33"/>
    <w:rsid w:val="004C2763"/>
    <w:rsid w:val="004C2F6C"/>
    <w:rsid w:val="004C43FD"/>
    <w:rsid w:val="004C5A3A"/>
    <w:rsid w:val="004C5B6B"/>
    <w:rsid w:val="004C6D11"/>
    <w:rsid w:val="004C7646"/>
    <w:rsid w:val="004D5DA9"/>
    <w:rsid w:val="004D7740"/>
    <w:rsid w:val="004E0F30"/>
    <w:rsid w:val="004E578A"/>
    <w:rsid w:val="004F68FE"/>
    <w:rsid w:val="00500AB8"/>
    <w:rsid w:val="00501E6E"/>
    <w:rsid w:val="00504745"/>
    <w:rsid w:val="005062E3"/>
    <w:rsid w:val="0051373D"/>
    <w:rsid w:val="005144D7"/>
    <w:rsid w:val="00517A35"/>
    <w:rsid w:val="005235EE"/>
    <w:rsid w:val="00523EF7"/>
    <w:rsid w:val="00524001"/>
    <w:rsid w:val="00525990"/>
    <w:rsid w:val="00527A8E"/>
    <w:rsid w:val="0053067A"/>
    <w:rsid w:val="00530E77"/>
    <w:rsid w:val="0055003C"/>
    <w:rsid w:val="005520C3"/>
    <w:rsid w:val="0055352F"/>
    <w:rsid w:val="00554F44"/>
    <w:rsid w:val="0056112C"/>
    <w:rsid w:val="00564B63"/>
    <w:rsid w:val="005654D0"/>
    <w:rsid w:val="00574E92"/>
    <w:rsid w:val="00575DC7"/>
    <w:rsid w:val="005778E1"/>
    <w:rsid w:val="00580258"/>
    <w:rsid w:val="005808EC"/>
    <w:rsid w:val="005836C2"/>
    <w:rsid w:val="00585EB2"/>
    <w:rsid w:val="005910E4"/>
    <w:rsid w:val="00596427"/>
    <w:rsid w:val="00597D3C"/>
    <w:rsid w:val="005A345D"/>
    <w:rsid w:val="005A4EFD"/>
    <w:rsid w:val="005A5ABE"/>
    <w:rsid w:val="005C2ECC"/>
    <w:rsid w:val="005C4CC6"/>
    <w:rsid w:val="005C602C"/>
    <w:rsid w:val="005C6744"/>
    <w:rsid w:val="005D04D5"/>
    <w:rsid w:val="005D7D04"/>
    <w:rsid w:val="005E1137"/>
    <w:rsid w:val="005E33D6"/>
    <w:rsid w:val="005E419E"/>
    <w:rsid w:val="005E54B2"/>
    <w:rsid w:val="005F1913"/>
    <w:rsid w:val="005F1926"/>
    <w:rsid w:val="005F1DF5"/>
    <w:rsid w:val="005F1E52"/>
    <w:rsid w:val="005F435D"/>
    <w:rsid w:val="005F63BD"/>
    <w:rsid w:val="0060418C"/>
    <w:rsid w:val="00604E5D"/>
    <w:rsid w:val="00611CF1"/>
    <w:rsid w:val="00616160"/>
    <w:rsid w:val="006201D9"/>
    <w:rsid w:val="006213CA"/>
    <w:rsid w:val="00625761"/>
    <w:rsid w:val="006277DB"/>
    <w:rsid w:val="00633968"/>
    <w:rsid w:val="00635B7B"/>
    <w:rsid w:val="006411AE"/>
    <w:rsid w:val="00642422"/>
    <w:rsid w:val="0064630A"/>
    <w:rsid w:val="00646512"/>
    <w:rsid w:val="00652042"/>
    <w:rsid w:val="00654282"/>
    <w:rsid w:val="00654804"/>
    <w:rsid w:val="00655B98"/>
    <w:rsid w:val="006564C9"/>
    <w:rsid w:val="0066212F"/>
    <w:rsid w:val="006710E6"/>
    <w:rsid w:val="0067357C"/>
    <w:rsid w:val="006816E1"/>
    <w:rsid w:val="006860C8"/>
    <w:rsid w:val="00686973"/>
    <w:rsid w:val="00690751"/>
    <w:rsid w:val="006920D6"/>
    <w:rsid w:val="00692D52"/>
    <w:rsid w:val="00696B2D"/>
    <w:rsid w:val="006A2656"/>
    <w:rsid w:val="006A3475"/>
    <w:rsid w:val="006A6342"/>
    <w:rsid w:val="006B44F2"/>
    <w:rsid w:val="006B5B21"/>
    <w:rsid w:val="006B6C9C"/>
    <w:rsid w:val="006B7D70"/>
    <w:rsid w:val="006C633C"/>
    <w:rsid w:val="006C7AE3"/>
    <w:rsid w:val="006D30C2"/>
    <w:rsid w:val="006D33D5"/>
    <w:rsid w:val="006D55E8"/>
    <w:rsid w:val="006D6AE0"/>
    <w:rsid w:val="006E17A7"/>
    <w:rsid w:val="006E1921"/>
    <w:rsid w:val="006F2799"/>
    <w:rsid w:val="006F36F9"/>
    <w:rsid w:val="006F41FC"/>
    <w:rsid w:val="0070576B"/>
    <w:rsid w:val="00706CCE"/>
    <w:rsid w:val="00707234"/>
    <w:rsid w:val="00713335"/>
    <w:rsid w:val="00713622"/>
    <w:rsid w:val="00714505"/>
    <w:rsid w:val="00714B63"/>
    <w:rsid w:val="0071693C"/>
    <w:rsid w:val="00721340"/>
    <w:rsid w:val="0072525C"/>
    <w:rsid w:val="00727C2F"/>
    <w:rsid w:val="00735F13"/>
    <w:rsid w:val="0073653A"/>
    <w:rsid w:val="0073738C"/>
    <w:rsid w:val="007430C8"/>
    <w:rsid w:val="00746843"/>
    <w:rsid w:val="00746869"/>
    <w:rsid w:val="00752653"/>
    <w:rsid w:val="0075560B"/>
    <w:rsid w:val="00756EAD"/>
    <w:rsid w:val="00767DD7"/>
    <w:rsid w:val="0077057D"/>
    <w:rsid w:val="007717F2"/>
    <w:rsid w:val="00771922"/>
    <w:rsid w:val="00772E3B"/>
    <w:rsid w:val="00773762"/>
    <w:rsid w:val="007751D0"/>
    <w:rsid w:val="00777B3D"/>
    <w:rsid w:val="0078134C"/>
    <w:rsid w:val="00783F07"/>
    <w:rsid w:val="00785833"/>
    <w:rsid w:val="0078644E"/>
    <w:rsid w:val="0079251D"/>
    <w:rsid w:val="007A5830"/>
    <w:rsid w:val="007B020C"/>
    <w:rsid w:val="007B4D9C"/>
    <w:rsid w:val="007B50AD"/>
    <w:rsid w:val="007D0A71"/>
    <w:rsid w:val="007D21FB"/>
    <w:rsid w:val="007D472F"/>
    <w:rsid w:val="007D74F5"/>
    <w:rsid w:val="007E00BB"/>
    <w:rsid w:val="007E774C"/>
    <w:rsid w:val="007F64E0"/>
    <w:rsid w:val="0080087E"/>
    <w:rsid w:val="00801256"/>
    <w:rsid w:val="00811835"/>
    <w:rsid w:val="00812B29"/>
    <w:rsid w:val="00835A76"/>
    <w:rsid w:val="00840126"/>
    <w:rsid w:val="008406A7"/>
    <w:rsid w:val="008411DD"/>
    <w:rsid w:val="00847E5B"/>
    <w:rsid w:val="008569B6"/>
    <w:rsid w:val="008575A4"/>
    <w:rsid w:val="00860479"/>
    <w:rsid w:val="008703CB"/>
    <w:rsid w:val="008770D9"/>
    <w:rsid w:val="00882ABC"/>
    <w:rsid w:val="00882E4C"/>
    <w:rsid w:val="0088549C"/>
    <w:rsid w:val="00891618"/>
    <w:rsid w:val="00895B69"/>
    <w:rsid w:val="008A0709"/>
    <w:rsid w:val="008A4A95"/>
    <w:rsid w:val="008B50F8"/>
    <w:rsid w:val="008B61AF"/>
    <w:rsid w:val="008B6929"/>
    <w:rsid w:val="008C33C2"/>
    <w:rsid w:val="008C47BE"/>
    <w:rsid w:val="008C6137"/>
    <w:rsid w:val="008C6897"/>
    <w:rsid w:val="008E2DB4"/>
    <w:rsid w:val="008F0EAA"/>
    <w:rsid w:val="008F74B1"/>
    <w:rsid w:val="00901DD5"/>
    <w:rsid w:val="00901DE2"/>
    <w:rsid w:val="009028D7"/>
    <w:rsid w:val="00903A75"/>
    <w:rsid w:val="00906663"/>
    <w:rsid w:val="0090735B"/>
    <w:rsid w:val="00912D5E"/>
    <w:rsid w:val="009153B7"/>
    <w:rsid w:val="00915671"/>
    <w:rsid w:val="00917995"/>
    <w:rsid w:val="00925C4E"/>
    <w:rsid w:val="00931E29"/>
    <w:rsid w:val="00934340"/>
    <w:rsid w:val="00943238"/>
    <w:rsid w:val="00950DDA"/>
    <w:rsid w:val="00952DD5"/>
    <w:rsid w:val="00956890"/>
    <w:rsid w:val="00956DC7"/>
    <w:rsid w:val="00961BEB"/>
    <w:rsid w:val="00962383"/>
    <w:rsid w:val="00966CD3"/>
    <w:rsid w:val="00975789"/>
    <w:rsid w:val="00987A20"/>
    <w:rsid w:val="009953C3"/>
    <w:rsid w:val="00997794"/>
    <w:rsid w:val="009A0E15"/>
    <w:rsid w:val="009A32CE"/>
    <w:rsid w:val="009A35B1"/>
    <w:rsid w:val="009A3D78"/>
    <w:rsid w:val="009B14A1"/>
    <w:rsid w:val="009B666C"/>
    <w:rsid w:val="009C3A42"/>
    <w:rsid w:val="009C54DE"/>
    <w:rsid w:val="009C7FD1"/>
    <w:rsid w:val="009D4037"/>
    <w:rsid w:val="009D4C9F"/>
    <w:rsid w:val="009D636D"/>
    <w:rsid w:val="009D6382"/>
    <w:rsid w:val="009D688B"/>
    <w:rsid w:val="009D7952"/>
    <w:rsid w:val="009E136A"/>
    <w:rsid w:val="009E4567"/>
    <w:rsid w:val="009E4825"/>
    <w:rsid w:val="009F0592"/>
    <w:rsid w:val="009F2189"/>
    <w:rsid w:val="009F4472"/>
    <w:rsid w:val="009F6879"/>
    <w:rsid w:val="00A01826"/>
    <w:rsid w:val="00A04629"/>
    <w:rsid w:val="00A050D4"/>
    <w:rsid w:val="00A10353"/>
    <w:rsid w:val="00A20E72"/>
    <w:rsid w:val="00A246DC"/>
    <w:rsid w:val="00A274C3"/>
    <w:rsid w:val="00A277F1"/>
    <w:rsid w:val="00A30075"/>
    <w:rsid w:val="00A309DE"/>
    <w:rsid w:val="00A31F58"/>
    <w:rsid w:val="00A4060A"/>
    <w:rsid w:val="00A4263D"/>
    <w:rsid w:val="00A47BAF"/>
    <w:rsid w:val="00A53C2F"/>
    <w:rsid w:val="00A540A8"/>
    <w:rsid w:val="00A542D3"/>
    <w:rsid w:val="00A55212"/>
    <w:rsid w:val="00A56D9A"/>
    <w:rsid w:val="00A5784F"/>
    <w:rsid w:val="00A61E38"/>
    <w:rsid w:val="00A64B23"/>
    <w:rsid w:val="00A663DC"/>
    <w:rsid w:val="00A70C79"/>
    <w:rsid w:val="00A72006"/>
    <w:rsid w:val="00A8436E"/>
    <w:rsid w:val="00A95B66"/>
    <w:rsid w:val="00AA3A7A"/>
    <w:rsid w:val="00AA6450"/>
    <w:rsid w:val="00AB16D3"/>
    <w:rsid w:val="00AB2428"/>
    <w:rsid w:val="00AC2CCB"/>
    <w:rsid w:val="00AC3DF4"/>
    <w:rsid w:val="00AC50CE"/>
    <w:rsid w:val="00AC5353"/>
    <w:rsid w:val="00AE0667"/>
    <w:rsid w:val="00AE0FAA"/>
    <w:rsid w:val="00AE22B0"/>
    <w:rsid w:val="00AF05DE"/>
    <w:rsid w:val="00AF0DB2"/>
    <w:rsid w:val="00AF1CCD"/>
    <w:rsid w:val="00AF2D8B"/>
    <w:rsid w:val="00AF5271"/>
    <w:rsid w:val="00B02A6F"/>
    <w:rsid w:val="00B03241"/>
    <w:rsid w:val="00B16F8D"/>
    <w:rsid w:val="00B2395B"/>
    <w:rsid w:val="00B243E6"/>
    <w:rsid w:val="00B25A61"/>
    <w:rsid w:val="00B31C06"/>
    <w:rsid w:val="00B35B53"/>
    <w:rsid w:val="00B41E0A"/>
    <w:rsid w:val="00B42549"/>
    <w:rsid w:val="00B47B7D"/>
    <w:rsid w:val="00B50492"/>
    <w:rsid w:val="00B536FC"/>
    <w:rsid w:val="00B56DE0"/>
    <w:rsid w:val="00B64B34"/>
    <w:rsid w:val="00B70426"/>
    <w:rsid w:val="00B71F12"/>
    <w:rsid w:val="00B76FEC"/>
    <w:rsid w:val="00B80E7A"/>
    <w:rsid w:val="00B81FFD"/>
    <w:rsid w:val="00B843BA"/>
    <w:rsid w:val="00B862DA"/>
    <w:rsid w:val="00B96B1E"/>
    <w:rsid w:val="00BA04F1"/>
    <w:rsid w:val="00BA3BC8"/>
    <w:rsid w:val="00BA70FE"/>
    <w:rsid w:val="00BA7939"/>
    <w:rsid w:val="00BB2A6F"/>
    <w:rsid w:val="00BD1614"/>
    <w:rsid w:val="00BD382C"/>
    <w:rsid w:val="00BD452F"/>
    <w:rsid w:val="00BD5DA6"/>
    <w:rsid w:val="00BE74E0"/>
    <w:rsid w:val="00BF7D25"/>
    <w:rsid w:val="00C010C0"/>
    <w:rsid w:val="00C03045"/>
    <w:rsid w:val="00C11443"/>
    <w:rsid w:val="00C16A38"/>
    <w:rsid w:val="00C31634"/>
    <w:rsid w:val="00C35C7D"/>
    <w:rsid w:val="00C35F47"/>
    <w:rsid w:val="00C40CB5"/>
    <w:rsid w:val="00C40D64"/>
    <w:rsid w:val="00C41260"/>
    <w:rsid w:val="00C45E04"/>
    <w:rsid w:val="00C54CE6"/>
    <w:rsid w:val="00C575E2"/>
    <w:rsid w:val="00C71CB5"/>
    <w:rsid w:val="00C7368B"/>
    <w:rsid w:val="00C75E6C"/>
    <w:rsid w:val="00C769AF"/>
    <w:rsid w:val="00C810AB"/>
    <w:rsid w:val="00C92746"/>
    <w:rsid w:val="00C938EF"/>
    <w:rsid w:val="00CA146C"/>
    <w:rsid w:val="00CA366A"/>
    <w:rsid w:val="00CA3A62"/>
    <w:rsid w:val="00CA4839"/>
    <w:rsid w:val="00CB5A83"/>
    <w:rsid w:val="00CC32B4"/>
    <w:rsid w:val="00CC3E00"/>
    <w:rsid w:val="00CC4DC5"/>
    <w:rsid w:val="00CD01CC"/>
    <w:rsid w:val="00CD1B41"/>
    <w:rsid w:val="00CE0859"/>
    <w:rsid w:val="00CE1A7C"/>
    <w:rsid w:val="00CE2E68"/>
    <w:rsid w:val="00CE5D2F"/>
    <w:rsid w:val="00CF5980"/>
    <w:rsid w:val="00CF7C92"/>
    <w:rsid w:val="00D01F14"/>
    <w:rsid w:val="00D026ED"/>
    <w:rsid w:val="00D0464B"/>
    <w:rsid w:val="00D12AAD"/>
    <w:rsid w:val="00D12C74"/>
    <w:rsid w:val="00D13AB0"/>
    <w:rsid w:val="00D1645C"/>
    <w:rsid w:val="00D209F2"/>
    <w:rsid w:val="00D2121B"/>
    <w:rsid w:val="00D2263F"/>
    <w:rsid w:val="00D30357"/>
    <w:rsid w:val="00D31B4B"/>
    <w:rsid w:val="00D368C3"/>
    <w:rsid w:val="00D56483"/>
    <w:rsid w:val="00D5658F"/>
    <w:rsid w:val="00D56AD6"/>
    <w:rsid w:val="00D70019"/>
    <w:rsid w:val="00D73F9E"/>
    <w:rsid w:val="00D74B58"/>
    <w:rsid w:val="00D75D01"/>
    <w:rsid w:val="00D77F1F"/>
    <w:rsid w:val="00D80461"/>
    <w:rsid w:val="00D80CC1"/>
    <w:rsid w:val="00D82ABE"/>
    <w:rsid w:val="00D86C80"/>
    <w:rsid w:val="00D902A7"/>
    <w:rsid w:val="00D90FE4"/>
    <w:rsid w:val="00D93B27"/>
    <w:rsid w:val="00D971BB"/>
    <w:rsid w:val="00DA48E6"/>
    <w:rsid w:val="00DA4ABA"/>
    <w:rsid w:val="00DA685B"/>
    <w:rsid w:val="00DA742B"/>
    <w:rsid w:val="00DB4CC9"/>
    <w:rsid w:val="00DB4DF8"/>
    <w:rsid w:val="00DC2CA3"/>
    <w:rsid w:val="00DD2E1A"/>
    <w:rsid w:val="00DD360E"/>
    <w:rsid w:val="00DE02E4"/>
    <w:rsid w:val="00DF1AA1"/>
    <w:rsid w:val="00DF25C1"/>
    <w:rsid w:val="00DF2F24"/>
    <w:rsid w:val="00DF48F7"/>
    <w:rsid w:val="00DF4964"/>
    <w:rsid w:val="00DF4D73"/>
    <w:rsid w:val="00DF79B0"/>
    <w:rsid w:val="00E021AC"/>
    <w:rsid w:val="00E1047D"/>
    <w:rsid w:val="00E10554"/>
    <w:rsid w:val="00E13B25"/>
    <w:rsid w:val="00E14AA5"/>
    <w:rsid w:val="00E15601"/>
    <w:rsid w:val="00E15893"/>
    <w:rsid w:val="00E3285D"/>
    <w:rsid w:val="00E34873"/>
    <w:rsid w:val="00E35906"/>
    <w:rsid w:val="00E40100"/>
    <w:rsid w:val="00E4410B"/>
    <w:rsid w:val="00E443FA"/>
    <w:rsid w:val="00E54FCE"/>
    <w:rsid w:val="00E60DA1"/>
    <w:rsid w:val="00E67970"/>
    <w:rsid w:val="00E713D1"/>
    <w:rsid w:val="00E72AB9"/>
    <w:rsid w:val="00E72C35"/>
    <w:rsid w:val="00E87AFB"/>
    <w:rsid w:val="00E9020B"/>
    <w:rsid w:val="00E93D35"/>
    <w:rsid w:val="00E9409C"/>
    <w:rsid w:val="00E95F7C"/>
    <w:rsid w:val="00EA0074"/>
    <w:rsid w:val="00EA1235"/>
    <w:rsid w:val="00EA1D18"/>
    <w:rsid w:val="00EA3A42"/>
    <w:rsid w:val="00EA45DB"/>
    <w:rsid w:val="00EB5A1C"/>
    <w:rsid w:val="00EB78F7"/>
    <w:rsid w:val="00EC079D"/>
    <w:rsid w:val="00EC769C"/>
    <w:rsid w:val="00ED1136"/>
    <w:rsid w:val="00ED18AF"/>
    <w:rsid w:val="00ED2695"/>
    <w:rsid w:val="00ED2CD9"/>
    <w:rsid w:val="00EE13EF"/>
    <w:rsid w:val="00EE2852"/>
    <w:rsid w:val="00EE4C0F"/>
    <w:rsid w:val="00F04954"/>
    <w:rsid w:val="00F049D0"/>
    <w:rsid w:val="00F04ED1"/>
    <w:rsid w:val="00F05A8A"/>
    <w:rsid w:val="00F07DA7"/>
    <w:rsid w:val="00F10029"/>
    <w:rsid w:val="00F10613"/>
    <w:rsid w:val="00F11B2E"/>
    <w:rsid w:val="00F1241A"/>
    <w:rsid w:val="00F164AC"/>
    <w:rsid w:val="00F23792"/>
    <w:rsid w:val="00F319E1"/>
    <w:rsid w:val="00F334D1"/>
    <w:rsid w:val="00F43DE4"/>
    <w:rsid w:val="00F53C00"/>
    <w:rsid w:val="00F564C1"/>
    <w:rsid w:val="00F600B3"/>
    <w:rsid w:val="00F6177A"/>
    <w:rsid w:val="00F67675"/>
    <w:rsid w:val="00F77FA2"/>
    <w:rsid w:val="00F804E5"/>
    <w:rsid w:val="00F8357A"/>
    <w:rsid w:val="00F84546"/>
    <w:rsid w:val="00F906D3"/>
    <w:rsid w:val="00F944EC"/>
    <w:rsid w:val="00F95E30"/>
    <w:rsid w:val="00FA1B77"/>
    <w:rsid w:val="00FA50E0"/>
    <w:rsid w:val="00FB0B03"/>
    <w:rsid w:val="00FB4B65"/>
    <w:rsid w:val="00FB4D0A"/>
    <w:rsid w:val="00FB74B8"/>
    <w:rsid w:val="00FC49E0"/>
    <w:rsid w:val="00FD1EC4"/>
    <w:rsid w:val="00FD2540"/>
    <w:rsid w:val="00FD356F"/>
    <w:rsid w:val="00FD5D51"/>
    <w:rsid w:val="00FF0484"/>
    <w:rsid w:val="00FF4E56"/>
    <w:rsid w:val="00FF58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2F7E724"/>
  <w15:docId w15:val="{F7996034-3CD0-499A-8D2F-018CE164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0E6"/>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5A4EFD"/>
    <w:pPr>
      <w:keepNext/>
      <w:keepLines/>
      <w:spacing w:before="480"/>
      <w:ind w:left="567" w:hanging="567"/>
      <w:outlineLvl w:val="0"/>
    </w:pPr>
    <w:rPr>
      <w:b/>
      <w:sz w:val="28"/>
    </w:rPr>
  </w:style>
  <w:style w:type="paragraph" w:styleId="Heading2">
    <w:name w:val="heading 2"/>
    <w:basedOn w:val="Heading1"/>
    <w:next w:val="Normal"/>
    <w:link w:val="Heading2Char"/>
    <w:qFormat/>
    <w:rsid w:val="00686973"/>
    <w:pPr>
      <w:spacing w:before="320"/>
      <w:outlineLvl w:val="1"/>
    </w:pPr>
    <w:rPr>
      <w:sz w:val="24"/>
    </w:rPr>
  </w:style>
  <w:style w:type="paragraph" w:styleId="Heading3">
    <w:name w:val="heading 3"/>
    <w:basedOn w:val="Heading1"/>
    <w:next w:val="Normal"/>
    <w:link w:val="Heading3Char"/>
    <w:qFormat/>
    <w:rsid w:val="00686973"/>
    <w:pPr>
      <w:spacing w:before="200"/>
      <w:outlineLvl w:val="2"/>
    </w:pPr>
    <w:rPr>
      <w:sz w:val="24"/>
    </w:rPr>
  </w:style>
  <w:style w:type="paragraph" w:styleId="Heading4">
    <w:name w:val="heading 4"/>
    <w:basedOn w:val="Heading3"/>
    <w:next w:val="Normal"/>
    <w:link w:val="Heading4Char"/>
    <w:qFormat/>
    <w:rsid w:val="003A0B7D"/>
    <w:pPr>
      <w:ind w:left="1134" w:hanging="1134"/>
      <w:outlineLvl w:val="3"/>
    </w:pPr>
  </w:style>
  <w:style w:type="paragraph" w:styleId="Heading5">
    <w:name w:val="heading 5"/>
    <w:basedOn w:val="Heading4"/>
    <w:next w:val="Normal"/>
    <w:link w:val="Heading5Char"/>
    <w:qFormat/>
    <w:rsid w:val="003A0B7D"/>
    <w:pPr>
      <w:outlineLvl w:val="4"/>
    </w:pPr>
  </w:style>
  <w:style w:type="paragraph" w:styleId="Heading6">
    <w:name w:val="heading 6"/>
    <w:basedOn w:val="Heading4"/>
    <w:next w:val="Normal"/>
    <w:link w:val="Heading6Char"/>
    <w:qFormat/>
    <w:rsid w:val="003A0B7D"/>
    <w:pPr>
      <w:outlineLvl w:val="5"/>
    </w:pPr>
  </w:style>
  <w:style w:type="paragraph" w:styleId="Heading7">
    <w:name w:val="heading 7"/>
    <w:basedOn w:val="Heading4"/>
    <w:next w:val="Normal"/>
    <w:link w:val="Heading7Char"/>
    <w:qFormat/>
    <w:rsid w:val="003A0B7D"/>
    <w:pPr>
      <w:ind w:left="1701" w:hanging="1701"/>
      <w:outlineLvl w:val="6"/>
    </w:pPr>
  </w:style>
  <w:style w:type="paragraph" w:styleId="Heading8">
    <w:name w:val="heading 8"/>
    <w:basedOn w:val="Heading4"/>
    <w:next w:val="Normal"/>
    <w:link w:val="Heading8Char"/>
    <w:qFormat/>
    <w:rsid w:val="003A0B7D"/>
    <w:pPr>
      <w:ind w:left="1701" w:hanging="1701"/>
      <w:outlineLvl w:val="7"/>
    </w:pPr>
  </w:style>
  <w:style w:type="paragraph" w:styleId="Heading9">
    <w:name w:val="heading 9"/>
    <w:basedOn w:val="Heading4"/>
    <w:next w:val="Normal"/>
    <w:link w:val="Heading9Char"/>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uiPriority w:val="39"/>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link w:val="FooterChar"/>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NECG) Footnote Reference,Appel note de ba... + Bold,Appel note de bas de p,Exposant 3 Point,FR,Footnote,Footnote symbol,Fuكnotenzeichen diss neu,Odwołanie przypisu,Style 12,Style 124,Style 13,Style 3,Times 10 Point,Voetnootverwijzing"/>
    <w:basedOn w:val="DefaultParagraphFont"/>
    <w:uiPriority w:val="99"/>
    <w:rsid w:val="005A4EFD"/>
    <w:rPr>
      <w:rFonts w:ascii="Calibri" w:hAnsi="Calibri"/>
      <w:position w:val="6"/>
      <w:sz w:val="16"/>
    </w:rPr>
  </w:style>
  <w:style w:type="paragraph" w:styleId="FootnoteText">
    <w:name w:val="footnote text"/>
    <w:aliases w:val="ALTS FOOTNOTE,Char,Footnote Text Char Char,Footnote Text Char Char Char Char,Footnote Text Char Char Char Char Char,Footnote text,Fußn,MTFootnote,Schriftart: 10 pt,Schriftart: 8 pt,Schriftart: 9 pt,WB-Fußnotentext,WB-Fuكnotentext,fn"/>
    <w:basedOn w:val="Normal"/>
    <w:link w:val="FootnoteTextChar"/>
    <w:uiPriority w:val="99"/>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link w:val="TabletextChar"/>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link w:val="enumlev1Char"/>
    <w:qFormat/>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uiPriority w:val="39"/>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aliases w:val="超级链接,Style 58,超?级链,超????,하이퍼링크2,하이퍼링크21,超链接1,CEO_Hyperlink"/>
    <w:basedOn w:val="DefaultParagraphFont"/>
    <w:uiPriority w:val="99"/>
    <w:qFormat/>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8B61AF"/>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uiPriority w:val="99"/>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customStyle="1" w:styleId="OP">
    <w:name w:val="OP"/>
    <w:basedOn w:val="Normal"/>
    <w:next w:val="Normal"/>
    <w:qFormat/>
    <w:rsid w:val="00D5658F"/>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lang w:val="en-GB"/>
    </w:rPr>
  </w:style>
  <w:style w:type="paragraph" w:customStyle="1" w:styleId="OPtitle">
    <w:name w:val="OP_title"/>
    <w:basedOn w:val="Normal"/>
    <w:next w:val="Normalaftertitle"/>
    <w:qFormat/>
    <w:rsid w:val="00D5658F"/>
    <w:pPr>
      <w:jc w:val="center"/>
    </w:pPr>
    <w:rPr>
      <w:b/>
      <w:bCs/>
      <w:lang w:val="en-GB"/>
    </w:rPr>
  </w:style>
  <w:style w:type="paragraph" w:customStyle="1" w:styleId="VolumeTitle">
    <w:name w:val="VolumeTitle"/>
    <w:basedOn w:val="Normal"/>
    <w:next w:val="Normal"/>
    <w:rsid w:val="00270B2F"/>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6710E6"/>
    <w:rPr>
      <w:color w:val="auto"/>
    </w:rPr>
  </w:style>
  <w:style w:type="character" w:customStyle="1" w:styleId="Heading1Char">
    <w:name w:val="Heading 1 Char"/>
    <w:basedOn w:val="DefaultParagraphFont"/>
    <w:link w:val="Heading1"/>
    <w:rsid w:val="00D80461"/>
    <w:rPr>
      <w:rFonts w:ascii="Calibri" w:hAnsi="Calibri"/>
      <w:b/>
      <w:sz w:val="28"/>
      <w:lang w:val="fr-FR" w:eastAsia="en-US"/>
    </w:rPr>
  </w:style>
  <w:style w:type="character" w:customStyle="1" w:styleId="Heading2Char">
    <w:name w:val="Heading 2 Char"/>
    <w:basedOn w:val="DefaultParagraphFont"/>
    <w:link w:val="Heading2"/>
    <w:rsid w:val="00D80461"/>
    <w:rPr>
      <w:rFonts w:ascii="Calibri" w:hAnsi="Calibri"/>
      <w:b/>
      <w:sz w:val="24"/>
      <w:lang w:val="fr-FR" w:eastAsia="en-US"/>
    </w:rPr>
  </w:style>
  <w:style w:type="character" w:customStyle="1" w:styleId="Heading3Char">
    <w:name w:val="Heading 3 Char"/>
    <w:basedOn w:val="DefaultParagraphFont"/>
    <w:link w:val="Heading3"/>
    <w:rsid w:val="00D80461"/>
    <w:rPr>
      <w:rFonts w:ascii="Calibri" w:hAnsi="Calibri"/>
      <w:b/>
      <w:sz w:val="24"/>
      <w:lang w:val="fr-FR" w:eastAsia="en-US"/>
    </w:rPr>
  </w:style>
  <w:style w:type="character" w:customStyle="1" w:styleId="Heading4Char">
    <w:name w:val="Heading 4 Char"/>
    <w:basedOn w:val="DefaultParagraphFont"/>
    <w:link w:val="Heading4"/>
    <w:rsid w:val="00D80461"/>
    <w:rPr>
      <w:rFonts w:ascii="Calibri" w:hAnsi="Calibri"/>
      <w:b/>
      <w:sz w:val="24"/>
      <w:lang w:val="fr-FR" w:eastAsia="en-US"/>
    </w:rPr>
  </w:style>
  <w:style w:type="character" w:customStyle="1" w:styleId="Heading5Char">
    <w:name w:val="Heading 5 Char"/>
    <w:basedOn w:val="DefaultParagraphFont"/>
    <w:link w:val="Heading5"/>
    <w:rsid w:val="00D80461"/>
    <w:rPr>
      <w:rFonts w:ascii="Calibri" w:hAnsi="Calibri"/>
      <w:b/>
      <w:sz w:val="24"/>
      <w:lang w:val="fr-FR" w:eastAsia="en-US"/>
    </w:rPr>
  </w:style>
  <w:style w:type="character" w:customStyle="1" w:styleId="Heading6Char">
    <w:name w:val="Heading 6 Char"/>
    <w:basedOn w:val="DefaultParagraphFont"/>
    <w:link w:val="Heading6"/>
    <w:rsid w:val="00D80461"/>
    <w:rPr>
      <w:rFonts w:ascii="Calibri" w:hAnsi="Calibri"/>
      <w:b/>
      <w:sz w:val="24"/>
      <w:lang w:val="fr-FR" w:eastAsia="en-US"/>
    </w:rPr>
  </w:style>
  <w:style w:type="character" w:customStyle="1" w:styleId="Heading7Char">
    <w:name w:val="Heading 7 Char"/>
    <w:basedOn w:val="DefaultParagraphFont"/>
    <w:link w:val="Heading7"/>
    <w:rsid w:val="00D80461"/>
    <w:rPr>
      <w:rFonts w:ascii="Calibri" w:hAnsi="Calibri"/>
      <w:b/>
      <w:sz w:val="24"/>
      <w:lang w:val="fr-FR" w:eastAsia="en-US"/>
    </w:rPr>
  </w:style>
  <w:style w:type="character" w:customStyle="1" w:styleId="Heading8Char">
    <w:name w:val="Heading 8 Char"/>
    <w:basedOn w:val="DefaultParagraphFont"/>
    <w:link w:val="Heading8"/>
    <w:rsid w:val="00D80461"/>
    <w:rPr>
      <w:rFonts w:ascii="Calibri" w:hAnsi="Calibri"/>
      <w:b/>
      <w:sz w:val="24"/>
      <w:lang w:val="fr-FR" w:eastAsia="en-US"/>
    </w:rPr>
  </w:style>
  <w:style w:type="character" w:customStyle="1" w:styleId="Heading9Char">
    <w:name w:val="Heading 9 Char"/>
    <w:basedOn w:val="DefaultParagraphFont"/>
    <w:link w:val="Heading9"/>
    <w:rsid w:val="00D80461"/>
    <w:rPr>
      <w:rFonts w:ascii="Calibri" w:hAnsi="Calibri"/>
      <w:b/>
      <w:sz w:val="24"/>
      <w:lang w:val="fr-FR" w:eastAsia="en-US"/>
    </w:rPr>
  </w:style>
  <w:style w:type="paragraph" w:styleId="Index7">
    <w:name w:val="index 7"/>
    <w:basedOn w:val="Normal"/>
    <w:next w:val="Normal"/>
    <w:rsid w:val="00D80461"/>
    <w:pPr>
      <w:ind w:left="1698"/>
    </w:pPr>
  </w:style>
  <w:style w:type="paragraph" w:styleId="Index6">
    <w:name w:val="index 6"/>
    <w:basedOn w:val="Normal"/>
    <w:next w:val="Normal"/>
    <w:rsid w:val="00D80461"/>
    <w:pPr>
      <w:ind w:left="1415"/>
    </w:pPr>
  </w:style>
  <w:style w:type="paragraph" w:styleId="Index5">
    <w:name w:val="index 5"/>
    <w:basedOn w:val="Normal"/>
    <w:next w:val="Normal"/>
    <w:rsid w:val="00D80461"/>
    <w:pPr>
      <w:ind w:left="1132"/>
    </w:pPr>
  </w:style>
  <w:style w:type="paragraph" w:styleId="Index4">
    <w:name w:val="index 4"/>
    <w:basedOn w:val="Normal"/>
    <w:next w:val="Normal"/>
    <w:rsid w:val="00D80461"/>
    <w:pPr>
      <w:ind w:left="849"/>
    </w:pPr>
  </w:style>
  <w:style w:type="paragraph" w:styleId="Index3">
    <w:name w:val="index 3"/>
    <w:basedOn w:val="Normal"/>
    <w:next w:val="Normal"/>
    <w:rsid w:val="00D80461"/>
    <w:pPr>
      <w:ind w:left="566"/>
    </w:pPr>
  </w:style>
  <w:style w:type="paragraph" w:styleId="Index2">
    <w:name w:val="index 2"/>
    <w:basedOn w:val="Normal"/>
    <w:next w:val="Normal"/>
    <w:rsid w:val="00D80461"/>
    <w:pPr>
      <w:ind w:left="283"/>
    </w:pPr>
  </w:style>
  <w:style w:type="paragraph" w:styleId="Index1">
    <w:name w:val="index 1"/>
    <w:basedOn w:val="Normal"/>
    <w:next w:val="Normal"/>
    <w:rsid w:val="00D80461"/>
  </w:style>
  <w:style w:type="character" w:styleId="LineNumber">
    <w:name w:val="line number"/>
    <w:basedOn w:val="DefaultParagraphFont"/>
    <w:rsid w:val="00D80461"/>
  </w:style>
  <w:style w:type="paragraph" w:styleId="IndexHeading">
    <w:name w:val="index heading"/>
    <w:basedOn w:val="Normal"/>
    <w:next w:val="Index1"/>
    <w:rsid w:val="00D80461"/>
  </w:style>
  <w:style w:type="character" w:customStyle="1" w:styleId="FooterChar">
    <w:name w:val="Footer Char"/>
    <w:basedOn w:val="DefaultParagraphFont"/>
    <w:link w:val="Footer"/>
    <w:rsid w:val="00D80461"/>
    <w:rPr>
      <w:rFonts w:ascii="Calibri" w:hAnsi="Calibri"/>
      <w:caps/>
      <w:noProof/>
      <w:sz w:val="16"/>
      <w:lang w:val="fr-FR" w:eastAsia="en-US"/>
    </w:rPr>
  </w:style>
  <w:style w:type="character" w:customStyle="1" w:styleId="FootnoteTextChar">
    <w:name w:val="Footnote Text Char"/>
    <w:aliases w:val="ALTS FOOTNOTE Char,Char Char,Footnote Text Char Char Char,Footnote Text Char Char Char Char Char1,Footnote Text Char Char Char Char Char Char,Footnote text Char,Fußn Char,MTFootnote Char,Schriftart: 10 pt Char,Schriftart: 8 pt Char"/>
    <w:basedOn w:val="DefaultParagraphFont"/>
    <w:link w:val="FootnoteText"/>
    <w:uiPriority w:val="99"/>
    <w:rsid w:val="00D80461"/>
    <w:rPr>
      <w:rFonts w:ascii="Calibri" w:hAnsi="Calibri"/>
      <w:sz w:val="24"/>
      <w:lang w:val="fr-FR" w:eastAsia="en-US"/>
    </w:rPr>
  </w:style>
  <w:style w:type="character" w:customStyle="1" w:styleId="enumlev1Char">
    <w:name w:val="enumlev1 Char"/>
    <w:basedOn w:val="DefaultParagraphFont"/>
    <w:link w:val="enumlev1"/>
    <w:uiPriority w:val="99"/>
    <w:locked/>
    <w:rsid w:val="00D80461"/>
    <w:rPr>
      <w:rFonts w:ascii="Calibri" w:hAnsi="Calibri"/>
      <w:sz w:val="24"/>
      <w:lang w:val="fr-FR" w:eastAsia="en-US"/>
    </w:rPr>
  </w:style>
  <w:style w:type="paragraph" w:customStyle="1" w:styleId="Equation">
    <w:name w:val="Equation"/>
    <w:basedOn w:val="Normal"/>
    <w:rsid w:val="00D80461"/>
    <w:pPr>
      <w:tabs>
        <w:tab w:val="center" w:pos="4820"/>
        <w:tab w:val="right" w:pos="9639"/>
      </w:tabs>
    </w:pPr>
  </w:style>
  <w:style w:type="paragraph" w:customStyle="1" w:styleId="Head">
    <w:name w:val="Head"/>
    <w:basedOn w:val="Normal"/>
    <w:rsid w:val="00D80461"/>
    <w:pPr>
      <w:tabs>
        <w:tab w:val="left" w:pos="6663"/>
      </w:tabs>
      <w:overflowPunct/>
      <w:autoSpaceDE/>
      <w:autoSpaceDN/>
      <w:adjustRightInd/>
      <w:spacing w:before="0"/>
      <w:textAlignment w:val="auto"/>
    </w:pPr>
  </w:style>
  <w:style w:type="paragraph" w:styleId="List">
    <w:name w:val="List"/>
    <w:basedOn w:val="Normal"/>
    <w:rsid w:val="00D80461"/>
    <w:pPr>
      <w:tabs>
        <w:tab w:val="left" w:pos="2127"/>
      </w:tabs>
      <w:ind w:left="2127" w:hanging="2127"/>
    </w:pPr>
  </w:style>
  <w:style w:type="paragraph" w:customStyle="1" w:styleId="meeting">
    <w:name w:val="meeting"/>
    <w:basedOn w:val="Head"/>
    <w:next w:val="Head"/>
    <w:rsid w:val="00D80461"/>
    <w:pPr>
      <w:tabs>
        <w:tab w:val="left" w:pos="7371"/>
      </w:tabs>
      <w:spacing w:after="567"/>
    </w:pPr>
  </w:style>
  <w:style w:type="paragraph" w:customStyle="1" w:styleId="Subject">
    <w:name w:val="Subject"/>
    <w:basedOn w:val="Normal"/>
    <w:next w:val="Source"/>
    <w:rsid w:val="00D80461"/>
    <w:pPr>
      <w:tabs>
        <w:tab w:val="left" w:pos="709"/>
      </w:tabs>
      <w:spacing w:before="0"/>
      <w:ind w:left="709" w:hanging="709"/>
    </w:pPr>
  </w:style>
  <w:style w:type="paragraph" w:customStyle="1" w:styleId="Object">
    <w:name w:val="Object"/>
    <w:basedOn w:val="Subject"/>
    <w:next w:val="Subject"/>
    <w:rsid w:val="00D80461"/>
  </w:style>
  <w:style w:type="paragraph" w:customStyle="1" w:styleId="Data">
    <w:name w:val="Data"/>
    <w:basedOn w:val="Subject"/>
    <w:next w:val="Subject"/>
    <w:rsid w:val="00D80461"/>
  </w:style>
  <w:style w:type="paragraph" w:customStyle="1" w:styleId="dnum">
    <w:name w:val="dnum"/>
    <w:basedOn w:val="Normal"/>
    <w:rsid w:val="00D80461"/>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D80461"/>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D80461"/>
    <w:pPr>
      <w:framePr w:hSpace="181" w:wrap="notBeside" w:vAnchor="page" w:hAnchor="margin" w:x="1" w:y="852"/>
      <w:shd w:val="solid" w:color="FFFFFF" w:fill="FFFFFF"/>
      <w:tabs>
        <w:tab w:val="left" w:pos="1871"/>
      </w:tabs>
      <w:spacing w:before="0"/>
    </w:pPr>
    <w:rPr>
      <w:b/>
      <w:bCs/>
    </w:rPr>
  </w:style>
  <w:style w:type="character" w:styleId="FollowedHyperlink">
    <w:name w:val="FollowedHyperlink"/>
    <w:basedOn w:val="DefaultParagraphFont"/>
    <w:rsid w:val="00D80461"/>
    <w:rPr>
      <w:color w:val="800080"/>
      <w:u w:val="single"/>
    </w:rPr>
  </w:style>
  <w:style w:type="paragraph" w:customStyle="1" w:styleId="Equationlegend">
    <w:name w:val="Equation_legend"/>
    <w:basedOn w:val="NormalIndent"/>
    <w:rsid w:val="00D80461"/>
    <w:pPr>
      <w:tabs>
        <w:tab w:val="right" w:pos="1531"/>
      </w:tabs>
      <w:spacing w:before="80"/>
      <w:ind w:left="1701" w:hanging="1701"/>
    </w:pPr>
  </w:style>
  <w:style w:type="paragraph" w:customStyle="1" w:styleId="Figure">
    <w:name w:val="Figure"/>
    <w:basedOn w:val="Normal"/>
    <w:next w:val="Figuretitle"/>
    <w:rsid w:val="00D80461"/>
    <w:pPr>
      <w:keepNext/>
      <w:keepLines/>
      <w:spacing w:after="120"/>
      <w:jc w:val="center"/>
    </w:pPr>
  </w:style>
  <w:style w:type="paragraph" w:customStyle="1" w:styleId="Figuretitle">
    <w:name w:val="Figure_title"/>
    <w:basedOn w:val="Tabletitle"/>
    <w:next w:val="Normalaftertitle"/>
    <w:rsid w:val="00D80461"/>
    <w:pPr>
      <w:spacing w:before="240" w:after="480"/>
    </w:pPr>
  </w:style>
  <w:style w:type="character" w:customStyle="1" w:styleId="TabletextChar">
    <w:name w:val="Table_text Char"/>
    <w:basedOn w:val="DefaultParagraphFont"/>
    <w:link w:val="Tabletext"/>
    <w:locked/>
    <w:rsid w:val="00D80461"/>
    <w:rPr>
      <w:rFonts w:ascii="Calibri" w:hAnsi="Calibri"/>
      <w:sz w:val="22"/>
      <w:lang w:val="fr-FR" w:eastAsia="en-US"/>
    </w:rPr>
  </w:style>
  <w:style w:type="paragraph" w:customStyle="1" w:styleId="Figurelegend">
    <w:name w:val="Figure_legend"/>
    <w:basedOn w:val="Normal"/>
    <w:rsid w:val="00D80461"/>
    <w:pPr>
      <w:spacing w:before="20" w:after="20"/>
    </w:pPr>
    <w:rPr>
      <w:sz w:val="18"/>
    </w:rPr>
  </w:style>
  <w:style w:type="paragraph" w:customStyle="1" w:styleId="Figurewithouttitle">
    <w:name w:val="Figure_without_title"/>
    <w:basedOn w:val="Figure"/>
    <w:next w:val="Normalaftertitle"/>
    <w:rsid w:val="00D80461"/>
    <w:pPr>
      <w:keepNext w:val="0"/>
      <w:spacing w:after="240"/>
    </w:pPr>
  </w:style>
  <w:style w:type="paragraph" w:customStyle="1" w:styleId="PartNo">
    <w:name w:val="Part_No"/>
    <w:basedOn w:val="AnnexNo"/>
    <w:next w:val="Parttitle"/>
    <w:rsid w:val="00D80461"/>
  </w:style>
  <w:style w:type="paragraph" w:customStyle="1" w:styleId="Parttitle">
    <w:name w:val="Part_title"/>
    <w:basedOn w:val="Annextitle"/>
    <w:next w:val="Partref"/>
    <w:rsid w:val="00D80461"/>
  </w:style>
  <w:style w:type="paragraph" w:customStyle="1" w:styleId="Partref">
    <w:name w:val="Part_ref"/>
    <w:basedOn w:val="Annexref"/>
    <w:next w:val="Normalaftertitle"/>
    <w:rsid w:val="00D80461"/>
  </w:style>
  <w:style w:type="paragraph" w:customStyle="1" w:styleId="Recref">
    <w:name w:val="Rec_ref"/>
    <w:basedOn w:val="Rectitle"/>
    <w:next w:val="Recdate"/>
    <w:rsid w:val="00D80461"/>
    <w:pPr>
      <w:spacing w:before="120"/>
    </w:pPr>
    <w:rPr>
      <w:rFonts w:ascii="Times New Roman" w:hAnsi="Times New Roman"/>
      <w:b w:val="0"/>
      <w:sz w:val="24"/>
    </w:rPr>
  </w:style>
  <w:style w:type="paragraph" w:customStyle="1" w:styleId="Recdate">
    <w:name w:val="Rec_date"/>
    <w:basedOn w:val="Recref"/>
    <w:next w:val="Normalaftertitle"/>
    <w:rsid w:val="00D80461"/>
    <w:pPr>
      <w:jc w:val="right"/>
    </w:pPr>
    <w:rPr>
      <w:sz w:val="22"/>
    </w:rPr>
  </w:style>
  <w:style w:type="paragraph" w:customStyle="1" w:styleId="Questiondate">
    <w:name w:val="Question_date"/>
    <w:basedOn w:val="Recdate"/>
    <w:next w:val="Normalaftertitle"/>
    <w:rsid w:val="00D80461"/>
  </w:style>
  <w:style w:type="paragraph" w:customStyle="1" w:styleId="QuestionNo">
    <w:name w:val="Question_No"/>
    <w:basedOn w:val="RecNo"/>
    <w:next w:val="Questiontitle"/>
    <w:rsid w:val="00D80461"/>
  </w:style>
  <w:style w:type="paragraph" w:customStyle="1" w:styleId="Questiontitle">
    <w:name w:val="Question_title"/>
    <w:basedOn w:val="Rectitle"/>
    <w:next w:val="Questionref"/>
    <w:rsid w:val="00D80461"/>
  </w:style>
  <w:style w:type="paragraph" w:customStyle="1" w:styleId="Questionref">
    <w:name w:val="Question_ref"/>
    <w:basedOn w:val="Recref"/>
    <w:next w:val="Questiondate"/>
    <w:rsid w:val="00D80461"/>
  </w:style>
  <w:style w:type="paragraph" w:customStyle="1" w:styleId="Repdate">
    <w:name w:val="Rep_date"/>
    <w:basedOn w:val="Recdate"/>
    <w:next w:val="Normalaftertitle"/>
    <w:rsid w:val="00D80461"/>
  </w:style>
  <w:style w:type="paragraph" w:customStyle="1" w:styleId="RepNo">
    <w:name w:val="Rep_No"/>
    <w:basedOn w:val="RecNo"/>
    <w:next w:val="Reptitle"/>
    <w:rsid w:val="00D80461"/>
  </w:style>
  <w:style w:type="paragraph" w:customStyle="1" w:styleId="Reptitle">
    <w:name w:val="Rep_title"/>
    <w:basedOn w:val="Rectitle"/>
    <w:next w:val="Repref"/>
    <w:rsid w:val="00D80461"/>
  </w:style>
  <w:style w:type="paragraph" w:customStyle="1" w:styleId="Repref">
    <w:name w:val="Rep_ref"/>
    <w:basedOn w:val="Recref"/>
    <w:next w:val="Repdate"/>
    <w:rsid w:val="00D80461"/>
  </w:style>
  <w:style w:type="paragraph" w:customStyle="1" w:styleId="Resdate">
    <w:name w:val="Res_date"/>
    <w:basedOn w:val="Recdate"/>
    <w:next w:val="Normalaftertitle"/>
    <w:rsid w:val="00D80461"/>
  </w:style>
  <w:style w:type="paragraph" w:customStyle="1" w:styleId="Resref">
    <w:name w:val="Res_ref"/>
    <w:basedOn w:val="Recref"/>
    <w:next w:val="Resdate"/>
    <w:rsid w:val="00D80461"/>
  </w:style>
  <w:style w:type="paragraph" w:customStyle="1" w:styleId="SpecialFooter">
    <w:name w:val="Special Footer"/>
    <w:basedOn w:val="Footer"/>
    <w:rsid w:val="00D80461"/>
    <w:pPr>
      <w:tabs>
        <w:tab w:val="left" w:pos="567"/>
        <w:tab w:val="left" w:pos="1134"/>
        <w:tab w:val="left" w:pos="1701"/>
        <w:tab w:val="left" w:pos="2268"/>
        <w:tab w:val="left" w:pos="2835"/>
      </w:tabs>
      <w:jc w:val="both"/>
    </w:pPr>
    <w:rPr>
      <w:caps w:val="0"/>
      <w:noProof w:val="0"/>
    </w:rPr>
  </w:style>
  <w:style w:type="paragraph" w:customStyle="1" w:styleId="Tableref">
    <w:name w:val="Table_ref"/>
    <w:basedOn w:val="Normal"/>
    <w:next w:val="Tabletitle"/>
    <w:rsid w:val="00D80461"/>
    <w:pPr>
      <w:keepNext/>
      <w:spacing w:before="567"/>
      <w:jc w:val="center"/>
    </w:pPr>
  </w:style>
  <w:style w:type="paragraph" w:customStyle="1" w:styleId="Title4">
    <w:name w:val="Title 4"/>
    <w:basedOn w:val="Title3"/>
    <w:next w:val="Heading1"/>
    <w:rsid w:val="00D80461"/>
    <w:rPr>
      <w:b/>
    </w:rPr>
  </w:style>
  <w:style w:type="paragraph" w:customStyle="1" w:styleId="FigureNo">
    <w:name w:val="Figure_No"/>
    <w:basedOn w:val="Normal"/>
    <w:next w:val="Figuretitle"/>
    <w:rsid w:val="00D80461"/>
    <w:pPr>
      <w:keepNext/>
      <w:keepLines/>
      <w:spacing w:before="240" w:after="120"/>
      <w:jc w:val="center"/>
    </w:pPr>
    <w:rPr>
      <w:caps/>
    </w:rPr>
  </w:style>
  <w:style w:type="paragraph" w:customStyle="1" w:styleId="Table">
    <w:name w:val="Table_#"/>
    <w:basedOn w:val="Normal"/>
    <w:next w:val="Normal"/>
    <w:rsid w:val="00D8046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UnresolvedMention1">
    <w:name w:val="Unresolved Mention1"/>
    <w:basedOn w:val="DefaultParagraphFont"/>
    <w:uiPriority w:val="99"/>
    <w:unhideWhenUsed/>
    <w:rsid w:val="00D80461"/>
    <w:rPr>
      <w:color w:val="605E5C"/>
      <w:shd w:val="clear" w:color="auto" w:fill="E1DFDD"/>
    </w:rPr>
  </w:style>
  <w:style w:type="paragraph" w:customStyle="1" w:styleId="Tabletext0">
    <w:name w:val="Table text"/>
    <w:basedOn w:val="Normal"/>
    <w:link w:val="TabletextChar0"/>
    <w:qFormat/>
    <w:rsid w:val="00D80461"/>
    <w:pPr>
      <w:tabs>
        <w:tab w:val="clear" w:pos="567"/>
        <w:tab w:val="clear" w:pos="1134"/>
        <w:tab w:val="clear" w:pos="1701"/>
        <w:tab w:val="clear" w:pos="2268"/>
        <w:tab w:val="clear" w:pos="2835"/>
      </w:tabs>
      <w:overflowPunct/>
      <w:autoSpaceDE/>
      <w:autoSpaceDN/>
      <w:adjustRightInd/>
      <w:spacing w:before="40" w:after="40"/>
      <w:textAlignment w:val="auto"/>
    </w:pPr>
    <w:rPr>
      <w:rFonts w:asciiTheme="minorHAnsi" w:eastAsiaTheme="minorEastAsia" w:hAnsiTheme="minorHAnsi"/>
      <w:bCs/>
      <w:sz w:val="19"/>
      <w:szCs w:val="18"/>
      <w:lang w:val="en-US" w:eastAsia="fr-FR"/>
    </w:rPr>
  </w:style>
  <w:style w:type="character" w:customStyle="1" w:styleId="TabletextChar0">
    <w:name w:val="Table text Char"/>
    <w:basedOn w:val="DefaultParagraphFont"/>
    <w:link w:val="Tabletext0"/>
    <w:locked/>
    <w:rsid w:val="00D80461"/>
    <w:rPr>
      <w:rFonts w:asciiTheme="minorHAnsi" w:eastAsiaTheme="minorEastAsia" w:hAnsiTheme="minorHAnsi"/>
      <w:bCs/>
      <w:sz w:val="19"/>
      <w:szCs w:val="18"/>
      <w:lang w:eastAsia="fr-FR"/>
    </w:rPr>
  </w:style>
  <w:style w:type="table" w:styleId="ListTable3-Accent1">
    <w:name w:val="List Table 3 Accent 1"/>
    <w:basedOn w:val="TableNormal"/>
    <w:uiPriority w:val="48"/>
    <w:rsid w:val="00D80461"/>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textcentred">
    <w:name w:val="Table text centred"/>
    <w:basedOn w:val="Normal"/>
    <w:rsid w:val="00D80461"/>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table" w:styleId="TableGrid">
    <w:name w:val="Table Grid"/>
    <w:basedOn w:val="TableNormal"/>
    <w:uiPriority w:val="39"/>
    <w:rsid w:val="00D80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D80461"/>
    <w:rPr>
      <w:sz w:val="16"/>
      <w:szCs w:val="16"/>
    </w:rPr>
  </w:style>
  <w:style w:type="paragraph" w:styleId="CommentText">
    <w:name w:val="annotation text"/>
    <w:basedOn w:val="Normal"/>
    <w:link w:val="CommentTextChar"/>
    <w:unhideWhenUsed/>
    <w:rsid w:val="00D80461"/>
    <w:rPr>
      <w:sz w:val="20"/>
    </w:rPr>
  </w:style>
  <w:style w:type="character" w:customStyle="1" w:styleId="CommentTextChar">
    <w:name w:val="Comment Text Char"/>
    <w:basedOn w:val="DefaultParagraphFont"/>
    <w:link w:val="CommentText"/>
    <w:rsid w:val="00D80461"/>
    <w:rPr>
      <w:rFonts w:ascii="Calibri" w:hAnsi="Calibri"/>
      <w:lang w:val="fr-FR" w:eastAsia="en-US"/>
    </w:rPr>
  </w:style>
  <w:style w:type="paragraph" w:styleId="CommentSubject">
    <w:name w:val="annotation subject"/>
    <w:basedOn w:val="CommentText"/>
    <w:next w:val="CommentText"/>
    <w:link w:val="CommentSubjectChar"/>
    <w:semiHidden/>
    <w:unhideWhenUsed/>
    <w:rsid w:val="00D80461"/>
    <w:rPr>
      <w:b/>
      <w:bCs/>
    </w:rPr>
  </w:style>
  <w:style w:type="character" w:customStyle="1" w:styleId="CommentSubjectChar">
    <w:name w:val="Comment Subject Char"/>
    <w:basedOn w:val="CommentTextChar"/>
    <w:link w:val="CommentSubject"/>
    <w:semiHidden/>
    <w:rsid w:val="00D80461"/>
    <w:rPr>
      <w:rFonts w:ascii="Calibri" w:hAnsi="Calibri"/>
      <w:b/>
      <w:bCs/>
      <w:lang w:val="fr-FR" w:eastAsia="en-US"/>
    </w:rPr>
  </w:style>
  <w:style w:type="paragraph" w:styleId="Revision">
    <w:name w:val="Revision"/>
    <w:hidden/>
    <w:uiPriority w:val="99"/>
    <w:semiHidden/>
    <w:rsid w:val="00D80461"/>
    <w:rPr>
      <w:rFonts w:ascii="Calibri" w:hAnsi="Calibri"/>
      <w:sz w:val="24"/>
      <w:lang w:val="fr-FR" w:eastAsia="en-US"/>
    </w:rPr>
  </w:style>
  <w:style w:type="table" w:customStyle="1" w:styleId="TableGrid3">
    <w:name w:val="Table Grid3"/>
    <w:basedOn w:val="TableNormal"/>
    <w:next w:val="TableGrid"/>
    <w:uiPriority w:val="39"/>
    <w:rsid w:val="00D80461"/>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D80461"/>
    <w:pPr>
      <w:ind w:left="720"/>
      <w:contextualSpacing/>
    </w:p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D80461"/>
    <w:rPr>
      <w:rFonts w:ascii="Calibri" w:hAnsi="Calibri"/>
      <w:sz w:val="24"/>
      <w:lang w:val="fr-FR" w:eastAsia="en-US"/>
    </w:rPr>
  </w:style>
  <w:style w:type="table" w:customStyle="1" w:styleId="TableGrid2">
    <w:name w:val="Table Grid2"/>
    <w:basedOn w:val="TableNormal"/>
    <w:next w:val="TableGrid"/>
    <w:uiPriority w:val="39"/>
    <w:rsid w:val="00D804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D80461"/>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uiPriority w:val="39"/>
    <w:rsid w:val="00D80461"/>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804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80461"/>
  </w:style>
  <w:style w:type="table" w:customStyle="1" w:styleId="TableGrid1">
    <w:name w:val="Table Grid1"/>
    <w:basedOn w:val="TableNormal"/>
    <w:next w:val="TableGrid"/>
    <w:uiPriority w:val="39"/>
    <w:rsid w:val="00D804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804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804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80461"/>
    <w:rPr>
      <w:color w:val="605E5C"/>
      <w:shd w:val="clear" w:color="auto" w:fill="E1DFDD"/>
    </w:rPr>
  </w:style>
  <w:style w:type="paragraph" w:styleId="NormalWeb">
    <w:name w:val="Normal (Web)"/>
    <w:basedOn w:val="Normal"/>
    <w:uiPriority w:val="99"/>
    <w:semiHidden/>
    <w:unhideWhenUsed/>
    <w:rsid w:val="00D8046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Cs w:val="24"/>
      <w:lang w:val="en-US"/>
    </w:rPr>
  </w:style>
  <w:style w:type="character" w:customStyle="1" w:styleId="UnresolvedMention3">
    <w:name w:val="Unresolved Mention3"/>
    <w:basedOn w:val="DefaultParagraphFont"/>
    <w:uiPriority w:val="99"/>
    <w:semiHidden/>
    <w:unhideWhenUsed/>
    <w:rsid w:val="00D80461"/>
    <w:rPr>
      <w:color w:val="605E5C"/>
      <w:shd w:val="clear" w:color="auto" w:fill="E1DFDD"/>
    </w:rPr>
  </w:style>
  <w:style w:type="table" w:customStyle="1" w:styleId="ListTable3-Accent11">
    <w:name w:val="List Table 3 - Accent 11"/>
    <w:basedOn w:val="TableNormal"/>
    <w:uiPriority w:val="48"/>
    <w:rsid w:val="00D80461"/>
    <w:rPr>
      <w:rFonts w:asciiTheme="minorHAnsi" w:eastAsiaTheme="minorHAnsi" w:hAnsiTheme="minorHAnsi" w:cstheme="minorBidi"/>
      <w:sz w:val="22"/>
      <w:szCs w:val="22"/>
      <w:lang w:val="en-GB"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textrightaligned">
    <w:name w:val="Table text right aligned"/>
    <w:basedOn w:val="Normal"/>
    <w:rsid w:val="00D80461"/>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customStyle="1" w:styleId="H">
    <w:name w:val="H"/>
    <w:basedOn w:val="Normal"/>
    <w:rsid w:val="00D80461"/>
    <w:pPr>
      <w:jc w:val="both"/>
    </w:pPr>
    <w:rPr>
      <w:rFonts w:eastAsia="Calibri"/>
      <w:b/>
      <w:bCs/>
      <w:lang w:val="en-GB"/>
    </w:rPr>
  </w:style>
  <w:style w:type="paragraph" w:customStyle="1" w:styleId="noic">
    <w:name w:val="noic"/>
    <w:basedOn w:val="Headingb"/>
    <w:rsid w:val="00D80461"/>
    <w:rPr>
      <w:bCs/>
      <w:i/>
      <w:iCs/>
    </w:rPr>
  </w:style>
  <w:style w:type="character" w:customStyle="1" w:styleId="UnresolvedMention4">
    <w:name w:val="Unresolved Mention4"/>
    <w:basedOn w:val="DefaultParagraphFont"/>
    <w:uiPriority w:val="99"/>
    <w:semiHidden/>
    <w:unhideWhenUsed/>
    <w:rsid w:val="00D80461"/>
    <w:rPr>
      <w:color w:val="605E5C"/>
      <w:shd w:val="clear" w:color="auto" w:fill="E1DFDD"/>
    </w:rPr>
  </w:style>
  <w:style w:type="paragraph" w:customStyle="1" w:styleId="enumlev311pt">
    <w:name w:val="enumlev3+ 11 pt"/>
    <w:basedOn w:val="enumlev2"/>
    <w:rsid w:val="00D80461"/>
    <w:pPr>
      <w:numPr>
        <w:ilvl w:val="2"/>
        <w:numId w:val="11"/>
      </w:numPr>
    </w:pPr>
    <w:rPr>
      <w:sz w:val="22"/>
      <w:szCs w:val="22"/>
    </w:rPr>
  </w:style>
  <w:style w:type="paragraph" w:styleId="EndnoteText">
    <w:name w:val="endnote text"/>
    <w:basedOn w:val="Normal"/>
    <w:link w:val="EndnoteTextChar"/>
    <w:semiHidden/>
    <w:unhideWhenUsed/>
    <w:rsid w:val="00D80461"/>
    <w:pPr>
      <w:spacing w:before="0"/>
    </w:pPr>
    <w:rPr>
      <w:sz w:val="20"/>
    </w:rPr>
  </w:style>
  <w:style w:type="character" w:customStyle="1" w:styleId="EndnoteTextChar">
    <w:name w:val="Endnote Text Char"/>
    <w:basedOn w:val="DefaultParagraphFont"/>
    <w:link w:val="EndnoteText"/>
    <w:semiHidden/>
    <w:rsid w:val="00D80461"/>
    <w:rPr>
      <w:rFonts w:ascii="Calibri" w:hAnsi="Calibri"/>
      <w:lang w:val="fr-FR" w:eastAsia="en-US"/>
    </w:rPr>
  </w:style>
  <w:style w:type="character" w:styleId="EndnoteReference">
    <w:name w:val="endnote reference"/>
    <w:basedOn w:val="DefaultParagraphFont"/>
    <w:semiHidden/>
    <w:unhideWhenUsed/>
    <w:rsid w:val="00D80461"/>
    <w:rPr>
      <w:vertAlign w:val="superscript"/>
    </w:rPr>
  </w:style>
  <w:style w:type="character" w:customStyle="1" w:styleId="UnresolvedMention5">
    <w:name w:val="Unresolved Mention5"/>
    <w:basedOn w:val="DefaultParagraphFont"/>
    <w:uiPriority w:val="99"/>
    <w:semiHidden/>
    <w:unhideWhenUsed/>
    <w:rsid w:val="00D80461"/>
    <w:rPr>
      <w:color w:val="605E5C"/>
      <w:shd w:val="clear" w:color="auto" w:fill="E1DFDD"/>
    </w:rPr>
  </w:style>
  <w:style w:type="character" w:customStyle="1" w:styleId="UnresolvedMention6">
    <w:name w:val="Unresolved Mention6"/>
    <w:basedOn w:val="DefaultParagraphFont"/>
    <w:uiPriority w:val="99"/>
    <w:semiHidden/>
    <w:unhideWhenUsed/>
    <w:rsid w:val="00D80461"/>
    <w:rPr>
      <w:color w:val="605E5C"/>
      <w:shd w:val="clear" w:color="auto" w:fill="E1DFDD"/>
    </w:rPr>
  </w:style>
  <w:style w:type="table" w:styleId="GridTable3-Accent1">
    <w:name w:val="Grid Table 3 Accent 1"/>
    <w:basedOn w:val="TableNormal"/>
    <w:uiPriority w:val="48"/>
    <w:rsid w:val="00D804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Tablelegend10pt">
    <w:name w:val="Table_legend + 10 pt"/>
    <w:aliases w:val="Bold"/>
    <w:basedOn w:val="Tablelegend"/>
    <w:rsid w:val="00D80461"/>
    <w:pPr>
      <w:tabs>
        <w:tab w:val="left" w:pos="308"/>
      </w:tabs>
    </w:pPr>
    <w:rPr>
      <w:rFonts w:eastAsiaTheme="minorHAnsi" w:cstheme="minorBidi"/>
      <w:b/>
      <w:bCs/>
      <w:sz w:val="20"/>
      <w:szCs w:val="22"/>
    </w:rPr>
  </w:style>
  <w:style w:type="table" w:styleId="GridTable4-Accent1">
    <w:name w:val="Grid Table 4 Accent 1"/>
    <w:basedOn w:val="TableNormal"/>
    <w:uiPriority w:val="49"/>
    <w:rsid w:val="00D804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c">
    <w:name w:val="toc"/>
    <w:basedOn w:val="TOC2"/>
    <w:rsid w:val="00D80461"/>
    <w:rPr>
      <w:noProof/>
    </w:rPr>
  </w:style>
  <w:style w:type="character" w:customStyle="1" w:styleId="UnresolvedMention7">
    <w:name w:val="Unresolved Mention7"/>
    <w:basedOn w:val="DefaultParagraphFont"/>
    <w:uiPriority w:val="99"/>
    <w:semiHidden/>
    <w:unhideWhenUsed/>
    <w:rsid w:val="00D80461"/>
    <w:rPr>
      <w:color w:val="605E5C"/>
      <w:shd w:val="clear" w:color="auto" w:fill="E1DFDD"/>
    </w:rPr>
  </w:style>
  <w:style w:type="paragraph" w:customStyle="1" w:styleId="paragraph">
    <w:name w:val="paragraph"/>
    <w:basedOn w:val="Normal"/>
    <w:rsid w:val="009C3A4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dpstylefootnotereference">
    <w:name w:val="dpstylefootnotereference"/>
    <w:basedOn w:val="DefaultParagraphFont"/>
    <w:rsid w:val="00642422"/>
  </w:style>
  <w:style w:type="character" w:styleId="UnresolvedMention">
    <w:name w:val="Unresolved Mention"/>
    <w:basedOn w:val="DefaultParagraphFont"/>
    <w:uiPriority w:val="99"/>
    <w:semiHidden/>
    <w:unhideWhenUsed/>
    <w:rsid w:val="00792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883651">
      <w:bodyDiv w:val="1"/>
      <w:marLeft w:val="60"/>
      <w:marRight w:val="60"/>
      <w:marTop w:val="60"/>
      <w:marBottom w:val="60"/>
      <w:divBdr>
        <w:top w:val="none" w:sz="0" w:space="0" w:color="auto"/>
        <w:left w:val="none" w:sz="0" w:space="0" w:color="auto"/>
        <w:bottom w:val="none" w:sz="0" w:space="0" w:color="auto"/>
        <w:right w:val="none" w:sz="0" w:space="0" w:color="auto"/>
      </w:divBdr>
      <w:divsChild>
        <w:div w:id="935209965">
          <w:marLeft w:val="0"/>
          <w:marRight w:val="0"/>
          <w:marTop w:val="0"/>
          <w:marBottom w:val="0"/>
          <w:divBdr>
            <w:top w:val="none" w:sz="0" w:space="0" w:color="auto"/>
            <w:left w:val="none" w:sz="0" w:space="0" w:color="auto"/>
            <w:bottom w:val="none" w:sz="0" w:space="0" w:color="auto"/>
            <w:right w:val="none" w:sz="0" w:space="0" w:color="auto"/>
          </w:divBdr>
        </w:div>
      </w:divsChild>
    </w:div>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Documents/2020/NETP-F.pdf" TargetMode="External"/><Relationship Id="rId671" Type="http://schemas.openxmlformats.org/officeDocument/2006/relationships/image" Target="media/image135.png"/><Relationship Id="rId21" Type="http://schemas.openxmlformats.org/officeDocument/2006/relationships/header" Target="header4.xml"/><Relationship Id="rId324" Type="http://schemas.openxmlformats.org/officeDocument/2006/relationships/hyperlink" Target="https://www.itu.int/en/ITU-T/AI/2018/Pages/default.aspx" TargetMode="External"/><Relationship Id="rId531" Type="http://schemas.openxmlformats.org/officeDocument/2006/relationships/hyperlink" Target="https://www.itu.int/en/ITU-T/Workshops-and-Seminars/2021/0621/Pages/default.aspx" TargetMode="External"/><Relationship Id="rId629" Type="http://schemas.openxmlformats.org/officeDocument/2006/relationships/image" Target="media/image93.png"/><Relationship Id="rId170" Type="http://schemas.openxmlformats.org/officeDocument/2006/relationships/hyperlink" Target="https://www.itu.int/hub/2021/04/empowering-women-and-girls-through-sport-and-technology/" TargetMode="External"/><Relationship Id="rId268" Type="http://schemas.openxmlformats.org/officeDocument/2006/relationships/hyperlink" Target="https://broadbandcommission.org/publication/connecting-learning-spaces/" TargetMode="External"/><Relationship Id="rId475" Type="http://schemas.openxmlformats.org/officeDocument/2006/relationships/hyperlink" Target="https://www.itu.int/net/itu-t/cdb/ConformityDB.aspx" TargetMode="External"/><Relationship Id="rId682" Type="http://schemas.openxmlformats.org/officeDocument/2006/relationships/image" Target="media/image144.png"/><Relationship Id="rId32" Type="http://schemas.openxmlformats.org/officeDocument/2006/relationships/hyperlink" Target="https://www.itu.int/pub/R-RES-R.34/fr" TargetMode="External"/><Relationship Id="rId128" Type="http://schemas.openxmlformats.org/officeDocument/2006/relationships/hyperlink" Target="https://www.greeningtheblue.org/" TargetMode="External"/><Relationship Id="rId335" Type="http://schemas.openxmlformats.org/officeDocument/2006/relationships/hyperlink" Target="https://www.itu.int/fr/ITU-D/Conferences/GSR/2019/Pages/default.aspx" TargetMode="External"/><Relationship Id="rId542" Type="http://schemas.openxmlformats.org/officeDocument/2006/relationships/hyperlink" Target="https://www.itu.int/rec/T-REC-D.Sup4" TargetMode="External"/><Relationship Id="rId181" Type="http://schemas.openxmlformats.org/officeDocument/2006/relationships/hyperlink" Target="https://www.itu.int/en/myitu/News/2020/12/14/10/07/Americas-girls-can-code-leveling-the-tech-playing-field" TargetMode="External"/><Relationship Id="rId402" Type="http://schemas.openxmlformats.org/officeDocument/2006/relationships/image" Target="media/image33.png"/><Relationship Id="rId279" Type="http://schemas.openxmlformats.org/officeDocument/2006/relationships/hyperlink" Target="https://www.itu.int/en/ITU-T/focusgroups/ai4h/Pages/default.aspx" TargetMode="External"/><Relationship Id="rId486" Type="http://schemas.openxmlformats.org/officeDocument/2006/relationships/hyperlink" Target="https://www.itu.int/en/ITU-D/Technology/Pages/CI_AssessmentStudyRegional.aspx" TargetMode="External"/><Relationship Id="rId43" Type="http://schemas.openxmlformats.org/officeDocument/2006/relationships/hyperlink" Target="https://www.itu.int/fr/ITU-T/studygroups/2017-2020/02/Pages/default.aspx" TargetMode="External"/><Relationship Id="rId139" Type="http://schemas.openxmlformats.org/officeDocument/2006/relationships/hyperlink" Target="https://www.itu.int/md/S15-CL-C-0109/en" TargetMode="External"/><Relationship Id="rId346" Type="http://schemas.openxmlformats.org/officeDocument/2006/relationships/hyperlink" Target="https://www.itu.int/fr/mediacentre/Pages/pr29-2020-Virtual-Digital-World-SME-innovative-tech-solutions-social-impact.aspx" TargetMode="External"/><Relationship Id="rId553" Type="http://schemas.openxmlformats.org/officeDocument/2006/relationships/hyperlink" Target="http://www.itu.int/itu-t/workprog/wp_item.aspx?isn=14071" TargetMode="External"/><Relationship Id="rId192" Type="http://schemas.openxmlformats.org/officeDocument/2006/relationships/hyperlink" Target="https://www.itu.int/fr/ITU-D/Conferences/WTDC/WTDC21/R2A/Pages/R2A-Partner2Connect.aspx" TargetMode="External"/><Relationship Id="rId206" Type="http://schemas.openxmlformats.org/officeDocument/2006/relationships/hyperlink" Target="https://www.itu.int/fr/myitu/Publications/2021/05/31/15/13/ITU-study-on-the-assessment-of-digital-accessibility-policies-in-Serbia" TargetMode="External"/><Relationship Id="rId413" Type="http://schemas.openxmlformats.org/officeDocument/2006/relationships/hyperlink" Target="https://www.itu.int/en/ITU-D/Statistics/Pages/stat/default.aspx" TargetMode="External"/><Relationship Id="rId497" Type="http://schemas.openxmlformats.org/officeDocument/2006/relationships/hyperlink" Target="https://www.itu.int/en/ITU-T/Workshops-and-Seminars/sg05rg/sdtd/20210928/Pages/default.aspx" TargetMode="External"/><Relationship Id="rId620" Type="http://schemas.openxmlformats.org/officeDocument/2006/relationships/image" Target="media/image84.png"/><Relationship Id="rId357" Type="http://schemas.openxmlformats.org/officeDocument/2006/relationships/hyperlink" Target="https://tsbcloud.itu.int/nextcloud/login" TargetMode="External"/><Relationship Id="rId54" Type="http://schemas.openxmlformats.org/officeDocument/2006/relationships/hyperlink" Target="https://www.itu.int/fr/ITU-T/tsag/2017-2020/Pages/default.aspx" TargetMode="External"/><Relationship Id="rId217" Type="http://schemas.openxmlformats.org/officeDocument/2006/relationships/hyperlink" Target="https://www.un.org/en/content/disabilitystrategy/" TargetMode="External"/><Relationship Id="rId564" Type="http://schemas.openxmlformats.org/officeDocument/2006/relationships/hyperlink" Target="https://www.itu.int/rec/T-REC-D.1101" TargetMode="External"/><Relationship Id="rId424" Type="http://schemas.openxmlformats.org/officeDocument/2006/relationships/hyperlink" Target="https://www.itu.int/fr/ITU-D/Technology/Pages/InteractiveTransmissionMaps.aspx" TargetMode="External"/><Relationship Id="rId631" Type="http://schemas.openxmlformats.org/officeDocument/2006/relationships/image" Target="media/image95.png"/><Relationship Id="rId270" Type="http://schemas.openxmlformats.org/officeDocument/2006/relationships/hyperlink" Target="https://www.un.org/en/sg-digital-cooperation-panel" TargetMode="External"/><Relationship Id="rId65" Type="http://schemas.openxmlformats.org/officeDocument/2006/relationships/hyperlink" Target="https://www.itu.int/en/ITU-T/focusgroups/ai4ad/Pages/default.aspx" TargetMode="External"/><Relationship Id="rId130" Type="http://schemas.openxmlformats.org/officeDocument/2006/relationships/hyperlink" Target="https://www.itu.int/md/S21-CL-C-0068/en" TargetMode="External"/><Relationship Id="rId368" Type="http://schemas.openxmlformats.org/officeDocument/2006/relationships/image" Target="cid:image002.png@01D86A02.B9464A60" TargetMode="External"/><Relationship Id="rId575" Type="http://schemas.openxmlformats.org/officeDocument/2006/relationships/image" Target="media/image39.png"/><Relationship Id="rId228" Type="http://schemas.openxmlformats.org/officeDocument/2006/relationships/hyperlink" Target="https://www.itu.int/en/ITU-D/Regulatory-Market/Documents/REG4COVID/2020/Summary_Key_Covid19_Initiatives.pdf" TargetMode="External"/><Relationship Id="rId435" Type="http://schemas.openxmlformats.org/officeDocument/2006/relationships/hyperlink" Target="https://itu.int/map-public" TargetMode="External"/><Relationship Id="rId642" Type="http://schemas.openxmlformats.org/officeDocument/2006/relationships/image" Target="media/image106.png"/><Relationship Id="rId281" Type="http://schemas.openxmlformats.org/officeDocument/2006/relationships/hyperlink" Target="https://github.com/fg-ai4h" TargetMode="External"/><Relationship Id="rId502" Type="http://schemas.openxmlformats.org/officeDocument/2006/relationships/hyperlink" Target="https://www.itu.int/en/ITU-T/Workshops-and-Seminars/2021/0510/Pages/default.aspx" TargetMode="External"/><Relationship Id="rId76" Type="http://schemas.openxmlformats.org/officeDocument/2006/relationships/hyperlink" Target="https://www.itu.int/pub/R-REP-BT.2447/fr" TargetMode="External"/><Relationship Id="rId141" Type="http://schemas.openxmlformats.org/officeDocument/2006/relationships/hyperlink" Target="https://www.itu.int/md/D14-WTDC17-C-0115/en" TargetMode="External"/><Relationship Id="rId379" Type="http://schemas.openxmlformats.org/officeDocument/2006/relationships/image" Target="cid:image004.png@01D83B87.EF987740" TargetMode="External"/><Relationship Id="rId586" Type="http://schemas.openxmlformats.org/officeDocument/2006/relationships/image" Target="media/image50.jpeg"/><Relationship Id="rId7" Type="http://schemas.openxmlformats.org/officeDocument/2006/relationships/footnotes" Target="footnotes.xml"/><Relationship Id="rId239" Type="http://schemas.openxmlformats.org/officeDocument/2006/relationships/hyperlink" Target="https://aiforgood.itu.int/webinar/" TargetMode="External"/><Relationship Id="rId446" Type="http://schemas.openxmlformats.org/officeDocument/2006/relationships/hyperlink" Target="https://www.itu.int/en/council/cwg-wsis/Pages/default.aspx" TargetMode="External"/><Relationship Id="rId653" Type="http://schemas.openxmlformats.org/officeDocument/2006/relationships/image" Target="media/image117.png"/><Relationship Id="rId292" Type="http://schemas.openxmlformats.org/officeDocument/2006/relationships/hyperlink" Target="https://oneprida.africa/spectrum-harmonisation/" TargetMode="External"/><Relationship Id="rId306" Type="http://schemas.openxmlformats.org/officeDocument/2006/relationships/hyperlink" Target="https://www.itu.int/net4/wsis/forum/2020/fr/Home/Outcomes" TargetMode="External"/><Relationship Id="rId87" Type="http://schemas.openxmlformats.org/officeDocument/2006/relationships/hyperlink" Target="https://www.itu.int/rec/R-REC-SA/en" TargetMode="External"/><Relationship Id="rId513" Type="http://schemas.openxmlformats.org/officeDocument/2006/relationships/hyperlink" Target="https://www.itu.int/en/ITU-T/Workshops-and-Seminars/201909/Pages/default.aspx" TargetMode="External"/><Relationship Id="rId597" Type="http://schemas.openxmlformats.org/officeDocument/2006/relationships/image" Target="media/image61.jpeg"/><Relationship Id="rId152" Type="http://schemas.openxmlformats.org/officeDocument/2006/relationships/hyperlink" Target="https://www.itu.int/en/ITU-T/studygroups/2017-2020/17/Pages/default.aspx" TargetMode="External"/><Relationship Id="rId457" Type="http://schemas.openxmlformats.org/officeDocument/2006/relationships/hyperlink" Target="https://www.itu.int/md/S21-CL-C-0022/en" TargetMode="External"/><Relationship Id="rId664" Type="http://schemas.openxmlformats.org/officeDocument/2006/relationships/image" Target="media/image128.png"/><Relationship Id="rId14" Type="http://schemas.openxmlformats.org/officeDocument/2006/relationships/footer" Target="footer1.xml"/><Relationship Id="rId317" Type="http://schemas.openxmlformats.org/officeDocument/2006/relationships/hyperlink" Target="https://www.itu.int/en/ITU-T/academia/kaleidoscope/2020/Pages/default.aspx" TargetMode="External"/><Relationship Id="rId524" Type="http://schemas.openxmlformats.org/officeDocument/2006/relationships/hyperlink" Target="https://www.itu.int/rec/T-REC-E.156/fr" TargetMode="External"/><Relationship Id="rId98" Type="http://schemas.openxmlformats.org/officeDocument/2006/relationships/hyperlink" Target="https://www.itu.int/en/council/Documents/basic-texts/RES-200-F.pdf" TargetMode="External"/><Relationship Id="rId163" Type="http://schemas.openxmlformats.org/officeDocument/2006/relationships/hyperlink" Target="https://www.itu.int/en/ITU-D/Cybersecurity/Pages/Women-in-Cyber/Women-in-Cyber-Mentorship-Programme.aspx" TargetMode="External"/><Relationship Id="rId370" Type="http://schemas.openxmlformats.org/officeDocument/2006/relationships/image" Target="media/image4.png"/><Relationship Id="rId230" Type="http://schemas.openxmlformats.org/officeDocument/2006/relationships/hyperlink" Target="https://reg4covid.itu.int/wp-content/uploads/2020/05/ICTsector-response.jpg" TargetMode="External"/><Relationship Id="rId468" Type="http://schemas.openxmlformats.org/officeDocument/2006/relationships/hyperlink" Target="https://www.itu.int/rec/T-REC-K.Sup9/fr" TargetMode="External"/><Relationship Id="rId675" Type="http://schemas.openxmlformats.org/officeDocument/2006/relationships/image" Target="media/image139.png"/><Relationship Id="rId25" Type="http://schemas.openxmlformats.org/officeDocument/2006/relationships/hyperlink" Target="https://www.itu.int/pub/R-REG-RR-2020/fr" TargetMode="External"/><Relationship Id="rId328" Type="http://schemas.openxmlformats.org/officeDocument/2006/relationships/hyperlink" Target="https://www.itu.int/itu-t/recommendations/rec.aspx?rec=13894" TargetMode="External"/><Relationship Id="rId535" Type="http://schemas.openxmlformats.org/officeDocument/2006/relationships/hyperlink" Target="https://www.itu.int/en/ITU-T/extcoop/figisymposium/2019/Pages/default.aspx" TargetMode="External"/><Relationship Id="rId174" Type="http://schemas.openxmlformats.org/officeDocument/2006/relationships/hyperlink" Target="https://www.itu-cop-guidelines.com/children" TargetMode="External"/><Relationship Id="rId381" Type="http://schemas.openxmlformats.org/officeDocument/2006/relationships/image" Target="media/image12.png"/><Relationship Id="rId602" Type="http://schemas.openxmlformats.org/officeDocument/2006/relationships/image" Target="media/image66.jpeg"/><Relationship Id="rId241" Type="http://schemas.openxmlformats.org/officeDocument/2006/relationships/hyperlink" Target="https://academy.itu.int/main-activities/digital-transformation-centres-initiative" TargetMode="External"/><Relationship Id="rId479" Type="http://schemas.openxmlformats.org/officeDocument/2006/relationships/hyperlink" Target="https://www.itu.int/md/T17-SG11-R-0042/fr" TargetMode="External"/><Relationship Id="rId686" Type="http://schemas.openxmlformats.org/officeDocument/2006/relationships/footer" Target="footer7.xml"/><Relationship Id="rId36" Type="http://schemas.openxmlformats.org/officeDocument/2006/relationships/hyperlink" Target="http://wtsa12.wordpress.com/2012/11/29/study-group-leadership-appointed/" TargetMode="External"/><Relationship Id="rId339" Type="http://schemas.openxmlformats.org/officeDocument/2006/relationships/hyperlink" Target="https://www.itu.int/net4/ITU-D/CDS/GSR/2018/default.asp" TargetMode="External"/><Relationship Id="rId546" Type="http://schemas.openxmlformats.org/officeDocument/2006/relationships/hyperlink" Target="https://www.itu.int/en/ITU-T/Workshops-and-Seminars/2021/1129/Pages/default.aspx" TargetMode="External"/><Relationship Id="rId101" Type="http://schemas.openxmlformats.org/officeDocument/2006/relationships/hyperlink" Target="http://www.basel.int/Implementation/TechnicalAssistance/MOOC/tabid/4966/Default.aspx" TargetMode="External"/><Relationship Id="rId185" Type="http://schemas.openxmlformats.org/officeDocument/2006/relationships/hyperlink" Target="https://www.itu.int/fr/ITU-R/conferences/wrc/2019/now/Pages/default.aspx" TargetMode="External"/><Relationship Id="rId406" Type="http://schemas.openxmlformats.org/officeDocument/2006/relationships/hyperlink" Target="https://www.itu.int/md/S22-CL-INF-0005/en" TargetMode="External"/><Relationship Id="rId392" Type="http://schemas.openxmlformats.org/officeDocument/2006/relationships/image" Target="media/image23.png"/><Relationship Id="rId613" Type="http://schemas.openxmlformats.org/officeDocument/2006/relationships/image" Target="media/image77.png"/><Relationship Id="rId252" Type="http://schemas.openxmlformats.org/officeDocument/2006/relationships/hyperlink" Target="https://www.broadbandcommission.org/Pages/10thAnniversary.aspx" TargetMode="External"/><Relationship Id="rId47" Type="http://schemas.openxmlformats.org/officeDocument/2006/relationships/hyperlink" Target="https://www.itu.int/fr/ITU-T/studygroups/2017-2020/11/Pages/default.aspx" TargetMode="External"/><Relationship Id="rId112" Type="http://schemas.openxmlformats.org/officeDocument/2006/relationships/hyperlink" Target="https://www.itu.int/en/ITU-D/Emergency-Telecommunications/Pages/Events/2019/GET-2019/default.aspx" TargetMode="External"/><Relationship Id="rId557" Type="http://schemas.openxmlformats.org/officeDocument/2006/relationships/hyperlink" Target="https://www.itu.int/rec/T-REC-X.1149/fr" TargetMode="External"/><Relationship Id="rId196" Type="http://schemas.openxmlformats.org/officeDocument/2006/relationships/hyperlink" Target="https://www.itu.int/en/ITU-D/Digital-Inclusion/Youth-and-Children/Pages/Digital-Skills.aspx" TargetMode="External"/><Relationship Id="rId417" Type="http://schemas.openxmlformats.org/officeDocument/2006/relationships/hyperlink" Target="https://www.itu.int/en/ITU-D/Statistics/Pages/publications/handbook.aspx" TargetMode="External"/><Relationship Id="rId624" Type="http://schemas.openxmlformats.org/officeDocument/2006/relationships/image" Target="media/image88.png"/><Relationship Id="rId263" Type="http://schemas.openxmlformats.org/officeDocument/2006/relationships/hyperlink" Target="https://projectconnect.unicef.org/map" TargetMode="External"/><Relationship Id="rId470" Type="http://schemas.openxmlformats.org/officeDocument/2006/relationships/hyperlink" Target="https://www.itu.int/rec/T-REC-K.Sup19/fr" TargetMode="External"/><Relationship Id="rId58" Type="http://schemas.openxmlformats.org/officeDocument/2006/relationships/hyperlink" Target="https://www.itu.int/en/ITU-T/focusgroups/dpm/Pages/default.aspx" TargetMode="External"/><Relationship Id="rId123" Type="http://schemas.openxmlformats.org/officeDocument/2006/relationships/hyperlink" Target="https://www.itu.int/en/ITU-D/Emergency-Telecommunications/Pages/EWS_ZAMBIA.aspx" TargetMode="External"/><Relationship Id="rId330" Type="http://schemas.openxmlformats.org/officeDocument/2006/relationships/hyperlink" Target="https://www.itu.int/en/ITU-D/Conferences/GSR/2021/Documents/Global_Final%20outcome%20report/GSR-21_Chairman%27s%20report.pdf?csf=1&amp;e=bDh971" TargetMode="External"/><Relationship Id="rId568" Type="http://schemas.openxmlformats.org/officeDocument/2006/relationships/hyperlink" Target="https://www.itu.int/en/ITU-T/wtsa20/irc/Pages/presentations-03.aspx" TargetMode="External"/><Relationship Id="rId428" Type="http://schemas.openxmlformats.org/officeDocument/2006/relationships/hyperlink" Target="https://academy.itu.int/training-courses/full-catalogue/business-planning-ict-infrastructure-development-europe" TargetMode="External"/><Relationship Id="rId635" Type="http://schemas.openxmlformats.org/officeDocument/2006/relationships/image" Target="media/image99.png"/><Relationship Id="rId274" Type="http://schemas.openxmlformats.org/officeDocument/2006/relationships/hyperlink" Target="http://www.digital-capacity.org/" TargetMode="External"/><Relationship Id="rId481" Type="http://schemas.openxmlformats.org/officeDocument/2006/relationships/hyperlink" Target="https://academy.itu.int/training-courses/full-catalogue/conformity-and-interoperability-africa-region" TargetMode="External"/><Relationship Id="rId69" Type="http://schemas.openxmlformats.org/officeDocument/2006/relationships/hyperlink" Target="https://www.itu.int/en/ITU-T/focusgroups/tbfxg/Pages/default.aspx" TargetMode="External"/><Relationship Id="rId134" Type="http://schemas.openxmlformats.org/officeDocument/2006/relationships/hyperlink" Target="https://www.itu.int/en/council/Documents/basic-texts/RES-140-F.pdf" TargetMode="External"/><Relationship Id="rId579" Type="http://schemas.openxmlformats.org/officeDocument/2006/relationships/image" Target="media/image43.jpeg"/><Relationship Id="rId341" Type="http://schemas.openxmlformats.org/officeDocument/2006/relationships/hyperlink" Target="https://www.itu.int/en/ITU-D/Regulatory-Market/Pages/bestpractices.aspx" TargetMode="External"/><Relationship Id="rId439" Type="http://schemas.openxmlformats.org/officeDocument/2006/relationships/hyperlink" Target="https://www.itu.int/md/D14-WTDC17-C-0115/en" TargetMode="External"/><Relationship Id="rId646" Type="http://schemas.openxmlformats.org/officeDocument/2006/relationships/image" Target="media/image110.png"/><Relationship Id="rId201" Type="http://schemas.openxmlformats.org/officeDocument/2006/relationships/hyperlink" Target="https://www.itu.int/en/ITU-D/Regional-Presence/Americas/Pages/EVENTS/2021/26376.aspx" TargetMode="External"/><Relationship Id="rId285" Type="http://schemas.openxmlformats.org/officeDocument/2006/relationships/hyperlink" Target="https://www.itu.int/en/ITU-T/ssc/united/Pages/default.aspx" TargetMode="External"/><Relationship Id="rId506" Type="http://schemas.openxmlformats.org/officeDocument/2006/relationships/hyperlink" Target="https://telecomworld.itu.int/2019-event/forum/" TargetMode="External"/><Relationship Id="rId492" Type="http://schemas.openxmlformats.org/officeDocument/2006/relationships/hyperlink" Target="https://www.itu.int/md/S20-CL-C-0057/en" TargetMode="External"/><Relationship Id="rId145" Type="http://schemas.openxmlformats.org/officeDocument/2006/relationships/hyperlink" Target="https://www.itu.int/pub/T-RES-T.75-2016" TargetMode="External"/><Relationship Id="rId352" Type="http://schemas.openxmlformats.org/officeDocument/2006/relationships/hyperlink" Target="https://www.itu.int/myworkspace/" TargetMode="External"/><Relationship Id="rId212" Type="http://schemas.openxmlformats.org/officeDocument/2006/relationships/hyperlink" Target="https://www.itu.int/pub/R-HDB-63-2016" TargetMode="External"/><Relationship Id="rId254" Type="http://schemas.openxmlformats.org/officeDocument/2006/relationships/hyperlink" Target="https://broadbandcommission.org/publication/state-of-broadband-2021/" TargetMode="External"/><Relationship Id="rId657" Type="http://schemas.openxmlformats.org/officeDocument/2006/relationships/image" Target="media/image121.png"/><Relationship Id="rId49" Type="http://schemas.openxmlformats.org/officeDocument/2006/relationships/hyperlink" Target="https://www.itu.int/fr/ITU-T/studygroups/2017-2020/13/Pages/default.aspx" TargetMode="External"/><Relationship Id="rId114" Type="http://schemas.openxmlformats.org/officeDocument/2006/relationships/hyperlink" Target="https://www.itu.int/en/ITU-D/Emergency-Telecommunications/Pages/NETPs.aspx" TargetMode="External"/><Relationship Id="rId296" Type="http://schemas.openxmlformats.org/officeDocument/2006/relationships/hyperlink" Target="https://www.itu.int/en/ITU-D/Regional-Presence/CIS/Pages/EVENTS/2019/04_Minsk/04_Minsk.aspx" TargetMode="External"/><Relationship Id="rId461" Type="http://schemas.openxmlformats.org/officeDocument/2006/relationships/hyperlink" Target="https://www.itu.int/rec/T-REC-K.52/fr" TargetMode="External"/><Relationship Id="rId517" Type="http://schemas.openxmlformats.org/officeDocument/2006/relationships/hyperlink" Target="https://www.itu.int/dms_pub/itu-t/opb/tut/T-TUT-CCICT-2020-PDF-E.pdf" TargetMode="External"/><Relationship Id="rId559" Type="http://schemas.openxmlformats.org/officeDocument/2006/relationships/hyperlink" Target="https://www.itu.int/itu-t/workprog/wp_search.aspx?isn_sp=3925&amp;isn_sg=3935&amp;isn_qu=6819&amp;isn_status=-1,3,7,2&amp;details=0&amp;field=acdefghijo" TargetMode="External"/><Relationship Id="rId60" Type="http://schemas.openxmlformats.org/officeDocument/2006/relationships/hyperlink" Target="https://www.itu.int/en/ITU-T/focusgroups/dlt/Pages/default.aspx" TargetMode="External"/><Relationship Id="rId156" Type="http://schemas.openxmlformats.org/officeDocument/2006/relationships/hyperlink" Target="https://www.itu.int/en/ITU-D/Cybersecurity/Pages/Cyberdrills-2021.aspx" TargetMode="External"/><Relationship Id="rId198" Type="http://schemas.openxmlformats.org/officeDocument/2006/relationships/hyperlink" Target="https://www.itu.int/generationconnect/itu-2020-youth-engagement-survey/" TargetMode="External"/><Relationship Id="rId321" Type="http://schemas.openxmlformats.org/officeDocument/2006/relationships/hyperlink" Target="https://www.youtube.com/c/aiforgood" TargetMode="External"/><Relationship Id="rId363" Type="http://schemas.openxmlformats.org/officeDocument/2006/relationships/hyperlink" Target="https://www.itu.int/myworkspace/" TargetMode="External"/><Relationship Id="rId419" Type="http://schemas.openxmlformats.org/officeDocument/2006/relationships/hyperlink" Target="https://academy.itu.int/training-courses/full-catalogue/measuring-digital-development-telecommunicationict-indicators" TargetMode="External"/><Relationship Id="rId570" Type="http://schemas.openxmlformats.org/officeDocument/2006/relationships/hyperlink" Target="https://www.itu.int/md/S20-CL-C-0009/en" TargetMode="External"/><Relationship Id="rId626" Type="http://schemas.openxmlformats.org/officeDocument/2006/relationships/image" Target="media/image90.png"/><Relationship Id="rId223" Type="http://schemas.openxmlformats.org/officeDocument/2006/relationships/hyperlink" Target="https://www.itu.int/en/myitu/Publications/2021/05/17/12/55/Ageing-in-a-digital-world--from-vulnerable-to-valuable" TargetMode="External"/><Relationship Id="rId430" Type="http://schemas.openxmlformats.org/officeDocument/2006/relationships/hyperlink" Target="https://www.itu.int/en/myitu/Publications/2020/12/16/09/24/Last-mile-Internet-Connectivity-Solutions-Guide-2020" TargetMode="External"/><Relationship Id="rId668" Type="http://schemas.openxmlformats.org/officeDocument/2006/relationships/image" Target="media/image132.png"/><Relationship Id="rId18" Type="http://schemas.openxmlformats.org/officeDocument/2006/relationships/header" Target="header3.xml"/><Relationship Id="rId265" Type="http://schemas.openxmlformats.org/officeDocument/2006/relationships/hyperlink" Target="https://gigaconnect.org/bcg-report-assessment-of-sustainable-business-models/" TargetMode="External"/><Relationship Id="rId472" Type="http://schemas.openxmlformats.org/officeDocument/2006/relationships/hyperlink" Target="https://www.itu.int/rec/T-REC-K.Sup1/fr" TargetMode="External"/><Relationship Id="rId528" Type="http://schemas.openxmlformats.org/officeDocument/2006/relationships/hyperlink" Target="https://www.itu.int/itu-t/workprog/wp_search.aspx?isn_sp=3925&amp;isn_sg=3937&amp;isn_status=-1,2&amp;adf=2018-01-01&amp;adt=2021-11-01&amp;details=0&amp;field=acdefghijo" TargetMode="External"/><Relationship Id="rId125" Type="http://schemas.openxmlformats.org/officeDocument/2006/relationships/hyperlink" Target="https://www.itu.int/en/ITU-D/Emergency-Telecommunications/Documents/2020/T-REC-X.1303bis-201403-.pdf" TargetMode="External"/><Relationship Id="rId167" Type="http://schemas.openxmlformats.org/officeDocument/2006/relationships/hyperlink" Target="https://www.itu.int/en/action/cybersecurity/Pages/gca-guidelines.aspx" TargetMode="External"/><Relationship Id="rId332" Type="http://schemas.openxmlformats.org/officeDocument/2006/relationships/hyperlink" Target="https://www.itu.int/fr/ITU-D/Conferences/GSR/2020/Pages/default.aspx" TargetMode="External"/><Relationship Id="rId374" Type="http://schemas.openxmlformats.org/officeDocument/2006/relationships/hyperlink" Target="https://www.itu.int/en/ITU-D/Statistics/Documents/facts/FactsFigures2021.pdf" TargetMode="External"/><Relationship Id="rId581" Type="http://schemas.openxmlformats.org/officeDocument/2006/relationships/image" Target="media/image45.png"/><Relationship Id="rId71" Type="http://schemas.openxmlformats.org/officeDocument/2006/relationships/hyperlink" Target="https://www.itu.int/en/action/ai/Pages/default.aspx" TargetMode="External"/><Relationship Id="rId234" Type="http://schemas.openxmlformats.org/officeDocument/2006/relationships/hyperlink" Target="https://www.itu.int/en/ITU-T/jca/dcc/Pages/default.aspx" TargetMode="External"/><Relationship Id="rId637" Type="http://schemas.openxmlformats.org/officeDocument/2006/relationships/image" Target="media/image101.png"/><Relationship Id="rId679" Type="http://schemas.openxmlformats.org/officeDocument/2006/relationships/hyperlink" Target="https://www.itu.int/fr/mediacentre/Pages/podcasts.aspx" TargetMode="External"/><Relationship Id="rId2" Type="http://schemas.openxmlformats.org/officeDocument/2006/relationships/customXml" Target="../customXml/item1.xml"/><Relationship Id="rId29" Type="http://schemas.openxmlformats.org/officeDocument/2006/relationships/hyperlink" Target="https://www.itu.int/pub/R-RES-R.5/fr" TargetMode="External"/><Relationship Id="rId276" Type="http://schemas.openxmlformats.org/officeDocument/2006/relationships/hyperlink" Target="https://www.un.org/pga/75/wp-content/uploads/sites/100/2021/04/PGA-Digital-Thematic-Debate-Info-Note.pdf" TargetMode="External"/><Relationship Id="rId441" Type="http://schemas.openxmlformats.org/officeDocument/2006/relationships/hyperlink" Target="https://www.itu.int/md/S22-CWGWSIS38-C-0014/en" TargetMode="External"/><Relationship Id="rId483" Type="http://schemas.openxmlformats.org/officeDocument/2006/relationships/hyperlink" Target="https://academy.itu.int/training-courses/full-catalogue/start-ups-readiness-iot-deployment-training-pre-compliance-testing" TargetMode="External"/><Relationship Id="rId539" Type="http://schemas.openxmlformats.org/officeDocument/2006/relationships/hyperlink" Target="https://www.itu.int/en/ITU-T/Workshops-and-Seminars/201912/Pages/default.aspx" TargetMode="External"/><Relationship Id="rId40" Type="http://schemas.openxmlformats.org/officeDocument/2006/relationships/hyperlink" Target="https://www.itu.int/fr/ITU-R/Pages/default.aspx" TargetMode="External"/><Relationship Id="rId136" Type="http://schemas.openxmlformats.org/officeDocument/2006/relationships/hyperlink" Target="https://www.itu.int/en/council/Documents/basic-texts/RES-179-F.pdf" TargetMode="External"/><Relationship Id="rId178" Type="http://schemas.openxmlformats.org/officeDocument/2006/relationships/hyperlink" Target="https://www.itu.int/en/ITU-D/Digital-Inclusion/Women-and-Girls/Girls-in-ICT-Portal/Pages/Portal.aspx" TargetMode="External"/><Relationship Id="rId301" Type="http://schemas.openxmlformats.org/officeDocument/2006/relationships/hyperlink" Target="https://www.itu.int/fr/wtisd/2021/Pages/call-for-action.aspx" TargetMode="External"/><Relationship Id="rId343" Type="http://schemas.openxmlformats.org/officeDocument/2006/relationships/hyperlink" Target="https://digital-world.itu.int/documents/WT19/WT19_Post-Event-Report.pdf" TargetMode="External"/><Relationship Id="rId550" Type="http://schemas.openxmlformats.org/officeDocument/2006/relationships/hyperlink" Target="http://itu.int/en/ITU-T/studygroups/2017-2020/16/Pages/q22.aspx" TargetMode="External"/><Relationship Id="rId82" Type="http://schemas.openxmlformats.org/officeDocument/2006/relationships/hyperlink" Target="https://www.itu.int/rec/T-REC-Y" TargetMode="External"/><Relationship Id="rId203" Type="http://schemas.openxmlformats.org/officeDocument/2006/relationships/hyperlink" Target="https://www.itu.int/en/ITU-D/Regional-Presence/Europe/Pages/Events/2020/AE21/default.aspx" TargetMode="External"/><Relationship Id="rId385" Type="http://schemas.openxmlformats.org/officeDocument/2006/relationships/image" Target="media/image16.png"/><Relationship Id="rId592" Type="http://schemas.openxmlformats.org/officeDocument/2006/relationships/image" Target="media/image56.jpeg"/><Relationship Id="rId606" Type="http://schemas.openxmlformats.org/officeDocument/2006/relationships/image" Target="media/image70.jpeg"/><Relationship Id="rId648" Type="http://schemas.openxmlformats.org/officeDocument/2006/relationships/image" Target="media/image112.png"/><Relationship Id="rId245" Type="http://schemas.openxmlformats.org/officeDocument/2006/relationships/hyperlink" Target="https://www.itu.int/en/ITU-D/Emergency-Telecommunications/Pages/Publications/Guidelines-for-NETPs.aspx" TargetMode="External"/><Relationship Id="rId287" Type="http://schemas.openxmlformats.org/officeDocument/2006/relationships/hyperlink" Target="https://www.itu.int/en/ITU-R/space/workshops/sat-webinars/Pages/default.aspx" TargetMode="External"/><Relationship Id="rId410" Type="http://schemas.openxmlformats.org/officeDocument/2006/relationships/hyperlink" Target="https://www.itu.int/md/S20-CL-C-0051/fr" TargetMode="External"/><Relationship Id="rId452" Type="http://schemas.openxmlformats.org/officeDocument/2006/relationships/hyperlink" Target="https://www.itu.int/md/S22-CL-C-0012/en" TargetMode="External"/><Relationship Id="rId494" Type="http://schemas.openxmlformats.org/officeDocument/2006/relationships/hyperlink" Target="https://www.itu.int/en/ITU-T/Workshops-and-Seminars/sg05rg/sdtd/Pages/default.aspx" TargetMode="External"/><Relationship Id="rId508" Type="http://schemas.openxmlformats.org/officeDocument/2006/relationships/hyperlink" Target="https://www.itu.int/en/ITU-T/studygroups/2017-2020/05/Pages/event-20190515.aspx" TargetMode="External"/><Relationship Id="rId105" Type="http://schemas.openxmlformats.org/officeDocument/2006/relationships/hyperlink" Target="https://weee-forum.org/iewd-about/" TargetMode="External"/><Relationship Id="rId147" Type="http://schemas.openxmlformats.org/officeDocument/2006/relationships/hyperlink" Target="https://www.itu.int/md/S19-CL-C-0018/en" TargetMode="External"/><Relationship Id="rId312" Type="http://schemas.openxmlformats.org/officeDocument/2006/relationships/hyperlink" Target="https://www.itu.int/net4/wsis/stocktaking/Home/Reporting" TargetMode="External"/><Relationship Id="rId354" Type="http://schemas.openxmlformats.org/officeDocument/2006/relationships/hyperlink" Target="https://www.itu.int/myworkspace/" TargetMode="External"/><Relationship Id="rId51" Type="http://schemas.openxmlformats.org/officeDocument/2006/relationships/hyperlink" Target="https://www.itu.int/fr/ITU-T/studygroups/2017-2020/16/Pages/default.aspx" TargetMode="External"/><Relationship Id="rId93" Type="http://schemas.openxmlformats.org/officeDocument/2006/relationships/hyperlink" Target="https://www.itu.int/fr/ITU-T/Workshops-and-Seminars/gsw/201910/pages/default.aspx" TargetMode="External"/><Relationship Id="rId189" Type="http://schemas.openxmlformats.org/officeDocument/2006/relationships/hyperlink" Target="https://www.itu.int/generationconnect/wp-content/uploads/2020/11/ITU_Youth_Strategy.pdf" TargetMode="External"/><Relationship Id="rId396" Type="http://schemas.openxmlformats.org/officeDocument/2006/relationships/image" Target="media/image27.png"/><Relationship Id="rId561" Type="http://schemas.openxmlformats.org/officeDocument/2006/relationships/hyperlink" Target="https://www.itu.int/en/ITU-T/webinars/Pages/dfs.aspx" TargetMode="External"/><Relationship Id="rId617" Type="http://schemas.openxmlformats.org/officeDocument/2006/relationships/image" Target="media/image81.png"/><Relationship Id="rId659" Type="http://schemas.openxmlformats.org/officeDocument/2006/relationships/image" Target="media/image123.png"/><Relationship Id="rId214" Type="http://schemas.openxmlformats.org/officeDocument/2006/relationships/hyperlink" Target="https://unsdg.un.org/download/3604/64744" TargetMode="External"/><Relationship Id="rId256" Type="http://schemas.openxmlformats.org/officeDocument/2006/relationships/hyperlink" Target="https://www.equalsintech.org/" TargetMode="External"/><Relationship Id="rId298" Type="http://schemas.openxmlformats.org/officeDocument/2006/relationships/hyperlink" Target="https://www.itu.int/en/ITU-D/Cybersecurity/Pages/Cybedrills-2020.aspx" TargetMode="External"/><Relationship Id="rId421" Type="http://schemas.openxmlformats.org/officeDocument/2006/relationships/hyperlink" Target="https://www.itu.int/en/ITU-D/Statistics/Pages/events/egh2020/default.aspx" TargetMode="External"/><Relationship Id="rId463" Type="http://schemas.openxmlformats.org/officeDocument/2006/relationships/hyperlink" Target="https://www.itu.int/rec/T-REC-K.70/fr" TargetMode="External"/><Relationship Id="rId519" Type="http://schemas.openxmlformats.org/officeDocument/2006/relationships/hyperlink" Target="https://www.itu.int/rec/T-REC-Q.5053/fr" TargetMode="External"/><Relationship Id="rId670" Type="http://schemas.openxmlformats.org/officeDocument/2006/relationships/image" Target="media/image134.png"/><Relationship Id="rId116" Type="http://schemas.openxmlformats.org/officeDocument/2006/relationships/hyperlink" Target="https://www.itu.int/en/ITU-D/Emergency-Telecommunications/Pages/ITU-Online-Modules-on-Emergency-Telecommunications.aspx" TargetMode="External"/><Relationship Id="rId158" Type="http://schemas.openxmlformats.org/officeDocument/2006/relationships/hyperlink" Target="https://www.itu.int/pub/D-STR-CYB_GUIDE.01-2018" TargetMode="External"/><Relationship Id="rId323" Type="http://schemas.openxmlformats.org/officeDocument/2006/relationships/hyperlink" Target="https://www.itu.int/en/ITU-T/extcoop/ai-data-commons/Pages/default.aspx" TargetMode="External"/><Relationship Id="rId530" Type="http://schemas.openxmlformats.org/officeDocument/2006/relationships/hyperlink" Target="https://www.itu.int/rec/T-REC-Y.4201/fr" TargetMode="External"/><Relationship Id="rId20" Type="http://schemas.openxmlformats.org/officeDocument/2006/relationships/footer" Target="footer4.xml"/><Relationship Id="rId62" Type="http://schemas.openxmlformats.org/officeDocument/2006/relationships/hyperlink" Target="https://www.itu.int/en/ITU-T/focusgroups/vm/Pages/default.aspx" TargetMode="External"/><Relationship Id="rId365" Type="http://schemas.openxmlformats.org/officeDocument/2006/relationships/hyperlink" Target="https://www.itu.int/br_tsb_terms" TargetMode="External"/><Relationship Id="rId572" Type="http://schemas.openxmlformats.org/officeDocument/2006/relationships/image" Target="media/image36.emf"/><Relationship Id="rId628" Type="http://schemas.openxmlformats.org/officeDocument/2006/relationships/image" Target="media/image92.png"/><Relationship Id="rId225" Type="http://schemas.openxmlformats.org/officeDocument/2006/relationships/hyperlink" Target="https://www.itu.int/en/ITU-D/Digital-Inclusion/Pages/ageing-in-a-digital-world/default.aspx" TargetMode="External"/><Relationship Id="rId267" Type="http://schemas.openxmlformats.org/officeDocument/2006/relationships/hyperlink" Target="https://gigaconnect.org/1st-giga-ministerial-roundtable-in-africa/" TargetMode="External"/><Relationship Id="rId432" Type="http://schemas.openxmlformats.org/officeDocument/2006/relationships/hyperlink" Target="https://www.itu.int/fr/ITU-D/Conferences/ET/2021/Pages/default.aspx" TargetMode="External"/><Relationship Id="rId474" Type="http://schemas.openxmlformats.org/officeDocument/2006/relationships/hyperlink" Target="https://www.itu.int/en/ITU-T/Workshops-and-Seminars/2021/0510/Pages/default.aspx" TargetMode="External"/><Relationship Id="rId127" Type="http://schemas.openxmlformats.org/officeDocument/2006/relationships/hyperlink" Target="https://www.itu.int/net4/wsis/forum/2021/fr/Agenda/Session/417" TargetMode="External"/><Relationship Id="rId681" Type="http://schemas.openxmlformats.org/officeDocument/2006/relationships/image" Target="media/image143.png"/><Relationship Id="rId31" Type="http://schemas.openxmlformats.org/officeDocument/2006/relationships/hyperlink" Target="https://www.itu.int/pub/R-RES-R.71/fr" TargetMode="External"/><Relationship Id="rId73" Type="http://schemas.openxmlformats.org/officeDocument/2006/relationships/hyperlink" Target="https://www.itu.int/rec/T-REC-M" TargetMode="External"/><Relationship Id="rId169" Type="http://schemas.openxmlformats.org/officeDocument/2006/relationships/hyperlink" Target="https://www.itu-cop-guidelines.com/" TargetMode="External"/><Relationship Id="rId334" Type="http://schemas.openxmlformats.org/officeDocument/2006/relationships/hyperlink" Target="https://www.itu.int/en/ITU-D/Regulatory-Market/Pages/bestpractices.aspx" TargetMode="External"/><Relationship Id="rId376" Type="http://schemas.openxmlformats.org/officeDocument/2006/relationships/image" Target="media/image8.png"/><Relationship Id="rId541" Type="http://schemas.openxmlformats.org/officeDocument/2006/relationships/hyperlink" Target="https://www.itu.int/ITU-T/recommendations/rec.aspx?rec=13596" TargetMode="External"/><Relationship Id="rId583" Type="http://schemas.openxmlformats.org/officeDocument/2006/relationships/image" Target="media/image47.png"/><Relationship Id="rId639" Type="http://schemas.openxmlformats.org/officeDocument/2006/relationships/image" Target="media/image103.png"/><Relationship Id="rId4" Type="http://schemas.openxmlformats.org/officeDocument/2006/relationships/styles" Target="styles.xml"/><Relationship Id="rId180" Type="http://schemas.openxmlformats.org/officeDocument/2006/relationships/hyperlink" Target="https://www.itu.int/en/ITU-D/Regional-Presence/Africa/Pages/EVENTS/2021/African-Girls-Can-Code.aspx" TargetMode="External"/><Relationship Id="rId236" Type="http://schemas.openxmlformats.org/officeDocument/2006/relationships/hyperlink" Target="https://reg4covid.itu.int/wp-content/uploads/2020/09/UN75_Partnership_Statement_PD_final.pdf" TargetMode="External"/><Relationship Id="rId278" Type="http://schemas.openxmlformats.org/officeDocument/2006/relationships/hyperlink" Target="https://www.itu.int/en/myitu/Publications/2020/08/31/08/38/Connecting-Humanity" TargetMode="External"/><Relationship Id="rId401" Type="http://schemas.openxmlformats.org/officeDocument/2006/relationships/image" Target="media/image32.png"/><Relationship Id="rId443" Type="http://schemas.openxmlformats.org/officeDocument/2006/relationships/hyperlink" Target="https://www.itu.int/md/S19-CL-C-0137/en" TargetMode="External"/><Relationship Id="rId650" Type="http://schemas.openxmlformats.org/officeDocument/2006/relationships/image" Target="media/image114.png"/><Relationship Id="rId303" Type="http://schemas.openxmlformats.org/officeDocument/2006/relationships/hyperlink" Target="https://www.itu.int/en/council/Documents/basic-texts/RES-200-F.pdf" TargetMode="External"/><Relationship Id="rId485" Type="http://schemas.openxmlformats.org/officeDocument/2006/relationships/hyperlink" Target="https://itu.int/go/ci_guidelines" TargetMode="External"/><Relationship Id="rId42" Type="http://schemas.openxmlformats.org/officeDocument/2006/relationships/hyperlink" Target="https://www.itu.int/fr/ITU-T/studygroups/2017-2020/Pages/default.aspx" TargetMode="External"/><Relationship Id="rId84" Type="http://schemas.openxmlformats.org/officeDocument/2006/relationships/hyperlink" Target="https://www.itu.int/en/ITU-T/webinars/qit/Pages/default.aspx" TargetMode="External"/><Relationship Id="rId138" Type="http://schemas.openxmlformats.org/officeDocument/2006/relationships/hyperlink" Target="https://www.itu.int/pub/S-CONF-WCIT-2012/en" TargetMode="External"/><Relationship Id="rId345" Type="http://schemas.openxmlformats.org/officeDocument/2006/relationships/hyperlink" Target="https://www.itu.int/fr/mediacentre/Pages/MA05-2020-ITU-Virtual-Digital-World.aspx" TargetMode="External"/><Relationship Id="rId387" Type="http://schemas.openxmlformats.org/officeDocument/2006/relationships/image" Target="media/image18.png"/><Relationship Id="rId510" Type="http://schemas.openxmlformats.org/officeDocument/2006/relationships/hyperlink" Target="https://www.itu.int/en/ITU-T/studygroups/2017-2020/05/Pages/event-20190514.aspx" TargetMode="External"/><Relationship Id="rId552" Type="http://schemas.openxmlformats.org/officeDocument/2006/relationships/hyperlink" Target="https://www.itu.int/en/ITU-T/focusgroups/dlt" TargetMode="External"/><Relationship Id="rId594" Type="http://schemas.openxmlformats.org/officeDocument/2006/relationships/image" Target="media/image58.jpeg"/><Relationship Id="rId608" Type="http://schemas.openxmlformats.org/officeDocument/2006/relationships/image" Target="media/image72.jpeg"/><Relationship Id="rId191" Type="http://schemas.openxmlformats.org/officeDocument/2006/relationships/hyperlink" Target="https://www.itu.int/generationconnect/generation-connect-youth-summit-2022/" TargetMode="External"/><Relationship Id="rId205" Type="http://schemas.openxmlformats.org/officeDocument/2006/relationships/hyperlink" Target="https://www.itu.int/en/ITU-D/Regional-Presence/Europe/Documents/Events/2020/AE20/event/D-PHCB-ICT_ACCESS_EUR.01-2021-PDF-E.pdf" TargetMode="External"/><Relationship Id="rId247" Type="http://schemas.openxmlformats.org/officeDocument/2006/relationships/hyperlink" Target="https://news.itu.int/covid-19-7-key-ways-to-keep-children-safe-online/" TargetMode="External"/><Relationship Id="rId412" Type="http://schemas.openxmlformats.org/officeDocument/2006/relationships/hyperlink" Target="https://www.itu.int/en/ITU-D/Statistics/Pages/publications/wtid.aspx" TargetMode="External"/><Relationship Id="rId107" Type="http://schemas.openxmlformats.org/officeDocument/2006/relationships/hyperlink" Target="https://www.itu.int/en/ITU-D/Environment/Pages/Spotlight/Harmonizing-regional-data-collection-in-East-Africa.aspx" TargetMode="External"/><Relationship Id="rId289" Type="http://schemas.openxmlformats.org/officeDocument/2006/relationships/hyperlink" Target="https://www.itu.int/fr/ITU-R/terrestrial/broadcast/africa/Pages/1st_coord_meeting.aspx" TargetMode="External"/><Relationship Id="rId454" Type="http://schemas.openxmlformats.org/officeDocument/2006/relationships/hyperlink" Target="https://www.itu.int/fr/ITU-D/Projects/Pages/default.aspx" TargetMode="External"/><Relationship Id="rId496" Type="http://schemas.openxmlformats.org/officeDocument/2006/relationships/hyperlink" Target="https://www.itu.int/en/ITU-T/Workshops-and-Seminars/sg05rg/sdtd/20210929/Pages/default.aspx" TargetMode="External"/><Relationship Id="rId661" Type="http://schemas.openxmlformats.org/officeDocument/2006/relationships/image" Target="media/image125.png"/><Relationship Id="rId11" Type="http://schemas.openxmlformats.org/officeDocument/2006/relationships/hyperlink" Target="https://www.itu.int/en/council/Documents/basic-texts/RES-151-F.pdf" TargetMode="External"/><Relationship Id="rId53" Type="http://schemas.openxmlformats.org/officeDocument/2006/relationships/hyperlink" Target="https://www.itu.int/fr/ITU-T/studygroups/2017-2020/20/Pages/default.aspx" TargetMode="External"/><Relationship Id="rId149" Type="http://schemas.openxmlformats.org/officeDocument/2006/relationships/hyperlink" Target="https://www.itu.int/md/S21-CL-C-0018/en" TargetMode="External"/><Relationship Id="rId314" Type="http://schemas.openxmlformats.org/officeDocument/2006/relationships/hyperlink" Target="https://www.itu.int/net4/wsis/forum/2019/Files/Outcomes/DRAFT-WSISStocktakingReport2019-en.pdf" TargetMode="External"/><Relationship Id="rId356" Type="http://schemas.openxmlformats.org/officeDocument/2006/relationships/hyperlink" Target="https://www.itu.int/myworkspace/" TargetMode="External"/><Relationship Id="rId398" Type="http://schemas.openxmlformats.org/officeDocument/2006/relationships/image" Target="media/image29.png"/><Relationship Id="rId521" Type="http://schemas.openxmlformats.org/officeDocument/2006/relationships/hyperlink" Target="https://www.itu.int/rec/T-REC-Q.Sup74/fr" TargetMode="External"/><Relationship Id="rId563" Type="http://schemas.openxmlformats.org/officeDocument/2006/relationships/hyperlink" Target="https://www.itu.int/en/ITU-D/Conferences/GSR/Documents/GSR2016/Digital_financial_inclusion_GDDFI.pdf" TargetMode="External"/><Relationship Id="rId619" Type="http://schemas.openxmlformats.org/officeDocument/2006/relationships/image" Target="media/image83.png"/><Relationship Id="rId95" Type="http://schemas.openxmlformats.org/officeDocument/2006/relationships/hyperlink" Target="https://www.itu.int/en/ITU-D/Environment/Pages/Priority-Areas/UN-E-waste-Coalition.aspx" TargetMode="External"/><Relationship Id="rId160"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216" Type="http://schemas.openxmlformats.org/officeDocument/2006/relationships/hyperlink" Target="https://www.itcilo.org/courses/digital-inclusion-summit-leaving-no-one-behind" TargetMode="External"/><Relationship Id="rId423" Type="http://schemas.openxmlformats.org/officeDocument/2006/relationships/hyperlink" Target="https://www.itu.int/en/ITU-D/Statistics/Pages/intlcoop/default.aspx" TargetMode="External"/><Relationship Id="rId258" Type="http://schemas.openxmlformats.org/officeDocument/2006/relationships/hyperlink" Target="https://www.equalsintech.org/cisco-equals-learning-space" TargetMode="External"/><Relationship Id="rId465" Type="http://schemas.openxmlformats.org/officeDocument/2006/relationships/hyperlink" Target="https://www.itu.int/rec/T-REC-K.100/fr" TargetMode="External"/><Relationship Id="rId630" Type="http://schemas.openxmlformats.org/officeDocument/2006/relationships/image" Target="media/image94.png"/><Relationship Id="rId672" Type="http://schemas.openxmlformats.org/officeDocument/2006/relationships/image" Target="media/image136.png"/><Relationship Id="rId22" Type="http://schemas.openxmlformats.org/officeDocument/2006/relationships/footer" Target="footer5.xml"/><Relationship Id="rId64" Type="http://schemas.openxmlformats.org/officeDocument/2006/relationships/hyperlink" Target="https://www.itu.int/en/ITU-T/focusgroups/ml5g/Pages/default.aspx" TargetMode="External"/><Relationship Id="rId118" Type="http://schemas.openxmlformats.org/officeDocument/2006/relationships/hyperlink" Target="https://www.itu.int/hub/publication/d-hdb-guidelines-03-2020/" TargetMode="External"/><Relationship Id="rId325" Type="http://schemas.openxmlformats.org/officeDocument/2006/relationships/hyperlink" Target="https://www.itu.int/en/ITU-T/AI/challenge/2020/Pages/default.aspx" TargetMode="External"/><Relationship Id="rId367" Type="http://schemas.openxmlformats.org/officeDocument/2006/relationships/image" Target="media/image2.png"/><Relationship Id="rId532" Type="http://schemas.openxmlformats.org/officeDocument/2006/relationships/hyperlink" Target="https://www.itu.int/en/ITU-T/climatechange/Pages/events.aspx" TargetMode="External"/><Relationship Id="rId574" Type="http://schemas.openxmlformats.org/officeDocument/2006/relationships/image" Target="media/image38.jpeg"/><Relationship Id="rId171" Type="http://schemas.openxmlformats.org/officeDocument/2006/relationships/hyperlink" Target="https://www.efdn.org/efdn-fr/" TargetMode="External"/><Relationship Id="rId227" Type="http://schemas.openxmlformats.org/officeDocument/2006/relationships/hyperlink" Target="https://www.itu.int/en/ITU-D/Regulatory-Market/Pages/REG4COVID.aspx" TargetMode="External"/><Relationship Id="rId269" Type="http://schemas.openxmlformats.org/officeDocument/2006/relationships/hyperlink" Target="https://www.un.org/en/content/common-agenda-report/" TargetMode="External"/><Relationship Id="rId434" Type="http://schemas.openxmlformats.org/officeDocument/2006/relationships/hyperlink" Target="https://www.youtube.com/watch?v=zMIwISDVy_0" TargetMode="External"/><Relationship Id="rId476" Type="http://schemas.openxmlformats.org/officeDocument/2006/relationships/hyperlink" Target="https://www.itu.int/en/ITU-T/Workshops-and-Seminars/20180423/Pages/default.aspx" TargetMode="External"/><Relationship Id="rId641" Type="http://schemas.openxmlformats.org/officeDocument/2006/relationships/image" Target="media/image105.png"/><Relationship Id="rId683" Type="http://schemas.openxmlformats.org/officeDocument/2006/relationships/header" Target="header5.xml"/><Relationship Id="rId33" Type="http://schemas.openxmlformats.org/officeDocument/2006/relationships/hyperlink" Target="https://www.itu.int/pub/R-RES-R.35/fr" TargetMode="External"/><Relationship Id="rId129" Type="http://schemas.openxmlformats.org/officeDocument/2006/relationships/hyperlink" Target="https://2050today.org/?lang=fr" TargetMode="External"/><Relationship Id="rId280" Type="http://schemas.openxmlformats.org/officeDocument/2006/relationships/hyperlink" Target="https://www.who.int/publications/i/item/9789240029200" TargetMode="External"/><Relationship Id="rId336" Type="http://schemas.openxmlformats.org/officeDocument/2006/relationships/hyperlink" Target="https://www.itu.int/en/ITU-D/Conferences/GSR/2019/Documents/GSR19BestPracticeGuidelines_F.pdf" TargetMode="External"/><Relationship Id="rId501" Type="http://schemas.openxmlformats.org/officeDocument/2006/relationships/hyperlink" Target="https://www.itu.int/en/action/environment-and-climate-change/Pages/Side-event-International-Standards-and-Sustainable-Green-%26-Innovative-Power-Solutions.aspx" TargetMode="External"/><Relationship Id="rId543" Type="http://schemas.openxmlformats.org/officeDocument/2006/relationships/hyperlink" Target="https://www.itu.int/dms_pub/itu-t/opb/tut/T-TUT-PROTO-2019-PDF-E.pdf" TargetMode="External"/><Relationship Id="rId75" Type="http://schemas.openxmlformats.org/officeDocument/2006/relationships/hyperlink" Target="https://www.itu.int/rec/T-REC-Y" TargetMode="External"/><Relationship Id="rId140" Type="http://schemas.openxmlformats.org/officeDocument/2006/relationships/hyperlink" Target="http://www.itu.int/en/ITU-D/Cybersecurity/Documents/45revDubai.pdf" TargetMode="External"/><Relationship Id="rId182" Type="http://schemas.openxmlformats.org/officeDocument/2006/relationships/hyperlink" Target="https://www.itu.int/fr/ITU-D/Conferences/WTDC/WTDC21/NoW/Pages/default.aspx" TargetMode="External"/><Relationship Id="rId378" Type="http://schemas.openxmlformats.org/officeDocument/2006/relationships/image" Target="media/image10.png"/><Relationship Id="rId403" Type="http://schemas.openxmlformats.org/officeDocument/2006/relationships/image" Target="media/image34.png"/><Relationship Id="rId585" Type="http://schemas.openxmlformats.org/officeDocument/2006/relationships/image" Target="media/image49.jpeg"/><Relationship Id="rId6" Type="http://schemas.openxmlformats.org/officeDocument/2006/relationships/webSettings" Target="webSettings.xml"/><Relationship Id="rId238" Type="http://schemas.openxmlformats.org/officeDocument/2006/relationships/hyperlink" Target="https://www.itu.int/en/ITU-D/ICT-Applications/Pages/smart-village.aspx" TargetMode="External"/><Relationship Id="rId445" Type="http://schemas.openxmlformats.org/officeDocument/2006/relationships/hyperlink" Target="https://www.itu.int/en/itu-wsis/Pages/Roadmaps.aspx" TargetMode="External"/><Relationship Id="rId487" Type="http://schemas.openxmlformats.org/officeDocument/2006/relationships/hyperlink" Target="https://itu.int/go/CI_Assessment_Studies" TargetMode="External"/><Relationship Id="rId610" Type="http://schemas.openxmlformats.org/officeDocument/2006/relationships/image" Target="media/image74.png"/><Relationship Id="rId652" Type="http://schemas.openxmlformats.org/officeDocument/2006/relationships/image" Target="media/image116.png"/><Relationship Id="rId291" Type="http://schemas.openxmlformats.org/officeDocument/2006/relationships/hyperlink" Target="https://www.itu.int/fr/ITU-D/Projects/ITU-EC-ACP/PRIDA/Pages/default.aspx" TargetMode="External"/><Relationship Id="rId305" Type="http://schemas.openxmlformats.org/officeDocument/2006/relationships/hyperlink" Target="https://www.itu.int/net4/wsis/forum/2021/fr" TargetMode="External"/><Relationship Id="rId347" Type="http://schemas.openxmlformats.org/officeDocument/2006/relationships/hyperlink" Target="https://digital-world.itu.int/itu-digital-world-2020-sme-virtual-awards/" TargetMode="External"/><Relationship Id="rId512" Type="http://schemas.openxmlformats.org/officeDocument/2006/relationships/hyperlink" Target="https://www.itu.int/en/ITU-T/Workshops-and-Seminars/20180723/Pages/default.aspx" TargetMode="External"/><Relationship Id="rId44" Type="http://schemas.openxmlformats.org/officeDocument/2006/relationships/hyperlink" Target="https://www.itu.int/fr/ITU-T/studygroups/2017-2020/03/Pages/default.aspx" TargetMode="External"/><Relationship Id="rId86" Type="http://schemas.openxmlformats.org/officeDocument/2006/relationships/hyperlink" Target="https://www.itu.int/rec/R-REC-RS/en" TargetMode="External"/><Relationship Id="rId151" Type="http://schemas.openxmlformats.org/officeDocument/2006/relationships/hyperlink" Target="http://www.itu.int/en/ITU-D/Cybersecurity/Pages/Legal-Measures.aspx" TargetMode="External"/><Relationship Id="rId389" Type="http://schemas.openxmlformats.org/officeDocument/2006/relationships/image" Target="media/image20.png"/><Relationship Id="rId554" Type="http://schemas.openxmlformats.org/officeDocument/2006/relationships/hyperlink" Target="http://www.itu.int/itu-t/workprog/wp_item.aspx?isn=14705" TargetMode="External"/><Relationship Id="rId596" Type="http://schemas.openxmlformats.org/officeDocument/2006/relationships/image" Target="media/image60.png"/><Relationship Id="rId193" Type="http://schemas.openxmlformats.org/officeDocument/2006/relationships/hyperlink" Target="https://itu.int/itu-d/sites/partner2connect/" TargetMode="External"/><Relationship Id="rId207" Type="http://schemas.openxmlformats.org/officeDocument/2006/relationships/hyperlink" Target="https://www.itu.int/net4/wsis/forum/2021/fr/Agenda/Session/328" TargetMode="External"/><Relationship Id="rId249" Type="http://schemas.openxmlformats.org/officeDocument/2006/relationships/hyperlink" Target="https://broadbandcommission.org/working-groups/digital-infrastructure-moonshot-for-africa/" TargetMode="External"/><Relationship Id="rId414" Type="http://schemas.openxmlformats.org/officeDocument/2006/relationships/hyperlink" Target="https://www.itu.int/en/ITU-D/Statistics/Pages/facts/default.aspx" TargetMode="External"/><Relationship Id="rId456" Type="http://schemas.openxmlformats.org/officeDocument/2006/relationships/hyperlink" Target="https://www.itu.int/md/S20-CL-C-0022/en" TargetMode="External"/><Relationship Id="rId498" Type="http://schemas.openxmlformats.org/officeDocument/2006/relationships/hyperlink" Target="https://www.itu.int/en/ITU-T/Workshops-and-Seminars/sg05rg/sdtd/20211019/Pages/default.aspx" TargetMode="External"/><Relationship Id="rId621" Type="http://schemas.openxmlformats.org/officeDocument/2006/relationships/image" Target="media/image85.png"/><Relationship Id="rId663" Type="http://schemas.openxmlformats.org/officeDocument/2006/relationships/image" Target="media/image127.png"/><Relationship Id="rId13" Type="http://schemas.openxmlformats.org/officeDocument/2006/relationships/header" Target="header1.xml"/><Relationship Id="rId109" Type="http://schemas.openxmlformats.org/officeDocument/2006/relationships/hyperlink" Target="https://academy.itu.int/training-courses/full-catalogue/introduction-e-waste-policy" TargetMode="External"/><Relationship Id="rId260" Type="http://schemas.openxmlformats.org/officeDocument/2006/relationships/hyperlink" Target="https://www.intgovforum.org/en/content/igf-2021" TargetMode="External"/><Relationship Id="rId316" Type="http://schemas.openxmlformats.org/officeDocument/2006/relationships/hyperlink" Target="https://www.itu.int/en/ITU-T/academia/kaleidoscope/2021/Pages/default.aspx" TargetMode="External"/><Relationship Id="rId523" Type="http://schemas.openxmlformats.org/officeDocument/2006/relationships/hyperlink" Target="https://www.itu.int/net4/ITU-D/CDS/sg/rgqlist.asp?lg=2&amp;sp=2018&amp;rgq=D18-SG02-RGQ04.2&amp;stg=2http://itu.int/go/CI_Question4_2" TargetMode="External"/><Relationship Id="rId55" Type="http://schemas.openxmlformats.org/officeDocument/2006/relationships/hyperlink" Target="https://www.itu.int/en/ITU-T/gap/Pages/default.aspx" TargetMode="External"/><Relationship Id="rId97" Type="http://schemas.openxmlformats.org/officeDocument/2006/relationships/hyperlink" Target="https://cep2030.org/" TargetMode="External"/><Relationship Id="rId120" Type="http://schemas.openxmlformats.org/officeDocument/2006/relationships/hyperlink" Target="https://www.itu.int/en/ITU-D/Emergency-Telecommunications/Pages/Response.aspx" TargetMode="External"/><Relationship Id="rId358" Type="http://schemas.openxmlformats.org/officeDocument/2006/relationships/hyperlink" Target="https://www.itu.int/myworkspace/" TargetMode="External"/><Relationship Id="rId565" Type="http://schemas.openxmlformats.org/officeDocument/2006/relationships/hyperlink" Target="https://www.itu.int/rec/T-REC-D.262" TargetMode="External"/><Relationship Id="rId162" Type="http://schemas.openxmlformats.org/officeDocument/2006/relationships/hyperlink" Target="https://www.itu.int/en/ITU-D/Cybersecurity/Pages/global-cybersecurity-index.aspx" TargetMode="External"/><Relationship Id="rId218" Type="http://schemas.openxmlformats.org/officeDocument/2006/relationships/hyperlink" Target="https://universal.design/udday21" TargetMode="External"/><Relationship Id="rId425" Type="http://schemas.openxmlformats.org/officeDocument/2006/relationships/hyperlink" Target="https://youtu.be/zMIwISDVy_0" TargetMode="External"/><Relationship Id="rId467" Type="http://schemas.openxmlformats.org/officeDocument/2006/relationships/hyperlink" Target="https://www.itu.int/rec/T-REC-K.Sup14/fr" TargetMode="External"/><Relationship Id="rId632" Type="http://schemas.openxmlformats.org/officeDocument/2006/relationships/image" Target="media/image96.png"/><Relationship Id="rId271" Type="http://schemas.openxmlformats.org/officeDocument/2006/relationships/hyperlink" Target="https://www.un.org/en/pdfs/DigitalCooperation-report-for%20web.pdf" TargetMode="External"/><Relationship Id="rId674" Type="http://schemas.openxmlformats.org/officeDocument/2006/relationships/image" Target="media/image138.png"/><Relationship Id="rId24" Type="http://schemas.openxmlformats.org/officeDocument/2006/relationships/hyperlink" Target="https://www.itu.int/fr/ITU-R/conferences/wrc/2019/Pages/default.aspx" TargetMode="External"/><Relationship Id="rId66" Type="http://schemas.openxmlformats.org/officeDocument/2006/relationships/hyperlink" Target="https://www.itu.int/en/ITU-T/focusgroups/an/Pages/default.aspx" TargetMode="External"/><Relationship Id="rId131" Type="http://schemas.openxmlformats.org/officeDocument/2006/relationships/hyperlink" Target="https://unsceb.org/sites/default/files/imported_files/CEB.2019.1.Add_.1%20-%20Sustainability%20Management%202020-2030_Phase%20I_0.pdf" TargetMode="External"/><Relationship Id="rId327" Type="http://schemas.openxmlformats.org/officeDocument/2006/relationships/hyperlink" Target="https://aiforgood.itu.int/about/aiml-in-5g-challenge/" TargetMode="External"/><Relationship Id="rId369" Type="http://schemas.openxmlformats.org/officeDocument/2006/relationships/image" Target="media/image3.png"/><Relationship Id="rId534" Type="http://schemas.openxmlformats.org/officeDocument/2006/relationships/hyperlink" Target="https://www.itu.int/dms_pub/itu-t/opb/res/T-RES-T.75-2016-PDF-F.pdf" TargetMode="External"/><Relationship Id="rId576" Type="http://schemas.openxmlformats.org/officeDocument/2006/relationships/image" Target="media/image40.jpeg"/><Relationship Id="rId173" Type="http://schemas.openxmlformats.org/officeDocument/2006/relationships/hyperlink" Target="https://www.end-violence.org/articles/celebrating-adoption-general-comment-25" TargetMode="External"/><Relationship Id="rId229" Type="http://schemas.openxmlformats.org/officeDocument/2006/relationships/hyperlink" Target="https://reg4covid.itu.int/wp-content/uploads/2020/06/ITU_COVID-19_and_Telecom-ICT.pdf" TargetMode="External"/><Relationship Id="rId380" Type="http://schemas.openxmlformats.org/officeDocument/2006/relationships/image" Target="media/image11.png"/><Relationship Id="rId436" Type="http://schemas.openxmlformats.org/officeDocument/2006/relationships/hyperlink" Target="https://news.itu.int/itu-publishes-new-ict-infrastructure-business-planning-toolkit/" TargetMode="External"/><Relationship Id="rId601" Type="http://schemas.openxmlformats.org/officeDocument/2006/relationships/image" Target="media/image65.png"/><Relationship Id="rId643" Type="http://schemas.openxmlformats.org/officeDocument/2006/relationships/image" Target="media/image107.png"/><Relationship Id="rId240" Type="http://schemas.openxmlformats.org/officeDocument/2006/relationships/hyperlink" Target="https://fr.unesco.org/covid19/educationresponse/globalcoalition" TargetMode="External"/><Relationship Id="rId478" Type="http://schemas.openxmlformats.org/officeDocument/2006/relationships/hyperlink" Target="https://www.itu.int/en/ITU-D/Regional-Presence/CIS/Pages/Events/2021/SPB-Oct.aspx" TargetMode="External"/><Relationship Id="rId685" Type="http://schemas.openxmlformats.org/officeDocument/2006/relationships/header" Target="header6.xml"/><Relationship Id="rId35" Type="http://schemas.openxmlformats.org/officeDocument/2006/relationships/hyperlink" Target="https://www.itu.int/pub/R-RES/fr" TargetMode="External"/><Relationship Id="rId77" Type="http://schemas.openxmlformats.org/officeDocument/2006/relationships/hyperlink" Target="https://aiforgood.itu.int/about/ai-ml-pre-standardization/ai4roadsafety/" TargetMode="External"/><Relationship Id="rId100" Type="http://schemas.openxmlformats.org/officeDocument/2006/relationships/hyperlink" Target="https://www.itu.int/en/ITU-D/Regional-Presence/ArabStates/Pages/Projects/Ewaste.aspx" TargetMode="External"/><Relationship Id="rId282" Type="http://schemas.openxmlformats.org/officeDocument/2006/relationships/hyperlink" Target="https://www.itu.int/en/ITU-T/focusgroups/ai4ndm/Pages/default.aspx" TargetMode="External"/><Relationship Id="rId338" Type="http://schemas.openxmlformats.org/officeDocument/2006/relationships/hyperlink" Target="https://www.itu.int/en/ITU-D/Regulatory-Market/Pages/bestpractices.aspx" TargetMode="External"/><Relationship Id="rId503" Type="http://schemas.openxmlformats.org/officeDocument/2006/relationships/hyperlink" Target="https://www.itu.int/en/ITU-T/climatechange/Pages/20201015.aspx" TargetMode="External"/><Relationship Id="rId545" Type="http://schemas.openxmlformats.org/officeDocument/2006/relationships/hyperlink" Target="https://www.itu.int/rec/T-REC-Q.3057" TargetMode="External"/><Relationship Id="rId587" Type="http://schemas.openxmlformats.org/officeDocument/2006/relationships/image" Target="media/image51.jpeg"/><Relationship Id="rId8" Type="http://schemas.openxmlformats.org/officeDocument/2006/relationships/endnotes" Target="endnotes.xml"/><Relationship Id="rId142" Type="http://schemas.openxmlformats.org/officeDocument/2006/relationships/hyperlink" Target="https://www.itu.int/md/D14-WTDC17-C-0115/en" TargetMode="External"/><Relationship Id="rId184" Type="http://schemas.openxmlformats.org/officeDocument/2006/relationships/hyperlink" Target="https://www.itu.int/now4wrc23/" TargetMode="External"/><Relationship Id="rId391" Type="http://schemas.openxmlformats.org/officeDocument/2006/relationships/image" Target="media/image22.png"/><Relationship Id="rId405" Type="http://schemas.openxmlformats.org/officeDocument/2006/relationships/hyperlink" Target="https://www.itu.int/en/council/ties/Pages/regional-presence-dashboard.aspx" TargetMode="External"/><Relationship Id="rId447" Type="http://schemas.openxmlformats.org/officeDocument/2006/relationships/hyperlink" Target="https://www.itu.int/md/S20-CL-C-0028/en" TargetMode="External"/><Relationship Id="rId612" Type="http://schemas.openxmlformats.org/officeDocument/2006/relationships/image" Target="media/image76.png"/><Relationship Id="rId251" Type="http://schemas.openxmlformats.org/officeDocument/2006/relationships/hyperlink" Target="https://www.broadbandcommission.org/Documents/BroadbandCommission_manifesto.pdf" TargetMode="External"/><Relationship Id="rId489" Type="http://schemas.openxmlformats.org/officeDocument/2006/relationships/hyperlink" Target="https://www.itu.int/en/myitu/Publications/2021/09/28/17/06/Assistance-to-developing-countries-to-implement-conformance-interoperability-anti-counterfeit" TargetMode="External"/><Relationship Id="rId654" Type="http://schemas.openxmlformats.org/officeDocument/2006/relationships/image" Target="media/image118.png"/><Relationship Id="rId46" Type="http://schemas.openxmlformats.org/officeDocument/2006/relationships/hyperlink" Target="https://www.itu.int/fr/ITU-T/studygroups/2017-2020/09/Pages/default.aspx" TargetMode="External"/><Relationship Id="rId293" Type="http://schemas.openxmlformats.org/officeDocument/2006/relationships/hyperlink" Target="https://www.itu.int/fr/ITU-R/2017-RegFreqCoord/Pages/3rdMeeting.aspx" TargetMode="External"/><Relationship Id="rId307" Type="http://schemas.openxmlformats.org/officeDocument/2006/relationships/hyperlink" Target="https://www.itu.int/net4/wsis/forum/2019/Home/Outcomes" TargetMode="External"/><Relationship Id="rId349" Type="http://schemas.openxmlformats.org/officeDocument/2006/relationships/hyperlink" Target="https://digital-world.itu.int/events/2021-event/sme-programme/" TargetMode="External"/><Relationship Id="rId514" Type="http://schemas.openxmlformats.org/officeDocument/2006/relationships/hyperlink" Target="https://www.itu.int/en/ITU-T/webinars/20210531/Pages/default.aspx" TargetMode="External"/><Relationship Id="rId556" Type="http://schemas.openxmlformats.org/officeDocument/2006/relationships/hyperlink" Target="https://www.itu.int/ITU-T/workprog/wp_search.aspx?isn_sp=3925&amp;isn_sg=3934&amp;isn_qu=7956&amp;isn_status=-1,1,3,7,2&amp;details=0&amp;field=acdefghijo" TargetMode="External"/><Relationship Id="rId88" Type="http://schemas.openxmlformats.org/officeDocument/2006/relationships/hyperlink" Target="https://www.itu.int/en/ITU-D/Climate-Change/Pages/sgq.aspx" TargetMode="External"/><Relationship Id="rId111" Type="http://schemas.openxmlformats.org/officeDocument/2006/relationships/hyperlink" Target="https://www.itu.int/en/ITU-D/Environment/Pages/Events/2021/Global-E-waste-Iconathon.aspx" TargetMode="External"/><Relationship Id="rId153" Type="http://schemas.openxmlformats.org/officeDocument/2006/relationships/hyperlink" Target="https://www.itu.int/fr/ITU-T/studygroups/2017-2020/09/Pages/default.aspx" TargetMode="External"/><Relationship Id="rId195" Type="http://schemas.openxmlformats.org/officeDocument/2006/relationships/hyperlink" Target="https://www.unmgcy.org/youth2030" TargetMode="External"/><Relationship Id="rId209" Type="http://schemas.openxmlformats.org/officeDocument/2006/relationships/hyperlink" Target="https://academy.itu.int/training-courses/full-catalogue/ict-accessibility-key-inclusive-communication-line-self-paced-training" TargetMode="External"/><Relationship Id="rId360" Type="http://schemas.openxmlformats.org/officeDocument/2006/relationships/hyperlink" Target="https://www.itu.int/myworkspace/" TargetMode="External"/><Relationship Id="rId416" Type="http://schemas.openxmlformats.org/officeDocument/2006/relationships/hyperlink" Target="https://www.itu.int/itu-d/reports/statistics/connectivity-in-the-least-developed-countries-status-report-2021/" TargetMode="External"/><Relationship Id="rId598" Type="http://schemas.openxmlformats.org/officeDocument/2006/relationships/image" Target="media/image62.jpeg"/><Relationship Id="rId220" Type="http://schemas.openxmlformats.org/officeDocument/2006/relationships/hyperlink" Target="https://www.itu.int/pub/T-TUT-FSTP-2020-ACC.WEBVRI/fr" TargetMode="External"/><Relationship Id="rId458" Type="http://schemas.openxmlformats.org/officeDocument/2006/relationships/hyperlink" Target="https://www.itu.int/en/council/Pages/imac.aspx" TargetMode="External"/><Relationship Id="rId623" Type="http://schemas.openxmlformats.org/officeDocument/2006/relationships/image" Target="media/image87.png"/><Relationship Id="rId665" Type="http://schemas.openxmlformats.org/officeDocument/2006/relationships/image" Target="media/image129.png"/><Relationship Id="rId15" Type="http://schemas.openxmlformats.org/officeDocument/2006/relationships/footer" Target="footer2.xml"/><Relationship Id="rId57" Type="http://schemas.openxmlformats.org/officeDocument/2006/relationships/hyperlink" Target="https://www.itu.int/en/ITU-T/focusgroups/Pages/default.aspx" TargetMode="External"/><Relationship Id="rId262" Type="http://schemas.openxmlformats.org/officeDocument/2006/relationships/hyperlink" Target="https://www.itu.int/fr/ITU-D/Initiatives/GIGA/Pages/default.aspx" TargetMode="External"/><Relationship Id="rId318" Type="http://schemas.openxmlformats.org/officeDocument/2006/relationships/hyperlink" Target="https://www.itu.int/en/myitu/News/2020/12/24/10/52/Japan-NICT-claims-Kaleidoscope-1st-prize-for-research-in-machine-learning" TargetMode="External"/><Relationship Id="rId525" Type="http://schemas.openxmlformats.org/officeDocument/2006/relationships/hyperlink" Target="https://www.itu.int/ITU-T/workprog/wp_item.aspx?isn=15043" TargetMode="External"/><Relationship Id="rId567" Type="http://schemas.openxmlformats.org/officeDocument/2006/relationships/hyperlink" Target="https://www.itu.int/en/journal/j-fet/Pages/default.aspx" TargetMode="External"/><Relationship Id="rId99" Type="http://schemas.openxmlformats.org/officeDocument/2006/relationships/hyperlink" Target="https://www.itu.int/en/ITU-D/Regional-Presence/ArabStates/Pages/Events/2020/WEEE/WEEE.aspx" TargetMode="External"/><Relationship Id="rId122" Type="http://schemas.openxmlformats.org/officeDocument/2006/relationships/hyperlink" Target="https://news.itu.int/why-itu-is-joining-the-crisis-connectivity-charter-doreen-bogdan-martin/" TargetMode="External"/><Relationship Id="rId164" Type="http://schemas.openxmlformats.org/officeDocument/2006/relationships/hyperlink" Target="https://www.globalcyberalliance.org/" TargetMode="External"/><Relationship Id="rId371" Type="http://schemas.openxmlformats.org/officeDocument/2006/relationships/image" Target="media/image5.png"/><Relationship Id="rId427" Type="http://schemas.openxmlformats.org/officeDocument/2006/relationships/hyperlink" Target="https://academy.itu.int/training-courses/full-catalogue/itu-training-business-planning-ict-infrastructure-development" TargetMode="External"/><Relationship Id="rId469" Type="http://schemas.openxmlformats.org/officeDocument/2006/relationships/hyperlink" Target="https://www.itu.int/rec/T-REC-K.Sup16/fr" TargetMode="External"/><Relationship Id="rId634" Type="http://schemas.openxmlformats.org/officeDocument/2006/relationships/image" Target="media/image98.png"/><Relationship Id="rId676" Type="http://schemas.openxmlformats.org/officeDocument/2006/relationships/image" Target="media/image140.png"/><Relationship Id="rId26" Type="http://schemas.openxmlformats.org/officeDocument/2006/relationships/hyperlink" Target="https://www.itu.int/en/ITU-R/conferences/rag/cg-gender/Documents/WRC-19%20GENDER%20DECLARATION%20-%20EN.pdf" TargetMode="External"/><Relationship Id="rId231" Type="http://schemas.openxmlformats.org/officeDocument/2006/relationships/hyperlink" Target="https://broadbandcommission.org/COVID19/Pages/default.aspx" TargetMode="External"/><Relationship Id="rId273" Type="http://schemas.openxmlformats.org/officeDocument/2006/relationships/hyperlink" Target="https://www.intgovforum.org/en" TargetMode="External"/><Relationship Id="rId329" Type="http://schemas.openxmlformats.org/officeDocument/2006/relationships/hyperlink" Target="https://www.itu.int/fr/ITU-D/Conferences/GSR/2021/Pages/default.aspx" TargetMode="External"/><Relationship Id="rId480" Type="http://schemas.openxmlformats.org/officeDocument/2006/relationships/hyperlink" Target="https://www.itu.int/en/ITU-D/Technology/Pages/CI_Events.aspx" TargetMode="External"/><Relationship Id="rId536" Type="http://schemas.openxmlformats.org/officeDocument/2006/relationships/hyperlink" Target="https://figi.itu.int/" TargetMode="External"/><Relationship Id="rId68" Type="http://schemas.openxmlformats.org/officeDocument/2006/relationships/hyperlink" Target="https://www.itu.int/en/ITU-T/focusgroups/ai4a/Pages/default.aspx" TargetMode="External"/><Relationship Id="rId133" Type="http://schemas.openxmlformats.org/officeDocument/2006/relationships/hyperlink" Target="https://www.itu.int/en/council/Documents/basic-texts/RES-130-F.pdf" TargetMode="External"/><Relationship Id="rId175" Type="http://schemas.openxmlformats.org/officeDocument/2006/relationships/hyperlink" Target="https://www.itu-cop-guidelines.com/children" TargetMode="External"/><Relationship Id="rId340" Type="http://schemas.openxmlformats.org/officeDocument/2006/relationships/hyperlink" Target="https://www.itu.int/en/ITU-D/Conferences/GSR/Documents/GSR2018/documents/Chairman-s-Report_French.pdf" TargetMode="External"/><Relationship Id="rId578" Type="http://schemas.openxmlformats.org/officeDocument/2006/relationships/image" Target="media/image42.jpeg"/><Relationship Id="rId200" Type="http://schemas.openxmlformats.org/officeDocument/2006/relationships/hyperlink" Target="https://www.itu.int/en/ITU-D/Regional-Presence/ArabStates/Pages/Events/2021/AccessArb/index.aspx" TargetMode="External"/><Relationship Id="rId382" Type="http://schemas.openxmlformats.org/officeDocument/2006/relationships/image" Target="media/image13.png"/><Relationship Id="rId438" Type="http://schemas.openxmlformats.org/officeDocument/2006/relationships/hyperlink" Target="https://www.itu.int/en/council/planning/Documents/ITU_Strategic_plan_2020-2023.pdf" TargetMode="External"/><Relationship Id="rId603" Type="http://schemas.openxmlformats.org/officeDocument/2006/relationships/image" Target="media/image67.jpeg"/><Relationship Id="rId645" Type="http://schemas.openxmlformats.org/officeDocument/2006/relationships/image" Target="media/image109.png"/><Relationship Id="rId687" Type="http://schemas.openxmlformats.org/officeDocument/2006/relationships/fontTable" Target="fontTable.xml"/><Relationship Id="rId242" Type="http://schemas.openxmlformats.org/officeDocument/2006/relationships/hyperlink" Target="https://www.itu.int/en/ITU-T/ssc/united/Pages/default.aspx" TargetMode="External"/><Relationship Id="rId284" Type="http://schemas.openxmlformats.org/officeDocument/2006/relationships/hyperlink" Target="https://globalewaste.org/about-us/" TargetMode="External"/><Relationship Id="rId491" Type="http://schemas.openxmlformats.org/officeDocument/2006/relationships/hyperlink" Target="https://www.itu.int/net4/ITU-D/CDS/sg/rgqlist.asp?lg=2&amp;sp=2018&amp;rgq=D18-SG02-RGQ04.2&amp;stg=2" TargetMode="External"/><Relationship Id="rId505" Type="http://schemas.openxmlformats.org/officeDocument/2006/relationships/hyperlink" Target="https://telecomworld.itu.int/2019-event/forum/" TargetMode="External"/><Relationship Id="rId37" Type="http://schemas.openxmlformats.org/officeDocument/2006/relationships/hyperlink" Target="https://www.itu.int/en/publications/Documents/tsb/2022-The-4th-Global-Standards-Symposium-Conclusions-F/index.html" TargetMode="External"/><Relationship Id="rId79" Type="http://schemas.openxmlformats.org/officeDocument/2006/relationships/hyperlink" Target="https://www.itu.int/fr/ITU-T/studygroups/2013-2016/20/Pages/default.aspx" TargetMode="External"/><Relationship Id="rId102" Type="http://schemas.openxmlformats.org/officeDocument/2006/relationships/hyperlink" Target="https://www.itu.int/en/ITU-D/Climate-Change/Pages/Events/2019/Workshop-on-E-waste-India.aspx" TargetMode="External"/><Relationship Id="rId144" Type="http://schemas.openxmlformats.org/officeDocument/2006/relationships/hyperlink" Target="https://www.itu.int/pub/T-RES-T.52-2016" TargetMode="External"/><Relationship Id="rId547" Type="http://schemas.openxmlformats.org/officeDocument/2006/relationships/hyperlink" Target="https://www.itu.int/itu-t/workprog/wp_search.aspx?isn_sp=3925&amp;isn_sg=3930&amp;isn_qu=4138&amp;isn_status=-1,1,3,7&amp;details=0&amp;field=acdefghijo" TargetMode="External"/><Relationship Id="rId589" Type="http://schemas.openxmlformats.org/officeDocument/2006/relationships/image" Target="media/image53.jpeg"/><Relationship Id="rId90" Type="http://schemas.openxmlformats.org/officeDocument/2006/relationships/hyperlink" Target="https://www.itu.int/en/publications/Documents/tsb/2019-Turning-digital-technology-innovation-into-climate-action/mobile/index.html" TargetMode="External"/><Relationship Id="rId186" Type="http://schemas.openxmlformats.org/officeDocument/2006/relationships/hyperlink" Target="https://www.itu.int/fr/mediacentre/Pages/2019-CM10.aspx" TargetMode="External"/><Relationship Id="rId351" Type="http://schemas.openxmlformats.org/officeDocument/2006/relationships/hyperlink" Target="https://www.itu.int/wtpf21/en/" TargetMode="External"/><Relationship Id="rId393" Type="http://schemas.openxmlformats.org/officeDocument/2006/relationships/image" Target="media/image24.png"/><Relationship Id="rId407" Type="http://schemas.openxmlformats.org/officeDocument/2006/relationships/hyperlink" Target="https://www.itu.int/md/S20-CL-C-0016/fr" TargetMode="External"/><Relationship Id="rId449" Type="http://schemas.openxmlformats.org/officeDocument/2006/relationships/hyperlink" Target="https://www.itu.int/md/S19-CL-C-0012/en" TargetMode="External"/><Relationship Id="rId614" Type="http://schemas.openxmlformats.org/officeDocument/2006/relationships/image" Target="media/image78.png"/><Relationship Id="rId656" Type="http://schemas.openxmlformats.org/officeDocument/2006/relationships/image" Target="media/image120.png"/><Relationship Id="rId211" Type="http://schemas.openxmlformats.org/officeDocument/2006/relationships/hyperlink" Target="https://www.itu.int/en/ITU-D/Digital-Inclusion/Pages/resources-on-ICT-accessibility/default.aspx" TargetMode="External"/><Relationship Id="rId253" Type="http://schemas.openxmlformats.org/officeDocument/2006/relationships/hyperlink" Target="https://www.broadbandcommission.org/publications/Pages/SOB-2020.aspx" TargetMode="External"/><Relationship Id="rId295" Type="http://schemas.openxmlformats.org/officeDocument/2006/relationships/hyperlink" Target="https://academy.itu.int/main-activities/curriculum-development/smtp" TargetMode="External"/><Relationship Id="rId309" Type="http://schemas.openxmlformats.org/officeDocument/2006/relationships/hyperlink" Target="https://www.itu.int/net4/wsis/forum/2022/fr" TargetMode="External"/><Relationship Id="rId460" Type="http://schemas.openxmlformats.org/officeDocument/2006/relationships/hyperlink" Target="https://www.itu.int/md/S20-CL-C-0053/fr" TargetMode="External"/><Relationship Id="rId516" Type="http://schemas.openxmlformats.org/officeDocument/2006/relationships/hyperlink" Target="https://www.itu.int/md/S18-CL-C-0107/en" TargetMode="External"/><Relationship Id="rId48" Type="http://schemas.openxmlformats.org/officeDocument/2006/relationships/hyperlink" Target="https://www.itu.int/fr/ITU-T/studygroups/2017-2020/12/Pages/default.aspx" TargetMode="External"/><Relationship Id="rId113" Type="http://schemas.openxmlformats.org/officeDocument/2006/relationships/hyperlink" Target="https://www.itu.int/en/ITU-D/Emergency-Telecommunications/Pages/Events/2019/GET-2019/Disruptive-technologies-and-their-use-in-disaster-risk-reduction-and-management.aspx" TargetMode="External"/><Relationship Id="rId320" Type="http://schemas.openxmlformats.org/officeDocument/2006/relationships/hyperlink" Target="https://www.itu.int/en/ITU-T/academia/kaleidoscope/2018/Pages/default.aspx" TargetMode="External"/><Relationship Id="rId558" Type="http://schemas.openxmlformats.org/officeDocument/2006/relationships/hyperlink" Target="https://www.itu.int/rec/T-REC-X.1405/fr" TargetMode="External"/><Relationship Id="rId155" Type="http://schemas.openxmlformats.org/officeDocument/2006/relationships/hyperlink" Target="https://www.itu.int/en/ITU-D/Cybersecurity/Pages/national-CIRT.aspx" TargetMode="External"/><Relationship Id="rId197" Type="http://schemas.openxmlformats.org/officeDocument/2006/relationships/hyperlink" Target="https://www.itu.int/en/ITU-D/Digital-Inclusion/Youth-and-Children/Pages/Digital-Skills-Toolkit.aspx" TargetMode="External"/><Relationship Id="rId362" Type="http://schemas.openxmlformats.org/officeDocument/2006/relationships/hyperlink" Target="https://www.itu.int/myworkspace/" TargetMode="External"/><Relationship Id="rId418" Type="http://schemas.openxmlformats.org/officeDocument/2006/relationships/hyperlink" Target="https://www.itu.int/en/ITU-D/Statistics/Pages/publications/manual.aspx" TargetMode="External"/><Relationship Id="rId625" Type="http://schemas.openxmlformats.org/officeDocument/2006/relationships/image" Target="media/image89.png"/><Relationship Id="rId222" Type="http://schemas.openxmlformats.org/officeDocument/2006/relationships/hyperlink" Target="https://youtu.be/41HiCZwPN5E" TargetMode="External"/><Relationship Id="rId264" Type="http://schemas.openxmlformats.org/officeDocument/2006/relationships/hyperlink" Target="https://www.itu.int/en/ITU-D/Technology/Pages/LMC/LMC-Home.aspx" TargetMode="External"/><Relationship Id="rId471" Type="http://schemas.openxmlformats.org/officeDocument/2006/relationships/hyperlink" Target="https://www.itu.int/rec/T-REC-K.Sup20/fr" TargetMode="External"/><Relationship Id="rId667" Type="http://schemas.openxmlformats.org/officeDocument/2006/relationships/image" Target="media/image131.png"/><Relationship Id="rId17" Type="http://schemas.openxmlformats.org/officeDocument/2006/relationships/header" Target="header2.xml"/><Relationship Id="rId59" Type="http://schemas.openxmlformats.org/officeDocument/2006/relationships/hyperlink" Target="https://www.itu.int/en/ITU-T/focusgroups/dfc/Pages/default.aspx" TargetMode="External"/><Relationship Id="rId124" Type="http://schemas.openxmlformats.org/officeDocument/2006/relationships/hyperlink" Target="https://www.itu.int/en/ITU-D/Emergency-Telecommunications/Pages/Events.aspx" TargetMode="External"/><Relationship Id="rId527" Type="http://schemas.openxmlformats.org/officeDocument/2006/relationships/hyperlink" Target="https://www.itu.int/fr/ITU-T/studygroups/2017-2020/20/Pages/default.aspx" TargetMode="External"/><Relationship Id="rId569" Type="http://schemas.openxmlformats.org/officeDocument/2006/relationships/hyperlink" Target="https://www.itu.int/md/S20-CL-C-0050/en" TargetMode="External"/><Relationship Id="rId70" Type="http://schemas.openxmlformats.org/officeDocument/2006/relationships/hyperlink" Target="https://www.itu.int/fr/action/ai/emerging-radio-technologies/Pages/default.aspx" TargetMode="External"/><Relationship Id="rId166" Type="http://schemas.openxmlformats.org/officeDocument/2006/relationships/hyperlink" Target="https://www.itu.int/reports/council-june2021/" TargetMode="External"/><Relationship Id="rId331" Type="http://schemas.openxmlformats.org/officeDocument/2006/relationships/hyperlink" Target="https://www.itu.int/en/ITU-D/Regulatory-Market/Pages/bestpractices.aspx" TargetMode="External"/><Relationship Id="rId373" Type="http://schemas.openxmlformats.org/officeDocument/2006/relationships/package" Target="embeddings/Microsoft_PowerPoint_Slide.sldx"/><Relationship Id="rId429" Type="http://schemas.openxmlformats.org/officeDocument/2006/relationships/hyperlink" Target="https://academy.itu.int/training-courses/full-catalogue/business-planning-ict-infrastructure-development-africa" TargetMode="External"/><Relationship Id="rId580" Type="http://schemas.openxmlformats.org/officeDocument/2006/relationships/image" Target="media/image44.png"/><Relationship Id="rId636" Type="http://schemas.openxmlformats.org/officeDocument/2006/relationships/image" Target="media/image100.png"/><Relationship Id="rId1" Type="http://schemas.microsoft.com/office/2006/relationships/keyMapCustomizations" Target="customizations.xml"/><Relationship Id="rId233" Type="http://schemas.openxmlformats.org/officeDocument/2006/relationships/hyperlink" Target="https://www.itu.int/en/ITU-D/Pages/seminars/2020/DigitalCooperation/default.aspx" TargetMode="External"/><Relationship Id="rId440" Type="http://schemas.openxmlformats.org/officeDocument/2006/relationships/hyperlink" Target="https://www.itu.int/dms_pub/itu-t/opb/res/T-RES-T.75-2016-PDF-F.pdf" TargetMode="External"/><Relationship Id="rId678" Type="http://schemas.openxmlformats.org/officeDocument/2006/relationships/image" Target="media/image142.png"/><Relationship Id="rId28" Type="http://schemas.openxmlformats.org/officeDocument/2006/relationships/hyperlink" Target="https://www.itu.int/pub/R-RES-R.2/fr" TargetMode="External"/><Relationship Id="rId275" Type="http://schemas.openxmlformats.org/officeDocument/2006/relationships/hyperlink" Target="https://www.un.org/en/content/digital-cooperation-roadmap/" TargetMode="External"/><Relationship Id="rId300" Type="http://schemas.openxmlformats.org/officeDocument/2006/relationships/hyperlink" Target="https://www.itu.int/fr/wtisd/2021/Pages/default.aspx" TargetMode="External"/><Relationship Id="rId482" Type="http://schemas.openxmlformats.org/officeDocument/2006/relationships/hyperlink" Target="https://academy.itu.int/training-courses/full-catalogue/conformity-and-interoperability-relating-5g" TargetMode="External"/><Relationship Id="rId538" Type="http://schemas.openxmlformats.org/officeDocument/2006/relationships/hyperlink" Target="https://figi.itu.int/figi-resources/working-groups/" TargetMode="External"/><Relationship Id="rId81" Type="http://schemas.openxmlformats.org/officeDocument/2006/relationships/hyperlink" Target="https://www.itu.int/rec/T-REC-X" TargetMode="External"/><Relationship Id="rId135" Type="http://schemas.openxmlformats.org/officeDocument/2006/relationships/hyperlink" Target="https://www.itu.int/en/council/Documents/basic-texts/RES-174-F.pdf" TargetMode="External"/><Relationship Id="rId177" Type="http://schemas.openxmlformats.org/officeDocument/2006/relationships/hyperlink" Target="https://www.itu.int/en/ITU-D/Statistics/Pages/facts/default.aspx" TargetMode="External"/><Relationship Id="rId342" Type="http://schemas.openxmlformats.org/officeDocument/2006/relationships/hyperlink" Target="https://www.itu.int/fr/ITUTELECOM/Pages/world2019.aspx" TargetMode="External"/><Relationship Id="rId384" Type="http://schemas.openxmlformats.org/officeDocument/2006/relationships/image" Target="media/image15.png"/><Relationship Id="rId591" Type="http://schemas.openxmlformats.org/officeDocument/2006/relationships/image" Target="media/image55.jpeg"/><Relationship Id="rId605" Type="http://schemas.openxmlformats.org/officeDocument/2006/relationships/image" Target="media/image69.jpeg"/><Relationship Id="rId202" Type="http://schemas.openxmlformats.org/officeDocument/2006/relationships/hyperlink" Target="https://www.itu.int/en/ITU-D/Regional-Presence/Africa/Pages/EVENTS/2021/ICT-accessibility-in-africa.aspx" TargetMode="External"/><Relationship Id="rId244" Type="http://schemas.openxmlformats.org/officeDocument/2006/relationships/hyperlink" Target="https://www.itu.int/net4/wsis/forum/2020/Files/outcomes/draft/WSISStocktakingICTCaseRepository_TheCoronavirusResponseSpecialReport_DRAFT.pdf" TargetMode="External"/><Relationship Id="rId647" Type="http://schemas.openxmlformats.org/officeDocument/2006/relationships/image" Target="media/image111.jpeg"/><Relationship Id="rId39" Type="http://schemas.openxmlformats.org/officeDocument/2006/relationships/hyperlink" Target="https://u4ssc.itu.int/case-studies/" TargetMode="External"/><Relationship Id="rId286" Type="http://schemas.openxmlformats.org/officeDocument/2006/relationships/hyperlink" Target="https://www.itu.int/bestofwrs/" TargetMode="External"/><Relationship Id="rId451" Type="http://schemas.openxmlformats.org/officeDocument/2006/relationships/hyperlink" Target="https://www.itu.int/md/S21-CL-C-0012/en" TargetMode="External"/><Relationship Id="rId493" Type="http://schemas.openxmlformats.org/officeDocument/2006/relationships/hyperlink" Target="https://www.itu.int/hub/2020/10/on-world-standards-day-lets-renew-our-resolve-to-protect-the-planet-with-standards/" TargetMode="External"/><Relationship Id="rId507" Type="http://schemas.openxmlformats.org/officeDocument/2006/relationships/hyperlink" Target="https://www.itu.int/en/ITU-T/climatechange/Pages/20190709.aspx" TargetMode="External"/><Relationship Id="rId549" Type="http://schemas.openxmlformats.org/officeDocument/2006/relationships/hyperlink" Target="https://www.itu.int/rec/T-REC-P.1502" TargetMode="External"/><Relationship Id="rId50" Type="http://schemas.openxmlformats.org/officeDocument/2006/relationships/hyperlink" Target="https://www.itu.int/fr/ITU-T/studygroups/2017-2020/15/Pages/default.aspx" TargetMode="External"/><Relationship Id="rId104" Type="http://schemas.openxmlformats.org/officeDocument/2006/relationships/hyperlink" Target="https://www.itu.int/en/ITU-D/Environment/Documents/Publications/2020/Internet-Waste%202020.pdf?csf=1&amp;e=iQq5Zi" TargetMode="External"/><Relationship Id="rId146" Type="http://schemas.openxmlformats.org/officeDocument/2006/relationships/hyperlink" Target="https://www.itu.int/pub/T-RES-T.58-2016" TargetMode="External"/><Relationship Id="rId188" Type="http://schemas.openxmlformats.org/officeDocument/2006/relationships/hyperlink" Target="https://genderchampions.com/" TargetMode="External"/><Relationship Id="rId311" Type="http://schemas.openxmlformats.org/officeDocument/2006/relationships/hyperlink" Target="https://wsisforum2020.pathable.co/" TargetMode="External"/><Relationship Id="rId353" Type="http://schemas.openxmlformats.org/officeDocument/2006/relationships/hyperlink" Target="https://www.itu.int/myworkspace/" TargetMode="External"/><Relationship Id="rId395" Type="http://schemas.openxmlformats.org/officeDocument/2006/relationships/image" Target="media/image26.png"/><Relationship Id="rId409" Type="http://schemas.openxmlformats.org/officeDocument/2006/relationships/hyperlink" Target="https://www.itu.int/md/S20-CL-C-0033/fr" TargetMode="External"/><Relationship Id="rId560" Type="http://schemas.openxmlformats.org/officeDocument/2006/relationships/hyperlink" Target="https://www.itu.int/en/ITU-T/extcoop/dcgi/Pages/default.aspx" TargetMode="External"/><Relationship Id="rId92" Type="http://schemas.openxmlformats.org/officeDocument/2006/relationships/hyperlink" Target="https://www.itu.int/en/ITU-T/webinars/Pages/dt4cc.aspx" TargetMode="External"/><Relationship Id="rId213" Type="http://schemas.openxmlformats.org/officeDocument/2006/relationships/hyperlink" Target="https://www.itu.int/dms_pub/itu-r/opb/rep/R-REP-BT.2207-5-2020-PDF-E.pdf" TargetMode="External"/><Relationship Id="rId420" Type="http://schemas.openxmlformats.org/officeDocument/2006/relationships/hyperlink" Target="https://www.itu.int/en/ITU-D/Statistics/Pages/events/egti2020/default.aspx" TargetMode="External"/><Relationship Id="rId616" Type="http://schemas.openxmlformats.org/officeDocument/2006/relationships/image" Target="media/image80.png"/><Relationship Id="rId658" Type="http://schemas.openxmlformats.org/officeDocument/2006/relationships/image" Target="media/image122.png"/><Relationship Id="rId255" Type="http://schemas.openxmlformats.org/officeDocument/2006/relationships/hyperlink" Target="https://www.broadbandcommission.org/commissioners/Pages/default.aspx" TargetMode="External"/><Relationship Id="rId297" Type="http://schemas.openxmlformats.org/officeDocument/2006/relationships/hyperlink" Target="https://www.itu.int/en/ITU-T/Workshops-and-Seminars/Pages/default.aspx" TargetMode="External"/><Relationship Id="rId462" Type="http://schemas.openxmlformats.org/officeDocument/2006/relationships/hyperlink" Target="https://www.itu.int/rec/T-REC-K.83/fr" TargetMode="External"/><Relationship Id="rId518" Type="http://schemas.openxmlformats.org/officeDocument/2006/relationships/hyperlink" Target="https://www.itu.int/rec/T-REC-Q.5052/fr" TargetMode="External"/><Relationship Id="rId115" Type="http://schemas.openxmlformats.org/officeDocument/2006/relationships/hyperlink" Target="https://www.itu.int/en/ITU-D/Emergency-Telecommunications/Pages/Publications/2020/Guidelines-for-TTX.aspx" TargetMode="External"/><Relationship Id="rId157" Type="http://schemas.openxmlformats.org/officeDocument/2006/relationships/hyperlink" Target="http://www.itu.int/en/ITU-D/Cybersecurity/Pages/Events.aspx" TargetMode="External"/><Relationship Id="rId322" Type="http://schemas.openxmlformats.org/officeDocument/2006/relationships/hyperlink" Target="https://aiforgood.itu.int/" TargetMode="External"/><Relationship Id="rId364" Type="http://schemas.openxmlformats.org/officeDocument/2006/relationships/hyperlink" Target="https://www.itu.int/net4/ipr/search.aspx?sector=ITU&amp;class=PS" TargetMode="External"/><Relationship Id="rId61" Type="http://schemas.openxmlformats.org/officeDocument/2006/relationships/hyperlink" Target="https://www.itu.int/en/ITU-T/focusgroups/net2030/Pages/default.aspx" TargetMode="External"/><Relationship Id="rId199" Type="http://schemas.openxmlformats.org/officeDocument/2006/relationships/hyperlink" Target="https://www.itu.int/en/ITU-D/Digital-Inclusion/Pages/resources-on-ICT-accessibility/default.aspx" TargetMode="External"/><Relationship Id="rId571" Type="http://schemas.openxmlformats.org/officeDocument/2006/relationships/hyperlink" Target="https://www.itu.int/md/meetingdoc.asp?lang=en&amp;parent=S20-CL-C-0050" TargetMode="External"/><Relationship Id="rId627" Type="http://schemas.openxmlformats.org/officeDocument/2006/relationships/image" Target="media/image91.png"/><Relationship Id="rId669" Type="http://schemas.openxmlformats.org/officeDocument/2006/relationships/image" Target="media/image133.png"/><Relationship Id="rId19" Type="http://schemas.openxmlformats.org/officeDocument/2006/relationships/footer" Target="footer3.xml"/><Relationship Id="rId224" Type="http://schemas.openxmlformats.org/officeDocument/2006/relationships/hyperlink" Target="https://academy.itu.int/training-courses/full-catalogue/icts-better-ageing-and-livelihood-digital-landscape" TargetMode="External"/><Relationship Id="rId266" Type="http://schemas.openxmlformats.org/officeDocument/2006/relationships/hyperlink" Target="https://www.unicef.org/innovation/venturefund" TargetMode="External"/><Relationship Id="rId431" Type="http://schemas.openxmlformats.org/officeDocument/2006/relationships/hyperlink" Target="https://drive.google.com/open?id=11OX2LEXxzll3N7wOZ21iDxIq-FBda_K3EJsmy6tMbBI" TargetMode="External"/><Relationship Id="rId473" Type="http://schemas.openxmlformats.org/officeDocument/2006/relationships/hyperlink" Target="https://emfguide.itu.int/emfguide.html" TargetMode="External"/><Relationship Id="rId529" Type="http://schemas.openxmlformats.org/officeDocument/2006/relationships/hyperlink" Target="https://www.itu.int/rec/T-REC-Y.4200" TargetMode="External"/><Relationship Id="rId680" Type="http://schemas.openxmlformats.org/officeDocument/2006/relationships/hyperlink" Target="https://itu.foleon.com/itu/connect-2030-agenda/home/" TargetMode="External"/><Relationship Id="rId30" Type="http://schemas.openxmlformats.org/officeDocument/2006/relationships/hyperlink" Target="https://www.itu.int/pub/R-RES-R.70/fr" TargetMode="External"/><Relationship Id="rId126" Type="http://schemas.openxmlformats.org/officeDocument/2006/relationships/hyperlink" Target="https://preparecenter.org/site/ifrcalerthubinitiative/call-to-action-on-emergency-alerting/" TargetMode="External"/><Relationship Id="rId168" Type="http://schemas.openxmlformats.org/officeDocument/2006/relationships/hyperlink" Target="https://www.itu.int/net4/wsis/forum/2020/fr" TargetMode="External"/><Relationship Id="rId333" Type="http://schemas.openxmlformats.org/officeDocument/2006/relationships/hyperlink" Target="https://www.itu.int/en/ITU-D/Conferences/GSR/2020/Documents/Final_Chairmans-Report_GSR-20_F.pdf" TargetMode="External"/><Relationship Id="rId540" Type="http://schemas.openxmlformats.org/officeDocument/2006/relationships/hyperlink" Target="https://www.itu.int/en/ITU-T/webinars/dfs/sc/Pages/default.aspx" TargetMode="External"/><Relationship Id="rId72" Type="http://schemas.openxmlformats.org/officeDocument/2006/relationships/hyperlink" Target="https://www.itu.int/rec/T-REC-L" TargetMode="External"/><Relationship Id="rId375" Type="http://schemas.openxmlformats.org/officeDocument/2006/relationships/image" Target="media/image7.png"/><Relationship Id="rId582" Type="http://schemas.openxmlformats.org/officeDocument/2006/relationships/image" Target="media/image46.png"/><Relationship Id="rId638" Type="http://schemas.openxmlformats.org/officeDocument/2006/relationships/image" Target="media/image102.png"/><Relationship Id="rId3" Type="http://schemas.openxmlformats.org/officeDocument/2006/relationships/numbering" Target="numbering.xml"/><Relationship Id="rId235" Type="http://schemas.openxmlformats.org/officeDocument/2006/relationships/hyperlink" Target="https://www.itu.int/en/ITU-D/Pages/connect-2-recover.aspx" TargetMode="External"/><Relationship Id="rId277" Type="http://schemas.openxmlformats.org/officeDocument/2006/relationships/hyperlink" Target="https://www.un.org/en/un75/common-agenda" TargetMode="External"/><Relationship Id="rId400" Type="http://schemas.openxmlformats.org/officeDocument/2006/relationships/image" Target="media/image31.png"/><Relationship Id="rId442" Type="http://schemas.openxmlformats.org/officeDocument/2006/relationships/hyperlink" Target="https://www.itu.int/md/S19-CL-C-0137/en" TargetMode="External"/><Relationship Id="rId484" Type="http://schemas.openxmlformats.org/officeDocument/2006/relationships/hyperlink" Target="https://itu.int/go/ci_training" TargetMode="External"/><Relationship Id="rId137" Type="http://schemas.openxmlformats.org/officeDocument/2006/relationships/hyperlink" Target="https://www.itu.int/en/council/Documents/basic-texts/RES-181-F.pdf" TargetMode="External"/><Relationship Id="rId302" Type="http://schemas.openxmlformats.org/officeDocument/2006/relationships/hyperlink" Target="https://www.itu.int/fr/wtisd/2020/Pages/default.aspx" TargetMode="External"/><Relationship Id="rId344" Type="http://schemas.openxmlformats.org/officeDocument/2006/relationships/hyperlink" Target="https://digital-world.itu.int/events/2019-budapest/highlights-from-telecom-world-2019-budapest/" TargetMode="External"/><Relationship Id="rId41" Type="http://schemas.openxmlformats.org/officeDocument/2006/relationships/hyperlink" Target="https://www.itu.int/itu-t/recommendations/index.aspx" TargetMode="External"/><Relationship Id="rId83" Type="http://schemas.openxmlformats.org/officeDocument/2006/relationships/hyperlink" Target="https://www.itu.int/en/ITU-T/focusgroups/qit4n/Pages/default.aspx" TargetMode="External"/><Relationship Id="rId179" Type="http://schemas.openxmlformats.org/officeDocument/2006/relationships/hyperlink" Target="https://www.itu.int/women-and-girls/girls-in-ict/international-girls-in-ict-day-2021/" TargetMode="External"/><Relationship Id="rId386" Type="http://schemas.openxmlformats.org/officeDocument/2006/relationships/image" Target="media/image17.png"/><Relationship Id="rId551" Type="http://schemas.openxmlformats.org/officeDocument/2006/relationships/hyperlink" Target="https://www.itu.int/en/ITU-T/focusgroups/dlt/Pages/default.aspx" TargetMode="External"/><Relationship Id="rId593" Type="http://schemas.openxmlformats.org/officeDocument/2006/relationships/image" Target="media/image57.jpeg"/><Relationship Id="rId607" Type="http://schemas.openxmlformats.org/officeDocument/2006/relationships/image" Target="media/image71.jpeg"/><Relationship Id="rId649" Type="http://schemas.openxmlformats.org/officeDocument/2006/relationships/image" Target="media/image113.png"/><Relationship Id="rId190" Type="http://schemas.openxmlformats.org/officeDocument/2006/relationships/hyperlink" Target="https://www.itu.int/generationconnect/" TargetMode="External"/><Relationship Id="rId204" Type="http://schemas.openxmlformats.org/officeDocument/2006/relationships/hyperlink" Target="https://www.itu.int/pub/D-PHCB-TOOLKIT.01-2021/fr" TargetMode="External"/><Relationship Id="rId246" Type="http://schemas.openxmlformats.org/officeDocument/2006/relationships/hyperlink" Target="https://www.itu.int/en/action/cybersecurity/Pages/CYB4COVID.aspx" TargetMode="External"/><Relationship Id="rId288" Type="http://schemas.openxmlformats.org/officeDocument/2006/relationships/hyperlink" Target="https://www.itu.int/fr/ITU-R/terrestrial/broadcast/africa/Pages/default.aspx" TargetMode="External"/><Relationship Id="rId411" Type="http://schemas.openxmlformats.org/officeDocument/2006/relationships/hyperlink" Target="https://www.itu.int/fr/ITU-R/conferences/RRB/Pages/default.aspx" TargetMode="External"/><Relationship Id="rId453" Type="http://schemas.openxmlformats.org/officeDocument/2006/relationships/hyperlink" Target="https://www.itu.int/md/S22-CL-C-0055/en" TargetMode="External"/><Relationship Id="rId509" Type="http://schemas.openxmlformats.org/officeDocument/2006/relationships/hyperlink" Target="https://www.itu.int/en/ITU-T/climatechange/symposia/201905/Pages/default.aspx" TargetMode="External"/><Relationship Id="rId660" Type="http://schemas.openxmlformats.org/officeDocument/2006/relationships/image" Target="media/image124.png"/><Relationship Id="rId106" Type="http://schemas.openxmlformats.org/officeDocument/2006/relationships/hyperlink" Target="https://globalewaste.org/publications/" TargetMode="External"/><Relationship Id="rId313" Type="http://schemas.openxmlformats.org/officeDocument/2006/relationships/hyperlink" Target="https://www.itu.int/net4/wsis/stocktaking/Home/Reporting" TargetMode="External"/><Relationship Id="rId495" Type="http://schemas.openxmlformats.org/officeDocument/2006/relationships/hyperlink" Target="https://www.itu.int/es/ITU-T/Workshops-and-Seminars/sg05rg/sdtd/20210930/Pages/default.aspx" TargetMode="External"/><Relationship Id="rId10" Type="http://schemas.openxmlformats.org/officeDocument/2006/relationships/hyperlink" Target="https://www.itu.int/en/council/Documents/basic-texts/RES-071-F.pdf" TargetMode="External"/><Relationship Id="rId52" Type="http://schemas.openxmlformats.org/officeDocument/2006/relationships/hyperlink" Target="https://www.itu.int/en/ITU-T/studygroups/2017-2020/17/Pages/default.aspx" TargetMode="External"/><Relationship Id="rId94" Type="http://schemas.openxmlformats.org/officeDocument/2006/relationships/hyperlink" Target="https://www.itu.int/en/ITU-T/climatechange/Pages/1st-Digital-African-Week.aspx" TargetMode="External"/><Relationship Id="rId148" Type="http://schemas.openxmlformats.org/officeDocument/2006/relationships/hyperlink" Target="https://www.itu.int/md/S20-CL-C-0018/en" TargetMode="External"/><Relationship Id="rId355" Type="http://schemas.openxmlformats.org/officeDocument/2006/relationships/hyperlink" Target="https://www.itu.int/myworkspace/" TargetMode="External"/><Relationship Id="rId397" Type="http://schemas.openxmlformats.org/officeDocument/2006/relationships/image" Target="media/image28.png"/><Relationship Id="rId520" Type="http://schemas.openxmlformats.org/officeDocument/2006/relationships/hyperlink" Target="https://www.itu.int/rec/T-REC-Q.Sup73/fr" TargetMode="External"/><Relationship Id="rId562" Type="http://schemas.openxmlformats.org/officeDocument/2006/relationships/hyperlink" Target="https://www.itu.int/en/ITU-D/Conferences/GSR/Documents/GSR2016/Meeting_report_E.pdf" TargetMode="External"/><Relationship Id="rId618" Type="http://schemas.openxmlformats.org/officeDocument/2006/relationships/image" Target="media/image82.png"/><Relationship Id="rId215" Type="http://schemas.openxmlformats.org/officeDocument/2006/relationships/hyperlink" Target="https://unsdg.un.org/sites/default/files/2021-04/ICT-Digital%20Accessibility-BOS-Additional%20Resources-20210303.pdf" TargetMode="External"/><Relationship Id="rId257" Type="http://schemas.openxmlformats.org/officeDocument/2006/relationships/hyperlink" Target="https://www.itu.int/en/ITU-D/Cybersecurity/Pages/Women-in-Cyber/Women-in-Cyber-Mentorship-Programme.aspx" TargetMode="External"/><Relationship Id="rId422" Type="http://schemas.openxmlformats.org/officeDocument/2006/relationships/hyperlink" Target="https://www.itu.int/fr/ITU-D/Statistics/Pages/events/wtis2020/default.aspx" TargetMode="External"/><Relationship Id="rId464" Type="http://schemas.openxmlformats.org/officeDocument/2006/relationships/hyperlink" Target="https://www.itu.int/rec/T-REC-K.91/fr" TargetMode="External"/><Relationship Id="rId299" Type="http://schemas.openxmlformats.org/officeDocument/2006/relationships/hyperlink" Target="http://www.itu.int/go/covid19-dialogues" TargetMode="External"/><Relationship Id="rId63" Type="http://schemas.openxmlformats.org/officeDocument/2006/relationships/hyperlink" Target="https://www.itu.int/en/ITU-T/focusgroups/ai4h/Pages/default.aspx" TargetMode="External"/><Relationship Id="rId159" Type="http://schemas.openxmlformats.org/officeDocument/2006/relationships/hyperlink" Target="https://academy.itu.int/training-courses/full-catalogue/lifecycle-principles-and-good-practices-national-cybersecurity-strategy-development-and" TargetMode="External"/><Relationship Id="rId366" Type="http://schemas.openxmlformats.org/officeDocument/2006/relationships/hyperlink" Target="https://www.itu.int/en/ITU-D/Conferences/WTDC/WTDC17/Documents/WTDC17_final_report_fr.pdf" TargetMode="External"/><Relationship Id="rId573" Type="http://schemas.openxmlformats.org/officeDocument/2006/relationships/image" Target="media/image37.jpeg"/><Relationship Id="rId226" Type="http://schemas.openxmlformats.org/officeDocument/2006/relationships/hyperlink" Target="https://www.itu.int/en/Pages/covid-19.aspx" TargetMode="External"/><Relationship Id="rId433" Type="http://schemas.openxmlformats.org/officeDocument/2006/relationships/hyperlink" Target="https://www.itu.int/en/ITU-D/Conferences/ET/2021/Pages/Programme.aspx" TargetMode="External"/><Relationship Id="rId640" Type="http://schemas.openxmlformats.org/officeDocument/2006/relationships/image" Target="media/image104.png"/><Relationship Id="rId74" Type="http://schemas.openxmlformats.org/officeDocument/2006/relationships/hyperlink" Target="https://www.itu.int/rec/T-REC-P" TargetMode="External"/><Relationship Id="rId377" Type="http://schemas.openxmlformats.org/officeDocument/2006/relationships/image" Target="media/image9.png"/><Relationship Id="rId500" Type="http://schemas.openxmlformats.org/officeDocument/2006/relationships/hyperlink" Target="https://www.itu.int/en/ITU-T/studygroups/2017-2020/05/Pages/ITU-T-SG5-side-event-on-Vienna-Energy-Forum.aspx" TargetMode="External"/><Relationship Id="rId584" Type="http://schemas.openxmlformats.org/officeDocument/2006/relationships/image" Target="media/image48.png"/><Relationship Id="rId5" Type="http://schemas.openxmlformats.org/officeDocument/2006/relationships/settings" Target="settings.xml"/><Relationship Id="rId237" Type="http://schemas.openxmlformats.org/officeDocument/2006/relationships/hyperlink" Target="https://www.who.int/initiatives/behealthy" TargetMode="External"/><Relationship Id="rId444" Type="http://schemas.openxmlformats.org/officeDocument/2006/relationships/hyperlink" Target="https://www.itu.int/en/itu-wsis/Pages/Contribution.aspx" TargetMode="External"/><Relationship Id="rId651" Type="http://schemas.openxmlformats.org/officeDocument/2006/relationships/image" Target="media/image115.jpeg"/><Relationship Id="rId290" Type="http://schemas.openxmlformats.org/officeDocument/2006/relationships/hyperlink" Target="https://www.itu.int/fr/ITU-R/terrestrial/broadcast/africa/Pages/2nd_coord_meeting.aspx" TargetMode="External"/><Relationship Id="rId304" Type="http://schemas.openxmlformats.org/officeDocument/2006/relationships/hyperlink" Target="https://www.itu.int/fr/wtisd/2019/Pages/default.aspx" TargetMode="External"/><Relationship Id="rId388" Type="http://schemas.openxmlformats.org/officeDocument/2006/relationships/image" Target="media/image19.png"/><Relationship Id="rId511" Type="http://schemas.openxmlformats.org/officeDocument/2006/relationships/hyperlink" Target="https://www.itu.int/en/ITU-T/Workshops-and-Seminars/20180423/Pages/default.aspx" TargetMode="External"/><Relationship Id="rId609" Type="http://schemas.openxmlformats.org/officeDocument/2006/relationships/image" Target="media/image73.jpeg"/><Relationship Id="rId85" Type="http://schemas.openxmlformats.org/officeDocument/2006/relationships/hyperlink" Target="https://www.itu.int/en/ITU-T/Workshops-and-Seminars/2019060507/Pages/default.aspx" TargetMode="External"/><Relationship Id="rId150" Type="http://schemas.openxmlformats.org/officeDocument/2006/relationships/hyperlink" Target="https://www.itu.int/md/S22-CL-C-0018/en" TargetMode="External"/><Relationship Id="rId595" Type="http://schemas.openxmlformats.org/officeDocument/2006/relationships/image" Target="media/image59.jpeg"/><Relationship Id="rId248" Type="http://schemas.openxmlformats.org/officeDocument/2006/relationships/hyperlink" Target="https://broadbandcommission.org/Pages/default.aspx" TargetMode="External"/><Relationship Id="rId455" Type="http://schemas.openxmlformats.org/officeDocument/2006/relationships/hyperlink" Target="https://www.itu.int/md/S19-CL-C-0022/en" TargetMode="External"/><Relationship Id="rId662" Type="http://schemas.openxmlformats.org/officeDocument/2006/relationships/image" Target="media/image126.png"/><Relationship Id="rId12" Type="http://schemas.openxmlformats.org/officeDocument/2006/relationships/hyperlink" Target="https://www.itu.int/en/council/Documents/basic-texts/RES-200-F.pdf" TargetMode="External"/><Relationship Id="rId108" Type="http://schemas.openxmlformats.org/officeDocument/2006/relationships/hyperlink" Target="https://www.itu.int/en/ITU-D/Regional-Presence/AsiaPacific/Pages/Events/2020/E%20Waste/E-Waste-Webinar-Asia-and-the-Pacific.aspx" TargetMode="External"/><Relationship Id="rId315" Type="http://schemas.openxmlformats.org/officeDocument/2006/relationships/hyperlink" Target="https://www.itu.int/pub/S-POL-WSIS.REP-2018" TargetMode="External"/><Relationship Id="rId522" Type="http://schemas.openxmlformats.org/officeDocument/2006/relationships/hyperlink" Target="https://www.itu.int/itu-t/workprog/wp_search.aspx?isn_sp=3925&amp;isn_sg=3930&amp;isn_qu=4143" TargetMode="External"/><Relationship Id="rId96" Type="http://schemas.openxmlformats.org/officeDocument/2006/relationships/hyperlink" Target="https://globalewaste.org/publications/" TargetMode="External"/><Relationship Id="rId161" Type="http://schemas.openxmlformats.org/officeDocument/2006/relationships/hyperlink" Target="https://www.itu.int/en/ITU-D/Cybersecurity/Pages/Covid-19-CNI-Solution.aspx" TargetMode="External"/><Relationship Id="rId399" Type="http://schemas.openxmlformats.org/officeDocument/2006/relationships/image" Target="media/image30.png"/><Relationship Id="rId259" Type="http://schemas.openxmlformats.org/officeDocument/2006/relationships/hyperlink" Target="https://www.equalsintech.org/awards" TargetMode="External"/><Relationship Id="rId466" Type="http://schemas.openxmlformats.org/officeDocument/2006/relationships/hyperlink" Target="https://www.itu.int/rec/T-REC-K.145/fr" TargetMode="External"/><Relationship Id="rId673" Type="http://schemas.openxmlformats.org/officeDocument/2006/relationships/image" Target="media/image137.png"/><Relationship Id="rId23" Type="http://schemas.openxmlformats.org/officeDocument/2006/relationships/hyperlink" Target="https://www.itu.int/fr/mediacentre/Pages/CM01-2020-WRC19-Final-Acts.aspx" TargetMode="External"/><Relationship Id="rId119" Type="http://schemas.openxmlformats.org/officeDocument/2006/relationships/hyperlink" Target="https://www.itu.int/en/ITU-D/Emergency-Telecommunications/Pages/Women-ICT-and-Emergency-Telecommunications.aspx" TargetMode="External"/><Relationship Id="rId326" Type="http://schemas.openxmlformats.org/officeDocument/2006/relationships/hyperlink" Target="https://www.itu.int/pub/S-JNL-VOL2.ISSUE4/fr" TargetMode="External"/><Relationship Id="rId533" Type="http://schemas.openxmlformats.org/officeDocument/2006/relationships/hyperlink" Target="https://www.itu.int/highlights-report-activities/connect2030/" TargetMode="External"/><Relationship Id="rId172" Type="http://schemas.openxmlformats.org/officeDocument/2006/relationships/hyperlink" Target="https://www.itu.int/fr/mediacentre/Pages/cm11-2020-ITU-SaudiArabia-partnership-COP-guidelines.aspx" TargetMode="External"/><Relationship Id="rId477" Type="http://schemas.openxmlformats.org/officeDocument/2006/relationships/hyperlink" Target="https://www.itu.int/en/ITU-T/Workshops-and-Seminars/201909/Pages/default.aspx" TargetMode="External"/><Relationship Id="rId600" Type="http://schemas.openxmlformats.org/officeDocument/2006/relationships/image" Target="media/image64.jpeg"/><Relationship Id="rId684" Type="http://schemas.openxmlformats.org/officeDocument/2006/relationships/footer" Target="footer6.xml"/><Relationship Id="rId337" Type="http://schemas.openxmlformats.org/officeDocument/2006/relationships/hyperlink" Target="https://www.itu.int/en/ITU-D/Conferences/GSR/2019/Documents/ChairmansReport_Final_F.pdf" TargetMode="External"/><Relationship Id="rId34" Type="http://schemas.openxmlformats.org/officeDocument/2006/relationships/hyperlink" Target="https://www.itu.int/pub/R-RES-R.43/fr" TargetMode="External"/><Relationship Id="rId544" Type="http://schemas.openxmlformats.org/officeDocument/2006/relationships/hyperlink" Target="https://www.itu.int/en/ITU-T/Workshops-and-Seminars/102019/Pages/default.aspx" TargetMode="External"/><Relationship Id="rId183" Type="http://schemas.openxmlformats.org/officeDocument/2006/relationships/hyperlink" Target="https://www.itu.int/en/ITU-D/Conferences/WTDC/WTDC21/NoW/Documents/Mentorship/NOW4WTDC-Brochure.pdf" TargetMode="External"/><Relationship Id="rId390" Type="http://schemas.openxmlformats.org/officeDocument/2006/relationships/image" Target="media/image21.png"/><Relationship Id="rId404" Type="http://schemas.openxmlformats.org/officeDocument/2006/relationships/image" Target="media/image35.png"/><Relationship Id="rId611" Type="http://schemas.openxmlformats.org/officeDocument/2006/relationships/image" Target="media/image75.png"/><Relationship Id="rId250" Type="http://schemas.openxmlformats.org/officeDocument/2006/relationships/hyperlink" Target="https://broadbandcommission.org/wp-content/uploads/2021/09/WGDigitalMoonshotforAfrica_Report2020-1.pdf" TargetMode="External"/><Relationship Id="rId488" Type="http://schemas.openxmlformats.org/officeDocument/2006/relationships/hyperlink" Target="https://www.itu.int/net4/ITU-D/CDS/sg/rgqlist.asp?lg=2&amp;sp=2018&amp;rgq=D18-SG02-RGQ04.2&amp;stg=2http://itu.int/go/CI_Question4_2" TargetMode="External"/><Relationship Id="rId45" Type="http://schemas.openxmlformats.org/officeDocument/2006/relationships/hyperlink" Target="https://www.itu.int/fr/ITU-T/studygroups/2017-2020/05/Pages/default.aspx" TargetMode="External"/><Relationship Id="rId110" Type="http://schemas.openxmlformats.org/officeDocument/2006/relationships/hyperlink" Target="https://www.itu.int/en/ITU-D/Environment/Pages/Priority-Areas/Developing-Technology-Solutions.aspx" TargetMode="External"/><Relationship Id="rId348" Type="http://schemas.openxmlformats.org/officeDocument/2006/relationships/hyperlink" Target="https://digital-world.itu.int/" TargetMode="External"/><Relationship Id="rId555" Type="http://schemas.openxmlformats.org/officeDocument/2006/relationships/hyperlink" Target="http://www.itu.int/itu-t/workprog/wp_item.aspx?isn=14706" TargetMode="External"/><Relationship Id="rId194" Type="http://schemas.openxmlformats.org/officeDocument/2006/relationships/hyperlink" Target="https://www.itu.int/fr/ITU-D/Pages/I-CoDI-Youth-Challenge.aspx" TargetMode="External"/><Relationship Id="rId208" Type="http://schemas.openxmlformats.org/officeDocument/2006/relationships/hyperlink" Target="https://www.itu.int/net4/wsis/forum/2021/fr/Agenda/SpecialTrack/3" TargetMode="External"/><Relationship Id="rId415" Type="http://schemas.openxmlformats.org/officeDocument/2006/relationships/hyperlink" Target="https://www.itu.int/en/ITU-D/Statistics/Pages/ICTprices/default.aspx" TargetMode="External"/><Relationship Id="rId622" Type="http://schemas.openxmlformats.org/officeDocument/2006/relationships/image" Target="media/image86.png"/><Relationship Id="rId261" Type="http://schemas.openxmlformats.org/officeDocument/2006/relationships/hyperlink" Target="https://www.itu.int/en/ITU-D/Digital-Inclusion/Pages/EIF-Regional-Project-.aspx" TargetMode="External"/><Relationship Id="rId499" Type="http://schemas.openxmlformats.org/officeDocument/2006/relationships/hyperlink" Target="https://www.itu.int/en/ITU-D/Conferences/ET/2021/Pages/Programme.aspx" TargetMode="External"/><Relationship Id="rId56" Type="http://schemas.openxmlformats.org/officeDocument/2006/relationships/hyperlink" Target="https://www.itu.int/fr/wtisd/2019/Pages/default.aspx" TargetMode="External"/><Relationship Id="rId359" Type="http://schemas.openxmlformats.org/officeDocument/2006/relationships/hyperlink" Target="https://www.itu.int/myworkspace/" TargetMode="External"/><Relationship Id="rId566" Type="http://schemas.openxmlformats.org/officeDocument/2006/relationships/hyperlink" Target="https://www.itu.int/en/ITU-T/Workshops-and-Seminars/bsg/20191022/Pages/default.aspx" TargetMode="External"/><Relationship Id="rId121" Type="http://schemas.openxmlformats.org/officeDocument/2006/relationships/hyperlink" Target="https://www.itu.int/en/ITU-D/Emergency-Telecommunications/Pages/Disaster-Connectivity-Maps.aspx" TargetMode="External"/><Relationship Id="rId219" Type="http://schemas.openxmlformats.org/officeDocument/2006/relationships/hyperlink" Target="https://www.itu.int/en/ITU-D/Digital-Inclusion/Persons-with-Disabilities/Pages/COVID-19-Guidelines.aspx" TargetMode="External"/><Relationship Id="rId426" Type="http://schemas.openxmlformats.org/officeDocument/2006/relationships/hyperlink" Target="https://www.itu.int/en/ITU-D/Technology/Documents/Publications/ICT%20Infrastructure-business-toolkit.pdf" TargetMode="External"/><Relationship Id="rId633" Type="http://schemas.openxmlformats.org/officeDocument/2006/relationships/image" Target="media/image97.png"/><Relationship Id="rId67" Type="http://schemas.openxmlformats.org/officeDocument/2006/relationships/hyperlink" Target="https://www.itu.int/en/ITU-T/focusgroups/ai4ndm/Pages/default.aspx" TargetMode="External"/><Relationship Id="rId272" Type="http://schemas.openxmlformats.org/officeDocument/2006/relationships/hyperlink" Target="https://undocs.org/A/74/821" TargetMode="External"/><Relationship Id="rId577" Type="http://schemas.openxmlformats.org/officeDocument/2006/relationships/image" Target="media/image41.jpeg"/><Relationship Id="rId132" Type="http://schemas.openxmlformats.org/officeDocument/2006/relationships/hyperlink" Target="https://www.itu.int/en/council/Documents/basic-texts/RES-071-F.pdf" TargetMode="External"/><Relationship Id="rId437" Type="http://schemas.openxmlformats.org/officeDocument/2006/relationships/hyperlink" Target="https://www.itu.int/en/council/cwg-wsis/Documents/Resolution-140-PP18.pdf" TargetMode="External"/><Relationship Id="rId644" Type="http://schemas.openxmlformats.org/officeDocument/2006/relationships/image" Target="media/image108.png"/><Relationship Id="rId283" Type="http://schemas.openxmlformats.org/officeDocument/2006/relationships/hyperlink" Target="https://www.itu.int/en/ITU-T/focusgroups/ai4a/Pages/default.aspx" TargetMode="External"/><Relationship Id="rId490" Type="http://schemas.openxmlformats.org/officeDocument/2006/relationships/hyperlink" Target="https://youtu.be/IIt-CG0JHYQ" TargetMode="External"/><Relationship Id="rId504" Type="http://schemas.openxmlformats.org/officeDocument/2006/relationships/hyperlink" Target="https://www.itu.int/fr/ITU-T/Workshops-and-Seminars/gsw/201910/pages/default.aspx" TargetMode="External"/><Relationship Id="rId78" Type="http://schemas.openxmlformats.org/officeDocument/2006/relationships/hyperlink" Target="https://unsceb.org/inter-agency-working-group-artificial-intelligence" TargetMode="External"/><Relationship Id="rId143" Type="http://schemas.openxmlformats.org/officeDocument/2006/relationships/hyperlink" Target="https://www.itu.int/pub/T-RES-T.50-2016" TargetMode="External"/><Relationship Id="rId350" Type="http://schemas.openxmlformats.org/officeDocument/2006/relationships/hyperlink" Target="https://digital-world.itu.int/events/2021-event/highlights/" TargetMode="External"/><Relationship Id="rId588" Type="http://schemas.openxmlformats.org/officeDocument/2006/relationships/image" Target="media/image52.png"/><Relationship Id="rId9" Type="http://schemas.openxmlformats.org/officeDocument/2006/relationships/image" Target="media/image1.jpeg"/><Relationship Id="rId210" Type="http://schemas.openxmlformats.org/officeDocument/2006/relationships/hyperlink" Target="https://academy.itu.int/training-courses/full-catalogue/web-accessibility-cornerstone-digital-society-line-self-paced-training" TargetMode="External"/><Relationship Id="rId448" Type="http://schemas.openxmlformats.org/officeDocument/2006/relationships/hyperlink" Target="https://www.itu.int/md/meetingdoc.asp?lang=en&amp;parent=S22-CL-C-0053" TargetMode="External"/><Relationship Id="rId655" Type="http://schemas.openxmlformats.org/officeDocument/2006/relationships/image" Target="media/image119.jpeg"/><Relationship Id="rId294" Type="http://schemas.openxmlformats.org/officeDocument/2006/relationships/hyperlink" Target="https://www.itu.int/fr/ITU-R/2017-RegFreqCoord/Pages/4thMeeting.aspx" TargetMode="External"/><Relationship Id="rId308" Type="http://schemas.openxmlformats.org/officeDocument/2006/relationships/hyperlink" Target="https://www.itu.int/net4/wsis/stocktaking/Prizes/2021/" TargetMode="External"/><Relationship Id="rId515" Type="http://schemas.openxmlformats.org/officeDocument/2006/relationships/hyperlink" Target="https://www.itu.int/rec/T-REC-Q.5050/fr" TargetMode="External"/><Relationship Id="rId89" Type="http://schemas.openxmlformats.org/officeDocument/2006/relationships/hyperlink" Target="https://www.itu.int/fr/mediacentre/Pages/PR04-2020-ICT-industry-to-reduce-greenhouse-gas-emissions-by-45-percent-by-2030.aspx" TargetMode="External"/><Relationship Id="rId154" Type="http://schemas.openxmlformats.org/officeDocument/2006/relationships/hyperlink" Target="https://www.itu.int/fr/ITU-T/studygroups/2017-2020/13/Pages/default.aspx" TargetMode="External"/><Relationship Id="rId361" Type="http://schemas.openxmlformats.org/officeDocument/2006/relationships/hyperlink" Target="https://www.itu.int/myworkspace/" TargetMode="External"/><Relationship Id="rId599" Type="http://schemas.openxmlformats.org/officeDocument/2006/relationships/image" Target="media/image63.jpeg"/><Relationship Id="rId459" Type="http://schemas.openxmlformats.org/officeDocument/2006/relationships/hyperlink" Target="https://www.itu.int/en/council/Pages/imac-biographies.aspx" TargetMode="External"/><Relationship Id="rId666" Type="http://schemas.openxmlformats.org/officeDocument/2006/relationships/image" Target="media/image130.png"/><Relationship Id="rId16" Type="http://schemas.openxmlformats.org/officeDocument/2006/relationships/hyperlink" Target="http://www.itu.int/fr" TargetMode="External"/><Relationship Id="rId221" Type="http://schemas.openxmlformats.org/officeDocument/2006/relationships/hyperlink" Target="https://www.itu.int/en/ITU-D/Digital-Inclusion/Indigenous-Peoples/Pages/default.aspx" TargetMode="External"/><Relationship Id="rId319" Type="http://schemas.openxmlformats.org/officeDocument/2006/relationships/hyperlink" Target="https://www.itu.int/en/ITU-T/academia/kaleidoscope/2019/Pages/default.aspx" TargetMode="External"/><Relationship Id="rId526" Type="http://schemas.openxmlformats.org/officeDocument/2006/relationships/hyperlink" Target="https://www.itu.int/en/general-secretariat/Pages/intersectoral-coordination.aspx" TargetMode="External"/><Relationship Id="rId165" Type="http://schemas.openxmlformats.org/officeDocument/2006/relationships/hyperlink" Target="https://www.itu.int/en/action/cybersecurity/Pages/gca.aspx" TargetMode="External"/><Relationship Id="rId372" Type="http://schemas.openxmlformats.org/officeDocument/2006/relationships/image" Target="media/image6.emf"/><Relationship Id="rId677" Type="http://schemas.openxmlformats.org/officeDocument/2006/relationships/image" Target="media/image141.png"/><Relationship Id="rId232" Type="http://schemas.openxmlformats.org/officeDocument/2006/relationships/hyperlink" Target="https://thedocs.worldbank.org/en/doc/788991588006445890-0190022020/original/SpeedboatPartnersCOVID19DigitalDevelopmentJointActionPlan.pdf" TargetMode="External"/><Relationship Id="rId27" Type="http://schemas.openxmlformats.org/officeDocument/2006/relationships/hyperlink" Target="https://www.itu.int/pub/R-RES-R.1/fr" TargetMode="External"/><Relationship Id="rId537" Type="http://schemas.openxmlformats.org/officeDocument/2006/relationships/hyperlink" Target="https://www.itu.int/en/ITU-T/extcoop/figisymposium/Pages/FIGISITWG.aspx" TargetMode="External"/><Relationship Id="rId80" Type="http://schemas.openxmlformats.org/officeDocument/2006/relationships/hyperlink" Target="https://www.itu.int/en/ITU-T/focusgroups/ai4a/Pages/default.aspx" TargetMode="External"/><Relationship Id="rId176" Type="http://schemas.openxmlformats.org/officeDocument/2006/relationships/hyperlink" Target="https://news.itu.int/meet-sango-the-new-child-online-protection-mascot/" TargetMode="External"/><Relationship Id="rId383" Type="http://schemas.openxmlformats.org/officeDocument/2006/relationships/image" Target="media/image14.png"/><Relationship Id="rId590" Type="http://schemas.openxmlformats.org/officeDocument/2006/relationships/image" Target="media/image54.jpeg"/><Relationship Id="rId604" Type="http://schemas.openxmlformats.org/officeDocument/2006/relationships/image" Target="media/image68.jpeg"/><Relationship Id="rId243" Type="http://schemas.openxmlformats.org/officeDocument/2006/relationships/hyperlink" Target="https://www.itu.int/net4/wsis/stocktaking/Surveys/Surveys/Submit/15863048637525604" TargetMode="External"/><Relationship Id="rId450" Type="http://schemas.openxmlformats.org/officeDocument/2006/relationships/hyperlink" Target="https://www.itu.int/md/S20-CL-C-0012/en" TargetMode="External"/><Relationship Id="rId688" Type="http://schemas.openxmlformats.org/officeDocument/2006/relationships/theme" Target="theme/theme1.xml"/><Relationship Id="rId38" Type="http://schemas.openxmlformats.org/officeDocument/2006/relationships/hyperlink" Target="https://www.itu.int/md/T17-WTSA.20-C-0043/fr" TargetMode="External"/><Relationship Id="rId103" Type="http://schemas.openxmlformats.org/officeDocument/2006/relationships/hyperlink" Target="https://www.itu.int/en/ITU-D/Environment/Documents/Toolbox/GEM_2020_def.pdf" TargetMode="External"/><Relationship Id="rId310" Type="http://schemas.openxmlformats.org/officeDocument/2006/relationships/hyperlink" Target="http://www.wsis.org/prizes" TargetMode="External"/><Relationship Id="rId548" Type="http://schemas.openxmlformats.org/officeDocument/2006/relationships/hyperlink" Target="https://www.itu.int/rec/T-REC-G.1033-201910-I/en" TargetMode="External"/><Relationship Id="rId91" Type="http://schemas.openxmlformats.org/officeDocument/2006/relationships/hyperlink" Target="https://www.itu.int/en/publications/Documents/tsb/2020-Frontier-Technologies-to-Protect-the-Environment-and-Tackle-Climate-Change/index.html" TargetMode="External"/><Relationship Id="rId187" Type="http://schemas.openxmlformats.org/officeDocument/2006/relationships/hyperlink" Target="https://www.broadbandcommission.org/Documents/publications/DigitalGenderDivideProgressReport2018.pdf" TargetMode="External"/><Relationship Id="rId394" Type="http://schemas.openxmlformats.org/officeDocument/2006/relationships/image" Target="media/image25.png"/><Relationship Id="rId408" Type="http://schemas.openxmlformats.org/officeDocument/2006/relationships/hyperlink" Target="https://www.itu.int/md/S20-CL-C-0050/fr" TargetMode="External"/><Relationship Id="rId615"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B74A1-0E98-4627-8BEC-6CF5067F4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145</Pages>
  <Words>52291</Words>
  <Characters>346851</Characters>
  <Application>Microsoft Office Word</Application>
  <DocSecurity>0</DocSecurity>
  <Lines>2890</Lines>
  <Paragraphs>796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398346</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Plenipotentiary Conference (PP-22)</dc:subject>
  <dc:creator>Manias, Michel</dc:creator>
  <cp:keywords/>
  <dc:description/>
  <cp:lastModifiedBy>Frenchi</cp:lastModifiedBy>
  <cp:revision>5</cp:revision>
  <dcterms:created xsi:type="dcterms:W3CDTF">2022-07-20T08:07:00Z</dcterms:created>
  <dcterms:modified xsi:type="dcterms:W3CDTF">2022-07-20T08:57:00Z</dcterms:modified>
  <cp:category>Conference document</cp:category>
</cp:coreProperties>
</file>