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8ED9C" w14:textId="77777777" w:rsidR="00B915C1" w:rsidRPr="00D47CF9" w:rsidRDefault="00B915C1" w:rsidP="00FB4316">
      <w:pPr>
        <w:spacing w:line="240" w:lineRule="auto"/>
        <w:rPr>
          <w:rFonts w:cs="Arial"/>
        </w:rPr>
      </w:pPr>
    </w:p>
    <w:tbl>
      <w:tblPr>
        <w:tblpPr w:leftFromText="181" w:rightFromText="181" w:horzAnchor="margin" w:tblpY="-674"/>
        <w:tblW w:w="10314" w:type="dxa"/>
        <w:tblLayout w:type="fixed"/>
        <w:tblLook w:val="0000" w:firstRow="0" w:lastRow="0" w:firstColumn="0" w:lastColumn="0" w:noHBand="0" w:noVBand="0"/>
      </w:tblPr>
      <w:tblGrid>
        <w:gridCol w:w="6096"/>
        <w:gridCol w:w="4218"/>
      </w:tblGrid>
      <w:tr w:rsidR="005F153A" w14:paraId="3E4374D6" w14:textId="77777777" w:rsidTr="00CA20F2">
        <w:trPr>
          <w:cantSplit/>
        </w:trPr>
        <w:tc>
          <w:tcPr>
            <w:tcW w:w="6096" w:type="dxa"/>
            <w:vAlign w:val="center"/>
          </w:tcPr>
          <w:p w14:paraId="27564401" w14:textId="77777777" w:rsidR="005F153A" w:rsidRDefault="00867F8F" w:rsidP="00FB4316">
            <w:pPr>
              <w:spacing w:line="240" w:lineRule="auto"/>
              <w:rPr>
                <w:b/>
                <w:position w:val="6"/>
                <w:sz w:val="30"/>
                <w:szCs w:val="30"/>
              </w:rPr>
            </w:pPr>
            <w:bookmarkStart w:id="0" w:name="dc06"/>
            <w:bookmarkEnd w:id="0"/>
            <w:r w:rsidRPr="00867F8F">
              <w:rPr>
                <w:b/>
                <w:position w:val="6"/>
                <w:sz w:val="30"/>
                <w:szCs w:val="30"/>
              </w:rPr>
              <w:t>Council Working Group for</w:t>
            </w:r>
            <w:r w:rsidRPr="00867F8F">
              <w:rPr>
                <w:b/>
                <w:position w:val="6"/>
                <w:sz w:val="30"/>
                <w:szCs w:val="30"/>
              </w:rPr>
              <w:br/>
              <w:t>Strategic and Financial Plans 2024-2027</w:t>
            </w:r>
          </w:p>
          <w:p w14:paraId="39F05024" w14:textId="20538C4E" w:rsidR="00867F8F" w:rsidRPr="002F6797" w:rsidRDefault="00867F8F" w:rsidP="00FB4316">
            <w:pPr>
              <w:spacing w:line="240" w:lineRule="auto"/>
              <w:rPr>
                <w:b/>
                <w:position w:val="6"/>
                <w:sz w:val="30"/>
                <w:szCs w:val="30"/>
              </w:rPr>
            </w:pPr>
            <w:r w:rsidRPr="00867F8F">
              <w:rPr>
                <w:b/>
                <w:position w:val="6"/>
                <w:sz w:val="30"/>
                <w:szCs w:val="30"/>
              </w:rPr>
              <w:t>Council Working Group on</w:t>
            </w:r>
            <w:r w:rsidRPr="00867F8F">
              <w:rPr>
                <w:b/>
                <w:position w:val="6"/>
                <w:sz w:val="30"/>
                <w:szCs w:val="30"/>
              </w:rPr>
              <w:br/>
              <w:t>Financial and Human Resources</w:t>
            </w:r>
            <w:r w:rsidRPr="00867F8F">
              <w:rPr>
                <w:b/>
                <w:position w:val="6"/>
                <w:sz w:val="30"/>
                <w:szCs w:val="30"/>
              </w:rPr>
              <w:br/>
            </w:r>
            <w:r w:rsidRPr="00453B2D">
              <w:rPr>
                <w:b/>
                <w:position w:val="6"/>
                <w:sz w:val="24"/>
                <w:szCs w:val="24"/>
              </w:rPr>
              <w:t>Joint Session – 20 March 2022</w:t>
            </w:r>
          </w:p>
        </w:tc>
        <w:tc>
          <w:tcPr>
            <w:tcW w:w="4218" w:type="dxa"/>
          </w:tcPr>
          <w:p w14:paraId="533F4B95" w14:textId="77777777" w:rsidR="005F153A" w:rsidRPr="00D613F6" w:rsidRDefault="00CA20F2" w:rsidP="00FB4316">
            <w:pPr>
              <w:spacing w:before="120" w:line="240" w:lineRule="auto"/>
            </w:pPr>
            <w:bookmarkStart w:id="1" w:name="ditulogo"/>
            <w:bookmarkEnd w:id="1"/>
            <w:r>
              <w:rPr>
                <w:noProof/>
              </w:rPr>
              <w:drawing>
                <wp:inline distT="0" distB="0" distL="0" distR="0" wp14:anchorId="221E3885" wp14:editId="7C6B1570">
                  <wp:extent cx="682321" cy="720000"/>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TU-RGB-croppe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2321" cy="720000"/>
                          </a:xfrm>
                          <a:prstGeom prst="rect">
                            <a:avLst/>
                          </a:prstGeom>
                        </pic:spPr>
                      </pic:pic>
                    </a:graphicData>
                  </a:graphic>
                </wp:inline>
              </w:drawing>
            </w:r>
          </w:p>
        </w:tc>
      </w:tr>
      <w:tr w:rsidR="005F153A" w:rsidRPr="00617BE4" w14:paraId="055501BD" w14:textId="77777777" w:rsidTr="0036762C">
        <w:trPr>
          <w:cantSplit/>
        </w:trPr>
        <w:tc>
          <w:tcPr>
            <w:tcW w:w="6096" w:type="dxa"/>
            <w:tcBorders>
              <w:top w:val="single" w:sz="12" w:space="0" w:color="auto"/>
            </w:tcBorders>
          </w:tcPr>
          <w:p w14:paraId="3CE60A30" w14:textId="77777777" w:rsidR="005F153A" w:rsidRPr="00D613F6" w:rsidRDefault="005F153A" w:rsidP="00FB4316">
            <w:pPr>
              <w:snapToGrid w:val="0"/>
              <w:spacing w:after="0" w:line="240" w:lineRule="auto"/>
              <w:rPr>
                <w:b/>
                <w:smallCaps/>
              </w:rPr>
            </w:pPr>
          </w:p>
        </w:tc>
        <w:tc>
          <w:tcPr>
            <w:tcW w:w="4218" w:type="dxa"/>
            <w:tcBorders>
              <w:top w:val="single" w:sz="12" w:space="0" w:color="auto"/>
            </w:tcBorders>
          </w:tcPr>
          <w:p w14:paraId="6021A21C" w14:textId="77777777" w:rsidR="005F153A" w:rsidRPr="00D613F6" w:rsidRDefault="005F153A" w:rsidP="00FB4316">
            <w:pPr>
              <w:snapToGrid w:val="0"/>
              <w:spacing w:after="0" w:line="240" w:lineRule="auto"/>
              <w:ind w:left="209"/>
              <w:rPr>
                <w:rFonts w:ascii="Verdana" w:hAnsi="Verdana"/>
              </w:rPr>
            </w:pPr>
          </w:p>
        </w:tc>
      </w:tr>
      <w:tr w:rsidR="005F153A" w:rsidRPr="00FB4316" w14:paraId="414CFCAF" w14:textId="77777777" w:rsidTr="0036762C">
        <w:trPr>
          <w:cantSplit/>
          <w:trHeight w:val="23"/>
        </w:trPr>
        <w:tc>
          <w:tcPr>
            <w:tcW w:w="6096" w:type="dxa"/>
            <w:vMerge w:val="restart"/>
          </w:tcPr>
          <w:p w14:paraId="293062EA" w14:textId="77777777" w:rsidR="005F153A" w:rsidRPr="00D613F6" w:rsidRDefault="005F153A" w:rsidP="00FB4316">
            <w:pPr>
              <w:snapToGrid w:val="0"/>
              <w:spacing w:after="0" w:line="240" w:lineRule="auto"/>
              <w:rPr>
                <w:b/>
              </w:rPr>
            </w:pPr>
            <w:bookmarkStart w:id="2" w:name="dmeeting" w:colFirst="0" w:colLast="0"/>
            <w:bookmarkStart w:id="3" w:name="dnum" w:colFirst="1" w:colLast="1"/>
          </w:p>
        </w:tc>
        <w:tc>
          <w:tcPr>
            <w:tcW w:w="4218" w:type="dxa"/>
          </w:tcPr>
          <w:p w14:paraId="404F67C6" w14:textId="5F71B5F8" w:rsidR="005F153A" w:rsidRPr="00453B2D" w:rsidRDefault="00867F8F" w:rsidP="00FB4316">
            <w:pPr>
              <w:snapToGrid w:val="0"/>
              <w:spacing w:after="0" w:line="240" w:lineRule="auto"/>
              <w:ind w:left="57"/>
              <w:rPr>
                <w:rFonts w:cstheme="minorHAnsi"/>
                <w:b/>
                <w:spacing w:val="-4"/>
                <w:sz w:val="24"/>
                <w:szCs w:val="24"/>
                <w:lang w:val="it-CH"/>
              </w:rPr>
            </w:pPr>
            <w:r w:rsidRPr="00453B2D">
              <w:rPr>
                <w:rFonts w:cstheme="minorHAnsi"/>
                <w:b/>
                <w:spacing w:val="-4"/>
                <w:sz w:val="24"/>
                <w:szCs w:val="24"/>
                <w:lang w:val="de-CH"/>
              </w:rPr>
              <w:t>Document CWG-SFP-FHR-1/</w:t>
            </w:r>
            <w:r w:rsidR="00A06D04">
              <w:rPr>
                <w:rFonts w:cstheme="minorHAnsi"/>
                <w:b/>
                <w:spacing w:val="-4"/>
                <w:sz w:val="24"/>
                <w:szCs w:val="24"/>
                <w:lang w:val="de-CH"/>
              </w:rPr>
              <w:t>2</w:t>
            </w:r>
            <w:r w:rsidRPr="00453B2D">
              <w:rPr>
                <w:rFonts w:cstheme="minorHAnsi"/>
                <w:b/>
                <w:spacing w:val="-4"/>
                <w:sz w:val="24"/>
                <w:szCs w:val="24"/>
                <w:lang w:val="de-CH"/>
              </w:rPr>
              <w:t>-E</w:t>
            </w:r>
          </w:p>
        </w:tc>
      </w:tr>
      <w:tr w:rsidR="005F153A" w:rsidRPr="00E544AC" w14:paraId="738CA7AF" w14:textId="77777777" w:rsidTr="0036762C">
        <w:trPr>
          <w:cantSplit/>
          <w:trHeight w:val="23"/>
        </w:trPr>
        <w:tc>
          <w:tcPr>
            <w:tcW w:w="6096" w:type="dxa"/>
            <w:vMerge/>
          </w:tcPr>
          <w:p w14:paraId="418692AD" w14:textId="77777777" w:rsidR="005F153A" w:rsidRPr="006A5DD8" w:rsidRDefault="005F153A" w:rsidP="00FB4316">
            <w:pPr>
              <w:snapToGrid w:val="0"/>
              <w:spacing w:after="0" w:line="240" w:lineRule="auto"/>
              <w:rPr>
                <w:b/>
                <w:lang w:val="it-CH"/>
              </w:rPr>
            </w:pPr>
            <w:bookmarkStart w:id="4" w:name="ddate" w:colFirst="1" w:colLast="1"/>
            <w:bookmarkEnd w:id="2"/>
            <w:bookmarkEnd w:id="3"/>
          </w:p>
        </w:tc>
        <w:tc>
          <w:tcPr>
            <w:tcW w:w="4218" w:type="dxa"/>
          </w:tcPr>
          <w:p w14:paraId="62B5CD2A" w14:textId="58557164" w:rsidR="005F153A" w:rsidRPr="00453B2D" w:rsidRDefault="006A5DD8" w:rsidP="00FB4316">
            <w:pPr>
              <w:snapToGrid w:val="0"/>
              <w:spacing w:after="0" w:line="240" w:lineRule="auto"/>
              <w:ind w:left="57"/>
              <w:rPr>
                <w:rFonts w:cstheme="minorHAnsi"/>
                <w:b/>
                <w:sz w:val="24"/>
                <w:szCs w:val="24"/>
                <w:lang w:val="en-US"/>
              </w:rPr>
            </w:pPr>
            <w:r w:rsidRPr="00453B2D">
              <w:rPr>
                <w:rFonts w:cstheme="minorHAnsi"/>
                <w:b/>
                <w:sz w:val="24"/>
                <w:szCs w:val="24"/>
                <w:lang w:val="en-US"/>
              </w:rPr>
              <w:t>17</w:t>
            </w:r>
            <w:r w:rsidR="00175D3F" w:rsidRPr="00453B2D">
              <w:rPr>
                <w:rFonts w:cstheme="minorHAnsi"/>
                <w:b/>
                <w:sz w:val="24"/>
                <w:szCs w:val="24"/>
              </w:rPr>
              <w:t xml:space="preserve"> </w:t>
            </w:r>
            <w:r w:rsidRPr="00453B2D">
              <w:rPr>
                <w:rFonts w:cstheme="minorHAnsi"/>
                <w:b/>
                <w:sz w:val="24"/>
                <w:szCs w:val="24"/>
                <w:lang w:val="en-US"/>
              </w:rPr>
              <w:t>March</w:t>
            </w:r>
            <w:r w:rsidR="000F2E67" w:rsidRPr="00453B2D">
              <w:rPr>
                <w:rFonts w:cstheme="minorHAnsi"/>
                <w:b/>
                <w:sz w:val="24"/>
                <w:szCs w:val="24"/>
              </w:rPr>
              <w:t xml:space="preserve"> 20</w:t>
            </w:r>
            <w:r w:rsidR="000E334D" w:rsidRPr="00453B2D">
              <w:rPr>
                <w:rFonts w:cstheme="minorHAnsi"/>
                <w:b/>
                <w:sz w:val="24"/>
                <w:szCs w:val="24"/>
              </w:rPr>
              <w:t>2</w:t>
            </w:r>
            <w:r w:rsidRPr="00453B2D">
              <w:rPr>
                <w:rFonts w:cstheme="minorHAnsi"/>
                <w:b/>
                <w:sz w:val="24"/>
                <w:szCs w:val="24"/>
                <w:lang w:val="en-US"/>
              </w:rPr>
              <w:t>2</w:t>
            </w:r>
          </w:p>
        </w:tc>
      </w:tr>
      <w:tr w:rsidR="005F153A" w:rsidRPr="00E544AC" w14:paraId="1438B3DD" w14:textId="77777777" w:rsidTr="0036762C">
        <w:trPr>
          <w:cantSplit/>
          <w:trHeight w:val="80"/>
        </w:trPr>
        <w:tc>
          <w:tcPr>
            <w:tcW w:w="6096" w:type="dxa"/>
            <w:vMerge/>
          </w:tcPr>
          <w:p w14:paraId="7609E632" w14:textId="77777777" w:rsidR="005F153A" w:rsidRPr="00E544AC" w:rsidRDefault="005F153A" w:rsidP="00FB4316">
            <w:pPr>
              <w:snapToGrid w:val="0"/>
              <w:spacing w:after="0" w:line="240" w:lineRule="auto"/>
              <w:rPr>
                <w:b/>
              </w:rPr>
            </w:pPr>
            <w:bookmarkStart w:id="5" w:name="dorlang" w:colFirst="1" w:colLast="1"/>
            <w:bookmarkEnd w:id="4"/>
          </w:p>
        </w:tc>
        <w:tc>
          <w:tcPr>
            <w:tcW w:w="4218" w:type="dxa"/>
          </w:tcPr>
          <w:p w14:paraId="74D115A8" w14:textId="77777777" w:rsidR="005F153A" w:rsidRPr="00453B2D" w:rsidRDefault="005F153A" w:rsidP="00FB4316">
            <w:pPr>
              <w:snapToGrid w:val="0"/>
              <w:spacing w:after="0" w:line="240" w:lineRule="auto"/>
              <w:ind w:left="57"/>
              <w:rPr>
                <w:rFonts w:cstheme="minorHAnsi"/>
                <w:b/>
                <w:sz w:val="24"/>
                <w:szCs w:val="24"/>
              </w:rPr>
            </w:pPr>
            <w:r w:rsidRPr="00453B2D">
              <w:rPr>
                <w:rFonts w:cstheme="minorHAnsi"/>
                <w:b/>
                <w:sz w:val="24"/>
                <w:szCs w:val="24"/>
              </w:rPr>
              <w:t>English only</w:t>
            </w:r>
          </w:p>
        </w:tc>
      </w:tr>
      <w:bookmarkEnd w:id="5"/>
      <w:tr w:rsidR="00857FF1" w:rsidRPr="00E544AC" w14:paraId="274ACDD0" w14:textId="77777777" w:rsidTr="00056F6B">
        <w:trPr>
          <w:cantSplit/>
          <w:trHeight w:val="80"/>
        </w:trPr>
        <w:tc>
          <w:tcPr>
            <w:tcW w:w="10314" w:type="dxa"/>
            <w:gridSpan w:val="2"/>
          </w:tcPr>
          <w:p w14:paraId="20E90AAA" w14:textId="7AA56276" w:rsidR="00857FF1" w:rsidRPr="00453B2D" w:rsidRDefault="00857FF1" w:rsidP="00FB4316">
            <w:pPr>
              <w:pStyle w:val="Source"/>
              <w:framePr w:hSpace="0" w:wrap="auto" w:hAnchor="text" w:yAlign="inline"/>
              <w:spacing w:line="240" w:lineRule="auto"/>
              <w:rPr>
                <w:lang w:val="en-US"/>
              </w:rPr>
            </w:pPr>
            <w:r w:rsidRPr="00453B2D">
              <w:t xml:space="preserve">Contribution by </w:t>
            </w:r>
            <w:r w:rsidR="006A5DD8" w:rsidRPr="00453B2D">
              <w:rPr>
                <w:lang w:val="en-US"/>
              </w:rPr>
              <w:t>the Secret</w:t>
            </w:r>
            <w:r w:rsidR="00453B2D" w:rsidRPr="00453B2D">
              <w:rPr>
                <w:lang w:val="en-US"/>
              </w:rPr>
              <w:t>ariat</w:t>
            </w:r>
          </w:p>
        </w:tc>
      </w:tr>
      <w:tr w:rsidR="00857FF1" w:rsidRPr="00E544AC" w14:paraId="051AB311" w14:textId="77777777" w:rsidTr="00056F6B">
        <w:trPr>
          <w:cantSplit/>
          <w:trHeight w:val="80"/>
        </w:trPr>
        <w:tc>
          <w:tcPr>
            <w:tcW w:w="10314" w:type="dxa"/>
            <w:gridSpan w:val="2"/>
          </w:tcPr>
          <w:p w14:paraId="0A9D4355" w14:textId="77777777" w:rsidR="00857FF1" w:rsidRDefault="006A5DD8" w:rsidP="00FB4316">
            <w:pPr>
              <w:pStyle w:val="Title1"/>
              <w:framePr w:hSpace="0" w:wrap="auto" w:hAnchor="text" w:yAlign="inline"/>
              <w:spacing w:line="240" w:lineRule="auto"/>
              <w:rPr>
                <w:lang w:val="en-US"/>
              </w:rPr>
            </w:pPr>
            <w:bookmarkStart w:id="6" w:name="_Hlk98427625"/>
            <w:r>
              <w:rPr>
                <w:lang w:val="en-US"/>
              </w:rPr>
              <w:t>Linking the strategic and financial plans</w:t>
            </w:r>
          </w:p>
          <w:p w14:paraId="7BC664EC" w14:textId="31E595B6" w:rsidR="006A5DD8" w:rsidRPr="006A5DD8" w:rsidRDefault="006A5DD8" w:rsidP="00FB4316">
            <w:pPr>
              <w:pStyle w:val="Title2"/>
              <w:framePr w:hSpace="0" w:wrap="auto" w:hAnchor="text" w:yAlign="inline"/>
              <w:spacing w:line="240" w:lineRule="auto"/>
              <w:rPr>
                <w:lang w:val="en-US"/>
              </w:rPr>
            </w:pPr>
            <w:r>
              <w:rPr>
                <w:lang w:val="en-US"/>
              </w:rPr>
              <w:t>Cost allocation methodology</w:t>
            </w:r>
            <w:bookmarkEnd w:id="6"/>
          </w:p>
        </w:tc>
      </w:tr>
    </w:tbl>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5"/>
      </w:tblGrid>
      <w:tr w:rsidR="00857FF1" w:rsidRPr="001F57C2" w14:paraId="184840CF" w14:textId="77777777" w:rsidTr="00056F6B">
        <w:trPr>
          <w:trHeight w:val="3372"/>
        </w:trPr>
        <w:tc>
          <w:tcPr>
            <w:tcW w:w="9355" w:type="dxa"/>
            <w:tcBorders>
              <w:top w:val="single" w:sz="12" w:space="0" w:color="auto"/>
              <w:left w:val="single" w:sz="12" w:space="0" w:color="auto"/>
              <w:bottom w:val="single" w:sz="12" w:space="0" w:color="auto"/>
              <w:right w:val="single" w:sz="12" w:space="0" w:color="auto"/>
            </w:tcBorders>
          </w:tcPr>
          <w:p w14:paraId="418BBC43" w14:textId="77777777" w:rsidR="00857FF1" w:rsidRPr="00120E88" w:rsidRDefault="00857FF1" w:rsidP="00FB4316">
            <w:pPr>
              <w:snapToGrid w:val="0"/>
              <w:spacing w:before="120" w:after="120" w:line="240" w:lineRule="auto"/>
              <w:ind w:left="869" w:hanging="869"/>
              <w:rPr>
                <w:rFonts w:eastAsia="SimSun"/>
                <w:b/>
                <w:bCs/>
                <w:sz w:val="24"/>
                <w:szCs w:val="24"/>
              </w:rPr>
            </w:pPr>
            <w:r w:rsidRPr="00120E88">
              <w:rPr>
                <w:rFonts w:eastAsia="SimSun"/>
                <w:b/>
                <w:bCs/>
                <w:sz w:val="24"/>
                <w:szCs w:val="24"/>
              </w:rPr>
              <w:t>Summary</w:t>
            </w:r>
          </w:p>
          <w:p w14:paraId="28C22265" w14:textId="5CE9038A" w:rsidR="00857FF1" w:rsidRPr="00120E88" w:rsidRDefault="006A5DD8" w:rsidP="00FB4316">
            <w:pPr>
              <w:snapToGrid w:val="0"/>
              <w:spacing w:before="120" w:after="120" w:line="240" w:lineRule="auto"/>
              <w:ind w:right="64"/>
              <w:jc w:val="both"/>
              <w:rPr>
                <w:rFonts w:eastAsia="SimSun"/>
                <w:sz w:val="24"/>
                <w:szCs w:val="24"/>
                <w:lang w:val="en-US"/>
              </w:rPr>
            </w:pPr>
            <w:r w:rsidRPr="00120E88">
              <w:rPr>
                <w:rFonts w:eastAsia="SimSun"/>
                <w:sz w:val="24"/>
                <w:szCs w:val="24"/>
                <w:lang w:val="en-US"/>
              </w:rPr>
              <w:t>The purpose of this document is to provide detailed information on the cost structure and cost allocation methodology as well as the draft Appendix A of the Strategic Plan that provide the resource allocation to the Thematic Priorities.</w:t>
            </w:r>
          </w:p>
          <w:p w14:paraId="3AAE3E2E" w14:textId="77777777" w:rsidR="00857FF1" w:rsidRPr="00120E88" w:rsidRDefault="00857FF1" w:rsidP="00FB4316">
            <w:pPr>
              <w:snapToGrid w:val="0"/>
              <w:spacing w:before="120" w:after="120" w:line="240" w:lineRule="auto"/>
              <w:ind w:left="862" w:hanging="868"/>
              <w:jc w:val="both"/>
              <w:rPr>
                <w:rFonts w:eastAsia="SimSun"/>
                <w:b/>
                <w:bCs/>
                <w:sz w:val="24"/>
                <w:szCs w:val="24"/>
              </w:rPr>
            </w:pPr>
            <w:r w:rsidRPr="00120E88">
              <w:rPr>
                <w:rFonts w:eastAsia="SimSun"/>
                <w:b/>
                <w:bCs/>
                <w:sz w:val="24"/>
                <w:szCs w:val="24"/>
              </w:rPr>
              <w:t>Action required</w:t>
            </w:r>
          </w:p>
          <w:p w14:paraId="49943B1C" w14:textId="62E1B884" w:rsidR="00857FF1" w:rsidRPr="00120E88" w:rsidRDefault="00F547F3" w:rsidP="00FB4316">
            <w:pPr>
              <w:snapToGrid w:val="0"/>
              <w:spacing w:before="120" w:after="120" w:line="240" w:lineRule="auto"/>
              <w:ind w:right="64"/>
              <w:jc w:val="both"/>
              <w:rPr>
                <w:sz w:val="24"/>
                <w:szCs w:val="24"/>
                <w:lang w:val="en-US"/>
              </w:rPr>
            </w:pPr>
            <w:r w:rsidRPr="00F547F3">
              <w:rPr>
                <w:rFonts w:cstheme="minorHAnsi"/>
                <w:bCs/>
                <w:spacing w:val="-4"/>
                <w:sz w:val="24"/>
                <w:szCs w:val="24"/>
                <w:lang w:val="de-CH"/>
              </w:rPr>
              <w:t>CWG-SFP-FHR</w:t>
            </w:r>
            <w:r w:rsidRPr="00F547F3">
              <w:rPr>
                <w:bCs/>
                <w:sz w:val="24"/>
                <w:szCs w:val="24"/>
                <w:lang w:val="en-US"/>
              </w:rPr>
              <w:t xml:space="preserve"> </w:t>
            </w:r>
            <w:r w:rsidR="006A5DD8" w:rsidRPr="00120E88">
              <w:rPr>
                <w:sz w:val="24"/>
                <w:szCs w:val="24"/>
                <w:lang w:val="en-US"/>
              </w:rPr>
              <w:t>is requested to review this document and provide advice and comments</w:t>
            </w:r>
            <w:r>
              <w:rPr>
                <w:sz w:val="24"/>
                <w:szCs w:val="24"/>
                <w:lang w:val="en-US"/>
              </w:rPr>
              <w:t>.</w:t>
            </w:r>
          </w:p>
          <w:p w14:paraId="5AD561BE" w14:textId="77777777" w:rsidR="00FB4316" w:rsidRDefault="00FB4316" w:rsidP="00FB4316">
            <w:pPr>
              <w:spacing w:line="240" w:lineRule="auto"/>
              <w:jc w:val="center"/>
            </w:pPr>
            <w:r>
              <w:t>______________</w:t>
            </w:r>
          </w:p>
          <w:p w14:paraId="56AC7730" w14:textId="69C3E331" w:rsidR="00857FF1" w:rsidRDefault="00857FF1" w:rsidP="00FB4316">
            <w:pPr>
              <w:snapToGrid w:val="0"/>
              <w:spacing w:before="120" w:after="120" w:line="240" w:lineRule="auto"/>
              <w:ind w:left="862" w:hanging="868"/>
              <w:jc w:val="both"/>
              <w:rPr>
                <w:rFonts w:eastAsia="SimSun"/>
                <w:b/>
                <w:bCs/>
                <w:sz w:val="24"/>
                <w:szCs w:val="24"/>
              </w:rPr>
            </w:pPr>
            <w:r w:rsidRPr="00120E88">
              <w:rPr>
                <w:rFonts w:eastAsia="SimSun"/>
                <w:b/>
                <w:bCs/>
                <w:sz w:val="24"/>
                <w:szCs w:val="24"/>
              </w:rPr>
              <w:t>References</w:t>
            </w:r>
          </w:p>
          <w:p w14:paraId="1AEFB634" w14:textId="00D7AC96" w:rsidR="00F547F3" w:rsidRPr="00F547F3" w:rsidRDefault="00FB4316" w:rsidP="00FB4316">
            <w:pPr>
              <w:snapToGrid w:val="0"/>
              <w:spacing w:before="120" w:after="0" w:line="240" w:lineRule="auto"/>
              <w:ind w:left="862" w:hanging="868"/>
              <w:jc w:val="both"/>
              <w:rPr>
                <w:rFonts w:eastAsia="SimSun"/>
                <w:sz w:val="24"/>
                <w:szCs w:val="24"/>
              </w:rPr>
            </w:pPr>
            <w:r>
              <w:rPr>
                <w:rFonts w:eastAsia="SimSun"/>
                <w:sz w:val="24"/>
                <w:szCs w:val="24"/>
              </w:rPr>
              <w:t>Council d</w:t>
            </w:r>
            <w:r w:rsidR="00F547F3" w:rsidRPr="00F547F3">
              <w:rPr>
                <w:rFonts w:eastAsia="SimSun"/>
                <w:sz w:val="24"/>
                <w:szCs w:val="24"/>
              </w:rPr>
              <w:t xml:space="preserve">ocument </w:t>
            </w:r>
            <w:hyperlink r:id="rId13" w:history="1">
              <w:r w:rsidR="00F547F3" w:rsidRPr="00A06D04">
                <w:rPr>
                  <w:rStyle w:val="Hyperlink"/>
                  <w:rFonts w:eastAsia="SimSun"/>
                  <w:sz w:val="24"/>
                  <w:szCs w:val="24"/>
                </w:rPr>
                <w:t>C22/63</w:t>
              </w:r>
            </w:hyperlink>
            <w:r>
              <w:rPr>
                <w:rStyle w:val="Hyperlink"/>
                <w:rFonts w:eastAsia="SimSun"/>
                <w:sz w:val="24"/>
                <w:szCs w:val="24"/>
              </w:rPr>
              <w:t xml:space="preserve">; </w:t>
            </w:r>
          </w:p>
          <w:p w14:paraId="31655A5C" w14:textId="61716009" w:rsidR="00857FF1" w:rsidRPr="00120E88" w:rsidRDefault="00FB4316" w:rsidP="00FB4316">
            <w:pPr>
              <w:snapToGrid w:val="0"/>
              <w:spacing w:after="120" w:line="240" w:lineRule="auto"/>
              <w:ind w:right="62"/>
              <w:jc w:val="both"/>
              <w:rPr>
                <w:sz w:val="24"/>
                <w:szCs w:val="24"/>
                <w:lang w:val="en-US"/>
              </w:rPr>
            </w:pPr>
            <w:hyperlink r:id="rId14" w:history="1">
              <w:r w:rsidR="006A5DD8" w:rsidRPr="00FB4316">
                <w:rPr>
                  <w:rStyle w:val="Hyperlink"/>
                  <w:sz w:val="24"/>
                  <w:szCs w:val="24"/>
                  <w:lang w:val="en-US"/>
                </w:rPr>
                <w:t>Resolution 71 (</w:t>
              </w:r>
              <w:r w:rsidR="00120E88" w:rsidRPr="00FB4316">
                <w:rPr>
                  <w:rStyle w:val="Hyperlink"/>
                  <w:sz w:val="24"/>
                  <w:szCs w:val="24"/>
                  <w:lang w:val="en-US"/>
                </w:rPr>
                <w:t>Rev. Dubai, 2018</w:t>
              </w:r>
              <w:r w:rsidR="006A5DD8" w:rsidRPr="00FB4316">
                <w:rPr>
                  <w:rStyle w:val="Hyperlink"/>
                  <w:sz w:val="24"/>
                  <w:szCs w:val="24"/>
                  <w:lang w:val="en-US"/>
                </w:rPr>
                <w:t>)</w:t>
              </w:r>
            </w:hyperlink>
          </w:p>
        </w:tc>
      </w:tr>
    </w:tbl>
    <w:p w14:paraId="37B7D2C9" w14:textId="181DCFD6" w:rsidR="00CC597D" w:rsidRDefault="00CC597D" w:rsidP="00FB4316">
      <w:pPr>
        <w:spacing w:before="120" w:after="120" w:line="240" w:lineRule="auto"/>
        <w:rPr>
          <w:rFonts w:cstheme="majorBidi"/>
        </w:rPr>
      </w:pPr>
    </w:p>
    <w:p w14:paraId="4ABAF3CC" w14:textId="0127B5A6" w:rsidR="00857FF1" w:rsidRDefault="00857FF1" w:rsidP="00FB4316">
      <w:pPr>
        <w:spacing w:line="240" w:lineRule="auto"/>
        <w:rPr>
          <w:rFonts w:cstheme="majorBidi"/>
        </w:rPr>
      </w:pPr>
      <w:r>
        <w:rPr>
          <w:rFonts w:cstheme="majorBidi"/>
        </w:rPr>
        <w:br w:type="page"/>
      </w:r>
    </w:p>
    <w:p w14:paraId="7030C73F" w14:textId="515112BB" w:rsidR="008A283A" w:rsidRPr="00B70990" w:rsidRDefault="008A283A" w:rsidP="00FB4316">
      <w:pPr>
        <w:snapToGrid w:val="0"/>
        <w:spacing w:before="240" w:after="120" w:line="240" w:lineRule="auto"/>
        <w:jc w:val="both"/>
        <w:rPr>
          <w:rFonts w:cstheme="minorHAnsi"/>
          <w:b/>
          <w:bCs/>
          <w:sz w:val="24"/>
          <w:szCs w:val="24"/>
        </w:rPr>
      </w:pPr>
      <w:r w:rsidRPr="00B70990">
        <w:rPr>
          <w:rFonts w:cstheme="minorHAnsi"/>
          <w:b/>
          <w:bCs/>
          <w:sz w:val="24"/>
          <w:szCs w:val="24"/>
          <w:lang w:val="en-US"/>
        </w:rPr>
        <w:lastRenderedPageBreak/>
        <w:t>1</w:t>
      </w:r>
      <w:r w:rsidRPr="00B70990">
        <w:rPr>
          <w:rFonts w:cstheme="minorHAnsi"/>
          <w:b/>
          <w:bCs/>
          <w:sz w:val="24"/>
          <w:szCs w:val="24"/>
        </w:rPr>
        <w:t xml:space="preserve"> </w:t>
      </w:r>
      <w:r w:rsidRPr="00B70990">
        <w:rPr>
          <w:rFonts w:cstheme="minorHAnsi"/>
          <w:b/>
          <w:bCs/>
          <w:sz w:val="24"/>
          <w:szCs w:val="24"/>
        </w:rPr>
        <w:tab/>
        <w:t>Cost structure and cost allocation methodology</w:t>
      </w:r>
    </w:p>
    <w:p w14:paraId="1A58BE44" w14:textId="3CBCEBF1" w:rsidR="008A283A" w:rsidRPr="00B70990" w:rsidRDefault="008A283A" w:rsidP="00FB4316">
      <w:pPr>
        <w:snapToGrid w:val="0"/>
        <w:spacing w:before="120" w:after="120" w:line="240" w:lineRule="auto"/>
        <w:jc w:val="both"/>
        <w:rPr>
          <w:rFonts w:cstheme="minorHAnsi"/>
          <w:sz w:val="24"/>
          <w:szCs w:val="24"/>
        </w:rPr>
      </w:pPr>
      <w:r w:rsidRPr="00B70990">
        <w:rPr>
          <w:rFonts w:cstheme="minorHAnsi"/>
          <w:sz w:val="24"/>
          <w:szCs w:val="24"/>
          <w:lang w:val="en-US"/>
        </w:rPr>
        <w:t>1</w:t>
      </w:r>
      <w:r w:rsidRPr="00B70990">
        <w:rPr>
          <w:rFonts w:cstheme="minorHAnsi"/>
          <w:sz w:val="24"/>
          <w:szCs w:val="24"/>
        </w:rPr>
        <w:t>.1</w:t>
      </w:r>
      <w:r w:rsidRPr="00B70990">
        <w:rPr>
          <w:rFonts w:cstheme="minorHAnsi"/>
          <w:sz w:val="24"/>
          <w:szCs w:val="24"/>
        </w:rPr>
        <w:tab/>
        <w:t>The full cost allocation to each Results-Based Budget component, i.e., the Goals, Objectives</w:t>
      </w:r>
      <w:r w:rsidRPr="00B70990">
        <w:rPr>
          <w:rFonts w:cstheme="minorHAnsi"/>
          <w:sz w:val="24"/>
          <w:szCs w:val="24"/>
          <w:lang w:val="en-US"/>
        </w:rPr>
        <w:t xml:space="preserve"> now Thematic Priorities</w:t>
      </w:r>
      <w:r w:rsidRPr="00B70990">
        <w:rPr>
          <w:rFonts w:cstheme="minorHAnsi"/>
          <w:sz w:val="24"/>
          <w:szCs w:val="24"/>
        </w:rPr>
        <w:t xml:space="preserve"> and Outputs is based on the cost allocation methodology described in Council Decision 535</w:t>
      </w:r>
      <w:r w:rsidRPr="00B70990">
        <w:rPr>
          <w:rFonts w:cstheme="minorHAnsi"/>
          <w:sz w:val="24"/>
          <w:szCs w:val="24"/>
          <w:lang w:val="en-US"/>
        </w:rPr>
        <w:t xml:space="preserve"> (Mod 2014)</w:t>
      </w:r>
      <w:r w:rsidRPr="00B70990">
        <w:rPr>
          <w:rFonts w:cstheme="minorHAnsi"/>
          <w:sz w:val="24"/>
          <w:szCs w:val="24"/>
        </w:rPr>
        <w:t>.</w:t>
      </w:r>
    </w:p>
    <w:p w14:paraId="5987EC47" w14:textId="4781339F" w:rsidR="008A283A" w:rsidRPr="00B70990" w:rsidRDefault="008A283A" w:rsidP="00FB4316">
      <w:pPr>
        <w:snapToGrid w:val="0"/>
        <w:spacing w:before="120" w:after="120" w:line="240" w:lineRule="auto"/>
        <w:jc w:val="both"/>
        <w:rPr>
          <w:rFonts w:cstheme="minorHAnsi"/>
          <w:sz w:val="24"/>
          <w:szCs w:val="24"/>
        </w:rPr>
      </w:pPr>
      <w:r w:rsidRPr="00B70990">
        <w:rPr>
          <w:rFonts w:cstheme="minorHAnsi"/>
          <w:sz w:val="24"/>
          <w:szCs w:val="24"/>
          <w:lang w:val="en-US"/>
        </w:rPr>
        <w:t>1</w:t>
      </w:r>
      <w:r w:rsidRPr="00B70990">
        <w:rPr>
          <w:rFonts w:cstheme="minorHAnsi"/>
          <w:sz w:val="24"/>
          <w:szCs w:val="24"/>
        </w:rPr>
        <w:t>.2</w:t>
      </w:r>
      <w:r w:rsidRPr="00B70990">
        <w:rPr>
          <w:rFonts w:cstheme="minorHAnsi"/>
          <w:sz w:val="24"/>
          <w:szCs w:val="24"/>
        </w:rPr>
        <w:tab/>
        <w:t>The full cost structure stands as follows:</w:t>
      </w:r>
    </w:p>
    <w:p w14:paraId="4E8034C3" w14:textId="77777777" w:rsidR="008A283A" w:rsidRPr="00505F53" w:rsidRDefault="008A283A" w:rsidP="00FB4316">
      <w:pPr>
        <w:snapToGrid w:val="0"/>
        <w:spacing w:before="240" w:after="120" w:line="240" w:lineRule="auto"/>
        <w:jc w:val="center"/>
        <w:rPr>
          <w:rFonts w:cstheme="minorHAnsi"/>
        </w:rPr>
      </w:pPr>
      <w:r w:rsidRPr="00381B84">
        <w:rPr>
          <w:noProof/>
        </w:rPr>
        <w:drawing>
          <wp:inline distT="0" distB="0" distL="0" distR="0" wp14:anchorId="1B595AC2" wp14:editId="4DFB8451">
            <wp:extent cx="3649980" cy="274320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49980" cy="2743200"/>
                    </a:xfrm>
                    <a:prstGeom prst="rect">
                      <a:avLst/>
                    </a:prstGeom>
                    <a:noFill/>
                    <a:ln>
                      <a:noFill/>
                    </a:ln>
                  </pic:spPr>
                </pic:pic>
              </a:graphicData>
            </a:graphic>
          </wp:inline>
        </w:drawing>
      </w:r>
    </w:p>
    <w:p w14:paraId="2774F5EE" w14:textId="7B4E5FDC" w:rsidR="008A283A" w:rsidRPr="00B70990" w:rsidRDefault="008A283A" w:rsidP="00FB4316">
      <w:pPr>
        <w:snapToGrid w:val="0"/>
        <w:spacing w:before="120" w:after="120" w:line="240" w:lineRule="auto"/>
        <w:jc w:val="both"/>
        <w:rPr>
          <w:rFonts w:cstheme="minorHAnsi"/>
          <w:sz w:val="24"/>
          <w:szCs w:val="24"/>
        </w:rPr>
      </w:pPr>
      <w:r w:rsidRPr="00B70990">
        <w:rPr>
          <w:rFonts w:cstheme="minorHAnsi"/>
          <w:sz w:val="24"/>
          <w:szCs w:val="24"/>
          <w:lang w:val="en-US"/>
        </w:rPr>
        <w:t>1</w:t>
      </w:r>
      <w:r w:rsidRPr="00B70990">
        <w:rPr>
          <w:rFonts w:cstheme="minorHAnsi"/>
          <w:sz w:val="24"/>
          <w:szCs w:val="24"/>
        </w:rPr>
        <w:t>.3</w:t>
      </w:r>
      <w:r w:rsidRPr="00B70990">
        <w:rPr>
          <w:rFonts w:cstheme="minorHAnsi"/>
          <w:sz w:val="24"/>
          <w:szCs w:val="24"/>
        </w:rPr>
        <w:tab/>
        <w:t>The Planned Expenses (Financial Budget) are represented by the Categories of Expenses as follows:</w:t>
      </w:r>
    </w:p>
    <w:p w14:paraId="4D0B842D" w14:textId="77777777" w:rsidR="008A283A" w:rsidRPr="00B70990" w:rsidRDefault="008A283A" w:rsidP="00FB4316">
      <w:pPr>
        <w:snapToGrid w:val="0"/>
        <w:spacing w:before="120" w:after="120" w:line="240" w:lineRule="auto"/>
        <w:jc w:val="both"/>
        <w:rPr>
          <w:rFonts w:cstheme="minorHAnsi"/>
          <w:sz w:val="24"/>
          <w:szCs w:val="24"/>
          <w:u w:val="single"/>
        </w:rPr>
      </w:pPr>
      <w:r w:rsidRPr="00B70990">
        <w:rPr>
          <w:rFonts w:cstheme="minorHAnsi"/>
          <w:sz w:val="24"/>
          <w:szCs w:val="24"/>
          <w:u w:val="single"/>
        </w:rPr>
        <w:t>Staff costs</w:t>
      </w:r>
    </w:p>
    <w:p w14:paraId="4DDA8E95" w14:textId="60E2730F" w:rsidR="008A283A" w:rsidRPr="00B70990" w:rsidRDefault="008A283A" w:rsidP="00FB4316">
      <w:pPr>
        <w:pStyle w:val="ListParagraph"/>
        <w:numPr>
          <w:ilvl w:val="0"/>
          <w:numId w:val="8"/>
        </w:numPr>
        <w:tabs>
          <w:tab w:val="left" w:pos="567"/>
          <w:tab w:val="left" w:pos="1134"/>
          <w:tab w:val="left" w:pos="1701"/>
          <w:tab w:val="left" w:pos="2268"/>
          <w:tab w:val="left" w:pos="2835"/>
        </w:tabs>
        <w:overflowPunct w:val="0"/>
        <w:autoSpaceDE w:val="0"/>
        <w:autoSpaceDN w:val="0"/>
        <w:adjustRightInd w:val="0"/>
        <w:snapToGrid w:val="0"/>
        <w:spacing w:before="120" w:after="120" w:line="240" w:lineRule="auto"/>
        <w:jc w:val="both"/>
        <w:textAlignment w:val="baseline"/>
        <w:rPr>
          <w:rFonts w:cstheme="minorHAnsi"/>
          <w:sz w:val="24"/>
          <w:szCs w:val="24"/>
        </w:rPr>
      </w:pPr>
      <w:r w:rsidRPr="00B70990">
        <w:rPr>
          <w:rFonts w:cstheme="minorHAnsi"/>
          <w:sz w:val="24"/>
          <w:szCs w:val="24"/>
        </w:rPr>
        <w:t>Category 1 Staff costs (salaries and allowances, etc.</w:t>
      </w:r>
      <w:proofErr w:type="gramStart"/>
      <w:r w:rsidRPr="00B70990">
        <w:rPr>
          <w:rFonts w:cstheme="minorHAnsi"/>
          <w:sz w:val="24"/>
          <w:szCs w:val="24"/>
        </w:rPr>
        <w:t>)</w:t>
      </w:r>
      <w:r w:rsidR="00A06D04">
        <w:rPr>
          <w:rFonts w:cstheme="minorHAnsi"/>
          <w:sz w:val="24"/>
          <w:szCs w:val="24"/>
        </w:rPr>
        <w:t>;</w:t>
      </w:r>
      <w:proofErr w:type="gramEnd"/>
    </w:p>
    <w:p w14:paraId="549CDAF8" w14:textId="77777777" w:rsidR="008A283A" w:rsidRPr="00B70990" w:rsidRDefault="008A283A" w:rsidP="00FB4316">
      <w:pPr>
        <w:pStyle w:val="ListParagraph"/>
        <w:numPr>
          <w:ilvl w:val="0"/>
          <w:numId w:val="8"/>
        </w:numPr>
        <w:tabs>
          <w:tab w:val="left" w:pos="567"/>
          <w:tab w:val="left" w:pos="1134"/>
          <w:tab w:val="left" w:pos="1701"/>
          <w:tab w:val="left" w:pos="2268"/>
          <w:tab w:val="left" w:pos="2835"/>
        </w:tabs>
        <w:overflowPunct w:val="0"/>
        <w:autoSpaceDE w:val="0"/>
        <w:autoSpaceDN w:val="0"/>
        <w:adjustRightInd w:val="0"/>
        <w:snapToGrid w:val="0"/>
        <w:spacing w:before="120" w:after="120" w:line="240" w:lineRule="auto"/>
        <w:jc w:val="both"/>
        <w:textAlignment w:val="baseline"/>
        <w:rPr>
          <w:rFonts w:cstheme="minorHAnsi"/>
          <w:sz w:val="24"/>
          <w:szCs w:val="24"/>
        </w:rPr>
      </w:pPr>
      <w:r w:rsidRPr="00B70990">
        <w:rPr>
          <w:rFonts w:cstheme="minorHAnsi"/>
          <w:sz w:val="24"/>
          <w:szCs w:val="24"/>
        </w:rPr>
        <w:t>Category 2 Other staff costs (pensions, health insurance, human resources development, etc.).</w:t>
      </w:r>
    </w:p>
    <w:p w14:paraId="20894B11" w14:textId="77777777" w:rsidR="008A283A" w:rsidRPr="00B70990" w:rsidRDefault="008A283A" w:rsidP="00FB4316">
      <w:pPr>
        <w:snapToGrid w:val="0"/>
        <w:spacing w:before="120" w:after="120" w:line="240" w:lineRule="auto"/>
        <w:jc w:val="both"/>
        <w:rPr>
          <w:rFonts w:cstheme="minorHAnsi"/>
          <w:sz w:val="24"/>
          <w:szCs w:val="24"/>
          <w:u w:val="single"/>
        </w:rPr>
      </w:pPr>
      <w:r w:rsidRPr="00B70990">
        <w:rPr>
          <w:rFonts w:cstheme="minorHAnsi"/>
          <w:sz w:val="24"/>
          <w:szCs w:val="24"/>
          <w:u w:val="single"/>
        </w:rPr>
        <w:t>Non-staff costs</w:t>
      </w:r>
    </w:p>
    <w:p w14:paraId="4E117F07" w14:textId="3B480531" w:rsidR="008A283A" w:rsidRPr="00B70990" w:rsidRDefault="008A283A" w:rsidP="00FB4316">
      <w:pPr>
        <w:pStyle w:val="ListParagraph"/>
        <w:numPr>
          <w:ilvl w:val="0"/>
          <w:numId w:val="9"/>
        </w:numPr>
        <w:tabs>
          <w:tab w:val="left" w:pos="567"/>
          <w:tab w:val="left" w:pos="1134"/>
          <w:tab w:val="left" w:pos="1701"/>
          <w:tab w:val="left" w:pos="2268"/>
          <w:tab w:val="left" w:pos="2835"/>
        </w:tabs>
        <w:overflowPunct w:val="0"/>
        <w:autoSpaceDE w:val="0"/>
        <w:autoSpaceDN w:val="0"/>
        <w:adjustRightInd w:val="0"/>
        <w:snapToGrid w:val="0"/>
        <w:spacing w:before="120" w:after="120" w:line="240" w:lineRule="auto"/>
        <w:jc w:val="both"/>
        <w:textAlignment w:val="baseline"/>
        <w:rPr>
          <w:rFonts w:cstheme="minorHAnsi"/>
          <w:sz w:val="24"/>
          <w:szCs w:val="24"/>
        </w:rPr>
      </w:pPr>
      <w:r w:rsidRPr="00B70990">
        <w:rPr>
          <w:rFonts w:cstheme="minorHAnsi"/>
          <w:sz w:val="24"/>
          <w:szCs w:val="24"/>
        </w:rPr>
        <w:t xml:space="preserve">Category 3 Travel on </w:t>
      </w:r>
      <w:proofErr w:type="gramStart"/>
      <w:r w:rsidRPr="00B70990">
        <w:rPr>
          <w:rFonts w:cstheme="minorHAnsi"/>
          <w:sz w:val="24"/>
          <w:szCs w:val="24"/>
        </w:rPr>
        <w:t>duty</w:t>
      </w:r>
      <w:r w:rsidR="00A06D04">
        <w:rPr>
          <w:rFonts w:cstheme="minorHAnsi"/>
          <w:sz w:val="24"/>
          <w:szCs w:val="24"/>
        </w:rPr>
        <w:t>;</w:t>
      </w:r>
      <w:proofErr w:type="gramEnd"/>
    </w:p>
    <w:p w14:paraId="1042FDB2" w14:textId="641D9251" w:rsidR="008A283A" w:rsidRPr="00B70990" w:rsidRDefault="008A283A" w:rsidP="00FB4316">
      <w:pPr>
        <w:pStyle w:val="ListParagraph"/>
        <w:numPr>
          <w:ilvl w:val="0"/>
          <w:numId w:val="9"/>
        </w:numPr>
        <w:tabs>
          <w:tab w:val="left" w:pos="567"/>
          <w:tab w:val="left" w:pos="1134"/>
          <w:tab w:val="left" w:pos="1701"/>
          <w:tab w:val="left" w:pos="2268"/>
          <w:tab w:val="left" w:pos="2835"/>
        </w:tabs>
        <w:overflowPunct w:val="0"/>
        <w:autoSpaceDE w:val="0"/>
        <w:autoSpaceDN w:val="0"/>
        <w:adjustRightInd w:val="0"/>
        <w:snapToGrid w:val="0"/>
        <w:spacing w:before="120" w:after="120" w:line="240" w:lineRule="auto"/>
        <w:jc w:val="both"/>
        <w:textAlignment w:val="baseline"/>
        <w:rPr>
          <w:rFonts w:cstheme="minorHAnsi"/>
          <w:sz w:val="24"/>
          <w:szCs w:val="24"/>
        </w:rPr>
      </w:pPr>
      <w:r w:rsidRPr="00B70990">
        <w:rPr>
          <w:rFonts w:cstheme="minorHAnsi"/>
          <w:sz w:val="24"/>
          <w:szCs w:val="24"/>
        </w:rPr>
        <w:t xml:space="preserve">Category 4 Contractual </w:t>
      </w:r>
      <w:proofErr w:type="gramStart"/>
      <w:r w:rsidRPr="00B70990">
        <w:rPr>
          <w:rFonts w:cstheme="minorHAnsi"/>
          <w:sz w:val="24"/>
          <w:szCs w:val="24"/>
        </w:rPr>
        <w:t>services</w:t>
      </w:r>
      <w:r w:rsidR="00A06D04">
        <w:rPr>
          <w:rFonts w:cstheme="minorHAnsi"/>
          <w:sz w:val="24"/>
          <w:szCs w:val="24"/>
        </w:rPr>
        <w:t>;</w:t>
      </w:r>
      <w:proofErr w:type="gramEnd"/>
    </w:p>
    <w:p w14:paraId="750B5A72" w14:textId="0824BD15" w:rsidR="008A283A" w:rsidRPr="00B70990" w:rsidRDefault="008A283A" w:rsidP="00FB4316">
      <w:pPr>
        <w:pStyle w:val="ListParagraph"/>
        <w:numPr>
          <w:ilvl w:val="0"/>
          <w:numId w:val="9"/>
        </w:numPr>
        <w:tabs>
          <w:tab w:val="left" w:pos="567"/>
          <w:tab w:val="left" w:pos="1134"/>
          <w:tab w:val="left" w:pos="1701"/>
          <w:tab w:val="left" w:pos="2268"/>
          <w:tab w:val="left" w:pos="2835"/>
        </w:tabs>
        <w:overflowPunct w:val="0"/>
        <w:autoSpaceDE w:val="0"/>
        <w:autoSpaceDN w:val="0"/>
        <w:adjustRightInd w:val="0"/>
        <w:snapToGrid w:val="0"/>
        <w:spacing w:before="120" w:after="120" w:line="240" w:lineRule="auto"/>
        <w:jc w:val="both"/>
        <w:textAlignment w:val="baseline"/>
        <w:rPr>
          <w:rFonts w:cstheme="minorHAnsi"/>
          <w:sz w:val="24"/>
          <w:szCs w:val="24"/>
        </w:rPr>
      </w:pPr>
      <w:r w:rsidRPr="00B70990">
        <w:rPr>
          <w:rFonts w:cstheme="minorHAnsi"/>
          <w:sz w:val="24"/>
          <w:szCs w:val="24"/>
        </w:rPr>
        <w:t xml:space="preserve">Category 5 Rental and maintenance of premises and </w:t>
      </w:r>
      <w:proofErr w:type="gramStart"/>
      <w:r w:rsidRPr="00B70990">
        <w:rPr>
          <w:rFonts w:cstheme="minorHAnsi"/>
          <w:sz w:val="24"/>
          <w:szCs w:val="24"/>
        </w:rPr>
        <w:t>equipment</w:t>
      </w:r>
      <w:r w:rsidR="00A06D04">
        <w:rPr>
          <w:rFonts w:cstheme="minorHAnsi"/>
          <w:sz w:val="24"/>
          <w:szCs w:val="24"/>
        </w:rPr>
        <w:t>;</w:t>
      </w:r>
      <w:proofErr w:type="gramEnd"/>
    </w:p>
    <w:p w14:paraId="4F99BDE0" w14:textId="5404F97A" w:rsidR="008A283A" w:rsidRPr="00B70990" w:rsidRDefault="008A283A" w:rsidP="00FB4316">
      <w:pPr>
        <w:pStyle w:val="ListParagraph"/>
        <w:numPr>
          <w:ilvl w:val="0"/>
          <w:numId w:val="9"/>
        </w:numPr>
        <w:tabs>
          <w:tab w:val="left" w:pos="567"/>
          <w:tab w:val="left" w:pos="1134"/>
          <w:tab w:val="left" w:pos="1701"/>
          <w:tab w:val="left" w:pos="2268"/>
          <w:tab w:val="left" w:pos="2835"/>
        </w:tabs>
        <w:overflowPunct w:val="0"/>
        <w:autoSpaceDE w:val="0"/>
        <w:autoSpaceDN w:val="0"/>
        <w:adjustRightInd w:val="0"/>
        <w:snapToGrid w:val="0"/>
        <w:spacing w:before="120" w:after="120" w:line="240" w:lineRule="auto"/>
        <w:jc w:val="both"/>
        <w:textAlignment w:val="baseline"/>
        <w:rPr>
          <w:rFonts w:cstheme="minorHAnsi"/>
          <w:sz w:val="24"/>
          <w:szCs w:val="24"/>
        </w:rPr>
      </w:pPr>
      <w:r w:rsidRPr="00B70990">
        <w:rPr>
          <w:rFonts w:cstheme="minorHAnsi"/>
          <w:sz w:val="24"/>
          <w:szCs w:val="24"/>
        </w:rPr>
        <w:t xml:space="preserve">Category 6 Materials and </w:t>
      </w:r>
      <w:proofErr w:type="gramStart"/>
      <w:r w:rsidRPr="00B70990">
        <w:rPr>
          <w:rFonts w:cstheme="minorHAnsi"/>
          <w:sz w:val="24"/>
          <w:szCs w:val="24"/>
        </w:rPr>
        <w:t>supplies</w:t>
      </w:r>
      <w:r w:rsidR="00A06D04">
        <w:rPr>
          <w:rFonts w:cstheme="minorHAnsi"/>
          <w:sz w:val="24"/>
          <w:szCs w:val="24"/>
        </w:rPr>
        <w:t>;</w:t>
      </w:r>
      <w:proofErr w:type="gramEnd"/>
    </w:p>
    <w:p w14:paraId="58161AF5" w14:textId="7F8C8D2A" w:rsidR="008A283A" w:rsidRPr="00B70990" w:rsidRDefault="008A283A" w:rsidP="00FB4316">
      <w:pPr>
        <w:pStyle w:val="ListParagraph"/>
        <w:numPr>
          <w:ilvl w:val="0"/>
          <w:numId w:val="9"/>
        </w:numPr>
        <w:tabs>
          <w:tab w:val="left" w:pos="567"/>
          <w:tab w:val="left" w:pos="1134"/>
          <w:tab w:val="left" w:pos="1701"/>
          <w:tab w:val="left" w:pos="2268"/>
          <w:tab w:val="left" w:pos="2835"/>
        </w:tabs>
        <w:overflowPunct w:val="0"/>
        <w:autoSpaceDE w:val="0"/>
        <w:autoSpaceDN w:val="0"/>
        <w:adjustRightInd w:val="0"/>
        <w:snapToGrid w:val="0"/>
        <w:spacing w:before="120" w:after="120" w:line="240" w:lineRule="auto"/>
        <w:jc w:val="both"/>
        <w:textAlignment w:val="baseline"/>
        <w:rPr>
          <w:rFonts w:cstheme="minorHAnsi"/>
          <w:sz w:val="24"/>
          <w:szCs w:val="24"/>
        </w:rPr>
      </w:pPr>
      <w:r w:rsidRPr="00B70990">
        <w:rPr>
          <w:rFonts w:cstheme="minorHAnsi"/>
          <w:sz w:val="24"/>
          <w:szCs w:val="24"/>
        </w:rPr>
        <w:t xml:space="preserve">Category 7 Acquisition of premises, furniture, and </w:t>
      </w:r>
      <w:proofErr w:type="gramStart"/>
      <w:r w:rsidRPr="00B70990">
        <w:rPr>
          <w:rFonts w:cstheme="minorHAnsi"/>
          <w:sz w:val="24"/>
          <w:szCs w:val="24"/>
        </w:rPr>
        <w:t>equipment</w:t>
      </w:r>
      <w:r w:rsidR="00A06D04">
        <w:rPr>
          <w:rFonts w:cstheme="minorHAnsi"/>
          <w:sz w:val="24"/>
          <w:szCs w:val="24"/>
        </w:rPr>
        <w:t>;</w:t>
      </w:r>
      <w:proofErr w:type="gramEnd"/>
    </w:p>
    <w:p w14:paraId="63150803" w14:textId="6CA4DE5E" w:rsidR="008A283A" w:rsidRPr="00B70990" w:rsidRDefault="008A283A" w:rsidP="00FB4316">
      <w:pPr>
        <w:pStyle w:val="ListParagraph"/>
        <w:numPr>
          <w:ilvl w:val="0"/>
          <w:numId w:val="9"/>
        </w:numPr>
        <w:tabs>
          <w:tab w:val="left" w:pos="567"/>
          <w:tab w:val="left" w:pos="1134"/>
          <w:tab w:val="left" w:pos="1701"/>
          <w:tab w:val="left" w:pos="2268"/>
          <w:tab w:val="left" w:pos="2835"/>
        </w:tabs>
        <w:overflowPunct w:val="0"/>
        <w:autoSpaceDE w:val="0"/>
        <w:autoSpaceDN w:val="0"/>
        <w:adjustRightInd w:val="0"/>
        <w:snapToGrid w:val="0"/>
        <w:spacing w:before="120" w:after="120" w:line="240" w:lineRule="auto"/>
        <w:jc w:val="both"/>
        <w:textAlignment w:val="baseline"/>
        <w:rPr>
          <w:rFonts w:cstheme="minorHAnsi"/>
          <w:sz w:val="24"/>
          <w:szCs w:val="24"/>
        </w:rPr>
      </w:pPr>
      <w:r w:rsidRPr="00B70990">
        <w:rPr>
          <w:rFonts w:cstheme="minorHAnsi"/>
          <w:sz w:val="24"/>
          <w:szCs w:val="24"/>
        </w:rPr>
        <w:t xml:space="preserve">Category 8 Public and internal service </w:t>
      </w:r>
      <w:proofErr w:type="gramStart"/>
      <w:r w:rsidRPr="00B70990">
        <w:rPr>
          <w:rFonts w:cstheme="minorHAnsi"/>
          <w:sz w:val="24"/>
          <w:szCs w:val="24"/>
        </w:rPr>
        <w:t>utilities</w:t>
      </w:r>
      <w:r w:rsidR="00A06D04">
        <w:rPr>
          <w:rFonts w:cstheme="minorHAnsi"/>
          <w:sz w:val="24"/>
          <w:szCs w:val="24"/>
        </w:rPr>
        <w:t>;</w:t>
      </w:r>
      <w:proofErr w:type="gramEnd"/>
    </w:p>
    <w:p w14:paraId="38E14138" w14:textId="77777777" w:rsidR="008A283A" w:rsidRPr="00B70990" w:rsidRDefault="008A283A" w:rsidP="00FB4316">
      <w:pPr>
        <w:pStyle w:val="ListParagraph"/>
        <w:numPr>
          <w:ilvl w:val="0"/>
          <w:numId w:val="9"/>
        </w:numPr>
        <w:tabs>
          <w:tab w:val="left" w:pos="567"/>
          <w:tab w:val="left" w:pos="1134"/>
          <w:tab w:val="left" w:pos="1701"/>
          <w:tab w:val="left" w:pos="2268"/>
          <w:tab w:val="left" w:pos="2835"/>
        </w:tabs>
        <w:overflowPunct w:val="0"/>
        <w:autoSpaceDE w:val="0"/>
        <w:autoSpaceDN w:val="0"/>
        <w:adjustRightInd w:val="0"/>
        <w:snapToGrid w:val="0"/>
        <w:spacing w:before="120" w:after="120" w:line="240" w:lineRule="auto"/>
        <w:jc w:val="both"/>
        <w:textAlignment w:val="baseline"/>
        <w:rPr>
          <w:rFonts w:cstheme="minorHAnsi"/>
          <w:sz w:val="24"/>
          <w:szCs w:val="24"/>
        </w:rPr>
      </w:pPr>
      <w:r w:rsidRPr="00B70990">
        <w:rPr>
          <w:rFonts w:cstheme="minorHAnsi"/>
          <w:sz w:val="24"/>
          <w:szCs w:val="24"/>
        </w:rPr>
        <w:t>Category 9 Audit and inter-agency fees and miscellaneous.</w:t>
      </w:r>
    </w:p>
    <w:p w14:paraId="348FCAED" w14:textId="582CAFCE" w:rsidR="008A283A" w:rsidRPr="00B70990" w:rsidRDefault="008A283A" w:rsidP="00FB4316">
      <w:pPr>
        <w:snapToGrid w:val="0"/>
        <w:spacing w:before="120" w:after="120" w:line="240" w:lineRule="auto"/>
        <w:jc w:val="both"/>
        <w:rPr>
          <w:rFonts w:cstheme="minorHAnsi"/>
          <w:sz w:val="24"/>
          <w:szCs w:val="24"/>
        </w:rPr>
      </w:pPr>
      <w:r w:rsidRPr="00B70990">
        <w:rPr>
          <w:rFonts w:cstheme="minorHAnsi"/>
          <w:sz w:val="24"/>
          <w:szCs w:val="24"/>
          <w:lang w:val="en-US"/>
        </w:rPr>
        <w:t>1</w:t>
      </w:r>
      <w:r w:rsidRPr="00B70990">
        <w:rPr>
          <w:rFonts w:cstheme="minorHAnsi"/>
          <w:sz w:val="24"/>
          <w:szCs w:val="24"/>
        </w:rPr>
        <w:t>.4</w:t>
      </w:r>
      <w:r w:rsidRPr="00B70990">
        <w:rPr>
          <w:rFonts w:cstheme="minorHAnsi"/>
          <w:sz w:val="24"/>
          <w:szCs w:val="24"/>
        </w:rPr>
        <w:tab/>
        <w:t>The Documentation Costs represent services provided by the Conferences and Publications Department which can be directly charged to an Output on page number basis. Those services are:</w:t>
      </w:r>
    </w:p>
    <w:p w14:paraId="0B68A7D0" w14:textId="1ECA4ED3" w:rsidR="008A283A" w:rsidRPr="00B70990" w:rsidRDefault="008A283A" w:rsidP="00FB4316">
      <w:pPr>
        <w:pStyle w:val="ListParagraph"/>
        <w:numPr>
          <w:ilvl w:val="0"/>
          <w:numId w:val="10"/>
        </w:numPr>
        <w:tabs>
          <w:tab w:val="left" w:pos="567"/>
          <w:tab w:val="left" w:pos="1134"/>
          <w:tab w:val="left" w:pos="1701"/>
          <w:tab w:val="left" w:pos="2268"/>
          <w:tab w:val="left" w:pos="2835"/>
        </w:tabs>
        <w:overflowPunct w:val="0"/>
        <w:autoSpaceDE w:val="0"/>
        <w:autoSpaceDN w:val="0"/>
        <w:adjustRightInd w:val="0"/>
        <w:snapToGrid w:val="0"/>
        <w:spacing w:before="120" w:after="120" w:line="240" w:lineRule="auto"/>
        <w:jc w:val="both"/>
        <w:textAlignment w:val="baseline"/>
        <w:rPr>
          <w:rFonts w:cstheme="minorHAnsi"/>
          <w:sz w:val="24"/>
          <w:szCs w:val="24"/>
        </w:rPr>
      </w:pPr>
      <w:r w:rsidRPr="00B70990">
        <w:rPr>
          <w:rFonts w:cstheme="minorHAnsi"/>
          <w:sz w:val="24"/>
          <w:szCs w:val="24"/>
        </w:rPr>
        <w:t>Translation (in the 6 official languages of the Union</w:t>
      </w:r>
      <w:proofErr w:type="gramStart"/>
      <w:r w:rsidRPr="00B70990">
        <w:rPr>
          <w:rFonts w:cstheme="minorHAnsi"/>
          <w:sz w:val="24"/>
          <w:szCs w:val="24"/>
        </w:rPr>
        <w:t>)</w:t>
      </w:r>
      <w:r w:rsidR="00A06D04">
        <w:rPr>
          <w:rFonts w:cstheme="minorHAnsi"/>
          <w:sz w:val="24"/>
          <w:szCs w:val="24"/>
        </w:rPr>
        <w:t>;</w:t>
      </w:r>
      <w:proofErr w:type="gramEnd"/>
    </w:p>
    <w:p w14:paraId="48FA9581" w14:textId="77777777" w:rsidR="008A283A" w:rsidRPr="00B70990" w:rsidRDefault="008A283A" w:rsidP="00FB4316">
      <w:pPr>
        <w:pStyle w:val="ListParagraph"/>
        <w:numPr>
          <w:ilvl w:val="0"/>
          <w:numId w:val="10"/>
        </w:numPr>
        <w:tabs>
          <w:tab w:val="left" w:pos="567"/>
          <w:tab w:val="left" w:pos="1134"/>
          <w:tab w:val="left" w:pos="1701"/>
          <w:tab w:val="left" w:pos="2268"/>
          <w:tab w:val="left" w:pos="2835"/>
        </w:tabs>
        <w:overflowPunct w:val="0"/>
        <w:autoSpaceDE w:val="0"/>
        <w:autoSpaceDN w:val="0"/>
        <w:adjustRightInd w:val="0"/>
        <w:snapToGrid w:val="0"/>
        <w:spacing w:before="120" w:after="120" w:line="240" w:lineRule="auto"/>
        <w:jc w:val="both"/>
        <w:textAlignment w:val="baseline"/>
        <w:rPr>
          <w:rFonts w:cstheme="minorHAnsi"/>
          <w:sz w:val="24"/>
          <w:szCs w:val="24"/>
        </w:rPr>
      </w:pPr>
      <w:r w:rsidRPr="00B70990">
        <w:rPr>
          <w:rFonts w:cstheme="minorHAnsi"/>
          <w:sz w:val="24"/>
          <w:szCs w:val="24"/>
        </w:rPr>
        <w:t>Text processing (in the 6 official languages of the Union).</w:t>
      </w:r>
    </w:p>
    <w:p w14:paraId="31FF99FF" w14:textId="4419358F" w:rsidR="008A283A" w:rsidRPr="00B70990" w:rsidRDefault="008A283A" w:rsidP="00FB4316">
      <w:pPr>
        <w:snapToGrid w:val="0"/>
        <w:spacing w:before="120" w:after="120" w:line="240" w:lineRule="auto"/>
        <w:jc w:val="both"/>
        <w:rPr>
          <w:rFonts w:cstheme="minorHAnsi"/>
          <w:sz w:val="24"/>
          <w:szCs w:val="24"/>
        </w:rPr>
      </w:pPr>
      <w:r w:rsidRPr="00B70990">
        <w:rPr>
          <w:rFonts w:cstheme="minorHAnsi"/>
          <w:sz w:val="24"/>
          <w:szCs w:val="24"/>
          <w:lang w:val="en-US"/>
        </w:rPr>
        <w:t>1</w:t>
      </w:r>
      <w:r w:rsidRPr="00B70990">
        <w:rPr>
          <w:rFonts w:cstheme="minorHAnsi"/>
          <w:sz w:val="24"/>
          <w:szCs w:val="24"/>
        </w:rPr>
        <w:t>.5</w:t>
      </w:r>
      <w:r w:rsidRPr="00B70990">
        <w:rPr>
          <w:rFonts w:cstheme="minorHAnsi"/>
          <w:sz w:val="24"/>
          <w:szCs w:val="24"/>
        </w:rPr>
        <w:tab/>
        <w:t>The Bureau / Department Support Costs represent the costs of staff and related expenses of the Bureaux (including the Office of the Director) and Department (Strategic Planning and Membership Department), that are reallocated to Outputs based upon work effort measurement (Time survey).</w:t>
      </w:r>
    </w:p>
    <w:p w14:paraId="35C3ACD2" w14:textId="748C5658" w:rsidR="008A283A" w:rsidRPr="00B70990" w:rsidRDefault="008A283A" w:rsidP="00FB4316">
      <w:pPr>
        <w:snapToGrid w:val="0"/>
        <w:spacing w:before="120" w:after="120" w:line="240" w:lineRule="auto"/>
        <w:jc w:val="both"/>
        <w:rPr>
          <w:rFonts w:cstheme="minorHAnsi"/>
          <w:sz w:val="24"/>
          <w:szCs w:val="24"/>
        </w:rPr>
      </w:pPr>
      <w:r w:rsidRPr="00B70990">
        <w:rPr>
          <w:rFonts w:cstheme="minorHAnsi"/>
          <w:sz w:val="24"/>
          <w:szCs w:val="24"/>
          <w:lang w:val="en-US"/>
        </w:rPr>
        <w:lastRenderedPageBreak/>
        <w:t>1</w:t>
      </w:r>
      <w:r w:rsidRPr="00B70990">
        <w:rPr>
          <w:rFonts w:cstheme="minorHAnsi"/>
          <w:sz w:val="24"/>
          <w:szCs w:val="24"/>
        </w:rPr>
        <w:t>.6</w:t>
      </w:r>
      <w:r w:rsidRPr="00B70990">
        <w:rPr>
          <w:rFonts w:cstheme="minorHAnsi"/>
          <w:sz w:val="24"/>
          <w:szCs w:val="24"/>
        </w:rPr>
        <w:tab/>
        <w:t>The Centralized Administrative Services Costs represent the costs of staff and related expenses of:</w:t>
      </w:r>
    </w:p>
    <w:p w14:paraId="2EC9BE52" w14:textId="4A03DD4E" w:rsidR="008A283A" w:rsidRPr="00B70990" w:rsidRDefault="008A283A" w:rsidP="00FB4316">
      <w:pPr>
        <w:pStyle w:val="ListParagraph"/>
        <w:numPr>
          <w:ilvl w:val="0"/>
          <w:numId w:val="11"/>
        </w:numPr>
        <w:tabs>
          <w:tab w:val="left" w:pos="567"/>
          <w:tab w:val="left" w:pos="1134"/>
          <w:tab w:val="left" w:pos="1701"/>
          <w:tab w:val="left" w:pos="2268"/>
          <w:tab w:val="left" w:pos="2835"/>
        </w:tabs>
        <w:overflowPunct w:val="0"/>
        <w:autoSpaceDE w:val="0"/>
        <w:autoSpaceDN w:val="0"/>
        <w:adjustRightInd w:val="0"/>
        <w:snapToGrid w:val="0"/>
        <w:spacing w:before="120" w:after="120" w:line="240" w:lineRule="auto"/>
        <w:jc w:val="both"/>
        <w:textAlignment w:val="baseline"/>
        <w:rPr>
          <w:rFonts w:cstheme="minorHAnsi"/>
          <w:sz w:val="24"/>
          <w:szCs w:val="24"/>
        </w:rPr>
      </w:pPr>
      <w:r w:rsidRPr="00B70990">
        <w:rPr>
          <w:rFonts w:cstheme="minorHAnsi"/>
          <w:sz w:val="24"/>
          <w:szCs w:val="24"/>
        </w:rPr>
        <w:t xml:space="preserve">The Office of the Secretary-General and Deputy </w:t>
      </w:r>
      <w:proofErr w:type="gramStart"/>
      <w:r w:rsidRPr="00B70990">
        <w:rPr>
          <w:rFonts w:cstheme="minorHAnsi"/>
          <w:sz w:val="24"/>
          <w:szCs w:val="24"/>
        </w:rPr>
        <w:t>Secretary-General</w:t>
      </w:r>
      <w:r w:rsidR="00A06D04">
        <w:rPr>
          <w:rFonts w:cstheme="minorHAnsi"/>
          <w:sz w:val="24"/>
          <w:szCs w:val="24"/>
        </w:rPr>
        <w:t>;</w:t>
      </w:r>
      <w:proofErr w:type="gramEnd"/>
    </w:p>
    <w:p w14:paraId="0C9714F4" w14:textId="720A12C0" w:rsidR="008A283A" w:rsidRPr="00B70990" w:rsidRDefault="008A283A" w:rsidP="00FB4316">
      <w:pPr>
        <w:pStyle w:val="ListParagraph"/>
        <w:numPr>
          <w:ilvl w:val="0"/>
          <w:numId w:val="11"/>
        </w:numPr>
        <w:tabs>
          <w:tab w:val="left" w:pos="567"/>
          <w:tab w:val="left" w:pos="1134"/>
          <w:tab w:val="left" w:pos="1701"/>
          <w:tab w:val="left" w:pos="2268"/>
          <w:tab w:val="left" w:pos="2835"/>
        </w:tabs>
        <w:overflowPunct w:val="0"/>
        <w:autoSpaceDE w:val="0"/>
        <w:autoSpaceDN w:val="0"/>
        <w:adjustRightInd w:val="0"/>
        <w:snapToGrid w:val="0"/>
        <w:spacing w:before="120" w:after="120" w:line="240" w:lineRule="auto"/>
        <w:jc w:val="both"/>
        <w:textAlignment w:val="baseline"/>
        <w:rPr>
          <w:rFonts w:cstheme="minorHAnsi"/>
          <w:sz w:val="24"/>
          <w:szCs w:val="24"/>
        </w:rPr>
      </w:pPr>
      <w:r w:rsidRPr="00B70990">
        <w:rPr>
          <w:rFonts w:cstheme="minorHAnsi"/>
          <w:sz w:val="24"/>
          <w:szCs w:val="24"/>
        </w:rPr>
        <w:t xml:space="preserve">The Human Resources Management </w:t>
      </w:r>
      <w:proofErr w:type="gramStart"/>
      <w:r w:rsidRPr="00B70990">
        <w:rPr>
          <w:rFonts w:cstheme="minorHAnsi"/>
          <w:sz w:val="24"/>
          <w:szCs w:val="24"/>
        </w:rPr>
        <w:t>Department</w:t>
      </w:r>
      <w:r w:rsidR="00A06D04">
        <w:rPr>
          <w:rFonts w:cstheme="minorHAnsi"/>
          <w:sz w:val="24"/>
          <w:szCs w:val="24"/>
        </w:rPr>
        <w:t>;</w:t>
      </w:r>
      <w:proofErr w:type="gramEnd"/>
    </w:p>
    <w:p w14:paraId="1B0B7ADB" w14:textId="109ADA53" w:rsidR="008A283A" w:rsidRPr="00B70990" w:rsidRDefault="008A283A" w:rsidP="00FB4316">
      <w:pPr>
        <w:pStyle w:val="ListParagraph"/>
        <w:numPr>
          <w:ilvl w:val="0"/>
          <w:numId w:val="11"/>
        </w:numPr>
        <w:tabs>
          <w:tab w:val="left" w:pos="567"/>
          <w:tab w:val="left" w:pos="1134"/>
          <w:tab w:val="left" w:pos="1701"/>
          <w:tab w:val="left" w:pos="2268"/>
          <w:tab w:val="left" w:pos="2835"/>
        </w:tabs>
        <w:overflowPunct w:val="0"/>
        <w:autoSpaceDE w:val="0"/>
        <w:autoSpaceDN w:val="0"/>
        <w:adjustRightInd w:val="0"/>
        <w:snapToGrid w:val="0"/>
        <w:spacing w:before="120" w:after="120" w:line="240" w:lineRule="auto"/>
        <w:jc w:val="both"/>
        <w:textAlignment w:val="baseline"/>
        <w:rPr>
          <w:rFonts w:cstheme="minorHAnsi"/>
          <w:sz w:val="24"/>
          <w:szCs w:val="24"/>
        </w:rPr>
      </w:pPr>
      <w:r w:rsidRPr="00B70990">
        <w:rPr>
          <w:rFonts w:cstheme="minorHAnsi"/>
          <w:sz w:val="24"/>
          <w:szCs w:val="24"/>
        </w:rPr>
        <w:t xml:space="preserve">The Financial Resources Management </w:t>
      </w:r>
      <w:proofErr w:type="gramStart"/>
      <w:r w:rsidRPr="00B70990">
        <w:rPr>
          <w:rFonts w:cstheme="minorHAnsi"/>
          <w:sz w:val="24"/>
          <w:szCs w:val="24"/>
        </w:rPr>
        <w:t>Department</w:t>
      </w:r>
      <w:r w:rsidR="00A06D04">
        <w:rPr>
          <w:rFonts w:cstheme="minorHAnsi"/>
          <w:sz w:val="24"/>
          <w:szCs w:val="24"/>
        </w:rPr>
        <w:t>;</w:t>
      </w:r>
      <w:proofErr w:type="gramEnd"/>
    </w:p>
    <w:p w14:paraId="2274EF77" w14:textId="77777777" w:rsidR="008A283A" w:rsidRPr="00B70990" w:rsidRDefault="008A283A" w:rsidP="00FB4316">
      <w:pPr>
        <w:snapToGrid w:val="0"/>
        <w:spacing w:before="120" w:after="120" w:line="240" w:lineRule="auto"/>
        <w:jc w:val="both"/>
        <w:rPr>
          <w:rFonts w:cstheme="minorHAnsi"/>
          <w:sz w:val="24"/>
          <w:szCs w:val="24"/>
        </w:rPr>
      </w:pPr>
      <w:r w:rsidRPr="00B70990">
        <w:rPr>
          <w:rFonts w:cstheme="minorHAnsi"/>
          <w:sz w:val="24"/>
          <w:szCs w:val="24"/>
        </w:rPr>
        <w:t>that provide general administrative support to all the Goals, Objectives, and Outputs of the Union. These costs are reallocated to Outputs based upon reallocation drivers.</w:t>
      </w:r>
    </w:p>
    <w:p w14:paraId="7B135BC7" w14:textId="4C06D241" w:rsidR="008A283A" w:rsidRPr="00B70990" w:rsidRDefault="008A283A" w:rsidP="00FB4316">
      <w:pPr>
        <w:snapToGrid w:val="0"/>
        <w:spacing w:before="120" w:after="120" w:line="240" w:lineRule="auto"/>
        <w:jc w:val="both"/>
        <w:rPr>
          <w:rFonts w:cstheme="minorHAnsi"/>
          <w:sz w:val="24"/>
          <w:szCs w:val="24"/>
        </w:rPr>
      </w:pPr>
      <w:r w:rsidRPr="00B70990">
        <w:rPr>
          <w:rFonts w:cstheme="minorHAnsi"/>
          <w:sz w:val="24"/>
          <w:szCs w:val="24"/>
          <w:lang w:val="en-US"/>
        </w:rPr>
        <w:t>1</w:t>
      </w:r>
      <w:r w:rsidRPr="00B70990">
        <w:rPr>
          <w:rFonts w:cstheme="minorHAnsi"/>
          <w:sz w:val="24"/>
          <w:szCs w:val="24"/>
        </w:rPr>
        <w:t>.7</w:t>
      </w:r>
      <w:r w:rsidRPr="00B70990">
        <w:rPr>
          <w:rFonts w:cstheme="minorHAnsi"/>
          <w:sz w:val="24"/>
          <w:szCs w:val="24"/>
        </w:rPr>
        <w:tab/>
        <w:t>The Centralized Support Services Costs represent the costs of staff and related expenses of:</w:t>
      </w:r>
    </w:p>
    <w:p w14:paraId="30B4E04C" w14:textId="30CEF55C" w:rsidR="008A283A" w:rsidRPr="00B70990" w:rsidRDefault="008A283A" w:rsidP="00FB4316">
      <w:pPr>
        <w:pStyle w:val="ListParagraph"/>
        <w:numPr>
          <w:ilvl w:val="0"/>
          <w:numId w:val="12"/>
        </w:numPr>
        <w:tabs>
          <w:tab w:val="left" w:pos="567"/>
          <w:tab w:val="left" w:pos="1134"/>
          <w:tab w:val="left" w:pos="1701"/>
          <w:tab w:val="left" w:pos="2268"/>
          <w:tab w:val="left" w:pos="2835"/>
        </w:tabs>
        <w:overflowPunct w:val="0"/>
        <w:autoSpaceDE w:val="0"/>
        <w:autoSpaceDN w:val="0"/>
        <w:adjustRightInd w:val="0"/>
        <w:snapToGrid w:val="0"/>
        <w:spacing w:before="120" w:after="120" w:line="240" w:lineRule="auto"/>
        <w:jc w:val="both"/>
        <w:textAlignment w:val="baseline"/>
        <w:rPr>
          <w:rFonts w:cstheme="minorHAnsi"/>
          <w:sz w:val="24"/>
          <w:szCs w:val="24"/>
        </w:rPr>
      </w:pPr>
      <w:r w:rsidRPr="00B70990">
        <w:rPr>
          <w:rFonts w:cstheme="minorHAnsi"/>
          <w:sz w:val="24"/>
          <w:szCs w:val="24"/>
        </w:rPr>
        <w:t>The Conferences and Publications Department (outside Documentation Costs</w:t>
      </w:r>
      <w:proofErr w:type="gramStart"/>
      <w:r w:rsidRPr="00B70990">
        <w:rPr>
          <w:rFonts w:cstheme="minorHAnsi"/>
          <w:sz w:val="24"/>
          <w:szCs w:val="24"/>
        </w:rPr>
        <w:t>)</w:t>
      </w:r>
      <w:r w:rsidR="00A06D04">
        <w:rPr>
          <w:rFonts w:cstheme="minorHAnsi"/>
          <w:sz w:val="24"/>
          <w:szCs w:val="24"/>
        </w:rPr>
        <w:t>;</w:t>
      </w:r>
      <w:proofErr w:type="gramEnd"/>
    </w:p>
    <w:p w14:paraId="260D98F4" w14:textId="4F445C4C" w:rsidR="008A283A" w:rsidRPr="00B70990" w:rsidRDefault="008A283A" w:rsidP="00FB4316">
      <w:pPr>
        <w:pStyle w:val="ListParagraph"/>
        <w:numPr>
          <w:ilvl w:val="0"/>
          <w:numId w:val="12"/>
        </w:numPr>
        <w:tabs>
          <w:tab w:val="left" w:pos="567"/>
          <w:tab w:val="left" w:pos="1134"/>
          <w:tab w:val="left" w:pos="1701"/>
          <w:tab w:val="left" w:pos="2268"/>
          <w:tab w:val="left" w:pos="2835"/>
        </w:tabs>
        <w:overflowPunct w:val="0"/>
        <w:autoSpaceDE w:val="0"/>
        <w:autoSpaceDN w:val="0"/>
        <w:adjustRightInd w:val="0"/>
        <w:snapToGrid w:val="0"/>
        <w:spacing w:before="120" w:after="120" w:line="240" w:lineRule="auto"/>
        <w:jc w:val="both"/>
        <w:textAlignment w:val="baseline"/>
        <w:rPr>
          <w:rFonts w:cstheme="minorHAnsi"/>
          <w:sz w:val="24"/>
          <w:szCs w:val="24"/>
        </w:rPr>
      </w:pPr>
      <w:r w:rsidRPr="00B70990">
        <w:rPr>
          <w:rFonts w:cstheme="minorHAnsi"/>
          <w:sz w:val="24"/>
          <w:szCs w:val="24"/>
        </w:rPr>
        <w:t xml:space="preserve">The Information Services </w:t>
      </w:r>
      <w:proofErr w:type="gramStart"/>
      <w:r w:rsidRPr="00B70990">
        <w:rPr>
          <w:rFonts w:cstheme="minorHAnsi"/>
          <w:sz w:val="24"/>
          <w:szCs w:val="24"/>
        </w:rPr>
        <w:t>Department</w:t>
      </w:r>
      <w:r w:rsidR="00A06D04">
        <w:rPr>
          <w:rFonts w:cstheme="minorHAnsi"/>
          <w:sz w:val="24"/>
          <w:szCs w:val="24"/>
        </w:rPr>
        <w:t>;</w:t>
      </w:r>
      <w:proofErr w:type="gramEnd"/>
    </w:p>
    <w:p w14:paraId="72B19E35" w14:textId="65AF05A5" w:rsidR="008A283A" w:rsidRPr="00B70990" w:rsidRDefault="008A283A" w:rsidP="00FB4316">
      <w:pPr>
        <w:pStyle w:val="ListParagraph"/>
        <w:numPr>
          <w:ilvl w:val="0"/>
          <w:numId w:val="12"/>
        </w:numPr>
        <w:tabs>
          <w:tab w:val="left" w:pos="567"/>
          <w:tab w:val="left" w:pos="1134"/>
          <w:tab w:val="left" w:pos="1701"/>
          <w:tab w:val="left" w:pos="2268"/>
          <w:tab w:val="left" w:pos="2835"/>
        </w:tabs>
        <w:overflowPunct w:val="0"/>
        <w:autoSpaceDE w:val="0"/>
        <w:autoSpaceDN w:val="0"/>
        <w:adjustRightInd w:val="0"/>
        <w:snapToGrid w:val="0"/>
        <w:spacing w:before="120" w:after="120" w:line="240" w:lineRule="auto"/>
        <w:jc w:val="both"/>
        <w:textAlignment w:val="baseline"/>
        <w:rPr>
          <w:rFonts w:cstheme="minorHAnsi"/>
          <w:sz w:val="24"/>
          <w:szCs w:val="24"/>
        </w:rPr>
      </w:pPr>
      <w:r w:rsidRPr="00B70990">
        <w:rPr>
          <w:rFonts w:cstheme="minorHAnsi"/>
          <w:sz w:val="24"/>
          <w:szCs w:val="24"/>
        </w:rPr>
        <w:t xml:space="preserve">ITU Common </w:t>
      </w:r>
      <w:proofErr w:type="gramStart"/>
      <w:r w:rsidRPr="00B70990">
        <w:rPr>
          <w:rFonts w:cstheme="minorHAnsi"/>
          <w:sz w:val="24"/>
          <w:szCs w:val="24"/>
        </w:rPr>
        <w:t>expenses</w:t>
      </w:r>
      <w:r w:rsidR="00A06D04">
        <w:rPr>
          <w:rFonts w:cstheme="minorHAnsi"/>
          <w:sz w:val="24"/>
          <w:szCs w:val="24"/>
        </w:rPr>
        <w:t>;</w:t>
      </w:r>
      <w:proofErr w:type="gramEnd"/>
    </w:p>
    <w:p w14:paraId="230F41BB" w14:textId="193CD714" w:rsidR="008A283A" w:rsidRPr="00B70990" w:rsidRDefault="008A283A" w:rsidP="00FB4316">
      <w:pPr>
        <w:snapToGrid w:val="0"/>
        <w:spacing w:before="120" w:after="120" w:line="240" w:lineRule="auto"/>
        <w:jc w:val="both"/>
        <w:rPr>
          <w:rFonts w:cstheme="minorHAnsi"/>
          <w:sz w:val="24"/>
          <w:szCs w:val="24"/>
        </w:rPr>
      </w:pPr>
      <w:r w:rsidRPr="00B70990">
        <w:rPr>
          <w:rFonts w:cstheme="minorHAnsi"/>
          <w:sz w:val="24"/>
          <w:szCs w:val="24"/>
        </w:rPr>
        <w:t>that provide general support to all the Goals, Objectives</w:t>
      </w:r>
      <w:r w:rsidRPr="00B70990">
        <w:rPr>
          <w:rFonts w:cstheme="minorHAnsi"/>
          <w:sz w:val="24"/>
          <w:szCs w:val="24"/>
          <w:lang w:val="en-US"/>
        </w:rPr>
        <w:t xml:space="preserve"> now Thematic Priorities</w:t>
      </w:r>
      <w:r w:rsidRPr="00B70990">
        <w:rPr>
          <w:rFonts w:cstheme="minorHAnsi"/>
          <w:sz w:val="24"/>
          <w:szCs w:val="24"/>
        </w:rPr>
        <w:t>, and Outputs of the Union. These costs are reallocated to Outputs based upon reallocation drivers.</w:t>
      </w:r>
    </w:p>
    <w:p w14:paraId="35F0653C" w14:textId="6C038774" w:rsidR="008A283A" w:rsidRPr="00B70990" w:rsidRDefault="008A283A" w:rsidP="00FB4316">
      <w:pPr>
        <w:snapToGrid w:val="0"/>
        <w:spacing w:before="240" w:after="120" w:line="240" w:lineRule="auto"/>
        <w:jc w:val="both"/>
        <w:rPr>
          <w:rFonts w:cstheme="minorHAnsi"/>
          <w:b/>
          <w:bCs/>
          <w:sz w:val="24"/>
          <w:szCs w:val="24"/>
          <w:lang w:val="en-US"/>
        </w:rPr>
      </w:pPr>
      <w:r w:rsidRPr="00B70990">
        <w:rPr>
          <w:rFonts w:cstheme="minorHAnsi"/>
          <w:b/>
          <w:bCs/>
          <w:sz w:val="24"/>
          <w:szCs w:val="24"/>
          <w:lang w:val="en-US"/>
        </w:rPr>
        <w:t>2</w:t>
      </w:r>
      <w:r w:rsidRPr="00B70990">
        <w:rPr>
          <w:rFonts w:cstheme="minorHAnsi"/>
          <w:b/>
          <w:bCs/>
          <w:sz w:val="24"/>
          <w:szCs w:val="24"/>
          <w:lang w:val="en-US"/>
        </w:rPr>
        <w:tab/>
        <w:t>Linking the draft Financial Plan and the draft Strategic Plan for 2024-2027</w:t>
      </w:r>
    </w:p>
    <w:p w14:paraId="4E13D2E9" w14:textId="7F9A915A" w:rsidR="008A283A" w:rsidRPr="00B70990" w:rsidRDefault="008A283A" w:rsidP="00FB4316">
      <w:pPr>
        <w:snapToGrid w:val="0"/>
        <w:spacing w:before="120" w:after="120" w:line="240" w:lineRule="auto"/>
        <w:jc w:val="both"/>
        <w:rPr>
          <w:rFonts w:cstheme="minorHAnsi"/>
          <w:sz w:val="24"/>
          <w:szCs w:val="24"/>
          <w:lang w:val="en-US"/>
        </w:rPr>
      </w:pPr>
      <w:r w:rsidRPr="00B70990">
        <w:rPr>
          <w:rFonts w:cstheme="minorHAnsi"/>
          <w:sz w:val="24"/>
          <w:szCs w:val="24"/>
          <w:lang w:val="en-US"/>
        </w:rPr>
        <w:t>2.1</w:t>
      </w:r>
      <w:r w:rsidRPr="00B70990">
        <w:rPr>
          <w:rFonts w:cstheme="minorHAnsi"/>
          <w:sz w:val="24"/>
          <w:szCs w:val="24"/>
          <w:lang w:val="en-US"/>
        </w:rPr>
        <w:tab/>
        <w:t xml:space="preserve">Appendix A on next page presents the preliminary cost allocation to the </w:t>
      </w:r>
      <w:r w:rsidR="008B5AF9">
        <w:rPr>
          <w:rFonts w:cstheme="minorHAnsi"/>
          <w:sz w:val="24"/>
          <w:szCs w:val="24"/>
          <w:lang w:val="en-US"/>
        </w:rPr>
        <w:t>six</w:t>
      </w:r>
      <w:r w:rsidRPr="00B70990">
        <w:rPr>
          <w:rFonts w:cstheme="minorHAnsi"/>
          <w:sz w:val="24"/>
          <w:szCs w:val="24"/>
          <w:lang w:val="en-US"/>
        </w:rPr>
        <w:t xml:space="preserve"> Thematic Priorities for the 2024-2027 timeframe as defined in the draft Strategic Plan for the concerned period.</w:t>
      </w:r>
    </w:p>
    <w:p w14:paraId="1400F75B" w14:textId="6DFB8021" w:rsidR="00D83AAD" w:rsidRPr="00B70990" w:rsidRDefault="00D83AAD" w:rsidP="00FB4316">
      <w:pPr>
        <w:snapToGrid w:val="0"/>
        <w:spacing w:before="120" w:after="120" w:line="240" w:lineRule="auto"/>
        <w:jc w:val="both"/>
        <w:rPr>
          <w:rFonts w:cstheme="minorHAnsi"/>
          <w:sz w:val="24"/>
          <w:szCs w:val="24"/>
          <w:lang w:val="en-US"/>
        </w:rPr>
      </w:pPr>
      <w:r w:rsidRPr="00B70990">
        <w:rPr>
          <w:rFonts w:cstheme="minorHAnsi"/>
          <w:sz w:val="24"/>
          <w:szCs w:val="24"/>
          <w:lang w:val="en-US"/>
        </w:rPr>
        <w:t>2.2</w:t>
      </w:r>
      <w:r w:rsidRPr="00B70990">
        <w:rPr>
          <w:rFonts w:cstheme="minorHAnsi"/>
          <w:sz w:val="24"/>
          <w:szCs w:val="24"/>
          <w:lang w:val="en-US"/>
        </w:rPr>
        <w:tab/>
        <w:t xml:space="preserve">This cost allocation is truly provisional and will be further revised based on the refinement of the Strategic Plan and most importantly once the Outputs and their linkage to the respective Thematic Priorities will have been defined. </w:t>
      </w:r>
    </w:p>
    <w:p w14:paraId="702BF25B" w14:textId="4337CF24" w:rsidR="00D83AAD" w:rsidRPr="00D83AAD" w:rsidRDefault="00D83AAD" w:rsidP="00FB4316">
      <w:pPr>
        <w:snapToGrid w:val="0"/>
        <w:spacing w:before="120" w:after="120" w:line="240" w:lineRule="auto"/>
        <w:jc w:val="both"/>
        <w:rPr>
          <w:rFonts w:cstheme="minorHAnsi"/>
          <w:lang w:val="en-US"/>
        </w:rPr>
        <w:sectPr w:rsidR="00D83AAD" w:rsidRPr="00D83AAD" w:rsidSect="00857FF1">
          <w:headerReference w:type="default" r:id="rId16"/>
          <w:footerReference w:type="first" r:id="rId17"/>
          <w:pgSz w:w="11901" w:h="16840" w:code="9"/>
          <w:pgMar w:top="1418" w:right="1077" w:bottom="851" w:left="1077" w:header="720" w:footer="720" w:gutter="0"/>
          <w:paperSrc w:first="15" w:other="15"/>
          <w:cols w:space="720"/>
          <w:titlePg/>
          <w:docGrid w:linePitch="360"/>
        </w:sectPr>
      </w:pPr>
      <w:r w:rsidRPr="00B70990">
        <w:rPr>
          <w:rFonts w:cstheme="minorHAnsi"/>
          <w:sz w:val="24"/>
          <w:szCs w:val="24"/>
          <w:lang w:val="en-US"/>
        </w:rPr>
        <w:t>2.3</w:t>
      </w:r>
      <w:r w:rsidRPr="00B70990">
        <w:rPr>
          <w:rFonts w:cstheme="minorHAnsi"/>
          <w:sz w:val="24"/>
          <w:szCs w:val="24"/>
          <w:lang w:val="en-US"/>
        </w:rPr>
        <w:tab/>
        <w:t>The revised Appendix A will be included in the draft Strategic Plan that will be submitted to the 2022 Plenipotentiary Conference.</w:t>
      </w:r>
    </w:p>
    <w:p w14:paraId="60EEC62B" w14:textId="77777777" w:rsidR="000944B4" w:rsidRDefault="000944B4" w:rsidP="00FB4316">
      <w:pPr>
        <w:spacing w:before="120" w:after="120" w:line="240" w:lineRule="auto"/>
        <w:rPr>
          <w:rFonts w:cstheme="majorBidi"/>
          <w:lang w:val="en-US"/>
        </w:rPr>
      </w:pPr>
    </w:p>
    <w:p w14:paraId="6DF55E00" w14:textId="77777777" w:rsidR="000944B4" w:rsidRDefault="000944B4" w:rsidP="00FB4316">
      <w:pPr>
        <w:spacing w:before="120" w:after="120" w:line="240" w:lineRule="auto"/>
        <w:rPr>
          <w:rFonts w:cstheme="majorBidi"/>
          <w:lang w:val="en-US"/>
        </w:rPr>
      </w:pPr>
    </w:p>
    <w:p w14:paraId="6B70614B" w14:textId="087085C9" w:rsidR="00857FF1" w:rsidRDefault="000944B4" w:rsidP="00FB4316">
      <w:pPr>
        <w:spacing w:before="120" w:after="120" w:line="240" w:lineRule="auto"/>
        <w:rPr>
          <w:rFonts w:cstheme="majorBidi"/>
          <w:lang w:val="en-US"/>
        </w:rPr>
      </w:pPr>
      <w:r w:rsidRPr="000944B4">
        <w:rPr>
          <w:rFonts w:cstheme="majorBidi"/>
          <w:noProof/>
          <w:lang w:val="en-US"/>
        </w:rPr>
        <w:drawing>
          <wp:inline distT="0" distB="0" distL="0" distR="0" wp14:anchorId="5CC5B6B9" wp14:editId="27FFB6AB">
            <wp:extent cx="9118600" cy="2603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9118600" cy="2603500"/>
                    </a:xfrm>
                    <a:prstGeom prst="rect">
                      <a:avLst/>
                    </a:prstGeom>
                  </pic:spPr>
                </pic:pic>
              </a:graphicData>
            </a:graphic>
          </wp:inline>
        </w:drawing>
      </w:r>
    </w:p>
    <w:p w14:paraId="59D19AF8" w14:textId="67FFB15E" w:rsidR="00F547F3" w:rsidRPr="00D83AAD" w:rsidRDefault="00F547F3" w:rsidP="00FB4316">
      <w:pPr>
        <w:spacing w:before="840" w:after="0" w:line="240" w:lineRule="auto"/>
        <w:jc w:val="center"/>
        <w:rPr>
          <w:rFonts w:cstheme="majorBidi"/>
          <w:lang w:val="en-US"/>
        </w:rPr>
      </w:pPr>
      <w:r>
        <w:rPr>
          <w:rFonts w:cstheme="majorBidi"/>
          <w:lang w:val="en-US"/>
        </w:rPr>
        <w:t>_________________</w:t>
      </w:r>
    </w:p>
    <w:sectPr w:rsidR="00F547F3" w:rsidRPr="00D83AAD" w:rsidSect="00D83AAD">
      <w:headerReference w:type="first" r:id="rId19"/>
      <w:footerReference w:type="first" r:id="rId20"/>
      <w:pgSz w:w="16840" w:h="11901" w:orient="landscape" w:code="9"/>
      <w:pgMar w:top="1077" w:right="851" w:bottom="1077" w:left="1418"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D6F81" w14:textId="77777777" w:rsidR="00594061" w:rsidRDefault="00594061">
      <w:r>
        <w:separator/>
      </w:r>
    </w:p>
  </w:endnote>
  <w:endnote w:type="continuationSeparator" w:id="0">
    <w:p w14:paraId="7FBBEE86" w14:textId="77777777" w:rsidR="00594061" w:rsidRDefault="00594061">
      <w:r>
        <w:continuationSeparator/>
      </w:r>
    </w:p>
  </w:endnote>
  <w:endnote w:type="continuationNotice" w:id="1">
    <w:p w14:paraId="7C7FBA0D" w14:textId="77777777" w:rsidR="00594061" w:rsidRDefault="005940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E5AC" w14:textId="5571EF0F" w:rsidR="0036762C" w:rsidRDefault="0036762C" w:rsidP="00D47CF9">
    <w:pPr>
      <w:spacing w:before="120" w:after="120"/>
      <w:jc w:val="center"/>
    </w:pPr>
    <w:r>
      <w:t xml:space="preserve">• </w:t>
    </w:r>
    <w:hyperlink r:id="rId1" w:history="1">
      <w:r>
        <w:rPr>
          <w:rStyle w:val="Hyperlink"/>
        </w:rPr>
        <w:t>http://www.itu.int/council</w:t>
      </w:r>
    </w:hyperlink>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8325" w14:textId="5051CF53" w:rsidR="00FB4316" w:rsidRDefault="00FB4316" w:rsidP="00D47CF9">
    <w:pPr>
      <w:spacing w:before="120" w:after="1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44153" w14:textId="77777777" w:rsidR="00594061" w:rsidRDefault="00594061">
      <w:r>
        <w:separator/>
      </w:r>
    </w:p>
  </w:footnote>
  <w:footnote w:type="continuationSeparator" w:id="0">
    <w:p w14:paraId="581ED556" w14:textId="77777777" w:rsidR="00594061" w:rsidRDefault="00594061">
      <w:r>
        <w:continuationSeparator/>
      </w:r>
    </w:p>
  </w:footnote>
  <w:footnote w:type="continuationNotice" w:id="1">
    <w:p w14:paraId="251E8F98" w14:textId="77777777" w:rsidR="00594061" w:rsidRDefault="005940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82971" w14:textId="31EE24D0" w:rsidR="004B6FBE" w:rsidRDefault="0036762C" w:rsidP="00857FF1">
    <w:pPr>
      <w:pStyle w:val="Header"/>
      <w:spacing w:after="120"/>
      <w:rPr>
        <w:noProof/>
      </w:rPr>
    </w:pPr>
    <w:r>
      <w:fldChar w:fldCharType="begin"/>
    </w:r>
    <w:r>
      <w:instrText xml:space="preserve"> PAGE   \* MERGEFORMAT </w:instrText>
    </w:r>
    <w:r>
      <w:fldChar w:fldCharType="separate"/>
    </w:r>
    <w:r w:rsidR="003B0E70">
      <w:rPr>
        <w:noProof/>
      </w:rPr>
      <w:t>2</w:t>
    </w:r>
    <w:r>
      <w:rPr>
        <w:noProof/>
      </w:rPr>
      <w:fldChar w:fldCharType="end"/>
    </w:r>
    <w:r w:rsidR="00857FF1">
      <w:rPr>
        <w:noProof/>
      </w:rPr>
      <w:br/>
    </w:r>
    <w:r w:rsidR="00857FF1" w:rsidRPr="00120E88">
      <w:rPr>
        <w:noProof/>
        <w:szCs w:val="18"/>
      </w:rPr>
      <w:t>CWG-</w:t>
    </w:r>
    <w:r w:rsidR="00120E88" w:rsidRPr="00120E88">
      <w:rPr>
        <w:rFonts w:cstheme="minorHAnsi"/>
        <w:spacing w:val="-4"/>
        <w:szCs w:val="18"/>
        <w:lang w:val="de-CH"/>
      </w:rPr>
      <w:t xml:space="preserve"> </w:t>
    </w:r>
    <w:r w:rsidR="00120E88" w:rsidRPr="00120E88">
      <w:rPr>
        <w:rFonts w:cstheme="minorHAnsi"/>
        <w:spacing w:val="-4"/>
        <w:szCs w:val="18"/>
        <w:lang w:val="de-CH"/>
      </w:rPr>
      <w:t>SFP-</w:t>
    </w:r>
    <w:r w:rsidR="00F821C5" w:rsidRPr="00120E88">
      <w:rPr>
        <w:noProof/>
        <w:szCs w:val="18"/>
      </w:rPr>
      <w:t>FHR</w:t>
    </w:r>
    <w:r w:rsidR="00857FF1" w:rsidRPr="00120E88">
      <w:rPr>
        <w:noProof/>
        <w:szCs w:val="18"/>
      </w:rPr>
      <w:t>-</w:t>
    </w:r>
    <w:r w:rsidR="00F821C5" w:rsidRPr="00120E88">
      <w:rPr>
        <w:noProof/>
        <w:szCs w:val="18"/>
      </w:rPr>
      <w:t>1</w:t>
    </w:r>
    <w:r w:rsidR="00857FF1" w:rsidRPr="00120E88">
      <w:rPr>
        <w:noProof/>
        <w:szCs w:val="18"/>
      </w:rPr>
      <w:t>/</w:t>
    </w:r>
    <w:r w:rsidR="00A06D04">
      <w:rPr>
        <w:noProof/>
        <w:szCs w:val="18"/>
      </w:rPr>
      <w:t>2</w:t>
    </w:r>
    <w:r w:rsidR="00857FF1" w:rsidRPr="00120E88">
      <w:rPr>
        <w:noProof/>
        <w:szCs w:val="18"/>
      </w:rPr>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BCE03" w14:textId="29AB1FEF" w:rsidR="00FB4316" w:rsidRDefault="00FB4316">
    <w:pPr>
      <w:pStyle w:val="Header"/>
    </w:pPr>
    <w:r>
      <w:fldChar w:fldCharType="begin"/>
    </w:r>
    <w:r>
      <w:instrText xml:space="preserve"> PAGE   \* MERGEFORMAT </w:instrText>
    </w:r>
    <w:r>
      <w:fldChar w:fldCharType="separate"/>
    </w:r>
    <w:r>
      <w:t>3</w:t>
    </w:r>
    <w:r>
      <w:rPr>
        <w:noProof/>
      </w:rPr>
      <w:fldChar w:fldCharType="end"/>
    </w:r>
    <w:r>
      <w:rPr>
        <w:noProof/>
      </w:rPr>
      <w:br/>
    </w:r>
    <w:r w:rsidRPr="00120E88">
      <w:rPr>
        <w:noProof/>
        <w:szCs w:val="18"/>
      </w:rPr>
      <w:t>CWG-</w:t>
    </w:r>
    <w:r w:rsidRPr="00120E88">
      <w:rPr>
        <w:rFonts w:cstheme="minorHAnsi"/>
        <w:spacing w:val="-4"/>
        <w:szCs w:val="18"/>
        <w:lang w:val="de-CH"/>
      </w:rPr>
      <w:t xml:space="preserve"> </w:t>
    </w:r>
    <w:r w:rsidRPr="00120E88">
      <w:rPr>
        <w:rFonts w:cstheme="minorHAnsi"/>
        <w:spacing w:val="-4"/>
        <w:szCs w:val="18"/>
        <w:lang w:val="de-CH"/>
      </w:rPr>
      <w:t>SFP-</w:t>
    </w:r>
    <w:r w:rsidRPr="00120E88">
      <w:rPr>
        <w:noProof/>
        <w:szCs w:val="18"/>
      </w:rPr>
      <w:t>FHR-1/</w:t>
    </w:r>
    <w:r>
      <w:rPr>
        <w:noProof/>
        <w:szCs w:val="18"/>
      </w:rPr>
      <w:t>2</w:t>
    </w:r>
    <w:r w:rsidRPr="00120E88">
      <w:rPr>
        <w:noProof/>
        <w:szCs w:val="18"/>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3C4EFB"/>
    <w:multiLevelType w:val="hybridMultilevel"/>
    <w:tmpl w:val="8B885D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F542A"/>
    <w:multiLevelType w:val="hybridMultilevel"/>
    <w:tmpl w:val="1486D5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522FB5"/>
    <w:multiLevelType w:val="hybridMultilevel"/>
    <w:tmpl w:val="F5CE64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324FD7"/>
    <w:multiLevelType w:val="hybridMultilevel"/>
    <w:tmpl w:val="29E2400C"/>
    <w:lvl w:ilvl="0" w:tplc="73366FAA">
      <w:start w:val="1"/>
      <w:numFmt w:val="lowerLetter"/>
      <w:lvlText w:val="%1)"/>
      <w:lvlJc w:val="left"/>
      <w:pPr>
        <w:ind w:left="794" w:hanging="434"/>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494323"/>
    <w:multiLevelType w:val="hybridMultilevel"/>
    <w:tmpl w:val="98D00B94"/>
    <w:lvl w:ilvl="0" w:tplc="476081AE">
      <w:start w:val="1"/>
      <w:numFmt w:val="bullet"/>
      <w:lvlText w:val="o"/>
      <w:lvlJc w:val="left"/>
      <w:pPr>
        <w:ind w:left="851" w:hanging="494"/>
      </w:pPr>
      <w:rPr>
        <w:rFonts w:ascii="Courier New" w:hAnsi="Courier New"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57C310E9"/>
    <w:multiLevelType w:val="hybridMultilevel"/>
    <w:tmpl w:val="C1CC51CE"/>
    <w:lvl w:ilvl="0" w:tplc="05E8FC6E">
      <w:start w:val="1"/>
      <w:numFmt w:val="bullet"/>
      <w:lvlText w:val="o"/>
      <w:lvlJc w:val="left"/>
      <w:pPr>
        <w:ind w:left="794" w:hanging="437"/>
      </w:pPr>
      <w:rPr>
        <w:rFonts w:ascii="Courier New" w:hAnsi="Courier New"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5D717A17"/>
    <w:multiLevelType w:val="hybridMultilevel"/>
    <w:tmpl w:val="4D7274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6E4A74"/>
    <w:multiLevelType w:val="hybridMultilevel"/>
    <w:tmpl w:val="294490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D23589"/>
    <w:multiLevelType w:val="hybridMultilevel"/>
    <w:tmpl w:val="582C2998"/>
    <w:lvl w:ilvl="0" w:tplc="C4EAD058">
      <w:start w:val="1"/>
      <w:numFmt w:val="lowerRoman"/>
      <w:lvlText w:val="%1."/>
      <w:lvlJc w:val="right"/>
      <w:pPr>
        <w:ind w:left="794" w:hanging="434"/>
      </w:pPr>
      <w:rPr>
        <w:rFonts w:hint="default"/>
      </w:rPr>
    </w:lvl>
    <w:lvl w:ilvl="1" w:tplc="0409001B">
      <w:start w:val="1"/>
      <w:numFmt w:val="lowerRoman"/>
      <w:lvlText w:val="%2."/>
      <w:lvlJc w:val="right"/>
      <w:pPr>
        <w:ind w:left="1440" w:hanging="360"/>
      </w:pPr>
    </w:lvl>
    <w:lvl w:ilvl="2" w:tplc="CE3EC23A">
      <w:start w:val="1"/>
      <w:numFmt w:val="lowerRoman"/>
      <w:lvlText w:val="%3."/>
      <w:lvlJc w:val="right"/>
      <w:pPr>
        <w:ind w:left="794" w:hanging="437"/>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5976EF1"/>
    <w:multiLevelType w:val="hybridMultilevel"/>
    <w:tmpl w:val="B70E485C"/>
    <w:lvl w:ilvl="0" w:tplc="20000003">
      <w:start w:val="1"/>
      <w:numFmt w:val="bullet"/>
      <w:lvlText w:val="o"/>
      <w:lvlJc w:val="left"/>
      <w:pPr>
        <w:ind w:left="1157" w:hanging="800"/>
      </w:pPr>
      <w:rPr>
        <w:rFonts w:ascii="Courier New" w:hAnsi="Courier New" w:cs="Courier New"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9"/>
  </w:num>
  <w:num w:numId="3">
    <w:abstractNumId w:val="10"/>
  </w:num>
  <w:num w:numId="4">
    <w:abstractNumId w:val="4"/>
  </w:num>
  <w:num w:numId="5">
    <w:abstractNumId w:val="5"/>
  </w:num>
  <w:num w:numId="6">
    <w:abstractNumId w:val="6"/>
  </w:num>
  <w:num w:numId="7">
    <w:abstractNumId w:val="9"/>
  </w:num>
  <w:num w:numId="8">
    <w:abstractNumId w:val="3"/>
  </w:num>
  <w:num w:numId="9">
    <w:abstractNumId w:val="8"/>
  </w:num>
  <w:num w:numId="10">
    <w:abstractNumId w:val="1"/>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0C6"/>
    <w:rsid w:val="00000257"/>
    <w:rsid w:val="00001A9C"/>
    <w:rsid w:val="000038C4"/>
    <w:rsid w:val="00007F7F"/>
    <w:rsid w:val="00010C32"/>
    <w:rsid w:val="00010F48"/>
    <w:rsid w:val="000147CA"/>
    <w:rsid w:val="00015FB1"/>
    <w:rsid w:val="0001781D"/>
    <w:rsid w:val="0002197D"/>
    <w:rsid w:val="00021DF9"/>
    <w:rsid w:val="0002607F"/>
    <w:rsid w:val="000264BE"/>
    <w:rsid w:val="000268B0"/>
    <w:rsid w:val="00027767"/>
    <w:rsid w:val="0003282D"/>
    <w:rsid w:val="00047F0D"/>
    <w:rsid w:val="00052578"/>
    <w:rsid w:val="00052886"/>
    <w:rsid w:val="00052EB0"/>
    <w:rsid w:val="00053C26"/>
    <w:rsid w:val="00053FE3"/>
    <w:rsid w:val="00054724"/>
    <w:rsid w:val="000548E3"/>
    <w:rsid w:val="0006023C"/>
    <w:rsid w:val="00060990"/>
    <w:rsid w:val="0006108F"/>
    <w:rsid w:val="00061780"/>
    <w:rsid w:val="00065E3D"/>
    <w:rsid w:val="000720AB"/>
    <w:rsid w:val="0007733F"/>
    <w:rsid w:val="000811C5"/>
    <w:rsid w:val="0008236A"/>
    <w:rsid w:val="00086FC8"/>
    <w:rsid w:val="000929FF"/>
    <w:rsid w:val="00093ACA"/>
    <w:rsid w:val="000944B4"/>
    <w:rsid w:val="000A1688"/>
    <w:rsid w:val="000A5071"/>
    <w:rsid w:val="000B4C95"/>
    <w:rsid w:val="000C20DC"/>
    <w:rsid w:val="000C2A2E"/>
    <w:rsid w:val="000C2C28"/>
    <w:rsid w:val="000C4839"/>
    <w:rsid w:val="000D1EC9"/>
    <w:rsid w:val="000D746E"/>
    <w:rsid w:val="000E0B2E"/>
    <w:rsid w:val="000E334D"/>
    <w:rsid w:val="000E6444"/>
    <w:rsid w:val="000E6F49"/>
    <w:rsid w:val="000E738E"/>
    <w:rsid w:val="000F2E67"/>
    <w:rsid w:val="000F366F"/>
    <w:rsid w:val="000F7587"/>
    <w:rsid w:val="0010077D"/>
    <w:rsid w:val="00100FFB"/>
    <w:rsid w:val="001012BC"/>
    <w:rsid w:val="0010361A"/>
    <w:rsid w:val="0010375B"/>
    <w:rsid w:val="001054A9"/>
    <w:rsid w:val="00111A8A"/>
    <w:rsid w:val="001158FB"/>
    <w:rsid w:val="001164E6"/>
    <w:rsid w:val="00120E88"/>
    <w:rsid w:val="001217CF"/>
    <w:rsid w:val="00121D0F"/>
    <w:rsid w:val="00122205"/>
    <w:rsid w:val="0012767B"/>
    <w:rsid w:val="00130BEC"/>
    <w:rsid w:val="0014173E"/>
    <w:rsid w:val="00143AFF"/>
    <w:rsid w:val="00151F6B"/>
    <w:rsid w:val="001668F0"/>
    <w:rsid w:val="0017057A"/>
    <w:rsid w:val="001743A1"/>
    <w:rsid w:val="00175D3F"/>
    <w:rsid w:val="001778D9"/>
    <w:rsid w:val="00193826"/>
    <w:rsid w:val="00194AC8"/>
    <w:rsid w:val="001962CD"/>
    <w:rsid w:val="001A1E52"/>
    <w:rsid w:val="001A43BB"/>
    <w:rsid w:val="001B0D22"/>
    <w:rsid w:val="001B17B9"/>
    <w:rsid w:val="001B3FBE"/>
    <w:rsid w:val="001B506B"/>
    <w:rsid w:val="001B5EDA"/>
    <w:rsid w:val="001B776D"/>
    <w:rsid w:val="001B7A37"/>
    <w:rsid w:val="001C154A"/>
    <w:rsid w:val="001C230E"/>
    <w:rsid w:val="001C2863"/>
    <w:rsid w:val="001C36A8"/>
    <w:rsid w:val="001C4440"/>
    <w:rsid w:val="001C533D"/>
    <w:rsid w:val="001D16E1"/>
    <w:rsid w:val="001D27FE"/>
    <w:rsid w:val="001D6882"/>
    <w:rsid w:val="001D69BE"/>
    <w:rsid w:val="001D6BE4"/>
    <w:rsid w:val="001E4BD2"/>
    <w:rsid w:val="001E56AD"/>
    <w:rsid w:val="001E5885"/>
    <w:rsid w:val="001E5B3B"/>
    <w:rsid w:val="00200486"/>
    <w:rsid w:val="00200CD5"/>
    <w:rsid w:val="0020692F"/>
    <w:rsid w:val="002070AD"/>
    <w:rsid w:val="00207123"/>
    <w:rsid w:val="002079BE"/>
    <w:rsid w:val="0021145F"/>
    <w:rsid w:val="00212BF7"/>
    <w:rsid w:val="00214150"/>
    <w:rsid w:val="0022078A"/>
    <w:rsid w:val="002228D5"/>
    <w:rsid w:val="0022556C"/>
    <w:rsid w:val="00231E1D"/>
    <w:rsid w:val="00234D49"/>
    <w:rsid w:val="00236174"/>
    <w:rsid w:val="0024200E"/>
    <w:rsid w:val="002427C0"/>
    <w:rsid w:val="00243040"/>
    <w:rsid w:val="00251AC8"/>
    <w:rsid w:val="00253185"/>
    <w:rsid w:val="00253744"/>
    <w:rsid w:val="0026019F"/>
    <w:rsid w:val="00260D49"/>
    <w:rsid w:val="00261ACE"/>
    <w:rsid w:val="0026646E"/>
    <w:rsid w:val="00266D8D"/>
    <w:rsid w:val="002773E1"/>
    <w:rsid w:val="0028438C"/>
    <w:rsid w:val="00287A13"/>
    <w:rsid w:val="00291555"/>
    <w:rsid w:val="00291F7C"/>
    <w:rsid w:val="00292EB7"/>
    <w:rsid w:val="002A09B4"/>
    <w:rsid w:val="002A173B"/>
    <w:rsid w:val="002A264E"/>
    <w:rsid w:val="002A6B9A"/>
    <w:rsid w:val="002B4498"/>
    <w:rsid w:val="002B4C20"/>
    <w:rsid w:val="002B7F6E"/>
    <w:rsid w:val="002D0F7E"/>
    <w:rsid w:val="002E04CE"/>
    <w:rsid w:val="002E581D"/>
    <w:rsid w:val="002E5B9B"/>
    <w:rsid w:val="002F150A"/>
    <w:rsid w:val="002F6797"/>
    <w:rsid w:val="003010A1"/>
    <w:rsid w:val="00302584"/>
    <w:rsid w:val="00302B27"/>
    <w:rsid w:val="00306388"/>
    <w:rsid w:val="00307AF2"/>
    <w:rsid w:val="00312766"/>
    <w:rsid w:val="00313660"/>
    <w:rsid w:val="003149DC"/>
    <w:rsid w:val="00315C60"/>
    <w:rsid w:val="0031621F"/>
    <w:rsid w:val="00332B82"/>
    <w:rsid w:val="003341A5"/>
    <w:rsid w:val="00335193"/>
    <w:rsid w:val="00342898"/>
    <w:rsid w:val="00344CAA"/>
    <w:rsid w:val="00344DC5"/>
    <w:rsid w:val="0034736F"/>
    <w:rsid w:val="00347E04"/>
    <w:rsid w:val="003573BA"/>
    <w:rsid w:val="00366DC6"/>
    <w:rsid w:val="0036762C"/>
    <w:rsid w:val="00374C2C"/>
    <w:rsid w:val="0037552B"/>
    <w:rsid w:val="0038108B"/>
    <w:rsid w:val="003834F8"/>
    <w:rsid w:val="00383935"/>
    <w:rsid w:val="0038562C"/>
    <w:rsid w:val="00385B5F"/>
    <w:rsid w:val="00390067"/>
    <w:rsid w:val="00391655"/>
    <w:rsid w:val="003917D7"/>
    <w:rsid w:val="00394C20"/>
    <w:rsid w:val="003A4FC0"/>
    <w:rsid w:val="003B0E70"/>
    <w:rsid w:val="003B306B"/>
    <w:rsid w:val="003B63AE"/>
    <w:rsid w:val="003C1B04"/>
    <w:rsid w:val="003C441A"/>
    <w:rsid w:val="003D1349"/>
    <w:rsid w:val="003D1F22"/>
    <w:rsid w:val="003D38E2"/>
    <w:rsid w:val="003D7FD9"/>
    <w:rsid w:val="003E071A"/>
    <w:rsid w:val="003E74D8"/>
    <w:rsid w:val="003E7E4F"/>
    <w:rsid w:val="003F36AF"/>
    <w:rsid w:val="003F6014"/>
    <w:rsid w:val="003F7794"/>
    <w:rsid w:val="00401FA7"/>
    <w:rsid w:val="00403A79"/>
    <w:rsid w:val="00405880"/>
    <w:rsid w:val="00405A0C"/>
    <w:rsid w:val="004061AF"/>
    <w:rsid w:val="00406379"/>
    <w:rsid w:val="00406503"/>
    <w:rsid w:val="00406D07"/>
    <w:rsid w:val="004110D2"/>
    <w:rsid w:val="0041154D"/>
    <w:rsid w:val="00412020"/>
    <w:rsid w:val="00417936"/>
    <w:rsid w:val="00423041"/>
    <w:rsid w:val="004232D9"/>
    <w:rsid w:val="004268D5"/>
    <w:rsid w:val="004303C3"/>
    <w:rsid w:val="00431D53"/>
    <w:rsid w:val="00431EA7"/>
    <w:rsid w:val="00434926"/>
    <w:rsid w:val="0043494A"/>
    <w:rsid w:val="004351D8"/>
    <w:rsid w:val="0043742A"/>
    <w:rsid w:val="00441E09"/>
    <w:rsid w:val="00453636"/>
    <w:rsid w:val="00453B2D"/>
    <w:rsid w:val="00455626"/>
    <w:rsid w:val="0045624E"/>
    <w:rsid w:val="00457B00"/>
    <w:rsid w:val="00463A64"/>
    <w:rsid w:val="00471036"/>
    <w:rsid w:val="00473B64"/>
    <w:rsid w:val="00477A11"/>
    <w:rsid w:val="004812CB"/>
    <w:rsid w:val="004855FD"/>
    <w:rsid w:val="00486CB6"/>
    <w:rsid w:val="004944DB"/>
    <w:rsid w:val="00496213"/>
    <w:rsid w:val="004A0CD0"/>
    <w:rsid w:val="004B6FBE"/>
    <w:rsid w:val="004C1A8E"/>
    <w:rsid w:val="004C4DBE"/>
    <w:rsid w:val="004C53CF"/>
    <w:rsid w:val="004C72E3"/>
    <w:rsid w:val="004D1794"/>
    <w:rsid w:val="004D3913"/>
    <w:rsid w:val="004D48DF"/>
    <w:rsid w:val="004E2A9A"/>
    <w:rsid w:val="004E5922"/>
    <w:rsid w:val="004E59D9"/>
    <w:rsid w:val="004F5D70"/>
    <w:rsid w:val="00502CCA"/>
    <w:rsid w:val="005070D4"/>
    <w:rsid w:val="00510FAF"/>
    <w:rsid w:val="00513A75"/>
    <w:rsid w:val="00517DE6"/>
    <w:rsid w:val="00524EF4"/>
    <w:rsid w:val="00530D10"/>
    <w:rsid w:val="005325DA"/>
    <w:rsid w:val="00532C41"/>
    <w:rsid w:val="00533490"/>
    <w:rsid w:val="00533519"/>
    <w:rsid w:val="0053382F"/>
    <w:rsid w:val="005364C3"/>
    <w:rsid w:val="00536CF3"/>
    <w:rsid w:val="0054047D"/>
    <w:rsid w:val="00545DD0"/>
    <w:rsid w:val="005523DF"/>
    <w:rsid w:val="00555C6E"/>
    <w:rsid w:val="00566BFF"/>
    <w:rsid w:val="00570FC0"/>
    <w:rsid w:val="00571DB9"/>
    <w:rsid w:val="00575631"/>
    <w:rsid w:val="0057653D"/>
    <w:rsid w:val="0057793B"/>
    <w:rsid w:val="00580A4A"/>
    <w:rsid w:val="00581062"/>
    <w:rsid w:val="005816C5"/>
    <w:rsid w:val="00582047"/>
    <w:rsid w:val="00586ABC"/>
    <w:rsid w:val="00594061"/>
    <w:rsid w:val="005940F0"/>
    <w:rsid w:val="0059492C"/>
    <w:rsid w:val="005A000B"/>
    <w:rsid w:val="005A09AC"/>
    <w:rsid w:val="005A39BB"/>
    <w:rsid w:val="005A3ABC"/>
    <w:rsid w:val="005A58DC"/>
    <w:rsid w:val="005B02E4"/>
    <w:rsid w:val="005B231B"/>
    <w:rsid w:val="005B5D4C"/>
    <w:rsid w:val="005C295A"/>
    <w:rsid w:val="005C3310"/>
    <w:rsid w:val="005C3678"/>
    <w:rsid w:val="005C510E"/>
    <w:rsid w:val="005C51C0"/>
    <w:rsid w:val="005C55D0"/>
    <w:rsid w:val="005C6602"/>
    <w:rsid w:val="005D010A"/>
    <w:rsid w:val="005D23BD"/>
    <w:rsid w:val="005D55E2"/>
    <w:rsid w:val="005D676E"/>
    <w:rsid w:val="005D7FBC"/>
    <w:rsid w:val="005E4B0A"/>
    <w:rsid w:val="005E6248"/>
    <w:rsid w:val="005F0DAC"/>
    <w:rsid w:val="005F153A"/>
    <w:rsid w:val="005F3C9A"/>
    <w:rsid w:val="005F42CA"/>
    <w:rsid w:val="005F43BC"/>
    <w:rsid w:val="005F6E60"/>
    <w:rsid w:val="005F716F"/>
    <w:rsid w:val="005F7189"/>
    <w:rsid w:val="005F7C2E"/>
    <w:rsid w:val="006006FD"/>
    <w:rsid w:val="00602355"/>
    <w:rsid w:val="00607F0B"/>
    <w:rsid w:val="00611188"/>
    <w:rsid w:val="00616D37"/>
    <w:rsid w:val="00617346"/>
    <w:rsid w:val="006204DB"/>
    <w:rsid w:val="00623E67"/>
    <w:rsid w:val="00624887"/>
    <w:rsid w:val="00626262"/>
    <w:rsid w:val="00630805"/>
    <w:rsid w:val="00635161"/>
    <w:rsid w:val="006367B6"/>
    <w:rsid w:val="006377C7"/>
    <w:rsid w:val="0064055B"/>
    <w:rsid w:val="00642B5B"/>
    <w:rsid w:val="006463AB"/>
    <w:rsid w:val="006477FD"/>
    <w:rsid w:val="00655BE6"/>
    <w:rsid w:val="00656B2D"/>
    <w:rsid w:val="00661E22"/>
    <w:rsid w:val="00665F5E"/>
    <w:rsid w:val="0066704D"/>
    <w:rsid w:val="00671D68"/>
    <w:rsid w:val="006720AA"/>
    <w:rsid w:val="0067474B"/>
    <w:rsid w:val="00683733"/>
    <w:rsid w:val="00683C44"/>
    <w:rsid w:val="00692A3E"/>
    <w:rsid w:val="00692FA4"/>
    <w:rsid w:val="00696709"/>
    <w:rsid w:val="006978E5"/>
    <w:rsid w:val="006A02E2"/>
    <w:rsid w:val="006A079F"/>
    <w:rsid w:val="006A0E15"/>
    <w:rsid w:val="006A15AC"/>
    <w:rsid w:val="006A2F0C"/>
    <w:rsid w:val="006A5DD8"/>
    <w:rsid w:val="006A6D99"/>
    <w:rsid w:val="006B361F"/>
    <w:rsid w:val="006B39E1"/>
    <w:rsid w:val="006B460D"/>
    <w:rsid w:val="006C1682"/>
    <w:rsid w:val="006C2B40"/>
    <w:rsid w:val="006C364F"/>
    <w:rsid w:val="006C5D53"/>
    <w:rsid w:val="006D18A0"/>
    <w:rsid w:val="006D42F1"/>
    <w:rsid w:val="006D5D09"/>
    <w:rsid w:val="006D70C6"/>
    <w:rsid w:val="006E0FF3"/>
    <w:rsid w:val="006E36F1"/>
    <w:rsid w:val="006E39B8"/>
    <w:rsid w:val="006F059A"/>
    <w:rsid w:val="006F2163"/>
    <w:rsid w:val="006F5ACB"/>
    <w:rsid w:val="007003D6"/>
    <w:rsid w:val="0070262F"/>
    <w:rsid w:val="00704271"/>
    <w:rsid w:val="00713A1D"/>
    <w:rsid w:val="007156E4"/>
    <w:rsid w:val="00717F6C"/>
    <w:rsid w:val="0072067D"/>
    <w:rsid w:val="00721EED"/>
    <w:rsid w:val="007270D0"/>
    <w:rsid w:val="00733871"/>
    <w:rsid w:val="007339D5"/>
    <w:rsid w:val="00734285"/>
    <w:rsid w:val="00750401"/>
    <w:rsid w:val="0076010E"/>
    <w:rsid w:val="00764696"/>
    <w:rsid w:val="0076620B"/>
    <w:rsid w:val="0077353C"/>
    <w:rsid w:val="00775A12"/>
    <w:rsid w:val="00776D75"/>
    <w:rsid w:val="00783E51"/>
    <w:rsid w:val="0078643F"/>
    <w:rsid w:val="00790E9D"/>
    <w:rsid w:val="007944BB"/>
    <w:rsid w:val="0079453B"/>
    <w:rsid w:val="007962C2"/>
    <w:rsid w:val="00797D46"/>
    <w:rsid w:val="007A5462"/>
    <w:rsid w:val="007A54BE"/>
    <w:rsid w:val="007B1D6C"/>
    <w:rsid w:val="007B3243"/>
    <w:rsid w:val="007B3BF2"/>
    <w:rsid w:val="007B7E45"/>
    <w:rsid w:val="007C05A7"/>
    <w:rsid w:val="007C102C"/>
    <w:rsid w:val="007C34B0"/>
    <w:rsid w:val="007C5CDF"/>
    <w:rsid w:val="007C7752"/>
    <w:rsid w:val="007E1149"/>
    <w:rsid w:val="007E33CE"/>
    <w:rsid w:val="007E6398"/>
    <w:rsid w:val="007E754E"/>
    <w:rsid w:val="007E77C1"/>
    <w:rsid w:val="007F1EAE"/>
    <w:rsid w:val="007F5448"/>
    <w:rsid w:val="007F5590"/>
    <w:rsid w:val="007F7EDA"/>
    <w:rsid w:val="008002FF"/>
    <w:rsid w:val="00802ED1"/>
    <w:rsid w:val="00803EC9"/>
    <w:rsid w:val="0080441F"/>
    <w:rsid w:val="00804996"/>
    <w:rsid w:val="0080713C"/>
    <w:rsid w:val="00811AE1"/>
    <w:rsid w:val="008151AA"/>
    <w:rsid w:val="00816221"/>
    <w:rsid w:val="00816507"/>
    <w:rsid w:val="00821976"/>
    <w:rsid w:val="0082335C"/>
    <w:rsid w:val="008233F9"/>
    <w:rsid w:val="00831D35"/>
    <w:rsid w:val="0083200C"/>
    <w:rsid w:val="00833DC2"/>
    <w:rsid w:val="00835CD6"/>
    <w:rsid w:val="0084292A"/>
    <w:rsid w:val="00842DFD"/>
    <w:rsid w:val="008446CA"/>
    <w:rsid w:val="008449BB"/>
    <w:rsid w:val="0084622B"/>
    <w:rsid w:val="00853371"/>
    <w:rsid w:val="008543CD"/>
    <w:rsid w:val="00857FF1"/>
    <w:rsid w:val="00861F9C"/>
    <w:rsid w:val="00867F8F"/>
    <w:rsid w:val="00872804"/>
    <w:rsid w:val="008749C8"/>
    <w:rsid w:val="0088059A"/>
    <w:rsid w:val="00887F43"/>
    <w:rsid w:val="00891BFC"/>
    <w:rsid w:val="00893BBD"/>
    <w:rsid w:val="00894A9C"/>
    <w:rsid w:val="00897007"/>
    <w:rsid w:val="008A0AAD"/>
    <w:rsid w:val="008A0F72"/>
    <w:rsid w:val="008A2445"/>
    <w:rsid w:val="008A283A"/>
    <w:rsid w:val="008A292E"/>
    <w:rsid w:val="008A4F01"/>
    <w:rsid w:val="008B2C85"/>
    <w:rsid w:val="008B56C2"/>
    <w:rsid w:val="008B5AF9"/>
    <w:rsid w:val="008C173B"/>
    <w:rsid w:val="008C2C8E"/>
    <w:rsid w:val="008D18C5"/>
    <w:rsid w:val="008D1B8D"/>
    <w:rsid w:val="008D1DB1"/>
    <w:rsid w:val="008D45D6"/>
    <w:rsid w:val="008E27E9"/>
    <w:rsid w:val="008E28FB"/>
    <w:rsid w:val="008E3915"/>
    <w:rsid w:val="008E74F8"/>
    <w:rsid w:val="008F0348"/>
    <w:rsid w:val="00902E96"/>
    <w:rsid w:val="009039E6"/>
    <w:rsid w:val="0090735D"/>
    <w:rsid w:val="00907F6E"/>
    <w:rsid w:val="00911D35"/>
    <w:rsid w:val="00911D37"/>
    <w:rsid w:val="0091462A"/>
    <w:rsid w:val="009152F8"/>
    <w:rsid w:val="009158E2"/>
    <w:rsid w:val="0091691F"/>
    <w:rsid w:val="009208B2"/>
    <w:rsid w:val="00921BD2"/>
    <w:rsid w:val="009325E5"/>
    <w:rsid w:val="00932DC2"/>
    <w:rsid w:val="00933184"/>
    <w:rsid w:val="00941F8F"/>
    <w:rsid w:val="009468B8"/>
    <w:rsid w:val="00946B12"/>
    <w:rsid w:val="00946D2C"/>
    <w:rsid w:val="00952D9C"/>
    <w:rsid w:val="009537F8"/>
    <w:rsid w:val="009538DC"/>
    <w:rsid w:val="009579CD"/>
    <w:rsid w:val="00957F67"/>
    <w:rsid w:val="009605B2"/>
    <w:rsid w:val="00960A81"/>
    <w:rsid w:val="00962DE5"/>
    <w:rsid w:val="00964048"/>
    <w:rsid w:val="009640AB"/>
    <w:rsid w:val="00967173"/>
    <w:rsid w:val="00973FB5"/>
    <w:rsid w:val="00977945"/>
    <w:rsid w:val="00981751"/>
    <w:rsid w:val="00981C18"/>
    <w:rsid w:val="00990CB4"/>
    <w:rsid w:val="009914AD"/>
    <w:rsid w:val="00994E08"/>
    <w:rsid w:val="009A0436"/>
    <w:rsid w:val="009A5599"/>
    <w:rsid w:val="009A68D0"/>
    <w:rsid w:val="009A7E6E"/>
    <w:rsid w:val="009B2CB2"/>
    <w:rsid w:val="009B7A6D"/>
    <w:rsid w:val="009C38EC"/>
    <w:rsid w:val="009C53AB"/>
    <w:rsid w:val="009C7808"/>
    <w:rsid w:val="009D06FA"/>
    <w:rsid w:val="009D6205"/>
    <w:rsid w:val="009D6E05"/>
    <w:rsid w:val="009E0E57"/>
    <w:rsid w:val="009E6DA4"/>
    <w:rsid w:val="009E788E"/>
    <w:rsid w:val="009F6474"/>
    <w:rsid w:val="00A004BB"/>
    <w:rsid w:val="00A01278"/>
    <w:rsid w:val="00A017C1"/>
    <w:rsid w:val="00A03373"/>
    <w:rsid w:val="00A034D1"/>
    <w:rsid w:val="00A036B8"/>
    <w:rsid w:val="00A06D04"/>
    <w:rsid w:val="00A10925"/>
    <w:rsid w:val="00A10EFD"/>
    <w:rsid w:val="00A10EFE"/>
    <w:rsid w:val="00A12C2C"/>
    <w:rsid w:val="00A14D06"/>
    <w:rsid w:val="00A241C3"/>
    <w:rsid w:val="00A26C2E"/>
    <w:rsid w:val="00A26EF2"/>
    <w:rsid w:val="00A3221E"/>
    <w:rsid w:val="00A37145"/>
    <w:rsid w:val="00A40EC9"/>
    <w:rsid w:val="00A4220F"/>
    <w:rsid w:val="00A4381A"/>
    <w:rsid w:val="00A43E66"/>
    <w:rsid w:val="00A46705"/>
    <w:rsid w:val="00A467F7"/>
    <w:rsid w:val="00A47D6B"/>
    <w:rsid w:val="00A53763"/>
    <w:rsid w:val="00A538E3"/>
    <w:rsid w:val="00A5763D"/>
    <w:rsid w:val="00A60890"/>
    <w:rsid w:val="00A62722"/>
    <w:rsid w:val="00A66A91"/>
    <w:rsid w:val="00A66CCC"/>
    <w:rsid w:val="00A70CB6"/>
    <w:rsid w:val="00A714BD"/>
    <w:rsid w:val="00A77A06"/>
    <w:rsid w:val="00A819C3"/>
    <w:rsid w:val="00A8726B"/>
    <w:rsid w:val="00A93C72"/>
    <w:rsid w:val="00A95D42"/>
    <w:rsid w:val="00A962C3"/>
    <w:rsid w:val="00A973E2"/>
    <w:rsid w:val="00AA5CFE"/>
    <w:rsid w:val="00AB1A29"/>
    <w:rsid w:val="00AC37B1"/>
    <w:rsid w:val="00AC6047"/>
    <w:rsid w:val="00AC7956"/>
    <w:rsid w:val="00AD6268"/>
    <w:rsid w:val="00AE1811"/>
    <w:rsid w:val="00AE72AF"/>
    <w:rsid w:val="00AF2C12"/>
    <w:rsid w:val="00AF50A8"/>
    <w:rsid w:val="00B012E8"/>
    <w:rsid w:val="00B02AB0"/>
    <w:rsid w:val="00B13CEA"/>
    <w:rsid w:val="00B15C66"/>
    <w:rsid w:val="00B22946"/>
    <w:rsid w:val="00B25573"/>
    <w:rsid w:val="00B32122"/>
    <w:rsid w:val="00B33E2C"/>
    <w:rsid w:val="00B36FB3"/>
    <w:rsid w:val="00B46BB7"/>
    <w:rsid w:val="00B50536"/>
    <w:rsid w:val="00B52617"/>
    <w:rsid w:val="00B548BE"/>
    <w:rsid w:val="00B60E2E"/>
    <w:rsid w:val="00B628B6"/>
    <w:rsid w:val="00B648E7"/>
    <w:rsid w:val="00B660AC"/>
    <w:rsid w:val="00B70990"/>
    <w:rsid w:val="00B70A2D"/>
    <w:rsid w:val="00B70AF5"/>
    <w:rsid w:val="00B70B6B"/>
    <w:rsid w:val="00B71491"/>
    <w:rsid w:val="00B7485F"/>
    <w:rsid w:val="00B83F99"/>
    <w:rsid w:val="00B915C1"/>
    <w:rsid w:val="00B921B1"/>
    <w:rsid w:val="00B92D6B"/>
    <w:rsid w:val="00B9352F"/>
    <w:rsid w:val="00B97A98"/>
    <w:rsid w:val="00BA02C1"/>
    <w:rsid w:val="00BA4B96"/>
    <w:rsid w:val="00BA7BE0"/>
    <w:rsid w:val="00BB09A2"/>
    <w:rsid w:val="00BB0AE6"/>
    <w:rsid w:val="00BB1545"/>
    <w:rsid w:val="00BB16E4"/>
    <w:rsid w:val="00BB21AD"/>
    <w:rsid w:val="00BB46DF"/>
    <w:rsid w:val="00BB4B1A"/>
    <w:rsid w:val="00BB5F5E"/>
    <w:rsid w:val="00BB611D"/>
    <w:rsid w:val="00BC1480"/>
    <w:rsid w:val="00BC30E9"/>
    <w:rsid w:val="00BC4228"/>
    <w:rsid w:val="00BD6AF4"/>
    <w:rsid w:val="00BD6DF5"/>
    <w:rsid w:val="00BE175D"/>
    <w:rsid w:val="00BE2648"/>
    <w:rsid w:val="00BE364F"/>
    <w:rsid w:val="00BE4BC7"/>
    <w:rsid w:val="00BE5EDE"/>
    <w:rsid w:val="00BE71E9"/>
    <w:rsid w:val="00BE7737"/>
    <w:rsid w:val="00BF3543"/>
    <w:rsid w:val="00BF3A0C"/>
    <w:rsid w:val="00C03ACA"/>
    <w:rsid w:val="00C07674"/>
    <w:rsid w:val="00C077B4"/>
    <w:rsid w:val="00C13CAA"/>
    <w:rsid w:val="00C13CBB"/>
    <w:rsid w:val="00C16177"/>
    <w:rsid w:val="00C201B9"/>
    <w:rsid w:val="00C24302"/>
    <w:rsid w:val="00C243FF"/>
    <w:rsid w:val="00C25ADC"/>
    <w:rsid w:val="00C25D00"/>
    <w:rsid w:val="00C318C0"/>
    <w:rsid w:val="00C37F17"/>
    <w:rsid w:val="00C37F58"/>
    <w:rsid w:val="00C40E80"/>
    <w:rsid w:val="00C4710B"/>
    <w:rsid w:val="00C62E1A"/>
    <w:rsid w:val="00C64BBF"/>
    <w:rsid w:val="00C64EB2"/>
    <w:rsid w:val="00C657EE"/>
    <w:rsid w:val="00C70729"/>
    <w:rsid w:val="00C71595"/>
    <w:rsid w:val="00C73FEA"/>
    <w:rsid w:val="00C863F7"/>
    <w:rsid w:val="00C86BA0"/>
    <w:rsid w:val="00C9084A"/>
    <w:rsid w:val="00CA20F2"/>
    <w:rsid w:val="00CA2A06"/>
    <w:rsid w:val="00CA3CB2"/>
    <w:rsid w:val="00CA3F8B"/>
    <w:rsid w:val="00CA5798"/>
    <w:rsid w:val="00CA59F0"/>
    <w:rsid w:val="00CB0190"/>
    <w:rsid w:val="00CB0AAF"/>
    <w:rsid w:val="00CB5E62"/>
    <w:rsid w:val="00CB6567"/>
    <w:rsid w:val="00CB7672"/>
    <w:rsid w:val="00CB7CCD"/>
    <w:rsid w:val="00CC0448"/>
    <w:rsid w:val="00CC2C8B"/>
    <w:rsid w:val="00CC597D"/>
    <w:rsid w:val="00CD01A7"/>
    <w:rsid w:val="00CD04E4"/>
    <w:rsid w:val="00CD098D"/>
    <w:rsid w:val="00CD6E42"/>
    <w:rsid w:val="00CE036F"/>
    <w:rsid w:val="00CE6DF3"/>
    <w:rsid w:val="00CF049D"/>
    <w:rsid w:val="00CF1CD3"/>
    <w:rsid w:val="00CF3EA5"/>
    <w:rsid w:val="00D02CC5"/>
    <w:rsid w:val="00D03809"/>
    <w:rsid w:val="00D03FE6"/>
    <w:rsid w:val="00D078F2"/>
    <w:rsid w:val="00D13E8A"/>
    <w:rsid w:val="00D14744"/>
    <w:rsid w:val="00D15326"/>
    <w:rsid w:val="00D15F1E"/>
    <w:rsid w:val="00D1632D"/>
    <w:rsid w:val="00D24CF3"/>
    <w:rsid w:val="00D35A9D"/>
    <w:rsid w:val="00D44BB2"/>
    <w:rsid w:val="00D45050"/>
    <w:rsid w:val="00D452A3"/>
    <w:rsid w:val="00D47CF9"/>
    <w:rsid w:val="00D50491"/>
    <w:rsid w:val="00D5205D"/>
    <w:rsid w:val="00D55BA5"/>
    <w:rsid w:val="00D565B5"/>
    <w:rsid w:val="00D56BEF"/>
    <w:rsid w:val="00D57D04"/>
    <w:rsid w:val="00D60A90"/>
    <w:rsid w:val="00D626A2"/>
    <w:rsid w:val="00D65D0F"/>
    <w:rsid w:val="00D67FAE"/>
    <w:rsid w:val="00D70819"/>
    <w:rsid w:val="00D70C72"/>
    <w:rsid w:val="00D70EE0"/>
    <w:rsid w:val="00D73265"/>
    <w:rsid w:val="00D82F11"/>
    <w:rsid w:val="00D834CC"/>
    <w:rsid w:val="00D83AAD"/>
    <w:rsid w:val="00D8573B"/>
    <w:rsid w:val="00D91684"/>
    <w:rsid w:val="00D93F41"/>
    <w:rsid w:val="00D96222"/>
    <w:rsid w:val="00D97EE0"/>
    <w:rsid w:val="00DA0B97"/>
    <w:rsid w:val="00DA2A5C"/>
    <w:rsid w:val="00DA5BBE"/>
    <w:rsid w:val="00DAE366"/>
    <w:rsid w:val="00DB00C3"/>
    <w:rsid w:val="00DB054A"/>
    <w:rsid w:val="00DB37C3"/>
    <w:rsid w:val="00DB5C1D"/>
    <w:rsid w:val="00DB6291"/>
    <w:rsid w:val="00DB701F"/>
    <w:rsid w:val="00DC740F"/>
    <w:rsid w:val="00DD0E84"/>
    <w:rsid w:val="00DD0F20"/>
    <w:rsid w:val="00DD4270"/>
    <w:rsid w:val="00DD551F"/>
    <w:rsid w:val="00DD7F74"/>
    <w:rsid w:val="00DE0161"/>
    <w:rsid w:val="00DE2E35"/>
    <w:rsid w:val="00DE6AB7"/>
    <w:rsid w:val="00DF7B4D"/>
    <w:rsid w:val="00E00223"/>
    <w:rsid w:val="00E01D38"/>
    <w:rsid w:val="00E023F8"/>
    <w:rsid w:val="00E02AF4"/>
    <w:rsid w:val="00E04BBC"/>
    <w:rsid w:val="00E0648E"/>
    <w:rsid w:val="00E06E45"/>
    <w:rsid w:val="00E1258E"/>
    <w:rsid w:val="00E1668A"/>
    <w:rsid w:val="00E2007F"/>
    <w:rsid w:val="00E30DF6"/>
    <w:rsid w:val="00E33E37"/>
    <w:rsid w:val="00E44ED4"/>
    <w:rsid w:val="00E450ED"/>
    <w:rsid w:val="00E50795"/>
    <w:rsid w:val="00E507AC"/>
    <w:rsid w:val="00E5592F"/>
    <w:rsid w:val="00E55EFC"/>
    <w:rsid w:val="00E57DBA"/>
    <w:rsid w:val="00E6031C"/>
    <w:rsid w:val="00E6198A"/>
    <w:rsid w:val="00E652C7"/>
    <w:rsid w:val="00E8066A"/>
    <w:rsid w:val="00E87721"/>
    <w:rsid w:val="00E90EA7"/>
    <w:rsid w:val="00E950B1"/>
    <w:rsid w:val="00E95A03"/>
    <w:rsid w:val="00E97D5E"/>
    <w:rsid w:val="00EA1E39"/>
    <w:rsid w:val="00EA3A6C"/>
    <w:rsid w:val="00EA5FFD"/>
    <w:rsid w:val="00EA751F"/>
    <w:rsid w:val="00EB1578"/>
    <w:rsid w:val="00EB47FF"/>
    <w:rsid w:val="00EB67D1"/>
    <w:rsid w:val="00EB7CDE"/>
    <w:rsid w:val="00EC7457"/>
    <w:rsid w:val="00ED3A2F"/>
    <w:rsid w:val="00EE27ED"/>
    <w:rsid w:val="00EE2DD2"/>
    <w:rsid w:val="00EF3901"/>
    <w:rsid w:val="00EF430C"/>
    <w:rsid w:val="00EF4B60"/>
    <w:rsid w:val="00F0400A"/>
    <w:rsid w:val="00F05197"/>
    <w:rsid w:val="00F06256"/>
    <w:rsid w:val="00F063E8"/>
    <w:rsid w:val="00F06CEE"/>
    <w:rsid w:val="00F07006"/>
    <w:rsid w:val="00F13DB9"/>
    <w:rsid w:val="00F147F9"/>
    <w:rsid w:val="00F1697D"/>
    <w:rsid w:val="00F2080E"/>
    <w:rsid w:val="00F22AF9"/>
    <w:rsid w:val="00F31532"/>
    <w:rsid w:val="00F339FB"/>
    <w:rsid w:val="00F37B8E"/>
    <w:rsid w:val="00F40E12"/>
    <w:rsid w:val="00F45331"/>
    <w:rsid w:val="00F47396"/>
    <w:rsid w:val="00F52927"/>
    <w:rsid w:val="00F547F3"/>
    <w:rsid w:val="00F55548"/>
    <w:rsid w:val="00F567E9"/>
    <w:rsid w:val="00F57E7D"/>
    <w:rsid w:val="00F60D6B"/>
    <w:rsid w:val="00F63237"/>
    <w:rsid w:val="00F63983"/>
    <w:rsid w:val="00F70AE5"/>
    <w:rsid w:val="00F739A8"/>
    <w:rsid w:val="00F810B3"/>
    <w:rsid w:val="00F81790"/>
    <w:rsid w:val="00F821C5"/>
    <w:rsid w:val="00F84989"/>
    <w:rsid w:val="00F8521F"/>
    <w:rsid w:val="00F85428"/>
    <w:rsid w:val="00F87D4E"/>
    <w:rsid w:val="00F91073"/>
    <w:rsid w:val="00F91B39"/>
    <w:rsid w:val="00F93469"/>
    <w:rsid w:val="00F93F8E"/>
    <w:rsid w:val="00FA0E59"/>
    <w:rsid w:val="00FA1C6D"/>
    <w:rsid w:val="00FA3BE3"/>
    <w:rsid w:val="00FA473A"/>
    <w:rsid w:val="00FB022C"/>
    <w:rsid w:val="00FB0912"/>
    <w:rsid w:val="00FB21E2"/>
    <w:rsid w:val="00FB4316"/>
    <w:rsid w:val="00FC30CC"/>
    <w:rsid w:val="00FD1433"/>
    <w:rsid w:val="00FE1C5A"/>
    <w:rsid w:val="00FE5D70"/>
    <w:rsid w:val="00FE6802"/>
    <w:rsid w:val="00FE6FD2"/>
    <w:rsid w:val="00FF2F3B"/>
    <w:rsid w:val="00FF54E3"/>
    <w:rsid w:val="110F5302"/>
    <w:rsid w:val="15C3A95A"/>
    <w:rsid w:val="16F19F33"/>
    <w:rsid w:val="185BC5BC"/>
    <w:rsid w:val="22840125"/>
    <w:rsid w:val="26DAC713"/>
    <w:rsid w:val="28BA3A05"/>
    <w:rsid w:val="30A6A90C"/>
    <w:rsid w:val="339DDA52"/>
    <w:rsid w:val="4C68464B"/>
    <w:rsid w:val="4E3A59D8"/>
    <w:rsid w:val="4F58EA65"/>
    <w:rsid w:val="56F54D2E"/>
    <w:rsid w:val="572BA27D"/>
    <w:rsid w:val="57862F0F"/>
    <w:rsid w:val="5A0CEEAA"/>
    <w:rsid w:val="63439E3F"/>
    <w:rsid w:val="65F44738"/>
    <w:rsid w:val="68491161"/>
    <w:rsid w:val="6AA986DF"/>
    <w:rsid w:val="6E11A738"/>
    <w:rsid w:val="6FAB1117"/>
    <w:rsid w:val="777A961E"/>
    <w:rsid w:val="77E4E901"/>
    <w:rsid w:val="786D4323"/>
    <w:rsid w:val="7DE090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495F7"/>
  <w15:docId w15:val="{ABF04F1B-6CAB-4823-85FD-2AEC424F7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4316"/>
    <w:pPr>
      <w:spacing w:after="160" w:line="259" w:lineRule="auto"/>
    </w:pPr>
    <w:rPr>
      <w:rFonts w:asciiTheme="minorHAnsi" w:eastAsiaTheme="minorEastAsia" w:hAnsiTheme="minorHAnsi" w:cstheme="minorBidi"/>
      <w:sz w:val="22"/>
      <w:szCs w:val="22"/>
      <w:lang w:val="en-GB" w:eastAsia="zh-CN"/>
    </w:rPr>
  </w:style>
  <w:style w:type="paragraph" w:styleId="Heading1">
    <w:name w:val="heading 1"/>
    <w:basedOn w:val="Normal"/>
    <w:next w:val="Normal"/>
    <w:link w:val="Heading1Char"/>
    <w:qFormat/>
    <w:rsid w:val="00015FB1"/>
    <w:pPr>
      <w:keepNext/>
      <w:keepLines/>
      <w:spacing w:before="480"/>
      <w:ind w:left="567" w:hanging="567"/>
      <w:outlineLvl w:val="0"/>
    </w:pPr>
    <w:rPr>
      <w:b/>
      <w:sz w:val="28"/>
    </w:rPr>
  </w:style>
  <w:style w:type="paragraph" w:styleId="Heading2">
    <w:name w:val="heading 2"/>
    <w:basedOn w:val="Heading1"/>
    <w:next w:val="Normal"/>
    <w:link w:val="Heading2Char"/>
    <w:qFormat/>
    <w:rsid w:val="00015FB1"/>
    <w:pPr>
      <w:spacing w:before="320"/>
      <w:outlineLvl w:val="1"/>
    </w:pPr>
    <w:rPr>
      <w:sz w:val="24"/>
    </w:rPr>
  </w:style>
  <w:style w:type="paragraph" w:styleId="Heading3">
    <w:name w:val="heading 3"/>
    <w:basedOn w:val="Heading1"/>
    <w:next w:val="Normal"/>
    <w:link w:val="Heading3Char"/>
    <w:qFormat/>
    <w:rsid w:val="00015FB1"/>
    <w:pPr>
      <w:spacing w:before="200"/>
      <w:outlineLvl w:val="2"/>
    </w:pPr>
    <w:rPr>
      <w:sz w:val="24"/>
    </w:rPr>
  </w:style>
  <w:style w:type="paragraph" w:styleId="Heading4">
    <w:name w:val="heading 4"/>
    <w:basedOn w:val="Heading3"/>
    <w:next w:val="Normal"/>
    <w:link w:val="Heading4Char"/>
    <w:qFormat/>
    <w:rsid w:val="00015FB1"/>
    <w:pPr>
      <w:ind w:left="1134" w:hanging="1134"/>
      <w:outlineLvl w:val="3"/>
    </w:pPr>
  </w:style>
  <w:style w:type="paragraph" w:styleId="Heading5">
    <w:name w:val="heading 5"/>
    <w:basedOn w:val="Heading4"/>
    <w:next w:val="Normal"/>
    <w:link w:val="Heading5Char"/>
    <w:qFormat/>
    <w:rsid w:val="00015FB1"/>
    <w:pPr>
      <w:outlineLvl w:val="4"/>
    </w:pPr>
  </w:style>
  <w:style w:type="paragraph" w:styleId="Heading6">
    <w:name w:val="heading 6"/>
    <w:basedOn w:val="Heading4"/>
    <w:next w:val="Normal"/>
    <w:link w:val="Heading6Char"/>
    <w:qFormat/>
    <w:rsid w:val="00015FB1"/>
    <w:pPr>
      <w:outlineLvl w:val="5"/>
    </w:pPr>
  </w:style>
  <w:style w:type="paragraph" w:styleId="Heading7">
    <w:name w:val="heading 7"/>
    <w:basedOn w:val="Heading4"/>
    <w:next w:val="Normal"/>
    <w:link w:val="Heading7Char"/>
    <w:qFormat/>
    <w:rsid w:val="00015FB1"/>
    <w:pPr>
      <w:ind w:left="1701" w:hanging="1701"/>
      <w:outlineLvl w:val="6"/>
    </w:pPr>
  </w:style>
  <w:style w:type="paragraph" w:styleId="Heading8">
    <w:name w:val="heading 8"/>
    <w:basedOn w:val="Heading4"/>
    <w:next w:val="Normal"/>
    <w:link w:val="Heading8Char"/>
    <w:qFormat/>
    <w:rsid w:val="00015FB1"/>
    <w:pPr>
      <w:ind w:left="1701" w:hanging="1701"/>
      <w:outlineLvl w:val="7"/>
    </w:pPr>
  </w:style>
  <w:style w:type="paragraph" w:styleId="Heading9">
    <w:name w:val="heading 9"/>
    <w:basedOn w:val="Heading4"/>
    <w:next w:val="Normal"/>
    <w:link w:val="Heading9Char"/>
    <w:qFormat/>
    <w:rsid w:val="00015FB1"/>
    <w:pPr>
      <w:ind w:left="1701" w:hanging="1701"/>
      <w:outlineLvl w:val="8"/>
    </w:pPr>
  </w:style>
  <w:style w:type="character" w:default="1" w:styleId="DefaultParagraphFont">
    <w:name w:val="Default Paragraph Font"/>
    <w:uiPriority w:val="1"/>
    <w:semiHidden/>
    <w:unhideWhenUsed/>
    <w:rsid w:val="00FB431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B4316"/>
  </w:style>
  <w:style w:type="paragraph" w:styleId="Header">
    <w:name w:val="header"/>
    <w:basedOn w:val="Normal"/>
    <w:rsid w:val="00015FB1"/>
    <w:pPr>
      <w:jc w:val="center"/>
    </w:pPr>
    <w:rPr>
      <w:sz w:val="18"/>
    </w:rPr>
  </w:style>
  <w:style w:type="paragraph" w:styleId="Footer">
    <w:name w:val="footer"/>
    <w:basedOn w:val="Normal"/>
    <w:rsid w:val="00015FB1"/>
    <w:pPr>
      <w:tabs>
        <w:tab w:val="left" w:pos="5954"/>
        <w:tab w:val="right" w:pos="9639"/>
      </w:tabs>
    </w:pPr>
    <w:rPr>
      <w:caps/>
      <w:noProof/>
      <w:sz w:val="16"/>
    </w:rPr>
  </w:style>
  <w:style w:type="character" w:styleId="Hyperlink">
    <w:name w:val="Hyperlink"/>
    <w:basedOn w:val="DefaultParagraphFont"/>
    <w:rsid w:val="00015FB1"/>
    <w:rPr>
      <w:color w:val="0000FF"/>
      <w:u w:val="single"/>
    </w:rPr>
  </w:style>
  <w:style w:type="table" w:styleId="TableGrid">
    <w:name w:val="Table Grid"/>
    <w:basedOn w:val="TableNormal"/>
    <w:rsid w:val="00B91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21EED"/>
    <w:rPr>
      <w:rFonts w:ascii="Tahoma" w:hAnsi="Tahoma" w:cs="Tahoma"/>
      <w:sz w:val="16"/>
      <w:szCs w:val="16"/>
    </w:rPr>
  </w:style>
  <w:style w:type="character" w:styleId="FollowedHyperlink">
    <w:name w:val="FollowedHyperlink"/>
    <w:basedOn w:val="DefaultParagraphFont"/>
    <w:rsid w:val="00015FB1"/>
    <w:rPr>
      <w:color w:val="800080"/>
      <w:u w:val="single"/>
    </w:rPr>
  </w:style>
  <w:style w:type="character" w:customStyle="1" w:styleId="apple-style-span">
    <w:name w:val="apple-style-span"/>
    <w:basedOn w:val="DefaultParagraphFont"/>
    <w:rsid w:val="005A3ABC"/>
  </w:style>
  <w:style w:type="paragraph" w:styleId="NormalWeb">
    <w:name w:val="Normal (Web)"/>
    <w:basedOn w:val="Normal"/>
    <w:uiPriority w:val="99"/>
    <w:rsid w:val="00AC7956"/>
    <w:pPr>
      <w:spacing w:after="150" w:line="348" w:lineRule="auto"/>
    </w:pPr>
    <w:rPr>
      <w:rFonts w:ascii="Times New Roman" w:hAnsi="Times New Roman"/>
      <w:color w:val="303030"/>
    </w:rPr>
  </w:style>
  <w:style w:type="character" w:styleId="Strong">
    <w:name w:val="Strong"/>
    <w:uiPriority w:val="22"/>
    <w:qFormat/>
    <w:rsid w:val="00AC7956"/>
    <w:rPr>
      <w:b/>
      <w:bCs/>
    </w:rPr>
  </w:style>
  <w:style w:type="character" w:styleId="CommentReference">
    <w:name w:val="annotation reference"/>
    <w:semiHidden/>
    <w:rsid w:val="006367B6"/>
    <w:rPr>
      <w:sz w:val="16"/>
      <w:szCs w:val="16"/>
    </w:rPr>
  </w:style>
  <w:style w:type="paragraph" w:styleId="CommentText">
    <w:name w:val="annotation text"/>
    <w:basedOn w:val="Normal"/>
    <w:semiHidden/>
    <w:rsid w:val="006367B6"/>
    <w:rPr>
      <w:sz w:val="20"/>
    </w:rPr>
  </w:style>
  <w:style w:type="paragraph" w:styleId="CommentSubject">
    <w:name w:val="annotation subject"/>
    <w:basedOn w:val="CommentText"/>
    <w:next w:val="CommentText"/>
    <w:semiHidden/>
    <w:rsid w:val="006367B6"/>
    <w:rPr>
      <w:b/>
      <w:bCs/>
    </w:rPr>
  </w:style>
  <w:style w:type="character" w:customStyle="1" w:styleId="stdnobr">
    <w:name w:val="std nobr"/>
    <w:basedOn w:val="DefaultParagraphFont"/>
    <w:rsid w:val="00B13CEA"/>
  </w:style>
  <w:style w:type="paragraph" w:styleId="ListParagraph">
    <w:name w:val="List Paragraph"/>
    <w:basedOn w:val="Normal"/>
    <w:uiPriority w:val="34"/>
    <w:qFormat/>
    <w:rsid w:val="0080713C"/>
    <w:pPr>
      <w:ind w:left="720"/>
    </w:pPr>
  </w:style>
  <w:style w:type="character" w:customStyle="1" w:styleId="Heading3Char">
    <w:name w:val="Heading 3 Char"/>
    <w:link w:val="Heading3"/>
    <w:rsid w:val="005F716F"/>
    <w:rPr>
      <w:rFonts w:ascii="Calibri" w:eastAsia="Times New Roman" w:hAnsi="Calibri"/>
      <w:b/>
      <w:sz w:val="24"/>
      <w:lang w:val="en-GB" w:eastAsia="en-US"/>
    </w:rPr>
  </w:style>
  <w:style w:type="character" w:customStyle="1" w:styleId="apple-converted-space">
    <w:name w:val="apple-converted-space"/>
    <w:basedOn w:val="DefaultParagraphFont"/>
    <w:rsid w:val="008002FF"/>
  </w:style>
  <w:style w:type="character" w:styleId="Emphasis">
    <w:name w:val="Emphasis"/>
    <w:uiPriority w:val="20"/>
    <w:qFormat/>
    <w:rsid w:val="008002FF"/>
    <w:rPr>
      <w:i/>
      <w:iCs/>
    </w:rPr>
  </w:style>
  <w:style w:type="paragraph" w:styleId="Revision">
    <w:name w:val="Revision"/>
    <w:hidden/>
    <w:uiPriority w:val="99"/>
    <w:semiHidden/>
    <w:rsid w:val="00962DE5"/>
    <w:rPr>
      <w:rFonts w:ascii="Arial" w:hAnsi="Arial"/>
      <w:sz w:val="22"/>
      <w:szCs w:val="24"/>
      <w:lang w:eastAsia="zh-CN"/>
    </w:rPr>
  </w:style>
  <w:style w:type="character" w:customStyle="1" w:styleId="Heading1Char">
    <w:name w:val="Heading 1 Char"/>
    <w:basedOn w:val="DefaultParagraphFont"/>
    <w:link w:val="Heading1"/>
    <w:rsid w:val="00BF3543"/>
    <w:rPr>
      <w:rFonts w:ascii="Calibri" w:eastAsia="Times New Roman" w:hAnsi="Calibri"/>
      <w:b/>
      <w:sz w:val="28"/>
      <w:lang w:val="en-GB" w:eastAsia="en-US"/>
    </w:rPr>
  </w:style>
  <w:style w:type="character" w:customStyle="1" w:styleId="Heading2Char">
    <w:name w:val="Heading 2 Char"/>
    <w:basedOn w:val="DefaultParagraphFont"/>
    <w:link w:val="Heading2"/>
    <w:rsid w:val="00496213"/>
    <w:rPr>
      <w:rFonts w:ascii="Calibri" w:eastAsia="Times New Roman" w:hAnsi="Calibri"/>
      <w:b/>
      <w:sz w:val="24"/>
      <w:lang w:val="en-GB" w:eastAsia="en-US"/>
    </w:rPr>
  </w:style>
  <w:style w:type="character" w:customStyle="1" w:styleId="Heading4Char">
    <w:name w:val="Heading 4 Char"/>
    <w:basedOn w:val="DefaultParagraphFont"/>
    <w:link w:val="Heading4"/>
    <w:rsid w:val="00496213"/>
    <w:rPr>
      <w:rFonts w:ascii="Calibri" w:eastAsia="Times New Roman" w:hAnsi="Calibri"/>
      <w:b/>
      <w:sz w:val="24"/>
      <w:lang w:val="en-GB" w:eastAsia="en-US"/>
    </w:rPr>
  </w:style>
  <w:style w:type="paragraph" w:customStyle="1" w:styleId="text-sm-justify">
    <w:name w:val="text-sm-justify"/>
    <w:basedOn w:val="Normal"/>
    <w:rsid w:val="00496213"/>
    <w:pPr>
      <w:spacing w:before="100" w:beforeAutospacing="1" w:after="100" w:afterAutospacing="1"/>
    </w:pPr>
    <w:rPr>
      <w:rFonts w:ascii="Times New Roman" w:hAnsi="Times New Roman"/>
    </w:rPr>
  </w:style>
  <w:style w:type="character" w:customStyle="1" w:styleId="icon">
    <w:name w:val="icon"/>
    <w:basedOn w:val="DefaultParagraphFont"/>
    <w:rsid w:val="00496213"/>
  </w:style>
  <w:style w:type="paragraph" w:styleId="NoSpacing">
    <w:name w:val="No Spacing"/>
    <w:uiPriority w:val="1"/>
    <w:qFormat/>
    <w:rsid w:val="00A4220F"/>
    <w:pPr>
      <w:tabs>
        <w:tab w:val="left" w:pos="794"/>
        <w:tab w:val="left" w:pos="1191"/>
        <w:tab w:val="left" w:pos="1588"/>
        <w:tab w:val="left" w:pos="1985"/>
      </w:tabs>
      <w:overflowPunct w:val="0"/>
      <w:autoSpaceDE w:val="0"/>
      <w:autoSpaceDN w:val="0"/>
      <w:adjustRightInd w:val="0"/>
      <w:textAlignment w:val="baseline"/>
    </w:pPr>
    <w:rPr>
      <w:rFonts w:eastAsia="Times New Roman"/>
      <w:sz w:val="24"/>
      <w:lang w:val="en-GB" w:eastAsia="en-US"/>
    </w:rPr>
  </w:style>
  <w:style w:type="paragraph" w:customStyle="1" w:styleId="Source">
    <w:name w:val="Source"/>
    <w:basedOn w:val="Normal"/>
    <w:next w:val="Title1"/>
    <w:autoRedefine/>
    <w:rsid w:val="00453B2D"/>
    <w:pPr>
      <w:framePr w:hSpace="181" w:wrap="around" w:hAnchor="margin" w:y="-674"/>
      <w:spacing w:before="720" w:after="120"/>
      <w:jc w:val="center"/>
    </w:pPr>
    <w:rPr>
      <w:b/>
      <w:sz w:val="28"/>
      <w:szCs w:val="28"/>
    </w:rPr>
  </w:style>
  <w:style w:type="character" w:customStyle="1" w:styleId="Heading5Char">
    <w:name w:val="Heading 5 Char"/>
    <w:basedOn w:val="DefaultParagraphFont"/>
    <w:link w:val="Heading5"/>
    <w:rsid w:val="0036762C"/>
    <w:rPr>
      <w:rFonts w:ascii="Calibri" w:eastAsia="Times New Roman" w:hAnsi="Calibri"/>
      <w:b/>
      <w:sz w:val="24"/>
      <w:lang w:val="en-GB" w:eastAsia="en-US"/>
    </w:rPr>
  </w:style>
  <w:style w:type="character" w:customStyle="1" w:styleId="Heading6Char">
    <w:name w:val="Heading 6 Char"/>
    <w:basedOn w:val="DefaultParagraphFont"/>
    <w:link w:val="Heading6"/>
    <w:rsid w:val="0036762C"/>
    <w:rPr>
      <w:rFonts w:ascii="Calibri" w:eastAsia="Times New Roman" w:hAnsi="Calibri"/>
      <w:b/>
      <w:sz w:val="24"/>
      <w:lang w:val="en-GB" w:eastAsia="en-US"/>
    </w:rPr>
  </w:style>
  <w:style w:type="character" w:customStyle="1" w:styleId="Heading7Char">
    <w:name w:val="Heading 7 Char"/>
    <w:basedOn w:val="DefaultParagraphFont"/>
    <w:link w:val="Heading7"/>
    <w:rsid w:val="0036762C"/>
    <w:rPr>
      <w:rFonts w:ascii="Calibri" w:eastAsia="Times New Roman" w:hAnsi="Calibri"/>
      <w:b/>
      <w:sz w:val="24"/>
      <w:lang w:val="en-GB" w:eastAsia="en-US"/>
    </w:rPr>
  </w:style>
  <w:style w:type="character" w:customStyle="1" w:styleId="Heading8Char">
    <w:name w:val="Heading 8 Char"/>
    <w:basedOn w:val="DefaultParagraphFont"/>
    <w:link w:val="Heading8"/>
    <w:rsid w:val="0036762C"/>
    <w:rPr>
      <w:rFonts w:ascii="Calibri" w:eastAsia="Times New Roman" w:hAnsi="Calibri"/>
      <w:b/>
      <w:sz w:val="24"/>
      <w:lang w:val="en-GB" w:eastAsia="en-US"/>
    </w:rPr>
  </w:style>
  <w:style w:type="character" w:customStyle="1" w:styleId="Heading9Char">
    <w:name w:val="Heading 9 Char"/>
    <w:basedOn w:val="DefaultParagraphFont"/>
    <w:link w:val="Heading9"/>
    <w:rsid w:val="0036762C"/>
    <w:rPr>
      <w:rFonts w:ascii="Calibri" w:eastAsia="Times New Roman" w:hAnsi="Calibri"/>
      <w:b/>
      <w:sz w:val="24"/>
      <w:lang w:val="en-GB" w:eastAsia="en-US"/>
    </w:rPr>
  </w:style>
  <w:style w:type="paragraph" w:styleId="TOC8">
    <w:name w:val="toc 8"/>
    <w:basedOn w:val="Normal"/>
    <w:next w:val="Normal"/>
    <w:rsid w:val="00015FB1"/>
    <w:pPr>
      <w:tabs>
        <w:tab w:val="left" w:pos="964"/>
        <w:tab w:val="left" w:leader="dot" w:pos="8789"/>
        <w:tab w:val="right" w:pos="9639"/>
      </w:tabs>
      <w:ind w:left="964" w:hanging="964"/>
    </w:pPr>
  </w:style>
  <w:style w:type="paragraph" w:styleId="TOC4">
    <w:name w:val="toc 4"/>
    <w:basedOn w:val="Normal"/>
    <w:next w:val="Normal"/>
    <w:rsid w:val="00015FB1"/>
    <w:pPr>
      <w:tabs>
        <w:tab w:val="left" w:pos="964"/>
        <w:tab w:val="left" w:pos="8789"/>
        <w:tab w:val="right" w:pos="9639"/>
      </w:tabs>
      <w:ind w:left="964" w:hanging="964"/>
    </w:pPr>
  </w:style>
  <w:style w:type="paragraph" w:styleId="TOC3">
    <w:name w:val="toc 3"/>
    <w:basedOn w:val="Normal"/>
    <w:next w:val="Normal"/>
    <w:rsid w:val="00015FB1"/>
    <w:pPr>
      <w:tabs>
        <w:tab w:val="left" w:pos="964"/>
        <w:tab w:val="left" w:leader="dot" w:pos="8789"/>
        <w:tab w:val="right" w:pos="9639"/>
      </w:tabs>
      <w:ind w:left="964" w:hanging="964"/>
    </w:pPr>
  </w:style>
  <w:style w:type="paragraph" w:styleId="TOC2">
    <w:name w:val="toc 2"/>
    <w:basedOn w:val="Normal"/>
    <w:next w:val="Normal"/>
    <w:rsid w:val="00015FB1"/>
    <w:pPr>
      <w:tabs>
        <w:tab w:val="left" w:pos="964"/>
        <w:tab w:val="left" w:leader="dot" w:pos="8789"/>
        <w:tab w:val="right" w:pos="9639"/>
      </w:tabs>
      <w:ind w:left="964" w:hanging="964"/>
    </w:pPr>
  </w:style>
  <w:style w:type="paragraph" w:styleId="TOC1">
    <w:name w:val="toc 1"/>
    <w:basedOn w:val="Normal"/>
    <w:rsid w:val="00015FB1"/>
    <w:pPr>
      <w:tabs>
        <w:tab w:val="left" w:pos="964"/>
        <w:tab w:val="left" w:leader="dot" w:pos="8789"/>
        <w:tab w:val="right" w:pos="9639"/>
      </w:tabs>
      <w:spacing w:before="240"/>
      <w:ind w:left="964" w:hanging="964"/>
    </w:pPr>
  </w:style>
  <w:style w:type="paragraph" w:styleId="TOC7">
    <w:name w:val="toc 7"/>
    <w:basedOn w:val="Normal"/>
    <w:next w:val="Normal"/>
    <w:rsid w:val="00015FB1"/>
    <w:pPr>
      <w:tabs>
        <w:tab w:val="left" w:pos="964"/>
        <w:tab w:val="left" w:leader="dot" w:pos="8789"/>
        <w:tab w:val="right" w:pos="9639"/>
      </w:tabs>
      <w:ind w:left="964" w:hanging="964"/>
    </w:pPr>
  </w:style>
  <w:style w:type="paragraph" w:styleId="TOC6">
    <w:name w:val="toc 6"/>
    <w:basedOn w:val="Normal"/>
    <w:next w:val="Normal"/>
    <w:rsid w:val="00015FB1"/>
    <w:pPr>
      <w:tabs>
        <w:tab w:val="left" w:pos="964"/>
        <w:tab w:val="left" w:leader="dot" w:pos="8789"/>
        <w:tab w:val="right" w:pos="9639"/>
      </w:tabs>
      <w:ind w:left="964" w:hanging="964"/>
    </w:pPr>
  </w:style>
  <w:style w:type="paragraph" w:styleId="TOC5">
    <w:name w:val="toc 5"/>
    <w:basedOn w:val="Normal"/>
    <w:next w:val="Normal"/>
    <w:rsid w:val="00015FB1"/>
    <w:pPr>
      <w:tabs>
        <w:tab w:val="left" w:pos="964"/>
        <w:tab w:val="left" w:leader="dot" w:pos="8789"/>
        <w:tab w:val="right" w:pos="9639"/>
      </w:tabs>
      <w:ind w:left="964" w:hanging="964"/>
    </w:pPr>
  </w:style>
  <w:style w:type="paragraph" w:styleId="Index7">
    <w:name w:val="index 7"/>
    <w:basedOn w:val="Normal"/>
    <w:next w:val="Normal"/>
    <w:rsid w:val="00015FB1"/>
    <w:pPr>
      <w:ind w:left="1698"/>
    </w:pPr>
  </w:style>
  <w:style w:type="paragraph" w:styleId="Index6">
    <w:name w:val="index 6"/>
    <w:basedOn w:val="Normal"/>
    <w:next w:val="Normal"/>
    <w:rsid w:val="00015FB1"/>
    <w:pPr>
      <w:ind w:left="1415"/>
    </w:pPr>
  </w:style>
  <w:style w:type="paragraph" w:styleId="Index5">
    <w:name w:val="index 5"/>
    <w:basedOn w:val="Normal"/>
    <w:next w:val="Normal"/>
    <w:rsid w:val="00015FB1"/>
    <w:pPr>
      <w:ind w:left="1132"/>
    </w:pPr>
  </w:style>
  <w:style w:type="paragraph" w:styleId="Index4">
    <w:name w:val="index 4"/>
    <w:basedOn w:val="Normal"/>
    <w:next w:val="Normal"/>
    <w:rsid w:val="00015FB1"/>
    <w:pPr>
      <w:ind w:left="849"/>
    </w:pPr>
  </w:style>
  <w:style w:type="paragraph" w:styleId="Index3">
    <w:name w:val="index 3"/>
    <w:basedOn w:val="Normal"/>
    <w:next w:val="Normal"/>
    <w:rsid w:val="00015FB1"/>
    <w:pPr>
      <w:ind w:left="566"/>
    </w:pPr>
  </w:style>
  <w:style w:type="paragraph" w:styleId="Index2">
    <w:name w:val="index 2"/>
    <w:basedOn w:val="Normal"/>
    <w:next w:val="Normal"/>
    <w:rsid w:val="00015FB1"/>
    <w:pPr>
      <w:ind w:left="283"/>
    </w:pPr>
  </w:style>
  <w:style w:type="paragraph" w:styleId="Index1">
    <w:name w:val="index 1"/>
    <w:basedOn w:val="Normal"/>
    <w:next w:val="Normal"/>
    <w:rsid w:val="00015FB1"/>
  </w:style>
  <w:style w:type="character" w:styleId="LineNumber">
    <w:name w:val="line number"/>
    <w:basedOn w:val="DefaultParagraphFont"/>
    <w:rsid w:val="00015FB1"/>
  </w:style>
  <w:style w:type="paragraph" w:styleId="IndexHeading">
    <w:name w:val="index heading"/>
    <w:basedOn w:val="Normal"/>
    <w:next w:val="Index1"/>
    <w:rsid w:val="00015FB1"/>
  </w:style>
  <w:style w:type="character" w:styleId="FootnoteReference">
    <w:name w:val="footnote reference"/>
    <w:basedOn w:val="DefaultParagraphFont"/>
    <w:rsid w:val="00015FB1"/>
    <w:rPr>
      <w:rFonts w:ascii="Calibri" w:hAnsi="Calibri"/>
      <w:position w:val="6"/>
      <w:sz w:val="16"/>
    </w:rPr>
  </w:style>
  <w:style w:type="paragraph" w:styleId="FootnoteText">
    <w:name w:val="footnote text"/>
    <w:basedOn w:val="Normal"/>
    <w:link w:val="FootnoteTextChar"/>
    <w:rsid w:val="00015FB1"/>
    <w:pPr>
      <w:keepLines/>
      <w:tabs>
        <w:tab w:val="left" w:pos="256"/>
      </w:tabs>
      <w:ind w:left="256" w:hanging="256"/>
    </w:pPr>
  </w:style>
  <w:style w:type="character" w:customStyle="1" w:styleId="FootnoteTextChar">
    <w:name w:val="Footnote Text Char"/>
    <w:basedOn w:val="DefaultParagraphFont"/>
    <w:link w:val="FootnoteText"/>
    <w:rsid w:val="0036762C"/>
    <w:rPr>
      <w:rFonts w:ascii="Calibri" w:eastAsia="Times New Roman" w:hAnsi="Calibri"/>
      <w:sz w:val="24"/>
      <w:lang w:val="en-GB" w:eastAsia="en-US"/>
    </w:rPr>
  </w:style>
  <w:style w:type="paragraph" w:styleId="NormalIndent">
    <w:name w:val="Normal Indent"/>
    <w:basedOn w:val="Normal"/>
    <w:rsid w:val="00015FB1"/>
    <w:pPr>
      <w:ind w:left="567"/>
    </w:pPr>
  </w:style>
  <w:style w:type="paragraph" w:customStyle="1" w:styleId="enumlev1">
    <w:name w:val="enumlev1"/>
    <w:basedOn w:val="Normal"/>
    <w:rsid w:val="00015FB1"/>
    <w:pPr>
      <w:spacing w:before="86"/>
      <w:ind w:left="567" w:hanging="567"/>
    </w:pPr>
  </w:style>
  <w:style w:type="paragraph" w:customStyle="1" w:styleId="enumlev2">
    <w:name w:val="enumlev2"/>
    <w:basedOn w:val="enumlev1"/>
    <w:rsid w:val="00015FB1"/>
    <w:pPr>
      <w:ind w:left="1134"/>
    </w:pPr>
  </w:style>
  <w:style w:type="paragraph" w:customStyle="1" w:styleId="enumlev3">
    <w:name w:val="enumlev3"/>
    <w:basedOn w:val="enumlev2"/>
    <w:rsid w:val="00015FB1"/>
    <w:pPr>
      <w:ind w:left="1701"/>
    </w:pPr>
  </w:style>
  <w:style w:type="paragraph" w:customStyle="1" w:styleId="Normalaftertitle">
    <w:name w:val="Normal after title"/>
    <w:basedOn w:val="Normal"/>
    <w:next w:val="Normal"/>
    <w:rsid w:val="00015FB1"/>
    <w:pPr>
      <w:spacing w:before="240"/>
    </w:pPr>
  </w:style>
  <w:style w:type="paragraph" w:customStyle="1" w:styleId="Equation">
    <w:name w:val="Equation"/>
    <w:basedOn w:val="Normal"/>
    <w:rsid w:val="00015FB1"/>
    <w:pPr>
      <w:tabs>
        <w:tab w:val="center" w:pos="4820"/>
        <w:tab w:val="right" w:pos="9639"/>
      </w:tabs>
    </w:pPr>
  </w:style>
  <w:style w:type="paragraph" w:customStyle="1" w:styleId="Head">
    <w:name w:val="Head"/>
    <w:basedOn w:val="Normal"/>
    <w:rsid w:val="00015FB1"/>
    <w:pPr>
      <w:tabs>
        <w:tab w:val="left" w:pos="6663"/>
      </w:tabs>
    </w:pPr>
  </w:style>
  <w:style w:type="paragraph" w:customStyle="1" w:styleId="toc0">
    <w:name w:val="toc 0"/>
    <w:basedOn w:val="Normal"/>
    <w:next w:val="TOC1"/>
    <w:rsid w:val="00015FB1"/>
    <w:pPr>
      <w:tabs>
        <w:tab w:val="right" w:pos="9781"/>
      </w:tabs>
    </w:pPr>
    <w:rPr>
      <w:b/>
    </w:rPr>
  </w:style>
  <w:style w:type="paragraph" w:styleId="List">
    <w:name w:val="List"/>
    <w:basedOn w:val="Normal"/>
    <w:rsid w:val="00015FB1"/>
    <w:pPr>
      <w:tabs>
        <w:tab w:val="left" w:pos="2127"/>
      </w:tabs>
      <w:ind w:left="2127" w:hanging="2127"/>
    </w:pPr>
  </w:style>
  <w:style w:type="paragraph" w:customStyle="1" w:styleId="Part">
    <w:name w:val="Part"/>
    <w:basedOn w:val="Normal"/>
    <w:next w:val="Normal"/>
    <w:rsid w:val="00015FB1"/>
    <w:pPr>
      <w:spacing w:before="600"/>
      <w:jc w:val="center"/>
    </w:pPr>
    <w:rPr>
      <w:caps/>
      <w:sz w:val="28"/>
    </w:rPr>
  </w:style>
  <w:style w:type="paragraph" w:customStyle="1" w:styleId="meeting">
    <w:name w:val="meeting"/>
    <w:basedOn w:val="Head"/>
    <w:next w:val="Head"/>
    <w:rsid w:val="00015FB1"/>
    <w:pPr>
      <w:tabs>
        <w:tab w:val="left" w:pos="7371"/>
      </w:tabs>
      <w:spacing w:after="567"/>
    </w:pPr>
  </w:style>
  <w:style w:type="paragraph" w:customStyle="1" w:styleId="Subject">
    <w:name w:val="Subject"/>
    <w:basedOn w:val="Normal"/>
    <w:next w:val="Source"/>
    <w:rsid w:val="00015FB1"/>
    <w:pPr>
      <w:ind w:left="1134" w:hanging="1134"/>
    </w:pPr>
  </w:style>
  <w:style w:type="paragraph" w:customStyle="1" w:styleId="Object">
    <w:name w:val="Object"/>
    <w:basedOn w:val="Subject"/>
    <w:next w:val="Subject"/>
    <w:rsid w:val="00015FB1"/>
  </w:style>
  <w:style w:type="paragraph" w:customStyle="1" w:styleId="Data">
    <w:name w:val="Data"/>
    <w:basedOn w:val="Subject"/>
    <w:next w:val="Subject"/>
    <w:rsid w:val="00015FB1"/>
  </w:style>
  <w:style w:type="paragraph" w:customStyle="1" w:styleId="Reasons">
    <w:name w:val="Reasons"/>
    <w:basedOn w:val="Normal"/>
    <w:qFormat/>
    <w:rsid w:val="00015FB1"/>
  </w:style>
  <w:style w:type="paragraph" w:customStyle="1" w:styleId="FirstFooter">
    <w:name w:val="FirstFooter"/>
    <w:basedOn w:val="Footer"/>
    <w:rsid w:val="00015FB1"/>
    <w:rPr>
      <w:caps w:val="0"/>
    </w:rPr>
  </w:style>
  <w:style w:type="paragraph" w:customStyle="1" w:styleId="Note">
    <w:name w:val="Note"/>
    <w:basedOn w:val="Normal"/>
    <w:rsid w:val="00015FB1"/>
    <w:pPr>
      <w:tabs>
        <w:tab w:val="left" w:pos="851"/>
      </w:tabs>
    </w:pPr>
  </w:style>
  <w:style w:type="paragraph" w:styleId="TOC9">
    <w:name w:val="toc 9"/>
    <w:basedOn w:val="TOC4"/>
    <w:rsid w:val="00015FB1"/>
  </w:style>
  <w:style w:type="paragraph" w:customStyle="1" w:styleId="Headingb">
    <w:name w:val="Heading_b"/>
    <w:basedOn w:val="Heading3"/>
    <w:next w:val="Normal"/>
    <w:rsid w:val="00015FB1"/>
    <w:pPr>
      <w:spacing w:before="160"/>
      <w:outlineLvl w:val="0"/>
    </w:pPr>
  </w:style>
  <w:style w:type="paragraph" w:customStyle="1" w:styleId="Title1">
    <w:name w:val="Title 1"/>
    <w:basedOn w:val="Source"/>
    <w:next w:val="Title2"/>
    <w:rsid w:val="00015FB1"/>
    <w:pPr>
      <w:framePr w:wrap="around"/>
      <w:spacing w:before="240"/>
    </w:pPr>
    <w:rPr>
      <w:b w:val="0"/>
      <w:caps/>
    </w:rPr>
  </w:style>
  <w:style w:type="paragraph" w:customStyle="1" w:styleId="Title2">
    <w:name w:val="Title 2"/>
    <w:basedOn w:val="Source"/>
    <w:next w:val="Title3"/>
    <w:rsid w:val="00015FB1"/>
    <w:pPr>
      <w:framePr w:wrap="around"/>
      <w:spacing w:before="240"/>
    </w:pPr>
    <w:rPr>
      <w:b w:val="0"/>
      <w:caps/>
    </w:rPr>
  </w:style>
  <w:style w:type="paragraph" w:customStyle="1" w:styleId="Title3">
    <w:name w:val="Title 3"/>
    <w:basedOn w:val="Title2"/>
    <w:next w:val="Normalaftertitle"/>
    <w:rsid w:val="00015FB1"/>
    <w:pPr>
      <w:framePr w:wrap="around"/>
    </w:pPr>
    <w:rPr>
      <w:caps w:val="0"/>
    </w:rPr>
  </w:style>
  <w:style w:type="paragraph" w:customStyle="1" w:styleId="Title4">
    <w:name w:val="Title 4"/>
    <w:basedOn w:val="Title3"/>
    <w:next w:val="Heading1"/>
    <w:rsid w:val="00015FB1"/>
    <w:pPr>
      <w:framePr w:wrap="around"/>
    </w:pPr>
    <w:rPr>
      <w:b/>
    </w:rPr>
  </w:style>
  <w:style w:type="paragraph" w:customStyle="1" w:styleId="dnum">
    <w:name w:val="dnum"/>
    <w:basedOn w:val="Normal"/>
    <w:rsid w:val="00015FB1"/>
    <w:pPr>
      <w:framePr w:hSpace="181" w:wrap="around" w:vAnchor="page" w:hAnchor="margin" w:y="852"/>
      <w:shd w:val="solid" w:color="FFFFFF" w:fill="FFFFFF"/>
      <w:tabs>
        <w:tab w:val="left" w:pos="1871"/>
      </w:tabs>
    </w:pPr>
    <w:rPr>
      <w:b/>
      <w:bCs/>
    </w:rPr>
  </w:style>
  <w:style w:type="paragraph" w:customStyle="1" w:styleId="ddate">
    <w:name w:val="ddate"/>
    <w:basedOn w:val="Normal"/>
    <w:rsid w:val="00015FB1"/>
    <w:pPr>
      <w:framePr w:hSpace="181" w:wrap="around" w:vAnchor="page" w:hAnchor="margin" w:y="852"/>
      <w:shd w:val="solid" w:color="FFFFFF" w:fill="FFFFFF"/>
      <w:tabs>
        <w:tab w:val="left" w:pos="1871"/>
      </w:tabs>
    </w:pPr>
    <w:rPr>
      <w:b/>
      <w:bCs/>
    </w:rPr>
  </w:style>
  <w:style w:type="paragraph" w:customStyle="1" w:styleId="dorlang">
    <w:name w:val="dorlang"/>
    <w:basedOn w:val="Normal"/>
    <w:rsid w:val="00015FB1"/>
    <w:pPr>
      <w:framePr w:hSpace="181" w:wrap="around" w:vAnchor="page" w:hAnchor="margin" w:y="852"/>
      <w:shd w:val="solid" w:color="FFFFFF" w:fill="FFFFFF"/>
      <w:tabs>
        <w:tab w:val="left" w:pos="1871"/>
      </w:tabs>
    </w:pPr>
    <w:rPr>
      <w:b/>
      <w:bCs/>
    </w:rPr>
  </w:style>
  <w:style w:type="paragraph" w:customStyle="1" w:styleId="AnnexNo">
    <w:name w:val="Annex_No"/>
    <w:basedOn w:val="Normal"/>
    <w:next w:val="Annexref"/>
    <w:rsid w:val="00015FB1"/>
    <w:pPr>
      <w:spacing w:before="720"/>
      <w:jc w:val="center"/>
    </w:pPr>
    <w:rPr>
      <w:caps/>
      <w:sz w:val="28"/>
    </w:rPr>
  </w:style>
  <w:style w:type="paragraph" w:customStyle="1" w:styleId="Annextitle">
    <w:name w:val="Annex_title"/>
    <w:basedOn w:val="Normal"/>
    <w:next w:val="Normal"/>
    <w:rsid w:val="00015FB1"/>
    <w:pPr>
      <w:spacing w:before="240" w:after="240"/>
      <w:jc w:val="center"/>
    </w:pPr>
    <w:rPr>
      <w:b/>
      <w:sz w:val="28"/>
    </w:rPr>
  </w:style>
  <w:style w:type="paragraph" w:customStyle="1" w:styleId="Annexref">
    <w:name w:val="Annex_ref"/>
    <w:basedOn w:val="Normal"/>
    <w:next w:val="Annextitle"/>
    <w:rsid w:val="00015FB1"/>
    <w:pPr>
      <w:jc w:val="center"/>
    </w:pPr>
  </w:style>
  <w:style w:type="paragraph" w:customStyle="1" w:styleId="AppendixNo">
    <w:name w:val="Appendix_No"/>
    <w:basedOn w:val="AnnexNo"/>
    <w:next w:val="Appendixref"/>
    <w:rsid w:val="00015FB1"/>
  </w:style>
  <w:style w:type="paragraph" w:customStyle="1" w:styleId="Appendixtitle">
    <w:name w:val="Appendix_title"/>
    <w:basedOn w:val="Annextitle"/>
    <w:next w:val="Normal"/>
    <w:rsid w:val="00015FB1"/>
  </w:style>
  <w:style w:type="paragraph" w:customStyle="1" w:styleId="Appendixref">
    <w:name w:val="Appendix_ref"/>
    <w:basedOn w:val="Annexref"/>
    <w:next w:val="Appendixtitle"/>
    <w:rsid w:val="00015FB1"/>
  </w:style>
  <w:style w:type="paragraph" w:customStyle="1" w:styleId="Call">
    <w:name w:val="Call"/>
    <w:basedOn w:val="Normal"/>
    <w:next w:val="Normal"/>
    <w:rsid w:val="00015FB1"/>
    <w:pPr>
      <w:keepNext/>
      <w:keepLines/>
      <w:spacing w:before="160"/>
      <w:ind w:left="567"/>
    </w:pPr>
    <w:rPr>
      <w:i/>
    </w:rPr>
  </w:style>
  <w:style w:type="paragraph" w:customStyle="1" w:styleId="Equationlegend">
    <w:name w:val="Equation_legend"/>
    <w:basedOn w:val="Normal"/>
    <w:rsid w:val="00015FB1"/>
    <w:pPr>
      <w:tabs>
        <w:tab w:val="right" w:pos="1531"/>
      </w:tabs>
      <w:spacing w:before="80"/>
      <w:ind w:left="1701" w:hanging="1701"/>
    </w:pPr>
  </w:style>
  <w:style w:type="paragraph" w:customStyle="1" w:styleId="Figure">
    <w:name w:val="Figure"/>
    <w:basedOn w:val="Normal"/>
    <w:next w:val="Figuretitle"/>
    <w:rsid w:val="00015FB1"/>
    <w:pPr>
      <w:keepNext/>
      <w:keepLines/>
      <w:spacing w:after="120"/>
      <w:jc w:val="center"/>
    </w:pPr>
  </w:style>
  <w:style w:type="paragraph" w:customStyle="1" w:styleId="Figuretitle">
    <w:name w:val="Figure_title"/>
    <w:basedOn w:val="Tabletitle"/>
    <w:next w:val="Normalaftertitle"/>
    <w:rsid w:val="00015FB1"/>
    <w:pPr>
      <w:spacing w:before="240" w:after="480"/>
    </w:pPr>
  </w:style>
  <w:style w:type="paragraph" w:customStyle="1" w:styleId="Tabletitle">
    <w:name w:val="Table_title"/>
    <w:basedOn w:val="TableNo"/>
    <w:next w:val="Tabletext"/>
    <w:rsid w:val="00015FB1"/>
    <w:pPr>
      <w:tabs>
        <w:tab w:val="left" w:pos="2948"/>
        <w:tab w:val="left" w:pos="4082"/>
      </w:tabs>
      <w:spacing w:before="0"/>
    </w:pPr>
    <w:rPr>
      <w:b/>
      <w:caps w:val="0"/>
    </w:rPr>
  </w:style>
  <w:style w:type="paragraph" w:customStyle="1" w:styleId="TableNo">
    <w:name w:val="Table_No"/>
    <w:basedOn w:val="Normal"/>
    <w:next w:val="Tabletitle"/>
    <w:rsid w:val="00015FB1"/>
    <w:pPr>
      <w:keepNext/>
      <w:spacing w:before="560" w:after="120"/>
      <w:jc w:val="center"/>
    </w:pPr>
    <w:rPr>
      <w:caps/>
    </w:rPr>
  </w:style>
  <w:style w:type="paragraph" w:customStyle="1" w:styleId="Tabletext">
    <w:name w:val="Table_text"/>
    <w:basedOn w:val="Normal"/>
    <w:rsid w:val="00015FB1"/>
    <w:pPr>
      <w:spacing w:before="60" w:after="60"/>
    </w:pPr>
  </w:style>
  <w:style w:type="paragraph" w:customStyle="1" w:styleId="Figurelegend">
    <w:name w:val="Figure_legend"/>
    <w:basedOn w:val="Normal"/>
    <w:rsid w:val="00015FB1"/>
    <w:pPr>
      <w:keepNext/>
      <w:keepLines/>
      <w:spacing w:before="20" w:after="20"/>
    </w:pPr>
    <w:rPr>
      <w:sz w:val="18"/>
    </w:rPr>
  </w:style>
  <w:style w:type="paragraph" w:customStyle="1" w:styleId="FigureNo">
    <w:name w:val="Figure_No"/>
    <w:basedOn w:val="Normal"/>
    <w:next w:val="Figuretitle"/>
    <w:rsid w:val="00015FB1"/>
    <w:pPr>
      <w:keepNext/>
      <w:keepLines/>
      <w:spacing w:before="240" w:after="120"/>
      <w:jc w:val="center"/>
    </w:pPr>
    <w:rPr>
      <w:caps/>
    </w:rPr>
  </w:style>
  <w:style w:type="paragraph" w:customStyle="1" w:styleId="Figurewithouttitle">
    <w:name w:val="Figure_without_title"/>
    <w:basedOn w:val="Figure"/>
    <w:next w:val="Normalaftertitle"/>
    <w:rsid w:val="00015FB1"/>
    <w:pPr>
      <w:keepNext w:val="0"/>
      <w:spacing w:after="240"/>
    </w:pPr>
  </w:style>
  <w:style w:type="paragraph" w:customStyle="1" w:styleId="Headingi">
    <w:name w:val="Heading_i"/>
    <w:basedOn w:val="Heading3"/>
    <w:next w:val="Normal"/>
    <w:rsid w:val="00015FB1"/>
    <w:pPr>
      <w:spacing w:before="160"/>
      <w:outlineLvl w:val="0"/>
    </w:pPr>
    <w:rPr>
      <w:b w:val="0"/>
      <w:i/>
    </w:rPr>
  </w:style>
  <w:style w:type="character" w:styleId="PageNumber">
    <w:name w:val="page number"/>
    <w:basedOn w:val="DefaultParagraphFont"/>
    <w:rsid w:val="00015FB1"/>
    <w:rPr>
      <w:rFonts w:ascii="Calibri" w:hAnsi="Calibri"/>
    </w:rPr>
  </w:style>
  <w:style w:type="paragraph" w:customStyle="1" w:styleId="PartNo">
    <w:name w:val="Part_No"/>
    <w:basedOn w:val="AnnexNo"/>
    <w:next w:val="Parttitle"/>
    <w:rsid w:val="00015FB1"/>
  </w:style>
  <w:style w:type="paragraph" w:customStyle="1" w:styleId="Parttitle">
    <w:name w:val="Part_title"/>
    <w:basedOn w:val="Annextitle"/>
    <w:next w:val="Partref"/>
    <w:rsid w:val="00015FB1"/>
  </w:style>
  <w:style w:type="paragraph" w:customStyle="1" w:styleId="Partref">
    <w:name w:val="Part_ref"/>
    <w:basedOn w:val="Annexref"/>
    <w:next w:val="Normalaftertitle"/>
    <w:rsid w:val="00015FB1"/>
  </w:style>
  <w:style w:type="paragraph" w:customStyle="1" w:styleId="RecNo">
    <w:name w:val="Rec_No"/>
    <w:basedOn w:val="Normal"/>
    <w:next w:val="Rectitle"/>
    <w:rsid w:val="00015FB1"/>
    <w:pPr>
      <w:spacing w:before="720"/>
      <w:jc w:val="center"/>
    </w:pPr>
    <w:rPr>
      <w:caps/>
      <w:sz w:val="28"/>
    </w:rPr>
  </w:style>
  <w:style w:type="paragraph" w:customStyle="1" w:styleId="Rectitle">
    <w:name w:val="Rec_title"/>
    <w:basedOn w:val="Normal"/>
    <w:next w:val="Heading1"/>
    <w:rsid w:val="00015FB1"/>
    <w:pPr>
      <w:spacing w:before="240"/>
      <w:jc w:val="center"/>
    </w:pPr>
    <w:rPr>
      <w:b/>
      <w:sz w:val="28"/>
    </w:rPr>
  </w:style>
  <w:style w:type="paragraph" w:customStyle="1" w:styleId="Recref">
    <w:name w:val="Rec_ref"/>
    <w:basedOn w:val="Rectitle"/>
    <w:next w:val="Recdate"/>
    <w:rsid w:val="00015FB1"/>
    <w:pPr>
      <w:spacing w:before="120"/>
    </w:pPr>
    <w:rPr>
      <w:rFonts w:ascii="Times New Roman" w:hAnsi="Times New Roman"/>
      <w:b w:val="0"/>
      <w:sz w:val="24"/>
    </w:rPr>
  </w:style>
  <w:style w:type="paragraph" w:customStyle="1" w:styleId="Recdate">
    <w:name w:val="Rec_date"/>
    <w:basedOn w:val="Recref"/>
    <w:next w:val="Normalaftertitle"/>
    <w:rsid w:val="00015FB1"/>
    <w:pPr>
      <w:jc w:val="right"/>
    </w:pPr>
    <w:rPr>
      <w:sz w:val="22"/>
    </w:rPr>
  </w:style>
  <w:style w:type="paragraph" w:customStyle="1" w:styleId="Questiondate">
    <w:name w:val="Question_date"/>
    <w:basedOn w:val="Recdate"/>
    <w:next w:val="Normalaftertitle"/>
    <w:rsid w:val="00015FB1"/>
  </w:style>
  <w:style w:type="paragraph" w:customStyle="1" w:styleId="QuestionNo">
    <w:name w:val="Question_No"/>
    <w:basedOn w:val="RecNo"/>
    <w:next w:val="Questiontitle"/>
    <w:rsid w:val="00015FB1"/>
  </w:style>
  <w:style w:type="paragraph" w:customStyle="1" w:styleId="Questionref">
    <w:name w:val="Question_ref"/>
    <w:basedOn w:val="Recref"/>
    <w:next w:val="Questiondate"/>
    <w:rsid w:val="00015FB1"/>
  </w:style>
  <w:style w:type="paragraph" w:customStyle="1" w:styleId="Questiontitle">
    <w:name w:val="Question_title"/>
    <w:basedOn w:val="Rectitle"/>
    <w:next w:val="Questionref"/>
    <w:rsid w:val="00015FB1"/>
  </w:style>
  <w:style w:type="paragraph" w:customStyle="1" w:styleId="Reftext">
    <w:name w:val="Ref_text"/>
    <w:basedOn w:val="Normal"/>
    <w:rsid w:val="00015FB1"/>
    <w:pPr>
      <w:ind w:left="567" w:hanging="567"/>
    </w:pPr>
  </w:style>
  <w:style w:type="paragraph" w:customStyle="1" w:styleId="Reftitle">
    <w:name w:val="Ref_title"/>
    <w:basedOn w:val="Normal"/>
    <w:next w:val="Reftext"/>
    <w:rsid w:val="00015FB1"/>
    <w:pPr>
      <w:spacing w:before="480"/>
      <w:jc w:val="center"/>
    </w:pPr>
    <w:rPr>
      <w:caps/>
      <w:sz w:val="28"/>
    </w:rPr>
  </w:style>
  <w:style w:type="paragraph" w:customStyle="1" w:styleId="Repdate">
    <w:name w:val="Rep_date"/>
    <w:basedOn w:val="Recdate"/>
    <w:next w:val="Normalaftertitle"/>
    <w:rsid w:val="00015FB1"/>
  </w:style>
  <w:style w:type="paragraph" w:customStyle="1" w:styleId="RepNo">
    <w:name w:val="Rep_No"/>
    <w:basedOn w:val="RecNo"/>
    <w:next w:val="Reptitle"/>
    <w:rsid w:val="00015FB1"/>
  </w:style>
  <w:style w:type="paragraph" w:customStyle="1" w:styleId="Reptitle">
    <w:name w:val="Rep_title"/>
    <w:basedOn w:val="Rectitle"/>
    <w:next w:val="Repref"/>
    <w:rsid w:val="00015FB1"/>
  </w:style>
  <w:style w:type="paragraph" w:customStyle="1" w:styleId="Repref">
    <w:name w:val="Rep_ref"/>
    <w:basedOn w:val="Recref"/>
    <w:next w:val="Repdate"/>
    <w:rsid w:val="00015FB1"/>
  </w:style>
  <w:style w:type="paragraph" w:customStyle="1" w:styleId="Resdate">
    <w:name w:val="Res_date"/>
    <w:basedOn w:val="Recdate"/>
    <w:next w:val="Normalaftertitle"/>
    <w:rsid w:val="00015FB1"/>
  </w:style>
  <w:style w:type="paragraph" w:customStyle="1" w:styleId="ResNo">
    <w:name w:val="Res_No"/>
    <w:basedOn w:val="AnnexNo"/>
    <w:next w:val="Restitle"/>
    <w:rsid w:val="00015FB1"/>
  </w:style>
  <w:style w:type="paragraph" w:customStyle="1" w:styleId="Restitle">
    <w:name w:val="Res_title"/>
    <w:basedOn w:val="Annextitle"/>
    <w:next w:val="Normal"/>
    <w:rsid w:val="00015FB1"/>
  </w:style>
  <w:style w:type="paragraph" w:customStyle="1" w:styleId="Resref">
    <w:name w:val="Res_ref"/>
    <w:basedOn w:val="Recref"/>
    <w:next w:val="Resdate"/>
    <w:rsid w:val="00015FB1"/>
  </w:style>
  <w:style w:type="paragraph" w:customStyle="1" w:styleId="SectionNo">
    <w:name w:val="Section_No"/>
    <w:basedOn w:val="AnnexNo"/>
    <w:next w:val="Sectiontitle"/>
    <w:rsid w:val="00015FB1"/>
  </w:style>
  <w:style w:type="paragraph" w:customStyle="1" w:styleId="Sectiontitle">
    <w:name w:val="Section_title"/>
    <w:basedOn w:val="Normal"/>
    <w:next w:val="Normalaftertitle"/>
    <w:rsid w:val="00015FB1"/>
    <w:rPr>
      <w:sz w:val="28"/>
    </w:rPr>
  </w:style>
  <w:style w:type="paragraph" w:customStyle="1" w:styleId="SpecialFooter">
    <w:name w:val="Special Footer"/>
    <w:basedOn w:val="Footer"/>
    <w:rsid w:val="00015FB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15FB1"/>
    <w:pPr>
      <w:spacing w:before="120" w:after="120"/>
      <w:jc w:val="center"/>
    </w:pPr>
    <w:rPr>
      <w:b/>
    </w:rPr>
  </w:style>
  <w:style w:type="paragraph" w:customStyle="1" w:styleId="Tablelegend">
    <w:name w:val="Table_legend"/>
    <w:basedOn w:val="Tabletext"/>
    <w:rsid w:val="00015FB1"/>
    <w:pPr>
      <w:spacing w:before="120"/>
    </w:pPr>
  </w:style>
  <w:style w:type="paragraph" w:customStyle="1" w:styleId="Tableref">
    <w:name w:val="Table_ref"/>
    <w:basedOn w:val="Normal"/>
    <w:next w:val="Tabletitle"/>
    <w:rsid w:val="00015FB1"/>
    <w:pPr>
      <w:keepNext/>
      <w:spacing w:before="567"/>
      <w:jc w:val="center"/>
    </w:pPr>
  </w:style>
  <w:style w:type="paragraph" w:customStyle="1" w:styleId="Artheading">
    <w:name w:val="Art_heading"/>
    <w:basedOn w:val="Normal"/>
    <w:next w:val="Normalaftertitle"/>
    <w:rsid w:val="00015FB1"/>
    <w:pPr>
      <w:spacing w:before="480"/>
      <w:jc w:val="center"/>
    </w:pPr>
    <w:rPr>
      <w:b/>
    </w:rPr>
  </w:style>
  <w:style w:type="paragraph" w:customStyle="1" w:styleId="ArtNo">
    <w:name w:val="Art_No"/>
    <w:basedOn w:val="Normal"/>
    <w:next w:val="Arttitle"/>
    <w:rsid w:val="00015FB1"/>
    <w:pPr>
      <w:spacing w:before="600"/>
      <w:jc w:val="center"/>
    </w:pPr>
    <w:rPr>
      <w:caps/>
      <w:sz w:val="28"/>
    </w:rPr>
  </w:style>
  <w:style w:type="paragraph" w:customStyle="1" w:styleId="Arttitle">
    <w:name w:val="Art_title"/>
    <w:basedOn w:val="Normal"/>
    <w:next w:val="Normal"/>
    <w:rsid w:val="00015FB1"/>
    <w:pPr>
      <w:spacing w:before="240" w:after="240"/>
      <w:jc w:val="center"/>
    </w:pPr>
    <w:rPr>
      <w:b/>
      <w:sz w:val="28"/>
    </w:rPr>
  </w:style>
  <w:style w:type="paragraph" w:customStyle="1" w:styleId="ChapNo">
    <w:name w:val="Chap_No"/>
    <w:basedOn w:val="ArtNo"/>
    <w:next w:val="Chaptitle"/>
    <w:rsid w:val="00015FB1"/>
  </w:style>
  <w:style w:type="paragraph" w:customStyle="1" w:styleId="Chaptitle">
    <w:name w:val="Chap_title"/>
    <w:basedOn w:val="Arttitle"/>
    <w:next w:val="Normal"/>
    <w:rsid w:val="00015FB1"/>
  </w:style>
  <w:style w:type="paragraph" w:customStyle="1" w:styleId="Table">
    <w:name w:val="Table_#"/>
    <w:basedOn w:val="Normal"/>
    <w:next w:val="Normal"/>
    <w:rsid w:val="00015FB1"/>
    <w:pPr>
      <w:keepNext/>
      <w:tabs>
        <w:tab w:val="left" w:pos="794"/>
        <w:tab w:val="left" w:pos="1191"/>
        <w:tab w:val="left" w:pos="1588"/>
        <w:tab w:val="left" w:pos="1985"/>
      </w:tabs>
      <w:spacing w:before="560" w:after="120"/>
      <w:jc w:val="center"/>
    </w:pPr>
    <w:rPr>
      <w:rFonts w:ascii="Times New Roman" w:hAnsi="Times New Roman"/>
      <w:caps/>
    </w:rPr>
  </w:style>
  <w:style w:type="character" w:styleId="UnresolvedMention">
    <w:name w:val="Unresolved Mention"/>
    <w:basedOn w:val="DefaultParagraphFont"/>
    <w:uiPriority w:val="99"/>
    <w:semiHidden/>
    <w:unhideWhenUsed/>
    <w:rsid w:val="009D62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463">
      <w:bodyDiv w:val="1"/>
      <w:marLeft w:val="0"/>
      <w:marRight w:val="0"/>
      <w:marTop w:val="0"/>
      <w:marBottom w:val="0"/>
      <w:divBdr>
        <w:top w:val="none" w:sz="0" w:space="0" w:color="auto"/>
        <w:left w:val="none" w:sz="0" w:space="0" w:color="auto"/>
        <w:bottom w:val="none" w:sz="0" w:space="0" w:color="auto"/>
        <w:right w:val="none" w:sz="0" w:space="0" w:color="auto"/>
      </w:divBdr>
    </w:div>
    <w:div w:id="14624088">
      <w:bodyDiv w:val="1"/>
      <w:marLeft w:val="0"/>
      <w:marRight w:val="0"/>
      <w:marTop w:val="0"/>
      <w:marBottom w:val="0"/>
      <w:divBdr>
        <w:top w:val="none" w:sz="0" w:space="0" w:color="auto"/>
        <w:left w:val="none" w:sz="0" w:space="0" w:color="auto"/>
        <w:bottom w:val="none" w:sz="0" w:space="0" w:color="auto"/>
        <w:right w:val="none" w:sz="0" w:space="0" w:color="auto"/>
      </w:divBdr>
      <w:divsChild>
        <w:div w:id="560289657">
          <w:marLeft w:val="720"/>
          <w:marRight w:val="0"/>
          <w:marTop w:val="0"/>
          <w:marBottom w:val="0"/>
          <w:divBdr>
            <w:top w:val="none" w:sz="0" w:space="0" w:color="auto"/>
            <w:left w:val="none" w:sz="0" w:space="0" w:color="auto"/>
            <w:bottom w:val="none" w:sz="0" w:space="0" w:color="auto"/>
            <w:right w:val="none" w:sz="0" w:space="0" w:color="auto"/>
          </w:divBdr>
        </w:div>
        <w:div w:id="1279416137">
          <w:marLeft w:val="1440"/>
          <w:marRight w:val="0"/>
          <w:marTop w:val="0"/>
          <w:marBottom w:val="0"/>
          <w:divBdr>
            <w:top w:val="none" w:sz="0" w:space="0" w:color="auto"/>
            <w:left w:val="none" w:sz="0" w:space="0" w:color="auto"/>
            <w:bottom w:val="none" w:sz="0" w:space="0" w:color="auto"/>
            <w:right w:val="none" w:sz="0" w:space="0" w:color="auto"/>
          </w:divBdr>
        </w:div>
        <w:div w:id="612202739">
          <w:marLeft w:val="1440"/>
          <w:marRight w:val="0"/>
          <w:marTop w:val="0"/>
          <w:marBottom w:val="0"/>
          <w:divBdr>
            <w:top w:val="none" w:sz="0" w:space="0" w:color="auto"/>
            <w:left w:val="none" w:sz="0" w:space="0" w:color="auto"/>
            <w:bottom w:val="none" w:sz="0" w:space="0" w:color="auto"/>
            <w:right w:val="none" w:sz="0" w:space="0" w:color="auto"/>
          </w:divBdr>
        </w:div>
        <w:div w:id="1081830855">
          <w:marLeft w:val="1440"/>
          <w:marRight w:val="0"/>
          <w:marTop w:val="0"/>
          <w:marBottom w:val="0"/>
          <w:divBdr>
            <w:top w:val="none" w:sz="0" w:space="0" w:color="auto"/>
            <w:left w:val="none" w:sz="0" w:space="0" w:color="auto"/>
            <w:bottom w:val="none" w:sz="0" w:space="0" w:color="auto"/>
            <w:right w:val="none" w:sz="0" w:space="0" w:color="auto"/>
          </w:divBdr>
        </w:div>
        <w:div w:id="434440667">
          <w:marLeft w:val="1440"/>
          <w:marRight w:val="0"/>
          <w:marTop w:val="0"/>
          <w:marBottom w:val="0"/>
          <w:divBdr>
            <w:top w:val="none" w:sz="0" w:space="0" w:color="auto"/>
            <w:left w:val="none" w:sz="0" w:space="0" w:color="auto"/>
            <w:bottom w:val="none" w:sz="0" w:space="0" w:color="auto"/>
            <w:right w:val="none" w:sz="0" w:space="0" w:color="auto"/>
          </w:divBdr>
        </w:div>
        <w:div w:id="506557038">
          <w:marLeft w:val="1440"/>
          <w:marRight w:val="0"/>
          <w:marTop w:val="0"/>
          <w:marBottom w:val="0"/>
          <w:divBdr>
            <w:top w:val="none" w:sz="0" w:space="0" w:color="auto"/>
            <w:left w:val="none" w:sz="0" w:space="0" w:color="auto"/>
            <w:bottom w:val="none" w:sz="0" w:space="0" w:color="auto"/>
            <w:right w:val="none" w:sz="0" w:space="0" w:color="auto"/>
          </w:divBdr>
        </w:div>
        <w:div w:id="23290443">
          <w:marLeft w:val="720"/>
          <w:marRight w:val="0"/>
          <w:marTop w:val="0"/>
          <w:marBottom w:val="0"/>
          <w:divBdr>
            <w:top w:val="none" w:sz="0" w:space="0" w:color="auto"/>
            <w:left w:val="none" w:sz="0" w:space="0" w:color="auto"/>
            <w:bottom w:val="none" w:sz="0" w:space="0" w:color="auto"/>
            <w:right w:val="none" w:sz="0" w:space="0" w:color="auto"/>
          </w:divBdr>
        </w:div>
      </w:divsChild>
    </w:div>
    <w:div w:id="210532495">
      <w:bodyDiv w:val="1"/>
      <w:marLeft w:val="0"/>
      <w:marRight w:val="0"/>
      <w:marTop w:val="0"/>
      <w:marBottom w:val="0"/>
      <w:divBdr>
        <w:top w:val="none" w:sz="0" w:space="0" w:color="auto"/>
        <w:left w:val="none" w:sz="0" w:space="0" w:color="auto"/>
        <w:bottom w:val="none" w:sz="0" w:space="0" w:color="auto"/>
        <w:right w:val="none" w:sz="0" w:space="0" w:color="auto"/>
      </w:divBdr>
    </w:div>
    <w:div w:id="449052974">
      <w:bodyDiv w:val="1"/>
      <w:marLeft w:val="0"/>
      <w:marRight w:val="0"/>
      <w:marTop w:val="0"/>
      <w:marBottom w:val="0"/>
      <w:divBdr>
        <w:top w:val="none" w:sz="0" w:space="0" w:color="auto"/>
        <w:left w:val="none" w:sz="0" w:space="0" w:color="auto"/>
        <w:bottom w:val="none" w:sz="0" w:space="0" w:color="auto"/>
        <w:right w:val="none" w:sz="0" w:space="0" w:color="auto"/>
      </w:divBdr>
    </w:div>
    <w:div w:id="624963920">
      <w:bodyDiv w:val="1"/>
      <w:marLeft w:val="0"/>
      <w:marRight w:val="0"/>
      <w:marTop w:val="0"/>
      <w:marBottom w:val="0"/>
      <w:divBdr>
        <w:top w:val="none" w:sz="0" w:space="0" w:color="auto"/>
        <w:left w:val="none" w:sz="0" w:space="0" w:color="auto"/>
        <w:bottom w:val="none" w:sz="0" w:space="0" w:color="auto"/>
        <w:right w:val="none" w:sz="0" w:space="0" w:color="auto"/>
      </w:divBdr>
    </w:div>
    <w:div w:id="719013376">
      <w:bodyDiv w:val="1"/>
      <w:marLeft w:val="0"/>
      <w:marRight w:val="0"/>
      <w:marTop w:val="0"/>
      <w:marBottom w:val="0"/>
      <w:divBdr>
        <w:top w:val="none" w:sz="0" w:space="0" w:color="auto"/>
        <w:left w:val="none" w:sz="0" w:space="0" w:color="auto"/>
        <w:bottom w:val="none" w:sz="0" w:space="0" w:color="auto"/>
        <w:right w:val="none" w:sz="0" w:space="0" w:color="auto"/>
      </w:divBdr>
    </w:div>
    <w:div w:id="817303337">
      <w:bodyDiv w:val="1"/>
      <w:marLeft w:val="0"/>
      <w:marRight w:val="0"/>
      <w:marTop w:val="0"/>
      <w:marBottom w:val="0"/>
      <w:divBdr>
        <w:top w:val="none" w:sz="0" w:space="0" w:color="auto"/>
        <w:left w:val="none" w:sz="0" w:space="0" w:color="auto"/>
        <w:bottom w:val="none" w:sz="0" w:space="0" w:color="auto"/>
        <w:right w:val="none" w:sz="0" w:space="0" w:color="auto"/>
      </w:divBdr>
      <w:divsChild>
        <w:div w:id="610893335">
          <w:marLeft w:val="720"/>
          <w:marRight w:val="0"/>
          <w:marTop w:val="0"/>
          <w:marBottom w:val="0"/>
          <w:divBdr>
            <w:top w:val="none" w:sz="0" w:space="0" w:color="auto"/>
            <w:left w:val="none" w:sz="0" w:space="0" w:color="auto"/>
            <w:bottom w:val="none" w:sz="0" w:space="0" w:color="auto"/>
            <w:right w:val="none" w:sz="0" w:space="0" w:color="auto"/>
          </w:divBdr>
        </w:div>
        <w:div w:id="1724206928">
          <w:marLeft w:val="1440"/>
          <w:marRight w:val="0"/>
          <w:marTop w:val="0"/>
          <w:marBottom w:val="0"/>
          <w:divBdr>
            <w:top w:val="none" w:sz="0" w:space="0" w:color="auto"/>
            <w:left w:val="none" w:sz="0" w:space="0" w:color="auto"/>
            <w:bottom w:val="none" w:sz="0" w:space="0" w:color="auto"/>
            <w:right w:val="none" w:sz="0" w:space="0" w:color="auto"/>
          </w:divBdr>
        </w:div>
        <w:div w:id="1104496603">
          <w:marLeft w:val="2160"/>
          <w:marRight w:val="0"/>
          <w:marTop w:val="0"/>
          <w:marBottom w:val="0"/>
          <w:divBdr>
            <w:top w:val="none" w:sz="0" w:space="0" w:color="auto"/>
            <w:left w:val="none" w:sz="0" w:space="0" w:color="auto"/>
            <w:bottom w:val="none" w:sz="0" w:space="0" w:color="auto"/>
            <w:right w:val="none" w:sz="0" w:space="0" w:color="auto"/>
          </w:divBdr>
        </w:div>
        <w:div w:id="974064887">
          <w:marLeft w:val="2160"/>
          <w:marRight w:val="0"/>
          <w:marTop w:val="0"/>
          <w:marBottom w:val="0"/>
          <w:divBdr>
            <w:top w:val="none" w:sz="0" w:space="0" w:color="auto"/>
            <w:left w:val="none" w:sz="0" w:space="0" w:color="auto"/>
            <w:bottom w:val="none" w:sz="0" w:space="0" w:color="auto"/>
            <w:right w:val="none" w:sz="0" w:space="0" w:color="auto"/>
          </w:divBdr>
        </w:div>
        <w:div w:id="1949310228">
          <w:marLeft w:val="2160"/>
          <w:marRight w:val="0"/>
          <w:marTop w:val="0"/>
          <w:marBottom w:val="0"/>
          <w:divBdr>
            <w:top w:val="none" w:sz="0" w:space="0" w:color="auto"/>
            <w:left w:val="none" w:sz="0" w:space="0" w:color="auto"/>
            <w:bottom w:val="none" w:sz="0" w:space="0" w:color="auto"/>
            <w:right w:val="none" w:sz="0" w:space="0" w:color="auto"/>
          </w:divBdr>
        </w:div>
        <w:div w:id="407074131">
          <w:marLeft w:val="1440"/>
          <w:marRight w:val="0"/>
          <w:marTop w:val="0"/>
          <w:marBottom w:val="0"/>
          <w:divBdr>
            <w:top w:val="none" w:sz="0" w:space="0" w:color="auto"/>
            <w:left w:val="none" w:sz="0" w:space="0" w:color="auto"/>
            <w:bottom w:val="none" w:sz="0" w:space="0" w:color="auto"/>
            <w:right w:val="none" w:sz="0" w:space="0" w:color="auto"/>
          </w:divBdr>
        </w:div>
        <w:div w:id="431781739">
          <w:marLeft w:val="2160"/>
          <w:marRight w:val="0"/>
          <w:marTop w:val="0"/>
          <w:marBottom w:val="0"/>
          <w:divBdr>
            <w:top w:val="none" w:sz="0" w:space="0" w:color="auto"/>
            <w:left w:val="none" w:sz="0" w:space="0" w:color="auto"/>
            <w:bottom w:val="none" w:sz="0" w:space="0" w:color="auto"/>
            <w:right w:val="none" w:sz="0" w:space="0" w:color="auto"/>
          </w:divBdr>
        </w:div>
        <w:div w:id="1944797331">
          <w:marLeft w:val="2160"/>
          <w:marRight w:val="0"/>
          <w:marTop w:val="0"/>
          <w:marBottom w:val="0"/>
          <w:divBdr>
            <w:top w:val="none" w:sz="0" w:space="0" w:color="auto"/>
            <w:left w:val="none" w:sz="0" w:space="0" w:color="auto"/>
            <w:bottom w:val="none" w:sz="0" w:space="0" w:color="auto"/>
            <w:right w:val="none" w:sz="0" w:space="0" w:color="auto"/>
          </w:divBdr>
        </w:div>
        <w:div w:id="1492215275">
          <w:marLeft w:val="1440"/>
          <w:marRight w:val="0"/>
          <w:marTop w:val="0"/>
          <w:marBottom w:val="0"/>
          <w:divBdr>
            <w:top w:val="none" w:sz="0" w:space="0" w:color="auto"/>
            <w:left w:val="none" w:sz="0" w:space="0" w:color="auto"/>
            <w:bottom w:val="none" w:sz="0" w:space="0" w:color="auto"/>
            <w:right w:val="none" w:sz="0" w:space="0" w:color="auto"/>
          </w:divBdr>
        </w:div>
        <w:div w:id="387341964">
          <w:marLeft w:val="2160"/>
          <w:marRight w:val="0"/>
          <w:marTop w:val="0"/>
          <w:marBottom w:val="0"/>
          <w:divBdr>
            <w:top w:val="none" w:sz="0" w:space="0" w:color="auto"/>
            <w:left w:val="none" w:sz="0" w:space="0" w:color="auto"/>
            <w:bottom w:val="none" w:sz="0" w:space="0" w:color="auto"/>
            <w:right w:val="none" w:sz="0" w:space="0" w:color="auto"/>
          </w:divBdr>
        </w:div>
        <w:div w:id="953635578">
          <w:marLeft w:val="1440"/>
          <w:marRight w:val="0"/>
          <w:marTop w:val="0"/>
          <w:marBottom w:val="0"/>
          <w:divBdr>
            <w:top w:val="none" w:sz="0" w:space="0" w:color="auto"/>
            <w:left w:val="none" w:sz="0" w:space="0" w:color="auto"/>
            <w:bottom w:val="none" w:sz="0" w:space="0" w:color="auto"/>
            <w:right w:val="none" w:sz="0" w:space="0" w:color="auto"/>
          </w:divBdr>
        </w:div>
        <w:div w:id="1833182308">
          <w:marLeft w:val="2160"/>
          <w:marRight w:val="0"/>
          <w:marTop w:val="0"/>
          <w:marBottom w:val="0"/>
          <w:divBdr>
            <w:top w:val="none" w:sz="0" w:space="0" w:color="auto"/>
            <w:left w:val="none" w:sz="0" w:space="0" w:color="auto"/>
            <w:bottom w:val="none" w:sz="0" w:space="0" w:color="auto"/>
            <w:right w:val="none" w:sz="0" w:space="0" w:color="auto"/>
          </w:divBdr>
        </w:div>
        <w:div w:id="497842802">
          <w:marLeft w:val="2160"/>
          <w:marRight w:val="0"/>
          <w:marTop w:val="0"/>
          <w:marBottom w:val="0"/>
          <w:divBdr>
            <w:top w:val="none" w:sz="0" w:space="0" w:color="auto"/>
            <w:left w:val="none" w:sz="0" w:space="0" w:color="auto"/>
            <w:bottom w:val="none" w:sz="0" w:space="0" w:color="auto"/>
            <w:right w:val="none" w:sz="0" w:space="0" w:color="auto"/>
          </w:divBdr>
        </w:div>
        <w:div w:id="629870039">
          <w:marLeft w:val="1440"/>
          <w:marRight w:val="0"/>
          <w:marTop w:val="0"/>
          <w:marBottom w:val="0"/>
          <w:divBdr>
            <w:top w:val="none" w:sz="0" w:space="0" w:color="auto"/>
            <w:left w:val="none" w:sz="0" w:space="0" w:color="auto"/>
            <w:bottom w:val="none" w:sz="0" w:space="0" w:color="auto"/>
            <w:right w:val="none" w:sz="0" w:space="0" w:color="auto"/>
          </w:divBdr>
        </w:div>
        <w:div w:id="1957176778">
          <w:marLeft w:val="2160"/>
          <w:marRight w:val="0"/>
          <w:marTop w:val="0"/>
          <w:marBottom w:val="0"/>
          <w:divBdr>
            <w:top w:val="none" w:sz="0" w:space="0" w:color="auto"/>
            <w:left w:val="none" w:sz="0" w:space="0" w:color="auto"/>
            <w:bottom w:val="none" w:sz="0" w:space="0" w:color="auto"/>
            <w:right w:val="none" w:sz="0" w:space="0" w:color="auto"/>
          </w:divBdr>
        </w:div>
        <w:div w:id="1352951233">
          <w:marLeft w:val="2160"/>
          <w:marRight w:val="0"/>
          <w:marTop w:val="0"/>
          <w:marBottom w:val="0"/>
          <w:divBdr>
            <w:top w:val="none" w:sz="0" w:space="0" w:color="auto"/>
            <w:left w:val="none" w:sz="0" w:space="0" w:color="auto"/>
            <w:bottom w:val="none" w:sz="0" w:space="0" w:color="auto"/>
            <w:right w:val="none" w:sz="0" w:space="0" w:color="auto"/>
          </w:divBdr>
        </w:div>
        <w:div w:id="1090008566">
          <w:marLeft w:val="0"/>
          <w:marRight w:val="0"/>
          <w:marTop w:val="0"/>
          <w:marBottom w:val="0"/>
          <w:divBdr>
            <w:top w:val="none" w:sz="0" w:space="0" w:color="auto"/>
            <w:left w:val="none" w:sz="0" w:space="0" w:color="auto"/>
            <w:bottom w:val="none" w:sz="0" w:space="0" w:color="auto"/>
            <w:right w:val="none" w:sz="0" w:space="0" w:color="auto"/>
          </w:divBdr>
        </w:div>
      </w:divsChild>
    </w:div>
    <w:div w:id="948201498">
      <w:bodyDiv w:val="1"/>
      <w:marLeft w:val="0"/>
      <w:marRight w:val="0"/>
      <w:marTop w:val="0"/>
      <w:marBottom w:val="0"/>
      <w:divBdr>
        <w:top w:val="none" w:sz="0" w:space="0" w:color="auto"/>
        <w:left w:val="none" w:sz="0" w:space="0" w:color="auto"/>
        <w:bottom w:val="none" w:sz="0" w:space="0" w:color="auto"/>
        <w:right w:val="none" w:sz="0" w:space="0" w:color="auto"/>
      </w:divBdr>
    </w:div>
    <w:div w:id="1019040040">
      <w:bodyDiv w:val="1"/>
      <w:marLeft w:val="0"/>
      <w:marRight w:val="0"/>
      <w:marTop w:val="0"/>
      <w:marBottom w:val="0"/>
      <w:divBdr>
        <w:top w:val="none" w:sz="0" w:space="0" w:color="auto"/>
        <w:left w:val="none" w:sz="0" w:space="0" w:color="auto"/>
        <w:bottom w:val="none" w:sz="0" w:space="0" w:color="auto"/>
        <w:right w:val="none" w:sz="0" w:space="0" w:color="auto"/>
      </w:divBdr>
    </w:div>
    <w:div w:id="1129667439">
      <w:bodyDiv w:val="1"/>
      <w:marLeft w:val="0"/>
      <w:marRight w:val="0"/>
      <w:marTop w:val="0"/>
      <w:marBottom w:val="0"/>
      <w:divBdr>
        <w:top w:val="none" w:sz="0" w:space="0" w:color="auto"/>
        <w:left w:val="none" w:sz="0" w:space="0" w:color="auto"/>
        <w:bottom w:val="none" w:sz="0" w:space="0" w:color="auto"/>
        <w:right w:val="none" w:sz="0" w:space="0" w:color="auto"/>
      </w:divBdr>
    </w:div>
    <w:div w:id="1228613932">
      <w:bodyDiv w:val="1"/>
      <w:marLeft w:val="0"/>
      <w:marRight w:val="0"/>
      <w:marTop w:val="0"/>
      <w:marBottom w:val="0"/>
      <w:divBdr>
        <w:top w:val="none" w:sz="0" w:space="0" w:color="auto"/>
        <w:left w:val="none" w:sz="0" w:space="0" w:color="auto"/>
        <w:bottom w:val="none" w:sz="0" w:space="0" w:color="auto"/>
        <w:right w:val="none" w:sz="0" w:space="0" w:color="auto"/>
      </w:divBdr>
    </w:div>
    <w:div w:id="1551652610">
      <w:bodyDiv w:val="1"/>
      <w:marLeft w:val="0"/>
      <w:marRight w:val="0"/>
      <w:marTop w:val="0"/>
      <w:marBottom w:val="0"/>
      <w:divBdr>
        <w:top w:val="none" w:sz="0" w:space="0" w:color="auto"/>
        <w:left w:val="none" w:sz="0" w:space="0" w:color="auto"/>
        <w:bottom w:val="none" w:sz="0" w:space="0" w:color="auto"/>
        <w:right w:val="none" w:sz="0" w:space="0" w:color="auto"/>
      </w:divBdr>
    </w:div>
    <w:div w:id="1562252364">
      <w:bodyDiv w:val="1"/>
      <w:marLeft w:val="120"/>
      <w:marRight w:val="120"/>
      <w:marTop w:val="45"/>
      <w:marBottom w:val="45"/>
      <w:divBdr>
        <w:top w:val="none" w:sz="0" w:space="0" w:color="auto"/>
        <w:left w:val="none" w:sz="0" w:space="0" w:color="auto"/>
        <w:bottom w:val="none" w:sz="0" w:space="0" w:color="auto"/>
        <w:right w:val="none" w:sz="0" w:space="0" w:color="auto"/>
      </w:divBdr>
      <w:divsChild>
        <w:div w:id="1083919698">
          <w:marLeft w:val="0"/>
          <w:marRight w:val="0"/>
          <w:marTop w:val="0"/>
          <w:marBottom w:val="0"/>
          <w:divBdr>
            <w:top w:val="none" w:sz="0" w:space="0" w:color="auto"/>
            <w:left w:val="none" w:sz="0" w:space="0" w:color="auto"/>
            <w:bottom w:val="none" w:sz="0" w:space="0" w:color="auto"/>
            <w:right w:val="none" w:sz="0" w:space="0" w:color="auto"/>
          </w:divBdr>
          <w:divsChild>
            <w:div w:id="1418746611">
              <w:marLeft w:val="240"/>
              <w:marRight w:val="240"/>
              <w:marTop w:val="0"/>
              <w:marBottom w:val="0"/>
              <w:divBdr>
                <w:top w:val="none" w:sz="0" w:space="0" w:color="auto"/>
                <w:left w:val="none" w:sz="0" w:space="0" w:color="auto"/>
                <w:bottom w:val="none" w:sz="0" w:space="0" w:color="auto"/>
                <w:right w:val="none" w:sz="0" w:space="0" w:color="auto"/>
              </w:divBdr>
              <w:divsChild>
                <w:div w:id="37049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95250">
      <w:bodyDiv w:val="1"/>
      <w:marLeft w:val="0"/>
      <w:marRight w:val="0"/>
      <w:marTop w:val="0"/>
      <w:marBottom w:val="0"/>
      <w:divBdr>
        <w:top w:val="none" w:sz="0" w:space="0" w:color="auto"/>
        <w:left w:val="none" w:sz="0" w:space="0" w:color="auto"/>
        <w:bottom w:val="none" w:sz="0" w:space="0" w:color="auto"/>
        <w:right w:val="none" w:sz="0" w:space="0" w:color="auto"/>
      </w:divBdr>
    </w:div>
    <w:div w:id="1689212487">
      <w:bodyDiv w:val="1"/>
      <w:marLeft w:val="0"/>
      <w:marRight w:val="0"/>
      <w:marTop w:val="0"/>
      <w:marBottom w:val="0"/>
      <w:divBdr>
        <w:top w:val="none" w:sz="0" w:space="0" w:color="auto"/>
        <w:left w:val="none" w:sz="0" w:space="0" w:color="auto"/>
        <w:bottom w:val="none" w:sz="0" w:space="0" w:color="auto"/>
        <w:right w:val="none" w:sz="0" w:space="0" w:color="auto"/>
      </w:divBdr>
    </w:div>
    <w:div w:id="1692101829">
      <w:bodyDiv w:val="1"/>
      <w:marLeft w:val="0"/>
      <w:marRight w:val="0"/>
      <w:marTop w:val="0"/>
      <w:marBottom w:val="0"/>
      <w:divBdr>
        <w:top w:val="none" w:sz="0" w:space="0" w:color="auto"/>
        <w:left w:val="none" w:sz="0" w:space="0" w:color="auto"/>
        <w:bottom w:val="none" w:sz="0" w:space="0" w:color="auto"/>
        <w:right w:val="none" w:sz="0" w:space="0" w:color="auto"/>
      </w:divBdr>
    </w:div>
    <w:div w:id="1762606307">
      <w:bodyDiv w:val="1"/>
      <w:marLeft w:val="0"/>
      <w:marRight w:val="0"/>
      <w:marTop w:val="0"/>
      <w:marBottom w:val="0"/>
      <w:divBdr>
        <w:top w:val="none" w:sz="0" w:space="0" w:color="auto"/>
        <w:left w:val="none" w:sz="0" w:space="0" w:color="auto"/>
        <w:bottom w:val="none" w:sz="0" w:space="0" w:color="auto"/>
        <w:right w:val="none" w:sz="0" w:space="0" w:color="auto"/>
      </w:divBdr>
    </w:div>
    <w:div w:id="1904288572">
      <w:bodyDiv w:val="1"/>
      <w:marLeft w:val="0"/>
      <w:marRight w:val="0"/>
      <w:marTop w:val="0"/>
      <w:marBottom w:val="0"/>
      <w:divBdr>
        <w:top w:val="none" w:sz="0" w:space="0" w:color="auto"/>
        <w:left w:val="none" w:sz="0" w:space="0" w:color="auto"/>
        <w:bottom w:val="none" w:sz="0" w:space="0" w:color="auto"/>
        <w:right w:val="none" w:sz="0" w:space="0" w:color="auto"/>
      </w:divBdr>
    </w:div>
    <w:div w:id="2080788102">
      <w:bodyDiv w:val="1"/>
      <w:marLeft w:val="0"/>
      <w:marRight w:val="0"/>
      <w:marTop w:val="0"/>
      <w:marBottom w:val="0"/>
      <w:divBdr>
        <w:top w:val="none" w:sz="0" w:space="0" w:color="auto"/>
        <w:left w:val="none" w:sz="0" w:space="0" w:color="auto"/>
        <w:bottom w:val="none" w:sz="0" w:space="0" w:color="auto"/>
        <w:right w:val="none" w:sz="0" w:space="0" w:color="auto"/>
      </w:divBdr>
      <w:divsChild>
        <w:div w:id="1842699443">
          <w:marLeft w:val="0"/>
          <w:marRight w:val="0"/>
          <w:marTop w:val="0"/>
          <w:marBottom w:val="0"/>
          <w:divBdr>
            <w:top w:val="none" w:sz="0" w:space="0" w:color="555555"/>
            <w:left w:val="none" w:sz="0" w:space="11" w:color="555555"/>
            <w:bottom w:val="none" w:sz="0" w:space="0" w:color="555555"/>
            <w:right w:val="none" w:sz="0" w:space="11" w:color="555555"/>
          </w:divBdr>
          <w:divsChild>
            <w:div w:id="2135173052">
              <w:marLeft w:val="-225"/>
              <w:marRight w:val="-225"/>
              <w:marTop w:val="0"/>
              <w:marBottom w:val="0"/>
              <w:divBdr>
                <w:top w:val="none" w:sz="0" w:space="0" w:color="555555"/>
                <w:left w:val="none" w:sz="0" w:space="0" w:color="555555"/>
                <w:bottom w:val="none" w:sz="0" w:space="0" w:color="555555"/>
                <w:right w:val="none" w:sz="0" w:space="0" w:color="555555"/>
              </w:divBdr>
              <w:divsChild>
                <w:div w:id="389546352">
                  <w:marLeft w:val="0"/>
                  <w:marRight w:val="0"/>
                  <w:marTop w:val="0"/>
                  <w:marBottom w:val="0"/>
                  <w:divBdr>
                    <w:top w:val="none" w:sz="0" w:space="0" w:color="555555"/>
                    <w:left w:val="none" w:sz="0" w:space="11" w:color="555555"/>
                    <w:bottom w:val="none" w:sz="0" w:space="0" w:color="555555"/>
                    <w:right w:val="none" w:sz="0" w:space="11" w:color="555555"/>
                  </w:divBdr>
                </w:div>
                <w:div w:id="59253080">
                  <w:marLeft w:val="0"/>
                  <w:marRight w:val="0"/>
                  <w:marTop w:val="0"/>
                  <w:marBottom w:val="0"/>
                  <w:divBdr>
                    <w:top w:val="none" w:sz="0" w:space="0" w:color="555555"/>
                    <w:left w:val="none" w:sz="0" w:space="11" w:color="555555"/>
                    <w:bottom w:val="none" w:sz="0" w:space="0" w:color="555555"/>
                    <w:right w:val="none" w:sz="0" w:space="11" w:color="555555"/>
                  </w:divBdr>
                  <w:divsChild>
                    <w:div w:id="809976623">
                      <w:blockQuote w:val="1"/>
                      <w:marLeft w:val="0"/>
                      <w:marRight w:val="0"/>
                      <w:marTop w:val="0"/>
                      <w:marBottom w:val="300"/>
                      <w:divBdr>
                        <w:top w:val="none" w:sz="0" w:space="8" w:color="555555"/>
                        <w:left w:val="single" w:sz="36" w:space="31" w:color="555555"/>
                        <w:bottom w:val="none" w:sz="0" w:space="8" w:color="555555"/>
                        <w:right w:val="none" w:sz="0" w:space="15" w:color="555555"/>
                      </w:divBdr>
                    </w:div>
                  </w:divsChild>
                </w:div>
                <w:div w:id="431364161">
                  <w:marLeft w:val="0"/>
                  <w:marRight w:val="0"/>
                  <w:marTop w:val="0"/>
                  <w:marBottom w:val="0"/>
                  <w:divBdr>
                    <w:top w:val="none" w:sz="0" w:space="0" w:color="555555"/>
                    <w:left w:val="none" w:sz="0" w:space="11" w:color="555555"/>
                    <w:bottom w:val="none" w:sz="0" w:space="0" w:color="555555"/>
                    <w:right w:val="none" w:sz="0" w:space="11" w:color="555555"/>
                  </w:divBdr>
                  <w:divsChild>
                    <w:div w:id="914244997">
                      <w:blockQuote w:val="1"/>
                      <w:marLeft w:val="0"/>
                      <w:marRight w:val="0"/>
                      <w:marTop w:val="0"/>
                      <w:marBottom w:val="300"/>
                      <w:divBdr>
                        <w:top w:val="none" w:sz="0" w:space="8" w:color="555555"/>
                        <w:left w:val="single" w:sz="36" w:space="31" w:color="555555"/>
                        <w:bottom w:val="none" w:sz="0" w:space="8" w:color="555555"/>
                        <w:right w:val="none" w:sz="0" w:space="15" w:color="555555"/>
                      </w:divBdr>
                    </w:div>
                  </w:divsChild>
                </w:div>
              </w:divsChild>
            </w:div>
          </w:divsChild>
        </w:div>
        <w:div w:id="547844424">
          <w:marLeft w:val="0"/>
          <w:marRight w:val="0"/>
          <w:marTop w:val="0"/>
          <w:marBottom w:val="0"/>
          <w:divBdr>
            <w:top w:val="none" w:sz="0" w:space="0" w:color="555555"/>
            <w:left w:val="none" w:sz="0" w:space="11" w:color="555555"/>
            <w:bottom w:val="none" w:sz="0" w:space="0" w:color="555555"/>
            <w:right w:val="none" w:sz="0" w:space="11" w:color="555555"/>
          </w:divBdr>
          <w:divsChild>
            <w:div w:id="989947031">
              <w:marLeft w:val="-225"/>
              <w:marRight w:val="-225"/>
              <w:marTop w:val="0"/>
              <w:marBottom w:val="0"/>
              <w:divBdr>
                <w:top w:val="none" w:sz="0" w:space="0" w:color="555555"/>
                <w:left w:val="none" w:sz="0" w:space="0" w:color="555555"/>
                <w:bottom w:val="none" w:sz="0" w:space="0" w:color="555555"/>
                <w:right w:val="none" w:sz="0" w:space="0" w:color="555555"/>
              </w:divBdr>
              <w:divsChild>
                <w:div w:id="1580015298">
                  <w:marLeft w:val="0"/>
                  <w:marRight w:val="0"/>
                  <w:marTop w:val="0"/>
                  <w:marBottom w:val="0"/>
                  <w:divBdr>
                    <w:top w:val="none" w:sz="0" w:space="0" w:color="555555"/>
                    <w:left w:val="none" w:sz="0" w:space="11" w:color="555555"/>
                    <w:bottom w:val="none" w:sz="0" w:space="0" w:color="555555"/>
                    <w:right w:val="none" w:sz="0" w:space="11" w:color="555555"/>
                  </w:divBdr>
                </w:div>
                <w:div w:id="1391539301">
                  <w:marLeft w:val="0"/>
                  <w:marRight w:val="0"/>
                  <w:marTop w:val="0"/>
                  <w:marBottom w:val="0"/>
                  <w:divBdr>
                    <w:top w:val="none" w:sz="0" w:space="0" w:color="555555"/>
                    <w:left w:val="none" w:sz="0" w:space="11" w:color="555555"/>
                    <w:bottom w:val="none" w:sz="0" w:space="0" w:color="555555"/>
                    <w:right w:val="none" w:sz="0" w:space="11" w:color="555555"/>
                  </w:divBdr>
                  <w:divsChild>
                    <w:div w:id="413160843">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58018041">
                  <w:marLeft w:val="0"/>
                  <w:marRight w:val="0"/>
                  <w:marTop w:val="0"/>
                  <w:marBottom w:val="0"/>
                  <w:divBdr>
                    <w:top w:val="none" w:sz="0" w:space="0" w:color="555555"/>
                    <w:left w:val="none" w:sz="0" w:space="11" w:color="555555"/>
                    <w:bottom w:val="none" w:sz="0" w:space="0" w:color="555555"/>
                    <w:right w:val="none" w:sz="0" w:space="11" w:color="555555"/>
                  </w:divBdr>
                  <w:divsChild>
                    <w:div w:id="783302674">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724671198">
                  <w:marLeft w:val="0"/>
                  <w:marRight w:val="0"/>
                  <w:marTop w:val="0"/>
                  <w:marBottom w:val="0"/>
                  <w:divBdr>
                    <w:top w:val="none" w:sz="0" w:space="0" w:color="555555"/>
                    <w:left w:val="none" w:sz="0" w:space="11" w:color="555555"/>
                    <w:bottom w:val="none" w:sz="0" w:space="0" w:color="555555"/>
                    <w:right w:val="none" w:sz="0" w:space="11" w:color="555555"/>
                  </w:divBdr>
                  <w:divsChild>
                    <w:div w:id="131678829">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374883996">
                  <w:marLeft w:val="0"/>
                  <w:marRight w:val="0"/>
                  <w:marTop w:val="0"/>
                  <w:marBottom w:val="0"/>
                  <w:divBdr>
                    <w:top w:val="none" w:sz="0" w:space="0" w:color="555555"/>
                    <w:left w:val="none" w:sz="0" w:space="11" w:color="555555"/>
                    <w:bottom w:val="none" w:sz="0" w:space="0" w:color="555555"/>
                    <w:right w:val="none" w:sz="0" w:space="11" w:color="555555"/>
                  </w:divBdr>
                  <w:divsChild>
                    <w:div w:id="1232734027">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918132005">
                  <w:marLeft w:val="0"/>
                  <w:marRight w:val="0"/>
                  <w:marTop w:val="0"/>
                  <w:marBottom w:val="0"/>
                  <w:divBdr>
                    <w:top w:val="none" w:sz="0" w:space="0" w:color="555555"/>
                    <w:left w:val="none" w:sz="0" w:space="11" w:color="555555"/>
                    <w:bottom w:val="none" w:sz="0" w:space="0" w:color="555555"/>
                    <w:right w:val="none" w:sz="0" w:space="11" w:color="555555"/>
                  </w:divBdr>
                  <w:divsChild>
                    <w:div w:id="1203248984">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894584999">
                  <w:marLeft w:val="0"/>
                  <w:marRight w:val="0"/>
                  <w:marTop w:val="0"/>
                  <w:marBottom w:val="0"/>
                  <w:divBdr>
                    <w:top w:val="none" w:sz="0" w:space="0" w:color="555555"/>
                    <w:left w:val="none" w:sz="0" w:space="11" w:color="555555"/>
                    <w:bottom w:val="none" w:sz="0" w:space="0" w:color="555555"/>
                    <w:right w:val="none" w:sz="0" w:space="11" w:color="555555"/>
                  </w:divBdr>
                  <w:divsChild>
                    <w:div w:id="794719320">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55725615">
                  <w:marLeft w:val="0"/>
                  <w:marRight w:val="0"/>
                  <w:marTop w:val="0"/>
                  <w:marBottom w:val="0"/>
                  <w:divBdr>
                    <w:top w:val="none" w:sz="0" w:space="0" w:color="555555"/>
                    <w:left w:val="none" w:sz="0" w:space="11" w:color="555555"/>
                    <w:bottom w:val="none" w:sz="0" w:space="0" w:color="555555"/>
                    <w:right w:val="none" w:sz="0" w:space="11" w:color="555555"/>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tu.int/md/S22-CL-C-0063/en" TargetMode="Externa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en/council/Documents/basic-texts/RES-071-E.pdf"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EB0CC388B33F74A908FE526995B606B" ma:contentTypeVersion="0" ma:contentTypeDescription="Create a new document." ma:contentTypeScope="" ma:versionID="f8bc379bbd3eca3b2cf284620d6388a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BB7ADF-EB5F-4537-943F-279F722AEB45}">
  <ds:schemaRefs>
    <ds:schemaRef ds:uri="http://purl.org/dc/dcmityp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4953B8A-51B0-421C-9219-ED12AB0ADFCF}">
  <ds:schemaRefs>
    <ds:schemaRef ds:uri="http://schemas.microsoft.com/sharepoint/v3/contenttype/forms"/>
  </ds:schemaRefs>
</ds:datastoreItem>
</file>

<file path=customXml/itemProps3.xml><?xml version="1.0" encoding="utf-8"?>
<ds:datastoreItem xmlns:ds="http://schemas.openxmlformats.org/officeDocument/2006/customXml" ds:itemID="{65FE8DB8-ECA4-431A-910F-5B372D368FA0}">
  <ds:schemaRefs>
    <ds:schemaRef ds:uri="http://schemas.openxmlformats.org/officeDocument/2006/bibliography"/>
  </ds:schemaRefs>
</ds:datastoreItem>
</file>

<file path=customXml/itemProps4.xml><?xml version="1.0" encoding="utf-8"?>
<ds:datastoreItem xmlns:ds="http://schemas.openxmlformats.org/officeDocument/2006/customXml" ds:itemID="{4C0FA38D-6E00-4CBA-9460-488FB9AE4C6D}">
  <ds:schemaRefs>
    <ds:schemaRef ds:uri="http://schemas.openxmlformats.org/officeDocument/2006/bibliography"/>
  </ds:schemaRefs>
</ds:datastoreItem>
</file>

<file path=customXml/itemProps5.xml><?xml version="1.0" encoding="utf-8"?>
<ds:datastoreItem xmlns:ds="http://schemas.openxmlformats.org/officeDocument/2006/customXml" ds:itemID="{C1AD19C0-88F4-4209-AEC4-671848A5D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565</Words>
  <Characters>3361</Characters>
  <Application>Microsoft Office Word</Application>
  <DocSecurity>0</DocSecurity>
  <Lines>28</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ITU Normal.dot</vt:lpstr>
    </vt:vector>
  </TitlesOfParts>
  <Company>International Telecommunication Union (ITU)</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Linking the strategic and financial plans cost allocation methodology</dc:title>
  <dc:subject>Council working Group on Financial and Human Resources</dc:subject>
  <dc:creator>Brouard, Ricarda</dc:creator>
  <cp:keywords>CWG-FHR, CWG-SFP</cp:keywords>
  <cp:lastModifiedBy>Xue, Kun</cp:lastModifiedBy>
  <cp:revision>8</cp:revision>
  <cp:lastPrinted>2021-08-23T14:13:00Z</cp:lastPrinted>
  <dcterms:created xsi:type="dcterms:W3CDTF">2022-03-17T09:09:00Z</dcterms:created>
  <dcterms:modified xsi:type="dcterms:W3CDTF">2022-03-17T15:40:00Z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DocHome">
    <vt:i4>-1556540486</vt:i4>
  </property>
  <property fmtid="{D5CDD505-2E9C-101B-9397-08002B2CF9AE}" pid="4" name="ContentTypeId">
    <vt:lpwstr>0x0101004EB0CC388B33F74A908FE526995B606B</vt:lpwstr>
  </property>
</Properties>
</file>