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93"/>
        <w:tblW w:w="9923" w:type="dxa"/>
        <w:tblLayout w:type="fixed"/>
        <w:tblLook w:val="0000" w:firstRow="0" w:lastRow="0" w:firstColumn="0" w:lastColumn="0" w:noHBand="0" w:noVBand="0"/>
      </w:tblPr>
      <w:tblGrid>
        <w:gridCol w:w="6911"/>
        <w:gridCol w:w="3012"/>
      </w:tblGrid>
      <w:tr w:rsidR="00821479" w:rsidRPr="00D60BA6" w14:paraId="38FD7E05" w14:textId="77777777" w:rsidTr="00B8789F">
        <w:trPr>
          <w:cantSplit/>
        </w:trPr>
        <w:tc>
          <w:tcPr>
            <w:tcW w:w="6911" w:type="dxa"/>
          </w:tcPr>
          <w:p w14:paraId="1CA22095" w14:textId="6A2AA759" w:rsidR="00821479" w:rsidRPr="00D60BA6" w:rsidRDefault="00997F47" w:rsidP="0076356D">
            <w:pPr>
              <w:spacing w:before="240" w:after="48"/>
              <w:rPr>
                <w:position w:val="6"/>
                <w:szCs w:val="22"/>
              </w:rPr>
            </w:pPr>
            <w:r w:rsidRPr="000E0F43">
              <w:rPr>
                <w:rFonts w:eastAsia="Calibri" w:cs="Calibri"/>
                <w:b/>
                <w:bCs/>
                <w:color w:val="000000"/>
                <w:position w:val="6"/>
                <w:sz w:val="30"/>
                <w:szCs w:val="30"/>
              </w:rPr>
              <w:t>Council Working Group for</w:t>
            </w:r>
            <w:r w:rsidRPr="000E0F43">
              <w:rPr>
                <w:rFonts w:eastAsia="Calibri" w:cs="Calibri"/>
                <w:b/>
                <w:bCs/>
                <w:color w:val="000000"/>
                <w:position w:val="6"/>
                <w:sz w:val="30"/>
                <w:szCs w:val="30"/>
              </w:rPr>
              <w:br/>
              <w:t>Strategic and Financial Plans 2024-2027</w:t>
            </w:r>
            <w:r w:rsidR="000E0F43">
              <w:rPr>
                <w:rFonts w:eastAsia="Calibri" w:cs="Calibri"/>
                <w:b/>
                <w:bCs/>
                <w:color w:val="000000"/>
                <w:position w:val="6"/>
                <w:sz w:val="28"/>
                <w:szCs w:val="28"/>
              </w:rPr>
              <w:br/>
            </w:r>
            <w:r w:rsidR="000E0F43">
              <w:rPr>
                <w:rFonts w:eastAsia="Calibri" w:cs="Calibri"/>
                <w:b/>
                <w:color w:val="000000"/>
                <w:szCs w:val="24"/>
              </w:rPr>
              <w:t>Third</w:t>
            </w:r>
            <w:r w:rsidR="000E0F43" w:rsidRPr="00D60BA6">
              <w:rPr>
                <w:rFonts w:eastAsia="Calibri" w:cs="Calibri"/>
                <w:b/>
                <w:color w:val="000000"/>
                <w:szCs w:val="24"/>
              </w:rPr>
              <w:t xml:space="preserve"> meeting – </w:t>
            </w:r>
            <w:r w:rsidR="000E0F43">
              <w:rPr>
                <w:rFonts w:eastAsia="Calibri" w:cs="Calibri"/>
                <w:b/>
                <w:color w:val="000000"/>
                <w:szCs w:val="24"/>
              </w:rPr>
              <w:t>21</w:t>
            </w:r>
            <w:r w:rsidR="000E0F43" w:rsidRPr="00D60BA6">
              <w:rPr>
                <w:rFonts w:eastAsia="Calibri" w:cs="Calibri"/>
                <w:b/>
                <w:color w:val="000000"/>
                <w:szCs w:val="24"/>
              </w:rPr>
              <w:t xml:space="preserve"> and </w:t>
            </w:r>
            <w:r w:rsidR="000E0F43">
              <w:rPr>
                <w:rFonts w:eastAsia="Calibri" w:cs="Calibri"/>
                <w:b/>
                <w:color w:val="000000"/>
                <w:szCs w:val="24"/>
              </w:rPr>
              <w:t>22</w:t>
            </w:r>
            <w:r w:rsidR="000E0F43" w:rsidRPr="00D60BA6">
              <w:rPr>
                <w:rFonts w:eastAsia="Calibri" w:cs="Calibri"/>
                <w:b/>
                <w:color w:val="000000"/>
                <w:szCs w:val="24"/>
              </w:rPr>
              <w:t xml:space="preserve"> </w:t>
            </w:r>
            <w:r w:rsidR="000E0F43">
              <w:rPr>
                <w:rFonts w:eastAsia="Calibri" w:cs="Calibri"/>
                <w:b/>
                <w:color w:val="000000"/>
                <w:szCs w:val="24"/>
              </w:rPr>
              <w:t>February</w:t>
            </w:r>
            <w:r w:rsidR="000E0F43" w:rsidRPr="00D60BA6">
              <w:rPr>
                <w:rFonts w:eastAsia="Calibri" w:cs="Calibri"/>
                <w:b/>
                <w:color w:val="000000"/>
                <w:szCs w:val="24"/>
              </w:rPr>
              <w:t xml:space="preserve"> 2022</w:t>
            </w:r>
          </w:p>
        </w:tc>
        <w:tc>
          <w:tcPr>
            <w:tcW w:w="3012" w:type="dxa"/>
          </w:tcPr>
          <w:p w14:paraId="12C8B612" w14:textId="52A83F62" w:rsidR="00821479" w:rsidRPr="00D60BA6" w:rsidRDefault="00DF2730" w:rsidP="000E0F43">
            <w:pPr>
              <w:spacing w:line="240" w:lineRule="atLeast"/>
              <w:rPr>
                <w:szCs w:val="22"/>
              </w:rPr>
            </w:pPr>
            <w:bookmarkStart w:id="0" w:name="ditulogo"/>
            <w:bookmarkEnd w:id="0"/>
            <w:r w:rsidRPr="00D60BA6">
              <w:rPr>
                <w:noProof/>
                <w:lang w:val="ru-RU" w:eastAsia="ru-RU"/>
              </w:rPr>
              <w:drawing>
                <wp:inline distT="0" distB="0" distL="0" distR="0" wp14:anchorId="1B94768F" wp14:editId="29950B44">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873911"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821479" w:rsidRPr="00D60BA6" w14:paraId="0ABC7090" w14:textId="77777777" w:rsidTr="00B8789F">
        <w:trPr>
          <w:cantSplit/>
        </w:trPr>
        <w:tc>
          <w:tcPr>
            <w:tcW w:w="6911" w:type="dxa"/>
            <w:tcBorders>
              <w:top w:val="single" w:sz="12" w:space="0" w:color="auto"/>
            </w:tcBorders>
          </w:tcPr>
          <w:p w14:paraId="77AA4450" w14:textId="77777777" w:rsidR="00821479" w:rsidRPr="00D60BA6" w:rsidRDefault="00821479" w:rsidP="00821479">
            <w:pPr>
              <w:spacing w:before="0" w:line="240" w:lineRule="atLeast"/>
              <w:rPr>
                <w:b/>
                <w:smallCaps/>
                <w:szCs w:val="22"/>
              </w:rPr>
            </w:pPr>
          </w:p>
        </w:tc>
        <w:tc>
          <w:tcPr>
            <w:tcW w:w="3012" w:type="dxa"/>
            <w:tcBorders>
              <w:top w:val="single" w:sz="12" w:space="0" w:color="auto"/>
            </w:tcBorders>
          </w:tcPr>
          <w:p w14:paraId="5A0B9E15" w14:textId="77777777" w:rsidR="00821479" w:rsidRPr="00D60BA6" w:rsidRDefault="00821479" w:rsidP="00821479">
            <w:pPr>
              <w:spacing w:before="0" w:line="240" w:lineRule="atLeast"/>
              <w:rPr>
                <w:szCs w:val="22"/>
              </w:rPr>
            </w:pPr>
          </w:p>
        </w:tc>
      </w:tr>
      <w:tr w:rsidR="00821479" w:rsidRPr="00112CBE" w14:paraId="65275507" w14:textId="77777777" w:rsidTr="00B8789F">
        <w:trPr>
          <w:cantSplit/>
          <w:trHeight w:val="23"/>
        </w:trPr>
        <w:tc>
          <w:tcPr>
            <w:tcW w:w="6911" w:type="dxa"/>
            <w:vMerge w:val="restart"/>
          </w:tcPr>
          <w:p w14:paraId="7A36EB1F" w14:textId="77777777" w:rsidR="00821479" w:rsidRPr="00112CBE" w:rsidRDefault="00821479" w:rsidP="00821479">
            <w:pPr>
              <w:tabs>
                <w:tab w:val="left" w:pos="851"/>
              </w:tabs>
              <w:spacing w:before="0" w:line="240" w:lineRule="atLeast"/>
              <w:rPr>
                <w:b/>
                <w:szCs w:val="22"/>
                <w:lang w:val="ru-RU"/>
              </w:rPr>
            </w:pPr>
          </w:p>
        </w:tc>
        <w:tc>
          <w:tcPr>
            <w:tcW w:w="3012" w:type="dxa"/>
          </w:tcPr>
          <w:p w14:paraId="27E707EA" w14:textId="08AD7C70" w:rsidR="00821479" w:rsidRPr="00112CBE" w:rsidRDefault="00997F47" w:rsidP="00F958FD">
            <w:pPr>
              <w:tabs>
                <w:tab w:val="left" w:pos="851"/>
              </w:tabs>
              <w:spacing w:before="0" w:line="240" w:lineRule="atLeast"/>
              <w:rPr>
                <w:b/>
                <w:bCs/>
                <w:szCs w:val="24"/>
                <w:lang w:val="fr-FR"/>
              </w:rPr>
            </w:pPr>
            <w:r w:rsidRPr="00112CBE">
              <w:rPr>
                <w:b/>
                <w:bCs/>
                <w:szCs w:val="24"/>
                <w:lang w:val="fr-FR"/>
              </w:rPr>
              <w:t>Document</w:t>
            </w:r>
            <w:r w:rsidR="007B0DB2" w:rsidRPr="00112CBE">
              <w:rPr>
                <w:b/>
                <w:bCs/>
                <w:szCs w:val="24"/>
                <w:lang w:val="fr-FR"/>
              </w:rPr>
              <w:t xml:space="preserve"> </w:t>
            </w:r>
            <w:r w:rsidR="0076356D" w:rsidRPr="00112CBE">
              <w:rPr>
                <w:b/>
                <w:bCs/>
                <w:szCs w:val="24"/>
                <w:lang w:val="fr-FR"/>
              </w:rPr>
              <w:t>CWG-SFP-</w:t>
            </w:r>
            <w:r w:rsidR="002B4D64" w:rsidRPr="00112CBE">
              <w:rPr>
                <w:b/>
                <w:bCs/>
                <w:szCs w:val="24"/>
                <w:lang w:val="fr-FR"/>
              </w:rPr>
              <w:t>3</w:t>
            </w:r>
            <w:r w:rsidR="0076356D" w:rsidRPr="00112CBE">
              <w:rPr>
                <w:b/>
                <w:bCs/>
                <w:szCs w:val="24"/>
                <w:lang w:val="fr-FR"/>
              </w:rPr>
              <w:t>/</w:t>
            </w:r>
            <w:r w:rsidR="00B8789F">
              <w:rPr>
                <w:b/>
                <w:bCs/>
                <w:szCs w:val="24"/>
                <w:lang w:val="fr-CH"/>
              </w:rPr>
              <w:t>1</w:t>
            </w:r>
            <w:r w:rsidR="000E39DC">
              <w:rPr>
                <w:b/>
                <w:bCs/>
                <w:szCs w:val="24"/>
                <w:lang w:val="fr-CH"/>
              </w:rPr>
              <w:t>6</w:t>
            </w:r>
            <w:r w:rsidR="00821479" w:rsidRPr="00112CBE">
              <w:rPr>
                <w:b/>
                <w:bCs/>
                <w:szCs w:val="24"/>
                <w:lang w:val="fr-FR"/>
              </w:rPr>
              <w:t>-</w:t>
            </w:r>
            <w:r w:rsidRPr="00112CBE">
              <w:rPr>
                <w:b/>
                <w:bCs/>
                <w:szCs w:val="24"/>
                <w:lang w:val="fr-FR"/>
              </w:rPr>
              <w:t>E</w:t>
            </w:r>
          </w:p>
        </w:tc>
      </w:tr>
      <w:tr w:rsidR="00821479" w:rsidRPr="00D60BA6" w14:paraId="4D4DD807" w14:textId="77777777" w:rsidTr="00B8789F">
        <w:trPr>
          <w:cantSplit/>
          <w:trHeight w:val="23"/>
        </w:trPr>
        <w:tc>
          <w:tcPr>
            <w:tcW w:w="6911" w:type="dxa"/>
            <w:vMerge/>
          </w:tcPr>
          <w:p w14:paraId="30F5D026" w14:textId="77777777" w:rsidR="00821479" w:rsidRPr="00112CBE" w:rsidRDefault="00821479" w:rsidP="00821479">
            <w:pPr>
              <w:tabs>
                <w:tab w:val="left" w:pos="851"/>
              </w:tabs>
              <w:spacing w:line="240" w:lineRule="atLeast"/>
              <w:rPr>
                <w:b/>
                <w:szCs w:val="22"/>
                <w:lang w:val="fr-FR"/>
              </w:rPr>
            </w:pPr>
          </w:p>
        </w:tc>
        <w:tc>
          <w:tcPr>
            <w:tcW w:w="3012" w:type="dxa"/>
          </w:tcPr>
          <w:p w14:paraId="613F1D24" w14:textId="3047A788" w:rsidR="00821479" w:rsidRPr="00D60BA6" w:rsidRDefault="000E39DC" w:rsidP="00F958FD">
            <w:pPr>
              <w:tabs>
                <w:tab w:val="left" w:pos="993"/>
              </w:tabs>
              <w:spacing w:before="0"/>
              <w:rPr>
                <w:b/>
                <w:bCs/>
                <w:szCs w:val="24"/>
              </w:rPr>
            </w:pPr>
            <w:r>
              <w:rPr>
                <w:b/>
                <w:bCs/>
                <w:szCs w:val="24"/>
              </w:rPr>
              <w:t>15</w:t>
            </w:r>
            <w:r w:rsidR="00B8789F">
              <w:rPr>
                <w:b/>
                <w:bCs/>
                <w:szCs w:val="24"/>
              </w:rPr>
              <w:t xml:space="preserve"> February</w:t>
            </w:r>
            <w:r w:rsidR="00EA72A3" w:rsidRPr="00D60BA6">
              <w:rPr>
                <w:b/>
                <w:bCs/>
                <w:szCs w:val="24"/>
              </w:rPr>
              <w:t xml:space="preserve"> </w:t>
            </w:r>
            <w:r w:rsidR="00821479" w:rsidRPr="00D60BA6">
              <w:rPr>
                <w:b/>
                <w:bCs/>
                <w:szCs w:val="24"/>
              </w:rPr>
              <w:t>20</w:t>
            </w:r>
            <w:r w:rsidR="00DF2730" w:rsidRPr="00D60BA6">
              <w:rPr>
                <w:b/>
                <w:bCs/>
                <w:szCs w:val="24"/>
              </w:rPr>
              <w:t>2</w:t>
            </w:r>
            <w:r w:rsidR="002B4D64">
              <w:rPr>
                <w:b/>
                <w:bCs/>
                <w:szCs w:val="24"/>
              </w:rPr>
              <w:t>2</w:t>
            </w:r>
            <w:r w:rsidR="00821479" w:rsidRPr="00D60BA6">
              <w:rPr>
                <w:b/>
                <w:bCs/>
                <w:szCs w:val="24"/>
              </w:rPr>
              <w:t xml:space="preserve"> </w:t>
            </w:r>
          </w:p>
        </w:tc>
      </w:tr>
      <w:tr w:rsidR="00821479" w:rsidRPr="00D60BA6" w14:paraId="2CAA16C9" w14:textId="77777777" w:rsidTr="00B8789F">
        <w:trPr>
          <w:cantSplit/>
          <w:trHeight w:val="23"/>
        </w:trPr>
        <w:tc>
          <w:tcPr>
            <w:tcW w:w="6911" w:type="dxa"/>
            <w:vMerge/>
          </w:tcPr>
          <w:p w14:paraId="3E65583D" w14:textId="77777777" w:rsidR="00821479" w:rsidRPr="00D60BA6" w:rsidRDefault="00821479" w:rsidP="00821479">
            <w:pPr>
              <w:tabs>
                <w:tab w:val="left" w:pos="851"/>
              </w:tabs>
              <w:spacing w:line="240" w:lineRule="atLeast"/>
              <w:rPr>
                <w:b/>
                <w:szCs w:val="22"/>
              </w:rPr>
            </w:pPr>
          </w:p>
        </w:tc>
        <w:tc>
          <w:tcPr>
            <w:tcW w:w="3012" w:type="dxa"/>
          </w:tcPr>
          <w:p w14:paraId="50F6F1E1" w14:textId="63073526" w:rsidR="00821479" w:rsidRPr="00D60BA6" w:rsidRDefault="00997F47" w:rsidP="00821479">
            <w:pPr>
              <w:tabs>
                <w:tab w:val="left" w:pos="993"/>
              </w:tabs>
              <w:spacing w:before="0"/>
              <w:rPr>
                <w:b/>
                <w:bCs/>
                <w:szCs w:val="24"/>
              </w:rPr>
            </w:pPr>
            <w:r w:rsidRPr="00D60BA6">
              <w:rPr>
                <w:b/>
                <w:bCs/>
                <w:szCs w:val="24"/>
              </w:rPr>
              <w:t>Original</w:t>
            </w:r>
            <w:r w:rsidR="00821479" w:rsidRPr="00D60BA6">
              <w:rPr>
                <w:b/>
                <w:bCs/>
                <w:szCs w:val="24"/>
              </w:rPr>
              <w:t xml:space="preserve">: </w:t>
            </w:r>
            <w:r w:rsidR="000E39DC">
              <w:rPr>
                <w:b/>
                <w:bCs/>
                <w:szCs w:val="24"/>
              </w:rPr>
              <w:t>Chinese/English</w:t>
            </w:r>
          </w:p>
        </w:tc>
      </w:tr>
      <w:tr w:rsidR="00C31004" w:rsidRPr="00D60BA6" w14:paraId="08C86F88" w14:textId="77777777" w:rsidTr="00B8789F">
        <w:trPr>
          <w:cantSplit/>
          <w:trHeight w:val="23"/>
        </w:trPr>
        <w:tc>
          <w:tcPr>
            <w:tcW w:w="9923" w:type="dxa"/>
            <w:gridSpan w:val="2"/>
          </w:tcPr>
          <w:p w14:paraId="20B988F9" w14:textId="2EE2B258" w:rsidR="00C31004" w:rsidRPr="00D60BA6" w:rsidRDefault="00ED4034" w:rsidP="00C87630">
            <w:pPr>
              <w:pStyle w:val="Source"/>
              <w:rPr>
                <w:szCs w:val="28"/>
              </w:rPr>
            </w:pPr>
            <w:bookmarkStart w:id="1" w:name="_Hlk92473852"/>
            <w:r w:rsidRPr="00D60BA6">
              <w:rPr>
                <w:szCs w:val="28"/>
              </w:rPr>
              <w:t xml:space="preserve">Contribution </w:t>
            </w:r>
            <w:r w:rsidR="000E0F43">
              <w:rPr>
                <w:szCs w:val="28"/>
              </w:rPr>
              <w:t xml:space="preserve">by </w:t>
            </w:r>
            <w:r w:rsidR="000E39DC">
              <w:rPr>
                <w:szCs w:val="28"/>
              </w:rPr>
              <w:t>China</w:t>
            </w:r>
          </w:p>
        </w:tc>
      </w:tr>
      <w:tr w:rsidR="00C31004" w:rsidRPr="00D60BA6" w14:paraId="67CACE72" w14:textId="77777777" w:rsidTr="00B8789F">
        <w:trPr>
          <w:cantSplit/>
          <w:trHeight w:val="23"/>
        </w:trPr>
        <w:tc>
          <w:tcPr>
            <w:tcW w:w="9923" w:type="dxa"/>
            <w:gridSpan w:val="2"/>
          </w:tcPr>
          <w:p w14:paraId="1438F2E4" w14:textId="1132E69D" w:rsidR="00C31004" w:rsidRPr="00A704B3" w:rsidRDefault="000E39DC" w:rsidP="00C31004">
            <w:pPr>
              <w:pStyle w:val="Title1"/>
              <w:rPr>
                <w:rFonts w:cs="Calibri"/>
                <w:b/>
                <w:bCs/>
                <w:szCs w:val="28"/>
              </w:rPr>
            </w:pPr>
            <w:r w:rsidRPr="000E39DC">
              <w:rPr>
                <w:szCs w:val="28"/>
              </w:rPr>
              <w:t>PROPOSALS TO INCLUDE INNOVATION AND SECURITY IN THE STRATEGIC GOALS OF THE ITU STRATEGIC PLAN FOR 2024–2027</w:t>
            </w:r>
          </w:p>
        </w:tc>
      </w:tr>
      <w:bookmarkEnd w:id="1"/>
      <w:tr w:rsidR="00DB2408" w:rsidRPr="00D60BA6" w14:paraId="186DF203" w14:textId="77777777" w:rsidTr="00B8789F">
        <w:trPr>
          <w:cantSplit/>
          <w:trHeight w:val="23"/>
        </w:trPr>
        <w:tc>
          <w:tcPr>
            <w:tcW w:w="9923" w:type="dxa"/>
            <w:gridSpan w:val="2"/>
          </w:tcPr>
          <w:p w14:paraId="132F4B71" w14:textId="4D2D0215" w:rsidR="00715EEB" w:rsidRPr="00D60BA6" w:rsidRDefault="00715EEB" w:rsidP="00DF2730">
            <w:pPr>
              <w:pStyle w:val="Normalaftertitle"/>
              <w:jc w:val="center"/>
              <w:rPr>
                <w:szCs w:val="22"/>
              </w:rPr>
            </w:pPr>
          </w:p>
        </w:tc>
      </w:tr>
    </w:tbl>
    <w:p w14:paraId="53A3A43D" w14:textId="77777777" w:rsidR="000E39DC" w:rsidRPr="000E39DC" w:rsidRDefault="000E39DC" w:rsidP="000E39DC">
      <w:pPr>
        <w:pStyle w:val="Heading1"/>
        <w:keepNext w:val="0"/>
        <w:keepLines w:val="0"/>
        <w:spacing w:after="120"/>
        <w:jc w:val="both"/>
        <w:rPr>
          <w:rFonts w:asciiTheme="minorHAnsi" w:eastAsia="SimSun" w:hAnsiTheme="minorHAnsi" w:cstheme="minorHAnsi"/>
          <w:sz w:val="24"/>
          <w:szCs w:val="24"/>
        </w:rPr>
      </w:pPr>
      <w:r w:rsidRPr="000E39DC">
        <w:rPr>
          <w:rFonts w:asciiTheme="minorHAnsi" w:eastAsia="FangSong" w:hAnsiTheme="minorHAnsi" w:cstheme="minorHAnsi"/>
          <w:sz w:val="24"/>
          <w:szCs w:val="24"/>
        </w:rPr>
        <w:t xml:space="preserve">Introduction </w:t>
      </w:r>
    </w:p>
    <w:p w14:paraId="47E0A362" w14:textId="77777777" w:rsidR="000E39DC" w:rsidRPr="000E39DC" w:rsidRDefault="000E39DC" w:rsidP="000E39DC">
      <w:pPr>
        <w:spacing w:after="120"/>
        <w:jc w:val="both"/>
        <w:rPr>
          <w:rFonts w:asciiTheme="minorHAnsi" w:eastAsia="FangSong" w:hAnsiTheme="minorHAnsi" w:cstheme="minorHAnsi"/>
          <w:szCs w:val="24"/>
        </w:rPr>
      </w:pPr>
      <w:r w:rsidRPr="000E39DC">
        <w:rPr>
          <w:rFonts w:asciiTheme="minorHAnsi" w:eastAsia="FangSong" w:hAnsiTheme="minorHAnsi" w:cstheme="minorHAnsi"/>
          <w:szCs w:val="24"/>
        </w:rPr>
        <w:t xml:space="preserve">At present, the well-beings of individuals, organizations and countries all depend on the application and security of digital technologies. Promoting the development of the digital economy while at the same time safeguarding cybersecurity is a common challenge the world is facing. As a specialized agency within the UN system responsible for telecommunication matters, the ITU reaches, </w:t>
      </w:r>
      <w:proofErr w:type="gramStart"/>
      <w:r w:rsidRPr="000E39DC">
        <w:rPr>
          <w:rFonts w:asciiTheme="minorHAnsi" w:eastAsia="FangSong" w:hAnsiTheme="minorHAnsi" w:cstheme="minorHAnsi"/>
          <w:szCs w:val="24"/>
        </w:rPr>
        <w:t>covers</w:t>
      </w:r>
      <w:proofErr w:type="gramEnd"/>
      <w:r w:rsidRPr="000E39DC">
        <w:rPr>
          <w:rFonts w:asciiTheme="minorHAnsi" w:eastAsia="FangSong" w:hAnsiTheme="minorHAnsi" w:cstheme="minorHAnsi"/>
          <w:szCs w:val="24"/>
        </w:rPr>
        <w:t xml:space="preserve"> and represents all regions in the world and plays an important role in driving the transformation of the global digital economy and addressing systemic cybersecurity challenges.</w:t>
      </w:r>
    </w:p>
    <w:p w14:paraId="0FE8BDAC" w14:textId="77777777" w:rsidR="000E39DC" w:rsidRPr="000E39DC" w:rsidRDefault="000E39DC" w:rsidP="000E39DC">
      <w:pPr>
        <w:spacing w:after="120"/>
        <w:jc w:val="both"/>
        <w:rPr>
          <w:rFonts w:asciiTheme="minorHAnsi" w:eastAsia="FangSong" w:hAnsiTheme="minorHAnsi" w:cstheme="minorHAnsi"/>
          <w:szCs w:val="24"/>
        </w:rPr>
      </w:pPr>
      <w:r w:rsidRPr="000E39DC">
        <w:rPr>
          <w:rFonts w:asciiTheme="minorHAnsi" w:eastAsia="FangSong" w:hAnsiTheme="minorHAnsi" w:cstheme="minorHAnsi"/>
          <w:szCs w:val="24"/>
        </w:rPr>
        <w:t>Emerging digital technologies such as Artificial Intelligence (AI), Internet of Things (IoT), 5G, Big Data and related trends are catalysts for the transformation of the global digital economy. As a specialized UN agency for ICTs, the ITU is well positioned to lead the innovations in emerging digital technologies for the achievement of the UN Sustainable Development Goals (SDGs). In the area of AI, for example, the ITU is strengthening its work in this area by convening intergovernmental and multi-stakeholder dialogues, developing international standards and frameworks, and organizing the AI for Good Global Summit, which aims to connect innovators in AI with decision-makers of the public and private sectors to develop AI solutions that can contribute to the achievement of SDGs. In addition, the 6th World Telecommunication/ICT Policy Forum (WTPF-21) adopted five Opinions on the theme of "Policies for mobilizing new and emerging telecommunications/ICTs for sustainable development" and reached consensus on five areas: (1) Enabling environment for the development and deployment of new and emerging telecommunication/ICT services and technologies to advance sustainable development; (2) Affordable and secure connectivity in mobilising new and emerging telecommunications/ICTs for sustainable development; (3)Digital literacy and skills for inclusive access;(4) New and emerging technologies and services to facilitate the use of telecommunications/ICTs for sustainable development; (5) Use of telecommunications/ICTs in COVID-19 and future pandemic and epidemic preparedness and response.</w:t>
      </w:r>
    </w:p>
    <w:p w14:paraId="6EC12581" w14:textId="77777777" w:rsidR="000E39DC" w:rsidRPr="000E39DC" w:rsidRDefault="000E39DC" w:rsidP="000E39DC">
      <w:pPr>
        <w:spacing w:after="120"/>
        <w:jc w:val="both"/>
        <w:rPr>
          <w:rFonts w:asciiTheme="minorHAnsi" w:eastAsia="FangSong" w:hAnsiTheme="minorHAnsi" w:cstheme="minorHAnsi"/>
          <w:szCs w:val="24"/>
        </w:rPr>
      </w:pPr>
      <w:r w:rsidRPr="000E39DC">
        <w:rPr>
          <w:rFonts w:asciiTheme="minorHAnsi" w:eastAsia="FangSong" w:hAnsiTheme="minorHAnsi" w:cstheme="minorHAnsi"/>
          <w:szCs w:val="24"/>
        </w:rPr>
        <w:t xml:space="preserve">A prerequisite for achieving SDGs is the need to enhance cyber security and ensure that digital solutions are secure, </w:t>
      </w:r>
      <w:proofErr w:type="gramStart"/>
      <w:r w:rsidRPr="000E39DC">
        <w:rPr>
          <w:rFonts w:asciiTheme="minorHAnsi" w:eastAsia="FangSong" w:hAnsiTheme="minorHAnsi" w:cstheme="minorHAnsi"/>
          <w:szCs w:val="24"/>
        </w:rPr>
        <w:t>reliable</w:t>
      </w:r>
      <w:proofErr w:type="gramEnd"/>
      <w:r w:rsidRPr="000E39DC">
        <w:rPr>
          <w:rFonts w:asciiTheme="minorHAnsi" w:eastAsia="FangSong" w:hAnsiTheme="minorHAnsi" w:cstheme="minorHAnsi"/>
          <w:szCs w:val="24"/>
        </w:rPr>
        <w:t xml:space="preserve"> and trustworthy. Cybersecurity has become a global development issue. The United Nations adopted the resolution on "Advancing responsible State behaviour in </w:t>
      </w:r>
      <w:r w:rsidRPr="000E39DC">
        <w:rPr>
          <w:rFonts w:asciiTheme="minorHAnsi" w:eastAsia="FangSong" w:hAnsiTheme="minorHAnsi" w:cstheme="minorHAnsi"/>
          <w:szCs w:val="24"/>
        </w:rPr>
        <w:lastRenderedPageBreak/>
        <w:t>cyberspace in the context of international security"</w:t>
      </w:r>
      <w:r w:rsidRPr="000E39DC">
        <w:rPr>
          <w:rStyle w:val="FootnoteReference"/>
          <w:rFonts w:asciiTheme="minorHAnsi" w:eastAsia="FangSong" w:hAnsiTheme="minorHAnsi" w:cstheme="minorHAnsi"/>
          <w:sz w:val="20"/>
        </w:rPr>
        <w:footnoteReference w:id="1"/>
      </w:r>
      <w:r w:rsidRPr="000E39DC">
        <w:rPr>
          <w:rFonts w:asciiTheme="minorHAnsi" w:eastAsia="FangSong" w:hAnsiTheme="minorHAnsi" w:cstheme="minorHAnsi"/>
          <w:szCs w:val="24"/>
        </w:rPr>
        <w:t xml:space="preserve"> at its 75th session, which emphasises the importance of maintaining a secure and peaceful ICT environment and stresses the need for international cooperation in the field of cybersecurity. ITU's research and practice on cybersecurity in the telecommunication/ICT sector are also expanding. The Union is expanding its influence on Member States through the continuous update of the Global Cybersecurity Index (GCI)</w:t>
      </w:r>
      <w:r w:rsidRPr="000E39DC">
        <w:rPr>
          <w:rStyle w:val="FootnoteReference"/>
          <w:rFonts w:asciiTheme="minorHAnsi" w:eastAsia="FangSong" w:hAnsiTheme="minorHAnsi" w:cstheme="minorHAnsi"/>
          <w:sz w:val="20"/>
        </w:rPr>
        <w:footnoteReference w:id="2"/>
      </w:r>
      <w:r w:rsidRPr="000E39DC">
        <w:rPr>
          <w:rFonts w:asciiTheme="minorHAnsi" w:eastAsia="FangSong" w:hAnsiTheme="minorHAnsi" w:cstheme="minorHAnsi"/>
          <w:szCs w:val="24"/>
        </w:rPr>
        <w:t xml:space="preserve"> and the Guide to Developing a National Cybersecurity Strategy</w:t>
      </w:r>
      <w:r w:rsidRPr="000E39DC">
        <w:rPr>
          <w:rStyle w:val="FootnoteReference"/>
          <w:rFonts w:asciiTheme="minorHAnsi" w:eastAsia="FangSong" w:hAnsiTheme="minorHAnsi" w:cstheme="minorHAnsi"/>
          <w:sz w:val="20"/>
        </w:rPr>
        <w:footnoteReference w:id="3"/>
      </w:r>
      <w:r w:rsidRPr="000E39DC">
        <w:rPr>
          <w:rFonts w:asciiTheme="minorHAnsi" w:eastAsia="FangSong" w:hAnsiTheme="minorHAnsi" w:cstheme="minorHAnsi"/>
          <w:szCs w:val="24"/>
        </w:rPr>
        <w:t>.</w:t>
      </w:r>
    </w:p>
    <w:p w14:paraId="02C8C4A5" w14:textId="77777777" w:rsidR="000E39DC" w:rsidRPr="000E39DC" w:rsidRDefault="000E39DC" w:rsidP="000E39DC">
      <w:pPr>
        <w:pStyle w:val="Heading1"/>
        <w:keepNext w:val="0"/>
        <w:keepLines w:val="0"/>
        <w:spacing w:before="240" w:after="120"/>
        <w:jc w:val="both"/>
        <w:rPr>
          <w:rFonts w:asciiTheme="minorHAnsi" w:eastAsia="FangSong" w:hAnsiTheme="minorHAnsi" w:cstheme="minorHAnsi"/>
          <w:sz w:val="24"/>
          <w:szCs w:val="24"/>
        </w:rPr>
      </w:pPr>
      <w:r w:rsidRPr="000E39DC">
        <w:rPr>
          <w:rFonts w:asciiTheme="minorHAnsi" w:eastAsia="FangSong" w:hAnsiTheme="minorHAnsi" w:cstheme="minorHAnsi"/>
          <w:sz w:val="24"/>
          <w:szCs w:val="24"/>
        </w:rPr>
        <w:t xml:space="preserve">Analysis </w:t>
      </w:r>
    </w:p>
    <w:p w14:paraId="6B2CAE4D" w14:textId="77777777" w:rsidR="000E39DC" w:rsidRPr="000E39DC" w:rsidRDefault="000E39DC" w:rsidP="000E39DC">
      <w:pPr>
        <w:spacing w:after="120"/>
        <w:jc w:val="both"/>
        <w:rPr>
          <w:rFonts w:asciiTheme="minorHAnsi" w:eastAsia="FangSong" w:hAnsiTheme="minorHAnsi" w:cstheme="minorHAnsi"/>
          <w:szCs w:val="24"/>
        </w:rPr>
      </w:pPr>
      <w:r w:rsidRPr="000E39DC">
        <w:rPr>
          <w:rFonts w:asciiTheme="minorHAnsi" w:eastAsia="FangSong" w:hAnsiTheme="minorHAnsi" w:cstheme="minorHAnsi"/>
          <w:szCs w:val="24"/>
        </w:rPr>
        <w:t>The ITU Strategic Plan is a strategic document developed in accordance with the Constitution and Convention of the Union and is important in guiding the relevant activities of the ITU over the next four-year period.</w:t>
      </w:r>
    </w:p>
    <w:p w14:paraId="2C27C14E" w14:textId="77777777" w:rsidR="000E39DC" w:rsidRPr="000E39DC" w:rsidRDefault="000E39DC" w:rsidP="000E39DC">
      <w:pPr>
        <w:spacing w:after="120"/>
        <w:jc w:val="both"/>
        <w:rPr>
          <w:rFonts w:asciiTheme="minorHAnsi" w:eastAsia="FangSong" w:hAnsiTheme="minorHAnsi" w:cstheme="minorHAnsi"/>
          <w:szCs w:val="24"/>
        </w:rPr>
      </w:pPr>
      <w:r w:rsidRPr="000E39DC">
        <w:rPr>
          <w:rFonts w:asciiTheme="minorHAnsi" w:eastAsia="FangSong" w:hAnsiTheme="minorHAnsi" w:cstheme="minorHAnsi"/>
          <w:szCs w:val="24"/>
        </w:rPr>
        <w:t>We appreciate that the efforts of the draft of Annex 1 to Res.71: Draft ITU Strategic Plan for 2024-2027 to define the Strategic Goals in a more streamlined manner. However, in view of the key role that telecommunications/ICTs play in the digital transformation of society and the great potentials of new and emerging telecommunications/ICTs to achieve the UN SDGs, it is proposed to add "Innovation" as a separate Strategic Goal and include the latest consensus of WTPF-21 on "</w:t>
      </w:r>
      <w:r w:rsidRPr="000E39DC">
        <w:rPr>
          <w:rFonts w:asciiTheme="minorHAnsi" w:eastAsia="FangSong" w:hAnsiTheme="minorHAnsi" w:cstheme="minorHAnsi"/>
          <w:i/>
          <w:iCs/>
          <w:szCs w:val="24"/>
        </w:rPr>
        <w:t>Policies for mobilizing new and emerging telecommunications/ICTs for sustainable development</w:t>
      </w:r>
      <w:r w:rsidRPr="000E39DC">
        <w:rPr>
          <w:rFonts w:asciiTheme="minorHAnsi" w:eastAsia="FangSong" w:hAnsiTheme="minorHAnsi" w:cstheme="minorHAnsi"/>
          <w:szCs w:val="24"/>
        </w:rPr>
        <w:t>" in this Goal.</w:t>
      </w:r>
    </w:p>
    <w:p w14:paraId="0C2F8529" w14:textId="77777777" w:rsidR="000E39DC" w:rsidRPr="000E39DC" w:rsidRDefault="000E39DC" w:rsidP="000E39DC">
      <w:pPr>
        <w:spacing w:after="120"/>
        <w:jc w:val="both"/>
        <w:rPr>
          <w:rFonts w:asciiTheme="minorHAnsi" w:eastAsia="FangSong" w:hAnsiTheme="minorHAnsi" w:cstheme="minorHAnsi"/>
          <w:szCs w:val="24"/>
        </w:rPr>
      </w:pPr>
      <w:r w:rsidRPr="000E39DC">
        <w:rPr>
          <w:rFonts w:asciiTheme="minorHAnsi" w:eastAsia="FangSong" w:hAnsiTheme="minorHAnsi" w:cstheme="minorHAnsi"/>
          <w:szCs w:val="24"/>
        </w:rPr>
        <w:t>Resolution 71 (Rev. Dubai, 2018)</w:t>
      </w:r>
      <w:r w:rsidRPr="000E39DC">
        <w:rPr>
          <w:rStyle w:val="FootnoteReference"/>
          <w:rFonts w:asciiTheme="minorHAnsi" w:eastAsia="FangSong" w:hAnsiTheme="minorHAnsi" w:cstheme="minorHAnsi"/>
          <w:sz w:val="24"/>
          <w:szCs w:val="24"/>
        </w:rPr>
        <w:t xml:space="preserve"> </w:t>
      </w:r>
      <w:r w:rsidRPr="000E39DC">
        <w:rPr>
          <w:rFonts w:asciiTheme="minorHAnsi" w:eastAsia="FangSong" w:hAnsiTheme="minorHAnsi" w:cstheme="minorHAnsi"/>
          <w:szCs w:val="24"/>
        </w:rPr>
        <w:t>addresses cybersecurity in "Goal 3" of the ITU Strategic Plan for 2020-2023</w:t>
      </w:r>
      <w:r w:rsidRPr="000E39DC">
        <w:rPr>
          <w:rStyle w:val="FootnoteReference"/>
          <w:rFonts w:asciiTheme="minorHAnsi" w:eastAsia="FangSong" w:hAnsiTheme="minorHAnsi" w:cstheme="minorHAnsi"/>
          <w:sz w:val="24"/>
          <w:szCs w:val="24"/>
        </w:rPr>
        <w:footnoteReference w:id="4"/>
      </w:r>
      <w:r w:rsidRPr="000E39DC">
        <w:rPr>
          <w:rStyle w:val="FootnoteReference"/>
          <w:rFonts w:asciiTheme="minorHAnsi" w:hAnsiTheme="minorHAnsi" w:cstheme="minorHAnsi"/>
          <w:sz w:val="24"/>
          <w:szCs w:val="24"/>
        </w:rPr>
        <w:t>,</w:t>
      </w:r>
      <w:r w:rsidRPr="000E39DC">
        <w:rPr>
          <w:rFonts w:asciiTheme="minorHAnsi" w:eastAsia="FangSong" w:hAnsiTheme="minorHAnsi" w:cstheme="minorHAnsi"/>
          <w:szCs w:val="24"/>
        </w:rPr>
        <w:t xml:space="preserve"> but does not explicitly show the latest developments and implications of cybersecurity. We appreciate that the efforts of the draft of Annex 1 to Res.71: Draft ITU Strategic Plan for 2024-2027 to define the Strategic Goals in a more simplified manner and consider cybersecurity as a separate thematic priority.</w:t>
      </w:r>
      <w:r w:rsidRPr="000E39DC">
        <w:rPr>
          <w:rStyle w:val="FootnoteReference"/>
          <w:rFonts w:asciiTheme="minorHAnsi" w:eastAsia="FangSong" w:hAnsiTheme="minorHAnsi" w:cstheme="minorHAnsi"/>
          <w:sz w:val="24"/>
          <w:szCs w:val="24"/>
        </w:rPr>
        <w:footnoteReference w:id="5"/>
      </w:r>
      <w:r w:rsidRPr="000E39DC">
        <w:rPr>
          <w:rStyle w:val="FootnoteReference"/>
          <w:rFonts w:asciiTheme="minorHAnsi" w:hAnsiTheme="minorHAnsi" w:cstheme="minorHAnsi"/>
          <w:sz w:val="24"/>
          <w:szCs w:val="24"/>
        </w:rPr>
        <w:t xml:space="preserve"> </w:t>
      </w:r>
      <w:r w:rsidRPr="000E39DC">
        <w:rPr>
          <w:rFonts w:asciiTheme="minorHAnsi" w:eastAsia="FangSong" w:hAnsiTheme="minorHAnsi" w:cstheme="minorHAnsi"/>
          <w:szCs w:val="24"/>
        </w:rPr>
        <w:t>However, given the cross-cutting nature of cybersecurity issues, it is proposed that cybersecurity be considered at a higher level.</w:t>
      </w:r>
    </w:p>
    <w:p w14:paraId="161435BC" w14:textId="77777777" w:rsidR="000E39DC" w:rsidRPr="000E39DC" w:rsidRDefault="000E39DC" w:rsidP="000E39DC">
      <w:pPr>
        <w:pStyle w:val="Heading1"/>
        <w:keepNext w:val="0"/>
        <w:keepLines w:val="0"/>
        <w:spacing w:before="240" w:after="120"/>
        <w:jc w:val="both"/>
        <w:rPr>
          <w:rFonts w:asciiTheme="minorHAnsi" w:eastAsia="FangSong" w:hAnsiTheme="minorHAnsi" w:cstheme="minorHAnsi"/>
          <w:sz w:val="24"/>
          <w:szCs w:val="24"/>
        </w:rPr>
      </w:pPr>
      <w:r w:rsidRPr="000E39DC">
        <w:rPr>
          <w:rFonts w:asciiTheme="minorHAnsi" w:eastAsia="FangSong" w:hAnsiTheme="minorHAnsi" w:cstheme="minorHAnsi"/>
          <w:sz w:val="24"/>
          <w:szCs w:val="24"/>
        </w:rPr>
        <w:t xml:space="preserve">Proposal </w:t>
      </w:r>
    </w:p>
    <w:p w14:paraId="205E3DD9" w14:textId="77777777" w:rsidR="000E39DC" w:rsidRPr="000E39DC" w:rsidRDefault="000E39DC" w:rsidP="000E39DC">
      <w:pPr>
        <w:pStyle w:val="ListParagraph"/>
        <w:widowControl w:val="0"/>
        <w:tabs>
          <w:tab w:val="clear" w:pos="567"/>
        </w:tabs>
        <w:spacing w:before="120" w:after="120"/>
        <w:ind w:left="567"/>
        <w:jc w:val="both"/>
        <w:rPr>
          <w:rFonts w:eastAsia="FangSong" w:cstheme="minorHAnsi"/>
        </w:rPr>
      </w:pPr>
      <w:r w:rsidRPr="000E39DC">
        <w:rPr>
          <w:rFonts w:eastAsia="KaiTi" w:cstheme="minorHAnsi"/>
        </w:rPr>
        <w:t xml:space="preserve">In summary, we propose that the ITU consider innovation and security in its medium to long-term strategic planning. The proposed modifications are as follows: </w:t>
      </w:r>
    </w:p>
    <w:p w14:paraId="5A776B6C" w14:textId="77777777" w:rsidR="000E39DC" w:rsidRPr="000E39DC" w:rsidRDefault="000E39DC" w:rsidP="000E39DC">
      <w:pPr>
        <w:pStyle w:val="ListParagraph"/>
        <w:widowControl w:val="0"/>
        <w:numPr>
          <w:ilvl w:val="0"/>
          <w:numId w:val="21"/>
        </w:numPr>
        <w:tabs>
          <w:tab w:val="clear" w:pos="567"/>
          <w:tab w:val="clear" w:pos="1134"/>
          <w:tab w:val="clear" w:pos="1701"/>
          <w:tab w:val="clear" w:pos="2268"/>
          <w:tab w:val="clear" w:pos="2835"/>
        </w:tabs>
        <w:spacing w:before="120" w:after="120"/>
        <w:ind w:left="567"/>
        <w:jc w:val="both"/>
        <w:rPr>
          <w:rFonts w:eastAsia="FangSong" w:cstheme="minorHAnsi"/>
        </w:rPr>
      </w:pPr>
      <w:r w:rsidRPr="000E39DC">
        <w:rPr>
          <w:rFonts w:eastAsia="KaiTi" w:cstheme="minorHAnsi"/>
        </w:rPr>
        <w:t xml:space="preserve">Consider adding </w:t>
      </w:r>
      <w:r w:rsidRPr="000E39DC">
        <w:rPr>
          <w:rFonts w:eastAsia="FangSong" w:cstheme="minorHAnsi"/>
        </w:rPr>
        <w:t>"</w:t>
      </w:r>
      <w:r w:rsidRPr="000E39DC">
        <w:rPr>
          <w:rFonts w:eastAsia="KaiTi" w:cstheme="minorHAnsi"/>
        </w:rPr>
        <w:t>Innovation</w:t>
      </w:r>
      <w:r w:rsidRPr="000E39DC">
        <w:rPr>
          <w:rFonts w:eastAsia="FangSong" w:cstheme="minorHAnsi"/>
        </w:rPr>
        <w:t>"</w:t>
      </w:r>
      <w:r w:rsidRPr="000E39DC">
        <w:rPr>
          <w:rFonts w:eastAsia="KaiTi" w:cstheme="minorHAnsi"/>
        </w:rPr>
        <w:t xml:space="preserve"> as a separate Strategic Goal and </w:t>
      </w:r>
      <w:r w:rsidRPr="000E39DC">
        <w:rPr>
          <w:rFonts w:eastAsia="FangSong" w:cstheme="minorHAnsi"/>
        </w:rPr>
        <w:t>include the latest consensus of WTPF-21 on "</w:t>
      </w:r>
      <w:r w:rsidRPr="000E39DC">
        <w:rPr>
          <w:rFonts w:eastAsia="FangSong" w:cstheme="minorHAnsi"/>
          <w:i/>
          <w:iCs/>
        </w:rPr>
        <w:t>Policies for mobilizing new and emerging telecommunications/ICTs for sustainable development</w:t>
      </w:r>
      <w:r w:rsidRPr="000E39DC">
        <w:rPr>
          <w:rFonts w:eastAsia="FangSong" w:cstheme="minorHAnsi"/>
        </w:rPr>
        <w:t>" in this Goal.</w:t>
      </w:r>
    </w:p>
    <w:p w14:paraId="3260F3EA" w14:textId="352959E4" w:rsidR="000E39DC" w:rsidRPr="000E39DC" w:rsidRDefault="000E39DC" w:rsidP="000E39DC">
      <w:pPr>
        <w:pStyle w:val="ListParagraph"/>
        <w:widowControl w:val="0"/>
        <w:tabs>
          <w:tab w:val="clear" w:pos="567"/>
        </w:tabs>
        <w:spacing w:before="120" w:after="120"/>
        <w:ind w:left="567"/>
        <w:jc w:val="both"/>
        <w:rPr>
          <w:rFonts w:eastAsia="KaiTi" w:cstheme="minorHAnsi"/>
        </w:rPr>
      </w:pPr>
      <w:r w:rsidRPr="000E39DC">
        <w:rPr>
          <w:rFonts w:eastAsia="KaiTi" w:cstheme="minorHAnsi"/>
          <w:b/>
          <w:bCs/>
        </w:rPr>
        <w:t>Option: Goal 3 - Innovation: Promote innovation in telecommunications/ICTs to support the digital transformation of society.</w:t>
      </w:r>
      <w:r w:rsidRPr="000E39DC">
        <w:rPr>
          <w:rFonts w:eastAsia="KaiTi" w:cstheme="minorHAnsi"/>
        </w:rPr>
        <w:t xml:space="preserve"> The Union recognizes the crucial role of telecommunications/ICTs in the digital transformation of society. The ITU seeks to create an enabling environment for the development and deployment of new and emerging telecommunication/ICT services and technologies to advance sustainable development; promote</w:t>
      </w:r>
      <w:r>
        <w:rPr>
          <w:rFonts w:eastAsia="KaiTi" w:cstheme="minorHAnsi"/>
        </w:rPr>
        <w:t xml:space="preserve"> </w:t>
      </w:r>
      <w:r w:rsidRPr="000E39DC">
        <w:rPr>
          <w:rFonts w:eastAsia="KaiTi" w:cstheme="minorHAnsi"/>
        </w:rPr>
        <w:t xml:space="preserve">affordable and secure connectivity in </w:t>
      </w:r>
      <w:r w:rsidRPr="000E39DC">
        <w:rPr>
          <w:rFonts w:eastAsia="KaiTi" w:cstheme="minorHAnsi"/>
        </w:rPr>
        <w:t>mobilizing</w:t>
      </w:r>
      <w:r w:rsidRPr="000E39DC">
        <w:rPr>
          <w:rFonts w:eastAsia="KaiTi" w:cstheme="minorHAnsi"/>
        </w:rPr>
        <w:t xml:space="preserve"> new and emerging telecommunications/ICTs for sustainable development; foster digital literacy and skills for inclusive access; promote the use of new and emerging technologies and services to facilitate </w:t>
      </w:r>
      <w:r w:rsidRPr="000E39DC">
        <w:rPr>
          <w:rFonts w:eastAsia="KaiTi" w:cstheme="minorHAnsi"/>
        </w:rPr>
        <w:lastRenderedPageBreak/>
        <w:t xml:space="preserve">the use of telecommunications/ICTs for sustainable development. </w:t>
      </w:r>
    </w:p>
    <w:p w14:paraId="4C7A1E24" w14:textId="77777777" w:rsidR="000E39DC" w:rsidRPr="000E39DC" w:rsidRDefault="000E39DC" w:rsidP="000E39DC">
      <w:pPr>
        <w:pStyle w:val="ListParagraph"/>
        <w:widowControl w:val="0"/>
        <w:numPr>
          <w:ilvl w:val="0"/>
          <w:numId w:val="21"/>
        </w:numPr>
        <w:tabs>
          <w:tab w:val="clear" w:pos="567"/>
          <w:tab w:val="clear" w:pos="1134"/>
          <w:tab w:val="clear" w:pos="1701"/>
          <w:tab w:val="clear" w:pos="2268"/>
          <w:tab w:val="clear" w:pos="2835"/>
        </w:tabs>
        <w:spacing w:before="120" w:after="120"/>
        <w:ind w:left="567"/>
        <w:jc w:val="both"/>
        <w:rPr>
          <w:rFonts w:eastAsia="FangSong" w:cstheme="minorHAnsi"/>
        </w:rPr>
      </w:pPr>
      <w:r w:rsidRPr="000E39DC">
        <w:rPr>
          <w:rFonts w:eastAsia="KaiTi" w:cstheme="minorHAnsi"/>
        </w:rPr>
        <w:t xml:space="preserve">Consider adding "Security" as a separate Strategic Goal to help Member States build confidence, </w:t>
      </w:r>
      <w:proofErr w:type="gramStart"/>
      <w:r w:rsidRPr="000E39DC">
        <w:rPr>
          <w:rFonts w:eastAsia="KaiTi" w:cstheme="minorHAnsi"/>
        </w:rPr>
        <w:t>trust</w:t>
      </w:r>
      <w:proofErr w:type="gramEnd"/>
      <w:r w:rsidRPr="000E39DC">
        <w:rPr>
          <w:rFonts w:eastAsia="KaiTi" w:cstheme="minorHAnsi"/>
        </w:rPr>
        <w:t xml:space="preserve"> and security in the use of telecommunications/ICTs from technical and organizational aspects. </w:t>
      </w:r>
    </w:p>
    <w:p w14:paraId="03E32585" w14:textId="77777777" w:rsidR="000E39DC" w:rsidRPr="000E39DC" w:rsidRDefault="000E39DC" w:rsidP="000E39DC">
      <w:pPr>
        <w:pStyle w:val="ListParagraph"/>
        <w:widowControl w:val="0"/>
        <w:tabs>
          <w:tab w:val="clear" w:pos="567"/>
        </w:tabs>
        <w:spacing w:before="120" w:after="120"/>
        <w:ind w:left="567"/>
        <w:jc w:val="both"/>
        <w:rPr>
          <w:rFonts w:eastAsia="KaiTi" w:cstheme="minorHAnsi"/>
        </w:rPr>
      </w:pPr>
      <w:r w:rsidRPr="000E39DC">
        <w:rPr>
          <w:rFonts w:eastAsia="KaiTi" w:cstheme="minorHAnsi"/>
          <w:b/>
          <w:bCs/>
        </w:rPr>
        <w:t xml:space="preserve">Option: Goal 4 - Security: Manage cybersecurity issues resulting from the rapid growth of telecommunications/ICTs. </w:t>
      </w:r>
      <w:r w:rsidRPr="000E39DC">
        <w:rPr>
          <w:rFonts w:cstheme="minorHAnsi"/>
        </w:rPr>
        <w:t>The Union focuses on enhancing the quality, reliability, sustainability and resilience of networks and systems as well as building confidence and security in the use of telecommunications/ICTs. Accordingly, the Union will work to make it possible to seize of opportunities presented by telecommunications/ICTs while working towards minimizing the negative impact of undesired collaterals</w:t>
      </w:r>
      <w:r w:rsidRPr="000E39DC">
        <w:rPr>
          <w:rFonts w:eastAsia="KaiTi" w:cstheme="minorHAnsi"/>
        </w:rPr>
        <w:t>.</w:t>
      </w:r>
    </w:p>
    <w:p w14:paraId="54158D88" w14:textId="3E868D56" w:rsidR="00E91B7E" w:rsidRPr="000E39DC" w:rsidRDefault="005F55D9" w:rsidP="006046BD">
      <w:pPr>
        <w:spacing w:before="840"/>
        <w:jc w:val="center"/>
        <w:rPr>
          <w:rFonts w:asciiTheme="minorHAnsi" w:hAnsiTheme="minorHAnsi" w:cstheme="minorHAnsi"/>
          <w:szCs w:val="24"/>
          <w:lang w:val="en-US"/>
        </w:rPr>
      </w:pPr>
      <w:r w:rsidRPr="000E39DC">
        <w:rPr>
          <w:rFonts w:asciiTheme="minorHAnsi" w:hAnsiTheme="minorHAnsi" w:cstheme="minorHAnsi"/>
          <w:szCs w:val="24"/>
          <w:lang w:val="en-US"/>
        </w:rPr>
        <w:t>________________</w:t>
      </w:r>
    </w:p>
    <w:sectPr w:rsidR="00E91B7E" w:rsidRPr="000E39DC" w:rsidSect="00821479">
      <w:headerReference w:type="default" r:id="rId12"/>
      <w:footerReference w:type="default" r:id="rId13"/>
      <w:footerReference w:type="first" r:id="rId14"/>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E0C1B" w14:textId="77777777" w:rsidR="00DB4657" w:rsidRDefault="00DB4657">
      <w:r>
        <w:separator/>
      </w:r>
    </w:p>
    <w:p w14:paraId="1993538F" w14:textId="77777777" w:rsidR="00DB4657" w:rsidRDefault="00DB4657"/>
  </w:endnote>
  <w:endnote w:type="continuationSeparator" w:id="0">
    <w:p w14:paraId="4E8741D2" w14:textId="77777777" w:rsidR="00DB4657" w:rsidRDefault="00DB4657">
      <w:r>
        <w:continuationSeparator/>
      </w:r>
    </w:p>
    <w:p w14:paraId="35F4E816" w14:textId="77777777" w:rsidR="00DB4657" w:rsidRDefault="00DB46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3C7D" w14:textId="6EE9D730" w:rsidR="003505DD" w:rsidRPr="00A704B3" w:rsidRDefault="003505DD" w:rsidP="00920418">
    <w:pPr>
      <w:pStyle w:val="Footer"/>
      <w:spacing w:before="240"/>
      <w:rPr>
        <w:color w:val="F2F2F2" w:themeColor="background1" w:themeShade="F2"/>
        <w:sz w:val="18"/>
        <w:szCs w:val="18"/>
      </w:rPr>
    </w:pPr>
    <w:r w:rsidRPr="00A704B3">
      <w:rPr>
        <w:color w:val="F2F2F2" w:themeColor="background1" w:themeShade="F2"/>
        <w:lang w:val="fr-FR"/>
      </w:rPr>
      <w:fldChar w:fldCharType="begin"/>
    </w:r>
    <w:r w:rsidRPr="00A704B3">
      <w:rPr>
        <w:color w:val="F2F2F2" w:themeColor="background1" w:themeShade="F2"/>
      </w:rPr>
      <w:instrText xml:space="preserve"> FILENAME \p  \* MERGEFORMAT </w:instrText>
    </w:r>
    <w:r w:rsidRPr="00A704B3">
      <w:rPr>
        <w:color w:val="F2F2F2" w:themeColor="background1" w:themeShade="F2"/>
        <w:lang w:val="fr-FR"/>
      </w:rPr>
      <w:fldChar w:fldCharType="separate"/>
    </w:r>
    <w:r w:rsidR="00167290">
      <w:rPr>
        <w:color w:val="F2F2F2" w:themeColor="background1" w:themeShade="F2"/>
      </w:rPr>
      <w:t>P:\SPM\GBS\c_Groups\8-CWG-SFP\meeting-2022-Feb-21-22\CWG-SFP-012e-African common proposal.docx</w:t>
    </w:r>
    <w:r w:rsidRPr="00A704B3">
      <w:rPr>
        <w:color w:val="F2F2F2" w:themeColor="background1" w:themeShade="F2"/>
        <w:lang w:val="en-US"/>
      </w:rPr>
      <w:fldChar w:fldCharType="end"/>
    </w:r>
    <w:r w:rsidR="00997F47" w:rsidRPr="00A704B3">
      <w:rPr>
        <w:color w:val="F2F2F2" w:themeColor="background1" w:themeShade="F2"/>
        <w:lang w:val="en-US"/>
      </w:rPr>
      <w:t xml:space="preserve"> (500422)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3CB4" w14:textId="77777777" w:rsidR="003505DD" w:rsidRDefault="003505DD" w:rsidP="00DC359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23B5A" w14:textId="77777777" w:rsidR="00DB4657" w:rsidRDefault="00DB4657">
      <w:r>
        <w:separator/>
      </w:r>
    </w:p>
  </w:footnote>
  <w:footnote w:type="continuationSeparator" w:id="0">
    <w:p w14:paraId="1AD80778" w14:textId="77777777" w:rsidR="00DB4657" w:rsidRDefault="00DB4657">
      <w:r>
        <w:continuationSeparator/>
      </w:r>
    </w:p>
    <w:p w14:paraId="6CA34DEC" w14:textId="77777777" w:rsidR="00DB4657" w:rsidRDefault="00DB4657"/>
  </w:footnote>
  <w:footnote w:id="1">
    <w:p w14:paraId="29F65783" w14:textId="56F04913" w:rsidR="000E39DC" w:rsidRDefault="000E39DC" w:rsidP="000E39DC">
      <w:pPr>
        <w:pStyle w:val="FootnoteText"/>
        <w:spacing w:before="0"/>
        <w:rPr>
          <w:lang w:eastAsia="zh-CN"/>
        </w:rPr>
      </w:pPr>
      <w:r>
        <w:rPr>
          <w:rStyle w:val="FootnoteReference"/>
        </w:rPr>
        <w:footnoteRef/>
      </w:r>
      <w:r>
        <w:t xml:space="preserve"> </w:t>
      </w:r>
      <w:r w:rsidRPr="000E39DC">
        <w:rPr>
          <w:sz w:val="18"/>
          <w:szCs w:val="18"/>
          <w:lang w:eastAsia="zh-CN"/>
        </w:rPr>
        <w:t>S</w:t>
      </w:r>
      <w:r w:rsidRPr="000E39DC">
        <w:rPr>
          <w:rFonts w:hint="eastAsia"/>
          <w:sz w:val="18"/>
          <w:szCs w:val="18"/>
          <w:lang w:eastAsia="zh-CN"/>
        </w:rPr>
        <w:t>ee</w:t>
      </w:r>
      <w:r w:rsidRPr="000E39DC">
        <w:rPr>
          <w:sz w:val="18"/>
          <w:szCs w:val="18"/>
          <w:lang w:eastAsia="zh-CN"/>
        </w:rPr>
        <w:t xml:space="preserve"> </w:t>
      </w:r>
      <w:hyperlink r:id="rId1" w:history="1">
        <w:r w:rsidRPr="000E39DC">
          <w:rPr>
            <w:rStyle w:val="Hyperlink"/>
            <w:sz w:val="18"/>
            <w:szCs w:val="18"/>
            <w:lang w:eastAsia="zh-CN"/>
          </w:rPr>
          <w:t>A/RES/75/32</w:t>
        </w:r>
      </w:hyperlink>
    </w:p>
  </w:footnote>
  <w:footnote w:id="2">
    <w:p w14:paraId="6A880DCF" w14:textId="1B884CA0" w:rsidR="000E39DC" w:rsidRDefault="000E39DC" w:rsidP="000E39DC">
      <w:pPr>
        <w:pStyle w:val="FootnoteText"/>
        <w:spacing w:before="0"/>
        <w:rPr>
          <w:sz w:val="18"/>
          <w:szCs w:val="18"/>
          <w:lang w:eastAsia="zh-CN"/>
        </w:rPr>
      </w:pPr>
      <w:r>
        <w:rPr>
          <w:rStyle w:val="FootnoteReference"/>
          <w:szCs w:val="18"/>
        </w:rPr>
        <w:footnoteRef/>
      </w:r>
      <w:r>
        <w:rPr>
          <w:sz w:val="18"/>
          <w:szCs w:val="18"/>
          <w:lang w:eastAsia="zh-CN"/>
        </w:rPr>
        <w:t xml:space="preserve"> See </w:t>
      </w:r>
      <w:hyperlink r:id="rId2" w:history="1">
        <w:r w:rsidRPr="00FF6AE2">
          <w:rPr>
            <w:rStyle w:val="Hyperlink"/>
            <w:sz w:val="18"/>
            <w:szCs w:val="18"/>
            <w:lang w:eastAsia="zh-CN"/>
          </w:rPr>
          <w:t>https://www.itu.int/epublications/publication/D-STR-GCI.01-2021-HTM-E/</w:t>
        </w:r>
      </w:hyperlink>
      <w:r>
        <w:rPr>
          <w:sz w:val="18"/>
          <w:szCs w:val="18"/>
          <w:lang w:eastAsia="zh-CN"/>
        </w:rPr>
        <w:t xml:space="preserve"> </w:t>
      </w:r>
    </w:p>
  </w:footnote>
  <w:footnote w:id="3">
    <w:p w14:paraId="0086BA82" w14:textId="7C881733" w:rsidR="000E39DC" w:rsidRDefault="000E39DC" w:rsidP="000E39DC">
      <w:pPr>
        <w:pStyle w:val="FootnoteText"/>
        <w:spacing w:before="0"/>
        <w:rPr>
          <w:sz w:val="18"/>
          <w:szCs w:val="18"/>
          <w:lang w:eastAsia="zh-CN"/>
        </w:rPr>
      </w:pPr>
      <w:r>
        <w:rPr>
          <w:rStyle w:val="FootnoteReference"/>
          <w:szCs w:val="18"/>
        </w:rPr>
        <w:footnoteRef/>
      </w:r>
      <w:r>
        <w:rPr>
          <w:sz w:val="18"/>
          <w:szCs w:val="18"/>
          <w:lang w:eastAsia="zh-CN"/>
        </w:rPr>
        <w:t xml:space="preserve"> See </w:t>
      </w:r>
      <w:hyperlink r:id="rId3" w:history="1">
        <w:r>
          <w:rPr>
            <w:rStyle w:val="Hyperlink"/>
            <w:sz w:val="18"/>
            <w:szCs w:val="18"/>
            <w:lang w:eastAsia="zh-CN"/>
          </w:rPr>
          <w:t>The NCS Guide 2021</w:t>
        </w:r>
      </w:hyperlink>
    </w:p>
  </w:footnote>
  <w:footnote w:id="4">
    <w:p w14:paraId="4BADCDD0" w14:textId="77777777" w:rsidR="000E39DC" w:rsidRDefault="000E39DC" w:rsidP="000E39DC">
      <w:pPr>
        <w:pStyle w:val="FootnoteText"/>
        <w:spacing w:before="0"/>
        <w:rPr>
          <w:sz w:val="18"/>
          <w:szCs w:val="18"/>
          <w:lang w:eastAsia="zh-CN"/>
        </w:rPr>
      </w:pPr>
      <w:r>
        <w:rPr>
          <w:rStyle w:val="FootnoteReference"/>
          <w:szCs w:val="18"/>
        </w:rPr>
        <w:footnoteRef/>
      </w:r>
      <w:r>
        <w:rPr>
          <w:sz w:val="18"/>
          <w:szCs w:val="18"/>
          <w:lang w:eastAsia="zh-CN"/>
        </w:rPr>
        <w:t xml:space="preserve"> See </w:t>
      </w:r>
      <w:r>
        <w:rPr>
          <w:rFonts w:eastAsiaTheme="minorEastAsia"/>
          <w:sz w:val="18"/>
          <w:szCs w:val="18"/>
          <w:lang w:eastAsia="zh-CN"/>
        </w:rPr>
        <w:t>Annex 1 to Res.71</w:t>
      </w:r>
      <w:r>
        <w:rPr>
          <w:sz w:val="18"/>
          <w:szCs w:val="18"/>
          <w:lang w:eastAsia="zh-CN"/>
        </w:rPr>
        <w:t>:</w:t>
      </w:r>
      <w:r>
        <w:rPr>
          <w:rFonts w:eastAsiaTheme="minorEastAsia"/>
          <w:sz w:val="18"/>
          <w:szCs w:val="18"/>
          <w:lang w:eastAsia="zh-CN"/>
        </w:rPr>
        <w:t xml:space="preserve"> ITU Strategic Plan for 2024-2027</w:t>
      </w:r>
      <w:r>
        <w:rPr>
          <w:sz w:val="18"/>
          <w:szCs w:val="18"/>
          <w:lang w:eastAsia="zh-CN"/>
        </w:rPr>
        <w:t>,</w:t>
      </w:r>
      <w:r>
        <w:rPr>
          <w:rFonts w:eastAsiaTheme="minorEastAsia"/>
          <w:sz w:val="18"/>
          <w:szCs w:val="18"/>
          <w:lang w:eastAsia="zh-CN"/>
        </w:rPr>
        <w:t xml:space="preserve"> </w:t>
      </w:r>
      <w:r>
        <w:rPr>
          <w:sz w:val="18"/>
          <w:szCs w:val="18"/>
          <w:lang w:eastAsia="zh-CN"/>
        </w:rPr>
        <w:t>Goal 3 – Sustainability: Manage emerging risks, challenges and opportunities resulting from the rapid growth of telecommunications/ICT</w:t>
      </w:r>
      <w:r>
        <w:rPr>
          <w:rFonts w:hint="eastAsia"/>
          <w:sz w:val="18"/>
          <w:szCs w:val="18"/>
          <w:lang w:eastAsia="zh-CN"/>
        </w:rPr>
        <w:t>.</w:t>
      </w:r>
    </w:p>
  </w:footnote>
  <w:footnote w:id="5">
    <w:p w14:paraId="65BD946E" w14:textId="0BEF02BB" w:rsidR="000E39DC" w:rsidRDefault="000E39DC" w:rsidP="000E39DC">
      <w:pPr>
        <w:pStyle w:val="FootnoteText"/>
        <w:spacing w:before="0"/>
        <w:rPr>
          <w:lang w:eastAsia="zh-CN"/>
        </w:rPr>
      </w:pPr>
      <w:r>
        <w:rPr>
          <w:rStyle w:val="FootnoteReference"/>
          <w:szCs w:val="18"/>
        </w:rPr>
        <w:footnoteRef/>
      </w:r>
      <w:r>
        <w:rPr>
          <w:sz w:val="18"/>
          <w:szCs w:val="18"/>
        </w:rPr>
        <w:t xml:space="preserve"> </w:t>
      </w:r>
      <w:r w:rsidRPr="000E39DC">
        <w:rPr>
          <w:sz w:val="18"/>
          <w:szCs w:val="18"/>
          <w:lang w:eastAsia="zh-CN"/>
        </w:rPr>
        <w:t xml:space="preserve">See </w:t>
      </w:r>
      <w:hyperlink r:id="rId4" w:history="1">
        <w:r w:rsidRPr="000E39DC">
          <w:rPr>
            <w:rStyle w:val="Hyperlink"/>
            <w:sz w:val="18"/>
            <w:szCs w:val="18"/>
          </w:rPr>
          <w:t>S22-CWGSFP2-C-0002!!MSW-E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CE24B" w14:textId="28ADC131" w:rsidR="00CF5662" w:rsidRPr="0008134A" w:rsidRDefault="003505DD" w:rsidP="0008134A">
    <w:pPr>
      <w:pStyle w:val="Header"/>
      <w:rPr>
        <w:lang w:val="ru-RU"/>
      </w:rPr>
    </w:pPr>
    <w:r>
      <w:fldChar w:fldCharType="begin"/>
    </w:r>
    <w:r>
      <w:instrText>PAGE</w:instrText>
    </w:r>
    <w:r>
      <w:fldChar w:fldCharType="separate"/>
    </w:r>
    <w:r w:rsidR="00112CBE">
      <w:rPr>
        <w:noProof/>
      </w:rPr>
      <w:t>4</w:t>
    </w:r>
    <w:r>
      <w:rPr>
        <w:noProof/>
      </w:rPr>
      <w:fldChar w:fldCharType="end"/>
    </w:r>
    <w:r>
      <w:rPr>
        <w:noProof/>
      </w:rPr>
      <w:br/>
    </w:r>
    <w:r w:rsidRPr="007D4E22">
      <w:t>CWG-SFP-</w:t>
    </w:r>
    <w:r w:rsidR="000E0F43">
      <w:rPr>
        <w:lang w:val="fr-CH"/>
      </w:rPr>
      <w:t>3</w:t>
    </w:r>
    <w:r>
      <w:rPr>
        <w:lang w:val="ru-RU"/>
      </w:rPr>
      <w:t>/</w:t>
    </w:r>
    <w:r w:rsidR="00C35F70">
      <w:t>1</w:t>
    </w:r>
    <w:r w:rsidR="000E39DC">
      <w:t>6</w:t>
    </w:r>
    <w:r w:rsidRPr="007D4E22">
      <w:t>-</w:t>
    </w:r>
    <w:r w:rsidR="00997F47">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4D2973"/>
    <w:multiLevelType w:val="hybridMultilevel"/>
    <w:tmpl w:val="43102FCC"/>
    <w:lvl w:ilvl="0" w:tplc="612684EE">
      <w:start w:val="1"/>
      <w:numFmt w:val="lowerLetter"/>
      <w:lvlText w:val="%1)"/>
      <w:lvlJc w:val="left"/>
      <w:pPr>
        <w:ind w:left="930" w:hanging="57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A5475C"/>
    <w:multiLevelType w:val="hybridMultilevel"/>
    <w:tmpl w:val="DFE85F30"/>
    <w:lvl w:ilvl="0" w:tplc="BD94571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3C4510"/>
    <w:multiLevelType w:val="hybridMultilevel"/>
    <w:tmpl w:val="064AB058"/>
    <w:lvl w:ilvl="0" w:tplc="040C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A80EBC"/>
    <w:multiLevelType w:val="multilevel"/>
    <w:tmpl w:val="89DE87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8D4500"/>
    <w:multiLevelType w:val="hybridMultilevel"/>
    <w:tmpl w:val="89005F92"/>
    <w:lvl w:ilvl="0" w:tplc="040C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2B5612"/>
    <w:multiLevelType w:val="hybridMultilevel"/>
    <w:tmpl w:val="A64C538E"/>
    <w:lvl w:ilvl="0" w:tplc="FD241C5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4B76D1"/>
    <w:multiLevelType w:val="hybridMultilevel"/>
    <w:tmpl w:val="96F60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8D3C49"/>
    <w:multiLevelType w:val="hybridMultilevel"/>
    <w:tmpl w:val="DB1A0930"/>
    <w:lvl w:ilvl="0" w:tplc="DADA6280">
      <w:start w:val="1"/>
      <w:numFmt w:val="decimal"/>
      <w:lvlText w:val="%1."/>
      <w:lvlJc w:val="left"/>
      <w:pPr>
        <w:ind w:left="720" w:hanging="363"/>
      </w:pPr>
      <w:rPr>
        <w:b/>
        <w:color w:val="4472C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FD94F2F"/>
    <w:multiLevelType w:val="hybridMultilevel"/>
    <w:tmpl w:val="0A6AEDE2"/>
    <w:lvl w:ilvl="0" w:tplc="21CE48F6">
      <w:start w:val="1"/>
      <w:numFmt w:val="decimal"/>
      <w:pStyle w:val="Numberedpara"/>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064D6D"/>
    <w:multiLevelType w:val="hybridMultilevel"/>
    <w:tmpl w:val="029EC916"/>
    <w:lvl w:ilvl="0" w:tplc="0C6AAEBC">
      <w:start w:val="400"/>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4436F1"/>
    <w:multiLevelType w:val="multilevel"/>
    <w:tmpl w:val="B49A2D4C"/>
    <w:lvl w:ilvl="0">
      <w:start w:val="1"/>
      <w:numFmt w:val="decimal"/>
      <w:lvlText w:val="%1."/>
      <w:lvlJc w:val="left"/>
      <w:pPr>
        <w:ind w:left="810" w:hanging="360"/>
      </w:pPr>
      <w:rPr>
        <w:rFonts w:hint="default"/>
        <w:b/>
      </w:rPr>
    </w:lvl>
    <w:lvl w:ilvl="1">
      <w:start w:val="1"/>
      <w:numFmt w:val="decimal"/>
      <w:isLgl/>
      <w:lvlText w:val="%1.%2"/>
      <w:lvlJc w:val="left"/>
      <w:pPr>
        <w:ind w:left="93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480" w:hanging="1440"/>
      </w:pPr>
      <w:rPr>
        <w:rFonts w:hint="default"/>
      </w:rPr>
    </w:lvl>
  </w:abstractNum>
  <w:abstractNum w:abstractNumId="13" w15:restartNumberingAfterBreak="0">
    <w:nsid w:val="58895AC0"/>
    <w:multiLevelType w:val="hybridMultilevel"/>
    <w:tmpl w:val="0366CF7A"/>
    <w:lvl w:ilvl="0" w:tplc="53647612">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657D2E8D"/>
    <w:multiLevelType w:val="hybridMultilevel"/>
    <w:tmpl w:val="008C5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ED10475"/>
    <w:multiLevelType w:val="hybridMultilevel"/>
    <w:tmpl w:val="3A88C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F83E77"/>
    <w:multiLevelType w:val="hybridMultilevel"/>
    <w:tmpl w:val="CCDC9FB8"/>
    <w:lvl w:ilvl="0" w:tplc="6D62C43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5B27851"/>
    <w:multiLevelType w:val="multilevel"/>
    <w:tmpl w:val="D406968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7909122D"/>
    <w:multiLevelType w:val="hybridMultilevel"/>
    <w:tmpl w:val="53B2400C"/>
    <w:lvl w:ilvl="0" w:tplc="E4E49298">
      <w:start w:val="1"/>
      <w:numFmt w:val="decimal"/>
      <w:lvlText w:val="%1."/>
      <w:lvlJc w:val="left"/>
      <w:pPr>
        <w:ind w:left="360" w:hanging="360"/>
      </w:pPr>
      <w:rPr>
        <w:rFonts w:hint="default"/>
      </w:rPr>
    </w:lvl>
    <w:lvl w:ilvl="1" w:tplc="730ADB40" w:tentative="1">
      <w:start w:val="1"/>
      <w:numFmt w:val="lowerLetter"/>
      <w:lvlText w:val="%2."/>
      <w:lvlJc w:val="left"/>
      <w:pPr>
        <w:ind w:left="1080" w:hanging="360"/>
      </w:pPr>
    </w:lvl>
    <w:lvl w:ilvl="2" w:tplc="A63E1A22" w:tentative="1">
      <w:start w:val="1"/>
      <w:numFmt w:val="lowerRoman"/>
      <w:lvlText w:val="%3."/>
      <w:lvlJc w:val="right"/>
      <w:pPr>
        <w:ind w:left="1800" w:hanging="180"/>
      </w:pPr>
    </w:lvl>
    <w:lvl w:ilvl="3" w:tplc="F63617CA" w:tentative="1">
      <w:start w:val="1"/>
      <w:numFmt w:val="decimal"/>
      <w:lvlText w:val="%4."/>
      <w:lvlJc w:val="left"/>
      <w:pPr>
        <w:ind w:left="2520" w:hanging="360"/>
      </w:pPr>
    </w:lvl>
    <w:lvl w:ilvl="4" w:tplc="21E49570" w:tentative="1">
      <w:start w:val="1"/>
      <w:numFmt w:val="lowerLetter"/>
      <w:lvlText w:val="%5."/>
      <w:lvlJc w:val="left"/>
      <w:pPr>
        <w:ind w:left="3240" w:hanging="360"/>
      </w:pPr>
    </w:lvl>
    <w:lvl w:ilvl="5" w:tplc="70E6BAFA" w:tentative="1">
      <w:start w:val="1"/>
      <w:numFmt w:val="lowerRoman"/>
      <w:lvlText w:val="%6."/>
      <w:lvlJc w:val="right"/>
      <w:pPr>
        <w:ind w:left="3960" w:hanging="180"/>
      </w:pPr>
    </w:lvl>
    <w:lvl w:ilvl="6" w:tplc="8A1CECA4" w:tentative="1">
      <w:start w:val="1"/>
      <w:numFmt w:val="decimal"/>
      <w:lvlText w:val="%7."/>
      <w:lvlJc w:val="left"/>
      <w:pPr>
        <w:ind w:left="4680" w:hanging="360"/>
      </w:pPr>
    </w:lvl>
    <w:lvl w:ilvl="7" w:tplc="190E8410" w:tentative="1">
      <w:start w:val="1"/>
      <w:numFmt w:val="lowerLetter"/>
      <w:lvlText w:val="%8."/>
      <w:lvlJc w:val="left"/>
      <w:pPr>
        <w:ind w:left="5400" w:hanging="360"/>
      </w:pPr>
    </w:lvl>
    <w:lvl w:ilvl="8" w:tplc="DA5A61A4" w:tentative="1">
      <w:start w:val="1"/>
      <w:numFmt w:val="lowerRoman"/>
      <w:lvlText w:val="%9."/>
      <w:lvlJc w:val="right"/>
      <w:pPr>
        <w:ind w:left="6120" w:hanging="180"/>
      </w:pPr>
    </w:lvl>
  </w:abstractNum>
  <w:abstractNum w:abstractNumId="19" w15:restartNumberingAfterBreak="0">
    <w:nsid w:val="79F1552C"/>
    <w:multiLevelType w:val="hybridMultilevel"/>
    <w:tmpl w:val="985C66C0"/>
    <w:lvl w:ilvl="0" w:tplc="EB582B72">
      <w:numFmt w:val="bullet"/>
      <w:lvlText w:val="-"/>
      <w:lvlJc w:val="left"/>
      <w:pPr>
        <w:ind w:left="720" w:hanging="360"/>
      </w:pPr>
      <w:rPr>
        <w:rFonts w:ascii="Calibri" w:eastAsia="SimSun" w:hAnsi="Calibri" w:cs="Calibri" w:hint="default"/>
      </w:rPr>
    </w:lvl>
    <w:lvl w:ilvl="1" w:tplc="1548F458" w:tentative="1">
      <w:start w:val="1"/>
      <w:numFmt w:val="bullet"/>
      <w:lvlText w:val="o"/>
      <w:lvlJc w:val="left"/>
      <w:pPr>
        <w:ind w:left="1440" w:hanging="360"/>
      </w:pPr>
      <w:rPr>
        <w:rFonts w:ascii="Courier New" w:hAnsi="Courier New" w:cs="Courier New" w:hint="default"/>
      </w:rPr>
    </w:lvl>
    <w:lvl w:ilvl="2" w:tplc="884A2352" w:tentative="1">
      <w:start w:val="1"/>
      <w:numFmt w:val="bullet"/>
      <w:lvlText w:val=""/>
      <w:lvlJc w:val="left"/>
      <w:pPr>
        <w:ind w:left="2160" w:hanging="360"/>
      </w:pPr>
      <w:rPr>
        <w:rFonts w:ascii="Wingdings" w:hAnsi="Wingdings" w:hint="default"/>
      </w:rPr>
    </w:lvl>
    <w:lvl w:ilvl="3" w:tplc="6CA472C0" w:tentative="1">
      <w:start w:val="1"/>
      <w:numFmt w:val="bullet"/>
      <w:lvlText w:val=""/>
      <w:lvlJc w:val="left"/>
      <w:pPr>
        <w:ind w:left="2880" w:hanging="360"/>
      </w:pPr>
      <w:rPr>
        <w:rFonts w:ascii="Symbol" w:hAnsi="Symbol" w:hint="default"/>
      </w:rPr>
    </w:lvl>
    <w:lvl w:ilvl="4" w:tplc="C0DE833A" w:tentative="1">
      <w:start w:val="1"/>
      <w:numFmt w:val="bullet"/>
      <w:lvlText w:val="o"/>
      <w:lvlJc w:val="left"/>
      <w:pPr>
        <w:ind w:left="3600" w:hanging="360"/>
      </w:pPr>
      <w:rPr>
        <w:rFonts w:ascii="Courier New" w:hAnsi="Courier New" w:cs="Courier New" w:hint="default"/>
      </w:rPr>
    </w:lvl>
    <w:lvl w:ilvl="5" w:tplc="B8A05420" w:tentative="1">
      <w:start w:val="1"/>
      <w:numFmt w:val="bullet"/>
      <w:lvlText w:val=""/>
      <w:lvlJc w:val="left"/>
      <w:pPr>
        <w:ind w:left="4320" w:hanging="360"/>
      </w:pPr>
      <w:rPr>
        <w:rFonts w:ascii="Wingdings" w:hAnsi="Wingdings" w:hint="default"/>
      </w:rPr>
    </w:lvl>
    <w:lvl w:ilvl="6" w:tplc="A3243E16" w:tentative="1">
      <w:start w:val="1"/>
      <w:numFmt w:val="bullet"/>
      <w:lvlText w:val=""/>
      <w:lvlJc w:val="left"/>
      <w:pPr>
        <w:ind w:left="5040" w:hanging="360"/>
      </w:pPr>
      <w:rPr>
        <w:rFonts w:ascii="Symbol" w:hAnsi="Symbol" w:hint="default"/>
      </w:rPr>
    </w:lvl>
    <w:lvl w:ilvl="7" w:tplc="500E9C4E" w:tentative="1">
      <w:start w:val="1"/>
      <w:numFmt w:val="bullet"/>
      <w:lvlText w:val="o"/>
      <w:lvlJc w:val="left"/>
      <w:pPr>
        <w:ind w:left="5760" w:hanging="360"/>
      </w:pPr>
      <w:rPr>
        <w:rFonts w:ascii="Courier New" w:hAnsi="Courier New" w:cs="Courier New" w:hint="default"/>
      </w:rPr>
    </w:lvl>
    <w:lvl w:ilvl="8" w:tplc="DCDA3EA4" w:tentative="1">
      <w:start w:val="1"/>
      <w:numFmt w:val="bullet"/>
      <w:lvlText w:val=""/>
      <w:lvlJc w:val="left"/>
      <w:pPr>
        <w:ind w:left="6480" w:hanging="360"/>
      </w:pPr>
      <w:rPr>
        <w:rFonts w:ascii="Wingdings" w:hAnsi="Wingdings" w:hint="default"/>
      </w:rPr>
    </w:lvl>
  </w:abstractNum>
  <w:abstractNum w:abstractNumId="20" w15:restartNumberingAfterBreak="0">
    <w:nsid w:val="7AA141D1"/>
    <w:multiLevelType w:val="multilevel"/>
    <w:tmpl w:val="A98CED3A"/>
    <w:lvl w:ilvl="0">
      <w:start w:val="1"/>
      <w:numFmt w:val="bullet"/>
      <w:lvlText w:val=""/>
      <w:lvlJc w:val="left"/>
      <w:pPr>
        <w:ind w:left="900" w:hanging="420"/>
      </w:pPr>
      <w:rPr>
        <w:rFonts w:ascii="Wingdings" w:hAnsi="Wingdings" w:hint="default"/>
        <w:sz w:val="22"/>
        <w:szCs w:val="22"/>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0"/>
  </w:num>
  <w:num w:numId="2">
    <w:abstractNumId w:val="8"/>
  </w:num>
  <w:num w:numId="3">
    <w:abstractNumId w:val="12"/>
  </w:num>
  <w:num w:numId="4">
    <w:abstractNumId w:val="18"/>
  </w:num>
  <w:num w:numId="5">
    <w:abstractNumId w:val="3"/>
  </w:num>
  <w:num w:numId="6">
    <w:abstractNumId w:val="13"/>
  </w:num>
  <w:num w:numId="7">
    <w:abstractNumId w:val="11"/>
  </w:num>
  <w:num w:numId="8">
    <w:abstractNumId w:val="19"/>
  </w:num>
  <w:num w:numId="9">
    <w:abstractNumId w:val="10"/>
  </w:num>
  <w:num w:numId="10">
    <w:abstractNumId w:val="16"/>
  </w:num>
  <w:num w:numId="11">
    <w:abstractNumId w:val="5"/>
  </w:num>
  <w:num w:numId="12">
    <w:abstractNumId w:val="1"/>
  </w:num>
  <w:num w:numId="13">
    <w:abstractNumId w:val="9"/>
  </w:num>
  <w:num w:numId="14">
    <w:abstractNumId w:val="7"/>
  </w:num>
  <w:num w:numId="15">
    <w:abstractNumId w:val="6"/>
  </w:num>
  <w:num w:numId="16">
    <w:abstractNumId w:val="17"/>
  </w:num>
  <w:num w:numId="17">
    <w:abstractNumId w:val="4"/>
  </w:num>
  <w:num w:numId="18">
    <w:abstractNumId w:val="14"/>
  </w:num>
  <w:num w:numId="19">
    <w:abstractNumId w:val="2"/>
  </w:num>
  <w:num w:numId="20">
    <w:abstractNumId w:val="1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ru-RU" w:vendorID="64" w:dllVersion="6" w:nlCheck="1" w:checkStyle="0"/>
  <w:activeWritingStyle w:appName="MSWord" w:lang="en-GB" w:vendorID="64" w:dllVersion="6" w:nlCheck="1" w:checkStyle="1"/>
  <w:activeWritingStyle w:appName="MSWord" w:lang="fr-CH" w:vendorID="64" w:dllVersion="6" w:nlCheck="1" w:checkStyle="1"/>
  <w:activeWritingStyle w:appName="MSWord" w:lang="en-US" w:vendorID="64" w:dllVersion="6" w:nlCheck="1" w:checkStyle="1"/>
  <w:activeWritingStyle w:appName="MSWord" w:lang="fr-FR" w:vendorID="64" w:dllVersion="6" w:nlCheck="1" w:checkStyle="1"/>
  <w:activeWritingStyle w:appName="MSWord" w:lang="ar-EG"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ru-RU" w:vendorID="64" w:dllVersion="0" w:nlCheck="1" w:checkStyle="0"/>
  <w:activeWritingStyle w:appName="MSWord" w:lang="en-GB" w:vendorID="64" w:dllVersion="0" w:nlCheck="1" w:checkStyle="0"/>
  <w:activeWritingStyle w:appName="MSWord" w:lang="en-CA"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766"/>
    <w:rsid w:val="00000CF7"/>
    <w:rsid w:val="00007478"/>
    <w:rsid w:val="0002183E"/>
    <w:rsid w:val="00025FBE"/>
    <w:rsid w:val="00033B71"/>
    <w:rsid w:val="000424FC"/>
    <w:rsid w:val="00042949"/>
    <w:rsid w:val="00042C83"/>
    <w:rsid w:val="000569B4"/>
    <w:rsid w:val="00056EFC"/>
    <w:rsid w:val="00064B21"/>
    <w:rsid w:val="0007305B"/>
    <w:rsid w:val="00080E82"/>
    <w:rsid w:val="00080EA0"/>
    <w:rsid w:val="0008134A"/>
    <w:rsid w:val="00090AA0"/>
    <w:rsid w:val="000917D4"/>
    <w:rsid w:val="00091F4A"/>
    <w:rsid w:val="000A223C"/>
    <w:rsid w:val="000A3178"/>
    <w:rsid w:val="000A66B8"/>
    <w:rsid w:val="000B0875"/>
    <w:rsid w:val="000B4F95"/>
    <w:rsid w:val="000B5A54"/>
    <w:rsid w:val="000C2417"/>
    <w:rsid w:val="000C7CF6"/>
    <w:rsid w:val="000D2290"/>
    <w:rsid w:val="000D35BD"/>
    <w:rsid w:val="000D4371"/>
    <w:rsid w:val="000E0C53"/>
    <w:rsid w:val="000E0F43"/>
    <w:rsid w:val="000E39DC"/>
    <w:rsid w:val="000E568E"/>
    <w:rsid w:val="001124E7"/>
    <w:rsid w:val="00112CBE"/>
    <w:rsid w:val="001153E8"/>
    <w:rsid w:val="00115791"/>
    <w:rsid w:val="00126A33"/>
    <w:rsid w:val="00134DA4"/>
    <w:rsid w:val="0014672A"/>
    <w:rsid w:val="001471FD"/>
    <w:rsid w:val="0014734F"/>
    <w:rsid w:val="00154AAD"/>
    <w:rsid w:val="0015710D"/>
    <w:rsid w:val="00163A32"/>
    <w:rsid w:val="00163E07"/>
    <w:rsid w:val="00165A2B"/>
    <w:rsid w:val="00167290"/>
    <w:rsid w:val="00192B41"/>
    <w:rsid w:val="001B1113"/>
    <w:rsid w:val="001B7B09"/>
    <w:rsid w:val="001C0ED3"/>
    <w:rsid w:val="001D18CE"/>
    <w:rsid w:val="001D255C"/>
    <w:rsid w:val="001D3396"/>
    <w:rsid w:val="001E5EE8"/>
    <w:rsid w:val="001E6719"/>
    <w:rsid w:val="001F3563"/>
    <w:rsid w:val="0020681C"/>
    <w:rsid w:val="00206DB6"/>
    <w:rsid w:val="0020763E"/>
    <w:rsid w:val="00211AAD"/>
    <w:rsid w:val="002171F7"/>
    <w:rsid w:val="0022212F"/>
    <w:rsid w:val="0022481E"/>
    <w:rsid w:val="00225368"/>
    <w:rsid w:val="0022783A"/>
    <w:rsid w:val="00227FF0"/>
    <w:rsid w:val="00245A21"/>
    <w:rsid w:val="00250815"/>
    <w:rsid w:val="00251296"/>
    <w:rsid w:val="00254A70"/>
    <w:rsid w:val="00254AC9"/>
    <w:rsid w:val="00267C05"/>
    <w:rsid w:val="00271B93"/>
    <w:rsid w:val="0028336A"/>
    <w:rsid w:val="00284F5D"/>
    <w:rsid w:val="002850BC"/>
    <w:rsid w:val="002873E6"/>
    <w:rsid w:val="00287DB8"/>
    <w:rsid w:val="00291BF9"/>
    <w:rsid w:val="00291EB6"/>
    <w:rsid w:val="002A09DF"/>
    <w:rsid w:val="002A10AD"/>
    <w:rsid w:val="002B2FDB"/>
    <w:rsid w:val="002B4D64"/>
    <w:rsid w:val="002C308E"/>
    <w:rsid w:val="002D2F57"/>
    <w:rsid w:val="002D48C5"/>
    <w:rsid w:val="002D4E2F"/>
    <w:rsid w:val="002D7C8A"/>
    <w:rsid w:val="002E0AA8"/>
    <w:rsid w:val="002E135C"/>
    <w:rsid w:val="002E397A"/>
    <w:rsid w:val="002E55DE"/>
    <w:rsid w:val="002F1B8A"/>
    <w:rsid w:val="002F27A0"/>
    <w:rsid w:val="003169EE"/>
    <w:rsid w:val="00317A13"/>
    <w:rsid w:val="00320560"/>
    <w:rsid w:val="00323DFE"/>
    <w:rsid w:val="00325EFE"/>
    <w:rsid w:val="00332C96"/>
    <w:rsid w:val="00335D3C"/>
    <w:rsid w:val="0034013D"/>
    <w:rsid w:val="00347CE6"/>
    <w:rsid w:val="003505DD"/>
    <w:rsid w:val="003531C5"/>
    <w:rsid w:val="00354D64"/>
    <w:rsid w:val="003624D9"/>
    <w:rsid w:val="003725B3"/>
    <w:rsid w:val="003750C2"/>
    <w:rsid w:val="003828F8"/>
    <w:rsid w:val="00385D03"/>
    <w:rsid w:val="00390996"/>
    <w:rsid w:val="00394A29"/>
    <w:rsid w:val="003957DA"/>
    <w:rsid w:val="003A00E1"/>
    <w:rsid w:val="003A589B"/>
    <w:rsid w:val="003A72C0"/>
    <w:rsid w:val="003B4108"/>
    <w:rsid w:val="003B6E1C"/>
    <w:rsid w:val="003C556A"/>
    <w:rsid w:val="003C5B7C"/>
    <w:rsid w:val="003D44A9"/>
    <w:rsid w:val="003D66DA"/>
    <w:rsid w:val="003D7317"/>
    <w:rsid w:val="003E0E6A"/>
    <w:rsid w:val="003E35C2"/>
    <w:rsid w:val="003E78A6"/>
    <w:rsid w:val="003F099E"/>
    <w:rsid w:val="003F0CC8"/>
    <w:rsid w:val="003F1BD8"/>
    <w:rsid w:val="003F235E"/>
    <w:rsid w:val="004023E0"/>
    <w:rsid w:val="00403DD8"/>
    <w:rsid w:val="00411CC5"/>
    <w:rsid w:val="004154AD"/>
    <w:rsid w:val="00415632"/>
    <w:rsid w:val="00415B32"/>
    <w:rsid w:val="00415D9E"/>
    <w:rsid w:val="004179A3"/>
    <w:rsid w:val="004465DA"/>
    <w:rsid w:val="0045686C"/>
    <w:rsid w:val="00457DE8"/>
    <w:rsid w:val="00472F91"/>
    <w:rsid w:val="00473C1E"/>
    <w:rsid w:val="004740B2"/>
    <w:rsid w:val="0048012C"/>
    <w:rsid w:val="004877E9"/>
    <w:rsid w:val="004918C4"/>
    <w:rsid w:val="0049607A"/>
    <w:rsid w:val="00497AC8"/>
    <w:rsid w:val="004A0E93"/>
    <w:rsid w:val="004A130E"/>
    <w:rsid w:val="004A43AD"/>
    <w:rsid w:val="004A45B5"/>
    <w:rsid w:val="004C1DA3"/>
    <w:rsid w:val="004C303B"/>
    <w:rsid w:val="004C51EE"/>
    <w:rsid w:val="004D0129"/>
    <w:rsid w:val="004D3C6A"/>
    <w:rsid w:val="004D572C"/>
    <w:rsid w:val="004D5F4E"/>
    <w:rsid w:val="004E669C"/>
    <w:rsid w:val="004F04CA"/>
    <w:rsid w:val="004F24B7"/>
    <w:rsid w:val="004F4060"/>
    <w:rsid w:val="004F4453"/>
    <w:rsid w:val="004F51BF"/>
    <w:rsid w:val="0050159A"/>
    <w:rsid w:val="005054B4"/>
    <w:rsid w:val="00507199"/>
    <w:rsid w:val="0050785A"/>
    <w:rsid w:val="005106AF"/>
    <w:rsid w:val="0051092F"/>
    <w:rsid w:val="00515EDE"/>
    <w:rsid w:val="00520F64"/>
    <w:rsid w:val="00532B85"/>
    <w:rsid w:val="00534876"/>
    <w:rsid w:val="00534CFB"/>
    <w:rsid w:val="0054073A"/>
    <w:rsid w:val="00542625"/>
    <w:rsid w:val="0054271D"/>
    <w:rsid w:val="00542802"/>
    <w:rsid w:val="00547D10"/>
    <w:rsid w:val="00550E88"/>
    <w:rsid w:val="00552268"/>
    <w:rsid w:val="00554AD0"/>
    <w:rsid w:val="00556C30"/>
    <w:rsid w:val="005654A0"/>
    <w:rsid w:val="00572A6E"/>
    <w:rsid w:val="0057778B"/>
    <w:rsid w:val="0058071E"/>
    <w:rsid w:val="005858F9"/>
    <w:rsid w:val="00597216"/>
    <w:rsid w:val="005A2612"/>
    <w:rsid w:val="005A64D5"/>
    <w:rsid w:val="005D0C01"/>
    <w:rsid w:val="005D3E7B"/>
    <w:rsid w:val="005D5D8F"/>
    <w:rsid w:val="005D6FB8"/>
    <w:rsid w:val="005D708E"/>
    <w:rsid w:val="005F252F"/>
    <w:rsid w:val="005F55D9"/>
    <w:rsid w:val="005F573D"/>
    <w:rsid w:val="00600219"/>
    <w:rsid w:val="00601994"/>
    <w:rsid w:val="00604106"/>
    <w:rsid w:val="006046BD"/>
    <w:rsid w:val="006077E5"/>
    <w:rsid w:val="00613594"/>
    <w:rsid w:val="00614381"/>
    <w:rsid w:val="00617F2C"/>
    <w:rsid w:val="00623213"/>
    <w:rsid w:val="006264E3"/>
    <w:rsid w:val="00626678"/>
    <w:rsid w:val="00631AE2"/>
    <w:rsid w:val="006320DA"/>
    <w:rsid w:val="00634DBF"/>
    <w:rsid w:val="006369BD"/>
    <w:rsid w:val="00636E91"/>
    <w:rsid w:val="0064453D"/>
    <w:rsid w:val="00646197"/>
    <w:rsid w:val="00646924"/>
    <w:rsid w:val="00655562"/>
    <w:rsid w:val="00671E98"/>
    <w:rsid w:val="006827BA"/>
    <w:rsid w:val="0068458A"/>
    <w:rsid w:val="0069731B"/>
    <w:rsid w:val="006A0DC4"/>
    <w:rsid w:val="006A3E73"/>
    <w:rsid w:val="006B509D"/>
    <w:rsid w:val="006B5206"/>
    <w:rsid w:val="006C0852"/>
    <w:rsid w:val="006C11A2"/>
    <w:rsid w:val="006C160C"/>
    <w:rsid w:val="006D5FAD"/>
    <w:rsid w:val="006E082D"/>
    <w:rsid w:val="006E2D42"/>
    <w:rsid w:val="006E33E3"/>
    <w:rsid w:val="006F13E8"/>
    <w:rsid w:val="006F1567"/>
    <w:rsid w:val="006F1CB6"/>
    <w:rsid w:val="006F779D"/>
    <w:rsid w:val="00703676"/>
    <w:rsid w:val="00707304"/>
    <w:rsid w:val="00707AEA"/>
    <w:rsid w:val="00714617"/>
    <w:rsid w:val="00715EEB"/>
    <w:rsid w:val="00725FDE"/>
    <w:rsid w:val="00732269"/>
    <w:rsid w:val="00734A31"/>
    <w:rsid w:val="0074720A"/>
    <w:rsid w:val="007507FA"/>
    <w:rsid w:val="00751A00"/>
    <w:rsid w:val="00756434"/>
    <w:rsid w:val="007566D7"/>
    <w:rsid w:val="00761CBC"/>
    <w:rsid w:val="00762756"/>
    <w:rsid w:val="0076356D"/>
    <w:rsid w:val="00767211"/>
    <w:rsid w:val="007743BF"/>
    <w:rsid w:val="007761BA"/>
    <w:rsid w:val="00785ABD"/>
    <w:rsid w:val="00791CEF"/>
    <w:rsid w:val="00792EF4"/>
    <w:rsid w:val="007944D2"/>
    <w:rsid w:val="007A095C"/>
    <w:rsid w:val="007A2DD4"/>
    <w:rsid w:val="007A3ABD"/>
    <w:rsid w:val="007B0DB2"/>
    <w:rsid w:val="007B229C"/>
    <w:rsid w:val="007B5EF1"/>
    <w:rsid w:val="007C21ED"/>
    <w:rsid w:val="007C496F"/>
    <w:rsid w:val="007C66C2"/>
    <w:rsid w:val="007C740B"/>
    <w:rsid w:val="007D38B5"/>
    <w:rsid w:val="007D438C"/>
    <w:rsid w:val="007D4D57"/>
    <w:rsid w:val="007D4E22"/>
    <w:rsid w:val="007E1BC5"/>
    <w:rsid w:val="007E2CAF"/>
    <w:rsid w:val="007E5080"/>
    <w:rsid w:val="007E7EA0"/>
    <w:rsid w:val="007F0B45"/>
    <w:rsid w:val="007F68EE"/>
    <w:rsid w:val="00800C0D"/>
    <w:rsid w:val="00807255"/>
    <w:rsid w:val="0080773C"/>
    <w:rsid w:val="0081023E"/>
    <w:rsid w:val="00810698"/>
    <w:rsid w:val="008127BA"/>
    <w:rsid w:val="00813D9E"/>
    <w:rsid w:val="008173AA"/>
    <w:rsid w:val="00821479"/>
    <w:rsid w:val="00821783"/>
    <w:rsid w:val="00825947"/>
    <w:rsid w:val="00826903"/>
    <w:rsid w:val="00831F3C"/>
    <w:rsid w:val="00832AB1"/>
    <w:rsid w:val="008400BE"/>
    <w:rsid w:val="00840173"/>
    <w:rsid w:val="00840A14"/>
    <w:rsid w:val="00845B22"/>
    <w:rsid w:val="00852286"/>
    <w:rsid w:val="00857A89"/>
    <w:rsid w:val="00875A66"/>
    <w:rsid w:val="008764BE"/>
    <w:rsid w:val="00877669"/>
    <w:rsid w:val="00877C31"/>
    <w:rsid w:val="00880F24"/>
    <w:rsid w:val="008817D3"/>
    <w:rsid w:val="0088381E"/>
    <w:rsid w:val="00885B51"/>
    <w:rsid w:val="00891B16"/>
    <w:rsid w:val="008956FA"/>
    <w:rsid w:val="008A30C4"/>
    <w:rsid w:val="008A6EEF"/>
    <w:rsid w:val="008C3FF3"/>
    <w:rsid w:val="008C6A58"/>
    <w:rsid w:val="008C6D60"/>
    <w:rsid w:val="008D2D7B"/>
    <w:rsid w:val="008E0737"/>
    <w:rsid w:val="008E1486"/>
    <w:rsid w:val="008E26E8"/>
    <w:rsid w:val="008E3F4C"/>
    <w:rsid w:val="008F2220"/>
    <w:rsid w:val="008F535A"/>
    <w:rsid w:val="008F7C2C"/>
    <w:rsid w:val="00901CE1"/>
    <w:rsid w:val="009056DA"/>
    <w:rsid w:val="0090751B"/>
    <w:rsid w:val="00911ED6"/>
    <w:rsid w:val="009137A7"/>
    <w:rsid w:val="00920418"/>
    <w:rsid w:val="0092303B"/>
    <w:rsid w:val="00924053"/>
    <w:rsid w:val="00927890"/>
    <w:rsid w:val="00936279"/>
    <w:rsid w:val="00940E96"/>
    <w:rsid w:val="009568FF"/>
    <w:rsid w:val="00956946"/>
    <w:rsid w:val="00971C23"/>
    <w:rsid w:val="0097342A"/>
    <w:rsid w:val="00974665"/>
    <w:rsid w:val="00975FF0"/>
    <w:rsid w:val="00993ABB"/>
    <w:rsid w:val="00995826"/>
    <w:rsid w:val="00997F47"/>
    <w:rsid w:val="009A22F7"/>
    <w:rsid w:val="009A28DB"/>
    <w:rsid w:val="009A2ABF"/>
    <w:rsid w:val="009B0766"/>
    <w:rsid w:val="009B0BAE"/>
    <w:rsid w:val="009C1C89"/>
    <w:rsid w:val="009C2572"/>
    <w:rsid w:val="009D1E5B"/>
    <w:rsid w:val="009D1FB4"/>
    <w:rsid w:val="009D7381"/>
    <w:rsid w:val="009D7A25"/>
    <w:rsid w:val="009D7B8A"/>
    <w:rsid w:val="009D7E9E"/>
    <w:rsid w:val="009F52C3"/>
    <w:rsid w:val="009F6B34"/>
    <w:rsid w:val="009F794C"/>
    <w:rsid w:val="00A068AA"/>
    <w:rsid w:val="00A0767C"/>
    <w:rsid w:val="00A1273A"/>
    <w:rsid w:val="00A14B33"/>
    <w:rsid w:val="00A200D6"/>
    <w:rsid w:val="00A25DDC"/>
    <w:rsid w:val="00A4651B"/>
    <w:rsid w:val="00A536CA"/>
    <w:rsid w:val="00A551AA"/>
    <w:rsid w:val="00A62EE3"/>
    <w:rsid w:val="00A64DC0"/>
    <w:rsid w:val="00A704B3"/>
    <w:rsid w:val="00A7129B"/>
    <w:rsid w:val="00A71773"/>
    <w:rsid w:val="00A80799"/>
    <w:rsid w:val="00A8504A"/>
    <w:rsid w:val="00A91776"/>
    <w:rsid w:val="00A94C82"/>
    <w:rsid w:val="00AB13FA"/>
    <w:rsid w:val="00AB3DCA"/>
    <w:rsid w:val="00AB531E"/>
    <w:rsid w:val="00AB5545"/>
    <w:rsid w:val="00AC06CE"/>
    <w:rsid w:val="00AC22E8"/>
    <w:rsid w:val="00AC556F"/>
    <w:rsid w:val="00AC7E85"/>
    <w:rsid w:val="00AD470F"/>
    <w:rsid w:val="00AE2C85"/>
    <w:rsid w:val="00AE3D9D"/>
    <w:rsid w:val="00AE73E2"/>
    <w:rsid w:val="00AF39DC"/>
    <w:rsid w:val="00AF56EE"/>
    <w:rsid w:val="00B05296"/>
    <w:rsid w:val="00B07564"/>
    <w:rsid w:val="00B12796"/>
    <w:rsid w:val="00B12A37"/>
    <w:rsid w:val="00B13941"/>
    <w:rsid w:val="00B13C39"/>
    <w:rsid w:val="00B167C3"/>
    <w:rsid w:val="00B23CB8"/>
    <w:rsid w:val="00B273F8"/>
    <w:rsid w:val="00B41B89"/>
    <w:rsid w:val="00B471FB"/>
    <w:rsid w:val="00B558E6"/>
    <w:rsid w:val="00B605AE"/>
    <w:rsid w:val="00B63EF2"/>
    <w:rsid w:val="00B63FB9"/>
    <w:rsid w:val="00B66A74"/>
    <w:rsid w:val="00B7579C"/>
    <w:rsid w:val="00B80CCE"/>
    <w:rsid w:val="00B823E9"/>
    <w:rsid w:val="00B862CD"/>
    <w:rsid w:val="00B8789F"/>
    <w:rsid w:val="00B902C9"/>
    <w:rsid w:val="00B91AC2"/>
    <w:rsid w:val="00B936E2"/>
    <w:rsid w:val="00B973D4"/>
    <w:rsid w:val="00BA2215"/>
    <w:rsid w:val="00BA52DF"/>
    <w:rsid w:val="00BB19FE"/>
    <w:rsid w:val="00BB68E4"/>
    <w:rsid w:val="00BC0D39"/>
    <w:rsid w:val="00BC44B9"/>
    <w:rsid w:val="00BC4690"/>
    <w:rsid w:val="00BC7BC0"/>
    <w:rsid w:val="00BD57B7"/>
    <w:rsid w:val="00BE5F0C"/>
    <w:rsid w:val="00BE63E2"/>
    <w:rsid w:val="00BE63FE"/>
    <w:rsid w:val="00BE658A"/>
    <w:rsid w:val="00BF0C61"/>
    <w:rsid w:val="00BF2BAD"/>
    <w:rsid w:val="00BF7858"/>
    <w:rsid w:val="00BF7F80"/>
    <w:rsid w:val="00C02D2F"/>
    <w:rsid w:val="00C03243"/>
    <w:rsid w:val="00C0504B"/>
    <w:rsid w:val="00C070C1"/>
    <w:rsid w:val="00C077C1"/>
    <w:rsid w:val="00C11D6C"/>
    <w:rsid w:val="00C158B1"/>
    <w:rsid w:val="00C229F9"/>
    <w:rsid w:val="00C22E5C"/>
    <w:rsid w:val="00C30AFB"/>
    <w:rsid w:val="00C31004"/>
    <w:rsid w:val="00C3381C"/>
    <w:rsid w:val="00C35F70"/>
    <w:rsid w:val="00C36B34"/>
    <w:rsid w:val="00C404C3"/>
    <w:rsid w:val="00C430B4"/>
    <w:rsid w:val="00C45E60"/>
    <w:rsid w:val="00C466B6"/>
    <w:rsid w:val="00C46787"/>
    <w:rsid w:val="00C505A5"/>
    <w:rsid w:val="00C529D0"/>
    <w:rsid w:val="00C61CEC"/>
    <w:rsid w:val="00C7201C"/>
    <w:rsid w:val="00C87630"/>
    <w:rsid w:val="00C95263"/>
    <w:rsid w:val="00C96AB1"/>
    <w:rsid w:val="00CB156F"/>
    <w:rsid w:val="00CB23DE"/>
    <w:rsid w:val="00CB5D87"/>
    <w:rsid w:val="00CC2803"/>
    <w:rsid w:val="00CD2009"/>
    <w:rsid w:val="00CD291C"/>
    <w:rsid w:val="00CD6C3A"/>
    <w:rsid w:val="00CE41CE"/>
    <w:rsid w:val="00CE59B8"/>
    <w:rsid w:val="00CF21FA"/>
    <w:rsid w:val="00CF5662"/>
    <w:rsid w:val="00CF629C"/>
    <w:rsid w:val="00D046DE"/>
    <w:rsid w:val="00D07142"/>
    <w:rsid w:val="00D10A28"/>
    <w:rsid w:val="00D121F4"/>
    <w:rsid w:val="00D1411E"/>
    <w:rsid w:val="00D16813"/>
    <w:rsid w:val="00D17F88"/>
    <w:rsid w:val="00D33722"/>
    <w:rsid w:val="00D356D0"/>
    <w:rsid w:val="00D36D92"/>
    <w:rsid w:val="00D402F7"/>
    <w:rsid w:val="00D405CE"/>
    <w:rsid w:val="00D420F5"/>
    <w:rsid w:val="00D460D2"/>
    <w:rsid w:val="00D60BA6"/>
    <w:rsid w:val="00D63D08"/>
    <w:rsid w:val="00D712F0"/>
    <w:rsid w:val="00D72E7B"/>
    <w:rsid w:val="00D74C29"/>
    <w:rsid w:val="00D767C7"/>
    <w:rsid w:val="00D77DF3"/>
    <w:rsid w:val="00D82629"/>
    <w:rsid w:val="00D82F11"/>
    <w:rsid w:val="00D849BF"/>
    <w:rsid w:val="00D851EE"/>
    <w:rsid w:val="00D87441"/>
    <w:rsid w:val="00D92EEA"/>
    <w:rsid w:val="00D97105"/>
    <w:rsid w:val="00DA2441"/>
    <w:rsid w:val="00DA3752"/>
    <w:rsid w:val="00DA5D4E"/>
    <w:rsid w:val="00DA79D5"/>
    <w:rsid w:val="00DB2408"/>
    <w:rsid w:val="00DB4657"/>
    <w:rsid w:val="00DB58D3"/>
    <w:rsid w:val="00DC359C"/>
    <w:rsid w:val="00DC459F"/>
    <w:rsid w:val="00DD4648"/>
    <w:rsid w:val="00DE14AF"/>
    <w:rsid w:val="00DE14D1"/>
    <w:rsid w:val="00DE1BC3"/>
    <w:rsid w:val="00DE221B"/>
    <w:rsid w:val="00DF2730"/>
    <w:rsid w:val="00E009BB"/>
    <w:rsid w:val="00E0307A"/>
    <w:rsid w:val="00E03D95"/>
    <w:rsid w:val="00E117B1"/>
    <w:rsid w:val="00E165D1"/>
    <w:rsid w:val="00E176BA"/>
    <w:rsid w:val="00E2013B"/>
    <w:rsid w:val="00E20B27"/>
    <w:rsid w:val="00E31666"/>
    <w:rsid w:val="00E3328E"/>
    <w:rsid w:val="00E423EC"/>
    <w:rsid w:val="00E527CD"/>
    <w:rsid w:val="00E6421B"/>
    <w:rsid w:val="00E66224"/>
    <w:rsid w:val="00E70181"/>
    <w:rsid w:val="00E72426"/>
    <w:rsid w:val="00E734D2"/>
    <w:rsid w:val="00E803C3"/>
    <w:rsid w:val="00E87641"/>
    <w:rsid w:val="00E908DF"/>
    <w:rsid w:val="00E91B7E"/>
    <w:rsid w:val="00E969A5"/>
    <w:rsid w:val="00EA5BBB"/>
    <w:rsid w:val="00EA6737"/>
    <w:rsid w:val="00EA72A3"/>
    <w:rsid w:val="00EB461B"/>
    <w:rsid w:val="00EB74D7"/>
    <w:rsid w:val="00EC2995"/>
    <w:rsid w:val="00EC43B3"/>
    <w:rsid w:val="00EC6552"/>
    <w:rsid w:val="00EC6BC5"/>
    <w:rsid w:val="00ED2720"/>
    <w:rsid w:val="00ED4034"/>
    <w:rsid w:val="00ED5F5C"/>
    <w:rsid w:val="00EE2557"/>
    <w:rsid w:val="00EF0333"/>
    <w:rsid w:val="00F029A1"/>
    <w:rsid w:val="00F03821"/>
    <w:rsid w:val="00F042B0"/>
    <w:rsid w:val="00F069DB"/>
    <w:rsid w:val="00F07A56"/>
    <w:rsid w:val="00F111FD"/>
    <w:rsid w:val="00F131BA"/>
    <w:rsid w:val="00F15550"/>
    <w:rsid w:val="00F20BE1"/>
    <w:rsid w:val="00F2793E"/>
    <w:rsid w:val="00F27BCF"/>
    <w:rsid w:val="00F32EA6"/>
    <w:rsid w:val="00F337FF"/>
    <w:rsid w:val="00F35898"/>
    <w:rsid w:val="00F36526"/>
    <w:rsid w:val="00F434D5"/>
    <w:rsid w:val="00F5225B"/>
    <w:rsid w:val="00F54B3D"/>
    <w:rsid w:val="00F5742C"/>
    <w:rsid w:val="00F76630"/>
    <w:rsid w:val="00F8315D"/>
    <w:rsid w:val="00F94E97"/>
    <w:rsid w:val="00F958FD"/>
    <w:rsid w:val="00FA1188"/>
    <w:rsid w:val="00FB6CAD"/>
    <w:rsid w:val="00FD43F3"/>
    <w:rsid w:val="00FD4AFD"/>
    <w:rsid w:val="00FD7AF6"/>
    <w:rsid w:val="00FE2600"/>
    <w:rsid w:val="00FE3057"/>
    <w:rsid w:val="00FE30DB"/>
    <w:rsid w:val="00FE5701"/>
    <w:rsid w:val="00FE5815"/>
    <w:rsid w:val="00FE6B0C"/>
    <w:rsid w:val="00FF6B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DDF55"/>
  <w15:docId w15:val="{FBA4629A-689C-4628-BA5C-B8B2CC1F2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A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751A00"/>
    <w:pPr>
      <w:keepNext/>
      <w:keepLines/>
      <w:spacing w:before="480"/>
      <w:ind w:left="567" w:hanging="567"/>
      <w:outlineLvl w:val="0"/>
    </w:pPr>
    <w:rPr>
      <w:b/>
      <w:sz w:val="28"/>
    </w:rPr>
  </w:style>
  <w:style w:type="paragraph" w:styleId="Heading2">
    <w:name w:val="heading 2"/>
    <w:basedOn w:val="Heading1"/>
    <w:next w:val="Normal"/>
    <w:link w:val="Heading2Char"/>
    <w:qFormat/>
    <w:rsid w:val="00751A00"/>
    <w:pPr>
      <w:spacing w:before="320"/>
      <w:outlineLvl w:val="1"/>
    </w:pPr>
    <w:rPr>
      <w:sz w:val="24"/>
    </w:rPr>
  </w:style>
  <w:style w:type="paragraph" w:styleId="Heading3">
    <w:name w:val="heading 3"/>
    <w:basedOn w:val="Heading1"/>
    <w:next w:val="Normal"/>
    <w:qFormat/>
    <w:rsid w:val="00751A00"/>
    <w:pPr>
      <w:spacing w:before="200"/>
      <w:outlineLvl w:val="2"/>
    </w:pPr>
    <w:rPr>
      <w:sz w:val="24"/>
    </w:rPr>
  </w:style>
  <w:style w:type="paragraph" w:styleId="Heading4">
    <w:name w:val="heading 4"/>
    <w:basedOn w:val="Heading3"/>
    <w:next w:val="Normal"/>
    <w:qFormat/>
    <w:rsid w:val="00751A00"/>
    <w:pPr>
      <w:ind w:left="1134" w:hanging="1134"/>
      <w:outlineLvl w:val="3"/>
    </w:pPr>
  </w:style>
  <w:style w:type="paragraph" w:styleId="Heading5">
    <w:name w:val="heading 5"/>
    <w:basedOn w:val="Heading4"/>
    <w:next w:val="Normal"/>
    <w:qFormat/>
    <w:rsid w:val="00751A00"/>
    <w:pPr>
      <w:outlineLvl w:val="4"/>
    </w:pPr>
  </w:style>
  <w:style w:type="paragraph" w:styleId="Heading6">
    <w:name w:val="heading 6"/>
    <w:basedOn w:val="Heading4"/>
    <w:next w:val="Normal"/>
    <w:qFormat/>
    <w:rsid w:val="00751A00"/>
    <w:pPr>
      <w:outlineLvl w:val="5"/>
    </w:pPr>
  </w:style>
  <w:style w:type="paragraph" w:styleId="Heading7">
    <w:name w:val="heading 7"/>
    <w:basedOn w:val="Heading4"/>
    <w:next w:val="Normal"/>
    <w:qFormat/>
    <w:rsid w:val="00751A00"/>
    <w:pPr>
      <w:ind w:left="1701" w:hanging="1701"/>
      <w:outlineLvl w:val="6"/>
    </w:pPr>
  </w:style>
  <w:style w:type="paragraph" w:styleId="Heading8">
    <w:name w:val="heading 8"/>
    <w:basedOn w:val="Heading4"/>
    <w:next w:val="Normal"/>
    <w:qFormat/>
    <w:rsid w:val="00751A00"/>
    <w:pPr>
      <w:ind w:left="1701" w:hanging="1701"/>
      <w:outlineLvl w:val="7"/>
    </w:pPr>
  </w:style>
  <w:style w:type="paragraph" w:styleId="Heading9">
    <w:name w:val="heading 9"/>
    <w:basedOn w:val="Heading4"/>
    <w:next w:val="Normal"/>
    <w:qFormat/>
    <w:rsid w:val="00751A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51A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51A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751A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51A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51A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51A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51A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51A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751A00"/>
    <w:pPr>
      <w:ind w:left="1698"/>
    </w:pPr>
  </w:style>
  <w:style w:type="paragraph" w:styleId="Index6">
    <w:name w:val="index 6"/>
    <w:basedOn w:val="Normal"/>
    <w:next w:val="Normal"/>
    <w:rsid w:val="00751A00"/>
    <w:pPr>
      <w:ind w:left="1415"/>
    </w:pPr>
  </w:style>
  <w:style w:type="paragraph" w:styleId="Index5">
    <w:name w:val="index 5"/>
    <w:basedOn w:val="Normal"/>
    <w:next w:val="Normal"/>
    <w:rsid w:val="00751A00"/>
    <w:pPr>
      <w:ind w:left="1132"/>
    </w:pPr>
  </w:style>
  <w:style w:type="paragraph" w:styleId="Index4">
    <w:name w:val="index 4"/>
    <w:basedOn w:val="Normal"/>
    <w:next w:val="Normal"/>
    <w:rsid w:val="00751A00"/>
    <w:pPr>
      <w:ind w:left="849"/>
    </w:pPr>
  </w:style>
  <w:style w:type="paragraph" w:styleId="Index3">
    <w:name w:val="index 3"/>
    <w:basedOn w:val="Normal"/>
    <w:next w:val="Normal"/>
    <w:rsid w:val="00751A00"/>
    <w:pPr>
      <w:ind w:left="566"/>
    </w:pPr>
  </w:style>
  <w:style w:type="paragraph" w:styleId="Index2">
    <w:name w:val="index 2"/>
    <w:basedOn w:val="Normal"/>
    <w:next w:val="Normal"/>
    <w:rsid w:val="00751A00"/>
    <w:pPr>
      <w:ind w:left="283"/>
    </w:pPr>
  </w:style>
  <w:style w:type="paragraph" w:styleId="Index1">
    <w:name w:val="index 1"/>
    <w:basedOn w:val="Normal"/>
    <w:next w:val="Normal"/>
    <w:rsid w:val="00751A00"/>
  </w:style>
  <w:style w:type="character" w:styleId="LineNumber">
    <w:name w:val="line number"/>
    <w:basedOn w:val="DefaultParagraphFont"/>
    <w:rsid w:val="00751A00"/>
  </w:style>
  <w:style w:type="paragraph" w:styleId="IndexHeading">
    <w:name w:val="index heading"/>
    <w:basedOn w:val="Normal"/>
    <w:next w:val="Index1"/>
    <w:rsid w:val="00751A00"/>
  </w:style>
  <w:style w:type="paragraph" w:styleId="Footer">
    <w:name w:val="footer"/>
    <w:basedOn w:val="Normal"/>
    <w:rsid w:val="00751A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51A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qFormat/>
    <w:rsid w:val="00751A00"/>
    <w:rPr>
      <w:rFonts w:ascii="Calibri" w:hAnsi="Calibri"/>
      <w:position w:val="6"/>
      <w:sz w:val="16"/>
    </w:rPr>
  </w:style>
  <w:style w:type="paragraph" w:styleId="FootnoteText">
    <w:name w:val="footnote text"/>
    <w:basedOn w:val="Normal"/>
    <w:link w:val="FootnoteTextChar"/>
    <w:qFormat/>
    <w:rsid w:val="00751A00"/>
    <w:pPr>
      <w:keepLines/>
      <w:tabs>
        <w:tab w:val="left" w:pos="256"/>
      </w:tabs>
      <w:ind w:left="256" w:hanging="256"/>
    </w:pPr>
  </w:style>
  <w:style w:type="paragraph" w:styleId="NormalIndent">
    <w:name w:val="Normal Indent"/>
    <w:basedOn w:val="Normal"/>
    <w:rsid w:val="00751A00"/>
    <w:pPr>
      <w:ind w:left="567"/>
    </w:pPr>
  </w:style>
  <w:style w:type="paragraph" w:customStyle="1" w:styleId="enumlev1">
    <w:name w:val="enumlev1"/>
    <w:basedOn w:val="Normal"/>
    <w:link w:val="enumlev1Char"/>
    <w:rsid w:val="00751A00"/>
    <w:pPr>
      <w:spacing w:before="86"/>
      <w:ind w:left="567" w:hanging="567"/>
    </w:pPr>
  </w:style>
  <w:style w:type="paragraph" w:customStyle="1" w:styleId="enumlev2">
    <w:name w:val="enumlev2"/>
    <w:basedOn w:val="enumlev1"/>
    <w:rsid w:val="00751A00"/>
    <w:pPr>
      <w:ind w:left="1134"/>
    </w:pPr>
  </w:style>
  <w:style w:type="paragraph" w:customStyle="1" w:styleId="enumlev3">
    <w:name w:val="enumlev3"/>
    <w:basedOn w:val="enumlev2"/>
    <w:rsid w:val="00751A00"/>
    <w:pPr>
      <w:ind w:left="1701"/>
    </w:pPr>
  </w:style>
  <w:style w:type="paragraph" w:customStyle="1" w:styleId="Normalaftertitle">
    <w:name w:val="Normal after title"/>
    <w:basedOn w:val="Normal"/>
    <w:next w:val="Normal"/>
    <w:rsid w:val="00751A00"/>
    <w:pPr>
      <w:spacing w:before="240"/>
    </w:pPr>
  </w:style>
  <w:style w:type="paragraph" w:customStyle="1" w:styleId="Equation">
    <w:name w:val="Equation"/>
    <w:basedOn w:val="Normal"/>
    <w:rsid w:val="00751A00"/>
    <w:pPr>
      <w:tabs>
        <w:tab w:val="center" w:pos="4820"/>
        <w:tab w:val="right" w:pos="9639"/>
      </w:tabs>
    </w:pPr>
  </w:style>
  <w:style w:type="paragraph" w:customStyle="1" w:styleId="Head">
    <w:name w:val="Head"/>
    <w:basedOn w:val="Normal"/>
    <w:rsid w:val="00751A00"/>
    <w:pPr>
      <w:tabs>
        <w:tab w:val="left" w:pos="6663"/>
      </w:tabs>
      <w:overflowPunct/>
      <w:autoSpaceDE/>
      <w:autoSpaceDN/>
      <w:adjustRightInd/>
      <w:spacing w:before="0"/>
      <w:textAlignment w:val="auto"/>
    </w:pPr>
  </w:style>
  <w:style w:type="paragraph" w:customStyle="1" w:styleId="toc0">
    <w:name w:val="toc 0"/>
    <w:basedOn w:val="Normal"/>
    <w:next w:val="TOC1"/>
    <w:rsid w:val="00751A00"/>
    <w:pPr>
      <w:tabs>
        <w:tab w:val="clear" w:pos="567"/>
        <w:tab w:val="clear" w:pos="1134"/>
        <w:tab w:val="clear" w:pos="1701"/>
        <w:tab w:val="clear" w:pos="2268"/>
        <w:tab w:val="clear" w:pos="2835"/>
        <w:tab w:val="right" w:pos="9781"/>
      </w:tabs>
    </w:pPr>
    <w:rPr>
      <w:b/>
    </w:rPr>
  </w:style>
  <w:style w:type="paragraph" w:styleId="List">
    <w:name w:val="List"/>
    <w:basedOn w:val="Normal"/>
    <w:rsid w:val="00751A00"/>
    <w:pPr>
      <w:tabs>
        <w:tab w:val="left" w:pos="2127"/>
      </w:tabs>
      <w:ind w:left="2127" w:hanging="2127"/>
    </w:pPr>
  </w:style>
  <w:style w:type="paragraph" w:customStyle="1" w:styleId="Part">
    <w:name w:val="Part"/>
    <w:basedOn w:val="Normal"/>
    <w:next w:val="Normal"/>
    <w:rsid w:val="00751A00"/>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751A00"/>
    <w:pPr>
      <w:spacing w:before="840"/>
      <w:jc w:val="center"/>
    </w:pPr>
    <w:rPr>
      <w:b/>
      <w:sz w:val="28"/>
    </w:rPr>
  </w:style>
  <w:style w:type="paragraph" w:customStyle="1" w:styleId="meeting">
    <w:name w:val="meeting"/>
    <w:basedOn w:val="Head"/>
    <w:next w:val="Head"/>
    <w:rsid w:val="00751A00"/>
    <w:pPr>
      <w:tabs>
        <w:tab w:val="left" w:pos="7371"/>
      </w:tabs>
      <w:spacing w:after="567"/>
    </w:pPr>
  </w:style>
  <w:style w:type="paragraph" w:customStyle="1" w:styleId="Subject">
    <w:name w:val="Subject"/>
    <w:basedOn w:val="Normal"/>
    <w:next w:val="Source"/>
    <w:rsid w:val="00751A00"/>
    <w:pPr>
      <w:spacing w:before="0"/>
      <w:ind w:left="1134" w:hanging="1134"/>
    </w:pPr>
  </w:style>
  <w:style w:type="paragraph" w:customStyle="1" w:styleId="Object">
    <w:name w:val="Object"/>
    <w:basedOn w:val="Subject"/>
    <w:next w:val="Subject"/>
    <w:rsid w:val="00751A00"/>
  </w:style>
  <w:style w:type="paragraph" w:customStyle="1" w:styleId="Data">
    <w:name w:val="Data"/>
    <w:basedOn w:val="Subject"/>
    <w:next w:val="Subject"/>
    <w:rsid w:val="00751A00"/>
  </w:style>
  <w:style w:type="paragraph" w:customStyle="1" w:styleId="Reasons">
    <w:name w:val="Reasons"/>
    <w:basedOn w:val="Normal"/>
    <w:rsid w:val="00751A00"/>
  </w:style>
  <w:style w:type="character" w:styleId="Hyperlink">
    <w:name w:val="Hyperlink"/>
    <w:basedOn w:val="DefaultParagraphFont"/>
    <w:qFormat/>
    <w:rsid w:val="00751A00"/>
    <w:rPr>
      <w:color w:val="0000FF"/>
      <w:u w:val="single"/>
    </w:rPr>
  </w:style>
  <w:style w:type="paragraph" w:customStyle="1" w:styleId="FirstFooter">
    <w:name w:val="FirstFooter"/>
    <w:basedOn w:val="Footer"/>
    <w:rsid w:val="00751A00"/>
    <w:rPr>
      <w:caps w:val="0"/>
    </w:rPr>
  </w:style>
  <w:style w:type="paragraph" w:customStyle="1" w:styleId="Note">
    <w:name w:val="Note"/>
    <w:basedOn w:val="Normal"/>
    <w:rsid w:val="00751A00"/>
    <w:pPr>
      <w:tabs>
        <w:tab w:val="clear" w:pos="567"/>
        <w:tab w:val="left" w:pos="851"/>
      </w:tabs>
    </w:pPr>
  </w:style>
  <w:style w:type="paragraph" w:styleId="TOC9">
    <w:name w:val="toc 9"/>
    <w:basedOn w:val="TOC4"/>
    <w:rsid w:val="00751A00"/>
  </w:style>
  <w:style w:type="paragraph" w:customStyle="1" w:styleId="Headingb">
    <w:name w:val="Heading_b"/>
    <w:basedOn w:val="Heading3"/>
    <w:next w:val="Normal"/>
    <w:rsid w:val="00751A00"/>
    <w:pPr>
      <w:spacing w:before="160"/>
      <w:outlineLvl w:val="0"/>
    </w:pPr>
  </w:style>
  <w:style w:type="character" w:styleId="FollowedHyperlink">
    <w:name w:val="FollowedHyperlink"/>
    <w:basedOn w:val="DefaultParagraphFont"/>
    <w:rsid w:val="00751A00"/>
    <w:rPr>
      <w:color w:val="800080"/>
      <w:u w:val="single"/>
    </w:rPr>
  </w:style>
  <w:style w:type="paragraph" w:customStyle="1" w:styleId="Title1">
    <w:name w:val="Title 1"/>
    <w:basedOn w:val="Source"/>
    <w:next w:val="Title2"/>
    <w:rsid w:val="00751A00"/>
    <w:pPr>
      <w:spacing w:before="240"/>
    </w:pPr>
    <w:rPr>
      <w:b w:val="0"/>
      <w:caps/>
    </w:rPr>
  </w:style>
  <w:style w:type="paragraph" w:customStyle="1" w:styleId="Title2">
    <w:name w:val="Title 2"/>
    <w:basedOn w:val="Source"/>
    <w:next w:val="Title3"/>
    <w:rsid w:val="00751A00"/>
    <w:pPr>
      <w:spacing w:before="240"/>
    </w:pPr>
    <w:rPr>
      <w:b w:val="0"/>
      <w:caps/>
    </w:rPr>
  </w:style>
  <w:style w:type="paragraph" w:customStyle="1" w:styleId="Title3">
    <w:name w:val="Title 3"/>
    <w:basedOn w:val="Title2"/>
    <w:next w:val="Normalaftertitle"/>
    <w:rsid w:val="00751A00"/>
    <w:rPr>
      <w:caps w:val="0"/>
    </w:rPr>
  </w:style>
  <w:style w:type="paragraph" w:customStyle="1" w:styleId="Title4">
    <w:name w:val="Title 4"/>
    <w:basedOn w:val="Title3"/>
    <w:next w:val="Heading1"/>
    <w:rsid w:val="00751A00"/>
    <w:rPr>
      <w:b/>
    </w:rPr>
  </w:style>
  <w:style w:type="paragraph" w:customStyle="1" w:styleId="dnum">
    <w:name w:val="dnum"/>
    <w:basedOn w:val="Normal"/>
    <w:rsid w:val="00751A00"/>
    <w:pPr>
      <w:framePr w:hSpace="181" w:wrap="around" w:vAnchor="page" w:hAnchor="margin" w:y="852"/>
      <w:shd w:val="solid" w:color="FFFFFF" w:fill="FFFFFF"/>
      <w:tabs>
        <w:tab w:val="left" w:pos="1871"/>
      </w:tabs>
    </w:pPr>
    <w:rPr>
      <w:b/>
      <w:bCs/>
    </w:rPr>
  </w:style>
  <w:style w:type="paragraph" w:customStyle="1" w:styleId="ddate">
    <w:name w:val="ddate"/>
    <w:basedOn w:val="Normal"/>
    <w:rsid w:val="00751A00"/>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751A00"/>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751A00"/>
    <w:pPr>
      <w:spacing w:before="720"/>
      <w:jc w:val="center"/>
    </w:pPr>
    <w:rPr>
      <w:caps/>
      <w:sz w:val="28"/>
    </w:rPr>
  </w:style>
  <w:style w:type="paragraph" w:customStyle="1" w:styleId="Annextitle">
    <w:name w:val="Annex_title"/>
    <w:basedOn w:val="Normal"/>
    <w:next w:val="Normal"/>
    <w:rsid w:val="00751A00"/>
    <w:pPr>
      <w:spacing w:before="240" w:after="240"/>
      <w:jc w:val="center"/>
    </w:pPr>
    <w:rPr>
      <w:b/>
      <w:sz w:val="28"/>
    </w:rPr>
  </w:style>
  <w:style w:type="paragraph" w:customStyle="1" w:styleId="Annexref">
    <w:name w:val="Annex_ref"/>
    <w:basedOn w:val="Normal"/>
    <w:next w:val="Annextitle"/>
    <w:rsid w:val="00751A00"/>
    <w:pPr>
      <w:jc w:val="center"/>
    </w:pPr>
  </w:style>
  <w:style w:type="paragraph" w:customStyle="1" w:styleId="AppendixNo">
    <w:name w:val="Appendix_No"/>
    <w:basedOn w:val="AnnexNo"/>
    <w:next w:val="Appendixref"/>
    <w:rsid w:val="00751A00"/>
  </w:style>
  <w:style w:type="paragraph" w:customStyle="1" w:styleId="Appendixtitle">
    <w:name w:val="Appendix_title"/>
    <w:basedOn w:val="Annextitle"/>
    <w:next w:val="Normal"/>
    <w:rsid w:val="00751A00"/>
  </w:style>
  <w:style w:type="paragraph" w:customStyle="1" w:styleId="Appendixref">
    <w:name w:val="Appendix_ref"/>
    <w:basedOn w:val="Annexref"/>
    <w:next w:val="Appendixtitle"/>
    <w:rsid w:val="00751A00"/>
  </w:style>
  <w:style w:type="paragraph" w:customStyle="1" w:styleId="Call">
    <w:name w:val="Call"/>
    <w:basedOn w:val="Normal"/>
    <w:next w:val="Normal"/>
    <w:rsid w:val="00751A00"/>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751A00"/>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751A00"/>
    <w:pPr>
      <w:keepNext/>
      <w:keepLines/>
      <w:spacing w:after="120"/>
      <w:jc w:val="center"/>
    </w:pPr>
  </w:style>
  <w:style w:type="paragraph" w:customStyle="1" w:styleId="Figuretitle">
    <w:name w:val="Figure_title"/>
    <w:basedOn w:val="Tabletitle"/>
    <w:next w:val="Normalaftertitle"/>
    <w:rsid w:val="00751A00"/>
    <w:pPr>
      <w:spacing w:before="240" w:after="480"/>
    </w:pPr>
  </w:style>
  <w:style w:type="paragraph" w:customStyle="1" w:styleId="Tabletitle">
    <w:name w:val="Table_title"/>
    <w:basedOn w:val="TableNo"/>
    <w:next w:val="Tabletext"/>
    <w:rsid w:val="00751A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751A00"/>
    <w:pPr>
      <w:keepNext/>
      <w:spacing w:before="560" w:after="120"/>
      <w:jc w:val="center"/>
    </w:pPr>
    <w:rPr>
      <w:caps/>
    </w:rPr>
  </w:style>
  <w:style w:type="paragraph" w:customStyle="1" w:styleId="Tabletext">
    <w:name w:val="Table_text"/>
    <w:basedOn w:val="Normal"/>
    <w:link w:val="TabletextChar"/>
    <w:rsid w:val="00751A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751A00"/>
    <w:pPr>
      <w:keepNext/>
      <w:keepLines/>
      <w:spacing w:before="20" w:after="20"/>
    </w:pPr>
    <w:rPr>
      <w:sz w:val="18"/>
    </w:rPr>
  </w:style>
  <w:style w:type="paragraph" w:customStyle="1" w:styleId="FigureNo">
    <w:name w:val="Figure_No"/>
    <w:basedOn w:val="Normal"/>
    <w:next w:val="Figuretitle"/>
    <w:rsid w:val="00751A00"/>
    <w:pPr>
      <w:keepNext/>
      <w:keepLines/>
      <w:spacing w:before="240" w:after="120"/>
      <w:jc w:val="center"/>
    </w:pPr>
    <w:rPr>
      <w:caps/>
    </w:rPr>
  </w:style>
  <w:style w:type="paragraph" w:customStyle="1" w:styleId="Figurewithouttitle">
    <w:name w:val="Figure_without_title"/>
    <w:basedOn w:val="Figure"/>
    <w:next w:val="Normalaftertitle"/>
    <w:rsid w:val="00751A00"/>
    <w:pPr>
      <w:keepNext w:val="0"/>
      <w:spacing w:after="240"/>
    </w:pPr>
  </w:style>
  <w:style w:type="paragraph" w:customStyle="1" w:styleId="Headingi">
    <w:name w:val="Heading_i"/>
    <w:basedOn w:val="Heading3"/>
    <w:next w:val="Normal"/>
    <w:rsid w:val="00751A00"/>
    <w:pPr>
      <w:spacing w:before="160"/>
      <w:outlineLvl w:val="0"/>
    </w:pPr>
    <w:rPr>
      <w:rFonts w:asciiTheme="minorHAnsi" w:hAnsiTheme="minorHAnsi"/>
      <w:b w:val="0"/>
      <w:i/>
    </w:rPr>
  </w:style>
  <w:style w:type="character" w:styleId="PageNumber">
    <w:name w:val="page number"/>
    <w:basedOn w:val="DefaultParagraphFont"/>
    <w:rsid w:val="00751A00"/>
    <w:rPr>
      <w:rFonts w:ascii="Calibri" w:hAnsi="Calibri"/>
    </w:rPr>
  </w:style>
  <w:style w:type="paragraph" w:customStyle="1" w:styleId="PartNo">
    <w:name w:val="Part_No"/>
    <w:basedOn w:val="AnnexNo"/>
    <w:next w:val="Parttitle"/>
    <w:rsid w:val="00751A00"/>
  </w:style>
  <w:style w:type="paragraph" w:customStyle="1" w:styleId="Parttitle">
    <w:name w:val="Part_title"/>
    <w:basedOn w:val="Annextitle"/>
    <w:next w:val="Partref"/>
    <w:rsid w:val="00751A00"/>
  </w:style>
  <w:style w:type="paragraph" w:customStyle="1" w:styleId="Partref">
    <w:name w:val="Part_ref"/>
    <w:basedOn w:val="Annexref"/>
    <w:next w:val="Normalaftertitle"/>
    <w:rsid w:val="00751A00"/>
  </w:style>
  <w:style w:type="paragraph" w:customStyle="1" w:styleId="RecNo">
    <w:name w:val="Rec_No"/>
    <w:basedOn w:val="Normal"/>
    <w:next w:val="Rectitle"/>
    <w:rsid w:val="00751A00"/>
    <w:pPr>
      <w:spacing w:before="720"/>
      <w:jc w:val="center"/>
    </w:pPr>
    <w:rPr>
      <w:caps/>
      <w:sz w:val="28"/>
    </w:rPr>
  </w:style>
  <w:style w:type="paragraph" w:customStyle="1" w:styleId="Rectitle">
    <w:name w:val="Rec_title"/>
    <w:basedOn w:val="Normal"/>
    <w:next w:val="Heading1"/>
    <w:rsid w:val="00751A00"/>
    <w:pPr>
      <w:spacing w:before="240"/>
      <w:jc w:val="center"/>
    </w:pPr>
    <w:rPr>
      <w:b/>
      <w:sz w:val="28"/>
    </w:rPr>
  </w:style>
  <w:style w:type="paragraph" w:customStyle="1" w:styleId="Recref">
    <w:name w:val="Rec_ref"/>
    <w:basedOn w:val="Rectitle"/>
    <w:next w:val="Recdate"/>
    <w:rsid w:val="00751A00"/>
    <w:pPr>
      <w:spacing w:before="120"/>
    </w:pPr>
    <w:rPr>
      <w:rFonts w:ascii="Times New Roman" w:hAnsi="Times New Roman"/>
      <w:b w:val="0"/>
      <w:sz w:val="24"/>
    </w:rPr>
  </w:style>
  <w:style w:type="paragraph" w:customStyle="1" w:styleId="Recdate">
    <w:name w:val="Rec_date"/>
    <w:basedOn w:val="Recref"/>
    <w:next w:val="Normalaftertitle"/>
    <w:rsid w:val="00751A00"/>
    <w:pPr>
      <w:jc w:val="right"/>
    </w:pPr>
    <w:rPr>
      <w:sz w:val="22"/>
    </w:rPr>
  </w:style>
  <w:style w:type="paragraph" w:customStyle="1" w:styleId="Questiondate">
    <w:name w:val="Question_date"/>
    <w:basedOn w:val="Recdate"/>
    <w:next w:val="Normalaftertitle"/>
    <w:rsid w:val="00751A00"/>
  </w:style>
  <w:style w:type="paragraph" w:customStyle="1" w:styleId="QuestionNo">
    <w:name w:val="Question_No"/>
    <w:basedOn w:val="RecNo"/>
    <w:next w:val="Questiontitle"/>
    <w:rsid w:val="00751A00"/>
  </w:style>
  <w:style w:type="paragraph" w:customStyle="1" w:styleId="Questionref">
    <w:name w:val="Question_ref"/>
    <w:basedOn w:val="Recref"/>
    <w:next w:val="Questiondate"/>
    <w:rsid w:val="00751A00"/>
  </w:style>
  <w:style w:type="paragraph" w:customStyle="1" w:styleId="Questiontitle">
    <w:name w:val="Question_title"/>
    <w:basedOn w:val="Rectitle"/>
    <w:next w:val="Questionref"/>
    <w:rsid w:val="00751A00"/>
  </w:style>
  <w:style w:type="paragraph" w:customStyle="1" w:styleId="Reftext">
    <w:name w:val="Ref_text"/>
    <w:basedOn w:val="Normal"/>
    <w:rsid w:val="00751A00"/>
    <w:pPr>
      <w:ind w:left="567" w:hanging="567"/>
    </w:pPr>
  </w:style>
  <w:style w:type="paragraph" w:customStyle="1" w:styleId="Reftitle">
    <w:name w:val="Ref_title"/>
    <w:basedOn w:val="Normal"/>
    <w:next w:val="Reftext"/>
    <w:rsid w:val="00751A00"/>
    <w:pPr>
      <w:spacing w:before="480"/>
      <w:jc w:val="center"/>
    </w:pPr>
    <w:rPr>
      <w:caps/>
      <w:sz w:val="28"/>
    </w:rPr>
  </w:style>
  <w:style w:type="paragraph" w:customStyle="1" w:styleId="Repdate">
    <w:name w:val="Rep_date"/>
    <w:basedOn w:val="Recdate"/>
    <w:next w:val="Normalaftertitle"/>
    <w:rsid w:val="00751A00"/>
  </w:style>
  <w:style w:type="paragraph" w:customStyle="1" w:styleId="RepNo">
    <w:name w:val="Rep_No"/>
    <w:basedOn w:val="RecNo"/>
    <w:next w:val="Reptitle"/>
    <w:rsid w:val="00751A00"/>
  </w:style>
  <w:style w:type="paragraph" w:customStyle="1" w:styleId="Reptitle">
    <w:name w:val="Rep_title"/>
    <w:basedOn w:val="Rectitle"/>
    <w:next w:val="Repref"/>
    <w:rsid w:val="00751A00"/>
  </w:style>
  <w:style w:type="paragraph" w:customStyle="1" w:styleId="Repref">
    <w:name w:val="Rep_ref"/>
    <w:basedOn w:val="Recref"/>
    <w:next w:val="Repdate"/>
    <w:rsid w:val="00751A00"/>
  </w:style>
  <w:style w:type="paragraph" w:customStyle="1" w:styleId="Resdate">
    <w:name w:val="Res_date"/>
    <w:basedOn w:val="Recdate"/>
    <w:next w:val="Normalaftertitle"/>
    <w:rsid w:val="00751A00"/>
  </w:style>
  <w:style w:type="paragraph" w:customStyle="1" w:styleId="ResNo">
    <w:name w:val="Res_No"/>
    <w:basedOn w:val="AnnexNo"/>
    <w:next w:val="Restitle"/>
    <w:rsid w:val="00751A00"/>
  </w:style>
  <w:style w:type="paragraph" w:customStyle="1" w:styleId="Restitle">
    <w:name w:val="Res_title"/>
    <w:basedOn w:val="Annextitle"/>
    <w:next w:val="Normal"/>
    <w:rsid w:val="00751A00"/>
  </w:style>
  <w:style w:type="paragraph" w:customStyle="1" w:styleId="Resref">
    <w:name w:val="Res_ref"/>
    <w:basedOn w:val="Recref"/>
    <w:next w:val="Resdate"/>
    <w:rsid w:val="00751A00"/>
  </w:style>
  <w:style w:type="paragraph" w:customStyle="1" w:styleId="SectionNo">
    <w:name w:val="Section_No"/>
    <w:basedOn w:val="AnnexNo"/>
    <w:next w:val="Sectiontitle"/>
    <w:rsid w:val="00751A00"/>
  </w:style>
  <w:style w:type="paragraph" w:customStyle="1" w:styleId="Sectiontitle">
    <w:name w:val="Section_title"/>
    <w:basedOn w:val="Normal"/>
    <w:next w:val="Normalaftertitle"/>
    <w:rsid w:val="00751A00"/>
    <w:rPr>
      <w:sz w:val="28"/>
    </w:rPr>
  </w:style>
  <w:style w:type="paragraph" w:customStyle="1" w:styleId="SpecialFooter">
    <w:name w:val="Special Footer"/>
    <w:basedOn w:val="Footer"/>
    <w:rsid w:val="00751A0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751A00"/>
    <w:pPr>
      <w:spacing w:before="120" w:after="120"/>
      <w:jc w:val="center"/>
    </w:pPr>
    <w:rPr>
      <w:b/>
    </w:rPr>
  </w:style>
  <w:style w:type="paragraph" w:customStyle="1" w:styleId="Tablelegend">
    <w:name w:val="Table_legend"/>
    <w:basedOn w:val="Tabletext"/>
    <w:rsid w:val="00751A00"/>
    <w:pPr>
      <w:spacing w:before="120"/>
    </w:pPr>
  </w:style>
  <w:style w:type="paragraph" w:customStyle="1" w:styleId="Tableref">
    <w:name w:val="Table_ref"/>
    <w:basedOn w:val="Normal"/>
    <w:next w:val="Tabletitle"/>
    <w:rsid w:val="00751A00"/>
    <w:pPr>
      <w:keepNext/>
      <w:spacing w:before="567"/>
      <w:jc w:val="center"/>
    </w:pPr>
  </w:style>
  <w:style w:type="paragraph" w:customStyle="1" w:styleId="Artheading">
    <w:name w:val="Art_heading"/>
    <w:basedOn w:val="Normal"/>
    <w:next w:val="Normalaftertitle"/>
    <w:rsid w:val="00751A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51A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51A00"/>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51A00"/>
  </w:style>
  <w:style w:type="paragraph" w:customStyle="1" w:styleId="Chaptitle">
    <w:name w:val="Chap_title"/>
    <w:basedOn w:val="Arttitle"/>
    <w:next w:val="Normal"/>
    <w:rsid w:val="00751A00"/>
  </w:style>
  <w:style w:type="paragraph" w:styleId="BalloonText">
    <w:name w:val="Balloon Text"/>
    <w:basedOn w:val="Normal"/>
    <w:rsid w:val="00227FF0"/>
    <w:rPr>
      <w:rFonts w:ascii="Tahoma" w:hAnsi="Tahoma" w:cs="Tahoma"/>
      <w:sz w:val="16"/>
      <w:szCs w:val="16"/>
    </w:rPr>
  </w:style>
  <w:style w:type="paragraph" w:customStyle="1" w:styleId="Normal1">
    <w:name w:val="Normal1"/>
    <w:rsid w:val="003D66DA"/>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customStyle="1" w:styleId="FootnoteTextChar">
    <w:name w:val="Footnote Text Char"/>
    <w:basedOn w:val="DefaultParagraphFont"/>
    <w:link w:val="FootnoteText"/>
    <w:qFormat/>
    <w:rsid w:val="003D66DA"/>
    <w:rPr>
      <w:rFonts w:ascii="Calibri" w:hAnsi="Calibri"/>
      <w:sz w:val="24"/>
      <w:lang w:val="en-GB" w:eastAsia="en-US"/>
    </w:rPr>
  </w:style>
  <w:style w:type="character" w:styleId="CommentReference">
    <w:name w:val="annotation reference"/>
    <w:semiHidden/>
    <w:rsid w:val="0076356D"/>
    <w:rPr>
      <w:sz w:val="16"/>
      <w:szCs w:val="16"/>
    </w:rPr>
  </w:style>
  <w:style w:type="paragraph" w:styleId="CommentText">
    <w:name w:val="annotation text"/>
    <w:basedOn w:val="Normal"/>
    <w:link w:val="CommentTextChar"/>
    <w:semiHidden/>
    <w:rsid w:val="0076356D"/>
    <w:pPr>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semiHidden/>
    <w:rsid w:val="0076356D"/>
    <w:rPr>
      <w:rFonts w:asciiTheme="minorHAnsi" w:eastAsia="SimSun" w:hAnsiTheme="minorHAnsi"/>
    </w:rPr>
  </w:style>
  <w:style w:type="character" w:customStyle="1" w:styleId="TabletextChar">
    <w:name w:val="Table_text Char"/>
    <w:basedOn w:val="DefaultParagraphFont"/>
    <w:link w:val="Tabletext"/>
    <w:locked/>
    <w:rsid w:val="0076356D"/>
    <w:rPr>
      <w:rFonts w:ascii="Calibri" w:hAnsi="Calibri"/>
      <w:sz w:val="22"/>
      <w:lang w:val="en-GB" w:eastAsia="en-US"/>
    </w:rPr>
  </w:style>
  <w:style w:type="character" w:styleId="Emphasis">
    <w:name w:val="Emphasis"/>
    <w:uiPriority w:val="20"/>
    <w:qFormat/>
    <w:rsid w:val="00DB2408"/>
    <w:rPr>
      <w:i/>
      <w:iCs/>
    </w:rPr>
  </w:style>
  <w:style w:type="paragraph" w:styleId="ListParagraph">
    <w:name w:val="List Paragraph"/>
    <w:basedOn w:val="Normal"/>
    <w:link w:val="ListParagraphChar"/>
    <w:uiPriority w:val="99"/>
    <w:qFormat/>
    <w:rsid w:val="00DB2408"/>
    <w:pPr>
      <w:overflowPunct/>
      <w:autoSpaceDE/>
      <w:autoSpaceDN/>
      <w:adjustRightInd/>
      <w:spacing w:before="0"/>
      <w:ind w:left="720"/>
      <w:textAlignment w:val="auto"/>
    </w:pPr>
    <w:rPr>
      <w:rFonts w:asciiTheme="minorHAnsi" w:eastAsia="SimSun" w:hAnsiTheme="minorHAnsi"/>
      <w:szCs w:val="24"/>
      <w:lang w:val="en-US" w:eastAsia="zh-CN"/>
    </w:rPr>
  </w:style>
  <w:style w:type="character" w:customStyle="1" w:styleId="ListParagraphChar">
    <w:name w:val="List Paragraph Char"/>
    <w:basedOn w:val="DefaultParagraphFont"/>
    <w:link w:val="ListParagraph"/>
    <w:uiPriority w:val="34"/>
    <w:rsid w:val="00DB2408"/>
    <w:rPr>
      <w:rFonts w:asciiTheme="minorHAnsi" w:eastAsia="SimSun" w:hAnsiTheme="minorHAnsi"/>
      <w:sz w:val="22"/>
      <w:szCs w:val="24"/>
    </w:rPr>
  </w:style>
  <w:style w:type="table" w:styleId="PlainTable4">
    <w:name w:val="Plain Table 4"/>
    <w:basedOn w:val="TableNormal"/>
    <w:uiPriority w:val="44"/>
    <w:rsid w:val="00DB2408"/>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con">
    <w:name w:val="icon"/>
    <w:basedOn w:val="DefaultParagraphFont"/>
    <w:rsid w:val="0050785A"/>
  </w:style>
  <w:style w:type="table" w:styleId="TableGrid">
    <w:name w:val="Table Grid"/>
    <w:basedOn w:val="TableNormal"/>
    <w:uiPriority w:val="39"/>
    <w:rsid w:val="00DB58D3"/>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F4453"/>
    <w:rPr>
      <w:rFonts w:ascii="Calibri" w:hAnsi="Calibri"/>
      <w:b/>
      <w:sz w:val="28"/>
      <w:lang w:val="en-GB" w:eastAsia="en-US"/>
    </w:rPr>
  </w:style>
  <w:style w:type="character" w:customStyle="1" w:styleId="Heading2Char">
    <w:name w:val="Heading 2 Char"/>
    <w:basedOn w:val="DefaultParagraphFont"/>
    <w:link w:val="Heading2"/>
    <w:rsid w:val="004F4453"/>
    <w:rPr>
      <w:rFonts w:ascii="Calibri" w:hAnsi="Calibri"/>
      <w:b/>
      <w:sz w:val="24"/>
      <w:lang w:val="en-GB" w:eastAsia="en-US"/>
    </w:rPr>
  </w:style>
  <w:style w:type="paragraph" w:customStyle="1" w:styleId="Numberedpara">
    <w:name w:val="Numbered para"/>
    <w:basedOn w:val="Normal"/>
    <w:qFormat/>
    <w:rsid w:val="00DB58D3"/>
    <w:pPr>
      <w:numPr>
        <w:numId w:val="9"/>
      </w:numPr>
      <w:overflowPunct/>
      <w:autoSpaceDE/>
      <w:autoSpaceDN/>
      <w:adjustRightInd/>
      <w:spacing w:after="120"/>
      <w:ind w:left="0" w:firstLine="0"/>
      <w:jc w:val="both"/>
      <w:textAlignment w:val="auto"/>
    </w:pPr>
    <w:rPr>
      <w:rFonts w:asciiTheme="minorHAnsi" w:eastAsiaTheme="minorHAnsi" w:hAnsiTheme="minorHAnsi" w:cstheme="majorBidi"/>
      <w:szCs w:val="24"/>
      <w:lang w:val="en-US"/>
    </w:rPr>
  </w:style>
  <w:style w:type="character" w:customStyle="1" w:styleId="UnresolvedMention1">
    <w:name w:val="Unresolved Mention1"/>
    <w:basedOn w:val="DefaultParagraphFont"/>
    <w:uiPriority w:val="99"/>
    <w:semiHidden/>
    <w:unhideWhenUsed/>
    <w:rsid w:val="00911ED6"/>
    <w:rPr>
      <w:color w:val="605E5C"/>
      <w:shd w:val="clear" w:color="auto" w:fill="E1DFDD"/>
    </w:rPr>
  </w:style>
  <w:style w:type="paragraph" w:customStyle="1" w:styleId="Default">
    <w:name w:val="Default"/>
    <w:rsid w:val="00A0767C"/>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813D9E"/>
    <w:rPr>
      <w:rFonts w:ascii="Calibri" w:hAnsi="Calibri"/>
      <w:sz w:val="22"/>
      <w:lang w:val="en-GB" w:eastAsia="en-US"/>
    </w:rPr>
  </w:style>
  <w:style w:type="character" w:customStyle="1" w:styleId="enumlev1Char">
    <w:name w:val="enumlev1 Char"/>
    <w:basedOn w:val="DefaultParagraphFont"/>
    <w:link w:val="enumlev1"/>
    <w:locked/>
    <w:rsid w:val="0088381E"/>
    <w:rPr>
      <w:rFonts w:ascii="Calibri" w:hAnsi="Calibri"/>
      <w:sz w:val="24"/>
      <w:lang w:val="en-GB" w:eastAsia="en-US"/>
    </w:rPr>
  </w:style>
  <w:style w:type="character" w:customStyle="1" w:styleId="href">
    <w:name w:val="href"/>
    <w:basedOn w:val="DefaultParagraphFont"/>
    <w:uiPriority w:val="99"/>
    <w:rsid w:val="0088381E"/>
    <w:rPr>
      <w:lang w:val="ru-RU"/>
    </w:rPr>
  </w:style>
  <w:style w:type="table" w:styleId="GridTable1Light-Accent1">
    <w:name w:val="Grid Table 1 Light Accent 1"/>
    <w:basedOn w:val="TableNormal"/>
    <w:uiPriority w:val="46"/>
    <w:rsid w:val="003505D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able">
    <w:name w:val="Table_#"/>
    <w:basedOn w:val="Normal"/>
    <w:next w:val="Normal"/>
    <w:rsid w:val="00751A00"/>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CommentSubject">
    <w:name w:val="annotation subject"/>
    <w:basedOn w:val="CommentText"/>
    <w:next w:val="CommentText"/>
    <w:link w:val="CommentSubjectChar"/>
    <w:semiHidden/>
    <w:unhideWhenUsed/>
    <w:rsid w:val="007C496F"/>
    <w:pPr>
      <w:overflowPunct w:val="0"/>
      <w:autoSpaceDE w:val="0"/>
      <w:autoSpaceDN w:val="0"/>
      <w:adjustRightInd w:val="0"/>
      <w:spacing w:before="120"/>
      <w:textAlignment w:val="baseline"/>
    </w:pPr>
    <w:rPr>
      <w:rFonts w:ascii="Calibri" w:eastAsia="Times New Roman" w:hAnsi="Calibri"/>
      <w:b/>
      <w:bCs/>
      <w:lang w:val="en-GB" w:eastAsia="en-US"/>
    </w:rPr>
  </w:style>
  <w:style w:type="character" w:customStyle="1" w:styleId="CommentSubjectChar">
    <w:name w:val="Comment Subject Char"/>
    <w:basedOn w:val="CommentTextChar"/>
    <w:link w:val="CommentSubject"/>
    <w:semiHidden/>
    <w:rsid w:val="007C496F"/>
    <w:rPr>
      <w:rFonts w:ascii="Calibri" w:eastAsia="SimSun" w:hAnsi="Calibri"/>
      <w:b/>
      <w:bCs/>
      <w:lang w:val="en-GB" w:eastAsia="en-US"/>
    </w:rPr>
  </w:style>
  <w:style w:type="paragraph" w:customStyle="1" w:styleId="SimpleHeading">
    <w:name w:val="Simple Heading"/>
    <w:basedOn w:val="Normal"/>
    <w:qFormat/>
    <w:rsid w:val="006046BD"/>
    <w:pPr>
      <w:keepNext/>
      <w:tabs>
        <w:tab w:val="clear" w:pos="567"/>
        <w:tab w:val="clear" w:pos="1134"/>
        <w:tab w:val="clear" w:pos="1701"/>
        <w:tab w:val="clear" w:pos="2268"/>
        <w:tab w:val="clear" w:pos="2835"/>
      </w:tabs>
      <w:overflowPunct/>
      <w:autoSpaceDE/>
      <w:autoSpaceDN/>
      <w:adjustRightInd/>
      <w:spacing w:before="240" w:after="60" w:line="259" w:lineRule="auto"/>
      <w:jc w:val="both"/>
      <w:textAlignment w:val="auto"/>
    </w:pPr>
    <w:rPr>
      <w:rFonts w:asciiTheme="minorHAnsi" w:eastAsiaTheme="minorHAnsi" w:hAnsiTheme="minorHAnsi" w:cstheme="minorBidi"/>
      <w:b/>
      <w:szCs w:val="22"/>
      <w:lang w:val="en-US"/>
    </w:rPr>
  </w:style>
  <w:style w:type="character" w:styleId="UnresolvedMention">
    <w:name w:val="Unresolved Mention"/>
    <w:basedOn w:val="DefaultParagraphFont"/>
    <w:uiPriority w:val="99"/>
    <w:semiHidden/>
    <w:unhideWhenUsed/>
    <w:rsid w:val="000E3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6895">
      <w:bodyDiv w:val="1"/>
      <w:marLeft w:val="0"/>
      <w:marRight w:val="0"/>
      <w:marTop w:val="0"/>
      <w:marBottom w:val="0"/>
      <w:divBdr>
        <w:top w:val="none" w:sz="0" w:space="0" w:color="auto"/>
        <w:left w:val="none" w:sz="0" w:space="0" w:color="auto"/>
        <w:bottom w:val="none" w:sz="0" w:space="0" w:color="auto"/>
        <w:right w:val="none" w:sz="0" w:space="0" w:color="auto"/>
      </w:divBdr>
    </w:div>
    <w:div w:id="85618829">
      <w:bodyDiv w:val="1"/>
      <w:marLeft w:val="0"/>
      <w:marRight w:val="0"/>
      <w:marTop w:val="0"/>
      <w:marBottom w:val="0"/>
      <w:divBdr>
        <w:top w:val="none" w:sz="0" w:space="0" w:color="auto"/>
        <w:left w:val="none" w:sz="0" w:space="0" w:color="auto"/>
        <w:bottom w:val="none" w:sz="0" w:space="0" w:color="auto"/>
        <w:right w:val="none" w:sz="0" w:space="0" w:color="auto"/>
      </w:divBdr>
    </w:div>
    <w:div w:id="579102066">
      <w:bodyDiv w:val="1"/>
      <w:marLeft w:val="0"/>
      <w:marRight w:val="0"/>
      <w:marTop w:val="0"/>
      <w:marBottom w:val="0"/>
      <w:divBdr>
        <w:top w:val="none" w:sz="0" w:space="0" w:color="auto"/>
        <w:left w:val="none" w:sz="0" w:space="0" w:color="auto"/>
        <w:bottom w:val="none" w:sz="0" w:space="0" w:color="auto"/>
        <w:right w:val="none" w:sz="0" w:space="0" w:color="auto"/>
      </w:divBdr>
    </w:div>
    <w:div w:id="1320575518">
      <w:bodyDiv w:val="1"/>
      <w:marLeft w:val="0"/>
      <w:marRight w:val="0"/>
      <w:marTop w:val="0"/>
      <w:marBottom w:val="0"/>
      <w:divBdr>
        <w:top w:val="none" w:sz="0" w:space="0" w:color="auto"/>
        <w:left w:val="none" w:sz="0" w:space="0" w:color="auto"/>
        <w:bottom w:val="none" w:sz="0" w:space="0" w:color="auto"/>
        <w:right w:val="none" w:sz="0" w:space="0" w:color="auto"/>
      </w:divBdr>
    </w:div>
    <w:div w:id="1461459772">
      <w:bodyDiv w:val="1"/>
      <w:marLeft w:val="0"/>
      <w:marRight w:val="0"/>
      <w:marTop w:val="0"/>
      <w:marBottom w:val="0"/>
      <w:divBdr>
        <w:top w:val="none" w:sz="0" w:space="0" w:color="auto"/>
        <w:left w:val="none" w:sz="0" w:space="0" w:color="auto"/>
        <w:bottom w:val="none" w:sz="0" w:space="0" w:color="auto"/>
        <w:right w:val="none" w:sz="0" w:space="0" w:color="auto"/>
      </w:divBdr>
    </w:div>
    <w:div w:id="1469662974">
      <w:bodyDiv w:val="1"/>
      <w:marLeft w:val="0"/>
      <w:marRight w:val="0"/>
      <w:marTop w:val="0"/>
      <w:marBottom w:val="0"/>
      <w:divBdr>
        <w:top w:val="none" w:sz="0" w:space="0" w:color="auto"/>
        <w:left w:val="none" w:sz="0" w:space="0" w:color="auto"/>
        <w:bottom w:val="none" w:sz="0" w:space="0" w:color="auto"/>
        <w:right w:val="none" w:sz="0" w:space="0" w:color="auto"/>
      </w:divBdr>
    </w:div>
    <w:div w:id="1584147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ncsguide.org/the-guide/" TargetMode="External"/><Relationship Id="rId2" Type="http://schemas.openxmlformats.org/officeDocument/2006/relationships/hyperlink" Target="https://www.itu.int/epublications/publication/D-STR-GCI.01-2021-HTM-E/" TargetMode="External"/><Relationship Id="rId1" Type="http://schemas.openxmlformats.org/officeDocument/2006/relationships/hyperlink" Target="https://digitallibrary.un.org/record/3895436?ln=en" TargetMode="External"/><Relationship Id="rId4" Type="http://schemas.openxmlformats.org/officeDocument/2006/relationships/hyperlink" Target="https://view.officeapps.live.com/op/view.aspx?src=https%3A%2F%2Fwww.itu.int%2Fdms_pub%2Fitu-s%2Fmd%2F22%2Fcwgsfp2%2Fc%2FS22-CWGSFP2-C-0002!!MSW-E.docx&amp;wdOrigin=BROWSELIN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PE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FE96C3E44B9B42930888C51A5BBA72" ma:contentTypeVersion="6" ma:contentTypeDescription="Create a new document." ma:contentTypeScope="" ma:versionID="09fda9e22ecce8f3364b83cd3fa741fd">
  <xsd:schema xmlns:xsd="http://www.w3.org/2001/XMLSchema" xmlns:xs="http://www.w3.org/2001/XMLSchema" xmlns:p="http://schemas.microsoft.com/office/2006/metadata/properties" xmlns:ns2="2ee27016-ed1a-4cf8-bcc9-fa6a27349352" xmlns:ns3="a8a026bf-b100-42f1-9dd5-7cbc76b456c8" targetNamespace="http://schemas.microsoft.com/office/2006/metadata/properties" ma:root="true" ma:fieldsID="848e42f2aca173aa99242a20e82e0abb" ns2:_="" ns3:_="">
    <xsd:import namespace="2ee27016-ed1a-4cf8-bcc9-fa6a27349352"/>
    <xsd:import namespace="a8a026bf-b100-42f1-9dd5-7cbc76b456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27016-ed1a-4cf8-bcc9-fa6a273493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a026bf-b100-42f1-9dd5-7cbc76b456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820873-0F1A-4A70-A1A2-54FA35CF2690}">
  <ds:schemaRefs>
    <ds:schemaRef ds:uri="http://schemas.openxmlformats.org/officeDocument/2006/bibliography"/>
  </ds:schemaRefs>
</ds:datastoreItem>
</file>

<file path=customXml/itemProps2.xml><?xml version="1.0" encoding="utf-8"?>
<ds:datastoreItem xmlns:ds="http://schemas.openxmlformats.org/officeDocument/2006/customXml" ds:itemID="{4FCCF52F-8B54-4A68-AABB-480DFD15F48B}">
  <ds:schemaRefs>
    <ds:schemaRef ds:uri="http://schemas.microsoft.com/sharepoint/v3/contenttype/forms"/>
  </ds:schemaRefs>
</ds:datastoreItem>
</file>

<file path=customXml/itemProps3.xml><?xml version="1.0" encoding="utf-8"?>
<ds:datastoreItem xmlns:ds="http://schemas.openxmlformats.org/officeDocument/2006/customXml" ds:itemID="{AC372FD0-7A14-4622-9D99-FDEFF2237F3B}">
  <ds:schemaRefs>
    <ds:schemaRef ds:uri="http://purl.org/dc/dcmitype/"/>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terms/"/>
    <ds:schemaRef ds:uri="2ee27016-ed1a-4cf8-bcc9-fa6a27349352"/>
    <ds:schemaRef ds:uri="http://schemas.openxmlformats.org/package/2006/metadata/core-properties"/>
    <ds:schemaRef ds:uri="a8a026bf-b100-42f1-9dd5-7cbc76b456c8"/>
    <ds:schemaRef ds:uri="http://www.w3.org/XML/1998/namespace"/>
  </ds:schemaRefs>
</ds:datastoreItem>
</file>

<file path=customXml/itemProps4.xml><?xml version="1.0" encoding="utf-8"?>
<ds:datastoreItem xmlns:ds="http://schemas.openxmlformats.org/officeDocument/2006/customXml" ds:itemID="{9827B65E-B2B9-452F-BC26-B27409AB5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27016-ed1a-4cf8-bcc9-fa6a27349352"/>
    <ds:schemaRef ds:uri="a8a026bf-b100-42f1-9dd5-7cbc76b45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PE_C21.dotx</Template>
  <TotalTime>4</TotalTime>
  <Pages>3</Pages>
  <Words>927</Words>
  <Characters>5611</Characters>
  <Application>Microsoft Office Word</Application>
  <DocSecurity>0</DocSecurity>
  <Lines>46</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European common proposals for the CWG-SFP</vt:lpstr>
      <vt:lpstr>Contribution from the Russian Federation - Proposals from the Russian Federation for the revision of the main body of Resolution 71 (Rev. Dubai, 2018), "Strategic plan for the Union for 2020-2023"</vt:lpstr>
    </vt:vector>
  </TitlesOfParts>
  <Manager>General Secretariat - Pool</Manager>
  <Company>International Telecommunication Union (ITU)</Company>
  <LinksUpToDate>false</LinksUpToDate>
  <CharactersWithSpaces>6525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common proposals for the CWG-SFP</dc:title>
  <dc:subject>Council Working Group for Strategic and Financial Plans 2024-2027</dc:subject>
  <dc:creator>Xue, Kun</dc:creator>
  <cp:keywords>CWG-SFP</cp:keywords>
  <dc:description/>
  <cp:lastModifiedBy>Brouard, Ricarda</cp:lastModifiedBy>
  <cp:revision>3</cp:revision>
  <cp:lastPrinted>2022-01-06T11:14:00Z</cp:lastPrinted>
  <dcterms:created xsi:type="dcterms:W3CDTF">2022-02-15T15:06:00Z</dcterms:created>
  <dcterms:modified xsi:type="dcterms:W3CDTF">2022-02-15T15:11:00Z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y fmtid="{D5CDD505-2E9C-101B-9397-08002B2CF9AE}" pid="8" name="ContentTypeId">
    <vt:lpwstr>0x01010023FE96C3E44B9B42930888C51A5BBA72</vt:lpwstr>
  </property>
</Properties>
</file>