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E63FAF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E63FAF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E63F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E63F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E63F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E63F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E63F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E63FAF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63FAF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0C49B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BBF14F0" w:rsidR="00821479" w:rsidRPr="00E63FAF" w:rsidRDefault="00C24548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Третье </w:t>
            </w:r>
            <w:r w:rsidR="00821479"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>собрание –</w:t>
            </w:r>
            <w:r w:rsidR="00DF2730"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>21 и 22 февраля</w:t>
            </w:r>
            <w:r w:rsidR="00DF2730"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E63FA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E63FA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C49B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E63FAF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E63FA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63FAF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E63FAF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9AED792" w:rsidR="00821479" w:rsidRPr="00E63FAF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63FAF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E63FAF">
              <w:rPr>
                <w:b/>
                <w:bCs/>
                <w:szCs w:val="22"/>
                <w:lang w:val="ru-RU"/>
              </w:rPr>
              <w:t>CWG-SFP-</w:t>
            </w:r>
            <w:r w:rsidR="00C24548" w:rsidRPr="00E63FAF">
              <w:rPr>
                <w:b/>
                <w:bCs/>
                <w:szCs w:val="22"/>
                <w:lang w:val="ru-RU"/>
              </w:rPr>
              <w:t>3</w:t>
            </w:r>
            <w:r w:rsidR="0076356D" w:rsidRPr="00E63FAF">
              <w:rPr>
                <w:b/>
                <w:bCs/>
                <w:szCs w:val="22"/>
                <w:lang w:val="ru-RU"/>
              </w:rPr>
              <w:t>/</w:t>
            </w:r>
            <w:r w:rsidR="00C24548" w:rsidRPr="00E63FAF">
              <w:rPr>
                <w:b/>
                <w:bCs/>
                <w:szCs w:val="22"/>
                <w:lang w:val="ru-RU"/>
              </w:rPr>
              <w:t>14</w:t>
            </w:r>
            <w:r w:rsidR="00821479" w:rsidRPr="00E63FA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E63FAF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E63FA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FE484EE" w:rsidR="00821479" w:rsidRPr="00E63FAF" w:rsidRDefault="00C24548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3FAF">
              <w:rPr>
                <w:b/>
                <w:bCs/>
                <w:szCs w:val="22"/>
                <w:lang w:val="ru-RU"/>
              </w:rPr>
              <w:t>7 февраля</w:t>
            </w:r>
            <w:r w:rsidR="00EA72A3" w:rsidRPr="00E63FAF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E63FAF">
              <w:rPr>
                <w:b/>
                <w:bCs/>
                <w:szCs w:val="22"/>
                <w:lang w:val="ru-RU"/>
              </w:rPr>
              <w:t>20</w:t>
            </w:r>
            <w:r w:rsidR="00DF2730" w:rsidRPr="00E63FAF">
              <w:rPr>
                <w:b/>
                <w:bCs/>
                <w:szCs w:val="22"/>
                <w:lang w:val="ru-RU"/>
              </w:rPr>
              <w:t>2</w:t>
            </w:r>
            <w:r w:rsidR="00C218A3" w:rsidRPr="00E63FAF">
              <w:rPr>
                <w:b/>
                <w:bCs/>
                <w:szCs w:val="22"/>
                <w:lang w:val="ru-RU"/>
              </w:rPr>
              <w:t>2</w:t>
            </w:r>
            <w:r w:rsidR="00821479" w:rsidRPr="00E63FA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E63FAF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E63FA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1AF6DBCE" w:rsidR="00821479" w:rsidRPr="00E63FAF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3FAF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24548" w:rsidRPr="00E63FAF">
              <w:rPr>
                <w:b/>
                <w:bCs/>
                <w:szCs w:val="22"/>
                <w:lang w:val="ru-RU"/>
              </w:rPr>
              <w:t>испан</w:t>
            </w:r>
            <w:r w:rsidR="00C218A3" w:rsidRPr="00E63FAF">
              <w:rPr>
                <w:b/>
                <w:bCs/>
                <w:szCs w:val="22"/>
                <w:lang w:val="ru-RU"/>
              </w:rPr>
              <w:t>ски</w:t>
            </w:r>
            <w:r w:rsidR="00F11910" w:rsidRPr="00E63FAF">
              <w:rPr>
                <w:b/>
                <w:bCs/>
                <w:szCs w:val="22"/>
                <w:lang w:val="ru-RU"/>
              </w:rPr>
              <w:t>й</w:t>
            </w:r>
          </w:p>
        </w:tc>
      </w:tr>
      <w:tr w:rsidR="00C31004" w:rsidRPr="00E63FAF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387AF7EE" w:rsidR="00C31004" w:rsidRPr="00E63FAF" w:rsidRDefault="00C87630" w:rsidP="00E63FAF">
            <w:pPr>
              <w:pStyle w:val="Source"/>
              <w:rPr>
                <w:lang w:val="ru-RU"/>
              </w:rPr>
            </w:pPr>
            <w:r w:rsidRPr="00E63FAF">
              <w:rPr>
                <w:lang w:val="ru-RU"/>
              </w:rPr>
              <w:t xml:space="preserve">Вклад </w:t>
            </w:r>
            <w:r w:rsidR="00C24548" w:rsidRPr="00E63FAF">
              <w:rPr>
                <w:lang w:val="ru-RU"/>
              </w:rPr>
              <w:t>Парагвая (Республики)</w:t>
            </w:r>
          </w:p>
        </w:tc>
      </w:tr>
      <w:tr w:rsidR="00C31004" w:rsidRPr="000C49B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A9E2967" w:rsidR="00C31004" w:rsidRPr="00E63FAF" w:rsidRDefault="00C218A3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E63FAF">
              <w:rPr>
                <w:lang w:val="ru-RU"/>
              </w:rPr>
              <w:t xml:space="preserve">ПРЕДЛОЖЕНИЯ ПО ПРИЛОЖЕНИЮ 1 К СТРАТЕГИЧЕСКОМУ ПЛАНУ МСЭ </w:t>
            </w:r>
            <w:r w:rsidR="003E6E0D" w:rsidRPr="00E63FAF">
              <w:rPr>
                <w:lang w:val="ru-RU"/>
              </w:rPr>
              <w:br/>
            </w:r>
            <w:r w:rsidRPr="00E63FAF">
              <w:rPr>
                <w:lang w:val="ru-RU"/>
              </w:rPr>
              <w:t>НА 2024–2027 ГОДЫ</w:t>
            </w:r>
          </w:p>
        </w:tc>
      </w:tr>
      <w:tr w:rsidR="000C49B0" w:rsidRPr="000C49B0" w14:paraId="4D38052E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CDE74EB" w14:textId="77777777" w:rsidR="000C49B0" w:rsidRPr="00E63FAF" w:rsidRDefault="000C49B0" w:rsidP="000C49B0">
            <w:pPr>
              <w:pStyle w:val="Normalaftertitle"/>
              <w:jc w:val="center"/>
              <w:rPr>
                <w:lang w:val="ru-RU"/>
              </w:rPr>
            </w:pPr>
          </w:p>
        </w:tc>
      </w:tr>
    </w:tbl>
    <w:p w14:paraId="58664247" w14:textId="77777777" w:rsidR="00C218A3" w:rsidRPr="00E63FAF" w:rsidRDefault="00C218A3" w:rsidP="003E6E0D">
      <w:pPr>
        <w:pStyle w:val="Headingb"/>
        <w:rPr>
          <w:lang w:val="ru-RU"/>
        </w:rPr>
      </w:pPr>
      <w:r w:rsidRPr="00E63FAF">
        <w:rPr>
          <w:lang w:val="ru-RU"/>
        </w:rPr>
        <w:t>Введение</w:t>
      </w:r>
    </w:p>
    <w:p w14:paraId="6B5A395D" w14:textId="2FB71B6F" w:rsidR="0091755D" w:rsidRPr="00E63FAF" w:rsidRDefault="0091755D" w:rsidP="003E6E0D">
      <w:pPr>
        <w:rPr>
          <w:lang w:val="ru-RU"/>
        </w:rPr>
      </w:pPr>
      <w:r w:rsidRPr="00E63FAF">
        <w:rPr>
          <w:lang w:val="ru-RU"/>
        </w:rPr>
        <w:t xml:space="preserve">Парагвай хотел бы предложить ряд наблюдений и </w:t>
      </w:r>
      <w:r w:rsidR="00C218A3" w:rsidRPr="00E63FAF">
        <w:rPr>
          <w:lang w:val="ru-RU"/>
        </w:rPr>
        <w:t>предложени</w:t>
      </w:r>
      <w:r w:rsidRPr="00E63FAF">
        <w:rPr>
          <w:lang w:val="ru-RU"/>
        </w:rPr>
        <w:t>й</w:t>
      </w:r>
      <w:r w:rsidR="00C218A3" w:rsidRPr="00E63FAF">
        <w:rPr>
          <w:lang w:val="ru-RU"/>
        </w:rPr>
        <w:t xml:space="preserve"> общего характера </w:t>
      </w:r>
      <w:r w:rsidRPr="00E63FAF">
        <w:rPr>
          <w:lang w:val="ru-RU"/>
        </w:rPr>
        <w:t>по</w:t>
      </w:r>
      <w:r w:rsidR="00C218A3" w:rsidRPr="00E63FAF">
        <w:rPr>
          <w:lang w:val="ru-RU"/>
        </w:rPr>
        <w:t xml:space="preserve"> разработк</w:t>
      </w:r>
      <w:r w:rsidRPr="00E63FAF">
        <w:rPr>
          <w:lang w:val="ru-RU"/>
        </w:rPr>
        <w:t>е</w:t>
      </w:r>
      <w:r w:rsidR="00C218A3" w:rsidRPr="00E63FAF">
        <w:rPr>
          <w:lang w:val="ru-RU"/>
        </w:rPr>
        <w:t xml:space="preserve"> Стратегического плана МСЭ на 2024–2027 годы</w:t>
      </w:r>
      <w:r w:rsidRPr="00E63FAF">
        <w:rPr>
          <w:lang w:val="ru-RU"/>
        </w:rPr>
        <w:t xml:space="preserve">, </w:t>
      </w:r>
      <w:r w:rsidR="003123EB" w:rsidRPr="00E63FAF">
        <w:rPr>
          <w:lang w:val="ru-RU"/>
        </w:rPr>
        <w:t xml:space="preserve">в </w:t>
      </w:r>
      <w:r w:rsidRPr="00E63FAF">
        <w:rPr>
          <w:lang w:val="ru-RU"/>
        </w:rPr>
        <w:t xml:space="preserve">частности проекта Приложения 1 к </w:t>
      </w:r>
      <w:r w:rsidR="00C218A3" w:rsidRPr="00E63FAF">
        <w:rPr>
          <w:lang w:val="ru-RU"/>
        </w:rPr>
        <w:t>Резолюции 71</w:t>
      </w:r>
      <w:r w:rsidRPr="00E63FAF">
        <w:rPr>
          <w:lang w:val="ru-RU"/>
        </w:rPr>
        <w:t>.</w:t>
      </w:r>
    </w:p>
    <w:p w14:paraId="40E32B36" w14:textId="740A04CE" w:rsidR="003E42B4" w:rsidRPr="00E63FAF" w:rsidRDefault="003E42B4" w:rsidP="003E42B4">
      <w:pPr>
        <w:rPr>
          <w:lang w:val="ru-RU"/>
        </w:rPr>
      </w:pPr>
      <w:r w:rsidRPr="00E63FAF">
        <w:rPr>
          <w:lang w:val="ru-RU"/>
        </w:rPr>
        <w:t>Общее замечание: мы считаем, что Международный союз электросвязи (МСЭ) как специализированное учреждение Организации Объединенных Наций</w:t>
      </w:r>
      <w:r w:rsidR="00EF39CE" w:rsidRPr="00E63FAF">
        <w:rPr>
          <w:lang w:val="ru-RU"/>
        </w:rPr>
        <w:t xml:space="preserve"> в области электросвязи и информационно-коммуникационных технологий не только предоставляет помощь своим Членам</w:t>
      </w:r>
      <w:r w:rsidR="00141C92" w:rsidRPr="00E63FAF">
        <w:rPr>
          <w:lang w:val="ru-RU"/>
        </w:rPr>
        <w:t>, но способствует выполнению обязательств, взятых на себя системой Организации Объединенных Наций</w:t>
      </w:r>
      <w:r w:rsidRPr="00E63FAF">
        <w:rPr>
          <w:lang w:val="ru-RU"/>
        </w:rPr>
        <w:t xml:space="preserve"> (</w:t>
      </w:r>
      <w:r w:rsidR="00141C92" w:rsidRPr="00E63FAF">
        <w:rPr>
          <w:lang w:val="ru-RU"/>
        </w:rPr>
        <w:t>таких как Направления деятельности Всемирной встречи на высшем уровне по вопросам информационного общества</w:t>
      </w:r>
      <w:r w:rsidR="008A4330" w:rsidRPr="00E63FAF">
        <w:rPr>
          <w:lang w:val="ru-RU"/>
        </w:rPr>
        <w:t xml:space="preserve"> и Цели в области устойчивого развития, которые включены в измененный документ</w:t>
      </w:r>
      <w:r w:rsidRPr="00E63FAF">
        <w:rPr>
          <w:lang w:val="ru-RU"/>
        </w:rPr>
        <w:t xml:space="preserve">). </w:t>
      </w:r>
      <w:r w:rsidR="008A4330" w:rsidRPr="00E63FAF">
        <w:rPr>
          <w:lang w:val="ru-RU"/>
        </w:rPr>
        <w:t xml:space="preserve">Вследствие этого мы полагаем, что </w:t>
      </w:r>
      <w:r w:rsidR="003123EB" w:rsidRPr="00E63FAF">
        <w:rPr>
          <w:lang w:val="ru-RU"/>
        </w:rPr>
        <w:t>данную</w:t>
      </w:r>
      <w:r w:rsidR="008A4330" w:rsidRPr="00E63FAF">
        <w:rPr>
          <w:lang w:val="ru-RU"/>
        </w:rPr>
        <w:t xml:space="preserve"> концепцию следует включить в проект текста</w:t>
      </w:r>
      <w:r w:rsidRPr="00E63FAF">
        <w:rPr>
          <w:lang w:val="ru-RU"/>
        </w:rPr>
        <w:t xml:space="preserve">. </w:t>
      </w:r>
    </w:p>
    <w:p w14:paraId="65FD8B5C" w14:textId="7DD4170A" w:rsidR="003E42B4" w:rsidRPr="00E63FAF" w:rsidRDefault="00E32EA5" w:rsidP="003E42B4">
      <w:pPr>
        <w:pStyle w:val="Headingb"/>
        <w:rPr>
          <w:lang w:val="ru-RU"/>
        </w:rPr>
      </w:pPr>
      <w:r w:rsidRPr="00E63FAF">
        <w:rPr>
          <w:lang w:val="ru-RU"/>
        </w:rPr>
        <w:t>Предложения</w:t>
      </w:r>
    </w:p>
    <w:p w14:paraId="4AD832F8" w14:textId="4042AE57" w:rsidR="003E42B4" w:rsidRPr="00E63FAF" w:rsidRDefault="003E42B4" w:rsidP="003E42B4">
      <w:pPr>
        <w:pStyle w:val="enumlev1"/>
        <w:rPr>
          <w:lang w:val="ru-RU"/>
        </w:rPr>
      </w:pPr>
      <w:r w:rsidRPr="00E63FAF">
        <w:rPr>
          <w:b/>
          <w:bCs/>
          <w:lang w:val="ru-RU"/>
        </w:rPr>
        <w:t>1</w:t>
      </w:r>
      <w:r w:rsidRPr="00E63FAF">
        <w:rPr>
          <w:b/>
          <w:bCs/>
          <w:lang w:val="ru-RU"/>
        </w:rPr>
        <w:tab/>
      </w:r>
      <w:r w:rsidR="00E32EA5" w:rsidRPr="00E63FAF">
        <w:rPr>
          <w:b/>
          <w:bCs/>
          <w:lang w:val="ru-RU"/>
        </w:rPr>
        <w:t>Раздел</w:t>
      </w:r>
      <w:r w:rsidRPr="00E63FAF">
        <w:rPr>
          <w:b/>
          <w:bCs/>
          <w:lang w:val="ru-RU"/>
        </w:rPr>
        <w:t xml:space="preserve"> 2.7</w:t>
      </w:r>
      <w:r w:rsidR="00E32EA5" w:rsidRPr="00E63FAF">
        <w:rPr>
          <w:b/>
          <w:bCs/>
          <w:lang w:val="ru-RU"/>
        </w:rPr>
        <w:t xml:space="preserve"> "Предлагаемые продукты и услуги", подраздел "</w:t>
      </w:r>
      <w:r w:rsidR="00E32EA5" w:rsidRPr="00E63FAF">
        <w:rPr>
          <w:b/>
          <w:bCs/>
          <w:i/>
          <w:iCs/>
          <w:color w:val="000000"/>
          <w:lang w:val="ru-RU"/>
        </w:rPr>
        <w:t>Разработка и применение международных регуляторных норм</w:t>
      </w:r>
      <w:r w:rsidR="00E32EA5" w:rsidRPr="00E63FAF">
        <w:rPr>
          <w:b/>
          <w:bCs/>
          <w:color w:val="000000"/>
          <w:lang w:val="ru-RU"/>
        </w:rPr>
        <w:t>"</w:t>
      </w:r>
      <w:r w:rsidRPr="00E63FAF">
        <w:rPr>
          <w:lang w:val="ru-RU"/>
        </w:rPr>
        <w:t xml:space="preserve">: </w:t>
      </w:r>
      <w:r w:rsidR="00E32EA5" w:rsidRPr="00E63FAF">
        <w:rPr>
          <w:lang w:val="ru-RU"/>
        </w:rPr>
        <w:t>пункты</w:t>
      </w:r>
      <w:r w:rsidRPr="00E63FAF">
        <w:rPr>
          <w:lang w:val="ru-RU"/>
        </w:rPr>
        <w:t xml:space="preserve"> 37</w:t>
      </w:r>
      <w:r w:rsidR="00E32EA5" w:rsidRPr="00E63FAF">
        <w:rPr>
          <w:lang w:val="ru-RU"/>
        </w:rPr>
        <w:t>–</w:t>
      </w:r>
      <w:r w:rsidRPr="00E63FAF">
        <w:rPr>
          <w:lang w:val="ru-RU"/>
        </w:rPr>
        <w:t xml:space="preserve">39 (CWG-SFP-3/4) </w:t>
      </w:r>
      <w:r w:rsidR="00E32EA5" w:rsidRPr="00E63FAF">
        <w:rPr>
          <w:lang w:val="ru-RU"/>
        </w:rPr>
        <w:t>отража</w:t>
      </w:r>
      <w:r w:rsidR="003123EB" w:rsidRPr="00E63FAF">
        <w:rPr>
          <w:lang w:val="ru-RU"/>
        </w:rPr>
        <w:t>ю</w:t>
      </w:r>
      <w:r w:rsidR="00E32EA5" w:rsidRPr="00E63FAF">
        <w:rPr>
          <w:lang w:val="ru-RU"/>
        </w:rPr>
        <w:t>т задачи и применение Регламента радиосвязи</w:t>
      </w:r>
      <w:r w:rsidR="00E63FAF" w:rsidRPr="00E63FAF">
        <w:rPr>
          <w:lang w:val="ru-RU"/>
        </w:rPr>
        <w:t xml:space="preserve"> (РР)</w:t>
      </w:r>
      <w:r w:rsidRPr="00E63FAF">
        <w:rPr>
          <w:lang w:val="ru-RU"/>
        </w:rPr>
        <w:t xml:space="preserve">. </w:t>
      </w:r>
      <w:r w:rsidR="000866B3" w:rsidRPr="00E63FAF">
        <w:rPr>
          <w:lang w:val="ru-RU"/>
        </w:rPr>
        <w:t>Вместе с тем в этом подразделе не упоминаются другие административные регламенты, предусмотренные в Статье 4 Устава Союза, а именно</w:t>
      </w:r>
      <w:r w:rsidR="00E63FAF" w:rsidRPr="00E63FAF">
        <w:rPr>
          <w:lang w:val="ru-RU"/>
        </w:rPr>
        <w:t>:</w:t>
      </w:r>
      <w:r w:rsidR="000866B3" w:rsidRPr="00E63FAF">
        <w:rPr>
          <w:lang w:val="ru-RU"/>
        </w:rPr>
        <w:t xml:space="preserve"> Регламент международной электросвязи</w:t>
      </w:r>
      <w:r w:rsidR="00E63FAF" w:rsidRPr="00E63FAF">
        <w:rPr>
          <w:lang w:val="ru-RU"/>
        </w:rPr>
        <w:t xml:space="preserve"> (РМЭ)</w:t>
      </w:r>
      <w:r w:rsidRPr="00E63FAF">
        <w:rPr>
          <w:lang w:val="ru-RU"/>
        </w:rPr>
        <w:t xml:space="preserve">. </w:t>
      </w:r>
      <w:r w:rsidR="000866B3" w:rsidRPr="00E63FAF">
        <w:rPr>
          <w:lang w:val="ru-RU"/>
        </w:rPr>
        <w:t xml:space="preserve">Мнения по данной теме расходятся, как показывают обсуждения в </w:t>
      </w:r>
      <w:r w:rsidR="000866B3" w:rsidRPr="00E63FAF">
        <w:rPr>
          <w:color w:val="000000"/>
          <w:lang w:val="ru-RU"/>
        </w:rPr>
        <w:t>Группе экспертов по Регламенту международной электросвязи в анализируемый период, но положения Устава нельзя игнорировать</w:t>
      </w:r>
      <w:r w:rsidRPr="00E63FAF">
        <w:rPr>
          <w:lang w:val="ru-RU"/>
        </w:rPr>
        <w:t xml:space="preserve">; </w:t>
      </w:r>
      <w:r w:rsidR="000866B3" w:rsidRPr="00E63FAF">
        <w:rPr>
          <w:lang w:val="ru-RU"/>
        </w:rPr>
        <w:t xml:space="preserve">поэтому Секретариату следует при следующем пересмотре предложить </w:t>
      </w:r>
      <w:r w:rsidR="003123EB" w:rsidRPr="00E63FAF">
        <w:rPr>
          <w:lang w:val="ru-RU"/>
        </w:rPr>
        <w:t xml:space="preserve">текст с </w:t>
      </w:r>
      <w:r w:rsidR="000866B3" w:rsidRPr="00E63FAF">
        <w:rPr>
          <w:lang w:val="ru-RU"/>
        </w:rPr>
        <w:t>упоминание</w:t>
      </w:r>
      <w:r w:rsidR="003123EB" w:rsidRPr="00E63FAF">
        <w:rPr>
          <w:lang w:val="ru-RU"/>
        </w:rPr>
        <w:t>м</w:t>
      </w:r>
      <w:r w:rsidR="000866B3" w:rsidRPr="00E63FAF">
        <w:rPr>
          <w:lang w:val="ru-RU"/>
        </w:rPr>
        <w:t xml:space="preserve"> этого документа</w:t>
      </w:r>
      <w:r w:rsidRPr="00E63FAF">
        <w:rPr>
          <w:lang w:val="ru-RU"/>
        </w:rPr>
        <w:t>.</w:t>
      </w:r>
    </w:p>
    <w:p w14:paraId="6328392C" w14:textId="1CA9592E" w:rsidR="003E42B4" w:rsidRPr="00E63FAF" w:rsidRDefault="003E42B4" w:rsidP="003E42B4">
      <w:pPr>
        <w:pStyle w:val="enumlev1"/>
        <w:rPr>
          <w:lang w:val="ru-RU"/>
        </w:rPr>
      </w:pPr>
      <w:r w:rsidRPr="00E63FAF">
        <w:rPr>
          <w:b/>
          <w:bCs/>
          <w:lang w:val="ru-RU"/>
        </w:rPr>
        <w:t>2</w:t>
      </w:r>
      <w:r w:rsidRPr="00E63FAF">
        <w:rPr>
          <w:b/>
          <w:bCs/>
          <w:lang w:val="ru-RU"/>
        </w:rPr>
        <w:tab/>
      </w:r>
      <w:r w:rsidR="000866B3" w:rsidRPr="00E63FAF">
        <w:rPr>
          <w:b/>
          <w:bCs/>
          <w:lang w:val="ru-RU"/>
        </w:rPr>
        <w:t>Раздел 2.7 "Предлагаемые продукты и услуги", подраздел "</w:t>
      </w:r>
      <w:r w:rsidR="000866B3" w:rsidRPr="00E63FAF">
        <w:rPr>
          <w:b/>
          <w:bCs/>
          <w:i/>
          <w:iCs/>
          <w:color w:val="000000"/>
          <w:lang w:val="ru-RU"/>
        </w:rPr>
        <w:t>Предоставление технической помощи</w:t>
      </w:r>
      <w:r w:rsidR="000866B3" w:rsidRPr="00E63FAF">
        <w:rPr>
          <w:b/>
          <w:bCs/>
          <w:lang w:val="ru-RU"/>
        </w:rPr>
        <w:t>"</w:t>
      </w:r>
      <w:r w:rsidRPr="00E63FAF">
        <w:rPr>
          <w:lang w:val="ru-RU"/>
        </w:rPr>
        <w:t xml:space="preserve">: </w:t>
      </w:r>
      <w:r w:rsidR="009D16C2" w:rsidRPr="00E63FAF">
        <w:rPr>
          <w:lang w:val="ru-RU"/>
        </w:rPr>
        <w:t>в соответствии со сказанным выше следует также упомянуть о помощи, которую МСЭ предоставляет не только своим Членам, но и Организации Объединенных Наций в целом и другим организациям системы ООН, входящим в сферу его компетенции</w:t>
      </w:r>
      <w:r w:rsidRPr="00E63FAF">
        <w:rPr>
          <w:lang w:val="ru-RU"/>
        </w:rPr>
        <w:t>.</w:t>
      </w:r>
    </w:p>
    <w:p w14:paraId="1926281A" w14:textId="514057F0" w:rsidR="003E42B4" w:rsidRPr="00E63FAF" w:rsidRDefault="003E42B4" w:rsidP="00E63FAF">
      <w:pPr>
        <w:pStyle w:val="enumlev1"/>
        <w:rPr>
          <w:lang w:val="ru-RU"/>
        </w:rPr>
      </w:pPr>
      <w:r w:rsidRPr="00E63FAF">
        <w:rPr>
          <w:lang w:val="ru-RU"/>
        </w:rPr>
        <w:tab/>
      </w:r>
      <w:r w:rsidR="009D16C2" w:rsidRPr="00E63FAF">
        <w:rPr>
          <w:lang w:val="ru-RU"/>
        </w:rPr>
        <w:t xml:space="preserve">Так, следует упомянуть </w:t>
      </w:r>
      <w:r w:rsidR="00773A63" w:rsidRPr="00E63FAF">
        <w:rPr>
          <w:lang w:val="ru-RU"/>
        </w:rPr>
        <w:t>Венскую программу действий для развивающихся стран, не имеющих выхода к морю, на десятилетие</w:t>
      </w:r>
      <w:r w:rsidRPr="00E63FAF">
        <w:rPr>
          <w:lang w:val="ru-RU"/>
        </w:rPr>
        <w:t xml:space="preserve"> 2014–2024</w:t>
      </w:r>
      <w:r w:rsidR="00773A63" w:rsidRPr="00E63FAF">
        <w:rPr>
          <w:lang w:val="ru-RU"/>
        </w:rPr>
        <w:t> годов в связи с приоритетом, придаваемым инфраструктуре электросвязи</w:t>
      </w:r>
      <w:r w:rsidRPr="00E63FAF">
        <w:rPr>
          <w:lang w:val="ru-RU"/>
        </w:rPr>
        <w:t xml:space="preserve">. </w:t>
      </w:r>
      <w:r w:rsidR="00773A63" w:rsidRPr="00E63FAF">
        <w:rPr>
          <w:lang w:val="ru-RU"/>
        </w:rPr>
        <w:t>В тексте также следует отметить рекомендации, вынесенные Объединенной инспекционной группой в докладе "Обзор поддержки, оказываемой системой Организации Объединенных Наций развивающимся странам, не имеющим выхода к морю, в осуществлении Венской программы действий"</w:t>
      </w:r>
      <w:r w:rsidRPr="00E63FAF">
        <w:rPr>
          <w:lang w:val="ru-RU"/>
        </w:rPr>
        <w:t xml:space="preserve"> (JIU/REP/2021/2)</w:t>
      </w:r>
      <w:r w:rsidR="00773A63" w:rsidRPr="00E63FAF">
        <w:rPr>
          <w:lang w:val="ru-RU"/>
        </w:rPr>
        <w:t>, включенном в Документ </w:t>
      </w:r>
      <w:r w:rsidRPr="00E63FAF">
        <w:rPr>
          <w:lang w:val="ru-RU"/>
        </w:rPr>
        <w:t>CWG</w:t>
      </w:r>
      <w:r w:rsidR="00773A63" w:rsidRPr="00E63FAF">
        <w:rPr>
          <w:lang w:val="ru-RU"/>
        </w:rPr>
        <w:noBreakHyphen/>
      </w:r>
      <w:r w:rsidRPr="00E63FAF">
        <w:rPr>
          <w:lang w:val="ru-RU"/>
        </w:rPr>
        <w:t>FHR</w:t>
      </w:r>
      <w:r w:rsidR="00773A63" w:rsidRPr="00E63FAF">
        <w:rPr>
          <w:lang w:val="ru-RU"/>
        </w:rPr>
        <w:noBreakHyphen/>
      </w:r>
      <w:r w:rsidRPr="00E63FAF">
        <w:rPr>
          <w:lang w:val="ru-RU"/>
        </w:rPr>
        <w:t xml:space="preserve">15/2 </w:t>
      </w:r>
      <w:r w:rsidR="00773A63" w:rsidRPr="00E63FAF">
        <w:rPr>
          <w:lang w:val="ru-RU"/>
        </w:rPr>
        <w:t>Рабочей группы Совета по финансовым и людским ресурсам</w:t>
      </w:r>
      <w:r w:rsidRPr="00E63FAF">
        <w:rPr>
          <w:lang w:val="ru-RU"/>
        </w:rPr>
        <w:t>.</w:t>
      </w:r>
    </w:p>
    <w:p w14:paraId="67DD1C20" w14:textId="59270955" w:rsidR="003E42B4" w:rsidRPr="00E63FAF" w:rsidRDefault="003E42B4" w:rsidP="003E42B4">
      <w:pPr>
        <w:pStyle w:val="enumlev1"/>
        <w:rPr>
          <w:lang w:val="ru-RU"/>
        </w:rPr>
      </w:pPr>
      <w:r w:rsidRPr="00E63FAF">
        <w:rPr>
          <w:lang w:val="ru-RU"/>
        </w:rPr>
        <w:lastRenderedPageBreak/>
        <w:tab/>
      </w:r>
      <w:r w:rsidR="00773A63" w:rsidRPr="00E63FAF">
        <w:rPr>
          <w:lang w:val="ru-RU"/>
        </w:rPr>
        <w:t xml:space="preserve">Упоминание следует включить в данный подраздел или, если это невозможно, следует предложить Секретариату </w:t>
      </w:r>
      <w:r w:rsidR="00595386" w:rsidRPr="00E63FAF">
        <w:rPr>
          <w:lang w:val="ru-RU"/>
        </w:rPr>
        <w:t>составить новый подраздел (который можно озаглавить "Сотрудничество с другими организациями системы Организации Объединенных Наций"</w:t>
      </w:r>
      <w:r w:rsidR="00E63FAF" w:rsidRPr="00E63FAF">
        <w:rPr>
          <w:lang w:val="ru-RU"/>
        </w:rPr>
        <w:t>)</w:t>
      </w:r>
      <w:r w:rsidRPr="00E63FAF">
        <w:rPr>
          <w:lang w:val="ru-RU"/>
        </w:rPr>
        <w:t>.</w:t>
      </w:r>
    </w:p>
    <w:p w14:paraId="288CD7AF" w14:textId="769CCB9D" w:rsidR="003E42B4" w:rsidRPr="00E63FAF" w:rsidRDefault="003E42B4" w:rsidP="003E42B4">
      <w:pPr>
        <w:pStyle w:val="enumlev1"/>
        <w:rPr>
          <w:lang w:val="ru-RU"/>
        </w:rPr>
      </w:pPr>
      <w:r w:rsidRPr="00E63FAF">
        <w:rPr>
          <w:lang w:val="ru-RU"/>
        </w:rPr>
        <w:tab/>
      </w:r>
      <w:r w:rsidR="00595386" w:rsidRPr="00E63FAF">
        <w:rPr>
          <w:lang w:val="ru-RU"/>
        </w:rPr>
        <w:t>Что касается пункта </w:t>
      </w:r>
      <w:r w:rsidRPr="00E63FAF">
        <w:rPr>
          <w:lang w:val="ru-RU"/>
        </w:rPr>
        <w:t xml:space="preserve">57, </w:t>
      </w:r>
      <w:r w:rsidR="00595386" w:rsidRPr="00E63FAF">
        <w:rPr>
          <w:lang w:val="ru-RU"/>
        </w:rPr>
        <w:t xml:space="preserve">не следует исключать термин "НРС"; вместо этого мы </w:t>
      </w:r>
      <w:r w:rsidR="006F39CD" w:rsidRPr="00E63FAF">
        <w:rPr>
          <w:lang w:val="ru-RU"/>
        </w:rPr>
        <w:t>предлагаем заменить выражение "и НРС" выражением "</w:t>
      </w:r>
      <w:r w:rsidR="00E63FAF" w:rsidRPr="00E63FAF">
        <w:rPr>
          <w:lang w:val="ru-RU"/>
        </w:rPr>
        <w:t xml:space="preserve">, </w:t>
      </w:r>
      <w:r w:rsidR="006F39CD" w:rsidRPr="00E63FAF">
        <w:rPr>
          <w:lang w:val="ru-RU"/>
        </w:rPr>
        <w:t>в частности наименее развитые страны (НРС), малые островные развивающиеся государства (СИДС), развивающиеся страны, не имеющие выхода к морю (ЛЛДС)</w:t>
      </w:r>
      <w:r w:rsidR="003123EB" w:rsidRPr="00E63FAF">
        <w:rPr>
          <w:lang w:val="ru-RU"/>
        </w:rPr>
        <w:t>,</w:t>
      </w:r>
      <w:r w:rsidR="006F39CD" w:rsidRPr="00E63FAF">
        <w:rPr>
          <w:lang w:val="ru-RU"/>
        </w:rPr>
        <w:t xml:space="preserve"> и страны с переходной экономикой"</w:t>
      </w:r>
      <w:r w:rsidRPr="00E63FAF">
        <w:rPr>
          <w:lang w:val="ru-RU"/>
        </w:rPr>
        <w:t xml:space="preserve">. </w:t>
      </w:r>
      <w:r w:rsidR="006F39CD" w:rsidRPr="00E63FAF">
        <w:rPr>
          <w:lang w:val="ru-RU"/>
        </w:rPr>
        <w:t>Мы считаем, что необходимо отметить цифровой разрыв, с которым сталкиваются эти страны, в особенности ввиду его усугубления пандемией</w:t>
      </w:r>
      <w:r w:rsidRPr="00E63FAF">
        <w:rPr>
          <w:lang w:val="ru-RU"/>
        </w:rPr>
        <w:t xml:space="preserve"> COVID-19.</w:t>
      </w:r>
    </w:p>
    <w:p w14:paraId="3E3B292B" w14:textId="34ABB855" w:rsidR="003E42B4" w:rsidRPr="00E63FAF" w:rsidRDefault="006F39CD" w:rsidP="003E42B4">
      <w:pPr>
        <w:rPr>
          <w:lang w:val="ru-RU"/>
        </w:rPr>
      </w:pPr>
      <w:r w:rsidRPr="00E63FAF">
        <w:rPr>
          <w:lang w:val="ru-RU"/>
        </w:rPr>
        <w:t>Парагвай настоятельно рекомендует далее работать над составлением Стратегического плана в духе сотрудничества и диалога</w:t>
      </w:r>
      <w:r w:rsidR="003E42B4" w:rsidRPr="00E63FAF">
        <w:rPr>
          <w:lang w:val="ru-RU"/>
        </w:rPr>
        <w:t>.</w:t>
      </w:r>
    </w:p>
    <w:p w14:paraId="6F654BC0" w14:textId="77777777" w:rsidR="003E42B4" w:rsidRPr="00E63FAF" w:rsidRDefault="003E42B4" w:rsidP="00E63FAF">
      <w:pPr>
        <w:spacing w:before="720"/>
        <w:jc w:val="center"/>
        <w:rPr>
          <w:lang w:val="ru-RU"/>
        </w:rPr>
      </w:pPr>
      <w:r w:rsidRPr="00E63FAF">
        <w:rPr>
          <w:lang w:val="ru-RU"/>
        </w:rPr>
        <w:t>_____________</w:t>
      </w:r>
    </w:p>
    <w:sectPr w:rsidR="003E42B4" w:rsidRPr="00E63FAF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3571" w14:textId="77777777" w:rsidR="00111FC1" w:rsidRDefault="00111FC1">
      <w:r>
        <w:separator/>
      </w:r>
    </w:p>
  </w:endnote>
  <w:endnote w:type="continuationSeparator" w:id="0">
    <w:p w14:paraId="7C1C572B" w14:textId="77777777" w:rsidR="00111FC1" w:rsidRDefault="001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4DB" w14:textId="568FF34E" w:rsidR="003E6E0D" w:rsidRPr="008E3FEF" w:rsidRDefault="000C49B0" w:rsidP="00E63FAF">
    <w:pPr>
      <w:pStyle w:val="Footer"/>
      <w:rPr>
        <w:color w:val="F2F2F2" w:themeColor="background1" w:themeShade="F2"/>
      </w:rPr>
    </w:pPr>
    <w:r w:rsidRPr="00E91277">
      <w:rPr>
        <w:color w:val="F2F2F2" w:themeColor="background1" w:themeShade="F2"/>
      </w:rPr>
      <w:fldChar w:fldCharType="begin"/>
    </w:r>
    <w:r w:rsidRPr="00E91277">
      <w:rPr>
        <w:color w:val="F2F2F2" w:themeColor="background1" w:themeShade="F2"/>
      </w:rPr>
      <w:instrText xml:space="preserve"> FILENAME \p  \* MERGEFORMAT </w:instrText>
    </w:r>
    <w:r w:rsidRPr="00E91277">
      <w:rPr>
        <w:color w:val="F2F2F2" w:themeColor="background1" w:themeShade="F2"/>
      </w:rPr>
      <w:fldChar w:fldCharType="separate"/>
    </w:r>
    <w:r w:rsidR="00E63FAF" w:rsidRPr="00E91277">
      <w:rPr>
        <w:color w:val="F2F2F2" w:themeColor="background1" w:themeShade="F2"/>
      </w:rPr>
      <w:t>P:\RUS\SG\CONSEIL\CWG-SFP\CWG-SFP3\000\014R.docx</w:t>
    </w:r>
    <w:r w:rsidRPr="00E91277">
      <w:rPr>
        <w:color w:val="F2F2F2" w:themeColor="background1" w:themeShade="F2"/>
      </w:rPr>
      <w:fldChar w:fldCharType="end"/>
    </w:r>
    <w:r w:rsidR="00E63FAF" w:rsidRPr="00E91277">
      <w:rPr>
        <w:color w:val="F2F2F2" w:themeColor="background1" w:themeShade="F2"/>
      </w:rPr>
      <w:t xml:space="preserve"> (501513)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E906" w14:textId="77777777" w:rsidR="00111FC1" w:rsidRDefault="00111FC1">
      <w:r>
        <w:t>____________________</w:t>
      </w:r>
    </w:p>
  </w:footnote>
  <w:footnote w:type="continuationSeparator" w:id="0">
    <w:p w14:paraId="2C50AC74" w14:textId="77777777" w:rsidR="00111FC1" w:rsidRDefault="0011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018BE502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3E42B4">
      <w:rPr>
        <w:lang w:val="ru-RU"/>
      </w:rPr>
      <w:t>3</w:t>
    </w:r>
    <w:r w:rsidR="00756434">
      <w:rPr>
        <w:lang w:val="ru-RU"/>
      </w:rPr>
      <w:t>/</w:t>
    </w:r>
    <w:r w:rsidR="003E42B4">
      <w:rPr>
        <w:lang w:val="ru-RU"/>
      </w:rPr>
      <w:t>14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2973"/>
    <w:multiLevelType w:val="hybridMultilevel"/>
    <w:tmpl w:val="43102FCC"/>
    <w:lvl w:ilvl="0" w:tplc="612684EE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67D4FFA"/>
    <w:multiLevelType w:val="hybridMultilevel"/>
    <w:tmpl w:val="5C663694"/>
    <w:lvl w:ilvl="0" w:tplc="52587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46EC"/>
    <w:rsid w:val="000569B4"/>
    <w:rsid w:val="00056EFC"/>
    <w:rsid w:val="00080E82"/>
    <w:rsid w:val="00080EA0"/>
    <w:rsid w:val="00085757"/>
    <w:rsid w:val="000866B3"/>
    <w:rsid w:val="000917D4"/>
    <w:rsid w:val="00091F4A"/>
    <w:rsid w:val="000A3178"/>
    <w:rsid w:val="000B0875"/>
    <w:rsid w:val="000B4F95"/>
    <w:rsid w:val="000B5A54"/>
    <w:rsid w:val="000C49B0"/>
    <w:rsid w:val="000C7CF6"/>
    <w:rsid w:val="000D2290"/>
    <w:rsid w:val="000E0C53"/>
    <w:rsid w:val="000E568E"/>
    <w:rsid w:val="00111FC1"/>
    <w:rsid w:val="001124E7"/>
    <w:rsid w:val="00115791"/>
    <w:rsid w:val="00126A33"/>
    <w:rsid w:val="00141C92"/>
    <w:rsid w:val="0014734F"/>
    <w:rsid w:val="00154AAD"/>
    <w:rsid w:val="0015710D"/>
    <w:rsid w:val="00163A32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45A21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23EB"/>
    <w:rsid w:val="003169EE"/>
    <w:rsid w:val="00317A13"/>
    <w:rsid w:val="00320560"/>
    <w:rsid w:val="00325EFE"/>
    <w:rsid w:val="00335D3C"/>
    <w:rsid w:val="0034013D"/>
    <w:rsid w:val="00347CE6"/>
    <w:rsid w:val="00354D64"/>
    <w:rsid w:val="003624D9"/>
    <w:rsid w:val="00394A29"/>
    <w:rsid w:val="0039678B"/>
    <w:rsid w:val="003A72C0"/>
    <w:rsid w:val="003B6E1C"/>
    <w:rsid w:val="003C6BB1"/>
    <w:rsid w:val="003D44A9"/>
    <w:rsid w:val="003D66DA"/>
    <w:rsid w:val="003D7317"/>
    <w:rsid w:val="003E42B4"/>
    <w:rsid w:val="003E6E0D"/>
    <w:rsid w:val="003E78A6"/>
    <w:rsid w:val="003F099E"/>
    <w:rsid w:val="003F235E"/>
    <w:rsid w:val="004023E0"/>
    <w:rsid w:val="00403DD8"/>
    <w:rsid w:val="00411CC5"/>
    <w:rsid w:val="0041352C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4F51BF"/>
    <w:rsid w:val="0050159A"/>
    <w:rsid w:val="0050785A"/>
    <w:rsid w:val="0051092F"/>
    <w:rsid w:val="00515EDE"/>
    <w:rsid w:val="00532B85"/>
    <w:rsid w:val="00533B78"/>
    <w:rsid w:val="00534CFB"/>
    <w:rsid w:val="0054271D"/>
    <w:rsid w:val="00550E88"/>
    <w:rsid w:val="00552268"/>
    <w:rsid w:val="005654A0"/>
    <w:rsid w:val="00570512"/>
    <w:rsid w:val="00595386"/>
    <w:rsid w:val="00597216"/>
    <w:rsid w:val="005A64D5"/>
    <w:rsid w:val="005D708E"/>
    <w:rsid w:val="00601994"/>
    <w:rsid w:val="006077E5"/>
    <w:rsid w:val="0061115A"/>
    <w:rsid w:val="00615256"/>
    <w:rsid w:val="00617F2C"/>
    <w:rsid w:val="006264E3"/>
    <w:rsid w:val="00626678"/>
    <w:rsid w:val="00634DBF"/>
    <w:rsid w:val="006369BD"/>
    <w:rsid w:val="00636E91"/>
    <w:rsid w:val="00646924"/>
    <w:rsid w:val="006827BA"/>
    <w:rsid w:val="0068458A"/>
    <w:rsid w:val="006A0DC4"/>
    <w:rsid w:val="006B5206"/>
    <w:rsid w:val="006C160C"/>
    <w:rsid w:val="006D5FAD"/>
    <w:rsid w:val="006E082D"/>
    <w:rsid w:val="006E2D42"/>
    <w:rsid w:val="006E33E3"/>
    <w:rsid w:val="006F13E8"/>
    <w:rsid w:val="006F39CD"/>
    <w:rsid w:val="006F779D"/>
    <w:rsid w:val="00703676"/>
    <w:rsid w:val="00707304"/>
    <w:rsid w:val="00714617"/>
    <w:rsid w:val="00715EEB"/>
    <w:rsid w:val="00725FDE"/>
    <w:rsid w:val="00732269"/>
    <w:rsid w:val="0074720A"/>
    <w:rsid w:val="00756434"/>
    <w:rsid w:val="007601BC"/>
    <w:rsid w:val="00762756"/>
    <w:rsid w:val="0076356D"/>
    <w:rsid w:val="00767211"/>
    <w:rsid w:val="00773A63"/>
    <w:rsid w:val="007743BF"/>
    <w:rsid w:val="00785ABD"/>
    <w:rsid w:val="00791CEF"/>
    <w:rsid w:val="0079294A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5B20"/>
    <w:rsid w:val="007E7EA0"/>
    <w:rsid w:val="007F68EE"/>
    <w:rsid w:val="00800C0D"/>
    <w:rsid w:val="00807255"/>
    <w:rsid w:val="0081023E"/>
    <w:rsid w:val="00813D9E"/>
    <w:rsid w:val="008173AA"/>
    <w:rsid w:val="00821479"/>
    <w:rsid w:val="00821783"/>
    <w:rsid w:val="00831F3C"/>
    <w:rsid w:val="008400BE"/>
    <w:rsid w:val="00840173"/>
    <w:rsid w:val="00840A14"/>
    <w:rsid w:val="00845B22"/>
    <w:rsid w:val="00857A89"/>
    <w:rsid w:val="008764BE"/>
    <w:rsid w:val="008770E0"/>
    <w:rsid w:val="008817D3"/>
    <w:rsid w:val="0088381E"/>
    <w:rsid w:val="00885B51"/>
    <w:rsid w:val="008956FA"/>
    <w:rsid w:val="008A4330"/>
    <w:rsid w:val="008A6EEF"/>
    <w:rsid w:val="008C6D60"/>
    <w:rsid w:val="008D2D7B"/>
    <w:rsid w:val="008E0737"/>
    <w:rsid w:val="008E3FEF"/>
    <w:rsid w:val="008F2220"/>
    <w:rsid w:val="008F535A"/>
    <w:rsid w:val="008F7C2C"/>
    <w:rsid w:val="0090751B"/>
    <w:rsid w:val="00911ED6"/>
    <w:rsid w:val="009137A7"/>
    <w:rsid w:val="0091755D"/>
    <w:rsid w:val="00920418"/>
    <w:rsid w:val="00924053"/>
    <w:rsid w:val="00936EA5"/>
    <w:rsid w:val="00940E96"/>
    <w:rsid w:val="00971C23"/>
    <w:rsid w:val="00972379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16C2"/>
    <w:rsid w:val="009D1FB4"/>
    <w:rsid w:val="009D7381"/>
    <w:rsid w:val="009D7A25"/>
    <w:rsid w:val="009D7E9E"/>
    <w:rsid w:val="009F6B34"/>
    <w:rsid w:val="009F794C"/>
    <w:rsid w:val="00A0767C"/>
    <w:rsid w:val="00A14B33"/>
    <w:rsid w:val="00A1561E"/>
    <w:rsid w:val="00A200D6"/>
    <w:rsid w:val="00A25DDC"/>
    <w:rsid w:val="00A536CA"/>
    <w:rsid w:val="00A71773"/>
    <w:rsid w:val="00A80799"/>
    <w:rsid w:val="00A94C82"/>
    <w:rsid w:val="00AB531E"/>
    <w:rsid w:val="00AB5545"/>
    <w:rsid w:val="00AC06CE"/>
    <w:rsid w:val="00AC4E4E"/>
    <w:rsid w:val="00AC556F"/>
    <w:rsid w:val="00AE2C85"/>
    <w:rsid w:val="00AF56EE"/>
    <w:rsid w:val="00B12A37"/>
    <w:rsid w:val="00B13C39"/>
    <w:rsid w:val="00B14D6F"/>
    <w:rsid w:val="00B167C3"/>
    <w:rsid w:val="00B23CB8"/>
    <w:rsid w:val="00B273F8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18A3"/>
    <w:rsid w:val="00C229F9"/>
    <w:rsid w:val="00C22E5C"/>
    <w:rsid w:val="00C24548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87630"/>
    <w:rsid w:val="00C96AB1"/>
    <w:rsid w:val="00CB156F"/>
    <w:rsid w:val="00CD2009"/>
    <w:rsid w:val="00CF2A28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5CE"/>
    <w:rsid w:val="00D420F5"/>
    <w:rsid w:val="00D460D2"/>
    <w:rsid w:val="00D712F0"/>
    <w:rsid w:val="00D72E7B"/>
    <w:rsid w:val="00D74C29"/>
    <w:rsid w:val="00D767C7"/>
    <w:rsid w:val="00D77DF3"/>
    <w:rsid w:val="00D80583"/>
    <w:rsid w:val="00D92EEA"/>
    <w:rsid w:val="00DA3752"/>
    <w:rsid w:val="00DA5D4E"/>
    <w:rsid w:val="00DB2408"/>
    <w:rsid w:val="00DB58D3"/>
    <w:rsid w:val="00DB5928"/>
    <w:rsid w:val="00DC359C"/>
    <w:rsid w:val="00DE14AF"/>
    <w:rsid w:val="00DF2730"/>
    <w:rsid w:val="00E009BB"/>
    <w:rsid w:val="00E0307A"/>
    <w:rsid w:val="00E165D1"/>
    <w:rsid w:val="00E176BA"/>
    <w:rsid w:val="00E31666"/>
    <w:rsid w:val="00E32EA5"/>
    <w:rsid w:val="00E423EC"/>
    <w:rsid w:val="00E527CD"/>
    <w:rsid w:val="00E63FAF"/>
    <w:rsid w:val="00E734D2"/>
    <w:rsid w:val="00E87641"/>
    <w:rsid w:val="00E908DF"/>
    <w:rsid w:val="00E91277"/>
    <w:rsid w:val="00E91B7E"/>
    <w:rsid w:val="00E969A5"/>
    <w:rsid w:val="00EA72A3"/>
    <w:rsid w:val="00EB461B"/>
    <w:rsid w:val="00EC4F38"/>
    <w:rsid w:val="00EC6552"/>
    <w:rsid w:val="00EC6854"/>
    <w:rsid w:val="00EC6BC5"/>
    <w:rsid w:val="00ED5F5C"/>
    <w:rsid w:val="00EF39CE"/>
    <w:rsid w:val="00F029A1"/>
    <w:rsid w:val="00F111FD"/>
    <w:rsid w:val="00F11910"/>
    <w:rsid w:val="00F20BE1"/>
    <w:rsid w:val="00F2793E"/>
    <w:rsid w:val="00F32EA6"/>
    <w:rsid w:val="00F35898"/>
    <w:rsid w:val="00F36526"/>
    <w:rsid w:val="00F434D5"/>
    <w:rsid w:val="00F43570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01BC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6DCE-CD41-469B-BE8B-1EA8BCB9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2</Pages>
  <Words>449</Words>
  <Characters>3083</Characters>
  <Application>Microsoft Office Word</Application>
  <DocSecurity>0</DocSecurity>
  <Lines>102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Paraguay (Republic of) - Proposals for Annex 1 of the ITU Strategic Plan 2024-2027</vt:lpstr>
      <vt:lpstr>НАЗВАНИЕ</vt:lpstr>
    </vt:vector>
  </TitlesOfParts>
  <Manager>General Secretariat - Pool</Manager>
  <Company>International Telecommunication Union (ITU)</Company>
  <LinksUpToDate>false</LinksUpToDate>
  <CharactersWithSpaces>3490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Paraguay (Republic of) - Proposals for Annex 1 of the ITU Strategic Plan 2024-2027</dc:title>
  <dc:subject>Council Working Group for Strategic and Financial Plans 2024-2027</dc:subject>
  <dc:creator>Maloletkova, Svetlana</dc:creator>
  <cp:keywords>CWG-SFP</cp:keywords>
  <dc:description/>
  <cp:lastModifiedBy>Xue, Kun</cp:lastModifiedBy>
  <cp:revision>3</cp:revision>
  <cp:lastPrinted>2018-04-13T12:59:00Z</cp:lastPrinted>
  <dcterms:created xsi:type="dcterms:W3CDTF">2022-02-17T13:10:00Z</dcterms:created>
  <dcterms:modified xsi:type="dcterms:W3CDTF">2022-02-17T13:11:00Z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