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C7019" w14:paraId="615D7DD6" w14:textId="77777777">
        <w:trPr>
          <w:cantSplit/>
        </w:trPr>
        <w:tc>
          <w:tcPr>
            <w:tcW w:w="6911" w:type="dxa"/>
          </w:tcPr>
          <w:p w14:paraId="1A9DE82C" w14:textId="6A87C6D1" w:rsidR="00700D1F" w:rsidRPr="004C7019" w:rsidRDefault="005133D3" w:rsidP="005133D3">
            <w:pPr>
              <w:spacing w:before="360" w:after="48"/>
              <w:rPr>
                <w:position w:val="6"/>
                <w:lang w:eastAsia="zh-CN"/>
              </w:rPr>
            </w:pPr>
            <w:r w:rsidRPr="005133D3">
              <w:rPr>
                <w:rFonts w:hint="eastAsia"/>
                <w:b/>
                <w:sz w:val="28"/>
                <w:szCs w:val="28"/>
                <w:lang w:eastAsia="zh-CN"/>
              </w:rPr>
              <w:t>理事会</w:t>
            </w:r>
            <w:r w:rsidRPr="005133D3">
              <w:rPr>
                <w:b/>
                <w:sz w:val="28"/>
                <w:szCs w:val="28"/>
                <w:lang w:eastAsia="zh-CN"/>
              </w:rPr>
              <w:t>202</w:t>
            </w:r>
            <w:r w:rsidRPr="005133D3">
              <w:rPr>
                <w:rFonts w:hint="eastAsia"/>
                <w:b/>
                <w:sz w:val="28"/>
                <w:szCs w:val="28"/>
                <w:lang w:eastAsia="zh-CN"/>
              </w:rPr>
              <w:t>4</w:t>
            </w:r>
            <w:r w:rsidRPr="005133D3">
              <w:rPr>
                <w:b/>
                <w:sz w:val="28"/>
                <w:szCs w:val="28"/>
                <w:lang w:eastAsia="zh-CN"/>
              </w:rPr>
              <w:t>-202</w:t>
            </w:r>
            <w:r w:rsidRPr="005133D3">
              <w:rPr>
                <w:rFonts w:hint="eastAsia"/>
                <w:b/>
                <w:sz w:val="28"/>
                <w:szCs w:val="28"/>
                <w:lang w:eastAsia="zh-CN"/>
              </w:rPr>
              <w:t>7</w:t>
            </w:r>
            <w:r w:rsidRPr="005133D3">
              <w:rPr>
                <w:rFonts w:hint="eastAsia"/>
                <w:b/>
                <w:sz w:val="28"/>
                <w:szCs w:val="28"/>
                <w:lang w:eastAsia="zh-CN"/>
              </w:rPr>
              <w:t>年战略规划</w:t>
            </w:r>
            <w:r w:rsidRPr="005133D3">
              <w:rPr>
                <w:b/>
                <w:sz w:val="28"/>
                <w:szCs w:val="28"/>
                <w:lang w:eastAsia="zh-CN"/>
              </w:rPr>
              <w:t>和财务规划工作组</w:t>
            </w:r>
            <w:r w:rsidRPr="005133D3">
              <w:rPr>
                <w:b/>
                <w:sz w:val="28"/>
                <w:szCs w:val="28"/>
                <w:lang w:eastAsia="zh-CN"/>
              </w:rPr>
              <w:br/>
            </w:r>
            <w:r w:rsidRPr="005133D3">
              <w:rPr>
                <w:rFonts w:hint="eastAsia"/>
                <w:b/>
                <w:sz w:val="28"/>
                <w:szCs w:val="28"/>
                <w:lang w:eastAsia="zh-CN"/>
              </w:rPr>
              <w:t>第</w:t>
            </w:r>
            <w:r w:rsidR="00E13F04">
              <w:rPr>
                <w:rFonts w:hint="eastAsia"/>
                <w:b/>
                <w:sz w:val="28"/>
                <w:szCs w:val="28"/>
                <w:lang w:eastAsia="zh-CN"/>
              </w:rPr>
              <w:t>三</w:t>
            </w:r>
            <w:r w:rsidRPr="005133D3">
              <w:rPr>
                <w:b/>
                <w:sz w:val="28"/>
                <w:szCs w:val="28"/>
                <w:lang w:eastAsia="zh-CN"/>
              </w:rPr>
              <w:t>次会议</w:t>
            </w:r>
            <w:r w:rsidRPr="005133D3">
              <w:rPr>
                <w:b/>
                <w:sz w:val="28"/>
                <w:szCs w:val="28"/>
                <w:lang w:eastAsia="zh-CN"/>
              </w:rPr>
              <w:t xml:space="preserve"> –</w:t>
            </w:r>
            <w:r w:rsidRPr="005133D3">
              <w:rPr>
                <w:rFonts w:hint="eastAsia"/>
                <w:b/>
                <w:sz w:val="28"/>
                <w:szCs w:val="28"/>
                <w:lang w:eastAsia="zh-CN"/>
              </w:rPr>
              <w:t xml:space="preserve"> </w:t>
            </w:r>
            <w:r w:rsidRPr="005133D3">
              <w:rPr>
                <w:b/>
                <w:sz w:val="28"/>
                <w:szCs w:val="28"/>
                <w:lang w:eastAsia="zh-CN"/>
              </w:rPr>
              <w:t>20</w:t>
            </w:r>
            <w:r w:rsidRPr="005133D3">
              <w:rPr>
                <w:rFonts w:hint="eastAsia"/>
                <w:b/>
                <w:sz w:val="28"/>
                <w:szCs w:val="28"/>
                <w:lang w:eastAsia="zh-CN"/>
              </w:rPr>
              <w:t>22</w:t>
            </w:r>
            <w:r w:rsidRPr="005133D3">
              <w:rPr>
                <w:b/>
                <w:sz w:val="28"/>
                <w:szCs w:val="28"/>
                <w:lang w:eastAsia="zh-CN"/>
              </w:rPr>
              <w:t>年</w:t>
            </w:r>
            <w:r w:rsidR="00E13F04">
              <w:rPr>
                <w:rFonts w:hint="eastAsia"/>
                <w:b/>
                <w:sz w:val="28"/>
                <w:szCs w:val="28"/>
                <w:lang w:eastAsia="zh-CN"/>
              </w:rPr>
              <w:t>2</w:t>
            </w:r>
            <w:r w:rsidRPr="005133D3">
              <w:rPr>
                <w:b/>
                <w:sz w:val="28"/>
                <w:szCs w:val="28"/>
                <w:lang w:eastAsia="zh-CN"/>
              </w:rPr>
              <w:t>月</w:t>
            </w:r>
            <w:r w:rsidR="00E13F04">
              <w:rPr>
                <w:rFonts w:hint="eastAsia"/>
                <w:b/>
                <w:sz w:val="28"/>
                <w:szCs w:val="28"/>
                <w:lang w:eastAsia="zh-CN"/>
              </w:rPr>
              <w:t>21</w:t>
            </w:r>
            <w:r w:rsidRPr="005133D3">
              <w:rPr>
                <w:rFonts w:hint="eastAsia"/>
                <w:b/>
                <w:sz w:val="28"/>
                <w:szCs w:val="28"/>
                <w:lang w:eastAsia="zh-CN"/>
              </w:rPr>
              <w:t>-</w:t>
            </w:r>
            <w:r w:rsidR="00E13F04">
              <w:rPr>
                <w:rFonts w:hint="eastAsia"/>
                <w:b/>
                <w:sz w:val="28"/>
                <w:szCs w:val="28"/>
                <w:lang w:eastAsia="zh-CN"/>
              </w:rPr>
              <w:t>22</w:t>
            </w:r>
            <w:r w:rsidRPr="005133D3">
              <w:rPr>
                <w:rFonts w:hint="eastAsia"/>
                <w:b/>
                <w:sz w:val="28"/>
                <w:szCs w:val="28"/>
                <w:lang w:eastAsia="zh-CN"/>
              </w:rPr>
              <w:t>日</w:t>
            </w:r>
          </w:p>
        </w:tc>
        <w:tc>
          <w:tcPr>
            <w:tcW w:w="3120" w:type="dxa"/>
          </w:tcPr>
          <w:p w14:paraId="36E09915" w14:textId="77777777" w:rsidR="00700D1F" w:rsidRPr="004C7019" w:rsidRDefault="009D2585" w:rsidP="009D2585">
            <w:pPr>
              <w:spacing w:before="0"/>
            </w:pPr>
            <w:bookmarkStart w:id="0" w:name="ditulogo"/>
            <w:bookmarkEnd w:id="0"/>
            <w:r w:rsidRPr="004C7019">
              <w:rPr>
                <w:noProof/>
                <w:lang w:val="en-US" w:eastAsia="zh-CN"/>
              </w:rPr>
              <w:drawing>
                <wp:inline distT="0" distB="0" distL="0" distR="0" wp14:anchorId="79267DB9" wp14:editId="54B2105A">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4C7019" w14:paraId="73E044B5" w14:textId="77777777">
        <w:trPr>
          <w:cantSplit/>
        </w:trPr>
        <w:tc>
          <w:tcPr>
            <w:tcW w:w="6911" w:type="dxa"/>
            <w:tcBorders>
              <w:bottom w:val="single" w:sz="12" w:space="0" w:color="auto"/>
            </w:tcBorders>
          </w:tcPr>
          <w:p w14:paraId="5AB17852" w14:textId="7BAE3581" w:rsidR="00700D1F" w:rsidRPr="004C7019" w:rsidRDefault="00700D1F" w:rsidP="00D966A7">
            <w:pPr>
              <w:spacing w:before="0" w:after="48"/>
              <w:rPr>
                <w:b/>
                <w:smallCaps/>
                <w:szCs w:val="24"/>
                <w:lang w:eastAsia="zh-CN"/>
              </w:rPr>
            </w:pPr>
          </w:p>
        </w:tc>
        <w:tc>
          <w:tcPr>
            <w:tcW w:w="3120" w:type="dxa"/>
            <w:tcBorders>
              <w:bottom w:val="single" w:sz="12" w:space="0" w:color="auto"/>
            </w:tcBorders>
          </w:tcPr>
          <w:p w14:paraId="6561CC1C" w14:textId="77777777" w:rsidR="00700D1F" w:rsidRPr="004C7019" w:rsidRDefault="00700D1F" w:rsidP="00D966A7">
            <w:pPr>
              <w:spacing w:before="0"/>
              <w:rPr>
                <w:szCs w:val="24"/>
                <w:lang w:eastAsia="zh-CN"/>
              </w:rPr>
            </w:pPr>
          </w:p>
        </w:tc>
      </w:tr>
      <w:tr w:rsidR="00700D1F" w:rsidRPr="004C7019" w14:paraId="46783944" w14:textId="77777777">
        <w:trPr>
          <w:cantSplit/>
        </w:trPr>
        <w:tc>
          <w:tcPr>
            <w:tcW w:w="6911" w:type="dxa"/>
            <w:tcBorders>
              <w:top w:val="single" w:sz="12" w:space="0" w:color="auto"/>
            </w:tcBorders>
          </w:tcPr>
          <w:p w14:paraId="7DB8BB3A" w14:textId="77777777" w:rsidR="00700D1F" w:rsidRPr="004C7019" w:rsidRDefault="00700D1F" w:rsidP="00D966A7">
            <w:pPr>
              <w:spacing w:before="0" w:after="48"/>
              <w:rPr>
                <w:b/>
                <w:smallCaps/>
                <w:szCs w:val="24"/>
                <w:lang w:eastAsia="zh-CN"/>
              </w:rPr>
            </w:pPr>
          </w:p>
        </w:tc>
        <w:tc>
          <w:tcPr>
            <w:tcW w:w="3120" w:type="dxa"/>
            <w:tcBorders>
              <w:top w:val="single" w:sz="12" w:space="0" w:color="auto"/>
            </w:tcBorders>
          </w:tcPr>
          <w:p w14:paraId="32F39A6E" w14:textId="77777777" w:rsidR="00700D1F" w:rsidRPr="004C7019" w:rsidRDefault="00700D1F" w:rsidP="00D966A7">
            <w:pPr>
              <w:spacing w:before="0"/>
              <w:rPr>
                <w:szCs w:val="24"/>
                <w:lang w:eastAsia="zh-CN"/>
              </w:rPr>
            </w:pPr>
          </w:p>
        </w:tc>
      </w:tr>
      <w:tr w:rsidR="003C68C5" w:rsidRPr="004C7019" w14:paraId="78C10344" w14:textId="77777777">
        <w:trPr>
          <w:cantSplit/>
          <w:trHeight w:val="23"/>
        </w:trPr>
        <w:tc>
          <w:tcPr>
            <w:tcW w:w="6911" w:type="dxa"/>
            <w:vMerge w:val="restart"/>
          </w:tcPr>
          <w:p w14:paraId="0D39AE3D" w14:textId="77777777" w:rsidR="003C68C5" w:rsidRPr="004C7019" w:rsidRDefault="003C68C5" w:rsidP="00D966A7">
            <w:pPr>
              <w:tabs>
                <w:tab w:val="left" w:pos="851"/>
              </w:tabs>
              <w:rPr>
                <w:b/>
                <w:szCs w:val="24"/>
                <w:lang w:eastAsia="zh-CN"/>
              </w:rPr>
            </w:pPr>
            <w:bookmarkStart w:id="1" w:name="dmeeting" w:colFirst="0" w:colLast="0"/>
          </w:p>
        </w:tc>
        <w:tc>
          <w:tcPr>
            <w:tcW w:w="3120" w:type="dxa"/>
          </w:tcPr>
          <w:p w14:paraId="78DE070A" w14:textId="32E985F4" w:rsidR="003C68C5" w:rsidRPr="004C7019" w:rsidRDefault="003C68C5" w:rsidP="000916EA">
            <w:pPr>
              <w:tabs>
                <w:tab w:val="left" w:pos="851"/>
              </w:tabs>
              <w:spacing w:before="0"/>
              <w:rPr>
                <w:b/>
                <w:bCs/>
              </w:rPr>
            </w:pPr>
            <w:proofErr w:type="spellStart"/>
            <w:r w:rsidRPr="004C7019">
              <w:rPr>
                <w:rFonts w:hint="eastAsia"/>
                <w:b/>
                <w:bCs/>
                <w:lang w:val="fr-CH"/>
              </w:rPr>
              <w:t>文件</w:t>
            </w:r>
            <w:proofErr w:type="spellEnd"/>
            <w:r w:rsidRPr="004C7019">
              <w:rPr>
                <w:b/>
                <w:bCs/>
                <w:sz w:val="20"/>
              </w:rPr>
              <w:t xml:space="preserve"> </w:t>
            </w:r>
            <w:r w:rsidR="009B0BC1" w:rsidRPr="00A82C73">
              <w:rPr>
                <w:rFonts w:cs="Times New Roman Bold"/>
                <w:b/>
                <w:spacing w:val="-4"/>
              </w:rPr>
              <w:t>CWG-SFP-</w:t>
            </w:r>
            <w:r w:rsidR="00E13F04">
              <w:rPr>
                <w:rFonts w:cs="Times New Roman Bold" w:hint="eastAsia"/>
                <w:b/>
                <w:spacing w:val="-4"/>
                <w:lang w:eastAsia="zh-CN"/>
              </w:rPr>
              <w:t>3</w:t>
            </w:r>
            <w:r w:rsidR="009B0BC1" w:rsidRPr="00A82C73">
              <w:rPr>
                <w:rFonts w:cs="Times New Roman Bold"/>
                <w:b/>
                <w:bCs/>
                <w:spacing w:val="-4"/>
              </w:rPr>
              <w:t>/</w:t>
            </w:r>
            <w:r w:rsidR="00E13F04">
              <w:rPr>
                <w:rFonts w:cs="Times New Roman Bold" w:hint="eastAsia"/>
                <w:b/>
                <w:bCs/>
                <w:spacing w:val="-4"/>
                <w:lang w:eastAsia="zh-CN"/>
              </w:rPr>
              <w:t>14</w:t>
            </w:r>
            <w:r w:rsidR="009B0BC1" w:rsidRPr="00A82C73">
              <w:rPr>
                <w:rFonts w:cs="Times New Roman Bold"/>
                <w:b/>
                <w:bCs/>
                <w:spacing w:val="-4"/>
              </w:rPr>
              <w:t>-C</w:t>
            </w:r>
          </w:p>
        </w:tc>
      </w:tr>
      <w:bookmarkEnd w:id="1"/>
      <w:tr w:rsidR="003C68C5" w:rsidRPr="004C7019" w14:paraId="083FB0F5" w14:textId="77777777">
        <w:trPr>
          <w:cantSplit/>
          <w:trHeight w:val="23"/>
        </w:trPr>
        <w:tc>
          <w:tcPr>
            <w:tcW w:w="6911" w:type="dxa"/>
            <w:vMerge/>
          </w:tcPr>
          <w:p w14:paraId="1FA732A1" w14:textId="77777777" w:rsidR="003C68C5" w:rsidRPr="004C7019" w:rsidRDefault="003C68C5" w:rsidP="00D966A7">
            <w:pPr>
              <w:tabs>
                <w:tab w:val="left" w:pos="851"/>
              </w:tabs>
              <w:rPr>
                <w:b/>
                <w:lang w:eastAsia="zh-CN"/>
              </w:rPr>
            </w:pPr>
          </w:p>
        </w:tc>
        <w:tc>
          <w:tcPr>
            <w:tcW w:w="3120" w:type="dxa"/>
          </w:tcPr>
          <w:p w14:paraId="6C4E05C1" w14:textId="10F26738" w:rsidR="003C68C5" w:rsidRPr="004C7019" w:rsidRDefault="009B0BC1" w:rsidP="000916EA">
            <w:pPr>
              <w:tabs>
                <w:tab w:val="left" w:pos="993"/>
              </w:tabs>
              <w:spacing w:before="0"/>
              <w:rPr>
                <w:b/>
                <w:bCs/>
              </w:rPr>
            </w:pPr>
            <w:r w:rsidRPr="004C7019">
              <w:rPr>
                <w:b/>
              </w:rPr>
              <w:t>20</w:t>
            </w:r>
            <w:r w:rsidRPr="004C7019">
              <w:rPr>
                <w:rFonts w:hint="eastAsia"/>
                <w:b/>
                <w:lang w:eastAsia="zh-CN"/>
              </w:rPr>
              <w:t>2</w:t>
            </w:r>
            <w:r w:rsidR="00E13F04">
              <w:rPr>
                <w:rFonts w:hint="eastAsia"/>
                <w:b/>
                <w:lang w:eastAsia="zh-CN"/>
              </w:rPr>
              <w:t>2</w:t>
            </w:r>
            <w:r w:rsidR="003C68C5" w:rsidRPr="004C7019">
              <w:rPr>
                <w:rFonts w:hint="eastAsia"/>
                <w:b/>
              </w:rPr>
              <w:t>年</w:t>
            </w:r>
            <w:r w:rsidR="00E13F04">
              <w:rPr>
                <w:rFonts w:hint="eastAsia"/>
                <w:b/>
                <w:lang w:eastAsia="zh-CN"/>
              </w:rPr>
              <w:t>2</w:t>
            </w:r>
            <w:r w:rsidR="003C68C5" w:rsidRPr="004C7019">
              <w:rPr>
                <w:rFonts w:hint="eastAsia"/>
                <w:b/>
              </w:rPr>
              <w:t>月</w:t>
            </w:r>
            <w:r w:rsidR="00E13F04">
              <w:rPr>
                <w:rFonts w:hint="eastAsia"/>
                <w:b/>
                <w:lang w:eastAsia="zh-CN"/>
              </w:rPr>
              <w:t>7</w:t>
            </w:r>
            <w:r w:rsidR="003C68C5" w:rsidRPr="004C7019">
              <w:rPr>
                <w:rFonts w:hint="eastAsia"/>
                <w:b/>
              </w:rPr>
              <w:t>日</w:t>
            </w:r>
          </w:p>
        </w:tc>
      </w:tr>
      <w:tr w:rsidR="003C68C5" w:rsidRPr="004C7019" w14:paraId="5D735881" w14:textId="77777777" w:rsidTr="00DB3997">
        <w:trPr>
          <w:cantSplit/>
          <w:trHeight w:val="23"/>
        </w:trPr>
        <w:tc>
          <w:tcPr>
            <w:tcW w:w="6911" w:type="dxa"/>
            <w:vMerge/>
          </w:tcPr>
          <w:p w14:paraId="0E745397" w14:textId="77777777" w:rsidR="003C68C5" w:rsidRPr="004C7019" w:rsidRDefault="003C68C5" w:rsidP="00D966A7">
            <w:pPr>
              <w:tabs>
                <w:tab w:val="left" w:pos="851"/>
              </w:tabs>
              <w:rPr>
                <w:b/>
                <w:lang w:eastAsia="zh-CN"/>
              </w:rPr>
            </w:pPr>
          </w:p>
        </w:tc>
        <w:tc>
          <w:tcPr>
            <w:tcW w:w="3120" w:type="dxa"/>
          </w:tcPr>
          <w:p w14:paraId="1FB77E41" w14:textId="157EEDAE" w:rsidR="003C68C5" w:rsidRPr="004C7019" w:rsidRDefault="003C68C5" w:rsidP="000916EA">
            <w:pPr>
              <w:tabs>
                <w:tab w:val="left" w:pos="993"/>
              </w:tabs>
              <w:spacing w:before="0"/>
              <w:rPr>
                <w:b/>
                <w:bCs/>
              </w:rPr>
            </w:pPr>
            <w:proofErr w:type="spellStart"/>
            <w:r w:rsidRPr="004C7019">
              <w:rPr>
                <w:rFonts w:hint="eastAsia"/>
                <w:b/>
                <w:bCs/>
              </w:rPr>
              <w:t>原文</w:t>
            </w:r>
            <w:proofErr w:type="spellEnd"/>
            <w:r w:rsidRPr="004C7019">
              <w:rPr>
                <w:rFonts w:hint="eastAsia"/>
                <w:b/>
                <w:bCs/>
              </w:rPr>
              <w:t>：</w:t>
            </w:r>
            <w:r w:rsidR="00E13F04">
              <w:rPr>
                <w:rFonts w:hint="eastAsia"/>
                <w:b/>
                <w:bCs/>
                <w:lang w:eastAsia="zh-CN"/>
              </w:rPr>
              <w:t>西班牙</w:t>
            </w:r>
            <w:r w:rsidRPr="004C7019">
              <w:rPr>
                <w:rFonts w:hint="eastAsia"/>
                <w:b/>
                <w:bCs/>
              </w:rPr>
              <w:t>文</w:t>
            </w:r>
          </w:p>
        </w:tc>
      </w:tr>
      <w:tr w:rsidR="00DB3997" w:rsidRPr="004C7019" w14:paraId="5C5022EF" w14:textId="77777777" w:rsidTr="00B76531">
        <w:trPr>
          <w:cantSplit/>
        </w:trPr>
        <w:tc>
          <w:tcPr>
            <w:tcW w:w="10031" w:type="dxa"/>
            <w:gridSpan w:val="2"/>
          </w:tcPr>
          <w:p w14:paraId="6E555FFB" w14:textId="3F028E59" w:rsidR="00DB3997" w:rsidRPr="004C7019" w:rsidRDefault="00E13F04" w:rsidP="00DB3997">
            <w:pPr>
              <w:pStyle w:val="Source"/>
              <w:rPr>
                <w:lang w:eastAsia="zh-CN"/>
              </w:rPr>
            </w:pPr>
            <w:r w:rsidRPr="00E13F04">
              <w:rPr>
                <w:rFonts w:hint="eastAsia"/>
                <w:lang w:eastAsia="zh-CN"/>
              </w:rPr>
              <w:t>巴拉圭（共和国）的文稿</w:t>
            </w:r>
          </w:p>
        </w:tc>
      </w:tr>
      <w:tr w:rsidR="00DB3997" w:rsidRPr="004C7019" w14:paraId="41C4F7CC" w14:textId="77777777" w:rsidTr="00B76531">
        <w:trPr>
          <w:cantSplit/>
        </w:trPr>
        <w:tc>
          <w:tcPr>
            <w:tcW w:w="10031" w:type="dxa"/>
            <w:gridSpan w:val="2"/>
          </w:tcPr>
          <w:p w14:paraId="38196859" w14:textId="5975DA15" w:rsidR="00DB3997" w:rsidRPr="004C7019" w:rsidRDefault="00E13F04" w:rsidP="00DB3997">
            <w:pPr>
              <w:pStyle w:val="Title1"/>
              <w:rPr>
                <w:lang w:eastAsia="zh-CN"/>
              </w:rPr>
            </w:pPr>
            <w:bookmarkStart w:id="2" w:name="lt_pId012"/>
            <w:r w:rsidRPr="00E13F04">
              <w:rPr>
                <w:rFonts w:hint="eastAsia"/>
                <w:bCs/>
                <w:lang w:eastAsia="zh-CN"/>
              </w:rPr>
              <w:t>有关《国际电联</w:t>
            </w:r>
            <w:r w:rsidRPr="00E13F04">
              <w:rPr>
                <w:bCs/>
                <w:lang w:eastAsia="zh-CN"/>
              </w:rPr>
              <w:t>2024–2027</w:t>
            </w:r>
            <w:bookmarkEnd w:id="2"/>
            <w:r w:rsidRPr="00E13F04">
              <w:rPr>
                <w:rFonts w:hint="eastAsia"/>
                <w:bCs/>
                <w:lang w:eastAsia="zh-CN"/>
              </w:rPr>
              <w:t>年战略规划》附件</w:t>
            </w:r>
            <w:r w:rsidRPr="00E13F04">
              <w:rPr>
                <w:rFonts w:hint="eastAsia"/>
                <w:bCs/>
                <w:lang w:eastAsia="zh-CN"/>
              </w:rPr>
              <w:t>1</w:t>
            </w:r>
            <w:r w:rsidRPr="00E13F04">
              <w:rPr>
                <w:rFonts w:hint="eastAsia"/>
                <w:bCs/>
                <w:lang w:eastAsia="zh-CN"/>
              </w:rPr>
              <w:t>的提案</w:t>
            </w:r>
          </w:p>
        </w:tc>
      </w:tr>
    </w:tbl>
    <w:p w14:paraId="4C16B8C4" w14:textId="77777777" w:rsidR="00E13F04" w:rsidRPr="00A073C6" w:rsidRDefault="00E13F04" w:rsidP="00E13F04">
      <w:pPr>
        <w:pStyle w:val="Headingb"/>
        <w:spacing w:before="240"/>
        <w:rPr>
          <w:lang w:eastAsia="zh-CN"/>
        </w:rPr>
      </w:pPr>
      <w:r>
        <w:rPr>
          <w:rFonts w:hint="eastAsia"/>
          <w:lang w:eastAsia="zh-CN"/>
        </w:rPr>
        <w:t>引言</w:t>
      </w:r>
    </w:p>
    <w:p w14:paraId="1EBB0BE0" w14:textId="77777777" w:rsidR="00E13F04" w:rsidRDefault="00E13F04" w:rsidP="00E13F04">
      <w:pPr>
        <w:ind w:firstLineChars="200" w:firstLine="480"/>
        <w:rPr>
          <w:lang w:eastAsia="zh-CN"/>
        </w:rPr>
      </w:pPr>
      <w:r>
        <w:rPr>
          <w:rFonts w:hint="eastAsia"/>
          <w:lang w:eastAsia="zh-CN"/>
        </w:rPr>
        <w:t>巴拉圭希望就《国际电联</w:t>
      </w:r>
      <w:r>
        <w:rPr>
          <w:rFonts w:hint="eastAsia"/>
          <w:lang w:eastAsia="zh-CN"/>
        </w:rPr>
        <w:t>2</w:t>
      </w:r>
      <w:r>
        <w:rPr>
          <w:lang w:eastAsia="zh-CN"/>
        </w:rPr>
        <w:t>024-2027</w:t>
      </w:r>
      <w:r>
        <w:rPr>
          <w:rFonts w:hint="eastAsia"/>
          <w:lang w:eastAsia="zh-CN"/>
        </w:rPr>
        <w:t>年战略规划》的制定，尤其是第</w:t>
      </w:r>
      <w:r>
        <w:rPr>
          <w:rFonts w:hint="eastAsia"/>
          <w:lang w:eastAsia="zh-CN"/>
        </w:rPr>
        <w:t>7</w:t>
      </w:r>
      <w:r>
        <w:rPr>
          <w:lang w:eastAsia="zh-CN"/>
        </w:rPr>
        <w:t>1</w:t>
      </w:r>
      <w:r>
        <w:rPr>
          <w:rFonts w:hint="eastAsia"/>
          <w:lang w:eastAsia="zh-CN"/>
        </w:rPr>
        <w:t>号决议的附件</w:t>
      </w:r>
      <w:r>
        <w:rPr>
          <w:rFonts w:hint="eastAsia"/>
          <w:lang w:eastAsia="zh-CN"/>
        </w:rPr>
        <w:t>1</w:t>
      </w:r>
      <w:r>
        <w:rPr>
          <w:rFonts w:hint="eastAsia"/>
          <w:lang w:eastAsia="zh-CN"/>
        </w:rPr>
        <w:t>草案提出一些意见和提案。</w:t>
      </w:r>
    </w:p>
    <w:p w14:paraId="08C34D98" w14:textId="77777777" w:rsidR="00E13F04" w:rsidRDefault="00E13F04" w:rsidP="00E13F04">
      <w:pPr>
        <w:ind w:firstLineChars="200" w:firstLine="480"/>
        <w:rPr>
          <w:lang w:eastAsia="zh-CN"/>
        </w:rPr>
      </w:pPr>
      <w:r>
        <w:rPr>
          <w:rFonts w:hint="eastAsia"/>
          <w:lang w:eastAsia="zh-CN"/>
        </w:rPr>
        <w:t>总体而言，我们认为国际电联（</w:t>
      </w:r>
      <w:r>
        <w:rPr>
          <w:rFonts w:hint="eastAsia"/>
          <w:lang w:eastAsia="zh-CN"/>
        </w:rPr>
        <w:t>ITU</w:t>
      </w:r>
      <w:r>
        <w:rPr>
          <w:rFonts w:hint="eastAsia"/>
          <w:lang w:eastAsia="zh-CN"/>
        </w:rPr>
        <w:t>）作为联合国负责电信和信息通信技术的专门机构，不仅向它的成员提供帮助，也为实现联合国系统的承诺（如，已纳入修正文件的信息社会世界高峰会议各行动方面和可持续发展目标）做出了贡献。因此，我们认为</w:t>
      </w:r>
      <w:proofErr w:type="gramStart"/>
      <w:r>
        <w:rPr>
          <w:rFonts w:hint="eastAsia"/>
          <w:lang w:eastAsia="zh-CN"/>
        </w:rPr>
        <w:t>这一愿景应纳入</w:t>
      </w:r>
      <w:proofErr w:type="gramEnd"/>
      <w:r>
        <w:rPr>
          <w:rFonts w:hint="eastAsia"/>
          <w:lang w:eastAsia="zh-CN"/>
        </w:rPr>
        <w:t>案文草案。</w:t>
      </w:r>
    </w:p>
    <w:p w14:paraId="4784830E" w14:textId="77777777" w:rsidR="00E13F04" w:rsidRPr="00A073C6" w:rsidRDefault="00E13F04" w:rsidP="00E13F04">
      <w:pPr>
        <w:pStyle w:val="Headingb"/>
        <w:rPr>
          <w:lang w:eastAsia="zh-CN"/>
        </w:rPr>
      </w:pPr>
      <w:r>
        <w:rPr>
          <w:rFonts w:hint="eastAsia"/>
          <w:lang w:eastAsia="zh-CN"/>
        </w:rPr>
        <w:t>提案</w:t>
      </w:r>
    </w:p>
    <w:p w14:paraId="41A48AD3" w14:textId="77777777" w:rsidR="00E13F04" w:rsidRPr="00A073C6" w:rsidRDefault="00E13F04" w:rsidP="00E13F04">
      <w:pPr>
        <w:pStyle w:val="enumlev1"/>
        <w:rPr>
          <w:lang w:eastAsia="zh-CN"/>
        </w:rPr>
      </w:pPr>
      <w:r w:rsidRPr="00A073C6">
        <w:rPr>
          <w:b/>
          <w:bCs/>
          <w:lang w:eastAsia="zh-CN"/>
        </w:rPr>
        <w:t>1</w:t>
      </w:r>
      <w:r w:rsidRPr="00A073C6">
        <w:rPr>
          <w:b/>
          <w:bCs/>
          <w:lang w:eastAsia="zh-CN"/>
        </w:rPr>
        <w:tab/>
      </w:r>
      <w:r>
        <w:rPr>
          <w:rFonts w:hint="eastAsia"/>
          <w:b/>
          <w:bCs/>
          <w:lang w:eastAsia="zh-CN"/>
        </w:rPr>
        <w:t>第</w:t>
      </w:r>
      <w:r w:rsidRPr="00A073C6">
        <w:rPr>
          <w:b/>
          <w:bCs/>
          <w:lang w:eastAsia="zh-CN"/>
        </w:rPr>
        <w:t>2.7</w:t>
      </w:r>
      <w:r>
        <w:rPr>
          <w:rFonts w:hint="eastAsia"/>
          <w:b/>
          <w:bCs/>
          <w:lang w:eastAsia="zh-CN"/>
        </w:rPr>
        <w:t>节“产品和服务提供”</w:t>
      </w:r>
      <w:r>
        <w:rPr>
          <w:b/>
          <w:bCs/>
          <w:lang w:val="en-US" w:eastAsia="zh-CN"/>
        </w:rPr>
        <w:t>–</w:t>
      </w:r>
      <w:r w:rsidRPr="00F7106F">
        <w:rPr>
          <w:rFonts w:asciiTheme="minorEastAsia" w:hAnsiTheme="minorEastAsia"/>
          <w:b/>
          <w:bCs/>
          <w:lang w:eastAsia="zh-CN"/>
        </w:rPr>
        <w:t>“</w:t>
      </w:r>
      <w:r w:rsidRPr="00870B9F">
        <w:rPr>
          <w:rFonts w:ascii="STKaiti" w:eastAsia="STKaiti" w:hAnsi="STKaiti" w:hint="eastAsia"/>
          <w:b/>
          <w:bCs/>
          <w:lang w:eastAsia="zh-CN"/>
        </w:rPr>
        <w:t>国际规则的制定和应用</w:t>
      </w:r>
      <w:r w:rsidRPr="00F7106F">
        <w:rPr>
          <w:rFonts w:asciiTheme="minorEastAsia" w:hAnsiTheme="minorEastAsia"/>
          <w:b/>
          <w:bCs/>
          <w:lang w:eastAsia="zh-CN"/>
        </w:rPr>
        <w:t>”</w:t>
      </w:r>
      <w:r>
        <w:rPr>
          <w:rFonts w:hint="eastAsia"/>
          <w:b/>
          <w:bCs/>
          <w:lang w:eastAsia="zh-CN"/>
        </w:rPr>
        <w:t>小节</w:t>
      </w:r>
      <w:r>
        <w:rPr>
          <w:rFonts w:hint="eastAsia"/>
          <w:lang w:eastAsia="zh-CN"/>
        </w:rPr>
        <w:t>：第</w:t>
      </w:r>
      <w:r>
        <w:rPr>
          <w:lang w:eastAsia="zh-CN"/>
        </w:rPr>
        <w:t>37</w:t>
      </w:r>
      <w:r>
        <w:rPr>
          <w:rFonts w:hint="eastAsia"/>
          <w:lang w:eastAsia="zh-CN"/>
        </w:rPr>
        <w:t>至</w:t>
      </w:r>
      <w:r>
        <w:rPr>
          <w:lang w:eastAsia="zh-CN"/>
        </w:rPr>
        <w:t>39</w:t>
      </w:r>
      <w:r>
        <w:rPr>
          <w:rFonts w:hint="eastAsia"/>
          <w:lang w:eastAsia="zh-CN"/>
        </w:rPr>
        <w:t>段（</w:t>
      </w:r>
      <w:r>
        <w:rPr>
          <w:lang w:eastAsia="zh-CN"/>
        </w:rPr>
        <w:t>CWG-SFP-3/4</w:t>
      </w:r>
      <w:r>
        <w:rPr>
          <w:rFonts w:hint="eastAsia"/>
          <w:lang w:eastAsia="zh-CN"/>
        </w:rPr>
        <w:t>号文件）介绍了《无线电规则》的目标和应用。然而，该小节未提及国际电联《组织法》第</w:t>
      </w:r>
      <w:r>
        <w:rPr>
          <w:rFonts w:hint="eastAsia"/>
          <w:lang w:eastAsia="zh-CN"/>
        </w:rPr>
        <w:t>4</w:t>
      </w:r>
      <w:r>
        <w:rPr>
          <w:rFonts w:hint="eastAsia"/>
          <w:lang w:eastAsia="zh-CN"/>
        </w:rPr>
        <w:t>条规定的其它行政规则，即《国际电信规则》。正如《国际电信规则》专家组在本审查周期进行的讨论所示，虽然对这一议题的看法有分歧，但不能忽视《组织法》的规定；因此，秘书处应在下一版本中提出提到该文书的案文。</w:t>
      </w:r>
    </w:p>
    <w:p w14:paraId="606E9937" w14:textId="77777777" w:rsidR="00E13F04" w:rsidRPr="00A073C6" w:rsidRDefault="00E13F04" w:rsidP="00E13F04">
      <w:pPr>
        <w:pStyle w:val="enumlev1"/>
        <w:rPr>
          <w:lang w:eastAsia="zh-CN"/>
        </w:rPr>
      </w:pPr>
      <w:r w:rsidRPr="00A073C6">
        <w:rPr>
          <w:b/>
          <w:bCs/>
          <w:lang w:eastAsia="zh-CN"/>
        </w:rPr>
        <w:t>2</w:t>
      </w:r>
      <w:r w:rsidRPr="00A073C6">
        <w:rPr>
          <w:b/>
          <w:bCs/>
          <w:lang w:eastAsia="zh-CN"/>
        </w:rPr>
        <w:tab/>
      </w:r>
      <w:r>
        <w:rPr>
          <w:rFonts w:hint="eastAsia"/>
          <w:b/>
          <w:bCs/>
          <w:lang w:eastAsia="zh-CN"/>
        </w:rPr>
        <w:t>第</w:t>
      </w:r>
      <w:r w:rsidRPr="00A073C6">
        <w:rPr>
          <w:b/>
          <w:bCs/>
          <w:lang w:eastAsia="zh-CN"/>
        </w:rPr>
        <w:t>2.7</w:t>
      </w:r>
      <w:r>
        <w:rPr>
          <w:rFonts w:hint="eastAsia"/>
          <w:b/>
          <w:bCs/>
          <w:lang w:eastAsia="zh-CN"/>
        </w:rPr>
        <w:t>节“产品和服务提供”</w:t>
      </w:r>
      <w:r>
        <w:rPr>
          <w:b/>
          <w:bCs/>
          <w:lang w:val="en-US" w:eastAsia="zh-CN"/>
        </w:rPr>
        <w:t>–</w:t>
      </w:r>
      <w:r w:rsidRPr="00F7106F">
        <w:rPr>
          <w:rFonts w:asciiTheme="minorEastAsia" w:hAnsiTheme="minorEastAsia"/>
          <w:b/>
          <w:bCs/>
          <w:lang w:eastAsia="zh-CN"/>
        </w:rPr>
        <w:t>“</w:t>
      </w:r>
      <w:r w:rsidRPr="00870B9F">
        <w:rPr>
          <w:rFonts w:ascii="STKaiti" w:eastAsia="STKaiti" w:hAnsi="STKaiti" w:hint="eastAsia"/>
          <w:b/>
          <w:bCs/>
          <w:lang w:eastAsia="zh-CN"/>
        </w:rPr>
        <w:t>提供技术援助</w:t>
      </w:r>
      <w:r w:rsidRPr="00F7106F">
        <w:rPr>
          <w:rFonts w:asciiTheme="minorEastAsia" w:hAnsiTheme="minorEastAsia"/>
          <w:b/>
          <w:bCs/>
          <w:lang w:eastAsia="zh-CN"/>
        </w:rPr>
        <w:t>”</w:t>
      </w:r>
      <w:r>
        <w:rPr>
          <w:rFonts w:asciiTheme="minorEastAsia" w:hAnsiTheme="minorEastAsia" w:hint="eastAsia"/>
          <w:b/>
          <w:bCs/>
          <w:lang w:eastAsia="zh-CN"/>
        </w:rPr>
        <w:t>小节</w:t>
      </w:r>
      <w:r>
        <w:rPr>
          <w:rFonts w:hint="eastAsia"/>
          <w:lang w:eastAsia="zh-CN"/>
        </w:rPr>
        <w:t>：按照上文所述，还应提到国际电联向其成员提供的帮助，在其专长领域内向联合国提供的整体帮助，以及向联合国系统的其它机构提供的帮助。</w:t>
      </w:r>
    </w:p>
    <w:p w14:paraId="0DF8C7A6" w14:textId="77777777" w:rsidR="00E13F04" w:rsidRPr="00A073C6" w:rsidRDefault="00E13F04" w:rsidP="00E13F04">
      <w:pPr>
        <w:pStyle w:val="enumlev1"/>
        <w:rPr>
          <w:lang w:eastAsia="zh-CN"/>
        </w:rPr>
      </w:pPr>
      <w:r w:rsidRPr="00A073C6">
        <w:rPr>
          <w:lang w:eastAsia="zh-CN"/>
        </w:rPr>
        <w:tab/>
      </w:r>
      <w:r>
        <w:rPr>
          <w:rFonts w:hint="eastAsia"/>
          <w:lang w:eastAsia="zh-CN"/>
        </w:rPr>
        <w:t>例如，应提及将电信基础设施列为工作重点的</w:t>
      </w:r>
      <w:r w:rsidRPr="00955853">
        <w:rPr>
          <w:rFonts w:hint="eastAsia"/>
          <w:lang w:eastAsia="zh-CN"/>
        </w:rPr>
        <w:t>《内陆发展中国家</w:t>
      </w:r>
      <w:r w:rsidRPr="00955853">
        <w:rPr>
          <w:rFonts w:hint="eastAsia"/>
          <w:lang w:eastAsia="zh-CN"/>
        </w:rPr>
        <w:t>2014-2024</w:t>
      </w:r>
      <w:r w:rsidRPr="00955853">
        <w:rPr>
          <w:rFonts w:hint="eastAsia"/>
          <w:lang w:eastAsia="zh-CN"/>
        </w:rPr>
        <w:t>年十年维也纳行动纲领》</w:t>
      </w:r>
      <w:r>
        <w:rPr>
          <w:rFonts w:hint="eastAsia"/>
          <w:lang w:eastAsia="zh-CN"/>
        </w:rPr>
        <w:t>。案文亦应强调联合检查组在《审查联合国系统支持内陆发展中国家落实</w:t>
      </w:r>
      <w:r>
        <w:rPr>
          <w:lang w:eastAsia="zh-CN"/>
        </w:rPr>
        <w:t>&lt;</w:t>
      </w:r>
      <w:r>
        <w:rPr>
          <w:rFonts w:hint="eastAsia"/>
          <w:lang w:eastAsia="zh-CN"/>
        </w:rPr>
        <w:t>维也纳行动纲领</w:t>
      </w:r>
      <w:r>
        <w:rPr>
          <w:lang w:eastAsia="zh-CN"/>
        </w:rPr>
        <w:t>&gt;</w:t>
      </w:r>
      <w:r>
        <w:rPr>
          <w:rFonts w:hint="eastAsia"/>
          <w:lang w:eastAsia="zh-CN"/>
        </w:rPr>
        <w:t>的情况》报告（</w:t>
      </w:r>
      <w:r w:rsidRPr="00841D5B">
        <w:rPr>
          <w:lang w:eastAsia="zh-CN"/>
        </w:rPr>
        <w:t>JIU/REP/2021/2</w:t>
      </w:r>
      <w:r>
        <w:rPr>
          <w:rFonts w:hint="eastAsia"/>
          <w:lang w:eastAsia="zh-CN"/>
        </w:rPr>
        <w:t>号文件）中提出的建议，该报告已被纳入理事会财务和人力资源工作组的</w:t>
      </w:r>
      <w:r>
        <w:rPr>
          <w:lang w:eastAsia="zh-CN"/>
        </w:rPr>
        <w:t>CWG-FHR-15/2</w:t>
      </w:r>
      <w:r>
        <w:rPr>
          <w:rFonts w:hint="eastAsia"/>
          <w:lang w:eastAsia="zh-CN"/>
        </w:rPr>
        <w:t>号文件。</w:t>
      </w:r>
    </w:p>
    <w:p w14:paraId="1C0FD7AA" w14:textId="77777777" w:rsidR="00E13F04" w:rsidRPr="00A073C6" w:rsidRDefault="00E13F04" w:rsidP="00E13F04">
      <w:pPr>
        <w:pStyle w:val="enumlev1"/>
        <w:rPr>
          <w:lang w:eastAsia="zh-CN"/>
        </w:rPr>
      </w:pPr>
      <w:r w:rsidRPr="00A073C6">
        <w:rPr>
          <w:lang w:eastAsia="zh-CN"/>
        </w:rPr>
        <w:tab/>
      </w:r>
      <w:r>
        <w:rPr>
          <w:rFonts w:hint="eastAsia"/>
          <w:lang w:eastAsia="zh-CN"/>
        </w:rPr>
        <w:t>本小节应提及该内容，或者，如果无法实现，应请秘书处重新起草一个小节（小节标题可以为“与联合国系统内其它机构的合作”）。</w:t>
      </w:r>
    </w:p>
    <w:p w14:paraId="26D15C9E" w14:textId="77777777" w:rsidR="00E13F04" w:rsidRDefault="00E13F04" w:rsidP="00E13F04">
      <w:pPr>
        <w:overflowPunct/>
        <w:autoSpaceDE/>
        <w:autoSpaceDN/>
        <w:adjustRightInd/>
        <w:spacing w:before="0"/>
        <w:textAlignment w:val="auto"/>
        <w:rPr>
          <w:lang w:eastAsia="zh-CN"/>
        </w:rPr>
      </w:pPr>
      <w:r>
        <w:rPr>
          <w:lang w:eastAsia="zh-CN"/>
        </w:rPr>
        <w:br w:type="page"/>
      </w:r>
    </w:p>
    <w:p w14:paraId="48DAD44B" w14:textId="77777777" w:rsidR="00E13F04" w:rsidRPr="00A073C6" w:rsidRDefault="00E13F04" w:rsidP="00E13F04">
      <w:pPr>
        <w:pStyle w:val="enumlev1"/>
        <w:rPr>
          <w:lang w:eastAsia="zh-CN"/>
        </w:rPr>
      </w:pPr>
      <w:r w:rsidRPr="00A073C6">
        <w:rPr>
          <w:lang w:eastAsia="zh-CN"/>
        </w:rPr>
        <w:lastRenderedPageBreak/>
        <w:tab/>
      </w:r>
      <w:r>
        <w:rPr>
          <w:rFonts w:hint="eastAsia"/>
          <w:lang w:eastAsia="zh-CN"/>
        </w:rPr>
        <w:t>关于第</w:t>
      </w:r>
      <w:r>
        <w:rPr>
          <w:rFonts w:hint="eastAsia"/>
          <w:lang w:eastAsia="zh-CN"/>
        </w:rPr>
        <w:t>5</w:t>
      </w:r>
      <w:r>
        <w:rPr>
          <w:lang w:eastAsia="zh-CN"/>
        </w:rPr>
        <w:t>7</w:t>
      </w:r>
      <w:r>
        <w:rPr>
          <w:rFonts w:hint="eastAsia"/>
          <w:lang w:eastAsia="zh-CN"/>
        </w:rPr>
        <w:t>段，不应删除“</w:t>
      </w:r>
      <w:r>
        <w:rPr>
          <w:rFonts w:hint="eastAsia"/>
          <w:lang w:eastAsia="zh-CN"/>
        </w:rPr>
        <w:t>LDC</w:t>
      </w:r>
      <w:r>
        <w:rPr>
          <w:rFonts w:hint="eastAsia"/>
          <w:lang w:eastAsia="zh-CN"/>
        </w:rPr>
        <w:t>”这一术语；相反，我们建议用“，尤其是最不发达国家（</w:t>
      </w:r>
      <w:r>
        <w:rPr>
          <w:rFonts w:hint="eastAsia"/>
          <w:lang w:eastAsia="zh-CN"/>
        </w:rPr>
        <w:t>LDC</w:t>
      </w:r>
      <w:r>
        <w:rPr>
          <w:rFonts w:hint="eastAsia"/>
          <w:lang w:eastAsia="zh-CN"/>
        </w:rPr>
        <w:t>）、小岛屿发展中国家（</w:t>
      </w:r>
      <w:r>
        <w:rPr>
          <w:rFonts w:hint="eastAsia"/>
          <w:lang w:eastAsia="zh-CN"/>
        </w:rPr>
        <w:t>SIDS</w:t>
      </w:r>
      <w:r>
        <w:rPr>
          <w:rFonts w:hint="eastAsia"/>
          <w:lang w:eastAsia="zh-CN"/>
        </w:rPr>
        <w:t>）、内陆发展中国家（</w:t>
      </w:r>
      <w:r>
        <w:rPr>
          <w:rFonts w:hint="eastAsia"/>
          <w:lang w:eastAsia="zh-CN"/>
        </w:rPr>
        <w:t>LLDC</w:t>
      </w:r>
      <w:r>
        <w:rPr>
          <w:rFonts w:hint="eastAsia"/>
          <w:lang w:eastAsia="zh-CN"/>
        </w:rPr>
        <w:t>）和经济转型国家”替代“和</w:t>
      </w:r>
      <w:r>
        <w:rPr>
          <w:rFonts w:hint="eastAsia"/>
          <w:lang w:eastAsia="zh-CN"/>
        </w:rPr>
        <w:t>LDC</w:t>
      </w:r>
      <w:r>
        <w:rPr>
          <w:rFonts w:hint="eastAsia"/>
          <w:lang w:eastAsia="zh-CN"/>
        </w:rPr>
        <w:t>”。我们认为有必要强调这些国家面临的数字鸿沟，特别是鉴于新冠肺炎疫情（</w:t>
      </w:r>
      <w:r>
        <w:rPr>
          <w:lang w:eastAsia="zh-CN"/>
        </w:rPr>
        <w:t>COVID-19</w:t>
      </w:r>
      <w:r>
        <w:rPr>
          <w:rFonts w:hint="eastAsia"/>
          <w:lang w:eastAsia="zh-CN"/>
        </w:rPr>
        <w:t>）拉大了这一鸿沟。</w:t>
      </w:r>
    </w:p>
    <w:p w14:paraId="0E0F123F" w14:textId="77777777" w:rsidR="00E13F04" w:rsidRPr="00A073C6" w:rsidRDefault="00E13F04" w:rsidP="00E13F04">
      <w:pPr>
        <w:ind w:firstLineChars="200" w:firstLine="480"/>
        <w:rPr>
          <w:lang w:eastAsia="zh-CN"/>
        </w:rPr>
      </w:pPr>
      <w:r>
        <w:rPr>
          <w:rFonts w:hint="eastAsia"/>
          <w:lang w:eastAsia="zh-CN"/>
        </w:rPr>
        <w:t>巴拉圭支持本着合作和对话的精神在战略规划起草过程中取得更大进展。</w:t>
      </w:r>
    </w:p>
    <w:p w14:paraId="733BBBEC" w14:textId="77777777" w:rsidR="00E13F04" w:rsidRPr="00A073C6" w:rsidRDefault="00E13F04" w:rsidP="00E13F04">
      <w:pPr>
        <w:rPr>
          <w:lang w:eastAsia="zh-CN"/>
        </w:rPr>
      </w:pPr>
    </w:p>
    <w:p w14:paraId="55A5400C" w14:textId="77777777" w:rsidR="00E13F04" w:rsidRPr="00CE706B" w:rsidRDefault="00E13F04" w:rsidP="00E13F04">
      <w:pPr>
        <w:jc w:val="center"/>
        <w:rPr>
          <w:lang w:val="en-US"/>
        </w:rPr>
      </w:pPr>
      <w:r w:rsidRPr="00A073C6">
        <w:t>_____________</w:t>
      </w:r>
    </w:p>
    <w:p w14:paraId="32E79406" w14:textId="77777777" w:rsidR="00A04EB3" w:rsidRDefault="00A04EB3" w:rsidP="00E13F04">
      <w:pPr>
        <w:rPr>
          <w:szCs w:val="24"/>
        </w:rPr>
      </w:pPr>
    </w:p>
    <w:sectPr w:rsidR="00A04EB3" w:rsidSect="00DC60C4">
      <w:headerReference w:type="even" r:id="rId9"/>
      <w:headerReference w:type="default" r:id="rId10"/>
      <w:footerReference w:type="even" r:id="rId11"/>
      <w:footerReference w:type="default" r:id="rId12"/>
      <w:headerReference w:type="first" r:id="rId13"/>
      <w:footerReference w:type="first" r:id="rId14"/>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9E80" w14:textId="77777777" w:rsidR="003C68C5" w:rsidRDefault="003C68C5">
      <w:r>
        <w:separator/>
      </w:r>
    </w:p>
  </w:endnote>
  <w:endnote w:type="continuationSeparator" w:id="0">
    <w:p w14:paraId="17131CDD" w14:textId="77777777" w:rsidR="003C68C5" w:rsidRDefault="003C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7295" w14:textId="77777777" w:rsidR="00634A4E" w:rsidRDefault="00634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3C47" w14:textId="5ACB7491" w:rsidR="00B40A53" w:rsidRPr="0001297B" w:rsidRDefault="0001297B" w:rsidP="0001297B">
    <w:pPr>
      <w:pStyle w:val="Footer"/>
      <w:rPr>
        <w:szCs w:val="16"/>
      </w:rPr>
    </w:pPr>
    <w:r w:rsidRPr="00634A4E">
      <w:rPr>
        <w:color w:val="F2F2F2" w:themeColor="background1" w:themeShade="F2"/>
        <w:szCs w:val="16"/>
      </w:rPr>
      <w:fldChar w:fldCharType="begin"/>
    </w:r>
    <w:r w:rsidRPr="00634A4E">
      <w:rPr>
        <w:color w:val="F2F2F2" w:themeColor="background1" w:themeShade="F2"/>
        <w:szCs w:val="16"/>
      </w:rPr>
      <w:instrText xml:space="preserve"> FILENAME \p \* MERGEFORMAT </w:instrText>
    </w:r>
    <w:r w:rsidRPr="00634A4E">
      <w:rPr>
        <w:color w:val="F2F2F2" w:themeColor="background1" w:themeShade="F2"/>
        <w:szCs w:val="16"/>
      </w:rPr>
      <w:fldChar w:fldCharType="separate"/>
    </w:r>
    <w:r w:rsidR="008D7D01" w:rsidRPr="00634A4E">
      <w:rPr>
        <w:color w:val="F2F2F2" w:themeColor="background1" w:themeShade="F2"/>
        <w:szCs w:val="16"/>
      </w:rPr>
      <w:t>P:\CHI\SG\CONSEIL\CWG-SFP\CWG-SFP3\000\014C.DOCX</w:t>
    </w:r>
    <w:r w:rsidRPr="00634A4E">
      <w:rPr>
        <w:color w:val="F2F2F2" w:themeColor="background1" w:themeShade="F2"/>
        <w:szCs w:val="16"/>
      </w:rPr>
      <w:fldChar w:fldCharType="end"/>
    </w:r>
    <w:r w:rsidRPr="00634A4E">
      <w:rPr>
        <w:color w:val="F2F2F2" w:themeColor="background1" w:themeShade="F2"/>
        <w:szCs w:val="16"/>
      </w:rPr>
      <w:t xml:space="preserve"> (</w:t>
    </w:r>
    <w:r w:rsidR="008D7D01" w:rsidRPr="00634A4E">
      <w:rPr>
        <w:rFonts w:hint="eastAsia"/>
        <w:color w:val="F2F2F2" w:themeColor="background1" w:themeShade="F2"/>
        <w:szCs w:val="16"/>
        <w:lang w:eastAsia="zh-CN"/>
      </w:rPr>
      <w:t>501513</w:t>
    </w:r>
    <w:r w:rsidRPr="00634A4E">
      <w:rPr>
        <w:color w:val="F2F2F2" w:themeColor="background1" w:themeShade="F2"/>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732E"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2722" w14:textId="77777777" w:rsidR="003C68C5" w:rsidRDefault="003C68C5">
      <w:r>
        <w:t>____________________</w:t>
      </w:r>
    </w:p>
  </w:footnote>
  <w:footnote w:type="continuationSeparator" w:id="0">
    <w:p w14:paraId="32CA4291" w14:textId="77777777" w:rsidR="003C68C5" w:rsidRDefault="003C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E6B1" w14:textId="77777777" w:rsidR="00634A4E" w:rsidRDefault="00634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A6D6" w14:textId="6363DED8"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A04EB3">
      <w:rPr>
        <w:noProof/>
      </w:rPr>
      <w:t>2</w:t>
    </w:r>
    <w:r w:rsidRPr="009F2E71">
      <w:rPr>
        <w:noProof/>
      </w:rPr>
      <w:fldChar w:fldCharType="end"/>
    </w:r>
    <w:r w:rsidRPr="009F2E71">
      <w:rPr>
        <w:noProof/>
      </w:rPr>
      <w:br/>
      <w:t>CWG-SFP-</w:t>
    </w:r>
    <w:r w:rsidR="00E13F04">
      <w:rPr>
        <w:rFonts w:hint="eastAsia"/>
        <w:noProof/>
        <w:lang w:eastAsia="zh-CN"/>
      </w:rPr>
      <w:t>3/</w:t>
    </w:r>
    <w:r w:rsidRPr="009F2E71">
      <w:rPr>
        <w:noProof/>
      </w:rPr>
      <w:t>1</w:t>
    </w:r>
    <w:r w:rsidR="00E13F04">
      <w:rPr>
        <w:rFonts w:hint="eastAsia"/>
        <w:noProof/>
        <w:lang w:eastAsia="zh-CN"/>
      </w:rPr>
      <w:t>4</w:t>
    </w:r>
    <w:r>
      <w:rPr>
        <w:noProof/>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D4E2" w14:textId="77777777" w:rsidR="00634A4E" w:rsidRDefault="00634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11"/>
  </w:num>
  <w:num w:numId="6">
    <w:abstractNumId w:val="1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1E72"/>
    <w:rsid w:val="000404D2"/>
    <w:rsid w:val="00057C46"/>
    <w:rsid w:val="000853C0"/>
    <w:rsid w:val="000916EA"/>
    <w:rsid w:val="000A1C21"/>
    <w:rsid w:val="000C4248"/>
    <w:rsid w:val="000D0B67"/>
    <w:rsid w:val="000D15EA"/>
    <w:rsid w:val="000F0794"/>
    <w:rsid w:val="00100D84"/>
    <w:rsid w:val="00120379"/>
    <w:rsid w:val="00124C9D"/>
    <w:rsid w:val="00157773"/>
    <w:rsid w:val="0018251A"/>
    <w:rsid w:val="00190272"/>
    <w:rsid w:val="00193244"/>
    <w:rsid w:val="00195C6C"/>
    <w:rsid w:val="00195FED"/>
    <w:rsid w:val="001A4BD6"/>
    <w:rsid w:val="001B4A65"/>
    <w:rsid w:val="001D5A18"/>
    <w:rsid w:val="00264044"/>
    <w:rsid w:val="002768E8"/>
    <w:rsid w:val="00280EB8"/>
    <w:rsid w:val="002A6670"/>
    <w:rsid w:val="002E2C4D"/>
    <w:rsid w:val="002F20D0"/>
    <w:rsid w:val="00303502"/>
    <w:rsid w:val="00325C25"/>
    <w:rsid w:val="00372C8F"/>
    <w:rsid w:val="00380ECE"/>
    <w:rsid w:val="00393DDF"/>
    <w:rsid w:val="00396929"/>
    <w:rsid w:val="00397F55"/>
    <w:rsid w:val="003A369A"/>
    <w:rsid w:val="003B4454"/>
    <w:rsid w:val="003C2E37"/>
    <w:rsid w:val="003C68C5"/>
    <w:rsid w:val="003F1415"/>
    <w:rsid w:val="0040144C"/>
    <w:rsid w:val="00403EB7"/>
    <w:rsid w:val="00430BF0"/>
    <w:rsid w:val="004672E6"/>
    <w:rsid w:val="00474ED1"/>
    <w:rsid w:val="00493085"/>
    <w:rsid w:val="004A36EC"/>
    <w:rsid w:val="004C7019"/>
    <w:rsid w:val="004D163F"/>
    <w:rsid w:val="004E4BFF"/>
    <w:rsid w:val="004F079A"/>
    <w:rsid w:val="004F2598"/>
    <w:rsid w:val="005133D3"/>
    <w:rsid w:val="005403F7"/>
    <w:rsid w:val="00540632"/>
    <w:rsid w:val="00541CF4"/>
    <w:rsid w:val="00544C81"/>
    <w:rsid w:val="005451E8"/>
    <w:rsid w:val="005507F2"/>
    <w:rsid w:val="005759CC"/>
    <w:rsid w:val="005A72E1"/>
    <w:rsid w:val="005C5A89"/>
    <w:rsid w:val="005C6632"/>
    <w:rsid w:val="005D1C9E"/>
    <w:rsid w:val="00626565"/>
    <w:rsid w:val="00634A4E"/>
    <w:rsid w:val="00654257"/>
    <w:rsid w:val="0065435A"/>
    <w:rsid w:val="006A2DD3"/>
    <w:rsid w:val="006A5AF8"/>
    <w:rsid w:val="006C36CD"/>
    <w:rsid w:val="00700D1F"/>
    <w:rsid w:val="00720594"/>
    <w:rsid w:val="007205CB"/>
    <w:rsid w:val="00722F05"/>
    <w:rsid w:val="00726073"/>
    <w:rsid w:val="00734FE8"/>
    <w:rsid w:val="007360CE"/>
    <w:rsid w:val="0075041B"/>
    <w:rsid w:val="007508E8"/>
    <w:rsid w:val="00772315"/>
    <w:rsid w:val="00775157"/>
    <w:rsid w:val="007813AE"/>
    <w:rsid w:val="00796695"/>
    <w:rsid w:val="007A37DB"/>
    <w:rsid w:val="007E189D"/>
    <w:rsid w:val="007F46B6"/>
    <w:rsid w:val="00811259"/>
    <w:rsid w:val="00813AA2"/>
    <w:rsid w:val="008173A3"/>
    <w:rsid w:val="0086059C"/>
    <w:rsid w:val="00864589"/>
    <w:rsid w:val="00870ECF"/>
    <w:rsid w:val="0087698A"/>
    <w:rsid w:val="00890AFB"/>
    <w:rsid w:val="00890FC4"/>
    <w:rsid w:val="00895905"/>
    <w:rsid w:val="008D7D01"/>
    <w:rsid w:val="008F6603"/>
    <w:rsid w:val="009164A9"/>
    <w:rsid w:val="009258CB"/>
    <w:rsid w:val="0093362E"/>
    <w:rsid w:val="00944563"/>
    <w:rsid w:val="00953160"/>
    <w:rsid w:val="009625D8"/>
    <w:rsid w:val="00977179"/>
    <w:rsid w:val="0098459B"/>
    <w:rsid w:val="00997185"/>
    <w:rsid w:val="009B0BC1"/>
    <w:rsid w:val="009C2458"/>
    <w:rsid w:val="009C4A7B"/>
    <w:rsid w:val="009C6123"/>
    <w:rsid w:val="009D2585"/>
    <w:rsid w:val="009F1E3E"/>
    <w:rsid w:val="00A04EB3"/>
    <w:rsid w:val="00A1213C"/>
    <w:rsid w:val="00A272FF"/>
    <w:rsid w:val="00A5354B"/>
    <w:rsid w:val="00A71B57"/>
    <w:rsid w:val="00A82C73"/>
    <w:rsid w:val="00A85CE7"/>
    <w:rsid w:val="00A87B83"/>
    <w:rsid w:val="00AB42C1"/>
    <w:rsid w:val="00AC516F"/>
    <w:rsid w:val="00AE2926"/>
    <w:rsid w:val="00AE536E"/>
    <w:rsid w:val="00B0184B"/>
    <w:rsid w:val="00B035CD"/>
    <w:rsid w:val="00B0769D"/>
    <w:rsid w:val="00B217F8"/>
    <w:rsid w:val="00B332EA"/>
    <w:rsid w:val="00B40A53"/>
    <w:rsid w:val="00B45365"/>
    <w:rsid w:val="00B46A65"/>
    <w:rsid w:val="00B60184"/>
    <w:rsid w:val="00B62D20"/>
    <w:rsid w:val="00B81E75"/>
    <w:rsid w:val="00B86D56"/>
    <w:rsid w:val="00B90C18"/>
    <w:rsid w:val="00BA1A78"/>
    <w:rsid w:val="00BC021A"/>
    <w:rsid w:val="00BD1194"/>
    <w:rsid w:val="00BD1A5A"/>
    <w:rsid w:val="00BD7A9B"/>
    <w:rsid w:val="00BD7BE1"/>
    <w:rsid w:val="00BF416B"/>
    <w:rsid w:val="00BF774C"/>
    <w:rsid w:val="00C50B28"/>
    <w:rsid w:val="00C64E4E"/>
    <w:rsid w:val="00C66E64"/>
    <w:rsid w:val="00C7144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86DA5"/>
    <w:rsid w:val="00D92F45"/>
    <w:rsid w:val="00D94637"/>
    <w:rsid w:val="00D96457"/>
    <w:rsid w:val="00D966A7"/>
    <w:rsid w:val="00D9725C"/>
    <w:rsid w:val="00DA48FE"/>
    <w:rsid w:val="00DA7006"/>
    <w:rsid w:val="00DB3997"/>
    <w:rsid w:val="00DC60C4"/>
    <w:rsid w:val="00DC6427"/>
    <w:rsid w:val="00DD66A1"/>
    <w:rsid w:val="00DE196D"/>
    <w:rsid w:val="00DF6B49"/>
    <w:rsid w:val="00E067C5"/>
    <w:rsid w:val="00E13F04"/>
    <w:rsid w:val="00E265BF"/>
    <w:rsid w:val="00E378D8"/>
    <w:rsid w:val="00E43A12"/>
    <w:rsid w:val="00E67C67"/>
    <w:rsid w:val="00E77476"/>
    <w:rsid w:val="00E8228B"/>
    <w:rsid w:val="00EE4D0B"/>
    <w:rsid w:val="00EE5706"/>
    <w:rsid w:val="00EF373D"/>
    <w:rsid w:val="00F11595"/>
    <w:rsid w:val="00F13BC9"/>
    <w:rsid w:val="00F350F0"/>
    <w:rsid w:val="00F357B2"/>
    <w:rsid w:val="00F36556"/>
    <w:rsid w:val="00F432F3"/>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4A6A8A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umlev1Char">
    <w:name w:val="enumlev1 Char"/>
    <w:basedOn w:val="DefaultParagraphFont"/>
    <w:link w:val="enumlev1"/>
    <w:rsid w:val="00E13F0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31D2-CB18-4E91-8546-58BF2131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2</Pages>
  <Words>850</Words>
  <Characters>179</Characters>
  <Application>Microsoft Office Word</Application>
  <DocSecurity>4</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Paraguay (Republic of) - Proposals for Annex 1 of the ITU Strategic Plan 2024-2027</dc:title>
  <dc:subject>Council Working Group for Strategic and Financial Plans 2024-2027</dc:subject>
  <dc:creator>Wang, Yujia</dc:creator>
  <cp:keywords>CWG-SFP</cp:keywords>
  <dc:description/>
  <cp:lastModifiedBy>Xue, Kun</cp:lastModifiedBy>
  <cp:revision>2</cp:revision>
  <cp:lastPrinted>2018-04-05T09:51:00Z</cp:lastPrinted>
  <dcterms:created xsi:type="dcterms:W3CDTF">2022-02-17T11:37:00Z</dcterms:created>
  <dcterms:modified xsi:type="dcterms:W3CDTF">2022-02-17T11:37:00Z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