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BE71B7" w14:paraId="4D25241E" w14:textId="77777777" w:rsidTr="00372387">
        <w:trPr>
          <w:cantSplit/>
          <w:trHeight w:val="20"/>
        </w:trPr>
        <w:tc>
          <w:tcPr>
            <w:tcW w:w="6620" w:type="dxa"/>
          </w:tcPr>
          <w:p w14:paraId="34F56074" w14:textId="77777777" w:rsidR="00063EA4" w:rsidRPr="00BE71B7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BE71B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BE71B7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BE71B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BE71B7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BE71B7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44821324" w14:textId="77777777" w:rsidR="00063EA4" w:rsidRPr="00BE71B7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BE71B7">
              <w:rPr>
                <w:noProof/>
                <w:lang w:bidi="ar-EG"/>
              </w:rPr>
              <w:drawing>
                <wp:inline distT="0" distB="0" distL="0" distR="0" wp14:anchorId="4A59903F" wp14:editId="68FFAF4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BE71B7" w14:paraId="53100C53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4E77D26" w14:textId="490DBF48" w:rsidR="00063EA4" w:rsidRPr="00BE71B7" w:rsidRDefault="000F097C" w:rsidP="00063EA4">
            <w:pPr>
              <w:spacing w:after="60"/>
              <w:rPr>
                <w:rtl/>
                <w:lang w:bidi="ar-EG"/>
              </w:rPr>
            </w:pPr>
            <w:r w:rsidRPr="00BE71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907E9E" w:rsidRPr="00BE71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Pr="00BE71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- </w:t>
            </w:r>
            <w:r w:rsidR="00907E9E" w:rsidRPr="00BE71B7">
              <w:rPr>
                <w:b/>
                <w:bCs/>
                <w:sz w:val="24"/>
                <w:szCs w:val="24"/>
                <w:lang w:bidi="ar-EG"/>
              </w:rPr>
              <w:t>21</w:t>
            </w:r>
            <w:r w:rsidR="00907E9E" w:rsidRPr="00BE71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E71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</w:t>
            </w:r>
            <w:r w:rsidR="00907E9E" w:rsidRPr="00BE71B7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="00907E9E" w:rsidRPr="00BE71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فبراير </w:t>
            </w:r>
            <w:r w:rsidRPr="00BE71B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5FB8E402" w14:textId="77777777" w:rsidR="00063EA4" w:rsidRPr="00BE71B7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BE71B7" w14:paraId="5067A87D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29B59FB3" w14:textId="77777777" w:rsidR="00063EA4" w:rsidRPr="00BE71B7" w:rsidRDefault="00063EA4" w:rsidP="00907E9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7BC5DCF" w14:textId="77777777" w:rsidR="00063EA4" w:rsidRPr="00BE71B7" w:rsidRDefault="00063EA4" w:rsidP="00907E9E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63EA4" w:rsidRPr="00BE71B7" w14:paraId="6F833502" w14:textId="77777777" w:rsidTr="00372387">
        <w:trPr>
          <w:cantSplit/>
        </w:trPr>
        <w:tc>
          <w:tcPr>
            <w:tcW w:w="6620" w:type="dxa"/>
            <w:vMerge w:val="restart"/>
          </w:tcPr>
          <w:p w14:paraId="33B79888" w14:textId="77777777" w:rsidR="00063EA4" w:rsidRPr="00BE71B7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5635A12" w14:textId="573828A2" w:rsidR="00063EA4" w:rsidRPr="00BE71B7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BE71B7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BE71B7">
              <w:rPr>
                <w:b/>
                <w:bCs/>
                <w:lang w:bidi="ar-EG"/>
              </w:rPr>
              <w:t>CWG-SFP-</w:t>
            </w:r>
            <w:r w:rsidR="00907E9E" w:rsidRPr="00BE71B7">
              <w:rPr>
                <w:b/>
                <w:bCs/>
                <w:lang w:bidi="ar-EG"/>
              </w:rPr>
              <w:t>3</w:t>
            </w:r>
            <w:r w:rsidRPr="00BE71B7">
              <w:rPr>
                <w:b/>
                <w:bCs/>
                <w:lang w:bidi="ar-EG"/>
              </w:rPr>
              <w:t>/</w:t>
            </w:r>
            <w:r w:rsidR="00907E9E" w:rsidRPr="00BE71B7">
              <w:rPr>
                <w:b/>
                <w:bCs/>
                <w:lang w:bidi="ar-EG"/>
              </w:rPr>
              <w:t>14</w:t>
            </w:r>
            <w:r w:rsidRPr="00BE71B7">
              <w:rPr>
                <w:b/>
                <w:bCs/>
                <w:lang w:bidi="ar-EG"/>
              </w:rPr>
              <w:t>-A</w:t>
            </w:r>
          </w:p>
        </w:tc>
      </w:tr>
      <w:tr w:rsidR="00063EA4" w:rsidRPr="00BE71B7" w14:paraId="662BF204" w14:textId="77777777" w:rsidTr="00372387">
        <w:trPr>
          <w:cantSplit/>
        </w:trPr>
        <w:tc>
          <w:tcPr>
            <w:tcW w:w="6620" w:type="dxa"/>
            <w:vMerge/>
          </w:tcPr>
          <w:p w14:paraId="17959114" w14:textId="77777777" w:rsidR="00063EA4" w:rsidRPr="00BE71B7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FEB6FC6" w14:textId="3610BD6E" w:rsidR="00063EA4" w:rsidRPr="00BE71B7" w:rsidRDefault="00907E9E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BE71B7">
              <w:rPr>
                <w:b/>
                <w:bCs/>
                <w:lang w:bidi="ar-EG"/>
              </w:rPr>
              <w:t>7</w:t>
            </w:r>
            <w:r w:rsidRPr="00BE71B7">
              <w:rPr>
                <w:rFonts w:hint="cs"/>
                <w:b/>
                <w:bCs/>
                <w:rtl/>
                <w:lang w:bidi="ar-EG"/>
              </w:rPr>
              <w:t xml:space="preserve"> فبراير</w:t>
            </w:r>
            <w:r w:rsidR="00063EA4" w:rsidRPr="00BE71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F097C" w:rsidRPr="00BE71B7">
              <w:rPr>
                <w:b/>
                <w:bCs/>
                <w:lang w:bidi="ar-EG"/>
              </w:rPr>
              <w:t>2022</w:t>
            </w:r>
          </w:p>
        </w:tc>
      </w:tr>
      <w:tr w:rsidR="00063EA4" w:rsidRPr="00BE71B7" w14:paraId="5436F3C7" w14:textId="77777777" w:rsidTr="00372387">
        <w:trPr>
          <w:cantSplit/>
        </w:trPr>
        <w:tc>
          <w:tcPr>
            <w:tcW w:w="6620" w:type="dxa"/>
            <w:vMerge/>
          </w:tcPr>
          <w:p w14:paraId="3EF083A8" w14:textId="77777777" w:rsidR="00063EA4" w:rsidRPr="00BE71B7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BF795B4" w14:textId="1CA3CA2B" w:rsidR="00063EA4" w:rsidRPr="00BE71B7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BE71B7">
              <w:rPr>
                <w:b/>
                <w:bCs/>
                <w:rtl/>
                <w:lang w:bidi="ar-EG"/>
              </w:rPr>
              <w:t xml:space="preserve">الأصل: </w:t>
            </w:r>
            <w:r w:rsidR="00651495" w:rsidRPr="00BE71B7">
              <w:rPr>
                <w:rFonts w:hint="cs"/>
                <w:b/>
                <w:bCs/>
                <w:rtl/>
                <w:lang w:bidi="ar-EG"/>
              </w:rPr>
              <w:t>بالإسبانية</w:t>
            </w:r>
          </w:p>
        </w:tc>
      </w:tr>
      <w:tr w:rsidR="00063EA4" w:rsidRPr="00BE71B7" w14:paraId="50A862DA" w14:textId="77777777" w:rsidTr="00372387">
        <w:trPr>
          <w:cantSplit/>
        </w:trPr>
        <w:tc>
          <w:tcPr>
            <w:tcW w:w="9672" w:type="dxa"/>
            <w:gridSpan w:val="2"/>
          </w:tcPr>
          <w:p w14:paraId="5B330DE1" w14:textId="21A1E692" w:rsidR="00063EA4" w:rsidRPr="00BE71B7" w:rsidRDefault="00907E9E" w:rsidP="00907E9E">
            <w:pPr>
              <w:pStyle w:val="Source"/>
              <w:rPr>
                <w:lang w:bidi="ar-EG"/>
              </w:rPr>
            </w:pPr>
            <w:r w:rsidRPr="00BE71B7">
              <w:rPr>
                <w:rFonts w:hint="cs"/>
                <w:rtl/>
              </w:rPr>
              <w:t xml:space="preserve">مساهمة من </w:t>
            </w:r>
            <w:r w:rsidR="00DC6027" w:rsidRPr="00BE71B7">
              <w:rPr>
                <w:rtl/>
              </w:rPr>
              <w:t>جمهورية باراغواي</w:t>
            </w:r>
          </w:p>
        </w:tc>
      </w:tr>
      <w:tr w:rsidR="00063EA4" w:rsidRPr="00BE71B7" w14:paraId="029063A8" w14:textId="77777777" w:rsidTr="00372387">
        <w:trPr>
          <w:cantSplit/>
        </w:trPr>
        <w:tc>
          <w:tcPr>
            <w:tcW w:w="9672" w:type="dxa"/>
            <w:gridSpan w:val="2"/>
          </w:tcPr>
          <w:p w14:paraId="66E53789" w14:textId="209A1708" w:rsidR="00063EA4" w:rsidRPr="00BE71B7" w:rsidRDefault="00907E9E" w:rsidP="00907E9E">
            <w:pPr>
              <w:pStyle w:val="Title1"/>
              <w:rPr>
                <w:rtl/>
                <w:lang w:bidi="ar-EG"/>
              </w:rPr>
            </w:pPr>
            <w:r w:rsidRPr="00BE71B7">
              <w:rPr>
                <w:rFonts w:hint="cs"/>
                <w:rtl/>
                <w:lang w:bidi="ar-EG"/>
              </w:rPr>
              <w:t xml:space="preserve">مقترحات بشأن الملحق </w:t>
            </w:r>
            <w:r w:rsidRPr="00BE71B7">
              <w:rPr>
                <w:lang w:val="en-GB" w:bidi="ar-EG"/>
              </w:rPr>
              <w:t>1</w:t>
            </w:r>
            <w:r w:rsidRPr="00BE71B7">
              <w:rPr>
                <w:rFonts w:hint="cs"/>
                <w:rtl/>
                <w:lang w:val="en-GB"/>
              </w:rPr>
              <w:t xml:space="preserve"> بالخطة الاستراتيجية للاتحاد للفترة </w:t>
            </w:r>
            <w:r w:rsidRPr="00BE71B7">
              <w:rPr>
                <w:lang w:val="en-GB"/>
              </w:rPr>
              <w:t>2027-2024</w:t>
            </w:r>
          </w:p>
        </w:tc>
      </w:tr>
    </w:tbl>
    <w:p w14:paraId="50EA30D2" w14:textId="77777777" w:rsidR="00907E9E" w:rsidRPr="00BE71B7" w:rsidRDefault="00907E9E" w:rsidP="00907E9E">
      <w:pPr>
        <w:pStyle w:val="Headingb"/>
        <w:rPr>
          <w:rtl/>
        </w:rPr>
      </w:pPr>
      <w:r w:rsidRPr="00BE71B7">
        <w:rPr>
          <w:rFonts w:hint="cs"/>
          <w:rtl/>
        </w:rPr>
        <w:t>مقدمة</w:t>
      </w:r>
    </w:p>
    <w:p w14:paraId="18FA06EC" w14:textId="5C3ABD26" w:rsidR="00DC6027" w:rsidRPr="00BE71B7" w:rsidRDefault="00DC6027" w:rsidP="00907E9E">
      <w:pPr>
        <w:rPr>
          <w:rtl/>
        </w:rPr>
      </w:pPr>
      <w:r w:rsidRPr="00BE71B7">
        <w:rPr>
          <w:rFonts w:hint="cs"/>
          <w:rtl/>
        </w:rPr>
        <w:t>تودّ</w:t>
      </w:r>
      <w:r w:rsidR="00907E9E" w:rsidRPr="00BE71B7">
        <w:rPr>
          <w:rFonts w:hint="cs"/>
          <w:rtl/>
        </w:rPr>
        <w:t xml:space="preserve"> </w:t>
      </w:r>
      <w:proofErr w:type="spellStart"/>
      <w:r w:rsidRPr="00BE71B7">
        <w:rPr>
          <w:rFonts w:hint="cs"/>
          <w:rtl/>
          <w:lang w:bidi="ar-LB"/>
        </w:rPr>
        <w:t>باراغوي</w:t>
      </w:r>
      <w:proofErr w:type="spellEnd"/>
      <w:r w:rsidR="00907E9E" w:rsidRPr="00BE71B7">
        <w:rPr>
          <w:rFonts w:hint="cs"/>
          <w:rtl/>
        </w:rPr>
        <w:t xml:space="preserve"> </w:t>
      </w:r>
      <w:r w:rsidRPr="00BE71B7">
        <w:rPr>
          <w:rFonts w:hint="cs"/>
          <w:rtl/>
        </w:rPr>
        <w:t xml:space="preserve">تقديم </w:t>
      </w:r>
      <w:r w:rsidR="00907E9E" w:rsidRPr="00BE71B7">
        <w:rPr>
          <w:rFonts w:hint="cs"/>
          <w:rtl/>
        </w:rPr>
        <w:t>بعض الملاحظات والمقترحات</w:t>
      </w:r>
      <w:r w:rsidRPr="00BE71B7">
        <w:rPr>
          <w:rFonts w:hint="cs"/>
          <w:rtl/>
        </w:rPr>
        <w:t xml:space="preserve"> بشأن </w:t>
      </w:r>
      <w:r w:rsidR="0063075D" w:rsidRPr="00BE71B7">
        <w:rPr>
          <w:rFonts w:hint="cs"/>
          <w:rtl/>
        </w:rPr>
        <w:t>إعداد</w:t>
      </w:r>
      <w:r w:rsidRPr="00BE71B7">
        <w:rPr>
          <w:rFonts w:hint="cs"/>
          <w:rtl/>
        </w:rPr>
        <w:t xml:space="preserve"> الخطة الاستراتيجية للاتحاد للفترة </w:t>
      </w:r>
      <w:r w:rsidRPr="00BE71B7">
        <w:rPr>
          <w:lang w:val="en-GB"/>
        </w:rPr>
        <w:t>2027</w:t>
      </w:r>
      <w:r w:rsidRPr="00BE71B7">
        <w:rPr>
          <w:lang w:val="en-GB"/>
        </w:rPr>
        <w:noBreakHyphen/>
        <w:t>2024</w:t>
      </w:r>
      <w:r w:rsidRPr="00BE71B7">
        <w:rPr>
          <w:rFonts w:hint="cs"/>
          <w:rtl/>
          <w:lang w:val="en-GB"/>
        </w:rPr>
        <w:t>، ولا سيما مشروع الملحق 1 بالقرار 71.</w:t>
      </w:r>
    </w:p>
    <w:p w14:paraId="7F059CE5" w14:textId="22A6DD87" w:rsidR="00907E9E" w:rsidRPr="00BE71B7" w:rsidRDefault="00DC6027" w:rsidP="001A72F1">
      <w:pPr>
        <w:rPr>
          <w:rtl/>
          <w:lang w:val="en-GB"/>
        </w:rPr>
      </w:pPr>
      <w:r w:rsidRPr="00BE71B7">
        <w:rPr>
          <w:rFonts w:hint="cs"/>
          <w:rtl/>
          <w:lang w:val="en-GB"/>
        </w:rPr>
        <w:t>وعلى العموم، نعتبر أن الاتحاد الدولي للاتصالات</w:t>
      </w:r>
      <w:r w:rsidR="00BE71B7">
        <w:rPr>
          <w:rFonts w:hint="cs"/>
          <w:rtl/>
          <w:lang w:val="en-GB"/>
        </w:rPr>
        <w:t xml:space="preserve"> </w:t>
      </w:r>
      <w:r w:rsidR="00BE71B7">
        <w:t>(ITU)</w:t>
      </w:r>
      <w:r w:rsidRPr="00BE71B7">
        <w:rPr>
          <w:rFonts w:hint="cs"/>
          <w:rtl/>
          <w:lang w:val="en-GB"/>
        </w:rPr>
        <w:t xml:space="preserve">، بوصفه وكالة الأمم المتحدة المتخصصة في الاتصالات وتكنولوجيا المعلومات والاتصالات، لا يكتفي بتوفير المساعدة </w:t>
      </w:r>
      <w:proofErr w:type="gramStart"/>
      <w:r w:rsidRPr="00BE71B7">
        <w:rPr>
          <w:rFonts w:hint="cs"/>
          <w:rtl/>
          <w:lang w:val="en-GB"/>
        </w:rPr>
        <w:t>لأعضائه</w:t>
      </w:r>
      <w:proofErr w:type="gramEnd"/>
      <w:r w:rsidRPr="00BE71B7">
        <w:rPr>
          <w:rFonts w:hint="cs"/>
          <w:rtl/>
          <w:lang w:val="en-GB"/>
        </w:rPr>
        <w:t xml:space="preserve"> بل يساهم أيضا</w:t>
      </w:r>
      <w:r w:rsidR="00542196">
        <w:rPr>
          <w:rFonts w:hint="cs"/>
          <w:rtl/>
          <w:lang w:val="en-GB"/>
        </w:rPr>
        <w:t>ً</w:t>
      </w:r>
      <w:r w:rsidRPr="00BE71B7">
        <w:rPr>
          <w:rFonts w:hint="cs"/>
          <w:rtl/>
          <w:lang w:val="en-GB"/>
        </w:rPr>
        <w:t xml:space="preserve"> في الوفاء بالالتزامات التي </w:t>
      </w:r>
      <w:r w:rsidR="0063075D" w:rsidRPr="00BE71B7">
        <w:rPr>
          <w:rFonts w:hint="cs"/>
          <w:rtl/>
          <w:lang w:val="en-GB"/>
        </w:rPr>
        <w:t>تعهدت بها</w:t>
      </w:r>
      <w:r w:rsidRPr="00BE71B7">
        <w:rPr>
          <w:rFonts w:hint="cs"/>
          <w:rtl/>
          <w:lang w:val="en-GB"/>
        </w:rPr>
        <w:t xml:space="preserve"> منظومة الأمم المتحدة (من قبيل </w:t>
      </w:r>
      <w:r w:rsidRPr="00BE71B7">
        <w:rPr>
          <w:rtl/>
          <w:lang w:val="en-GB"/>
        </w:rPr>
        <w:t>خطوط العمل المنبثقة عن القمة العالمية لمجتمع المعلومات (</w:t>
      </w:r>
      <w:r w:rsidRPr="00BE71B7">
        <w:rPr>
          <w:lang w:val="en-GB"/>
        </w:rPr>
        <w:t>WSIS</w:t>
      </w:r>
      <w:r w:rsidRPr="00BE71B7">
        <w:rPr>
          <w:rtl/>
          <w:lang w:val="en-GB"/>
        </w:rPr>
        <w:t>)</w:t>
      </w:r>
      <w:r w:rsidRPr="00BE71B7">
        <w:rPr>
          <w:rFonts w:hint="cs"/>
          <w:rtl/>
          <w:lang w:val="en-GB"/>
        </w:rPr>
        <w:t xml:space="preserve">، وأهداف التنمية المستدامة، التي أُدرجت في الوثيقة المعدَّلة). وبالتالي نشعر بضرورة إدماج هذه الرؤية في مشروع النص. </w:t>
      </w:r>
    </w:p>
    <w:p w14:paraId="776C9029" w14:textId="77777777" w:rsidR="00907E9E" w:rsidRPr="00BE71B7" w:rsidRDefault="00907E9E" w:rsidP="00907E9E">
      <w:pPr>
        <w:pStyle w:val="Headingb"/>
      </w:pPr>
      <w:r w:rsidRPr="00BE71B7">
        <w:rPr>
          <w:rFonts w:hint="cs"/>
          <w:rtl/>
          <w:lang w:val="en-GB"/>
        </w:rPr>
        <w:t>المقترح</w:t>
      </w:r>
    </w:p>
    <w:p w14:paraId="131D1CC9" w14:textId="6C0E607F" w:rsidR="00907E9E" w:rsidRPr="00BE71B7" w:rsidRDefault="00907E9E" w:rsidP="00130E31">
      <w:pPr>
        <w:ind w:left="708" w:hanging="708"/>
        <w:rPr>
          <w:spacing w:val="2"/>
          <w:rtl/>
          <w:lang w:bidi="ar-EG"/>
        </w:rPr>
      </w:pPr>
      <w:r w:rsidRPr="00BE71B7">
        <w:rPr>
          <w:b/>
          <w:bCs/>
          <w:lang w:bidi="ar-EG"/>
        </w:rPr>
        <w:t>1</w:t>
      </w:r>
      <w:r w:rsidRPr="00BE71B7">
        <w:rPr>
          <w:rtl/>
          <w:lang w:bidi="ar-EG"/>
        </w:rPr>
        <w:tab/>
      </w:r>
      <w:r w:rsidR="00CF491F" w:rsidRPr="00BE71B7">
        <w:rPr>
          <w:rFonts w:hint="cs"/>
          <w:b/>
          <w:bCs/>
          <w:spacing w:val="2"/>
          <w:rtl/>
          <w:lang w:bidi="ar-EG"/>
        </w:rPr>
        <w:t xml:space="preserve">القسم </w:t>
      </w:r>
      <w:r w:rsidR="0063075D" w:rsidRPr="00BE71B7">
        <w:rPr>
          <w:rFonts w:hint="cs"/>
          <w:b/>
          <w:bCs/>
          <w:spacing w:val="2"/>
          <w:rtl/>
          <w:lang w:bidi="ar-EG"/>
        </w:rPr>
        <w:t>7.2</w:t>
      </w:r>
      <w:r w:rsidR="00CF491F" w:rsidRPr="00BE71B7">
        <w:rPr>
          <w:rFonts w:hint="cs"/>
          <w:b/>
          <w:bCs/>
          <w:spacing w:val="2"/>
          <w:rtl/>
          <w:lang w:bidi="ar-EG"/>
        </w:rPr>
        <w:t xml:space="preserve">، </w:t>
      </w:r>
      <w:r w:rsidR="00CF491F" w:rsidRPr="00BE71B7">
        <w:rPr>
          <w:b/>
          <w:bCs/>
          <w:spacing w:val="2"/>
          <w:rtl/>
          <w:lang w:bidi="ar-EG"/>
        </w:rPr>
        <w:t>عروض المنتجات والخدمات</w:t>
      </w:r>
      <w:r w:rsidR="00CF491F" w:rsidRPr="00BE71B7">
        <w:rPr>
          <w:rFonts w:hint="cs"/>
          <w:b/>
          <w:bCs/>
          <w:spacing w:val="2"/>
          <w:rtl/>
          <w:lang w:bidi="ar-EG"/>
        </w:rPr>
        <w:t xml:space="preserve"> </w:t>
      </w:r>
      <w:r w:rsidR="00CF491F" w:rsidRPr="00BE71B7">
        <w:rPr>
          <w:b/>
          <w:bCs/>
          <w:spacing w:val="2"/>
          <w:rtl/>
          <w:lang w:bidi="ar-EG"/>
        </w:rPr>
        <w:t>–</w:t>
      </w:r>
      <w:r w:rsidR="00CF491F" w:rsidRPr="00BE71B7">
        <w:rPr>
          <w:rFonts w:hint="cs"/>
          <w:b/>
          <w:bCs/>
          <w:spacing w:val="2"/>
          <w:rtl/>
          <w:lang w:bidi="ar-EG"/>
        </w:rPr>
        <w:t xml:space="preserve"> القسم الفرعي "</w:t>
      </w:r>
      <w:r w:rsidR="00CF491F" w:rsidRPr="00BE71B7">
        <w:rPr>
          <w:b/>
          <w:bCs/>
          <w:i/>
          <w:iCs/>
          <w:spacing w:val="2"/>
          <w:rtl/>
          <w:lang w:bidi="ar-EG"/>
        </w:rPr>
        <w:t>وضع اللوائح الدولية وتطبيقها</w:t>
      </w:r>
      <w:r w:rsidR="00CF491F" w:rsidRPr="00BE71B7">
        <w:rPr>
          <w:rFonts w:hint="cs"/>
          <w:b/>
          <w:bCs/>
          <w:spacing w:val="2"/>
          <w:rtl/>
          <w:lang w:bidi="ar-EG"/>
        </w:rPr>
        <w:t>"</w:t>
      </w:r>
      <w:r w:rsidR="00CF491F" w:rsidRPr="00BE71B7">
        <w:rPr>
          <w:rFonts w:hint="cs"/>
          <w:spacing w:val="2"/>
          <w:rtl/>
          <w:lang w:bidi="ar-EG"/>
        </w:rPr>
        <w:t xml:space="preserve">: </w:t>
      </w:r>
      <w:r w:rsidR="001B0B19" w:rsidRPr="00BE71B7">
        <w:rPr>
          <w:rFonts w:hint="cs"/>
          <w:spacing w:val="2"/>
          <w:rtl/>
          <w:lang w:bidi="ar-EG"/>
        </w:rPr>
        <w:t>تتناول</w:t>
      </w:r>
      <w:r w:rsidR="00CF0F13" w:rsidRPr="00BE71B7">
        <w:rPr>
          <w:spacing w:val="2"/>
          <w:rtl/>
          <w:lang w:bidi="ar-EG"/>
        </w:rPr>
        <w:t xml:space="preserve"> الفقرات من 37 إلى 39 (</w:t>
      </w:r>
      <w:r w:rsidR="00CF0F13" w:rsidRPr="00BE71B7">
        <w:rPr>
          <w:spacing w:val="2"/>
          <w:lang w:bidi="ar-EG"/>
        </w:rPr>
        <w:t>CWG-SFP-3/4</w:t>
      </w:r>
      <w:r w:rsidR="00CF0F13" w:rsidRPr="00BE71B7">
        <w:rPr>
          <w:spacing w:val="2"/>
          <w:rtl/>
          <w:lang w:bidi="ar-EG"/>
        </w:rPr>
        <w:t>) أهداف لوائح الراديو وتطبيقها.</w:t>
      </w:r>
      <w:r w:rsidR="00CF0F13" w:rsidRPr="00BE71B7">
        <w:rPr>
          <w:rFonts w:hint="cs"/>
          <w:spacing w:val="2"/>
          <w:rtl/>
          <w:lang w:bidi="ar-EG"/>
        </w:rPr>
        <w:t xml:space="preserve"> </w:t>
      </w:r>
      <w:r w:rsidR="00CF0F13" w:rsidRPr="00BE71B7">
        <w:rPr>
          <w:spacing w:val="2"/>
          <w:rtl/>
          <w:lang w:bidi="ar-EG"/>
        </w:rPr>
        <w:t>غير أن هذا القسم الفرعي لا يشير إلى اللوائح الإدارية الأخرى المنصوص عليها في المادة 4 من دستور الاتحاد، وهي لوائح الاتصالات الدولية.</w:t>
      </w:r>
      <w:r w:rsidR="00CF0F13" w:rsidRPr="00BE71B7">
        <w:rPr>
          <w:spacing w:val="2"/>
          <w:rtl/>
        </w:rPr>
        <w:t xml:space="preserve"> </w:t>
      </w:r>
      <w:r w:rsidR="00CF0F13" w:rsidRPr="00BE71B7">
        <w:rPr>
          <w:spacing w:val="2"/>
          <w:rtl/>
          <w:lang w:bidi="ar-EG"/>
        </w:rPr>
        <w:t>وصحيح أن الآراء بشأن هذا الموضوع متباينة، كما أظهرته المناقشات التي جرت في إطار فريق الخبراء المعني بلوائح الاتصالات الدولية خلال دورة الاستعراض هذه، ولكن لا يجوز تجاهل أحكام الدستور؛</w:t>
      </w:r>
      <w:r w:rsidR="001B0B19" w:rsidRPr="00BE71B7">
        <w:rPr>
          <w:rFonts w:hint="cs"/>
          <w:spacing w:val="2"/>
          <w:rtl/>
          <w:lang w:bidi="ar-EG"/>
        </w:rPr>
        <w:t xml:space="preserve"> </w:t>
      </w:r>
      <w:r w:rsidR="00CF0F13" w:rsidRPr="00BE71B7">
        <w:rPr>
          <w:spacing w:val="2"/>
          <w:rtl/>
          <w:lang w:bidi="ar-EG"/>
        </w:rPr>
        <w:t>ولذلك ينبغي للأمانة أن تقترح نص</w:t>
      </w:r>
      <w:r w:rsidR="00CC4431" w:rsidRPr="00BE71B7">
        <w:rPr>
          <w:rFonts w:hint="cs"/>
          <w:spacing w:val="2"/>
          <w:rtl/>
          <w:lang w:bidi="ar-EG"/>
        </w:rPr>
        <w:t>اً</w:t>
      </w:r>
      <w:r w:rsidR="00CF0F13" w:rsidRPr="00BE71B7">
        <w:rPr>
          <w:spacing w:val="2"/>
          <w:rtl/>
          <w:lang w:bidi="ar-EG"/>
        </w:rPr>
        <w:t xml:space="preserve"> يذكر هذا الصك في المراجعة التالية.</w:t>
      </w:r>
    </w:p>
    <w:p w14:paraId="24F5E361" w14:textId="768D3737" w:rsidR="00907E9E" w:rsidRPr="00BE71B7" w:rsidRDefault="00CF0F13" w:rsidP="00130E31">
      <w:pPr>
        <w:ind w:left="708" w:hanging="708"/>
        <w:rPr>
          <w:rtl/>
          <w:lang w:bidi="ar-EG"/>
        </w:rPr>
      </w:pPr>
      <w:r w:rsidRPr="00BE71B7">
        <w:rPr>
          <w:rFonts w:hint="cs"/>
          <w:b/>
          <w:bCs/>
          <w:rtl/>
          <w:lang w:bidi="ar-EG"/>
        </w:rPr>
        <w:t>2</w:t>
      </w:r>
      <w:r w:rsidR="00907E9E" w:rsidRPr="00BE71B7">
        <w:rPr>
          <w:rtl/>
          <w:lang w:bidi="ar-EG"/>
        </w:rPr>
        <w:tab/>
      </w:r>
      <w:r w:rsidRPr="00BE71B7">
        <w:rPr>
          <w:rFonts w:hint="cs"/>
          <w:b/>
          <w:bCs/>
          <w:rtl/>
          <w:lang w:bidi="ar-EG"/>
        </w:rPr>
        <w:t xml:space="preserve">القسم </w:t>
      </w:r>
      <w:r w:rsidR="0063075D" w:rsidRPr="00BE71B7">
        <w:rPr>
          <w:rFonts w:hint="cs"/>
          <w:b/>
          <w:bCs/>
          <w:rtl/>
          <w:lang w:bidi="ar-EG"/>
        </w:rPr>
        <w:t>7.2</w:t>
      </w:r>
      <w:r w:rsidRPr="00BE71B7">
        <w:rPr>
          <w:rFonts w:hint="cs"/>
          <w:b/>
          <w:bCs/>
          <w:rtl/>
          <w:lang w:bidi="ar-EG"/>
        </w:rPr>
        <w:t xml:space="preserve">، </w:t>
      </w:r>
      <w:r w:rsidRPr="00BE71B7">
        <w:rPr>
          <w:b/>
          <w:bCs/>
          <w:rtl/>
          <w:lang w:bidi="ar-EG"/>
        </w:rPr>
        <w:t>عروض المنتجات والخدمات</w:t>
      </w:r>
      <w:r w:rsidRPr="00BE71B7">
        <w:rPr>
          <w:rFonts w:hint="cs"/>
          <w:b/>
          <w:bCs/>
          <w:rtl/>
          <w:lang w:bidi="ar-EG"/>
        </w:rPr>
        <w:t xml:space="preserve"> </w:t>
      </w:r>
      <w:r w:rsidRPr="00BE71B7">
        <w:rPr>
          <w:b/>
          <w:bCs/>
          <w:rtl/>
          <w:lang w:bidi="ar-EG"/>
        </w:rPr>
        <w:t>–</w:t>
      </w:r>
      <w:r w:rsidRPr="00BE71B7">
        <w:rPr>
          <w:rFonts w:hint="cs"/>
          <w:b/>
          <w:bCs/>
          <w:rtl/>
          <w:lang w:bidi="ar-EG"/>
        </w:rPr>
        <w:t xml:space="preserve"> القسم الفرعي </w:t>
      </w:r>
      <w:r w:rsidRPr="00BE71B7">
        <w:rPr>
          <w:rFonts w:hint="cs"/>
          <w:b/>
          <w:bCs/>
          <w:i/>
          <w:iCs/>
          <w:rtl/>
          <w:lang w:bidi="ar-EG"/>
        </w:rPr>
        <w:t>"</w:t>
      </w:r>
      <w:r w:rsidR="00AA6FE8" w:rsidRPr="00BE71B7">
        <w:rPr>
          <w:rFonts w:hint="cs"/>
          <w:b/>
          <w:bCs/>
          <w:i/>
          <w:iCs/>
          <w:rtl/>
          <w:lang w:bidi="ar-EG"/>
        </w:rPr>
        <w:t>تقديم المساعدة التقنية</w:t>
      </w:r>
      <w:r w:rsidRPr="00BE71B7">
        <w:rPr>
          <w:rFonts w:hint="cs"/>
          <w:b/>
          <w:bCs/>
          <w:i/>
          <w:iCs/>
          <w:rtl/>
          <w:lang w:bidi="ar-EG"/>
        </w:rPr>
        <w:t>"</w:t>
      </w:r>
      <w:r w:rsidR="00AA6FE8" w:rsidRPr="00BE71B7">
        <w:rPr>
          <w:rFonts w:hint="cs"/>
          <w:b/>
          <w:bCs/>
          <w:rtl/>
          <w:lang w:bidi="ar-EG"/>
        </w:rPr>
        <w:t>:</w:t>
      </w:r>
      <w:r w:rsidR="00036904" w:rsidRPr="00BE71B7">
        <w:rPr>
          <w:rFonts w:hint="cs"/>
          <w:b/>
          <w:bCs/>
          <w:rtl/>
          <w:lang w:bidi="ar-EG"/>
        </w:rPr>
        <w:t xml:space="preserve"> </w:t>
      </w:r>
      <w:r w:rsidR="00036904" w:rsidRPr="00BE71B7">
        <w:rPr>
          <w:rtl/>
          <w:lang w:bidi="ar-EG"/>
        </w:rPr>
        <w:t>تم</w:t>
      </w:r>
      <w:r w:rsidR="001B0B19" w:rsidRPr="00BE71B7">
        <w:rPr>
          <w:rFonts w:hint="cs"/>
          <w:rtl/>
          <w:lang w:bidi="ar-EG"/>
        </w:rPr>
        <w:t>ا</w:t>
      </w:r>
      <w:r w:rsidR="00036904" w:rsidRPr="00BE71B7">
        <w:rPr>
          <w:rtl/>
          <w:lang w:bidi="ar-EG"/>
        </w:rPr>
        <w:t>شيا</w:t>
      </w:r>
      <w:r w:rsidR="00BE71B7">
        <w:rPr>
          <w:rFonts w:hint="cs"/>
          <w:rtl/>
          <w:lang w:bidi="ar-EG"/>
        </w:rPr>
        <w:t>ً</w:t>
      </w:r>
      <w:r w:rsidR="00036904" w:rsidRPr="00BE71B7">
        <w:rPr>
          <w:rtl/>
          <w:lang w:bidi="ar-EG"/>
        </w:rPr>
        <w:t xml:space="preserve"> مع ما ذ</w:t>
      </w:r>
      <w:r w:rsidR="001B0B19" w:rsidRPr="00BE71B7">
        <w:rPr>
          <w:rFonts w:hint="cs"/>
          <w:rtl/>
          <w:lang w:bidi="ar-EG"/>
        </w:rPr>
        <w:t>ُ</w:t>
      </w:r>
      <w:r w:rsidR="00036904" w:rsidRPr="00BE71B7">
        <w:rPr>
          <w:rtl/>
          <w:lang w:bidi="ar-EG"/>
        </w:rPr>
        <w:t>كر أعلاه، ينبغي أيضا</w:t>
      </w:r>
      <w:r w:rsidR="00BE71B7">
        <w:rPr>
          <w:rFonts w:hint="cs"/>
          <w:rtl/>
          <w:lang w:bidi="ar-EG"/>
        </w:rPr>
        <w:t>ً</w:t>
      </w:r>
      <w:r w:rsidR="00036904" w:rsidRPr="00BE71B7">
        <w:rPr>
          <w:rtl/>
          <w:lang w:bidi="ar-EG"/>
        </w:rPr>
        <w:t xml:space="preserve"> إدراج إشارة إلى المساعدة التي يقدمها الاتحاد ليس فقط إلى الأعضاء، بل أيضا</w:t>
      </w:r>
      <w:r w:rsidR="00542196">
        <w:rPr>
          <w:rFonts w:hint="cs"/>
          <w:rtl/>
          <w:lang w:bidi="ar-EG"/>
        </w:rPr>
        <w:t>ً</w:t>
      </w:r>
      <w:r w:rsidR="00036904" w:rsidRPr="00BE71B7">
        <w:rPr>
          <w:rtl/>
          <w:lang w:bidi="ar-EG"/>
        </w:rPr>
        <w:t xml:space="preserve"> إلى الأمم المتحدة بصفة عامة وسائر وكالات منظومة الأمم المتحدة في مجالات خبرته.</w:t>
      </w:r>
    </w:p>
    <w:p w14:paraId="39144DAD" w14:textId="2F46B9CD" w:rsidR="00907E9E" w:rsidRPr="00BE71B7" w:rsidRDefault="001A72F1" w:rsidP="00130E31">
      <w:pPr>
        <w:ind w:left="708"/>
        <w:rPr>
          <w:rtl/>
          <w:lang w:bidi="ar-EG"/>
        </w:rPr>
      </w:pPr>
      <w:r w:rsidRPr="00BE71B7">
        <w:rPr>
          <w:rtl/>
          <w:lang w:bidi="ar-EG"/>
        </w:rPr>
        <w:t>وينبغي الإشارة، على سبيل المثال، إلى برنامج عمل فيينا لصالح البلدان النامية غير الساحلية للعقد 2014-2024، فيما يتعلق بالأولوية التي تُعطى للبنية التحتية للاتصالات.</w:t>
      </w:r>
      <w:r w:rsidRPr="00BE71B7">
        <w:rPr>
          <w:rtl/>
        </w:rPr>
        <w:t xml:space="preserve"> </w:t>
      </w:r>
      <w:r w:rsidRPr="00BE71B7">
        <w:rPr>
          <w:rtl/>
          <w:lang w:bidi="ar-EG"/>
        </w:rPr>
        <w:t>وينبغي أن يشدّد النص أيضا</w:t>
      </w:r>
      <w:r w:rsidR="00BE71B7">
        <w:rPr>
          <w:rFonts w:hint="cs"/>
          <w:rtl/>
          <w:lang w:bidi="ar-EG"/>
        </w:rPr>
        <w:t>ً</w:t>
      </w:r>
      <w:r w:rsidRPr="00BE71B7">
        <w:rPr>
          <w:rtl/>
          <w:lang w:bidi="ar-EG"/>
        </w:rPr>
        <w:t xml:space="preserve"> على التوصيات التي قدمتها وحدة التفتيش المشتركة في التقرير المعنون "استعراض الدعم المقدَّم من منظومة الأمم المتحدة للبلدان النامية غير الساحلية لتنفيذ برنامج عمل فيينا" (</w:t>
      </w:r>
      <w:r w:rsidRPr="00BE71B7">
        <w:rPr>
          <w:lang w:bidi="ar-EG"/>
        </w:rPr>
        <w:t>JIU/REP/2021/2</w:t>
      </w:r>
      <w:r w:rsidRPr="00BE71B7">
        <w:rPr>
          <w:rtl/>
          <w:lang w:bidi="ar-EG"/>
        </w:rPr>
        <w:t xml:space="preserve">) والمدرجة في الوثيقة </w:t>
      </w:r>
      <w:r w:rsidRPr="00BE71B7">
        <w:rPr>
          <w:lang w:bidi="ar-EG"/>
        </w:rPr>
        <w:t>CWG-FHR-15/2</w:t>
      </w:r>
      <w:r w:rsidRPr="00BE71B7">
        <w:rPr>
          <w:rtl/>
          <w:lang w:bidi="ar-EG"/>
        </w:rPr>
        <w:t xml:space="preserve"> الصادرة عن فريق العمل التابع للمجلس والمعني بالموارد المالية والبشرية.</w:t>
      </w:r>
    </w:p>
    <w:p w14:paraId="6C396285" w14:textId="1CF783C3" w:rsidR="005C095E" w:rsidRPr="00BE71B7" w:rsidRDefault="005C095E" w:rsidP="00130E31">
      <w:pPr>
        <w:ind w:left="708"/>
        <w:rPr>
          <w:rtl/>
          <w:lang w:bidi="ar-EG"/>
        </w:rPr>
      </w:pPr>
      <w:r w:rsidRPr="00BE71B7">
        <w:rPr>
          <w:rtl/>
          <w:lang w:bidi="ar-EG"/>
        </w:rPr>
        <w:t>وينبغي إدراج</w:t>
      </w:r>
      <w:r w:rsidR="0063075D" w:rsidRPr="00BE71B7">
        <w:rPr>
          <w:rFonts w:hint="cs"/>
          <w:rtl/>
          <w:lang w:bidi="ar-EG"/>
        </w:rPr>
        <w:t xml:space="preserve"> هذه</w:t>
      </w:r>
      <w:r w:rsidRPr="00BE71B7">
        <w:rPr>
          <w:rtl/>
          <w:lang w:bidi="ar-EG"/>
        </w:rPr>
        <w:t xml:space="preserve"> الإشارة في هذا القسم الفرعي أو، إذا تعذّر ذلك، ينبغي دعوة الأمانة إلى صياغة قسم فرعي جديد (يمكن تسميته "التعاون مع وكالات أخرى في منظومة الأمم المتحدة").</w:t>
      </w:r>
    </w:p>
    <w:p w14:paraId="20A85E93" w14:textId="63664DEF" w:rsidR="00130E31" w:rsidRPr="00BE71B7" w:rsidRDefault="00130E31" w:rsidP="00BE71B7">
      <w:pPr>
        <w:keepNext/>
        <w:keepLines/>
        <w:ind w:left="709"/>
        <w:rPr>
          <w:rtl/>
          <w:lang w:bidi="ar-EG"/>
        </w:rPr>
      </w:pPr>
      <w:r w:rsidRPr="00BE71B7">
        <w:rPr>
          <w:rtl/>
          <w:lang w:bidi="ar-EG"/>
        </w:rPr>
        <w:lastRenderedPageBreak/>
        <w:t>وفيما يتعلق بالفقرة 57، ينبغي عدم حذف عبارة "أقل البلدان نموا</w:t>
      </w:r>
      <w:r w:rsidR="00BE71B7">
        <w:rPr>
          <w:rFonts w:hint="cs"/>
          <w:rtl/>
          <w:lang w:bidi="ar-EG"/>
        </w:rPr>
        <w:t>ً</w:t>
      </w:r>
      <w:r w:rsidRPr="00BE71B7">
        <w:rPr>
          <w:rtl/>
          <w:lang w:bidi="ar-EG"/>
        </w:rPr>
        <w:t>"؛</w:t>
      </w:r>
      <w:r w:rsidR="00866EE3" w:rsidRPr="00BE71B7">
        <w:rPr>
          <w:rFonts w:hint="cs"/>
          <w:rtl/>
          <w:lang w:bidi="ar-EG"/>
        </w:rPr>
        <w:t xml:space="preserve"> و</w:t>
      </w:r>
      <w:r w:rsidR="00866EE3" w:rsidRPr="00BE71B7">
        <w:rPr>
          <w:rtl/>
          <w:lang w:bidi="ar-EG"/>
        </w:rPr>
        <w:t>نقترح عوضاً عن ذلك استبدال عبارة "وأقل البلدان نموا</w:t>
      </w:r>
      <w:r w:rsidR="00BE71B7">
        <w:rPr>
          <w:rFonts w:hint="cs"/>
          <w:rtl/>
          <w:lang w:bidi="ar-EG"/>
        </w:rPr>
        <w:t>ً</w:t>
      </w:r>
      <w:r w:rsidR="00866EE3" w:rsidRPr="00BE71B7">
        <w:rPr>
          <w:rtl/>
          <w:lang w:bidi="ar-EG"/>
        </w:rPr>
        <w:t>" بعبارة "، ولا سيما أقل البلدان نموا</w:t>
      </w:r>
      <w:r w:rsidR="00BE71B7">
        <w:rPr>
          <w:rFonts w:hint="cs"/>
          <w:rtl/>
          <w:lang w:bidi="ar-EG"/>
        </w:rPr>
        <w:t xml:space="preserve">ً </w:t>
      </w:r>
      <w:r w:rsidR="00BE71B7">
        <w:rPr>
          <w:lang w:bidi="ar-EG"/>
        </w:rPr>
        <w:t>(LDC)</w:t>
      </w:r>
      <w:r w:rsidR="00866EE3" w:rsidRPr="00BE71B7">
        <w:rPr>
          <w:rtl/>
          <w:lang w:bidi="ar-EG"/>
        </w:rPr>
        <w:t>، والدول الجزرية الصغيرة النامية</w:t>
      </w:r>
      <w:r w:rsidR="00BE71B7">
        <w:rPr>
          <w:rFonts w:hint="cs"/>
          <w:rtl/>
          <w:lang w:bidi="ar-EG"/>
        </w:rPr>
        <w:t xml:space="preserve"> </w:t>
      </w:r>
      <w:r w:rsidR="00BE71B7">
        <w:rPr>
          <w:lang w:bidi="ar-EG"/>
        </w:rPr>
        <w:t>(SIDS)</w:t>
      </w:r>
      <w:r w:rsidR="00866EE3" w:rsidRPr="00BE71B7">
        <w:rPr>
          <w:rtl/>
          <w:lang w:bidi="ar-EG"/>
        </w:rPr>
        <w:t>، والبلدان النامية غير الساحلية</w:t>
      </w:r>
      <w:r w:rsidR="00BE71B7">
        <w:rPr>
          <w:rFonts w:hint="cs"/>
          <w:rtl/>
          <w:lang w:bidi="ar-EG"/>
        </w:rPr>
        <w:t xml:space="preserve"> </w:t>
      </w:r>
      <w:r w:rsidR="00BE71B7">
        <w:rPr>
          <w:lang w:bidi="ar-EG"/>
        </w:rPr>
        <w:t>(LLDC)</w:t>
      </w:r>
      <w:r w:rsidR="00866EE3" w:rsidRPr="00BE71B7">
        <w:rPr>
          <w:rtl/>
          <w:lang w:bidi="ar-EG"/>
        </w:rPr>
        <w:t>، والبلدان التي تمر اقتصاداتها بمرحلة انتقالية".</w:t>
      </w:r>
      <w:r w:rsidR="00866EE3" w:rsidRPr="00BE71B7">
        <w:rPr>
          <w:rFonts w:hint="cs"/>
          <w:rtl/>
          <w:lang w:bidi="ar-EG"/>
        </w:rPr>
        <w:t xml:space="preserve"> </w:t>
      </w:r>
      <w:r w:rsidR="00866EE3" w:rsidRPr="00BE71B7">
        <w:rPr>
          <w:rtl/>
          <w:lang w:bidi="ar-EG"/>
        </w:rPr>
        <w:t>ونعتقد أنه من الضروري تسليط الضوء على الفجوة الرقمية التي تواجهها هذه البلدان، خاصة وأنها تفاقمت بسبب جائحة</w:t>
      </w:r>
      <w:r w:rsidR="00A92BA8" w:rsidRPr="00BE71B7">
        <w:rPr>
          <w:rFonts w:hint="cs"/>
          <w:rtl/>
          <w:lang w:bidi="ar-EG"/>
        </w:rPr>
        <w:t xml:space="preserve"> فيروس كورونا</w:t>
      </w:r>
      <w:r w:rsidR="00866EE3" w:rsidRPr="00BE71B7">
        <w:rPr>
          <w:rtl/>
          <w:lang w:bidi="ar-EG"/>
        </w:rPr>
        <w:t xml:space="preserve"> </w:t>
      </w:r>
      <w:r w:rsidR="00A92BA8" w:rsidRPr="00BE71B7">
        <w:rPr>
          <w:rFonts w:hint="cs"/>
          <w:rtl/>
          <w:lang w:bidi="ar-EG"/>
        </w:rPr>
        <w:t>(</w:t>
      </w:r>
      <w:r w:rsidR="00866EE3" w:rsidRPr="00BE71B7">
        <w:rPr>
          <w:rtl/>
          <w:lang w:bidi="ar-EG"/>
        </w:rPr>
        <w:t>كوفيد-</w:t>
      </w:r>
      <w:r w:rsidR="00A92BA8" w:rsidRPr="00BE71B7">
        <w:rPr>
          <w:rFonts w:hint="cs"/>
          <w:rtl/>
          <w:lang w:bidi="ar-EG"/>
        </w:rPr>
        <w:t>19)</w:t>
      </w:r>
      <w:r w:rsidR="00866EE3" w:rsidRPr="00BE71B7">
        <w:rPr>
          <w:rtl/>
          <w:lang w:bidi="ar-EG"/>
        </w:rPr>
        <w:t>.</w:t>
      </w:r>
    </w:p>
    <w:p w14:paraId="1A633F86" w14:textId="6E6E5997" w:rsidR="00907E9E" w:rsidRPr="00BE71B7" w:rsidRDefault="00866EE3" w:rsidP="00BE71B7">
      <w:pPr>
        <w:rPr>
          <w:rtl/>
          <w:lang w:bidi="ar-EG"/>
        </w:rPr>
      </w:pPr>
      <w:r w:rsidRPr="00BE71B7">
        <w:rPr>
          <w:rtl/>
          <w:lang w:bidi="ar-EG"/>
        </w:rPr>
        <w:t>وتشجع باراغواي على إحراز مزيد من التقدم في صياغة الخطة الاستراتيجية بروح التعاون والحوار</w:t>
      </w:r>
      <w:r w:rsidRPr="00BE71B7">
        <w:rPr>
          <w:lang w:bidi="ar-EG"/>
        </w:rPr>
        <w:t>.</w:t>
      </w:r>
    </w:p>
    <w:p w14:paraId="1582E35A" w14:textId="6F91D3FB" w:rsidR="00907E9E" w:rsidRPr="00063EA4" w:rsidRDefault="00907E9E" w:rsidP="00907E9E">
      <w:pPr>
        <w:spacing w:before="600"/>
        <w:jc w:val="center"/>
        <w:rPr>
          <w:rtl/>
          <w:lang w:bidi="ar-EG"/>
        </w:rPr>
      </w:pPr>
      <w:r w:rsidRPr="00BE71B7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</w:t>
      </w:r>
    </w:p>
    <w:sectPr w:rsidR="00907E9E" w:rsidRPr="00063EA4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795D" w14:textId="77777777" w:rsidR="00E91637" w:rsidRDefault="00E91637" w:rsidP="006C3242">
      <w:pPr>
        <w:spacing w:before="0" w:line="240" w:lineRule="auto"/>
      </w:pPr>
      <w:r>
        <w:separator/>
      </w:r>
    </w:p>
  </w:endnote>
  <w:endnote w:type="continuationSeparator" w:id="0">
    <w:p w14:paraId="67E8F0C7" w14:textId="77777777" w:rsidR="00E91637" w:rsidRDefault="00E916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B416" w14:textId="7F1C8305" w:rsidR="00C1281E" w:rsidRPr="00FF4D22" w:rsidRDefault="00C1281E" w:rsidP="00C1281E">
    <w:pPr>
      <w:pStyle w:val="Footer"/>
      <w:rPr>
        <w:lang w:val="fr-FR"/>
      </w:rPr>
    </w:pPr>
    <w:r w:rsidRPr="009968B4">
      <w:rPr>
        <w:color w:val="F2F2F2" w:themeColor="background1" w:themeShade="F2"/>
      </w:rPr>
      <w:fldChar w:fldCharType="begin"/>
    </w:r>
    <w:r w:rsidRPr="009968B4">
      <w:rPr>
        <w:color w:val="F2F2F2" w:themeColor="background1" w:themeShade="F2"/>
        <w:lang w:val="fr-FR"/>
      </w:rPr>
      <w:instrText xml:space="preserve"> FILENAME \p  \* MERGEFORMAT </w:instrText>
    </w:r>
    <w:r w:rsidRPr="009968B4">
      <w:rPr>
        <w:color w:val="F2F2F2" w:themeColor="background1" w:themeShade="F2"/>
      </w:rPr>
      <w:fldChar w:fldCharType="separate"/>
    </w:r>
    <w:r w:rsidRPr="009968B4">
      <w:rPr>
        <w:noProof/>
        <w:color w:val="F2F2F2" w:themeColor="background1" w:themeShade="F2"/>
        <w:lang w:val="fr-FR"/>
      </w:rPr>
      <w:t>P:\ARA\SG\CONSEIL\CWG-SFP\CWG-SFP3\000\014A.docx</w:t>
    </w:r>
    <w:r w:rsidRPr="009968B4">
      <w:rPr>
        <w:color w:val="F2F2F2" w:themeColor="background1" w:themeShade="F2"/>
      </w:rPr>
      <w:fldChar w:fldCharType="end"/>
    </w:r>
    <w:proofErr w:type="gramStart"/>
    <w:r w:rsidRPr="009968B4">
      <w:rPr>
        <w:color w:val="F2F2F2" w:themeColor="background1" w:themeShade="F2"/>
      </w:rPr>
      <w:t xml:space="preserve">  </w:t>
    </w:r>
    <w:r w:rsidRPr="009968B4">
      <w:rPr>
        <w:color w:val="F2F2F2" w:themeColor="background1" w:themeShade="F2"/>
        <w:lang w:val="fr-FR"/>
      </w:rPr>
      <w:t xml:space="preserve"> (</w:t>
    </w:r>
    <w:proofErr w:type="gramEnd"/>
    <w:r w:rsidRPr="009968B4">
      <w:rPr>
        <w:color w:val="F2F2F2" w:themeColor="background1" w:themeShade="F2"/>
        <w:lang w:val="fr-FR"/>
      </w:rPr>
      <w:t>501513)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1646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1DC7" w14:textId="77777777" w:rsidR="00E91637" w:rsidRDefault="00E91637" w:rsidP="006C3242">
      <w:pPr>
        <w:spacing w:before="0" w:line="240" w:lineRule="auto"/>
      </w:pPr>
      <w:r>
        <w:separator/>
      </w:r>
    </w:p>
  </w:footnote>
  <w:footnote w:type="continuationSeparator" w:id="0">
    <w:p w14:paraId="4FA38DBE" w14:textId="77777777" w:rsidR="00E91637" w:rsidRDefault="00E916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EB80" w14:textId="08F125A3" w:rsidR="000F097C" w:rsidRPr="003A0882" w:rsidRDefault="000F097C" w:rsidP="000F097C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>
      <w:rPr>
        <w:rFonts w:ascii="Calibri" w:eastAsia="Calibri" w:hAnsi="Calibri" w:cs="Arial"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907E9E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907E9E">
      <w:rPr>
        <w:rFonts w:ascii="Calibri" w:eastAsia="Calibri" w:hAnsi="Calibri" w:cs="Arial"/>
        <w:noProof/>
        <w:sz w:val="18"/>
        <w:lang w:val="en-GB" w:eastAsia="en-US"/>
      </w:rPr>
      <w:t>14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E"/>
    <w:rsid w:val="00036904"/>
    <w:rsid w:val="00063EA4"/>
    <w:rsid w:val="0006468A"/>
    <w:rsid w:val="00090574"/>
    <w:rsid w:val="000C1C0E"/>
    <w:rsid w:val="000C548A"/>
    <w:rsid w:val="000F097C"/>
    <w:rsid w:val="00130E31"/>
    <w:rsid w:val="001A72F1"/>
    <w:rsid w:val="001B0B1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A0882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42196"/>
    <w:rsid w:val="0055516A"/>
    <w:rsid w:val="0058491B"/>
    <w:rsid w:val="00592EA5"/>
    <w:rsid w:val="005A3170"/>
    <w:rsid w:val="005C095E"/>
    <w:rsid w:val="0063075D"/>
    <w:rsid w:val="00651495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6EE3"/>
    <w:rsid w:val="008A7F84"/>
    <w:rsid w:val="00907E9E"/>
    <w:rsid w:val="0091702E"/>
    <w:rsid w:val="00923B0C"/>
    <w:rsid w:val="0094021C"/>
    <w:rsid w:val="00952F86"/>
    <w:rsid w:val="00982B28"/>
    <w:rsid w:val="009968B4"/>
    <w:rsid w:val="009D313F"/>
    <w:rsid w:val="00A47A5A"/>
    <w:rsid w:val="00A6683B"/>
    <w:rsid w:val="00A92BA8"/>
    <w:rsid w:val="00A97F94"/>
    <w:rsid w:val="00AA6FE8"/>
    <w:rsid w:val="00AA7EA2"/>
    <w:rsid w:val="00AB26D9"/>
    <w:rsid w:val="00B03099"/>
    <w:rsid w:val="00B05BC8"/>
    <w:rsid w:val="00B6297A"/>
    <w:rsid w:val="00B64B47"/>
    <w:rsid w:val="00B8250B"/>
    <w:rsid w:val="00B874BA"/>
    <w:rsid w:val="00BE71B7"/>
    <w:rsid w:val="00C002DE"/>
    <w:rsid w:val="00C1281E"/>
    <w:rsid w:val="00C53BF8"/>
    <w:rsid w:val="00C66157"/>
    <w:rsid w:val="00C674FE"/>
    <w:rsid w:val="00C67501"/>
    <w:rsid w:val="00C75633"/>
    <w:rsid w:val="00CC4431"/>
    <w:rsid w:val="00CE2EE1"/>
    <w:rsid w:val="00CE3349"/>
    <w:rsid w:val="00CE36E5"/>
    <w:rsid w:val="00CF0F13"/>
    <w:rsid w:val="00CF27F5"/>
    <w:rsid w:val="00CF3FFD"/>
    <w:rsid w:val="00CF491F"/>
    <w:rsid w:val="00D10CCF"/>
    <w:rsid w:val="00D73F2C"/>
    <w:rsid w:val="00D77D0F"/>
    <w:rsid w:val="00DA1CF0"/>
    <w:rsid w:val="00DC1E02"/>
    <w:rsid w:val="00DC24B4"/>
    <w:rsid w:val="00DC5FB0"/>
    <w:rsid w:val="00DC6027"/>
    <w:rsid w:val="00DF16DC"/>
    <w:rsid w:val="00E45211"/>
    <w:rsid w:val="00E473C5"/>
    <w:rsid w:val="00E91637"/>
    <w:rsid w:val="00E92863"/>
    <w:rsid w:val="00E939DB"/>
    <w:rsid w:val="00E973EB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BF63"/>
  <w15:chartTrackingRefBased/>
  <w15:docId w15:val="{4199D77A-E3E8-4C1D-874D-2453BD54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Paraguay (Republic of) - Proposals for Annex 1 of the ITU Strategic Plan 2024-2027</dc:title>
  <dc:subject>Council Working Group for Strategic and Financial Plans 2024-2027</dc:subject>
  <dc:creator>Almidani, Ahmad Alaa</dc:creator>
  <cp:keywords>CWG-SFP</cp:keywords>
  <dc:description/>
  <cp:lastModifiedBy>Xue, Kun</cp:lastModifiedBy>
  <cp:revision>2</cp:revision>
  <dcterms:created xsi:type="dcterms:W3CDTF">2022-02-17T20:38:00Z</dcterms:created>
  <dcterms:modified xsi:type="dcterms:W3CDTF">2022-02-17T20:38:00Z</dcterms:modified>
</cp:coreProperties>
</file>