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0279D" w14:paraId="509E9351" w14:textId="77777777">
        <w:trPr>
          <w:cantSplit/>
        </w:trPr>
        <w:tc>
          <w:tcPr>
            <w:tcW w:w="6912" w:type="dxa"/>
          </w:tcPr>
          <w:p w14:paraId="3C9F03EA" w14:textId="13D2C261" w:rsidR="00093EEB" w:rsidRPr="00D0279D" w:rsidRDefault="003A584C" w:rsidP="000C22B3">
            <w:pPr>
              <w:spacing w:before="360"/>
              <w:rPr>
                <w:szCs w:val="24"/>
              </w:rPr>
            </w:pPr>
            <w:bookmarkStart w:id="0" w:name="dbluepink" w:colFirst="0" w:colLast="0"/>
            <w:r w:rsidRPr="00D0279D">
              <w:rPr>
                <w:b/>
                <w:bCs/>
                <w:sz w:val="30"/>
                <w:szCs w:val="30"/>
              </w:rPr>
              <w:t>Grupo de Trabajo del Consejo sobre los Planes Estratégico y Financiero para 2024-2027</w:t>
            </w:r>
            <w:r w:rsidR="00093EEB" w:rsidRPr="00D0279D">
              <w:rPr>
                <w:b/>
                <w:bCs/>
                <w:sz w:val="26"/>
                <w:szCs w:val="26"/>
              </w:rPr>
              <w:br/>
            </w:r>
            <w:r w:rsidR="000C22B3" w:rsidRPr="00D0279D">
              <w:rPr>
                <w:b/>
                <w:bCs/>
                <w:szCs w:val="24"/>
              </w:rPr>
              <w:t xml:space="preserve">Tercera </w:t>
            </w:r>
            <w:r w:rsidRPr="00D0279D">
              <w:rPr>
                <w:b/>
                <w:bCs/>
                <w:szCs w:val="24"/>
              </w:rPr>
              <w:t xml:space="preserve">reunión </w:t>
            </w:r>
            <w:r w:rsidR="005A1840" w:rsidRPr="00D0279D">
              <w:rPr>
                <w:b/>
                <w:bCs/>
                <w:szCs w:val="24"/>
              </w:rPr>
              <w:t>–</w:t>
            </w:r>
            <w:r w:rsidR="000C22B3" w:rsidRPr="00D0279D">
              <w:rPr>
                <w:b/>
                <w:bCs/>
                <w:szCs w:val="24"/>
              </w:rPr>
              <w:t xml:space="preserve"> 21 y 22 de febrero </w:t>
            </w:r>
            <w:r w:rsidRPr="00D0279D">
              <w:rPr>
                <w:b/>
                <w:bCs/>
                <w:szCs w:val="24"/>
              </w:rPr>
              <w:t>de</w:t>
            </w:r>
            <w:r w:rsidR="005A1840" w:rsidRPr="00D0279D">
              <w:rPr>
                <w:b/>
                <w:bCs/>
                <w:szCs w:val="24"/>
              </w:rPr>
              <w:t xml:space="preserve"> 202</w:t>
            </w:r>
            <w:r w:rsidR="00467F7B" w:rsidRPr="00D0279D">
              <w:rPr>
                <w:b/>
                <w:bCs/>
                <w:szCs w:val="24"/>
              </w:rPr>
              <w:t>2</w:t>
            </w:r>
          </w:p>
        </w:tc>
        <w:tc>
          <w:tcPr>
            <w:tcW w:w="3261" w:type="dxa"/>
          </w:tcPr>
          <w:p w14:paraId="3B65EF6A" w14:textId="77777777" w:rsidR="00093EEB" w:rsidRPr="00D0279D" w:rsidRDefault="007955DA" w:rsidP="007955DA">
            <w:pPr>
              <w:spacing w:before="0"/>
              <w:rPr>
                <w:szCs w:val="24"/>
              </w:rPr>
            </w:pPr>
            <w:bookmarkStart w:id="1" w:name="ditulogo"/>
            <w:bookmarkEnd w:id="1"/>
            <w:r w:rsidRPr="00D0279D">
              <w:rPr>
                <w:noProof/>
                <w:lang w:eastAsia="es-ES_tradnl"/>
              </w:rPr>
              <w:drawing>
                <wp:inline distT="0" distB="0" distL="0" distR="0" wp14:anchorId="2EA8E8B5" wp14:editId="20F437A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D0279D" w14:paraId="3722BAF5" w14:textId="77777777">
        <w:trPr>
          <w:cantSplit/>
          <w:trHeight w:val="20"/>
        </w:trPr>
        <w:tc>
          <w:tcPr>
            <w:tcW w:w="10173" w:type="dxa"/>
            <w:gridSpan w:val="2"/>
            <w:tcBorders>
              <w:bottom w:val="single" w:sz="12" w:space="0" w:color="auto"/>
            </w:tcBorders>
          </w:tcPr>
          <w:p w14:paraId="6E867426" w14:textId="77777777" w:rsidR="00093EEB" w:rsidRPr="00D0279D" w:rsidRDefault="00093EEB">
            <w:pPr>
              <w:spacing w:before="0"/>
              <w:rPr>
                <w:b/>
                <w:bCs/>
                <w:szCs w:val="24"/>
              </w:rPr>
            </w:pPr>
          </w:p>
        </w:tc>
      </w:tr>
      <w:tr w:rsidR="00093EEB" w:rsidRPr="00D0279D" w14:paraId="52A2B439" w14:textId="77777777">
        <w:trPr>
          <w:cantSplit/>
          <w:trHeight w:val="20"/>
        </w:trPr>
        <w:tc>
          <w:tcPr>
            <w:tcW w:w="6912" w:type="dxa"/>
            <w:tcBorders>
              <w:top w:val="single" w:sz="12" w:space="0" w:color="auto"/>
            </w:tcBorders>
          </w:tcPr>
          <w:p w14:paraId="4A6B2B3C" w14:textId="77777777" w:rsidR="00093EEB" w:rsidRPr="00D0279D"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0C667BA9" w14:textId="77777777" w:rsidR="00093EEB" w:rsidRPr="00D0279D" w:rsidRDefault="00093EEB">
            <w:pPr>
              <w:spacing w:before="0"/>
              <w:rPr>
                <w:b/>
                <w:bCs/>
                <w:szCs w:val="24"/>
              </w:rPr>
            </w:pPr>
          </w:p>
        </w:tc>
      </w:tr>
      <w:tr w:rsidR="00093EEB" w:rsidRPr="00D0279D" w14:paraId="23AF1C7F" w14:textId="77777777">
        <w:trPr>
          <w:cantSplit/>
          <w:trHeight w:val="20"/>
        </w:trPr>
        <w:tc>
          <w:tcPr>
            <w:tcW w:w="6912" w:type="dxa"/>
            <w:shd w:val="clear" w:color="auto" w:fill="auto"/>
          </w:tcPr>
          <w:p w14:paraId="46E8C087" w14:textId="77777777" w:rsidR="00093EEB" w:rsidRPr="00D0279D" w:rsidRDefault="00093EEB">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14:paraId="6A2EE25E" w14:textId="498A86C3" w:rsidR="00093EEB" w:rsidRPr="00D0279D" w:rsidRDefault="005A1840" w:rsidP="000C22B3">
            <w:pPr>
              <w:spacing w:before="0"/>
              <w:rPr>
                <w:b/>
                <w:bCs/>
                <w:szCs w:val="24"/>
              </w:rPr>
            </w:pPr>
            <w:r w:rsidRPr="00D0279D">
              <w:rPr>
                <w:b/>
                <w:bCs/>
                <w:szCs w:val="24"/>
              </w:rPr>
              <w:t>Documento CWG-SFP-</w:t>
            </w:r>
            <w:r w:rsidR="000C22B3" w:rsidRPr="00D0279D">
              <w:rPr>
                <w:b/>
                <w:bCs/>
                <w:szCs w:val="24"/>
              </w:rPr>
              <w:t>3/</w:t>
            </w:r>
            <w:r w:rsidR="00FD6F1B" w:rsidRPr="00D0279D">
              <w:rPr>
                <w:b/>
                <w:bCs/>
                <w:szCs w:val="24"/>
              </w:rPr>
              <w:t>13</w:t>
            </w:r>
            <w:r w:rsidRPr="00D0279D">
              <w:rPr>
                <w:b/>
                <w:bCs/>
                <w:szCs w:val="24"/>
              </w:rPr>
              <w:t>-S</w:t>
            </w:r>
          </w:p>
        </w:tc>
      </w:tr>
      <w:tr w:rsidR="00093EEB" w:rsidRPr="00D0279D" w14:paraId="0E8E77A1" w14:textId="77777777">
        <w:trPr>
          <w:cantSplit/>
          <w:trHeight w:val="20"/>
        </w:trPr>
        <w:tc>
          <w:tcPr>
            <w:tcW w:w="6912" w:type="dxa"/>
            <w:shd w:val="clear" w:color="auto" w:fill="auto"/>
          </w:tcPr>
          <w:p w14:paraId="0FE500A4" w14:textId="77777777" w:rsidR="00093EEB" w:rsidRPr="00D0279D" w:rsidRDefault="00093EEB">
            <w:pPr>
              <w:shd w:val="solid" w:color="FFFFFF" w:fill="FFFFFF"/>
              <w:spacing w:before="0"/>
              <w:rPr>
                <w:smallCaps/>
                <w:szCs w:val="24"/>
              </w:rPr>
            </w:pPr>
            <w:bookmarkStart w:id="4" w:name="ddate" w:colFirst="1" w:colLast="1"/>
            <w:bookmarkEnd w:id="2"/>
            <w:bookmarkEnd w:id="3"/>
          </w:p>
        </w:tc>
        <w:tc>
          <w:tcPr>
            <w:tcW w:w="3261" w:type="dxa"/>
          </w:tcPr>
          <w:p w14:paraId="5F565883" w14:textId="3F45E6FA" w:rsidR="00093EEB" w:rsidRPr="00D0279D" w:rsidRDefault="00B1209D" w:rsidP="000C22B3">
            <w:pPr>
              <w:spacing w:before="0"/>
              <w:rPr>
                <w:b/>
                <w:bCs/>
                <w:szCs w:val="24"/>
              </w:rPr>
            </w:pPr>
            <w:r w:rsidRPr="00D0279D">
              <w:rPr>
                <w:b/>
                <w:bCs/>
                <w:szCs w:val="24"/>
              </w:rPr>
              <w:t>7</w:t>
            </w:r>
            <w:r w:rsidR="000C22B3" w:rsidRPr="00D0279D">
              <w:rPr>
                <w:b/>
                <w:bCs/>
                <w:szCs w:val="24"/>
              </w:rPr>
              <w:t xml:space="preserve"> de </w:t>
            </w:r>
            <w:r w:rsidRPr="00D0279D">
              <w:rPr>
                <w:b/>
                <w:bCs/>
                <w:szCs w:val="24"/>
              </w:rPr>
              <w:t>febrero</w:t>
            </w:r>
            <w:r w:rsidR="000C22B3" w:rsidRPr="00D0279D">
              <w:rPr>
                <w:b/>
                <w:bCs/>
                <w:szCs w:val="24"/>
              </w:rPr>
              <w:t xml:space="preserve"> de 2022</w:t>
            </w:r>
          </w:p>
        </w:tc>
      </w:tr>
      <w:tr w:rsidR="00093EEB" w:rsidRPr="00D0279D" w14:paraId="6D7EF81A" w14:textId="77777777">
        <w:trPr>
          <w:cantSplit/>
          <w:trHeight w:val="20"/>
        </w:trPr>
        <w:tc>
          <w:tcPr>
            <w:tcW w:w="6912" w:type="dxa"/>
            <w:shd w:val="clear" w:color="auto" w:fill="auto"/>
          </w:tcPr>
          <w:p w14:paraId="0A900D65" w14:textId="77777777" w:rsidR="00093EEB" w:rsidRPr="00D0279D" w:rsidRDefault="00093EEB">
            <w:pPr>
              <w:shd w:val="solid" w:color="FFFFFF" w:fill="FFFFFF"/>
              <w:spacing w:before="0"/>
              <w:rPr>
                <w:smallCaps/>
                <w:szCs w:val="24"/>
              </w:rPr>
            </w:pPr>
            <w:bookmarkStart w:id="5" w:name="dorlang" w:colFirst="1" w:colLast="1"/>
            <w:bookmarkEnd w:id="4"/>
          </w:p>
        </w:tc>
        <w:tc>
          <w:tcPr>
            <w:tcW w:w="3261" w:type="dxa"/>
          </w:tcPr>
          <w:p w14:paraId="535E8E1E" w14:textId="6B8B5B94" w:rsidR="00093EEB" w:rsidRPr="00D0279D" w:rsidRDefault="00093EEB" w:rsidP="00093EEB">
            <w:pPr>
              <w:spacing w:before="0"/>
              <w:rPr>
                <w:b/>
                <w:bCs/>
                <w:szCs w:val="24"/>
              </w:rPr>
            </w:pPr>
            <w:r w:rsidRPr="00D0279D">
              <w:rPr>
                <w:b/>
                <w:bCs/>
                <w:szCs w:val="24"/>
              </w:rPr>
              <w:t xml:space="preserve">Original: </w:t>
            </w:r>
            <w:r w:rsidR="000C22B3" w:rsidRPr="00D0279D">
              <w:rPr>
                <w:b/>
                <w:bCs/>
                <w:szCs w:val="24"/>
              </w:rPr>
              <w:t>inglés</w:t>
            </w:r>
          </w:p>
        </w:tc>
      </w:tr>
      <w:tr w:rsidR="00093EEB" w:rsidRPr="00D0279D" w14:paraId="2D243CAD" w14:textId="77777777">
        <w:trPr>
          <w:cantSplit/>
        </w:trPr>
        <w:tc>
          <w:tcPr>
            <w:tcW w:w="10173" w:type="dxa"/>
            <w:gridSpan w:val="2"/>
          </w:tcPr>
          <w:p w14:paraId="3B00EA2B" w14:textId="1865817E" w:rsidR="00093EEB" w:rsidRPr="00D0279D" w:rsidRDefault="0097546C" w:rsidP="000C22B3">
            <w:pPr>
              <w:pStyle w:val="Source"/>
            </w:pPr>
            <w:bookmarkStart w:id="6" w:name="dsource" w:colFirst="0" w:colLast="0"/>
            <w:bookmarkEnd w:id="0"/>
            <w:bookmarkEnd w:id="5"/>
            <w:r w:rsidRPr="00D0279D">
              <w:t xml:space="preserve">Contribución de Austria, Bélgica, República Checa, Finlandia, Francia, Hungría, Lituania, Países Bajos, Polonia, Portugal, </w:t>
            </w:r>
            <w:r w:rsidR="00112759">
              <w:t xml:space="preserve">Rumania, </w:t>
            </w:r>
            <w:r w:rsidRPr="00D0279D">
              <w:t>Eslovaquia, Eslovenia, España y Suecia</w:t>
            </w:r>
          </w:p>
        </w:tc>
      </w:tr>
      <w:tr w:rsidR="00093EEB" w:rsidRPr="00D0279D" w14:paraId="2FF2D504" w14:textId="77777777">
        <w:trPr>
          <w:cantSplit/>
        </w:trPr>
        <w:tc>
          <w:tcPr>
            <w:tcW w:w="10173" w:type="dxa"/>
            <w:gridSpan w:val="2"/>
          </w:tcPr>
          <w:p w14:paraId="62389682" w14:textId="30365AB1" w:rsidR="004736AA" w:rsidRPr="00D0279D" w:rsidRDefault="0097546C" w:rsidP="00C37984">
            <w:pPr>
              <w:pStyle w:val="Title1"/>
            </w:pPr>
            <w:bookmarkStart w:id="7" w:name="_Hlk95487364"/>
            <w:bookmarkStart w:id="8" w:name="dtitle1" w:colFirst="0" w:colLast="0"/>
            <w:bookmarkEnd w:id="6"/>
            <w:r w:rsidRPr="00D0279D">
              <w:t>PROPUESTAS COMUNES PARA LA TERCERA REUNIÓN DEL GRUPO DE TRABAJO DEL CONSEJO SOBRE LOS PLANES ESTRATÉGICO Y FINANCIERO (GTC-PEF)</w:t>
            </w:r>
            <w:bookmarkEnd w:id="7"/>
          </w:p>
        </w:tc>
      </w:tr>
      <w:tr w:rsidR="00C37984" w:rsidRPr="00D0279D" w14:paraId="3EE3353A" w14:textId="77777777">
        <w:trPr>
          <w:cantSplit/>
        </w:trPr>
        <w:tc>
          <w:tcPr>
            <w:tcW w:w="10173" w:type="dxa"/>
            <w:gridSpan w:val="2"/>
          </w:tcPr>
          <w:p w14:paraId="630E83CD" w14:textId="77777777" w:rsidR="00C37984" w:rsidRPr="00D0279D" w:rsidRDefault="00C37984" w:rsidP="00C37984">
            <w:pPr>
              <w:pStyle w:val="Title1"/>
            </w:pPr>
          </w:p>
        </w:tc>
      </w:tr>
    </w:tbl>
    <w:bookmarkEnd w:id="8"/>
    <w:p w14:paraId="06057DAE" w14:textId="3C8B985D" w:rsidR="0097546C" w:rsidRPr="00D0279D" w:rsidRDefault="0097546C" w:rsidP="001613A9">
      <w:pPr>
        <w:pStyle w:val="Headingb"/>
        <w:rPr>
          <w:color w:val="000000" w:themeColor="text1"/>
        </w:rPr>
      </w:pPr>
      <w:r w:rsidRPr="00D0279D">
        <w:t>Introduc</w:t>
      </w:r>
      <w:r w:rsidR="007A0533" w:rsidRPr="00D0279D">
        <w:t>ció</w:t>
      </w:r>
      <w:r w:rsidRPr="00D0279D">
        <w:t>n</w:t>
      </w:r>
    </w:p>
    <w:p w14:paraId="61FF44C0" w14:textId="5C2F96B6" w:rsidR="00B0508A" w:rsidRPr="00D0279D" w:rsidRDefault="00B0508A" w:rsidP="001613A9">
      <w:r w:rsidRPr="00D0279D">
        <w:t xml:space="preserve">En primer lugar, agradecemos el esfuerzo realizado por la Secretaría para tener en cuenta los resultados de la consulta informal a los Estados Miembros y los principios rectores acordados por los Estados Miembros </w:t>
      </w:r>
      <w:r w:rsidR="00F2775B" w:rsidRPr="00D0279D">
        <w:t>en su</w:t>
      </w:r>
      <w:r w:rsidRPr="00D0279D">
        <w:t xml:space="preserve"> primera reunión del Grupo de Trabajo del Consejo. Estamos de acuerdo en que </w:t>
      </w:r>
      <w:r w:rsidR="00F2775B" w:rsidRPr="00D0279D">
        <w:t xml:space="preserve">era necesario simplificar y aclarar </w:t>
      </w:r>
      <w:r w:rsidRPr="00D0279D">
        <w:t xml:space="preserve">el Plan Estratégico a fin de </w:t>
      </w:r>
      <w:r w:rsidR="00F2775B" w:rsidRPr="00D0279D">
        <w:t xml:space="preserve">plasmar </w:t>
      </w:r>
      <w:r w:rsidR="001325AB" w:rsidRPr="00D0279D">
        <w:t>más fielmente</w:t>
      </w:r>
      <w:r w:rsidRPr="00D0279D">
        <w:t xml:space="preserve"> las prioridades estratégicas de la organización. Asimismo, estimamos que era necesario centrarlo más, a fin de que el Plan Estratégico se mantuviera a un nivel elevado y se concentrara más en los objetivos y las prioridades estratégicas.</w:t>
      </w:r>
    </w:p>
    <w:p w14:paraId="18FD6726" w14:textId="2AB68B70" w:rsidR="00B0508A" w:rsidRPr="00D0279D" w:rsidRDefault="00B0508A" w:rsidP="001613A9">
      <w:r w:rsidRPr="00D0279D">
        <w:t xml:space="preserve">La nueva estructura del Plan Estratégico es, a nuestro juicio, mucho más clara. Las metas estratégicas consolidadas parecen estar en consonancia con la visión y la misión de la UIT, y </w:t>
      </w:r>
      <w:r w:rsidR="00F2775B" w:rsidRPr="00D0279D">
        <w:t xml:space="preserve">parece pertinente distinguir </w:t>
      </w:r>
      <w:r w:rsidRPr="00D0279D">
        <w:t xml:space="preserve">entre metas, finalidades y facilitadores de la organización que son transversales para toda la organización. Las prioridades temáticas permiten una visión más coherente de las actividades de la UIT en los tres sectores, maximizando las sinergias y reforzando el concepto de Una UIT. La presentación consolidada de las ofertas de productos y servicios de toda la UIT ofrece una </w:t>
      </w:r>
      <w:r w:rsidR="00F2775B" w:rsidRPr="00D0279D">
        <w:t>perspectiva</w:t>
      </w:r>
      <w:r w:rsidRPr="00D0279D">
        <w:t xml:space="preserve"> más clara de las actividades de la UIT en los tres </w:t>
      </w:r>
      <w:r w:rsidR="00F2775B" w:rsidRPr="00D0279D">
        <w:t>S</w:t>
      </w:r>
      <w:r w:rsidRPr="00D0279D">
        <w:t>ectores.</w:t>
      </w:r>
    </w:p>
    <w:p w14:paraId="13A1214F" w14:textId="7EA4E7C2" w:rsidR="0097546C" w:rsidRPr="00D0279D" w:rsidRDefault="00F2775B" w:rsidP="001613A9">
      <w:r w:rsidRPr="00D0279D">
        <w:t>Por otra parte,</w:t>
      </w:r>
      <w:r w:rsidR="00B0508A" w:rsidRPr="00D0279D">
        <w:t xml:space="preserve"> queremos subrayar la importancia de tener en cuenta las limitaciones financie</w:t>
      </w:r>
      <w:r w:rsidR="0029117D" w:rsidRPr="00D0279D">
        <w:t>ras de la UIT al elaborar este Plan E</w:t>
      </w:r>
      <w:r w:rsidR="00B0508A" w:rsidRPr="00D0279D">
        <w:t xml:space="preserve">stratégico. </w:t>
      </w:r>
      <w:r w:rsidR="001325AB" w:rsidRPr="00D0279D">
        <w:t xml:space="preserve">Habida cuenta de que </w:t>
      </w:r>
      <w:r w:rsidR="00B0508A" w:rsidRPr="00D0279D">
        <w:t>los recursos son escasos, es importante que</w:t>
      </w:r>
      <w:r w:rsidR="001325AB" w:rsidRPr="00D0279D">
        <w:t>,</w:t>
      </w:r>
      <w:r w:rsidR="00B0508A" w:rsidRPr="00D0279D">
        <w:t xml:space="preserve"> </w:t>
      </w:r>
      <w:r w:rsidR="001325AB" w:rsidRPr="00D0279D">
        <w:t xml:space="preserve">para ser eficiente, </w:t>
      </w:r>
      <w:r w:rsidR="00B0508A" w:rsidRPr="00D0279D">
        <w:t>la UIT se centre</w:t>
      </w:r>
      <w:r w:rsidR="001325AB" w:rsidRPr="00D0279D">
        <w:t xml:space="preserve"> ahora más que nunca</w:t>
      </w:r>
      <w:r w:rsidR="00B0508A" w:rsidRPr="00D0279D">
        <w:t xml:space="preserve"> en su mandato principal y priorice sus actividades en función de éste</w:t>
      </w:r>
      <w:r w:rsidR="0097546C" w:rsidRPr="00D0279D">
        <w:t>.</w:t>
      </w:r>
    </w:p>
    <w:p w14:paraId="2787865A" w14:textId="0B873D4E" w:rsidR="0097546C" w:rsidRPr="00D0279D" w:rsidRDefault="001325AB" w:rsidP="001613A9">
      <w:pPr>
        <w:pStyle w:val="Headingb"/>
        <w:rPr>
          <w:rFonts w:cs="Calibri"/>
          <w:b w:val="0"/>
          <w:color w:val="000000" w:themeColor="text1"/>
          <w:shd w:val="clear" w:color="auto" w:fill="FFFFFF"/>
        </w:rPr>
      </w:pPr>
      <w:r w:rsidRPr="00D0279D">
        <w:t>Comentarios sobre la propuesta</w:t>
      </w:r>
    </w:p>
    <w:p w14:paraId="1539FC72" w14:textId="25D42CEF" w:rsidR="0097546C" w:rsidRPr="00D0279D" w:rsidRDefault="001325AB" w:rsidP="001613A9">
      <w:pPr>
        <w:pStyle w:val="Headingb"/>
        <w:rPr>
          <w:rFonts w:cs="Calibri"/>
          <w:b w:val="0"/>
          <w:color w:val="000000" w:themeColor="text1"/>
          <w:shd w:val="clear" w:color="auto" w:fill="FFFFFF"/>
        </w:rPr>
      </w:pPr>
      <w:r w:rsidRPr="00D0279D">
        <w:t>Sección</w:t>
      </w:r>
      <w:r w:rsidR="0097546C" w:rsidRPr="00D0279D">
        <w:t xml:space="preserve"> 2.2: Visi</w:t>
      </w:r>
      <w:r w:rsidRPr="00D0279D">
        <w:t>ó</w:t>
      </w:r>
      <w:r w:rsidR="0097546C" w:rsidRPr="00D0279D">
        <w:t>n</w:t>
      </w:r>
    </w:p>
    <w:p w14:paraId="6C965B68" w14:textId="38B73F75" w:rsidR="0097546C" w:rsidRPr="00D0279D" w:rsidRDefault="001325AB" w:rsidP="00336A16">
      <w:r w:rsidRPr="00D0279D">
        <w:t xml:space="preserve">Somos partidarios de la opción 1 para mantener la versión actual de la visión de la UIT. La redacción actual parece más precisa, no tiene ningún concepto nuevo que deba debatirse (como el "progreso humano") y sigue siendo </w:t>
      </w:r>
      <w:r w:rsidR="004051E6" w:rsidRPr="00D0279D">
        <w:t>adecuada</w:t>
      </w:r>
      <w:r w:rsidRPr="00D0279D">
        <w:t xml:space="preserve"> para el periodo 2024-2027</w:t>
      </w:r>
      <w:r w:rsidR="0097546C" w:rsidRPr="00D0279D">
        <w:t>.</w:t>
      </w:r>
    </w:p>
    <w:p w14:paraId="5F3D953F" w14:textId="7023693F" w:rsidR="0097546C" w:rsidRPr="00D0279D" w:rsidRDefault="004051E6" w:rsidP="001613A9">
      <w:pPr>
        <w:pStyle w:val="Headingb"/>
        <w:rPr>
          <w:rFonts w:cs="Calibri"/>
          <w:b w:val="0"/>
          <w:color w:val="000000" w:themeColor="text1"/>
          <w:shd w:val="clear" w:color="auto" w:fill="FFFFFF"/>
        </w:rPr>
      </w:pPr>
      <w:r w:rsidRPr="00D0279D">
        <w:lastRenderedPageBreak/>
        <w:t>Sección</w:t>
      </w:r>
      <w:r w:rsidR="0097546C" w:rsidRPr="00D0279D">
        <w:t xml:space="preserve"> 2.3: </w:t>
      </w:r>
      <w:r w:rsidRPr="00D0279D">
        <w:t>Misión</w:t>
      </w:r>
    </w:p>
    <w:p w14:paraId="58938473" w14:textId="01FF1A79" w:rsidR="0097546C" w:rsidRPr="00D0279D" w:rsidRDefault="004051E6" w:rsidP="001613A9">
      <w:r w:rsidRPr="00D0279D">
        <w:t>Apoyamos también la opción 1 para mantener la actual declaración de intenciones, puesto que no hay diferencias fundamentales entre las dos versiones, y la expresión "crecimiento y desarrollo social, económico y ambientalmente sostenible" parece más precisa que sólo "desarrollo sostenible".</w:t>
      </w:r>
    </w:p>
    <w:p w14:paraId="2E4D2591" w14:textId="42F75266" w:rsidR="0097546C" w:rsidRPr="00D0279D" w:rsidRDefault="004051E6" w:rsidP="001613A9">
      <w:pPr>
        <w:pStyle w:val="Headingb"/>
        <w:rPr>
          <w:b w:val="0"/>
        </w:rPr>
      </w:pPr>
      <w:r w:rsidRPr="00D0279D">
        <w:t xml:space="preserve">Sección </w:t>
      </w:r>
      <w:r w:rsidR="0097546C" w:rsidRPr="00D0279D">
        <w:t xml:space="preserve">2.4 </w:t>
      </w:r>
      <w:r w:rsidRPr="00D0279D">
        <w:t xml:space="preserve">Metas </w:t>
      </w:r>
      <w:r w:rsidR="00B1209D" w:rsidRPr="00D0279D">
        <w:t>estratégicas</w:t>
      </w:r>
    </w:p>
    <w:p w14:paraId="60A6F3D4" w14:textId="690A4903" w:rsidR="0097546C" w:rsidRPr="00D0279D" w:rsidRDefault="00DD301B" w:rsidP="001613A9">
      <w:r w:rsidRPr="00D0279D">
        <w:t>Nos adherimos firmemente a la nueva redacción de los objetivos estratégicos que parecen mucho más completos y claros, sin que haya solapamientos entre ellos. Además, está plenamente en consonancia con la Agenda 2030 para el Desarrollo Sostenible</w:t>
      </w:r>
      <w:r w:rsidR="0097546C" w:rsidRPr="00D0279D">
        <w:t>.</w:t>
      </w:r>
    </w:p>
    <w:p w14:paraId="7FE50924" w14:textId="3D6CC9D4" w:rsidR="0097546C" w:rsidRPr="00D0279D" w:rsidRDefault="004051E6" w:rsidP="001613A9">
      <w:pPr>
        <w:pStyle w:val="Headingb"/>
        <w:rPr>
          <w:b w:val="0"/>
        </w:rPr>
      </w:pPr>
      <w:r w:rsidRPr="00D0279D">
        <w:t xml:space="preserve">Sección </w:t>
      </w:r>
      <w:r w:rsidR="0097546C" w:rsidRPr="00D0279D">
        <w:t xml:space="preserve">2.5 </w:t>
      </w:r>
      <w:r w:rsidR="00DD301B" w:rsidRPr="00D0279D">
        <w:t>Finalidades de la Agenda Conectar 2030 de la Unión</w:t>
      </w:r>
    </w:p>
    <w:p w14:paraId="109CB752" w14:textId="4A9FEC4E" w:rsidR="0097546C" w:rsidRPr="00D0279D" w:rsidRDefault="00E25EF4" w:rsidP="001613A9">
      <w:r w:rsidRPr="00D0279D">
        <w:t>Respaldamos la redacción de las finalidades para 2030, que sirven para encauzar las actividades de la UIT hacia la consecución de los ODS. También apoyamos la utilización de indicadores que cumplan los criterios SMART para las finalidades en el marco de resultados y de subindicadores para perfeccionar la medición, lo que reforzará la rendición de cuentas de las acciones de la UIT</w:t>
      </w:r>
      <w:r w:rsidR="0097546C" w:rsidRPr="00D0279D">
        <w:t>.</w:t>
      </w:r>
    </w:p>
    <w:p w14:paraId="67318766" w14:textId="3C87F41E" w:rsidR="0097546C" w:rsidRPr="00D0279D" w:rsidRDefault="00E25EF4" w:rsidP="001613A9">
      <w:pPr>
        <w:pStyle w:val="Headingb"/>
        <w:rPr>
          <w:rFonts w:cs="Calibri"/>
          <w:b w:val="0"/>
          <w:bCs/>
          <w:color w:val="000000" w:themeColor="text1"/>
          <w:shd w:val="clear" w:color="auto" w:fill="FFFFFF"/>
        </w:rPr>
      </w:pPr>
      <w:r w:rsidRPr="00D0279D">
        <w:t>Sección</w:t>
      </w:r>
      <w:r w:rsidR="0097546C" w:rsidRPr="00D0279D">
        <w:t>. 2.6 Priori</w:t>
      </w:r>
      <w:r w:rsidRPr="00D0279D">
        <w:t>dades temáticas</w:t>
      </w:r>
    </w:p>
    <w:p w14:paraId="7559F4BA" w14:textId="77777777" w:rsidR="00703D58" w:rsidRPr="00D0279D" w:rsidRDefault="00703D58" w:rsidP="001613A9">
      <w:r w:rsidRPr="00D0279D">
        <w:t xml:space="preserve">En general, las prioridades temáticas parecen contemplar correctamente todo el espectro de actividades de la UIT. </w:t>
      </w:r>
    </w:p>
    <w:p w14:paraId="73C1BC2D" w14:textId="5715B9E5" w:rsidR="0097546C" w:rsidRPr="00D0279D" w:rsidRDefault="00703D58" w:rsidP="001613A9">
      <w:r w:rsidRPr="00D0279D">
        <w:t xml:space="preserve">Apoyamos la opción 2 de integrar los resultados sobre ciberseguridad en el marco de otras prioridades temáticas, como la de Infraestructura, aplicaciones o entorno propicio. Creemos importante que la UIT se concentre en su mandato principal, sin dejar por ello de atender las necesidades de todos sus Miembros, especialmente los países en desarrollo, que evite solapamientos y que desarrolle mejores sinergias con la labor realizada en otros foros. Asimismo, consideramos importante </w:t>
      </w:r>
      <w:r w:rsidR="004C69A4" w:rsidRPr="00D0279D">
        <w:t xml:space="preserve">no sobrecargar a </w:t>
      </w:r>
      <w:r w:rsidRPr="00D0279D">
        <w:t xml:space="preserve">la UIT </w:t>
      </w:r>
      <w:r w:rsidR="004C69A4" w:rsidRPr="00D0279D">
        <w:t xml:space="preserve">con </w:t>
      </w:r>
      <w:r w:rsidRPr="00D0279D">
        <w:t>demasiadas prioridades temáticas</w:t>
      </w:r>
      <w:r w:rsidR="004C69A4" w:rsidRPr="00D0279D">
        <w:t>,</w:t>
      </w:r>
      <w:r w:rsidR="00724DED" w:rsidRPr="00D0279D">
        <w:t xml:space="preserve"> para que el Plan E</w:t>
      </w:r>
      <w:r w:rsidRPr="00D0279D">
        <w:t xml:space="preserve">stratégico no pierda su orientación. Precisamente en este momento es muy importante </w:t>
      </w:r>
      <w:r w:rsidR="004C69A4" w:rsidRPr="00D0279D">
        <w:t xml:space="preserve">establecer prioridades </w:t>
      </w:r>
      <w:r w:rsidRPr="00D0279D">
        <w:t xml:space="preserve">y </w:t>
      </w:r>
      <w:r w:rsidR="004C69A4" w:rsidRPr="00D0279D">
        <w:t xml:space="preserve">evitar la dispersión de </w:t>
      </w:r>
      <w:r w:rsidRPr="00D0279D">
        <w:t>los escasos recursos entre demasiadas prioridades temáticas</w:t>
      </w:r>
      <w:r w:rsidR="0097546C" w:rsidRPr="00D0279D">
        <w:t>.</w:t>
      </w:r>
    </w:p>
    <w:p w14:paraId="6A5CFDF6" w14:textId="1D35EB4B" w:rsidR="0097546C" w:rsidRPr="00D0279D" w:rsidRDefault="00E25EF4" w:rsidP="001613A9">
      <w:pPr>
        <w:pStyle w:val="Headingb"/>
        <w:rPr>
          <w:color w:val="000000" w:themeColor="text1"/>
          <w:sz w:val="22"/>
        </w:rPr>
      </w:pPr>
      <w:r w:rsidRPr="00D0279D">
        <w:t xml:space="preserve">Sección </w:t>
      </w:r>
      <w:r w:rsidR="0097546C" w:rsidRPr="00D0279D">
        <w:t>2.7 Product</w:t>
      </w:r>
      <w:r w:rsidRPr="00D0279D">
        <w:t>o</w:t>
      </w:r>
      <w:r w:rsidR="0097546C" w:rsidRPr="00D0279D">
        <w:t xml:space="preserve">s </w:t>
      </w:r>
      <w:r w:rsidRPr="00D0279D">
        <w:t>y servicios</w:t>
      </w:r>
      <w:r w:rsidR="0097546C" w:rsidRPr="00D0279D">
        <w:t>:</w:t>
      </w:r>
      <w:r w:rsidR="0097546C" w:rsidRPr="00D0279D">
        <w:rPr>
          <w:bCs/>
          <w:color w:val="000000" w:themeColor="text1"/>
          <w:sz w:val="22"/>
        </w:rPr>
        <w:t xml:space="preserve"> </w:t>
      </w:r>
    </w:p>
    <w:p w14:paraId="4AD9DDD6" w14:textId="387798BF" w:rsidR="004C69A4" w:rsidRPr="00D0279D" w:rsidRDefault="004C69A4" w:rsidP="001613A9">
      <w:r w:rsidRPr="00D0279D">
        <w:t>Somos partidarios de la redacción propuesta para esta sección</w:t>
      </w:r>
      <w:r w:rsidR="00B1209D" w:rsidRPr="00D0279D">
        <w:t xml:space="preserve">, </w:t>
      </w:r>
      <w:r w:rsidRPr="00D0279D">
        <w:t xml:space="preserve">que ilustra la propuesta de valor combinada de la UIT y destaca </w:t>
      </w:r>
      <w:r w:rsidR="00B1209D" w:rsidRPr="00D0279D">
        <w:t xml:space="preserve">las relaciones entre </w:t>
      </w:r>
      <w:r w:rsidRPr="00D0279D">
        <w:t xml:space="preserve">toda la gama de sus productos y servicios. La reagrupación y reformulación de las actividades existentes con el fin de subrayar las esferas de trabajo comunes, </w:t>
      </w:r>
      <w:r w:rsidR="0029117D" w:rsidRPr="00D0279D">
        <w:t>especificando a su vez</w:t>
      </w:r>
      <w:r w:rsidRPr="00D0279D">
        <w:t xml:space="preserve"> las ofertas existentes</w:t>
      </w:r>
      <w:r w:rsidR="00B1209D" w:rsidRPr="00D0279D">
        <w:t xml:space="preserve"> particulares de cada Sector</w:t>
      </w:r>
      <w:r w:rsidRPr="00D0279D">
        <w:t xml:space="preserve">, parece estar en consonancia con </w:t>
      </w:r>
      <w:r w:rsidR="00B1209D" w:rsidRPr="00D0279D">
        <w:t>lo solicitado</w:t>
      </w:r>
      <w:r w:rsidRPr="00D0279D">
        <w:t xml:space="preserve"> por los Estados Miembros </w:t>
      </w:r>
      <w:r w:rsidR="00B1209D" w:rsidRPr="00D0279D">
        <w:t xml:space="preserve">en cuanto a </w:t>
      </w:r>
      <w:r w:rsidRPr="00D0279D">
        <w:t>maximizar las sinergias y evitar duplicaciones y solapamientos.</w:t>
      </w:r>
    </w:p>
    <w:p w14:paraId="165BBEF9" w14:textId="154C2368" w:rsidR="00C47AC9" w:rsidRPr="00D0279D" w:rsidRDefault="00B1209D" w:rsidP="001613A9">
      <w:r w:rsidRPr="00D0279D">
        <w:t>Esperamos seguir debatiendo en el Grupo de Trabajo del Consejo sobre el proyecto de Plan Estratégico.</w:t>
      </w:r>
    </w:p>
    <w:p w14:paraId="22206C59" w14:textId="77777777" w:rsidR="0029117D" w:rsidRPr="00D0279D" w:rsidRDefault="0029117D" w:rsidP="00411C49">
      <w:pPr>
        <w:pStyle w:val="Reasons"/>
      </w:pPr>
    </w:p>
    <w:p w14:paraId="24F6F9E4" w14:textId="3122595E" w:rsidR="001613A9" w:rsidRPr="00D0279D" w:rsidRDefault="0029117D" w:rsidP="0029117D">
      <w:pPr>
        <w:jc w:val="center"/>
      </w:pPr>
      <w:r w:rsidRPr="00D0279D">
        <w:t>______________</w:t>
      </w:r>
    </w:p>
    <w:sectPr w:rsidR="001613A9" w:rsidRPr="00D0279D" w:rsidSect="006710F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1B8D" w14:textId="77777777" w:rsidR="005A1840" w:rsidRDefault="005A1840">
      <w:r>
        <w:separator/>
      </w:r>
    </w:p>
  </w:endnote>
  <w:endnote w:type="continuationSeparator" w:id="0">
    <w:p w14:paraId="4C94E1E8" w14:textId="77777777" w:rsidR="005A1840" w:rsidRDefault="005A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93995879"/>
  <w:bookmarkStart w:id="10" w:name="_Hlk93995880"/>
  <w:p w14:paraId="41E87CB4" w14:textId="652427DE" w:rsidR="00490ECD" w:rsidRPr="00560EF8" w:rsidRDefault="001613A9" w:rsidP="001613A9">
    <w:pPr>
      <w:pStyle w:val="Footer"/>
      <w:rPr>
        <w:szCs w:val="16"/>
        <w:lang w:val="en-GB"/>
      </w:rPr>
    </w:pPr>
    <w:r w:rsidRPr="00336A16">
      <w:rPr>
        <w:color w:val="F2F2F2" w:themeColor="background1" w:themeShade="F2"/>
      </w:rPr>
      <w:fldChar w:fldCharType="begin"/>
    </w:r>
    <w:r w:rsidRPr="00336A16">
      <w:rPr>
        <w:color w:val="F2F2F2" w:themeColor="background1" w:themeShade="F2"/>
      </w:rPr>
      <w:instrText xml:space="preserve"> FILENAME \p  \* MERGEFORMAT </w:instrText>
    </w:r>
    <w:r w:rsidRPr="00336A16">
      <w:rPr>
        <w:color w:val="F2F2F2" w:themeColor="background1" w:themeShade="F2"/>
      </w:rPr>
      <w:fldChar w:fldCharType="separate"/>
    </w:r>
    <w:r w:rsidRPr="00336A16">
      <w:rPr>
        <w:color w:val="F2F2F2" w:themeColor="background1" w:themeShade="F2"/>
      </w:rPr>
      <w:t>P:\ESP\SG\CONSEIL\CWG-SFP\CWG-SFP3\000\013S.docx</w:t>
    </w:r>
    <w:r w:rsidRPr="00336A16">
      <w:rPr>
        <w:color w:val="F2F2F2" w:themeColor="background1" w:themeShade="F2"/>
      </w:rPr>
      <w:fldChar w:fldCharType="end"/>
    </w:r>
    <w:r w:rsidRPr="00336A16">
      <w:rPr>
        <w:color w:val="F2F2F2" w:themeColor="background1" w:themeShade="F2"/>
      </w:rPr>
      <w:t xml:space="preserve"> (501511)</w:t>
    </w:r>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1D6" w14:textId="2EF13254" w:rsidR="002C6935" w:rsidRPr="00336A16" w:rsidRDefault="00336A16" w:rsidP="00927FDF">
    <w:pPr>
      <w:pStyle w:val="Footer"/>
      <w:jc w:val="center"/>
      <w:rPr>
        <w:rFonts w:eastAsia="MS Mincho" w:cs="Arial"/>
        <w:caps w:val="0"/>
        <w:noProof w:val="0"/>
        <w:color w:val="0000FF"/>
        <w:sz w:val="22"/>
        <w:szCs w:val="22"/>
        <w:lang w:val="en-GB" w:eastAsia="zh-CN"/>
      </w:rPr>
    </w:pPr>
    <w:r w:rsidRPr="00336A16">
      <w:rPr>
        <w:rFonts w:eastAsia="MS Mincho" w:cs="Arial"/>
        <w:caps w:val="0"/>
        <w:noProof w:val="0"/>
        <w:color w:val="0000FF"/>
        <w:sz w:val="22"/>
        <w:szCs w:val="22"/>
        <w:lang w:val="en-GB" w:eastAsia="zh-CN"/>
      </w:rPr>
      <w:t xml:space="preserve">• </w:t>
    </w:r>
    <w:hyperlink r:id="rId1" w:history="1">
      <w:r w:rsidRPr="00336A16">
        <w:rPr>
          <w:rFonts w:eastAsia="MS Mincho" w:cs="Arial"/>
          <w:caps w:val="0"/>
          <w:noProof w:val="0"/>
          <w:color w:val="0000FF"/>
          <w:sz w:val="22"/>
          <w:szCs w:val="22"/>
          <w:u w:val="single"/>
          <w:lang w:eastAsia="zh-CN"/>
        </w:rPr>
        <w:t>http://www.itu.int/council</w:t>
      </w:r>
    </w:hyperlink>
    <w:r w:rsidRPr="00336A16">
      <w:rPr>
        <w:rFonts w:eastAsia="MS Mincho" w:cs="Arial"/>
        <w:caps w:val="0"/>
        <w:noProof w:val="0"/>
        <w:color w:val="0000FF"/>
        <w:sz w:val="22"/>
        <w:szCs w:val="22"/>
        <w:lang w:val="en-GB" w:eastAsia="zh-CN"/>
      </w:rPr>
      <w:t xml:space="preserve"> •</w:t>
    </w:r>
  </w:p>
  <w:p w14:paraId="22642074" w14:textId="02629911" w:rsidR="001613A9" w:rsidRPr="001613A9" w:rsidRDefault="001613A9" w:rsidP="001613A9">
    <w:pPr>
      <w:pStyle w:val="Footer"/>
      <w:rPr>
        <w:szCs w:val="16"/>
        <w:lang w:val="en-GB"/>
      </w:rPr>
    </w:pPr>
    <w:r w:rsidRPr="00336A16">
      <w:rPr>
        <w:color w:val="F2F2F2" w:themeColor="background1" w:themeShade="F2"/>
      </w:rPr>
      <w:fldChar w:fldCharType="begin"/>
    </w:r>
    <w:r w:rsidRPr="00336A16">
      <w:rPr>
        <w:color w:val="F2F2F2" w:themeColor="background1" w:themeShade="F2"/>
        <w:lang w:val="en-GB"/>
      </w:rPr>
      <w:instrText xml:space="preserve"> FILENAME \p  \* MERGEFORMAT </w:instrText>
    </w:r>
    <w:r w:rsidRPr="00336A16">
      <w:rPr>
        <w:color w:val="F2F2F2" w:themeColor="background1" w:themeShade="F2"/>
      </w:rPr>
      <w:fldChar w:fldCharType="separate"/>
    </w:r>
    <w:r w:rsidRPr="00336A16">
      <w:rPr>
        <w:color w:val="F2F2F2" w:themeColor="background1" w:themeShade="F2"/>
        <w:lang w:val="en-GB"/>
      </w:rPr>
      <w:t>P:\ESP\SG\CONSEIL\CWG-SFP\CWG-SFP3\000\013S.docx</w:t>
    </w:r>
    <w:r w:rsidRPr="00336A16">
      <w:rPr>
        <w:color w:val="F2F2F2" w:themeColor="background1" w:themeShade="F2"/>
      </w:rPr>
      <w:fldChar w:fldCharType="end"/>
    </w:r>
    <w:r w:rsidRPr="00336A16">
      <w:rPr>
        <w:color w:val="F2F2F2" w:themeColor="background1" w:themeShade="F2"/>
        <w:lang w:val="en-GB"/>
      </w:rPr>
      <w:t xml:space="preserve"> (501511)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41C3" w14:textId="77777777" w:rsidR="005A1840" w:rsidRDefault="005A1840">
      <w:r>
        <w:t>____________________</w:t>
      </w:r>
    </w:p>
  </w:footnote>
  <w:footnote w:type="continuationSeparator" w:id="0">
    <w:p w14:paraId="1B921FB8" w14:textId="77777777" w:rsidR="005A1840" w:rsidRDefault="005A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3C5C" w14:textId="77825E73" w:rsidR="00760F1C" w:rsidRDefault="000B7C15" w:rsidP="007657F0">
    <w:pPr>
      <w:pStyle w:val="Header"/>
    </w:pPr>
    <w:r>
      <w:fldChar w:fldCharType="begin"/>
    </w:r>
    <w:r>
      <w:instrText>PAGE</w:instrText>
    </w:r>
    <w:r>
      <w:fldChar w:fldCharType="separate"/>
    </w:r>
    <w:r w:rsidR="00D0279D">
      <w:rPr>
        <w:noProof/>
      </w:rPr>
      <w:t>2</w:t>
    </w:r>
    <w:r>
      <w:rPr>
        <w:noProof/>
      </w:rPr>
      <w:fldChar w:fldCharType="end"/>
    </w:r>
  </w:p>
  <w:p w14:paraId="26333443" w14:textId="2BF5AD00" w:rsidR="008D3A5F" w:rsidRDefault="008E09C2" w:rsidP="001613A9">
    <w:pPr>
      <w:pStyle w:val="Header"/>
    </w:pPr>
    <w:r>
      <w:t>CWG-SFP-</w:t>
    </w:r>
    <w:r w:rsidR="00230E46">
      <w:t>3</w:t>
    </w:r>
    <w:r>
      <w:t>/</w:t>
    </w:r>
    <w:r w:rsidR="00DD301B">
      <w:t>13</w:t>
    </w:r>
    <w:r w:rsidR="00F05EB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6ED6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043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08FE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B6E4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5646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40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B8AD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D469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E73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085A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40"/>
    <w:rsid w:val="000007D1"/>
    <w:rsid w:val="00011030"/>
    <w:rsid w:val="00093EEB"/>
    <w:rsid w:val="000B0D00"/>
    <w:rsid w:val="000B7C15"/>
    <w:rsid w:val="000C22B3"/>
    <w:rsid w:val="000D1D0F"/>
    <w:rsid w:val="000E7F0D"/>
    <w:rsid w:val="000F5290"/>
    <w:rsid w:val="0010165C"/>
    <w:rsid w:val="00105680"/>
    <w:rsid w:val="00112759"/>
    <w:rsid w:val="001325AB"/>
    <w:rsid w:val="00146BFB"/>
    <w:rsid w:val="001613A9"/>
    <w:rsid w:val="001D0AC1"/>
    <w:rsid w:val="001D6E57"/>
    <w:rsid w:val="001F14A2"/>
    <w:rsid w:val="0022761A"/>
    <w:rsid w:val="00230E46"/>
    <w:rsid w:val="002412C4"/>
    <w:rsid w:val="002801AA"/>
    <w:rsid w:val="0029117D"/>
    <w:rsid w:val="002B25FB"/>
    <w:rsid w:val="002C4676"/>
    <w:rsid w:val="002C6935"/>
    <w:rsid w:val="002C7046"/>
    <w:rsid w:val="002C70B0"/>
    <w:rsid w:val="002F3CC4"/>
    <w:rsid w:val="0031003D"/>
    <w:rsid w:val="003237E9"/>
    <w:rsid w:val="00336A16"/>
    <w:rsid w:val="00347F62"/>
    <w:rsid w:val="00371C1C"/>
    <w:rsid w:val="003862E2"/>
    <w:rsid w:val="003A584C"/>
    <w:rsid w:val="004051E6"/>
    <w:rsid w:val="004454F0"/>
    <w:rsid w:val="00467F7B"/>
    <w:rsid w:val="004736AA"/>
    <w:rsid w:val="00490ECD"/>
    <w:rsid w:val="00491FE7"/>
    <w:rsid w:val="004B7D8E"/>
    <w:rsid w:val="004C69A4"/>
    <w:rsid w:val="00513630"/>
    <w:rsid w:val="00560125"/>
    <w:rsid w:val="00560EF8"/>
    <w:rsid w:val="005665B3"/>
    <w:rsid w:val="00570CDD"/>
    <w:rsid w:val="00585553"/>
    <w:rsid w:val="005A1840"/>
    <w:rsid w:val="005B34D9"/>
    <w:rsid w:val="005D0CCF"/>
    <w:rsid w:val="005F3BCB"/>
    <w:rsid w:val="005F410F"/>
    <w:rsid w:val="0060149A"/>
    <w:rsid w:val="00601924"/>
    <w:rsid w:val="006447EA"/>
    <w:rsid w:val="0064731F"/>
    <w:rsid w:val="00664572"/>
    <w:rsid w:val="006710F6"/>
    <w:rsid w:val="006C1B56"/>
    <w:rsid w:val="006D4761"/>
    <w:rsid w:val="00703D58"/>
    <w:rsid w:val="00724DED"/>
    <w:rsid w:val="00726872"/>
    <w:rsid w:val="00735EB9"/>
    <w:rsid w:val="00760F1C"/>
    <w:rsid w:val="007657F0"/>
    <w:rsid w:val="0077252D"/>
    <w:rsid w:val="007955DA"/>
    <w:rsid w:val="007A0533"/>
    <w:rsid w:val="007B6AD4"/>
    <w:rsid w:val="007D0C68"/>
    <w:rsid w:val="007E5DD3"/>
    <w:rsid w:val="007F350B"/>
    <w:rsid w:val="00820BE4"/>
    <w:rsid w:val="008451E8"/>
    <w:rsid w:val="008D3A5F"/>
    <w:rsid w:val="008E09C2"/>
    <w:rsid w:val="00913B9C"/>
    <w:rsid w:val="00927FDF"/>
    <w:rsid w:val="00956E77"/>
    <w:rsid w:val="0097546C"/>
    <w:rsid w:val="009A65EC"/>
    <w:rsid w:val="009D06E4"/>
    <w:rsid w:val="009E7FD5"/>
    <w:rsid w:val="009F4811"/>
    <w:rsid w:val="00A10267"/>
    <w:rsid w:val="00A136FD"/>
    <w:rsid w:val="00AA390C"/>
    <w:rsid w:val="00AD3B2F"/>
    <w:rsid w:val="00B0200A"/>
    <w:rsid w:val="00B0508A"/>
    <w:rsid w:val="00B1209D"/>
    <w:rsid w:val="00B574DB"/>
    <w:rsid w:val="00B826C2"/>
    <w:rsid w:val="00B8298E"/>
    <w:rsid w:val="00BD0723"/>
    <w:rsid w:val="00BD2518"/>
    <w:rsid w:val="00BF1D1C"/>
    <w:rsid w:val="00C20C59"/>
    <w:rsid w:val="00C2727F"/>
    <w:rsid w:val="00C37984"/>
    <w:rsid w:val="00C47AC9"/>
    <w:rsid w:val="00C53546"/>
    <w:rsid w:val="00C55B1F"/>
    <w:rsid w:val="00C62B4F"/>
    <w:rsid w:val="00C81806"/>
    <w:rsid w:val="00CC6A19"/>
    <w:rsid w:val="00CF0675"/>
    <w:rsid w:val="00CF1A67"/>
    <w:rsid w:val="00D0279D"/>
    <w:rsid w:val="00D2750E"/>
    <w:rsid w:val="00D514C0"/>
    <w:rsid w:val="00D62446"/>
    <w:rsid w:val="00DA4EA2"/>
    <w:rsid w:val="00DC3D3E"/>
    <w:rsid w:val="00DC6DB2"/>
    <w:rsid w:val="00DD301B"/>
    <w:rsid w:val="00DE2C90"/>
    <w:rsid w:val="00DE3B24"/>
    <w:rsid w:val="00E06947"/>
    <w:rsid w:val="00E1365C"/>
    <w:rsid w:val="00E25EF4"/>
    <w:rsid w:val="00E3592D"/>
    <w:rsid w:val="00E46977"/>
    <w:rsid w:val="00E54738"/>
    <w:rsid w:val="00E74B41"/>
    <w:rsid w:val="00E92DE8"/>
    <w:rsid w:val="00EB1212"/>
    <w:rsid w:val="00ED65AB"/>
    <w:rsid w:val="00F05EB9"/>
    <w:rsid w:val="00F12850"/>
    <w:rsid w:val="00F2775B"/>
    <w:rsid w:val="00F33BF4"/>
    <w:rsid w:val="00F5719C"/>
    <w:rsid w:val="00F7105E"/>
    <w:rsid w:val="00F75F57"/>
    <w:rsid w:val="00F76676"/>
    <w:rsid w:val="00F82FEE"/>
    <w:rsid w:val="00FD57D3"/>
    <w:rsid w:val="00FD6F1B"/>
    <w:rsid w:val="00FF11BD"/>
    <w:rsid w:val="00FF2191"/>
    <w:rsid w:val="00FF42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B97F02"/>
  <w15:docId w15:val="{07356043-492D-474F-ACDB-46EC8C4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UnresolvedMention1">
    <w:name w:val="Unresolved Mention1"/>
    <w:basedOn w:val="DefaultParagraphFont"/>
    <w:uiPriority w:val="99"/>
    <w:semiHidden/>
    <w:unhideWhenUsed/>
    <w:rsid w:val="005A1840"/>
    <w:rPr>
      <w:color w:val="605E5C"/>
      <w:shd w:val="clear" w:color="auto" w:fill="E1DFDD"/>
    </w:rPr>
  </w:style>
  <w:style w:type="character" w:customStyle="1" w:styleId="FooterChar">
    <w:name w:val="Footer Char"/>
    <w:basedOn w:val="DefaultParagraphFont"/>
    <w:link w:val="Footer"/>
    <w:uiPriority w:val="99"/>
    <w:rsid w:val="00E74B41"/>
    <w:rPr>
      <w:rFonts w:ascii="Calibri" w:hAnsi="Calibri"/>
      <w:caps/>
      <w:noProof/>
      <w:sz w:val="16"/>
      <w:lang w:val="es-ES_tradnl" w:eastAsia="en-US"/>
    </w:rPr>
  </w:style>
  <w:style w:type="paragraph" w:styleId="Revision">
    <w:name w:val="Revision"/>
    <w:hidden/>
    <w:uiPriority w:val="99"/>
    <w:semiHidden/>
    <w:rsid w:val="004454F0"/>
    <w:rPr>
      <w:rFonts w:ascii="Calibri" w:hAnsi="Calibri"/>
      <w:sz w:val="24"/>
      <w:lang w:val="es-ES_tradnl" w:eastAsia="en-US"/>
    </w:rPr>
  </w:style>
  <w:style w:type="character" w:customStyle="1" w:styleId="FootnoteTextChar">
    <w:name w:val="Footnote Text Char"/>
    <w:basedOn w:val="DefaultParagraphFont"/>
    <w:link w:val="FootnoteText"/>
    <w:rsid w:val="00C62B4F"/>
    <w:rPr>
      <w:rFonts w:ascii="Calibri" w:hAnsi="Calibri"/>
      <w:sz w:val="24"/>
      <w:lang w:val="es-ES_tradnl" w:eastAsia="en-US"/>
    </w:rPr>
  </w:style>
  <w:style w:type="paragraph" w:customStyle="1" w:styleId="SimpleHeading">
    <w:name w:val="Simple Heading"/>
    <w:basedOn w:val="Normal"/>
    <w:qFormat/>
    <w:rsid w:val="0097546C"/>
    <w:pPr>
      <w:keepNext/>
      <w:tabs>
        <w:tab w:val="clear" w:pos="567"/>
        <w:tab w:val="clear" w:pos="1134"/>
        <w:tab w:val="clear" w:pos="1701"/>
        <w:tab w:val="clear" w:pos="2268"/>
        <w:tab w:val="clear" w:pos="2835"/>
      </w:tabs>
      <w:overflowPunct/>
      <w:autoSpaceDE/>
      <w:autoSpaceDN/>
      <w:adjustRightInd/>
      <w:spacing w:before="240" w:after="60" w:line="259" w:lineRule="auto"/>
      <w:jc w:val="both"/>
      <w:textAlignment w:val="auto"/>
    </w:pPr>
    <w:rPr>
      <w:rFonts w:asciiTheme="minorHAnsi" w:eastAsiaTheme="minorHAnsi" w:hAnsiTheme="minorHAnsi"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9376-70B2-41C2-9211-769EEBA1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Propuestas de revisión de la Resolución 71 (Rev. Dubái, 2018), "Plan Estratégico de la Unión para 2020-2023</vt:lpstr>
    </vt:vector>
  </TitlesOfParts>
  <Manager>Secretaría General - Pool</Manager>
  <Company>Unión Internacional de Telecomunicaciones (UIT)</Company>
  <LinksUpToDate>false</LinksUpToDate>
  <CharactersWithSpaces>5069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Propuestas comunes para la tercera reunión del Grupo de Trabajo del Consejo sobre los Planes Estratégico y Financiero (GTC-PEF)</dc:title>
  <dc:subject>Council Working Group for Strategic and Financial Plans 2024-2027</dc:subject>
  <dc:creator>Spanish83</dc:creator>
  <cp:keywords>CWG-SFP</cp:keywords>
  <dc:description/>
  <cp:lastModifiedBy>Brouard, Ricarda</cp:lastModifiedBy>
  <cp:revision>2</cp:revision>
  <cp:lastPrinted>2022-01-07T09:09:00Z</cp:lastPrinted>
  <dcterms:created xsi:type="dcterms:W3CDTF">2022-02-16T06:54:00Z</dcterms:created>
  <dcterms:modified xsi:type="dcterms:W3CDTF">2022-02-16T06:54:00Z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