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5126F9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5126F9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5126F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5126F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5126F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5126F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5126F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5126F9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126F9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5126F9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3334D80" w:rsidR="00821479" w:rsidRPr="005126F9" w:rsidRDefault="001640A7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126F9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5126F9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5126F9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5126F9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21 и 22 февраля </w:t>
            </w:r>
            <w:r w:rsidR="00DF2730" w:rsidRPr="005126F9">
              <w:rPr>
                <w:rFonts w:eastAsia="Calibri" w:cs="Calibri"/>
                <w:b/>
                <w:color w:val="000000"/>
                <w:szCs w:val="24"/>
                <w:lang w:val="ru-RU"/>
              </w:rPr>
              <w:t>202</w:t>
            </w:r>
            <w:r w:rsidR="00756434" w:rsidRPr="005126F9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5126F9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5126F9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5126F9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5126F9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5126F9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5126F9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5126F9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5613D792" w:rsidR="00821479" w:rsidRPr="005126F9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126F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5126F9">
              <w:rPr>
                <w:b/>
                <w:bCs/>
                <w:szCs w:val="22"/>
                <w:lang w:val="ru-RU"/>
              </w:rPr>
              <w:t>CWG-SFP-</w:t>
            </w:r>
            <w:r w:rsidR="001640A7" w:rsidRPr="005126F9">
              <w:rPr>
                <w:b/>
                <w:bCs/>
                <w:szCs w:val="22"/>
                <w:lang w:val="ru-RU"/>
              </w:rPr>
              <w:t>3</w:t>
            </w:r>
            <w:r w:rsidR="0076356D" w:rsidRPr="005126F9">
              <w:rPr>
                <w:b/>
                <w:bCs/>
                <w:szCs w:val="22"/>
                <w:lang w:val="ru-RU"/>
              </w:rPr>
              <w:t>/</w:t>
            </w:r>
            <w:r w:rsidR="00CB6266" w:rsidRPr="005126F9">
              <w:rPr>
                <w:b/>
                <w:bCs/>
                <w:szCs w:val="22"/>
                <w:lang w:val="ru-RU"/>
              </w:rPr>
              <w:t>9</w:t>
            </w:r>
            <w:r w:rsidR="00821479" w:rsidRPr="005126F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5126F9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5126F9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1533D857" w:rsidR="00821479" w:rsidRPr="005126F9" w:rsidRDefault="001640A7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126F9">
              <w:rPr>
                <w:b/>
                <w:bCs/>
                <w:szCs w:val="22"/>
                <w:lang w:val="ru-RU"/>
              </w:rPr>
              <w:t>21 января 2022</w:t>
            </w:r>
            <w:r w:rsidR="00821479" w:rsidRPr="005126F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5126F9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5126F9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5126F9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126F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31004" w:rsidRPr="005126F9" w14:paraId="08C86F88" w14:textId="77777777" w:rsidTr="00667077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10FD8952" w:rsidR="00C31004" w:rsidRPr="005126F9" w:rsidRDefault="00C31004" w:rsidP="00C31004">
            <w:pPr>
              <w:pStyle w:val="Source"/>
              <w:rPr>
                <w:lang w:val="ru-RU"/>
              </w:rPr>
            </w:pPr>
            <w:r w:rsidRPr="005126F9">
              <w:rPr>
                <w:lang w:val="ru-RU"/>
              </w:rPr>
              <w:t xml:space="preserve">Вклад </w:t>
            </w:r>
            <w:r w:rsidR="00CB6266" w:rsidRPr="005126F9">
              <w:rPr>
                <w:lang w:val="ru-RU"/>
              </w:rPr>
              <w:t xml:space="preserve">Алжира, Египта, Кувейта, Саудовской Аравии </w:t>
            </w:r>
            <w:r w:rsidR="00977215" w:rsidRPr="005126F9">
              <w:rPr>
                <w:lang w:val="ru-RU"/>
              </w:rPr>
              <w:br/>
            </w:r>
            <w:r w:rsidR="00CB6266" w:rsidRPr="005126F9">
              <w:rPr>
                <w:lang w:val="ru-RU"/>
              </w:rPr>
              <w:t>и Объединенных Арабских Эмиратов</w:t>
            </w:r>
          </w:p>
        </w:tc>
      </w:tr>
      <w:tr w:rsidR="00C31004" w:rsidRPr="005126F9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70C0A051" w:rsidR="00C31004" w:rsidRPr="005126F9" w:rsidRDefault="00CB6266" w:rsidP="00C31004">
            <w:pPr>
              <w:pStyle w:val="Title1"/>
              <w:rPr>
                <w:bCs/>
                <w:szCs w:val="22"/>
                <w:lang w:val="ru-RU"/>
              </w:rPr>
            </w:pPr>
            <w:r w:rsidRPr="005126F9">
              <w:rPr>
                <w:lang w:val="ru-RU"/>
              </w:rPr>
              <w:t xml:space="preserve">вклад для третьего собрания рабочей группы совета по разработке </w:t>
            </w:r>
            <w:r w:rsidRPr="005126F9">
              <w:rPr>
                <w:rFonts w:eastAsia="Calibri" w:cs="Calibri"/>
                <w:color w:val="000000"/>
                <w:position w:val="6"/>
                <w:szCs w:val="26"/>
                <w:lang w:val="ru-RU"/>
              </w:rPr>
              <w:t xml:space="preserve">Стратегического и Финансового планов (ргс-сфп) </w:t>
            </w:r>
          </w:p>
        </w:tc>
      </w:tr>
      <w:tr w:rsidR="00DB2408" w:rsidRPr="005126F9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5126F9" w:rsidRDefault="00715EEB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</w:p>
        </w:tc>
      </w:tr>
    </w:tbl>
    <w:p w14:paraId="795FAC4C" w14:textId="6EC77685" w:rsidR="00B109FC" w:rsidRPr="005126F9" w:rsidRDefault="00977215" w:rsidP="00977215">
      <w:pPr>
        <w:pStyle w:val="Heading1"/>
        <w:rPr>
          <w:lang w:val="ru-RU"/>
        </w:rPr>
      </w:pPr>
      <w:bookmarkStart w:id="1" w:name="lt_pId013"/>
      <w:r w:rsidRPr="005126F9">
        <w:rPr>
          <w:lang w:val="ru-RU"/>
        </w:rPr>
        <w:t>1</w:t>
      </w:r>
      <w:r w:rsidRPr="005126F9">
        <w:rPr>
          <w:lang w:val="ru-RU"/>
        </w:rPr>
        <w:tab/>
      </w:r>
      <w:r w:rsidR="009B56C1" w:rsidRPr="005126F9">
        <w:rPr>
          <w:lang w:val="ru-RU"/>
        </w:rPr>
        <w:t>Введение</w:t>
      </w:r>
      <w:bookmarkEnd w:id="1"/>
    </w:p>
    <w:p w14:paraId="6661D518" w14:textId="3392E7B5" w:rsidR="00B109FC" w:rsidRPr="005126F9" w:rsidRDefault="009B56C1" w:rsidP="00977215">
      <w:pPr>
        <w:rPr>
          <w:lang w:val="ru-RU"/>
        </w:rPr>
      </w:pPr>
      <w:bookmarkStart w:id="2" w:name="lt_pId014"/>
      <w:r w:rsidRPr="005126F9">
        <w:rPr>
          <w:lang w:val="ru-RU"/>
        </w:rPr>
        <w:t xml:space="preserve">Мы участвуем в обсуждениях начиная с первого собрания РГС-СФП и рады представить данный вклад, разработанный несколькими странами, для этого чрезвычайно важного </w:t>
      </w:r>
      <w:r w:rsidR="0048072C" w:rsidRPr="005126F9">
        <w:rPr>
          <w:lang w:val="ru-RU"/>
        </w:rPr>
        <w:t>процесса в нашем Союзе</w:t>
      </w:r>
      <w:r w:rsidR="00B109FC" w:rsidRPr="005126F9">
        <w:rPr>
          <w:lang w:val="ru-RU"/>
        </w:rPr>
        <w:t>.</w:t>
      </w:r>
      <w:bookmarkEnd w:id="2"/>
      <w:r w:rsidR="00B109FC" w:rsidRPr="005126F9">
        <w:rPr>
          <w:lang w:val="ru-RU"/>
        </w:rPr>
        <w:t xml:space="preserve"> </w:t>
      </w:r>
    </w:p>
    <w:p w14:paraId="5238F2BA" w14:textId="76A23471" w:rsidR="00B109FC" w:rsidRPr="005126F9" w:rsidRDefault="0048072C" w:rsidP="00977215">
      <w:pPr>
        <w:rPr>
          <w:lang w:val="ru-RU"/>
        </w:rPr>
      </w:pPr>
      <w:bookmarkStart w:id="3" w:name="lt_pId015"/>
      <w:r w:rsidRPr="005126F9">
        <w:rPr>
          <w:lang w:val="ru-RU"/>
        </w:rPr>
        <w:t xml:space="preserve">Мы даем положительную оценку </w:t>
      </w:r>
      <w:r w:rsidR="00C660C3" w:rsidRPr="005126F9">
        <w:rPr>
          <w:lang w:val="ru-RU"/>
        </w:rPr>
        <w:t>внесенному секретариатом предложению об улучшении стратегической основы МСЭ на основании принципов, разработанных на первом собрании</w:t>
      </w:r>
      <w:r w:rsidR="00B109FC" w:rsidRPr="005126F9">
        <w:rPr>
          <w:lang w:val="ru-RU"/>
        </w:rPr>
        <w:t xml:space="preserve"> </w:t>
      </w:r>
      <w:r w:rsidR="009B56C1" w:rsidRPr="005126F9">
        <w:rPr>
          <w:lang w:val="ru-RU"/>
        </w:rPr>
        <w:t>РГС-СФП</w:t>
      </w:r>
      <w:r w:rsidR="00B109FC" w:rsidRPr="005126F9">
        <w:rPr>
          <w:lang w:val="ru-RU"/>
        </w:rPr>
        <w:t>.</w:t>
      </w:r>
      <w:bookmarkEnd w:id="3"/>
      <w:r w:rsidR="00B109FC" w:rsidRPr="005126F9">
        <w:rPr>
          <w:lang w:val="ru-RU"/>
        </w:rPr>
        <w:t xml:space="preserve"> </w:t>
      </w:r>
      <w:bookmarkStart w:id="4" w:name="lt_pId016"/>
      <w:r w:rsidR="00C660C3" w:rsidRPr="005126F9">
        <w:rPr>
          <w:lang w:val="ru-RU"/>
        </w:rPr>
        <w:t xml:space="preserve">Мы </w:t>
      </w:r>
      <w:r w:rsidR="00F36C5A" w:rsidRPr="005126F9">
        <w:rPr>
          <w:lang w:val="ru-RU"/>
        </w:rPr>
        <w:t>полаг</w:t>
      </w:r>
      <w:r w:rsidR="00C660C3" w:rsidRPr="005126F9">
        <w:rPr>
          <w:lang w:val="ru-RU"/>
        </w:rPr>
        <w:t xml:space="preserve">аем, что период 2024–2027 годов чрезвычайно важен для </w:t>
      </w:r>
      <w:r w:rsidR="00F36C5A" w:rsidRPr="005126F9">
        <w:rPr>
          <w:lang w:val="ru-RU"/>
        </w:rPr>
        <w:t>выполнения, анализа и принятия последующих мер по различным повесткам дня ООН, поэтому мы считаем соответствующую адаптацию Стратегического плана своевременной и значимой</w:t>
      </w:r>
      <w:r w:rsidR="00B109FC" w:rsidRPr="005126F9">
        <w:rPr>
          <w:lang w:val="ru-RU"/>
        </w:rPr>
        <w:t>.</w:t>
      </w:r>
      <w:bookmarkEnd w:id="4"/>
      <w:r w:rsidR="00B109FC" w:rsidRPr="005126F9">
        <w:rPr>
          <w:lang w:val="ru-RU"/>
        </w:rPr>
        <w:t xml:space="preserve"> </w:t>
      </w:r>
    </w:p>
    <w:p w14:paraId="6DC4B0D2" w14:textId="5E989BD5" w:rsidR="00B109FC" w:rsidRPr="005126F9" w:rsidRDefault="00977215" w:rsidP="00977215">
      <w:pPr>
        <w:pStyle w:val="Heading1"/>
        <w:rPr>
          <w:lang w:val="ru-RU"/>
        </w:rPr>
      </w:pPr>
      <w:bookmarkStart w:id="5" w:name="lt_pId017"/>
      <w:bookmarkStart w:id="6" w:name="_Hlk90019171"/>
      <w:r w:rsidRPr="005126F9">
        <w:rPr>
          <w:lang w:val="ru-RU"/>
        </w:rPr>
        <w:t>2</w:t>
      </w:r>
      <w:r w:rsidRPr="005126F9">
        <w:rPr>
          <w:lang w:val="ru-RU"/>
        </w:rPr>
        <w:tab/>
      </w:r>
      <w:r w:rsidR="00867294" w:rsidRPr="005126F9">
        <w:rPr>
          <w:lang w:val="ru-RU"/>
        </w:rPr>
        <w:t>Замечания по разделу </w:t>
      </w:r>
      <w:r w:rsidR="00B109FC" w:rsidRPr="005126F9">
        <w:rPr>
          <w:lang w:val="ru-RU"/>
        </w:rPr>
        <w:t>2.5</w:t>
      </w:r>
      <w:r w:rsidR="00867294" w:rsidRPr="005126F9">
        <w:rPr>
          <w:lang w:val="ru-RU"/>
        </w:rPr>
        <w:t xml:space="preserve"> вклада Секретариата для Приложения </w:t>
      </w:r>
      <w:r w:rsidR="00B109FC" w:rsidRPr="005126F9">
        <w:rPr>
          <w:lang w:val="ru-RU"/>
        </w:rPr>
        <w:t xml:space="preserve">1 </w:t>
      </w:r>
      <w:r w:rsidR="00867294" w:rsidRPr="005126F9">
        <w:rPr>
          <w:lang w:val="ru-RU"/>
        </w:rPr>
        <w:t>к</w:t>
      </w:r>
      <w:r w:rsidR="00222600">
        <w:t> </w:t>
      </w:r>
      <w:r w:rsidR="00867294" w:rsidRPr="005126F9">
        <w:rPr>
          <w:lang w:val="ru-RU"/>
        </w:rPr>
        <w:t>Резолюции </w:t>
      </w:r>
      <w:r w:rsidR="00B109FC" w:rsidRPr="005126F9">
        <w:rPr>
          <w:lang w:val="ru-RU"/>
        </w:rPr>
        <w:t xml:space="preserve">71 </w:t>
      </w:r>
      <w:r w:rsidR="00867294" w:rsidRPr="005126F9">
        <w:rPr>
          <w:lang w:val="ru-RU"/>
        </w:rPr>
        <w:t>проекта Стратегического плана МСЭ на</w:t>
      </w:r>
      <w:r w:rsidR="00B109FC" w:rsidRPr="005126F9">
        <w:rPr>
          <w:lang w:val="ru-RU"/>
        </w:rPr>
        <w:t xml:space="preserve"> 2024</w:t>
      </w:r>
      <w:r w:rsidR="00867294" w:rsidRPr="005126F9">
        <w:rPr>
          <w:lang w:val="ru-RU"/>
        </w:rPr>
        <w:t>–</w:t>
      </w:r>
      <w:r w:rsidR="00B109FC" w:rsidRPr="005126F9">
        <w:rPr>
          <w:lang w:val="ru-RU"/>
        </w:rPr>
        <w:t>2027</w:t>
      </w:r>
      <w:bookmarkEnd w:id="5"/>
      <w:bookmarkEnd w:id="6"/>
      <w:r w:rsidR="00867294" w:rsidRPr="005126F9">
        <w:rPr>
          <w:lang w:val="ru-RU"/>
        </w:rPr>
        <w:t> годы</w:t>
      </w:r>
    </w:p>
    <w:p w14:paraId="2DC04DAB" w14:textId="0F683EB8" w:rsidR="00B109FC" w:rsidRPr="005126F9" w:rsidRDefault="00977215" w:rsidP="00977215">
      <w:pPr>
        <w:pStyle w:val="Heading2"/>
        <w:rPr>
          <w:lang w:val="ru-RU"/>
        </w:rPr>
      </w:pPr>
      <w:bookmarkStart w:id="7" w:name="lt_pId018"/>
      <w:r w:rsidRPr="005126F9">
        <w:rPr>
          <w:lang w:val="ru-RU"/>
        </w:rPr>
        <w:t>2.1</w:t>
      </w:r>
      <w:r w:rsidRPr="005126F9">
        <w:rPr>
          <w:lang w:val="ru-RU"/>
        </w:rPr>
        <w:tab/>
      </w:r>
      <w:r w:rsidR="00527549" w:rsidRPr="005126F9">
        <w:rPr>
          <w:lang w:val="ru-RU"/>
        </w:rPr>
        <w:t>Общие наблюдения</w:t>
      </w:r>
      <w:bookmarkEnd w:id="7"/>
    </w:p>
    <w:p w14:paraId="457069D2" w14:textId="487E6A6F" w:rsidR="00B109FC" w:rsidRPr="005126F9" w:rsidRDefault="00977215" w:rsidP="00977215">
      <w:pPr>
        <w:pStyle w:val="enumlev1"/>
        <w:rPr>
          <w:rFonts w:cs="Calibri"/>
          <w:lang w:val="ru-RU"/>
        </w:rPr>
      </w:pPr>
      <w:bookmarkStart w:id="8" w:name="lt_pId019"/>
      <w:r w:rsidRPr="005126F9">
        <w:rPr>
          <w:lang w:val="ru-RU"/>
        </w:rPr>
        <w:t>•</w:t>
      </w:r>
      <w:r w:rsidRPr="005126F9">
        <w:rPr>
          <w:lang w:val="ru-RU"/>
        </w:rPr>
        <w:tab/>
      </w:r>
      <w:r w:rsidR="00527549" w:rsidRPr="005126F9">
        <w:rPr>
          <w:lang w:val="ru-RU"/>
        </w:rPr>
        <w:t xml:space="preserve">МСЭ играет одну из ведущих ролей в процессе ВВУИО, где он в качестве основной содействующей организации координирует выполнение Женевского плана действий силами многих заинтересованных сторон. </w:t>
      </w:r>
      <w:bookmarkStart w:id="9" w:name="lt_pId020"/>
      <w:bookmarkEnd w:id="8"/>
      <w:r w:rsidR="00527549" w:rsidRPr="005126F9">
        <w:rPr>
          <w:lang w:val="ru-RU"/>
        </w:rPr>
        <w:t>Заслуживает упоминания то, что МСЭ является единственной содействующей организацией по трем различным Направлениям деятельности ВВУИО: C2 (Информационная и коммуникационная инфраструктура), C5 (Укрепление доверия и безопасности при использовании ИКТ) и C6 (Благоприятная среда)</w:t>
      </w:r>
      <w:bookmarkEnd w:id="9"/>
      <w:r w:rsidR="00527549" w:rsidRPr="005126F9">
        <w:rPr>
          <w:rFonts w:cs="Calibri"/>
          <w:lang w:val="ru-RU"/>
        </w:rPr>
        <w:t>.</w:t>
      </w:r>
    </w:p>
    <w:p w14:paraId="049868D2" w14:textId="640B9F14" w:rsidR="00B109FC" w:rsidRPr="005126F9" w:rsidRDefault="00977215" w:rsidP="00977215">
      <w:pPr>
        <w:pStyle w:val="enumlev1"/>
        <w:rPr>
          <w:rFonts w:cs="Calibri"/>
          <w:lang w:val="ru-RU"/>
        </w:rPr>
      </w:pPr>
      <w:bookmarkStart w:id="10" w:name="lt_pId021"/>
      <w:r w:rsidRPr="005126F9">
        <w:rPr>
          <w:lang w:val="ru-RU"/>
        </w:rPr>
        <w:t>•</w:t>
      </w:r>
      <w:r w:rsidRPr="005126F9">
        <w:rPr>
          <w:lang w:val="ru-RU"/>
        </w:rPr>
        <w:tab/>
      </w:r>
      <w:r w:rsidR="0087459D" w:rsidRPr="005126F9">
        <w:rPr>
          <w:rFonts w:cs="Calibri"/>
          <w:lang w:val="ru-RU"/>
        </w:rPr>
        <w:t xml:space="preserve">В проекте Стратегического плана на </w:t>
      </w:r>
      <w:r w:rsidR="00B109FC" w:rsidRPr="005126F9">
        <w:rPr>
          <w:rFonts w:cs="Calibri"/>
          <w:lang w:val="ru-RU"/>
        </w:rPr>
        <w:t>2024</w:t>
      </w:r>
      <w:r w:rsidR="0087459D" w:rsidRPr="005126F9">
        <w:rPr>
          <w:rFonts w:cs="Calibri"/>
          <w:lang w:val="ru-RU"/>
        </w:rPr>
        <w:t>–</w:t>
      </w:r>
      <w:r w:rsidR="00B109FC" w:rsidRPr="005126F9">
        <w:rPr>
          <w:rFonts w:cs="Calibri"/>
          <w:lang w:val="ru-RU"/>
        </w:rPr>
        <w:t>2027</w:t>
      </w:r>
      <w:r w:rsidR="0087459D" w:rsidRPr="005126F9">
        <w:rPr>
          <w:rFonts w:cs="Calibri"/>
          <w:lang w:val="ru-RU"/>
        </w:rPr>
        <w:t xml:space="preserve"> годы, представленном в </w:t>
      </w:r>
      <w:r w:rsidR="00643ADC">
        <w:fldChar w:fldCharType="begin"/>
      </w:r>
      <w:r w:rsidR="00643ADC" w:rsidRPr="00643ADC">
        <w:rPr>
          <w:lang w:val="ru-RU"/>
        </w:rPr>
        <w:instrText xml:space="preserve"> </w:instrText>
      </w:r>
      <w:r w:rsidR="00643ADC">
        <w:instrText>HYPERLINK</w:instrText>
      </w:r>
      <w:r w:rsidR="00643ADC" w:rsidRPr="00643ADC">
        <w:rPr>
          <w:lang w:val="ru-RU"/>
        </w:rPr>
        <w:instrText xml:space="preserve"> "</w:instrText>
      </w:r>
      <w:r w:rsidR="00643ADC">
        <w:instrText>https</w:instrText>
      </w:r>
      <w:r w:rsidR="00643ADC" w:rsidRPr="00643ADC">
        <w:rPr>
          <w:lang w:val="ru-RU"/>
        </w:rPr>
        <w:instrText>://</w:instrText>
      </w:r>
      <w:r w:rsidR="00643ADC">
        <w:instrText>www</w:instrText>
      </w:r>
      <w:r w:rsidR="00643ADC" w:rsidRPr="00643ADC">
        <w:rPr>
          <w:lang w:val="ru-RU"/>
        </w:rPr>
        <w:instrText>.</w:instrText>
      </w:r>
      <w:r w:rsidR="00643ADC">
        <w:instrText>itu</w:instrText>
      </w:r>
      <w:r w:rsidR="00643ADC" w:rsidRPr="00643ADC">
        <w:rPr>
          <w:lang w:val="ru-RU"/>
        </w:rPr>
        <w:instrText>.</w:instrText>
      </w:r>
      <w:r w:rsidR="00643ADC">
        <w:instrText>int</w:instrText>
      </w:r>
      <w:r w:rsidR="00643ADC" w:rsidRPr="00643ADC">
        <w:rPr>
          <w:lang w:val="ru-RU"/>
        </w:rPr>
        <w:instrText>/</w:instrText>
      </w:r>
      <w:r w:rsidR="00643ADC">
        <w:instrText>md</w:instrText>
      </w:r>
      <w:r w:rsidR="00643ADC" w:rsidRPr="00643ADC">
        <w:rPr>
          <w:lang w:val="ru-RU"/>
        </w:rPr>
        <w:instrText>/</w:instrText>
      </w:r>
      <w:r w:rsidR="00643ADC">
        <w:instrText>S</w:instrText>
      </w:r>
      <w:r w:rsidR="00643ADC" w:rsidRPr="00643ADC">
        <w:rPr>
          <w:lang w:val="ru-RU"/>
        </w:rPr>
        <w:instrText>22-</w:instrText>
      </w:r>
      <w:r w:rsidR="00643ADC">
        <w:instrText>CWGSFP</w:instrText>
      </w:r>
      <w:r w:rsidR="00643ADC" w:rsidRPr="00643ADC">
        <w:rPr>
          <w:lang w:val="ru-RU"/>
        </w:rPr>
        <w:instrText>3-</w:instrText>
      </w:r>
      <w:r w:rsidR="00643ADC">
        <w:instrText>C</w:instrText>
      </w:r>
      <w:r w:rsidR="00643ADC" w:rsidRPr="00643ADC">
        <w:rPr>
          <w:lang w:val="ru-RU"/>
        </w:rPr>
        <w:instrText>-0004/</w:instrText>
      </w:r>
      <w:r w:rsidR="00643ADC">
        <w:instrText>en</w:instrText>
      </w:r>
      <w:r w:rsidR="00643ADC" w:rsidRPr="00643ADC">
        <w:rPr>
          <w:lang w:val="ru-RU"/>
        </w:rPr>
        <w:instrText xml:space="preserve">" </w:instrText>
      </w:r>
      <w:r w:rsidR="00643ADC">
        <w:fldChar w:fldCharType="separate"/>
      </w:r>
      <w:r w:rsidR="0087459D" w:rsidRPr="005126F9">
        <w:rPr>
          <w:rStyle w:val="Hyperlink"/>
          <w:rFonts w:cstheme="minorHAnsi"/>
          <w:bCs/>
          <w:spacing w:val="-4"/>
          <w:lang w:val="ru-RU"/>
        </w:rPr>
        <w:t>Документе </w:t>
      </w:r>
      <w:r w:rsidR="00B109FC" w:rsidRPr="005126F9">
        <w:rPr>
          <w:rStyle w:val="Hyperlink"/>
          <w:rFonts w:cstheme="minorHAnsi"/>
          <w:bCs/>
          <w:spacing w:val="-4"/>
          <w:lang w:val="ru-RU"/>
        </w:rPr>
        <w:t>CWG</w:t>
      </w:r>
      <w:r w:rsidR="0087459D" w:rsidRPr="005126F9">
        <w:rPr>
          <w:rStyle w:val="Hyperlink"/>
          <w:rFonts w:cstheme="minorHAnsi"/>
          <w:bCs/>
          <w:spacing w:val="-4"/>
          <w:lang w:val="ru-RU"/>
        </w:rPr>
        <w:noBreakHyphen/>
      </w:r>
      <w:r w:rsidR="00B109FC" w:rsidRPr="005126F9">
        <w:rPr>
          <w:rStyle w:val="Hyperlink"/>
          <w:rFonts w:cstheme="minorHAnsi"/>
          <w:bCs/>
          <w:spacing w:val="-4"/>
          <w:lang w:val="ru-RU"/>
        </w:rPr>
        <w:t>SFP</w:t>
      </w:r>
      <w:r w:rsidR="005126F9">
        <w:rPr>
          <w:rStyle w:val="Hyperlink"/>
          <w:rFonts w:cstheme="minorHAnsi"/>
          <w:bCs/>
          <w:spacing w:val="-4"/>
          <w:lang w:val="ru-RU"/>
        </w:rPr>
        <w:noBreakHyphen/>
      </w:r>
      <w:r w:rsidR="00B109FC" w:rsidRPr="005126F9">
        <w:rPr>
          <w:rStyle w:val="Hyperlink"/>
          <w:rFonts w:cstheme="minorHAnsi"/>
          <w:bCs/>
          <w:spacing w:val="-4"/>
          <w:lang w:val="ru-RU"/>
        </w:rPr>
        <w:t>3/4</w:t>
      </w:r>
      <w:r w:rsidR="00643ADC">
        <w:rPr>
          <w:rStyle w:val="Hyperlink"/>
          <w:rFonts w:cstheme="minorHAnsi"/>
          <w:bCs/>
          <w:spacing w:val="-4"/>
          <w:lang w:val="ru-RU"/>
        </w:rPr>
        <w:fldChar w:fldCharType="end"/>
      </w:r>
      <w:r w:rsidR="0087459D" w:rsidRPr="005126F9">
        <w:rPr>
          <w:rFonts w:cstheme="minorHAnsi"/>
          <w:bCs/>
          <w:spacing w:val="-4"/>
          <w:lang w:val="ru-RU"/>
        </w:rPr>
        <w:t>, показаны две стратегические цели с соответствующими целевыми показателями, а также шесть тематических приоритетов с относящимися к ним конечными результатами</w:t>
      </w:r>
      <w:r w:rsidR="00B109FC" w:rsidRPr="005126F9">
        <w:rPr>
          <w:rFonts w:cs="Calibri"/>
          <w:lang w:val="ru-RU"/>
        </w:rPr>
        <w:t>.</w:t>
      </w:r>
      <w:bookmarkEnd w:id="10"/>
      <w:r w:rsidR="00B109FC" w:rsidRPr="005126F9">
        <w:rPr>
          <w:rFonts w:cs="Calibri"/>
          <w:lang w:val="ru-RU"/>
        </w:rPr>
        <w:t xml:space="preserve"> </w:t>
      </w:r>
      <w:bookmarkStart w:id="11" w:name="lt_pId022"/>
      <w:r w:rsidR="00B14E73" w:rsidRPr="005126F9">
        <w:rPr>
          <w:rFonts w:cs="Calibri"/>
          <w:lang w:val="ru-RU"/>
        </w:rPr>
        <w:t xml:space="preserve">Вместе с тем в проекте Стратегического плана не проводится четкого сопоставления/увязки между конечными результатами и целевыми показателями, с одной стороны, и соответствующими Направлениями деятельности </w:t>
      </w:r>
      <w:r w:rsidR="005E00AE" w:rsidRPr="005126F9">
        <w:rPr>
          <w:rFonts w:cs="Calibri"/>
          <w:lang w:val="ru-RU"/>
        </w:rPr>
        <w:t>В</w:t>
      </w:r>
      <w:r w:rsidR="00B14E73" w:rsidRPr="005126F9">
        <w:rPr>
          <w:rFonts w:cs="Calibri"/>
          <w:lang w:val="ru-RU"/>
        </w:rPr>
        <w:t>ВУИО – с другой</w:t>
      </w:r>
      <w:r w:rsidR="00B109FC" w:rsidRPr="005126F9">
        <w:rPr>
          <w:rFonts w:cs="Calibri"/>
          <w:lang w:val="ru-RU"/>
        </w:rPr>
        <w:t>.</w:t>
      </w:r>
      <w:bookmarkEnd w:id="11"/>
      <w:r w:rsidR="00B109FC" w:rsidRPr="005126F9">
        <w:rPr>
          <w:rFonts w:cs="Calibri"/>
          <w:lang w:val="ru-RU"/>
        </w:rPr>
        <w:t xml:space="preserve"> </w:t>
      </w:r>
      <w:bookmarkStart w:id="12" w:name="lt_pId023"/>
      <w:r w:rsidR="00B14E73" w:rsidRPr="005126F9">
        <w:rPr>
          <w:rFonts w:cs="Calibri"/>
          <w:lang w:val="ru-RU"/>
        </w:rPr>
        <w:t xml:space="preserve">Ввиду этого чрезвычайно сложно без такого сопоставления решить вопрос об охвате проекта Стратегического плана на </w:t>
      </w:r>
      <w:r w:rsidR="00B109FC" w:rsidRPr="005126F9">
        <w:rPr>
          <w:rFonts w:cs="Calibri"/>
          <w:lang w:val="ru-RU"/>
        </w:rPr>
        <w:t>2024</w:t>
      </w:r>
      <w:r w:rsidR="00B14E73" w:rsidRPr="005126F9">
        <w:rPr>
          <w:rFonts w:cs="Calibri"/>
          <w:lang w:val="ru-RU"/>
        </w:rPr>
        <w:t>–</w:t>
      </w:r>
      <w:r w:rsidR="00B109FC" w:rsidRPr="005126F9">
        <w:rPr>
          <w:rFonts w:cs="Calibri"/>
          <w:lang w:val="ru-RU"/>
        </w:rPr>
        <w:t>2027</w:t>
      </w:r>
      <w:r w:rsidR="00B14E73" w:rsidRPr="005126F9">
        <w:rPr>
          <w:rFonts w:cs="Calibri"/>
          <w:lang w:val="ru-RU"/>
        </w:rPr>
        <w:t xml:space="preserve"> годы </w:t>
      </w:r>
      <w:r w:rsidR="00380112" w:rsidRPr="005126F9">
        <w:rPr>
          <w:rFonts w:cs="Calibri"/>
          <w:lang w:val="ru-RU"/>
        </w:rPr>
        <w:t xml:space="preserve">и </w:t>
      </w:r>
      <w:r w:rsidR="005E00AE" w:rsidRPr="005126F9">
        <w:rPr>
          <w:rFonts w:cs="Calibri"/>
          <w:lang w:val="ru-RU"/>
        </w:rPr>
        <w:t xml:space="preserve">о том, </w:t>
      </w:r>
      <w:r w:rsidR="00380112" w:rsidRPr="005126F9">
        <w:rPr>
          <w:rFonts w:cs="Calibri"/>
          <w:lang w:val="ru-RU"/>
        </w:rPr>
        <w:t>включены ли в него сферы ответственности МСЭ</w:t>
      </w:r>
      <w:r w:rsidR="00B109FC" w:rsidRPr="005126F9">
        <w:rPr>
          <w:rFonts w:cs="Calibri"/>
          <w:lang w:val="ru-RU"/>
        </w:rPr>
        <w:t>.</w:t>
      </w:r>
      <w:bookmarkEnd w:id="12"/>
    </w:p>
    <w:p w14:paraId="65F9F75C" w14:textId="0ECAAD0E" w:rsidR="00B109FC" w:rsidRPr="005126F9" w:rsidRDefault="00977215" w:rsidP="00977215">
      <w:pPr>
        <w:pStyle w:val="enumlev1"/>
        <w:rPr>
          <w:rFonts w:cs="Calibri"/>
          <w:lang w:val="ru-RU"/>
        </w:rPr>
      </w:pPr>
      <w:bookmarkStart w:id="13" w:name="lt_pId024"/>
      <w:r w:rsidRPr="005126F9">
        <w:rPr>
          <w:lang w:val="ru-RU"/>
        </w:rPr>
        <w:lastRenderedPageBreak/>
        <w:t>•</w:t>
      </w:r>
      <w:r w:rsidRPr="005126F9">
        <w:rPr>
          <w:lang w:val="ru-RU"/>
        </w:rPr>
        <w:tab/>
      </w:r>
      <w:r w:rsidR="00380112" w:rsidRPr="005126F9">
        <w:rPr>
          <w:rFonts w:cs="Calibri"/>
          <w:lang w:val="ru-RU"/>
        </w:rPr>
        <w:t>Также желательно согласовать и увязать все компоненты проекта Стратегического плана на 2024–2027 годы (т. е. продукты и услуги, тематические приоритеты и т. д</w:t>
      </w:r>
      <w:r w:rsidR="005247DA">
        <w:rPr>
          <w:rFonts w:cs="Calibri"/>
          <w:lang w:val="ru-RU"/>
        </w:rPr>
        <w:t>.</w:t>
      </w:r>
      <w:r w:rsidR="00B109FC" w:rsidRPr="005126F9">
        <w:rPr>
          <w:lang w:val="ru-RU"/>
        </w:rPr>
        <w:t>)</w:t>
      </w:r>
      <w:r w:rsidR="00B109FC" w:rsidRPr="005126F9">
        <w:rPr>
          <w:rFonts w:cs="Calibri"/>
          <w:lang w:val="ru-RU"/>
        </w:rPr>
        <w:t>.</w:t>
      </w:r>
      <w:bookmarkEnd w:id="13"/>
    </w:p>
    <w:p w14:paraId="419371AB" w14:textId="089E1367" w:rsidR="00B109FC" w:rsidRPr="005126F9" w:rsidRDefault="00977215" w:rsidP="00977215">
      <w:pPr>
        <w:pStyle w:val="enumlev1"/>
        <w:rPr>
          <w:rFonts w:cs="Calibri"/>
          <w:lang w:val="ru-RU"/>
        </w:rPr>
      </w:pPr>
      <w:bookmarkStart w:id="14" w:name="lt_pId025"/>
      <w:r w:rsidRPr="005126F9">
        <w:rPr>
          <w:lang w:val="ru-RU"/>
        </w:rPr>
        <w:t>•</w:t>
      </w:r>
      <w:r w:rsidRPr="005126F9">
        <w:rPr>
          <w:lang w:val="ru-RU"/>
        </w:rPr>
        <w:tab/>
      </w:r>
      <w:r w:rsidR="00E0653A" w:rsidRPr="005126F9">
        <w:rPr>
          <w:rFonts w:cs="Calibri"/>
          <w:lang w:val="ru-RU"/>
        </w:rPr>
        <w:t>Большинство предлагаемых целевых показателей в проект</w:t>
      </w:r>
      <w:r w:rsidR="005E00AE" w:rsidRPr="005126F9">
        <w:rPr>
          <w:rFonts w:cs="Calibri"/>
          <w:lang w:val="ru-RU"/>
        </w:rPr>
        <w:t>е</w:t>
      </w:r>
      <w:r w:rsidR="00E0653A" w:rsidRPr="005126F9">
        <w:rPr>
          <w:rFonts w:cs="Calibri"/>
          <w:lang w:val="ru-RU"/>
        </w:rPr>
        <w:t xml:space="preserve"> Стратегического плана относятся к возможности установления соединений и расширению покрытия широкополосной связью</w:t>
      </w:r>
      <w:r w:rsidR="0068193A" w:rsidRPr="005126F9">
        <w:rPr>
          <w:rFonts w:cs="Calibri"/>
          <w:lang w:val="ru-RU"/>
        </w:rPr>
        <w:t xml:space="preserve">, </w:t>
      </w:r>
      <w:proofErr w:type="gramStart"/>
      <w:r w:rsidR="0068193A" w:rsidRPr="005126F9">
        <w:rPr>
          <w:rFonts w:cs="Calibri"/>
          <w:lang w:val="ru-RU"/>
        </w:rPr>
        <w:t>притом</w:t>
      </w:r>
      <w:proofErr w:type="gramEnd"/>
      <w:r w:rsidR="0068193A" w:rsidRPr="005126F9">
        <w:rPr>
          <w:rFonts w:cs="Calibri"/>
          <w:lang w:val="ru-RU"/>
        </w:rPr>
        <w:t xml:space="preserve"> что не упоминаются другие важные целевые показатели, </w:t>
      </w:r>
      <w:r w:rsidR="005E00AE" w:rsidRPr="005126F9">
        <w:rPr>
          <w:rFonts w:cs="Calibri"/>
          <w:lang w:val="ru-RU"/>
        </w:rPr>
        <w:t xml:space="preserve">например, </w:t>
      </w:r>
      <w:r w:rsidR="0068193A" w:rsidRPr="005126F9">
        <w:rPr>
          <w:rFonts w:cs="Calibri"/>
          <w:lang w:val="ru-RU"/>
        </w:rPr>
        <w:t>связанные с укреплением доверия и безопасности</w:t>
      </w:r>
      <w:r w:rsidR="00B109FC" w:rsidRPr="005126F9">
        <w:rPr>
          <w:rFonts w:cs="Calibri"/>
          <w:lang w:val="ru-RU"/>
        </w:rPr>
        <w:t>.</w:t>
      </w:r>
      <w:bookmarkEnd w:id="14"/>
      <w:r w:rsidR="00B109FC" w:rsidRPr="005126F9">
        <w:rPr>
          <w:rFonts w:cs="Calibri"/>
          <w:lang w:val="ru-RU"/>
        </w:rPr>
        <w:t xml:space="preserve"> </w:t>
      </w:r>
    </w:p>
    <w:p w14:paraId="507C8084" w14:textId="335AFD9B" w:rsidR="00B109FC" w:rsidRPr="005126F9" w:rsidRDefault="00977215" w:rsidP="00977215">
      <w:pPr>
        <w:pStyle w:val="enumlev1"/>
        <w:rPr>
          <w:lang w:val="ru-RU"/>
        </w:rPr>
      </w:pPr>
      <w:bookmarkStart w:id="15" w:name="lt_pId026"/>
      <w:r w:rsidRPr="005126F9">
        <w:rPr>
          <w:lang w:val="ru-RU"/>
        </w:rPr>
        <w:t>•</w:t>
      </w:r>
      <w:r w:rsidRPr="005126F9">
        <w:rPr>
          <w:lang w:val="ru-RU"/>
        </w:rPr>
        <w:tab/>
      </w:r>
      <w:r w:rsidR="00295774" w:rsidRPr="005126F9">
        <w:rPr>
          <w:rFonts w:cs="Calibri"/>
          <w:lang w:val="ru-RU"/>
        </w:rPr>
        <w:t>Проект Стратегического плана должен получить пользу от проекта Приложения 2 к Резолюции 71: Ситуационный анализ</w:t>
      </w:r>
      <w:r w:rsidR="00B109FC" w:rsidRPr="005126F9">
        <w:rPr>
          <w:lang w:val="ru-RU"/>
        </w:rPr>
        <w:t xml:space="preserve"> (</w:t>
      </w:r>
      <w:hyperlink r:id="rId9" w:history="1">
        <w:r w:rsidR="00295774" w:rsidRPr="005126F9">
          <w:rPr>
            <w:rStyle w:val="Hyperlink"/>
            <w:lang w:val="ru-RU"/>
          </w:rPr>
          <w:t>Документ</w:t>
        </w:r>
        <w:r w:rsidR="00B109FC" w:rsidRPr="005126F9">
          <w:rPr>
            <w:rStyle w:val="Hyperlink"/>
            <w:lang w:val="ru-RU"/>
          </w:rPr>
          <w:t xml:space="preserve"> CWG-SFP-3/5</w:t>
        </w:r>
      </w:hyperlink>
      <w:r w:rsidR="00B109FC" w:rsidRPr="005126F9">
        <w:rPr>
          <w:lang w:val="ru-RU"/>
        </w:rPr>
        <w:t>)</w:t>
      </w:r>
      <w:r w:rsidR="0084450A" w:rsidRPr="005126F9">
        <w:rPr>
          <w:lang w:val="ru-RU"/>
        </w:rPr>
        <w:t>, где используются сильные стороны и возможности и смягчаются последствия слабых сторон и угроз</w:t>
      </w:r>
      <w:r w:rsidR="00B109FC" w:rsidRPr="005126F9">
        <w:rPr>
          <w:lang w:val="ru-RU"/>
        </w:rPr>
        <w:t>.</w:t>
      </w:r>
      <w:bookmarkEnd w:id="15"/>
      <w:r w:rsidR="00B109FC" w:rsidRPr="005126F9">
        <w:rPr>
          <w:lang w:val="ru-RU"/>
        </w:rPr>
        <w:t xml:space="preserve"> </w:t>
      </w:r>
    </w:p>
    <w:p w14:paraId="535B2829" w14:textId="44BFFD13" w:rsidR="00B109FC" w:rsidRPr="005126F9" w:rsidRDefault="00977215" w:rsidP="00977215">
      <w:pPr>
        <w:pStyle w:val="enumlev1"/>
        <w:rPr>
          <w:lang w:val="ru-RU"/>
        </w:rPr>
      </w:pPr>
      <w:bookmarkStart w:id="16" w:name="lt_pId027"/>
      <w:r w:rsidRPr="005126F9">
        <w:rPr>
          <w:lang w:val="ru-RU"/>
        </w:rPr>
        <w:t>•</w:t>
      </w:r>
      <w:r w:rsidRPr="005126F9">
        <w:rPr>
          <w:lang w:val="ru-RU"/>
        </w:rPr>
        <w:tab/>
      </w:r>
      <w:r w:rsidR="00C661D3" w:rsidRPr="005126F9">
        <w:rPr>
          <w:rFonts w:cs="Calibri"/>
          <w:lang w:val="ru-RU"/>
        </w:rPr>
        <w:t>Также важно включить в проект, наряду с упоминаниями ВВУИО и ЦУР, ссылки на другие повестки дня ООН, такие как "Цифровое сотрудничество" ООН и "Наша общая повестка дня" ООН</w:t>
      </w:r>
      <w:r w:rsidR="00B109FC" w:rsidRPr="005126F9">
        <w:rPr>
          <w:rFonts w:cs="Calibri"/>
          <w:lang w:val="ru-RU"/>
        </w:rPr>
        <w:t>.</w:t>
      </w:r>
      <w:bookmarkEnd w:id="16"/>
      <w:r w:rsidR="00B109FC" w:rsidRPr="005126F9">
        <w:rPr>
          <w:rFonts w:cs="Calibri"/>
          <w:lang w:val="ru-RU"/>
        </w:rPr>
        <w:t xml:space="preserve"> </w:t>
      </w:r>
    </w:p>
    <w:p w14:paraId="6B208F6C" w14:textId="31EAE0CE" w:rsidR="00B109FC" w:rsidRPr="005126F9" w:rsidRDefault="00977215" w:rsidP="00977215">
      <w:pPr>
        <w:pStyle w:val="Heading2"/>
        <w:rPr>
          <w:lang w:val="ru-RU"/>
        </w:rPr>
      </w:pPr>
      <w:bookmarkStart w:id="17" w:name="lt_pId028"/>
      <w:r w:rsidRPr="005126F9">
        <w:rPr>
          <w:lang w:val="ru-RU"/>
        </w:rPr>
        <w:t>2.2</w:t>
      </w:r>
      <w:r w:rsidRPr="005126F9">
        <w:rPr>
          <w:lang w:val="ru-RU"/>
        </w:rPr>
        <w:tab/>
      </w:r>
      <w:r w:rsidR="005E2B72" w:rsidRPr="005126F9">
        <w:rPr>
          <w:lang w:val="ru-RU"/>
        </w:rPr>
        <w:t>Предлагаемые улучшения</w:t>
      </w:r>
      <w:bookmarkEnd w:id="17"/>
    </w:p>
    <w:p w14:paraId="5B2B1CF7" w14:textId="38481E18" w:rsidR="00B109FC" w:rsidRPr="005126F9" w:rsidRDefault="005E2B72" w:rsidP="00977215">
      <w:pPr>
        <w:rPr>
          <w:lang w:val="ru-RU"/>
        </w:rPr>
      </w:pPr>
      <w:bookmarkStart w:id="18" w:name="lt_pId029"/>
      <w:r w:rsidRPr="005126F9">
        <w:rPr>
          <w:lang w:val="ru-RU"/>
        </w:rPr>
        <w:t xml:space="preserve">Мы предлагаем далее </w:t>
      </w:r>
      <w:r w:rsidRPr="005126F9">
        <w:rPr>
          <w:b/>
          <w:bCs/>
          <w:lang w:val="ru-RU"/>
        </w:rPr>
        <w:t xml:space="preserve">улучшить </w:t>
      </w:r>
      <w:r w:rsidRPr="005126F9">
        <w:rPr>
          <w:lang w:val="ru-RU"/>
        </w:rPr>
        <w:t xml:space="preserve">предлагаемые целевые показатели для Цели 1: Универсальная возможность установления соединений </w:t>
      </w:r>
      <w:r w:rsidR="00B109FC" w:rsidRPr="005126F9">
        <w:rPr>
          <w:lang w:val="ru-RU"/>
        </w:rPr>
        <w:t xml:space="preserve">– </w:t>
      </w:r>
      <w:r w:rsidRPr="005126F9">
        <w:rPr>
          <w:lang w:val="ru-RU"/>
        </w:rPr>
        <w:t>к</w:t>
      </w:r>
      <w:r w:rsidR="00B109FC" w:rsidRPr="005126F9">
        <w:rPr>
          <w:lang w:val="ru-RU"/>
        </w:rPr>
        <w:t xml:space="preserve"> 2030</w:t>
      </w:r>
      <w:r w:rsidRPr="005126F9">
        <w:rPr>
          <w:lang w:val="ru-RU"/>
        </w:rPr>
        <w:t> году</w:t>
      </w:r>
      <w:r w:rsidR="00B109FC" w:rsidRPr="005126F9">
        <w:rPr>
          <w:lang w:val="ru-RU"/>
        </w:rPr>
        <w:t xml:space="preserve">, </w:t>
      </w:r>
      <w:r w:rsidR="00553CA2" w:rsidRPr="005126F9">
        <w:rPr>
          <w:lang w:val="ru-RU"/>
        </w:rPr>
        <w:t>и далее улучшить предлагаемые целевые показатели для Цели 2: Устойчивая цифровая трансформация – к 2030 году</w:t>
      </w:r>
      <w:r w:rsidR="00B109FC" w:rsidRPr="005126F9">
        <w:rPr>
          <w:lang w:val="ru-RU"/>
        </w:rPr>
        <w:t>.</w:t>
      </w:r>
      <w:bookmarkEnd w:id="18"/>
      <w:r w:rsidR="00B109FC" w:rsidRPr="005126F9">
        <w:rPr>
          <w:lang w:val="ru-RU"/>
        </w:rPr>
        <w:t xml:space="preserve"> </w:t>
      </w:r>
      <w:bookmarkStart w:id="19" w:name="lt_pId030"/>
      <w:r w:rsidR="004679AE" w:rsidRPr="005126F9">
        <w:rPr>
          <w:lang w:val="ru-RU"/>
        </w:rPr>
        <w:t xml:space="preserve">Также предлагается, учитывая значение целевых показателей, предлагаемых в настоящее время для </w:t>
      </w:r>
      <w:r w:rsidR="004679AE" w:rsidRPr="005126F9">
        <w:rPr>
          <w:b/>
          <w:bCs/>
          <w:lang w:val="ru-RU"/>
        </w:rPr>
        <w:t>Цели 2</w:t>
      </w:r>
      <w:r w:rsidR="004679AE" w:rsidRPr="005126F9">
        <w:rPr>
          <w:lang w:val="ru-RU"/>
        </w:rPr>
        <w:t xml:space="preserve">, включить их в число целевых показателей для </w:t>
      </w:r>
      <w:r w:rsidR="004679AE" w:rsidRPr="005126F9">
        <w:rPr>
          <w:b/>
          <w:bCs/>
          <w:lang w:val="ru-RU"/>
        </w:rPr>
        <w:t>Цели 1</w:t>
      </w:r>
      <w:r w:rsidR="00B109FC" w:rsidRPr="005126F9">
        <w:rPr>
          <w:lang w:val="ru-RU"/>
        </w:rPr>
        <w:t>.</w:t>
      </w:r>
      <w:bookmarkEnd w:id="19"/>
      <w:r w:rsidR="00B109FC" w:rsidRPr="005126F9">
        <w:rPr>
          <w:lang w:val="ru-RU"/>
        </w:rPr>
        <w:t xml:space="preserve"> </w:t>
      </w:r>
    </w:p>
    <w:p w14:paraId="20031DF4" w14:textId="42912A23" w:rsidR="00B109FC" w:rsidRPr="005126F9" w:rsidRDefault="00E553E7" w:rsidP="00977215">
      <w:pPr>
        <w:rPr>
          <w:lang w:val="ru-RU"/>
        </w:rPr>
      </w:pPr>
      <w:bookmarkStart w:id="20" w:name="lt_pId031"/>
      <w:r w:rsidRPr="005126F9">
        <w:rPr>
          <w:lang w:val="ru-RU"/>
        </w:rPr>
        <w:t>Можно предложить следующие целевые показатели</w:t>
      </w:r>
      <w:r w:rsidR="00B109FC" w:rsidRPr="005126F9">
        <w:rPr>
          <w:lang w:val="ru-RU"/>
        </w:rPr>
        <w:t>:</w:t>
      </w:r>
      <w:bookmarkEnd w:id="20"/>
    </w:p>
    <w:p w14:paraId="32A0D489" w14:textId="3F7A93BB" w:rsidR="00B109FC" w:rsidRPr="005126F9" w:rsidRDefault="00E553E7" w:rsidP="00977215">
      <w:pPr>
        <w:pStyle w:val="Headingb"/>
        <w:rPr>
          <w:lang w:val="ru-RU"/>
        </w:rPr>
      </w:pPr>
      <w:bookmarkStart w:id="21" w:name="lt_pId032"/>
      <w:r w:rsidRPr="005126F9">
        <w:rPr>
          <w:lang w:val="ru-RU"/>
        </w:rPr>
        <w:t>Цель 1: Универсальная возможность установления соединений – к 2030 году</w:t>
      </w:r>
      <w:bookmarkEnd w:id="21"/>
      <w:r w:rsidR="00B109FC" w:rsidRPr="005126F9">
        <w:rPr>
          <w:lang w:val="ru-RU"/>
        </w:rPr>
        <w:t xml:space="preserve"> </w:t>
      </w:r>
    </w:p>
    <w:p w14:paraId="5F065CC4" w14:textId="48110BC5" w:rsidR="00B109FC" w:rsidRPr="005126F9" w:rsidRDefault="00B109FC" w:rsidP="00977215">
      <w:pPr>
        <w:pStyle w:val="enumlev1"/>
        <w:rPr>
          <w:lang w:val="ru-RU"/>
        </w:rPr>
      </w:pPr>
      <w:bookmarkStart w:id="22" w:name="lt_pId033"/>
      <w:r w:rsidRPr="005126F9">
        <w:rPr>
          <w:lang w:val="ru-RU"/>
        </w:rPr>
        <w:t>1.1</w:t>
      </w:r>
      <w:r w:rsidR="00977215" w:rsidRPr="005126F9">
        <w:rPr>
          <w:lang w:val="ru-RU"/>
        </w:rPr>
        <w:tab/>
      </w:r>
      <w:r w:rsidR="00E553E7" w:rsidRPr="005126F9">
        <w:rPr>
          <w:lang w:val="ru-RU"/>
        </w:rPr>
        <w:t>Приемлемые в ценовом отношении, надежные или безопасные и способные к восстановлению услуги широкополосной связи для всех</w:t>
      </w:r>
      <w:bookmarkEnd w:id="22"/>
    </w:p>
    <w:p w14:paraId="1221B29B" w14:textId="50FD5F01" w:rsidR="00B109FC" w:rsidRPr="005126F9" w:rsidRDefault="00B109FC" w:rsidP="00977215">
      <w:pPr>
        <w:pStyle w:val="enumlev1"/>
        <w:rPr>
          <w:lang w:val="ru-RU"/>
        </w:rPr>
      </w:pPr>
      <w:bookmarkStart w:id="23" w:name="lt_pId034"/>
      <w:r w:rsidRPr="005126F9">
        <w:rPr>
          <w:lang w:val="ru-RU"/>
        </w:rPr>
        <w:t>1</w:t>
      </w:r>
      <w:r w:rsidR="00AE4844" w:rsidRPr="005126F9">
        <w:rPr>
          <w:lang w:val="ru-RU"/>
        </w:rPr>
        <w:t>.</w:t>
      </w:r>
      <w:r w:rsidRPr="005126F9">
        <w:rPr>
          <w:lang w:val="ru-RU"/>
        </w:rPr>
        <w:t>2</w:t>
      </w:r>
      <w:r w:rsidR="00977215" w:rsidRPr="005126F9">
        <w:rPr>
          <w:lang w:val="ru-RU"/>
        </w:rPr>
        <w:tab/>
      </w:r>
      <w:r w:rsidR="00AE4844" w:rsidRPr="005126F9">
        <w:rPr>
          <w:lang w:val="ru-RU"/>
        </w:rPr>
        <w:t>Возможность установления широкополосных соединений для образования и других сфер жизни</w:t>
      </w:r>
      <w:bookmarkEnd w:id="23"/>
    </w:p>
    <w:p w14:paraId="31CDB143" w14:textId="23328C6C" w:rsidR="00B109FC" w:rsidRPr="005126F9" w:rsidRDefault="00B109FC" w:rsidP="00977215">
      <w:pPr>
        <w:pStyle w:val="enumlev1"/>
        <w:rPr>
          <w:lang w:val="ru-RU"/>
        </w:rPr>
      </w:pPr>
      <w:r w:rsidRPr="005126F9">
        <w:rPr>
          <w:lang w:val="ru-RU"/>
        </w:rPr>
        <w:t>1.3</w:t>
      </w:r>
      <w:bookmarkStart w:id="24" w:name="lt_pId036"/>
      <w:r w:rsidR="00977215" w:rsidRPr="005126F9">
        <w:rPr>
          <w:lang w:val="ru-RU"/>
        </w:rPr>
        <w:tab/>
      </w:r>
      <w:r w:rsidR="00AE4844" w:rsidRPr="005126F9">
        <w:rPr>
          <w:lang w:val="ru-RU"/>
        </w:rPr>
        <w:t>Сокращение всех цифровых разрывов (в частности, между странами, по признаку пола, возраста, между городскими и сельскими районами</w:t>
      </w:r>
      <w:r w:rsidRPr="005126F9">
        <w:rPr>
          <w:lang w:val="ru-RU"/>
        </w:rPr>
        <w:t>)</w:t>
      </w:r>
      <w:bookmarkEnd w:id="24"/>
    </w:p>
    <w:p w14:paraId="3B161FB9" w14:textId="69A2554A" w:rsidR="00B109FC" w:rsidRPr="005126F9" w:rsidRDefault="00AE4844" w:rsidP="00977215">
      <w:pPr>
        <w:pStyle w:val="Headingb"/>
        <w:rPr>
          <w:lang w:val="ru-RU"/>
        </w:rPr>
      </w:pPr>
      <w:r w:rsidRPr="005126F9">
        <w:rPr>
          <w:lang w:val="ru-RU"/>
        </w:rPr>
        <w:t>Цель 2: Устойчивая цифровая трансформация – к 2030 году</w:t>
      </w:r>
    </w:p>
    <w:p w14:paraId="5ACBC184" w14:textId="11D962CD" w:rsidR="00B109FC" w:rsidRPr="005126F9" w:rsidRDefault="00B109FC" w:rsidP="00977215">
      <w:pPr>
        <w:pStyle w:val="enumlev1"/>
        <w:rPr>
          <w:lang w:val="ru-RU"/>
        </w:rPr>
      </w:pPr>
      <w:bookmarkStart w:id="25" w:name="lt_pId038"/>
      <w:r w:rsidRPr="005126F9">
        <w:rPr>
          <w:lang w:val="ru-RU"/>
        </w:rPr>
        <w:t>2.1</w:t>
      </w:r>
      <w:r w:rsidR="00977215" w:rsidRPr="005126F9">
        <w:rPr>
          <w:lang w:val="ru-RU"/>
        </w:rPr>
        <w:tab/>
      </w:r>
      <w:r w:rsidR="00F25143" w:rsidRPr="005126F9">
        <w:rPr>
          <w:lang w:val="ru-RU"/>
        </w:rPr>
        <w:t>Стратегия цифровой трансформации</w:t>
      </w:r>
      <w:bookmarkEnd w:id="25"/>
    </w:p>
    <w:p w14:paraId="55CBBF77" w14:textId="4AD21772" w:rsidR="00B109FC" w:rsidRPr="005126F9" w:rsidRDefault="00B109FC" w:rsidP="00977215">
      <w:pPr>
        <w:pStyle w:val="enumlev1"/>
        <w:rPr>
          <w:lang w:val="ru-RU"/>
        </w:rPr>
      </w:pPr>
      <w:bookmarkStart w:id="26" w:name="lt_pId039"/>
      <w:r w:rsidRPr="005126F9">
        <w:rPr>
          <w:lang w:val="ru-RU"/>
        </w:rPr>
        <w:t>2.2</w:t>
      </w:r>
      <w:bookmarkEnd w:id="26"/>
      <w:r w:rsidR="00977215" w:rsidRPr="005126F9">
        <w:rPr>
          <w:lang w:val="ru-RU"/>
        </w:rPr>
        <w:tab/>
      </w:r>
      <w:r w:rsidR="00F25143" w:rsidRPr="005126F9">
        <w:rPr>
          <w:lang w:val="ru-RU"/>
        </w:rPr>
        <w:t>Сокращение всех цифровых разрывов (в частности, между странами, по признаку пола, возраста, между городскими и сельскими районами)</w:t>
      </w:r>
    </w:p>
    <w:p w14:paraId="047D2242" w14:textId="5A5ECA70" w:rsidR="00B109FC" w:rsidRPr="005126F9" w:rsidRDefault="00B109FC" w:rsidP="00977215">
      <w:pPr>
        <w:pStyle w:val="enumlev1"/>
        <w:rPr>
          <w:lang w:val="ru-RU"/>
        </w:rPr>
      </w:pPr>
      <w:bookmarkStart w:id="27" w:name="lt_pId040"/>
      <w:r w:rsidRPr="005126F9">
        <w:rPr>
          <w:lang w:val="ru-RU"/>
        </w:rPr>
        <w:t>2.2</w:t>
      </w:r>
      <w:r w:rsidR="00977215" w:rsidRPr="005126F9">
        <w:rPr>
          <w:lang w:val="ru-RU"/>
        </w:rPr>
        <w:tab/>
      </w:r>
      <w:r w:rsidR="00F25143" w:rsidRPr="005126F9">
        <w:rPr>
          <w:lang w:val="ru-RU"/>
        </w:rPr>
        <w:t xml:space="preserve">Стратегия искусственного </w:t>
      </w:r>
      <w:r w:rsidR="005E00AE" w:rsidRPr="005126F9">
        <w:rPr>
          <w:lang w:val="ru-RU"/>
        </w:rPr>
        <w:t>интеллекта</w:t>
      </w:r>
      <w:r w:rsidR="00F25143" w:rsidRPr="005126F9">
        <w:rPr>
          <w:lang w:val="ru-RU"/>
        </w:rPr>
        <w:t xml:space="preserve"> и готовность к ее реализации</w:t>
      </w:r>
      <w:bookmarkEnd w:id="27"/>
    </w:p>
    <w:p w14:paraId="4F97F247" w14:textId="64D380F8" w:rsidR="00B109FC" w:rsidRPr="005126F9" w:rsidRDefault="00B109FC" w:rsidP="00977215">
      <w:pPr>
        <w:pStyle w:val="enumlev1"/>
        <w:rPr>
          <w:lang w:val="ru-RU"/>
        </w:rPr>
      </w:pPr>
      <w:bookmarkStart w:id="28" w:name="lt_pId041"/>
      <w:r w:rsidRPr="005126F9">
        <w:rPr>
          <w:lang w:val="ru-RU"/>
        </w:rPr>
        <w:t>2.3</w:t>
      </w:r>
      <w:r w:rsidR="00977215" w:rsidRPr="005126F9">
        <w:rPr>
          <w:lang w:val="ru-RU"/>
        </w:rPr>
        <w:tab/>
      </w:r>
      <w:r w:rsidR="00F25143" w:rsidRPr="005126F9">
        <w:rPr>
          <w:lang w:val="ru-RU"/>
        </w:rPr>
        <w:t xml:space="preserve">Применение искусственного </w:t>
      </w:r>
      <w:r w:rsidR="005E00AE" w:rsidRPr="005126F9">
        <w:rPr>
          <w:lang w:val="ru-RU"/>
        </w:rPr>
        <w:t>интеллекта</w:t>
      </w:r>
      <w:r w:rsidR="00F25143" w:rsidRPr="005126F9">
        <w:rPr>
          <w:lang w:val="ru-RU"/>
        </w:rPr>
        <w:t xml:space="preserve"> в государственном управлении, частном секторе, академических организациях</w:t>
      </w:r>
      <w:bookmarkEnd w:id="28"/>
    </w:p>
    <w:p w14:paraId="13365F65" w14:textId="4FDA34C7" w:rsidR="00B109FC" w:rsidRPr="005126F9" w:rsidRDefault="00B109FC" w:rsidP="00977215">
      <w:pPr>
        <w:pStyle w:val="enumlev1"/>
        <w:rPr>
          <w:lang w:val="ru-RU"/>
        </w:rPr>
      </w:pPr>
      <w:bookmarkStart w:id="29" w:name="lt_pId042"/>
      <w:r w:rsidRPr="005126F9">
        <w:rPr>
          <w:lang w:val="ru-RU"/>
        </w:rPr>
        <w:t>2.4</w:t>
      </w:r>
      <w:bookmarkEnd w:id="29"/>
      <w:r w:rsidR="00977215" w:rsidRPr="005126F9">
        <w:rPr>
          <w:lang w:val="ru-RU"/>
        </w:rPr>
        <w:tab/>
      </w:r>
      <w:r w:rsidR="00F25143" w:rsidRPr="005126F9">
        <w:rPr>
          <w:lang w:val="ru-RU"/>
        </w:rPr>
        <w:t>Применение больших данных в государственном управлении, частном секторе, академических организациях</w:t>
      </w:r>
    </w:p>
    <w:p w14:paraId="27F651C0" w14:textId="580ACBC5" w:rsidR="00B109FC" w:rsidRPr="005126F9" w:rsidRDefault="00B109FC" w:rsidP="00977215">
      <w:pPr>
        <w:pStyle w:val="enumlev1"/>
        <w:rPr>
          <w:lang w:val="ru-RU"/>
        </w:rPr>
      </w:pPr>
      <w:bookmarkStart w:id="30" w:name="lt_pId043"/>
      <w:r w:rsidRPr="005126F9">
        <w:rPr>
          <w:lang w:val="ru-RU"/>
        </w:rPr>
        <w:t>2.5</w:t>
      </w:r>
      <w:r w:rsidR="00977215" w:rsidRPr="005126F9">
        <w:rPr>
          <w:lang w:val="ru-RU"/>
        </w:rPr>
        <w:tab/>
      </w:r>
      <w:r w:rsidR="00C16CA9" w:rsidRPr="005126F9">
        <w:rPr>
          <w:lang w:val="ru-RU"/>
        </w:rPr>
        <w:t xml:space="preserve">Повышение </w:t>
      </w:r>
      <w:r w:rsidR="00C16CA9" w:rsidRPr="005126F9">
        <w:rPr>
          <w:color w:val="000000"/>
          <w:lang w:val="ru-RU"/>
        </w:rPr>
        <w:t>готовности к кибербезопасности, с ключевыми характеристиками: наличие стратегии и политики</w:t>
      </w:r>
      <w:r w:rsidRPr="005126F9">
        <w:rPr>
          <w:lang w:val="ru-RU"/>
        </w:rPr>
        <w:t xml:space="preserve">, </w:t>
      </w:r>
      <w:bookmarkEnd w:id="30"/>
      <w:r w:rsidR="00C16CA9" w:rsidRPr="005126F9">
        <w:rPr>
          <w:color w:val="000000"/>
          <w:lang w:val="ru-RU"/>
        </w:rPr>
        <w:t>национальные группы реагирования на компьютерные инциденты/нарушения компьютерной защиты и законодательство</w:t>
      </w:r>
    </w:p>
    <w:p w14:paraId="2FAB0519" w14:textId="63586B52" w:rsidR="00B109FC" w:rsidRPr="005126F9" w:rsidRDefault="00977215" w:rsidP="00977215">
      <w:pPr>
        <w:pStyle w:val="Heading1"/>
        <w:rPr>
          <w:lang w:val="ru-RU"/>
        </w:rPr>
      </w:pPr>
      <w:bookmarkStart w:id="31" w:name="lt_pId044"/>
      <w:r w:rsidRPr="005126F9">
        <w:rPr>
          <w:lang w:val="ru-RU"/>
        </w:rPr>
        <w:lastRenderedPageBreak/>
        <w:t>3</w:t>
      </w:r>
      <w:r w:rsidRPr="005126F9">
        <w:rPr>
          <w:lang w:val="ru-RU"/>
        </w:rPr>
        <w:tab/>
      </w:r>
      <w:r w:rsidR="00C16CA9" w:rsidRPr="005126F9">
        <w:rPr>
          <w:lang w:val="ru-RU"/>
        </w:rPr>
        <w:t>Замечания по разделу </w:t>
      </w:r>
      <w:r w:rsidR="00B109FC" w:rsidRPr="005126F9">
        <w:rPr>
          <w:lang w:val="ru-RU"/>
        </w:rPr>
        <w:t xml:space="preserve">2.6 </w:t>
      </w:r>
      <w:r w:rsidR="001A44DA" w:rsidRPr="005126F9">
        <w:rPr>
          <w:lang w:val="ru-RU"/>
        </w:rPr>
        <w:t>– тематический приоритет вклада Секретариата для Приложения 1 к Резолюции </w:t>
      </w:r>
      <w:r w:rsidR="00B109FC" w:rsidRPr="005126F9">
        <w:rPr>
          <w:lang w:val="ru-RU"/>
        </w:rPr>
        <w:t xml:space="preserve">71 </w:t>
      </w:r>
      <w:r w:rsidR="001A44DA" w:rsidRPr="005126F9">
        <w:rPr>
          <w:lang w:val="ru-RU"/>
        </w:rPr>
        <w:t xml:space="preserve">– проект Стратегического плана МСЭ на </w:t>
      </w:r>
      <w:r w:rsidR="00B109FC" w:rsidRPr="005126F9">
        <w:rPr>
          <w:lang w:val="ru-RU"/>
        </w:rPr>
        <w:t>2024</w:t>
      </w:r>
      <w:r w:rsidR="001A44DA" w:rsidRPr="005126F9">
        <w:rPr>
          <w:lang w:val="ru-RU"/>
        </w:rPr>
        <w:t>–</w:t>
      </w:r>
      <w:r w:rsidR="00B109FC" w:rsidRPr="005126F9">
        <w:rPr>
          <w:lang w:val="ru-RU"/>
        </w:rPr>
        <w:t>2027</w:t>
      </w:r>
      <w:bookmarkEnd w:id="31"/>
      <w:r w:rsidR="001A44DA" w:rsidRPr="005126F9">
        <w:rPr>
          <w:lang w:val="ru-RU"/>
        </w:rPr>
        <w:t> годы</w:t>
      </w:r>
    </w:p>
    <w:p w14:paraId="4EEF5B76" w14:textId="3486838B" w:rsidR="00B109FC" w:rsidRPr="005126F9" w:rsidRDefault="00977215" w:rsidP="00977215">
      <w:pPr>
        <w:pStyle w:val="Headingb"/>
        <w:rPr>
          <w:lang w:val="ru-RU"/>
        </w:rPr>
      </w:pPr>
      <w:bookmarkStart w:id="32" w:name="lt_pId045"/>
      <w:r w:rsidRPr="005126F9">
        <w:rPr>
          <w:lang w:val="ru-RU"/>
        </w:rPr>
        <w:t>a)</w:t>
      </w:r>
      <w:r w:rsidRPr="005126F9">
        <w:rPr>
          <w:lang w:val="ru-RU"/>
        </w:rPr>
        <w:tab/>
      </w:r>
      <w:r w:rsidR="001A44DA" w:rsidRPr="005126F9">
        <w:rPr>
          <w:lang w:val="ru-RU"/>
        </w:rPr>
        <w:t>Благоприятная среда</w:t>
      </w:r>
      <w:bookmarkEnd w:id="32"/>
      <w:r w:rsidR="00B109FC" w:rsidRPr="005126F9">
        <w:rPr>
          <w:lang w:val="ru-RU"/>
        </w:rPr>
        <w:t xml:space="preserve"> </w:t>
      </w:r>
    </w:p>
    <w:p w14:paraId="4F948D5E" w14:textId="2347C82B" w:rsidR="00B109FC" w:rsidRPr="005126F9" w:rsidRDefault="00667077" w:rsidP="00977215">
      <w:pPr>
        <w:rPr>
          <w:lang w:val="ru-RU"/>
        </w:rPr>
      </w:pPr>
      <w:bookmarkStart w:id="33" w:name="lt_pId046"/>
      <w:r w:rsidRPr="005126F9">
        <w:rPr>
          <w:lang w:val="ru-RU"/>
        </w:rPr>
        <w:t>Предлагаем включить благоприятные инновации в область электросвязи/ИКТ по этому тематическому приоритету</w:t>
      </w:r>
      <w:r w:rsidR="00B109FC" w:rsidRPr="005126F9">
        <w:rPr>
          <w:lang w:val="ru-RU"/>
        </w:rPr>
        <w:t>.</w:t>
      </w:r>
      <w:bookmarkEnd w:id="33"/>
      <w:r w:rsidR="00B109FC" w:rsidRPr="005126F9">
        <w:rPr>
          <w:lang w:val="ru-RU"/>
        </w:rPr>
        <w:t xml:space="preserve"> </w:t>
      </w:r>
      <w:bookmarkStart w:id="34" w:name="lt_pId047"/>
      <w:r w:rsidRPr="005126F9">
        <w:rPr>
          <w:lang w:val="ru-RU"/>
        </w:rPr>
        <w:t>МСЭ необходимо играть ключевую роль в развитии среды, способствующей инновациям</w:t>
      </w:r>
      <w:r w:rsidR="00B109FC" w:rsidRPr="005126F9">
        <w:rPr>
          <w:lang w:val="ru-RU"/>
        </w:rPr>
        <w:t xml:space="preserve">, </w:t>
      </w:r>
      <w:r w:rsidR="00915106" w:rsidRPr="005126F9">
        <w:rPr>
          <w:lang w:val="ru-RU"/>
        </w:rPr>
        <w:t>где новые и появляющиеся технологии вносят вклад в реализацию решений ВВУИО и Повестки дня в области устойчивого развития на период до 2030 года, в особенности на уровне стран</w:t>
      </w:r>
      <w:r w:rsidR="00B109FC" w:rsidRPr="005126F9">
        <w:rPr>
          <w:lang w:val="ru-RU"/>
        </w:rPr>
        <w:t>.</w:t>
      </w:r>
      <w:bookmarkEnd w:id="34"/>
      <w:r w:rsidR="00B109FC" w:rsidRPr="005126F9">
        <w:rPr>
          <w:lang w:val="ru-RU"/>
        </w:rPr>
        <w:t xml:space="preserve"> </w:t>
      </w:r>
    </w:p>
    <w:p w14:paraId="11001E47" w14:textId="35EBA1F0" w:rsidR="00B109FC" w:rsidRPr="005126F9" w:rsidRDefault="00977215" w:rsidP="00977215">
      <w:pPr>
        <w:pStyle w:val="Headingb"/>
        <w:rPr>
          <w:lang w:val="ru-RU"/>
        </w:rPr>
      </w:pPr>
      <w:bookmarkStart w:id="35" w:name="lt_pId048"/>
      <w:r w:rsidRPr="005126F9">
        <w:rPr>
          <w:lang w:val="ru-RU"/>
        </w:rPr>
        <w:t>b)</w:t>
      </w:r>
      <w:r w:rsidRPr="005126F9">
        <w:rPr>
          <w:lang w:val="ru-RU"/>
        </w:rPr>
        <w:tab/>
      </w:r>
      <w:r w:rsidR="00184AC3" w:rsidRPr="005126F9">
        <w:rPr>
          <w:lang w:val="ru-RU"/>
        </w:rPr>
        <w:t>Кибербезопасность</w:t>
      </w:r>
      <w:bookmarkEnd w:id="35"/>
    </w:p>
    <w:p w14:paraId="4C963613" w14:textId="0CD6DF14" w:rsidR="00B109FC" w:rsidRPr="005126F9" w:rsidRDefault="00FD31D4" w:rsidP="00977215">
      <w:pPr>
        <w:rPr>
          <w:lang w:val="ru-RU"/>
        </w:rPr>
      </w:pPr>
      <w:bookmarkStart w:id="36" w:name="lt_pId049"/>
      <w:r w:rsidRPr="005126F9">
        <w:rPr>
          <w:lang w:val="ru-RU"/>
        </w:rPr>
        <w:t xml:space="preserve">Как мы заявили на втором собрании </w:t>
      </w:r>
      <w:r w:rsidR="009B56C1" w:rsidRPr="005126F9">
        <w:rPr>
          <w:lang w:val="ru-RU"/>
        </w:rPr>
        <w:t>РГС-СФП</w:t>
      </w:r>
      <w:r w:rsidR="00B109FC" w:rsidRPr="005126F9">
        <w:rPr>
          <w:lang w:val="ru-RU"/>
        </w:rPr>
        <w:t xml:space="preserve">, </w:t>
      </w:r>
      <w:r w:rsidR="005B7D02" w:rsidRPr="005126F9">
        <w:rPr>
          <w:lang w:val="ru-RU"/>
        </w:rPr>
        <w:t>кибербезопасность</w:t>
      </w:r>
      <w:r w:rsidRPr="005126F9">
        <w:rPr>
          <w:lang w:val="ru-RU"/>
        </w:rPr>
        <w:t xml:space="preserve"> должн</w:t>
      </w:r>
      <w:r w:rsidR="005B7D02" w:rsidRPr="005126F9">
        <w:rPr>
          <w:lang w:val="ru-RU"/>
        </w:rPr>
        <w:t>а</w:t>
      </w:r>
      <w:r w:rsidRPr="005126F9">
        <w:rPr>
          <w:lang w:val="ru-RU"/>
        </w:rPr>
        <w:t xml:space="preserve"> быть отдельным тематическим приоритетом</w:t>
      </w:r>
      <w:r w:rsidR="00B109FC" w:rsidRPr="005126F9">
        <w:rPr>
          <w:lang w:val="ru-RU"/>
        </w:rPr>
        <w:t>.</w:t>
      </w:r>
      <w:bookmarkEnd w:id="36"/>
      <w:r w:rsidR="00B109FC" w:rsidRPr="005126F9">
        <w:rPr>
          <w:lang w:val="ru-RU"/>
        </w:rPr>
        <w:t xml:space="preserve"> </w:t>
      </w:r>
      <w:bookmarkStart w:id="37" w:name="lt_pId050"/>
      <w:r w:rsidRPr="005126F9">
        <w:rPr>
          <w:lang w:val="ru-RU"/>
        </w:rPr>
        <w:t>Мы считаем, что</w:t>
      </w:r>
      <w:r w:rsidR="003F06AA" w:rsidRPr="005126F9">
        <w:rPr>
          <w:lang w:val="ru-RU"/>
        </w:rPr>
        <w:t>,</w:t>
      </w:r>
      <w:r w:rsidRPr="005126F9">
        <w:rPr>
          <w:lang w:val="ru-RU"/>
        </w:rPr>
        <w:t xml:space="preserve"> </w:t>
      </w:r>
      <w:r w:rsidR="003F06AA" w:rsidRPr="005126F9">
        <w:rPr>
          <w:lang w:val="ru-RU"/>
        </w:rPr>
        <w:t xml:space="preserve">если рассматривать цифровую трансформацию как стратегическую цель, будет разумно </w:t>
      </w:r>
      <w:r w:rsidR="008F472F" w:rsidRPr="005126F9">
        <w:rPr>
          <w:lang w:val="ru-RU"/>
        </w:rPr>
        <w:t>придать ей отдельный тематический приоритет по кибербезопасности</w:t>
      </w:r>
      <w:r w:rsidR="00B109FC" w:rsidRPr="005126F9">
        <w:rPr>
          <w:lang w:val="ru-RU"/>
        </w:rPr>
        <w:t>.</w:t>
      </w:r>
      <w:bookmarkEnd w:id="37"/>
      <w:r w:rsidR="00B109FC" w:rsidRPr="005126F9">
        <w:rPr>
          <w:lang w:val="ru-RU"/>
        </w:rPr>
        <w:t xml:space="preserve"> </w:t>
      </w:r>
    </w:p>
    <w:p w14:paraId="39A55E27" w14:textId="416BEA9D" w:rsidR="00B109FC" w:rsidRPr="005126F9" w:rsidRDefault="008F472F" w:rsidP="00977215">
      <w:pPr>
        <w:rPr>
          <w:lang w:val="ru-RU"/>
        </w:rPr>
      </w:pPr>
      <w:bookmarkStart w:id="38" w:name="lt_pId051"/>
      <w:r w:rsidRPr="005126F9">
        <w:rPr>
          <w:lang w:val="ru-RU"/>
        </w:rPr>
        <w:t xml:space="preserve">Наряду с этим, учитывая, что МСЭ является организацией системы ООН, </w:t>
      </w:r>
      <w:r w:rsidR="007726C7" w:rsidRPr="005126F9">
        <w:rPr>
          <w:lang w:val="ru-RU"/>
        </w:rPr>
        <w:t xml:space="preserve">работающей в области электросвязи/ИКТ, </w:t>
      </w:r>
      <w:r w:rsidR="007726C7" w:rsidRPr="005126F9">
        <w:rPr>
          <w:color w:val="000000"/>
          <w:lang w:val="ru-RU"/>
        </w:rPr>
        <w:t>единственной содействующей организацией по Направлению деятельности C5 ВВУИО</w:t>
      </w:r>
      <w:r w:rsidR="007726C7" w:rsidRPr="005126F9">
        <w:rPr>
          <w:lang w:val="ru-RU"/>
        </w:rPr>
        <w:t xml:space="preserve"> по укреплению доверия и безопасности при использовании ИКТ, учитывая пересмотренные руководящие указания </w:t>
      </w:r>
      <w:r w:rsidR="00232784" w:rsidRPr="005126F9">
        <w:rPr>
          <w:lang w:val="ru-RU"/>
        </w:rPr>
        <w:t xml:space="preserve">по </w:t>
      </w:r>
      <w:r w:rsidR="00232784" w:rsidRPr="005126F9">
        <w:rPr>
          <w:color w:val="000000"/>
          <w:lang w:val="ru-RU"/>
        </w:rPr>
        <w:t>Глобальной программе кибербезопасности (ГПК)</w:t>
      </w:r>
      <w:r w:rsidR="00232784" w:rsidRPr="005126F9">
        <w:rPr>
          <w:lang w:val="ru-RU"/>
        </w:rPr>
        <w:t xml:space="preserve"> и существенное развитие системы кибербезопасности в ООН, где МСЭ должен тем или иным способом вносить вклад в процессы ООН, это весомые аргументы в пользу сохранения кибербезопасности как отдельного тематического приоритета</w:t>
      </w:r>
      <w:r w:rsidR="00B109FC" w:rsidRPr="005126F9">
        <w:rPr>
          <w:lang w:val="ru-RU"/>
        </w:rPr>
        <w:t>.</w:t>
      </w:r>
      <w:bookmarkEnd w:id="38"/>
      <w:r w:rsidR="00B109FC" w:rsidRPr="005126F9">
        <w:rPr>
          <w:lang w:val="ru-RU"/>
        </w:rPr>
        <w:t xml:space="preserve"> </w:t>
      </w:r>
    </w:p>
    <w:p w14:paraId="1819E38C" w14:textId="5E4D6836" w:rsidR="00B109FC" w:rsidRPr="005126F9" w:rsidRDefault="00232784" w:rsidP="00977215">
      <w:pPr>
        <w:rPr>
          <w:lang w:val="ru-RU"/>
        </w:rPr>
      </w:pPr>
      <w:bookmarkStart w:id="39" w:name="lt_pId052"/>
      <w:r w:rsidRPr="005126F9">
        <w:rPr>
          <w:lang w:val="ru-RU"/>
        </w:rPr>
        <w:t>По п. </w:t>
      </w:r>
      <w:r w:rsidR="00B109FC" w:rsidRPr="005126F9">
        <w:rPr>
          <w:lang w:val="ru-RU"/>
        </w:rPr>
        <w:t>35</w:t>
      </w:r>
      <w:r w:rsidRPr="005126F9">
        <w:rPr>
          <w:lang w:val="ru-RU"/>
        </w:rPr>
        <w:t xml:space="preserve"> мы считаем, что </w:t>
      </w:r>
      <w:r w:rsidR="00AE34A3" w:rsidRPr="005126F9">
        <w:rPr>
          <w:lang w:val="ru-RU"/>
        </w:rPr>
        <w:t xml:space="preserve">в работе по тематическому приоритету по кибербезопасности работа должна проводиться в основном в рамках </w:t>
      </w:r>
      <w:r w:rsidR="00AE34A3" w:rsidRPr="005126F9">
        <w:rPr>
          <w:color w:val="000000"/>
          <w:lang w:val="ru-RU"/>
        </w:rPr>
        <w:t>Глобальной программы кибербезопасности (ГПК) и пяти направлений ее работы: правовы</w:t>
      </w:r>
      <w:r w:rsidR="005B7D02" w:rsidRPr="005126F9">
        <w:rPr>
          <w:color w:val="000000"/>
          <w:lang w:val="ru-RU"/>
        </w:rPr>
        <w:t>х</w:t>
      </w:r>
      <w:r w:rsidR="00AE34A3" w:rsidRPr="005126F9">
        <w:rPr>
          <w:color w:val="000000"/>
          <w:lang w:val="ru-RU"/>
        </w:rPr>
        <w:t xml:space="preserve"> мер, технически</w:t>
      </w:r>
      <w:r w:rsidR="005B7D02" w:rsidRPr="005126F9">
        <w:rPr>
          <w:color w:val="000000"/>
          <w:lang w:val="ru-RU"/>
        </w:rPr>
        <w:t>х</w:t>
      </w:r>
      <w:r w:rsidR="00AE34A3" w:rsidRPr="005126F9">
        <w:rPr>
          <w:color w:val="000000"/>
          <w:lang w:val="ru-RU"/>
        </w:rPr>
        <w:t xml:space="preserve"> мер, организационны</w:t>
      </w:r>
      <w:r w:rsidR="005B7D02" w:rsidRPr="005126F9">
        <w:rPr>
          <w:color w:val="000000"/>
          <w:lang w:val="ru-RU"/>
        </w:rPr>
        <w:t>х</w:t>
      </w:r>
      <w:r w:rsidR="00AE34A3" w:rsidRPr="005126F9">
        <w:rPr>
          <w:color w:val="000000"/>
          <w:lang w:val="ru-RU"/>
        </w:rPr>
        <w:t xml:space="preserve"> мер, развити</w:t>
      </w:r>
      <w:r w:rsidR="005B7D02" w:rsidRPr="005126F9">
        <w:rPr>
          <w:color w:val="000000"/>
          <w:lang w:val="ru-RU"/>
        </w:rPr>
        <w:t>я</w:t>
      </w:r>
      <w:r w:rsidR="00AE34A3" w:rsidRPr="005126F9">
        <w:rPr>
          <w:color w:val="000000"/>
          <w:lang w:val="ru-RU"/>
        </w:rPr>
        <w:t xml:space="preserve"> потенциала и сотрудничеств</w:t>
      </w:r>
      <w:r w:rsidR="005B7D02" w:rsidRPr="005126F9">
        <w:rPr>
          <w:color w:val="000000"/>
          <w:lang w:val="ru-RU"/>
        </w:rPr>
        <w:t>а</w:t>
      </w:r>
      <w:r w:rsidR="00B109FC" w:rsidRPr="005126F9">
        <w:rPr>
          <w:lang w:val="ru-RU"/>
        </w:rPr>
        <w:t>.</w:t>
      </w:r>
      <w:bookmarkEnd w:id="39"/>
      <w:r w:rsidR="00B109FC" w:rsidRPr="005126F9">
        <w:rPr>
          <w:lang w:val="ru-RU"/>
        </w:rPr>
        <w:t xml:space="preserve"> </w:t>
      </w:r>
    </w:p>
    <w:p w14:paraId="343B427C" w14:textId="40CA66EB" w:rsidR="00B109FC" w:rsidRPr="005126F9" w:rsidRDefault="00AE34A3" w:rsidP="00977215">
      <w:pPr>
        <w:rPr>
          <w:b/>
          <w:bCs/>
          <w:lang w:val="ru-RU"/>
        </w:rPr>
      </w:pPr>
      <w:bookmarkStart w:id="40" w:name="lt_pId053"/>
      <w:r w:rsidRPr="005126F9">
        <w:rPr>
          <w:lang w:val="ru-RU"/>
        </w:rPr>
        <w:t>Признание кибербезопасности одной из трех приоритетных тем или целей и ключевым элементом цифровой дорожной карты Генерального секретаря Организации Объединенных Наций</w:t>
      </w:r>
      <w:r w:rsidR="009E6072" w:rsidRPr="005126F9">
        <w:rPr>
          <w:lang w:val="ru-RU"/>
        </w:rPr>
        <w:t>, реализации которой МСЭ в полной мере привержен, подтверждает значение выделения кибербезопасности как отдельного тематического приоритета</w:t>
      </w:r>
      <w:r w:rsidR="00B109FC" w:rsidRPr="005126F9">
        <w:rPr>
          <w:lang w:val="ru-RU"/>
        </w:rPr>
        <w:t>.</w:t>
      </w:r>
      <w:bookmarkEnd w:id="40"/>
      <w:r w:rsidR="00B109FC" w:rsidRPr="005126F9">
        <w:rPr>
          <w:lang w:val="ru-RU"/>
        </w:rPr>
        <w:t xml:space="preserve"> </w:t>
      </w:r>
    </w:p>
    <w:p w14:paraId="6072539B" w14:textId="3F28CA71" w:rsidR="00B109FC" w:rsidRPr="005126F9" w:rsidRDefault="00977215" w:rsidP="00977215">
      <w:pPr>
        <w:pStyle w:val="Heading1"/>
        <w:rPr>
          <w:lang w:val="ru-RU"/>
        </w:rPr>
      </w:pPr>
      <w:bookmarkStart w:id="41" w:name="lt_pId054"/>
      <w:bookmarkStart w:id="42" w:name="_Hlk90022080"/>
      <w:r w:rsidRPr="005126F9">
        <w:rPr>
          <w:lang w:val="ru-RU"/>
        </w:rPr>
        <w:t>4</w:t>
      </w:r>
      <w:r w:rsidRPr="005126F9">
        <w:rPr>
          <w:lang w:val="ru-RU"/>
        </w:rPr>
        <w:tab/>
      </w:r>
      <w:r w:rsidR="009E6072" w:rsidRPr="005126F9">
        <w:rPr>
          <w:lang w:val="ru-RU"/>
        </w:rPr>
        <w:t>Замечания по вкладу Секретариата для Приложения 2 к Резолюции 71</w:t>
      </w:r>
      <w:r w:rsidR="00B109FC" w:rsidRPr="005126F9">
        <w:rPr>
          <w:lang w:val="ru-RU"/>
        </w:rPr>
        <w:t xml:space="preserve">: </w:t>
      </w:r>
      <w:r w:rsidR="009E6072" w:rsidRPr="005126F9">
        <w:rPr>
          <w:lang w:val="ru-RU"/>
        </w:rPr>
        <w:t>Ситуационный анализ</w:t>
      </w:r>
      <w:bookmarkEnd w:id="41"/>
      <w:bookmarkEnd w:id="42"/>
    </w:p>
    <w:p w14:paraId="1CFE42DE" w14:textId="11E10905" w:rsidR="00B109FC" w:rsidRPr="005126F9" w:rsidRDefault="00FC0F80" w:rsidP="00977215">
      <w:pPr>
        <w:rPr>
          <w:lang w:val="ru-RU"/>
        </w:rPr>
      </w:pPr>
      <w:bookmarkStart w:id="43" w:name="lt_pId055"/>
      <w:r w:rsidRPr="005126F9">
        <w:rPr>
          <w:lang w:val="ru-RU"/>
        </w:rPr>
        <w:t>С учетом</w:t>
      </w:r>
      <w:r w:rsidR="007D49F4" w:rsidRPr="005126F9">
        <w:rPr>
          <w:lang w:val="ru-RU"/>
        </w:rPr>
        <w:t xml:space="preserve"> событий после Полномочной конференции МСЭ 2018 года мы предлагаем включить работу, касающуюся Повестки дня ООН по цифровому сотрудничеству и связанной с ней дорожной карты, "Нашей общей повестки дня" ООН, </w:t>
      </w:r>
      <w:r w:rsidR="00C029C3" w:rsidRPr="005126F9">
        <w:rPr>
          <w:lang w:val="ru-RU"/>
        </w:rPr>
        <w:t>в</w:t>
      </w:r>
      <w:r w:rsidR="007D49F4" w:rsidRPr="005126F9">
        <w:rPr>
          <w:lang w:val="ru-RU"/>
        </w:rPr>
        <w:t xml:space="preserve"> нескольки</w:t>
      </w:r>
      <w:r w:rsidR="00C029C3" w:rsidRPr="005126F9">
        <w:rPr>
          <w:lang w:val="ru-RU"/>
        </w:rPr>
        <w:t>х</w:t>
      </w:r>
      <w:r w:rsidR="007D49F4" w:rsidRPr="005126F9">
        <w:rPr>
          <w:lang w:val="ru-RU"/>
        </w:rPr>
        <w:t xml:space="preserve"> областя</w:t>
      </w:r>
      <w:r w:rsidR="00C029C3" w:rsidRPr="005126F9">
        <w:rPr>
          <w:lang w:val="ru-RU"/>
        </w:rPr>
        <w:t>х</w:t>
      </w:r>
      <w:r w:rsidR="007D49F4" w:rsidRPr="005126F9">
        <w:rPr>
          <w:lang w:val="ru-RU"/>
        </w:rPr>
        <w:t xml:space="preserve"> которой, как мы считаем, </w:t>
      </w:r>
      <w:r w:rsidR="00C029C3" w:rsidRPr="005126F9">
        <w:rPr>
          <w:lang w:val="ru-RU"/>
        </w:rPr>
        <w:t>может участвовать МСЭ, а также это открывает ряд возможностей совместных партнерств с различными организациями</w:t>
      </w:r>
      <w:r w:rsidR="00B109FC" w:rsidRPr="005126F9">
        <w:rPr>
          <w:lang w:val="ru-RU"/>
        </w:rPr>
        <w:t>.</w:t>
      </w:r>
      <w:bookmarkEnd w:id="43"/>
      <w:r w:rsidR="00B109FC" w:rsidRPr="005126F9">
        <w:rPr>
          <w:lang w:val="ru-RU"/>
        </w:rPr>
        <w:t xml:space="preserve"> </w:t>
      </w:r>
      <w:bookmarkStart w:id="44" w:name="lt_pId056"/>
      <w:r w:rsidR="00C029C3" w:rsidRPr="005126F9">
        <w:rPr>
          <w:lang w:val="ru-RU"/>
        </w:rPr>
        <w:t>Это также может быть отражено в анализе</w:t>
      </w:r>
      <w:r w:rsidR="00B109FC" w:rsidRPr="005126F9">
        <w:rPr>
          <w:lang w:val="ru-RU"/>
        </w:rPr>
        <w:t xml:space="preserve"> SWOT </w:t>
      </w:r>
      <w:r w:rsidR="00C029C3" w:rsidRPr="005126F9">
        <w:rPr>
          <w:lang w:val="ru-RU"/>
        </w:rPr>
        <w:t>как возможность</w:t>
      </w:r>
      <w:r w:rsidR="00B109FC" w:rsidRPr="005126F9">
        <w:rPr>
          <w:lang w:val="ru-RU"/>
        </w:rPr>
        <w:t>.</w:t>
      </w:r>
      <w:bookmarkEnd w:id="44"/>
      <w:r w:rsidR="00B109FC" w:rsidRPr="005126F9">
        <w:rPr>
          <w:lang w:val="ru-RU"/>
        </w:rPr>
        <w:t xml:space="preserve"> </w:t>
      </w:r>
    </w:p>
    <w:p w14:paraId="61580527" w14:textId="41D5A954" w:rsidR="00B109FC" w:rsidRPr="005126F9" w:rsidRDefault="00C029C3" w:rsidP="00977215">
      <w:pPr>
        <w:rPr>
          <w:lang w:val="ru-RU"/>
        </w:rPr>
      </w:pPr>
      <w:bookmarkStart w:id="45" w:name="lt_pId057"/>
      <w:r w:rsidRPr="005126F9">
        <w:rPr>
          <w:lang w:val="ru-RU"/>
        </w:rPr>
        <w:t>Мы также предлагаем отразить в части "</w:t>
      </w:r>
      <w:r w:rsidRPr="005126F9">
        <w:rPr>
          <w:b/>
          <w:bCs/>
          <w:lang w:val="ru-RU"/>
        </w:rPr>
        <w:t>Слабые стороны</w:t>
      </w:r>
      <w:r w:rsidRPr="005126F9">
        <w:rPr>
          <w:lang w:val="ru-RU"/>
        </w:rPr>
        <w:t xml:space="preserve">" анализа </w:t>
      </w:r>
      <w:r w:rsidR="00B109FC" w:rsidRPr="005126F9">
        <w:rPr>
          <w:lang w:val="ru-RU"/>
        </w:rPr>
        <w:t xml:space="preserve">SWOT </w:t>
      </w:r>
      <w:r w:rsidRPr="005126F9">
        <w:rPr>
          <w:lang w:val="ru-RU"/>
        </w:rPr>
        <w:t>следующие аспекты</w:t>
      </w:r>
      <w:r w:rsidR="00B109FC" w:rsidRPr="005126F9">
        <w:rPr>
          <w:lang w:val="ru-RU"/>
        </w:rPr>
        <w:t>:</w:t>
      </w:r>
      <w:bookmarkEnd w:id="45"/>
    </w:p>
    <w:p w14:paraId="08CAA674" w14:textId="6C4E0BF8" w:rsidR="00B109FC" w:rsidRPr="005126F9" w:rsidRDefault="00977215" w:rsidP="00977215">
      <w:pPr>
        <w:pStyle w:val="enumlev1"/>
        <w:rPr>
          <w:lang w:val="ru-RU"/>
        </w:rPr>
      </w:pPr>
      <w:bookmarkStart w:id="46" w:name="lt_pId058"/>
      <w:r w:rsidRPr="005126F9">
        <w:rPr>
          <w:lang w:val="ru-RU"/>
        </w:rPr>
        <w:t>1)</w:t>
      </w:r>
      <w:r w:rsidRPr="005126F9">
        <w:rPr>
          <w:lang w:val="ru-RU"/>
        </w:rPr>
        <w:tab/>
      </w:r>
      <w:r w:rsidR="00C029C3" w:rsidRPr="005126F9">
        <w:rPr>
          <w:lang w:val="ru-RU"/>
        </w:rPr>
        <w:t>Нечеткий мандат региональных и зональных отделений</w:t>
      </w:r>
      <w:r w:rsidR="0018576D" w:rsidRPr="005126F9">
        <w:rPr>
          <w:lang w:val="ru-RU"/>
        </w:rPr>
        <w:t>, что приводит к неэффективному предоставлению услуг членам и предложению преимуществ заинтересованным сторонам</w:t>
      </w:r>
      <w:r w:rsidR="00B109FC" w:rsidRPr="005126F9">
        <w:rPr>
          <w:lang w:val="ru-RU"/>
        </w:rPr>
        <w:t>.</w:t>
      </w:r>
      <w:bookmarkEnd w:id="46"/>
    </w:p>
    <w:p w14:paraId="6160583A" w14:textId="319EA0BE" w:rsidR="00B109FC" w:rsidRPr="005126F9" w:rsidRDefault="00977215" w:rsidP="00977215">
      <w:pPr>
        <w:pStyle w:val="enumlev1"/>
        <w:rPr>
          <w:lang w:val="ru-RU"/>
        </w:rPr>
      </w:pPr>
      <w:r w:rsidRPr="005126F9">
        <w:rPr>
          <w:lang w:val="ru-RU"/>
        </w:rPr>
        <w:t>2)</w:t>
      </w:r>
      <w:r w:rsidRPr="005126F9">
        <w:rPr>
          <w:lang w:val="ru-RU"/>
        </w:rPr>
        <w:tab/>
      </w:r>
      <w:r w:rsidR="00434F55" w:rsidRPr="005126F9">
        <w:rPr>
          <w:lang w:val="ru-RU"/>
        </w:rPr>
        <w:t>Существенное сокращение доходной части при дополнительных требованиях в расходной части</w:t>
      </w:r>
      <w:r w:rsidR="00730AF8">
        <w:rPr>
          <w:lang w:val="ru-RU"/>
        </w:rPr>
        <w:t>.</w:t>
      </w:r>
    </w:p>
    <w:p w14:paraId="482589BA" w14:textId="7DEB5661" w:rsidR="00B109FC" w:rsidRPr="005126F9" w:rsidRDefault="00434F55" w:rsidP="00730AF8">
      <w:pPr>
        <w:keepNext/>
        <w:keepLines/>
        <w:rPr>
          <w:lang w:val="ru-RU"/>
        </w:rPr>
      </w:pPr>
      <w:bookmarkStart w:id="47" w:name="lt_pId060"/>
      <w:r w:rsidRPr="005126F9">
        <w:rPr>
          <w:lang w:val="ru-RU"/>
        </w:rPr>
        <w:t>Мы также предлагаем отразить в части "</w:t>
      </w:r>
      <w:r w:rsidRPr="005126F9">
        <w:rPr>
          <w:b/>
          <w:bCs/>
          <w:lang w:val="ru-RU"/>
        </w:rPr>
        <w:t>Угрозы</w:t>
      </w:r>
      <w:r w:rsidRPr="005126F9">
        <w:rPr>
          <w:lang w:val="ru-RU"/>
        </w:rPr>
        <w:t>" анализа SWOT следующие аспекты</w:t>
      </w:r>
      <w:r w:rsidR="00B109FC" w:rsidRPr="005126F9">
        <w:rPr>
          <w:lang w:val="ru-RU"/>
        </w:rPr>
        <w:t>:</w:t>
      </w:r>
      <w:bookmarkEnd w:id="47"/>
    </w:p>
    <w:p w14:paraId="63218A8C" w14:textId="6499394B" w:rsidR="00B109FC" w:rsidRPr="005126F9" w:rsidRDefault="00977215" w:rsidP="00977215">
      <w:pPr>
        <w:pStyle w:val="enumlev1"/>
        <w:rPr>
          <w:lang w:val="ru-RU"/>
        </w:rPr>
      </w:pPr>
      <w:bookmarkStart w:id="48" w:name="lt_pId061"/>
      <w:r w:rsidRPr="005126F9">
        <w:rPr>
          <w:lang w:val="ru-RU"/>
        </w:rPr>
        <w:t>1)</w:t>
      </w:r>
      <w:r w:rsidRPr="005126F9">
        <w:rPr>
          <w:lang w:val="ru-RU"/>
        </w:rPr>
        <w:tab/>
      </w:r>
      <w:r w:rsidR="00434F55" w:rsidRPr="005126F9">
        <w:rPr>
          <w:lang w:val="ru-RU"/>
        </w:rPr>
        <w:t>Большую обеспокоенность вызывает способность конкурировать и сохранять актуальность на международном и региональном уровнях</w:t>
      </w:r>
      <w:r w:rsidR="00B109FC" w:rsidRPr="005126F9">
        <w:rPr>
          <w:lang w:val="ru-RU"/>
        </w:rPr>
        <w:t>.</w:t>
      </w:r>
      <w:bookmarkEnd w:id="48"/>
    </w:p>
    <w:p w14:paraId="18CCFEDE" w14:textId="10629945" w:rsidR="00B109FC" w:rsidRPr="00730AF8" w:rsidRDefault="00977215" w:rsidP="00977215">
      <w:pPr>
        <w:pStyle w:val="enumlev1"/>
        <w:rPr>
          <w:lang w:val="ru-RU"/>
        </w:rPr>
      </w:pPr>
      <w:bookmarkStart w:id="49" w:name="lt_pId062"/>
      <w:r w:rsidRPr="005126F9">
        <w:rPr>
          <w:rFonts w:cstheme="majorBidi"/>
          <w:lang w:val="ru-RU"/>
        </w:rPr>
        <w:lastRenderedPageBreak/>
        <w:t>2)</w:t>
      </w:r>
      <w:r w:rsidRPr="005126F9">
        <w:rPr>
          <w:rFonts w:cstheme="majorBidi"/>
          <w:lang w:val="ru-RU"/>
        </w:rPr>
        <w:tab/>
      </w:r>
      <w:r w:rsidR="00434F55" w:rsidRPr="005126F9">
        <w:rPr>
          <w:rFonts w:cstheme="majorBidi"/>
          <w:lang w:val="ru-RU"/>
        </w:rPr>
        <w:t xml:space="preserve">Недостаточное финансирование – риск несбалансированности </w:t>
      </w:r>
      <w:r w:rsidR="00730AF8" w:rsidRPr="005126F9">
        <w:rPr>
          <w:rFonts w:cstheme="majorBidi"/>
          <w:lang w:val="ru-RU"/>
        </w:rPr>
        <w:t xml:space="preserve">Финансового </w:t>
      </w:r>
      <w:r w:rsidR="00434F55" w:rsidRPr="005126F9">
        <w:rPr>
          <w:rFonts w:cstheme="majorBidi"/>
          <w:lang w:val="ru-RU"/>
        </w:rPr>
        <w:t>плана</w:t>
      </w:r>
      <w:bookmarkEnd w:id="49"/>
      <w:r w:rsidR="00730AF8" w:rsidRPr="00643ADC">
        <w:rPr>
          <w:rFonts w:cstheme="majorBidi"/>
          <w:lang w:val="ru-RU"/>
        </w:rPr>
        <w:t>.</w:t>
      </w:r>
    </w:p>
    <w:p w14:paraId="0B5A549B" w14:textId="0B450E44" w:rsidR="00B109FC" w:rsidRPr="005126F9" w:rsidRDefault="00977215" w:rsidP="00977215">
      <w:pPr>
        <w:pStyle w:val="enumlev1"/>
        <w:rPr>
          <w:lang w:val="ru-RU"/>
        </w:rPr>
      </w:pPr>
      <w:bookmarkStart w:id="50" w:name="lt_pId063"/>
      <w:r w:rsidRPr="005126F9">
        <w:rPr>
          <w:lang w:val="ru-RU"/>
        </w:rPr>
        <w:t>3)</w:t>
      </w:r>
      <w:r w:rsidRPr="005126F9">
        <w:rPr>
          <w:lang w:val="ru-RU"/>
        </w:rPr>
        <w:tab/>
      </w:r>
      <w:r w:rsidR="00434F55" w:rsidRPr="005126F9">
        <w:rPr>
          <w:lang w:val="ru-RU"/>
        </w:rPr>
        <w:t>Другие организации системы ООН расширяют свое участие в областях цифрового сотрудничества и ИКТ</w:t>
      </w:r>
      <w:bookmarkEnd w:id="50"/>
      <w:r w:rsidR="00730AF8">
        <w:rPr>
          <w:lang w:val="ru-RU"/>
        </w:rPr>
        <w:t>.</w:t>
      </w:r>
    </w:p>
    <w:p w14:paraId="236C7C80" w14:textId="7E957D0D" w:rsidR="00B109FC" w:rsidRPr="005126F9" w:rsidRDefault="00977215" w:rsidP="00977215">
      <w:pPr>
        <w:pStyle w:val="enumlev1"/>
        <w:rPr>
          <w:lang w:val="ru-RU"/>
        </w:rPr>
      </w:pPr>
      <w:bookmarkStart w:id="51" w:name="lt_pId064"/>
      <w:r w:rsidRPr="005126F9">
        <w:rPr>
          <w:lang w:val="ru-RU"/>
        </w:rPr>
        <w:t>4)</w:t>
      </w:r>
      <w:r w:rsidRPr="005126F9">
        <w:rPr>
          <w:lang w:val="ru-RU"/>
        </w:rPr>
        <w:tab/>
      </w:r>
      <w:r w:rsidR="00905DD1" w:rsidRPr="005126F9">
        <w:rPr>
          <w:lang w:val="ru-RU"/>
        </w:rPr>
        <w:t>Проблемы, связанные с тем, где они могут применить потенциал, который может превышать потенциал МСЭ на региональном уровне</w:t>
      </w:r>
      <w:r w:rsidR="00B109FC" w:rsidRPr="005126F9">
        <w:rPr>
          <w:lang w:val="ru-RU"/>
        </w:rPr>
        <w:t>.</w:t>
      </w:r>
      <w:bookmarkEnd w:id="51"/>
    </w:p>
    <w:p w14:paraId="13F10B33" w14:textId="7340F48E" w:rsidR="00B109FC" w:rsidRPr="005126F9" w:rsidRDefault="00977215" w:rsidP="00977215">
      <w:pPr>
        <w:pStyle w:val="enumlev1"/>
        <w:rPr>
          <w:lang w:val="ru-RU"/>
        </w:rPr>
      </w:pPr>
      <w:bookmarkStart w:id="52" w:name="lt_pId065"/>
      <w:r w:rsidRPr="005126F9">
        <w:rPr>
          <w:lang w:val="ru-RU"/>
        </w:rPr>
        <w:t>5)</w:t>
      </w:r>
      <w:r w:rsidRPr="005126F9">
        <w:rPr>
          <w:lang w:val="ru-RU"/>
        </w:rPr>
        <w:tab/>
      </w:r>
      <w:r w:rsidR="001471B0" w:rsidRPr="005126F9">
        <w:rPr>
          <w:lang w:val="ru-RU"/>
        </w:rPr>
        <w:t xml:space="preserve">Существующая бизнес-модель мероприятий </w:t>
      </w:r>
      <w:r w:rsidR="00B109FC" w:rsidRPr="005126F9">
        <w:rPr>
          <w:lang w:val="ru-RU"/>
        </w:rPr>
        <w:t xml:space="preserve">Telecom </w:t>
      </w:r>
      <w:r w:rsidR="001471B0" w:rsidRPr="005126F9">
        <w:rPr>
          <w:lang w:val="ru-RU"/>
        </w:rPr>
        <w:t xml:space="preserve">не обоснована в финансовом </w:t>
      </w:r>
      <w:r w:rsidR="00FC0F80" w:rsidRPr="005126F9">
        <w:rPr>
          <w:lang w:val="ru-RU"/>
        </w:rPr>
        <w:t>отношении</w:t>
      </w:r>
      <w:r w:rsidR="001471B0" w:rsidRPr="005126F9">
        <w:rPr>
          <w:lang w:val="ru-RU"/>
        </w:rPr>
        <w:t>, и предлагаемые мероприятиями преимущества обладают явными признаками слабости</w:t>
      </w:r>
      <w:bookmarkEnd w:id="52"/>
      <w:r w:rsidR="00730AF8">
        <w:rPr>
          <w:lang w:val="ru-RU"/>
        </w:rPr>
        <w:t>.</w:t>
      </w:r>
    </w:p>
    <w:p w14:paraId="21476F0F" w14:textId="1DF2F216" w:rsidR="00B109FC" w:rsidRPr="005126F9" w:rsidRDefault="00977215" w:rsidP="00977215">
      <w:pPr>
        <w:pStyle w:val="enumlev1"/>
        <w:rPr>
          <w:lang w:val="ru-RU"/>
        </w:rPr>
      </w:pPr>
      <w:bookmarkStart w:id="53" w:name="lt_pId066"/>
      <w:r w:rsidRPr="005126F9">
        <w:rPr>
          <w:lang w:val="ru-RU"/>
        </w:rPr>
        <w:t>6)</w:t>
      </w:r>
      <w:r w:rsidRPr="005126F9">
        <w:rPr>
          <w:lang w:val="ru-RU"/>
        </w:rPr>
        <w:tab/>
      </w:r>
      <w:r w:rsidR="001471B0" w:rsidRPr="005126F9">
        <w:rPr>
          <w:lang w:val="ru-RU"/>
        </w:rPr>
        <w:t>Низкий уровень участия ООН</w:t>
      </w:r>
      <w:r w:rsidR="00FC0F80" w:rsidRPr="005126F9">
        <w:rPr>
          <w:lang w:val="ru-RU"/>
        </w:rPr>
        <w:t xml:space="preserve"> в целом</w:t>
      </w:r>
      <w:r w:rsidR="001471B0" w:rsidRPr="005126F9">
        <w:rPr>
          <w:lang w:val="ru-RU"/>
        </w:rPr>
        <w:t>, координации и сотрудничества в совместном стратегическом планировании</w:t>
      </w:r>
      <w:bookmarkEnd w:id="53"/>
      <w:r w:rsidR="00730AF8">
        <w:rPr>
          <w:lang w:val="ru-RU"/>
        </w:rPr>
        <w:t>.</w:t>
      </w:r>
    </w:p>
    <w:p w14:paraId="4C7C4985" w14:textId="4383BD30" w:rsidR="00B109FC" w:rsidRPr="005126F9" w:rsidRDefault="001471B0" w:rsidP="00977215">
      <w:pPr>
        <w:rPr>
          <w:lang w:val="ru-RU"/>
        </w:rPr>
      </w:pPr>
      <w:bookmarkStart w:id="54" w:name="lt_pId067"/>
      <w:r w:rsidRPr="005126F9">
        <w:rPr>
          <w:lang w:val="ru-RU"/>
        </w:rPr>
        <w:t>Мы также предлагаем отразить в части "</w:t>
      </w:r>
      <w:r w:rsidRPr="005126F9">
        <w:rPr>
          <w:b/>
          <w:bCs/>
          <w:lang w:val="ru-RU"/>
        </w:rPr>
        <w:t>Возможности</w:t>
      </w:r>
      <w:r w:rsidRPr="005126F9">
        <w:rPr>
          <w:lang w:val="ru-RU"/>
        </w:rPr>
        <w:t>" анализа SWOT следующее</w:t>
      </w:r>
      <w:r w:rsidR="00B109FC" w:rsidRPr="005126F9">
        <w:rPr>
          <w:lang w:val="ru-RU"/>
        </w:rPr>
        <w:t>:</w:t>
      </w:r>
      <w:bookmarkEnd w:id="54"/>
    </w:p>
    <w:p w14:paraId="571D6090" w14:textId="0C3DEB45" w:rsidR="00B109FC" w:rsidRPr="005126F9" w:rsidRDefault="00977215" w:rsidP="00977215">
      <w:pPr>
        <w:pStyle w:val="enumlev1"/>
        <w:rPr>
          <w:lang w:val="ru-RU"/>
        </w:rPr>
      </w:pPr>
      <w:bookmarkStart w:id="55" w:name="lt_pId068"/>
      <w:r w:rsidRPr="005126F9">
        <w:rPr>
          <w:lang w:val="ru-RU"/>
        </w:rPr>
        <w:t>1)</w:t>
      </w:r>
      <w:r w:rsidRPr="005126F9">
        <w:rPr>
          <w:lang w:val="ru-RU"/>
        </w:rPr>
        <w:tab/>
      </w:r>
      <w:r w:rsidR="001471B0" w:rsidRPr="005126F9">
        <w:rPr>
          <w:lang w:val="ru-RU"/>
        </w:rPr>
        <w:t xml:space="preserve">Использование конкурентных преимуществ </w:t>
      </w:r>
      <w:r w:rsidR="0008384B" w:rsidRPr="005126F9">
        <w:rPr>
          <w:lang w:val="ru-RU"/>
        </w:rPr>
        <w:t>МСЭ, в том числе его продуктов и услуг, для повышения доходов Союза, или разработка дополнительных новых финансовых механизмов</w:t>
      </w:r>
      <w:bookmarkEnd w:id="55"/>
      <w:r w:rsidR="00730AF8">
        <w:rPr>
          <w:lang w:val="ru-RU"/>
        </w:rPr>
        <w:t>.</w:t>
      </w:r>
    </w:p>
    <w:p w14:paraId="712ABAA8" w14:textId="77777777" w:rsidR="00977215" w:rsidRPr="005126F9" w:rsidRDefault="00977215" w:rsidP="00977215">
      <w:pPr>
        <w:spacing w:before="720"/>
        <w:jc w:val="center"/>
        <w:rPr>
          <w:lang w:val="ru-RU"/>
        </w:rPr>
      </w:pPr>
      <w:r w:rsidRPr="005126F9">
        <w:rPr>
          <w:lang w:val="ru-RU"/>
        </w:rPr>
        <w:t>______________</w:t>
      </w:r>
    </w:p>
    <w:sectPr w:rsidR="00977215" w:rsidRPr="005126F9" w:rsidSect="0082147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109C" w14:textId="77777777" w:rsidR="00667077" w:rsidRDefault="00667077">
      <w:r>
        <w:separator/>
      </w:r>
    </w:p>
  </w:endnote>
  <w:endnote w:type="continuationSeparator" w:id="0">
    <w:p w14:paraId="13F16825" w14:textId="77777777" w:rsidR="00667077" w:rsidRDefault="0066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45A4" w14:textId="3C3719C3" w:rsidR="00977215" w:rsidRPr="00977215" w:rsidRDefault="00977215" w:rsidP="00977215">
    <w:pPr>
      <w:pStyle w:val="Footer"/>
      <w:rPr>
        <w:szCs w:val="16"/>
      </w:rPr>
    </w:pPr>
    <w:r w:rsidRPr="00643ADC">
      <w:rPr>
        <w:color w:val="F2F2F2" w:themeColor="background1" w:themeShade="F2"/>
        <w:szCs w:val="16"/>
      </w:rPr>
      <w:fldChar w:fldCharType="begin"/>
    </w:r>
    <w:r w:rsidRPr="00643ADC">
      <w:rPr>
        <w:color w:val="F2F2F2" w:themeColor="background1" w:themeShade="F2"/>
        <w:szCs w:val="16"/>
      </w:rPr>
      <w:instrText xml:space="preserve"> FILENAME \p  \* MERGEFORMAT </w:instrText>
    </w:r>
    <w:r w:rsidRPr="00643ADC">
      <w:rPr>
        <w:color w:val="F2F2F2" w:themeColor="background1" w:themeShade="F2"/>
        <w:szCs w:val="16"/>
      </w:rPr>
      <w:fldChar w:fldCharType="separate"/>
    </w:r>
    <w:r w:rsidRPr="00643ADC">
      <w:rPr>
        <w:color w:val="F2F2F2" w:themeColor="background1" w:themeShade="F2"/>
        <w:szCs w:val="16"/>
      </w:rPr>
      <w:t>P:\RUS\SG\CONSEIL\CWG-SFP\CWG-SFP3\000\009R.docx</w:t>
    </w:r>
    <w:r w:rsidRPr="00643ADC">
      <w:rPr>
        <w:color w:val="F2F2F2" w:themeColor="background1" w:themeShade="F2"/>
        <w:szCs w:val="16"/>
      </w:rPr>
      <w:fldChar w:fldCharType="end"/>
    </w:r>
    <w:r w:rsidRPr="00643ADC">
      <w:rPr>
        <w:color w:val="F2F2F2" w:themeColor="background1" w:themeShade="F2"/>
        <w:szCs w:val="16"/>
      </w:rPr>
      <w:t xml:space="preserve"> (501470)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667077" w:rsidRDefault="00667077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7C5C" w14:textId="77777777" w:rsidR="00667077" w:rsidRDefault="00667077">
      <w:r>
        <w:t>____________________</w:t>
      </w:r>
    </w:p>
  </w:footnote>
  <w:footnote w:type="continuationSeparator" w:id="0">
    <w:p w14:paraId="48FD8D04" w14:textId="77777777" w:rsidR="00667077" w:rsidRDefault="0066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4863A54D" w:rsidR="00667077" w:rsidRPr="007D4E22" w:rsidRDefault="00667077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>
      <w:rPr>
        <w:lang w:val="ru-RU"/>
      </w:rPr>
      <w:t>3/9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5475C"/>
    <w:multiLevelType w:val="hybridMultilevel"/>
    <w:tmpl w:val="DFE85F30"/>
    <w:lvl w:ilvl="0" w:tplc="27CAE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E04F340" w:tentative="1">
      <w:start w:val="1"/>
      <w:numFmt w:val="lowerLetter"/>
      <w:lvlText w:val="%2."/>
      <w:lvlJc w:val="left"/>
      <w:pPr>
        <w:ind w:left="1789" w:hanging="360"/>
      </w:pPr>
    </w:lvl>
    <w:lvl w:ilvl="2" w:tplc="6FC66B78" w:tentative="1">
      <w:start w:val="1"/>
      <w:numFmt w:val="lowerRoman"/>
      <w:lvlText w:val="%3."/>
      <w:lvlJc w:val="right"/>
      <w:pPr>
        <w:ind w:left="2509" w:hanging="180"/>
      </w:pPr>
    </w:lvl>
    <w:lvl w:ilvl="3" w:tplc="5702813A" w:tentative="1">
      <w:start w:val="1"/>
      <w:numFmt w:val="decimal"/>
      <w:lvlText w:val="%4."/>
      <w:lvlJc w:val="left"/>
      <w:pPr>
        <w:ind w:left="3229" w:hanging="360"/>
      </w:pPr>
    </w:lvl>
    <w:lvl w:ilvl="4" w:tplc="14429586" w:tentative="1">
      <w:start w:val="1"/>
      <w:numFmt w:val="lowerLetter"/>
      <w:lvlText w:val="%5."/>
      <w:lvlJc w:val="left"/>
      <w:pPr>
        <w:ind w:left="3949" w:hanging="360"/>
      </w:pPr>
    </w:lvl>
    <w:lvl w:ilvl="5" w:tplc="E3A6DC3C" w:tentative="1">
      <w:start w:val="1"/>
      <w:numFmt w:val="lowerRoman"/>
      <w:lvlText w:val="%6."/>
      <w:lvlJc w:val="right"/>
      <w:pPr>
        <w:ind w:left="4669" w:hanging="180"/>
      </w:pPr>
    </w:lvl>
    <w:lvl w:ilvl="6" w:tplc="6E0650A4" w:tentative="1">
      <w:start w:val="1"/>
      <w:numFmt w:val="decimal"/>
      <w:lvlText w:val="%7."/>
      <w:lvlJc w:val="left"/>
      <w:pPr>
        <w:ind w:left="5389" w:hanging="360"/>
      </w:pPr>
    </w:lvl>
    <w:lvl w:ilvl="7" w:tplc="26F259AA" w:tentative="1">
      <w:start w:val="1"/>
      <w:numFmt w:val="lowerLetter"/>
      <w:lvlText w:val="%8."/>
      <w:lvlJc w:val="left"/>
      <w:pPr>
        <w:ind w:left="6109" w:hanging="360"/>
      </w:pPr>
    </w:lvl>
    <w:lvl w:ilvl="8" w:tplc="515A62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C4510"/>
    <w:multiLevelType w:val="hybridMultilevel"/>
    <w:tmpl w:val="064AB058"/>
    <w:lvl w:ilvl="0" w:tplc="6C961092">
      <w:start w:val="1"/>
      <w:numFmt w:val="lowerLetter"/>
      <w:lvlText w:val="%1)"/>
      <w:lvlJc w:val="left"/>
      <w:pPr>
        <w:ind w:left="720" w:hanging="360"/>
      </w:pPr>
    </w:lvl>
    <w:lvl w:ilvl="1" w:tplc="267234C6" w:tentative="1">
      <w:start w:val="1"/>
      <w:numFmt w:val="lowerLetter"/>
      <w:lvlText w:val="%2."/>
      <w:lvlJc w:val="left"/>
      <w:pPr>
        <w:ind w:left="1440" w:hanging="360"/>
      </w:pPr>
    </w:lvl>
    <w:lvl w:ilvl="2" w:tplc="004E075E" w:tentative="1">
      <w:start w:val="1"/>
      <w:numFmt w:val="lowerRoman"/>
      <w:lvlText w:val="%3."/>
      <w:lvlJc w:val="right"/>
      <w:pPr>
        <w:ind w:left="2160" w:hanging="180"/>
      </w:pPr>
    </w:lvl>
    <w:lvl w:ilvl="3" w:tplc="1E0E7476" w:tentative="1">
      <w:start w:val="1"/>
      <w:numFmt w:val="decimal"/>
      <w:lvlText w:val="%4."/>
      <w:lvlJc w:val="left"/>
      <w:pPr>
        <w:ind w:left="2880" w:hanging="360"/>
      </w:pPr>
    </w:lvl>
    <w:lvl w:ilvl="4" w:tplc="332A4E70" w:tentative="1">
      <w:start w:val="1"/>
      <w:numFmt w:val="lowerLetter"/>
      <w:lvlText w:val="%5."/>
      <w:lvlJc w:val="left"/>
      <w:pPr>
        <w:ind w:left="3600" w:hanging="360"/>
      </w:pPr>
    </w:lvl>
    <w:lvl w:ilvl="5" w:tplc="71680BFC" w:tentative="1">
      <w:start w:val="1"/>
      <w:numFmt w:val="lowerRoman"/>
      <w:lvlText w:val="%6."/>
      <w:lvlJc w:val="right"/>
      <w:pPr>
        <w:ind w:left="4320" w:hanging="180"/>
      </w:pPr>
    </w:lvl>
    <w:lvl w:ilvl="6" w:tplc="03948E8C" w:tentative="1">
      <w:start w:val="1"/>
      <w:numFmt w:val="decimal"/>
      <w:lvlText w:val="%7."/>
      <w:lvlJc w:val="left"/>
      <w:pPr>
        <w:ind w:left="5040" w:hanging="360"/>
      </w:pPr>
    </w:lvl>
    <w:lvl w:ilvl="7" w:tplc="270ECA44" w:tentative="1">
      <w:start w:val="1"/>
      <w:numFmt w:val="lowerLetter"/>
      <w:lvlText w:val="%8."/>
      <w:lvlJc w:val="left"/>
      <w:pPr>
        <w:ind w:left="5760" w:hanging="360"/>
      </w:pPr>
    </w:lvl>
    <w:lvl w:ilvl="8" w:tplc="48101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D4500"/>
    <w:multiLevelType w:val="hybridMultilevel"/>
    <w:tmpl w:val="89005F92"/>
    <w:lvl w:ilvl="0" w:tplc="10946DAC">
      <w:start w:val="1"/>
      <w:numFmt w:val="decimal"/>
      <w:lvlText w:val="%1."/>
      <w:lvlJc w:val="left"/>
      <w:pPr>
        <w:ind w:left="1080" w:hanging="360"/>
      </w:pPr>
    </w:lvl>
    <w:lvl w:ilvl="1" w:tplc="B7862C32" w:tentative="1">
      <w:start w:val="1"/>
      <w:numFmt w:val="lowerLetter"/>
      <w:lvlText w:val="%2."/>
      <w:lvlJc w:val="left"/>
      <w:pPr>
        <w:ind w:left="1800" w:hanging="360"/>
      </w:pPr>
    </w:lvl>
    <w:lvl w:ilvl="2" w:tplc="F058E0C4" w:tentative="1">
      <w:start w:val="1"/>
      <w:numFmt w:val="lowerRoman"/>
      <w:lvlText w:val="%3."/>
      <w:lvlJc w:val="right"/>
      <w:pPr>
        <w:ind w:left="2520" w:hanging="180"/>
      </w:pPr>
    </w:lvl>
    <w:lvl w:ilvl="3" w:tplc="5A7CB476" w:tentative="1">
      <w:start w:val="1"/>
      <w:numFmt w:val="decimal"/>
      <w:lvlText w:val="%4."/>
      <w:lvlJc w:val="left"/>
      <w:pPr>
        <w:ind w:left="3240" w:hanging="360"/>
      </w:pPr>
    </w:lvl>
    <w:lvl w:ilvl="4" w:tplc="BC4E7CF6" w:tentative="1">
      <w:start w:val="1"/>
      <w:numFmt w:val="lowerLetter"/>
      <w:lvlText w:val="%5."/>
      <w:lvlJc w:val="left"/>
      <w:pPr>
        <w:ind w:left="3960" w:hanging="360"/>
      </w:pPr>
    </w:lvl>
    <w:lvl w:ilvl="5" w:tplc="5498C63C" w:tentative="1">
      <w:start w:val="1"/>
      <w:numFmt w:val="lowerRoman"/>
      <w:lvlText w:val="%6."/>
      <w:lvlJc w:val="right"/>
      <w:pPr>
        <w:ind w:left="4680" w:hanging="180"/>
      </w:pPr>
    </w:lvl>
    <w:lvl w:ilvl="6" w:tplc="A1F6EE9E" w:tentative="1">
      <w:start w:val="1"/>
      <w:numFmt w:val="decimal"/>
      <w:lvlText w:val="%7."/>
      <w:lvlJc w:val="left"/>
      <w:pPr>
        <w:ind w:left="5400" w:hanging="360"/>
      </w:pPr>
    </w:lvl>
    <w:lvl w:ilvl="7" w:tplc="AE3E0256" w:tentative="1">
      <w:start w:val="1"/>
      <w:numFmt w:val="lowerLetter"/>
      <w:lvlText w:val="%8."/>
      <w:lvlJc w:val="left"/>
      <w:pPr>
        <w:ind w:left="6120" w:hanging="360"/>
      </w:pPr>
    </w:lvl>
    <w:lvl w:ilvl="8" w:tplc="196C9A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B5612"/>
    <w:multiLevelType w:val="hybridMultilevel"/>
    <w:tmpl w:val="A64C538E"/>
    <w:lvl w:ilvl="0" w:tplc="782CBD3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02215BA" w:tentative="1">
      <w:start w:val="1"/>
      <w:numFmt w:val="lowerLetter"/>
      <w:lvlText w:val="%2."/>
      <w:lvlJc w:val="left"/>
      <w:pPr>
        <w:ind w:left="1440" w:hanging="360"/>
      </w:pPr>
    </w:lvl>
    <w:lvl w:ilvl="2" w:tplc="FB5CA92E" w:tentative="1">
      <w:start w:val="1"/>
      <w:numFmt w:val="lowerRoman"/>
      <w:lvlText w:val="%3."/>
      <w:lvlJc w:val="right"/>
      <w:pPr>
        <w:ind w:left="2160" w:hanging="180"/>
      </w:pPr>
    </w:lvl>
    <w:lvl w:ilvl="3" w:tplc="FE9ADD76" w:tentative="1">
      <w:start w:val="1"/>
      <w:numFmt w:val="decimal"/>
      <w:lvlText w:val="%4."/>
      <w:lvlJc w:val="left"/>
      <w:pPr>
        <w:ind w:left="2880" w:hanging="360"/>
      </w:pPr>
    </w:lvl>
    <w:lvl w:ilvl="4" w:tplc="8984FFC4" w:tentative="1">
      <w:start w:val="1"/>
      <w:numFmt w:val="lowerLetter"/>
      <w:lvlText w:val="%5."/>
      <w:lvlJc w:val="left"/>
      <w:pPr>
        <w:ind w:left="3600" w:hanging="360"/>
      </w:pPr>
    </w:lvl>
    <w:lvl w:ilvl="5" w:tplc="87A650D8" w:tentative="1">
      <w:start w:val="1"/>
      <w:numFmt w:val="lowerRoman"/>
      <w:lvlText w:val="%6."/>
      <w:lvlJc w:val="right"/>
      <w:pPr>
        <w:ind w:left="4320" w:hanging="180"/>
      </w:pPr>
    </w:lvl>
    <w:lvl w:ilvl="6" w:tplc="C8120922" w:tentative="1">
      <w:start w:val="1"/>
      <w:numFmt w:val="decimal"/>
      <w:lvlText w:val="%7."/>
      <w:lvlJc w:val="left"/>
      <w:pPr>
        <w:ind w:left="5040" w:hanging="360"/>
      </w:pPr>
    </w:lvl>
    <w:lvl w:ilvl="7" w:tplc="C1D47B5E" w:tentative="1">
      <w:start w:val="1"/>
      <w:numFmt w:val="lowerLetter"/>
      <w:lvlText w:val="%8."/>
      <w:lvlJc w:val="left"/>
      <w:pPr>
        <w:ind w:left="5760" w:hanging="360"/>
      </w:pPr>
    </w:lvl>
    <w:lvl w:ilvl="8" w:tplc="5AE8F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11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7D2E8D"/>
    <w:multiLevelType w:val="hybridMultilevel"/>
    <w:tmpl w:val="008C5350"/>
    <w:lvl w:ilvl="0" w:tplc="DB82AE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BAE2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6EC2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FC06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87B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60D4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9280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F414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FEF4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B27851"/>
    <w:multiLevelType w:val="multilevel"/>
    <w:tmpl w:val="D4069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5"/>
  </w:num>
  <w:num w:numId="5">
    <w:abstractNumId w:val="2"/>
  </w:num>
  <w:num w:numId="6">
    <w:abstractNumId w:val="11"/>
  </w:num>
  <w:num w:numId="7">
    <w:abstractNumId w:val="9"/>
  </w:num>
  <w:num w:numId="8">
    <w:abstractNumId w:val="16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5"/>
  </w:num>
  <w:num w:numId="14">
    <w:abstractNumId w:val="14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es-E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28BC"/>
    <w:rsid w:val="000569B4"/>
    <w:rsid w:val="00080E82"/>
    <w:rsid w:val="00080EA0"/>
    <w:rsid w:val="0008384B"/>
    <w:rsid w:val="000917D4"/>
    <w:rsid w:val="00091F4A"/>
    <w:rsid w:val="000A3178"/>
    <w:rsid w:val="000B0875"/>
    <w:rsid w:val="000B4F95"/>
    <w:rsid w:val="000B5A54"/>
    <w:rsid w:val="000C7CF6"/>
    <w:rsid w:val="000D2290"/>
    <w:rsid w:val="000E0C53"/>
    <w:rsid w:val="000E568E"/>
    <w:rsid w:val="001124E7"/>
    <w:rsid w:val="00113711"/>
    <w:rsid w:val="00115791"/>
    <w:rsid w:val="00131F2E"/>
    <w:rsid w:val="001471B0"/>
    <w:rsid w:val="0014734F"/>
    <w:rsid w:val="0015449B"/>
    <w:rsid w:val="00154AAD"/>
    <w:rsid w:val="0015710D"/>
    <w:rsid w:val="00163A32"/>
    <w:rsid w:val="001640A7"/>
    <w:rsid w:val="00184AC3"/>
    <w:rsid w:val="0018576D"/>
    <w:rsid w:val="001925A9"/>
    <w:rsid w:val="00192B41"/>
    <w:rsid w:val="001A44DA"/>
    <w:rsid w:val="001B7B09"/>
    <w:rsid w:val="001D255C"/>
    <w:rsid w:val="001D3396"/>
    <w:rsid w:val="001E6719"/>
    <w:rsid w:val="0020681C"/>
    <w:rsid w:val="00206DB6"/>
    <w:rsid w:val="0020763E"/>
    <w:rsid w:val="00211AAD"/>
    <w:rsid w:val="002171F7"/>
    <w:rsid w:val="00222600"/>
    <w:rsid w:val="0022481E"/>
    <w:rsid w:val="00225368"/>
    <w:rsid w:val="0022783A"/>
    <w:rsid w:val="00227FF0"/>
    <w:rsid w:val="00232784"/>
    <w:rsid w:val="00250815"/>
    <w:rsid w:val="00254AC9"/>
    <w:rsid w:val="00267C05"/>
    <w:rsid w:val="00271B93"/>
    <w:rsid w:val="002873E6"/>
    <w:rsid w:val="00287DB8"/>
    <w:rsid w:val="00291BF9"/>
    <w:rsid w:val="00291EB6"/>
    <w:rsid w:val="00295774"/>
    <w:rsid w:val="002C5A3D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35D3C"/>
    <w:rsid w:val="0034013D"/>
    <w:rsid w:val="00347CE6"/>
    <w:rsid w:val="00352002"/>
    <w:rsid w:val="00354D64"/>
    <w:rsid w:val="003624D9"/>
    <w:rsid w:val="00380112"/>
    <w:rsid w:val="00391722"/>
    <w:rsid w:val="003A72C0"/>
    <w:rsid w:val="003B6E1C"/>
    <w:rsid w:val="003D66DA"/>
    <w:rsid w:val="003D7317"/>
    <w:rsid w:val="003E78A6"/>
    <w:rsid w:val="003F06AA"/>
    <w:rsid w:val="003F099E"/>
    <w:rsid w:val="003F235E"/>
    <w:rsid w:val="004023E0"/>
    <w:rsid w:val="00403DD8"/>
    <w:rsid w:val="00411CC5"/>
    <w:rsid w:val="00415632"/>
    <w:rsid w:val="004179A3"/>
    <w:rsid w:val="00434F55"/>
    <w:rsid w:val="004435ED"/>
    <w:rsid w:val="0045686C"/>
    <w:rsid w:val="004679AE"/>
    <w:rsid w:val="0047089C"/>
    <w:rsid w:val="00471F18"/>
    <w:rsid w:val="00472F91"/>
    <w:rsid w:val="00473C1E"/>
    <w:rsid w:val="004740B2"/>
    <w:rsid w:val="0048072C"/>
    <w:rsid w:val="004877E9"/>
    <w:rsid w:val="004918C4"/>
    <w:rsid w:val="004961A5"/>
    <w:rsid w:val="004A0E93"/>
    <w:rsid w:val="004A45B5"/>
    <w:rsid w:val="004B66DB"/>
    <w:rsid w:val="004D0129"/>
    <w:rsid w:val="004D5F4E"/>
    <w:rsid w:val="004F04CA"/>
    <w:rsid w:val="004F2993"/>
    <w:rsid w:val="004F4060"/>
    <w:rsid w:val="004F4453"/>
    <w:rsid w:val="0050159A"/>
    <w:rsid w:val="0050785A"/>
    <w:rsid w:val="0051092F"/>
    <w:rsid w:val="005126F9"/>
    <w:rsid w:val="00515EDE"/>
    <w:rsid w:val="00521229"/>
    <w:rsid w:val="005247DA"/>
    <w:rsid w:val="00524849"/>
    <w:rsid w:val="00527549"/>
    <w:rsid w:val="00532B85"/>
    <w:rsid w:val="00534CFB"/>
    <w:rsid w:val="00541F93"/>
    <w:rsid w:val="0054271D"/>
    <w:rsid w:val="00550E88"/>
    <w:rsid w:val="00552268"/>
    <w:rsid w:val="00553CA2"/>
    <w:rsid w:val="00555395"/>
    <w:rsid w:val="005654A0"/>
    <w:rsid w:val="005910FE"/>
    <w:rsid w:val="00597216"/>
    <w:rsid w:val="005A64D5"/>
    <w:rsid w:val="005B7D02"/>
    <w:rsid w:val="005D1160"/>
    <w:rsid w:val="005D708E"/>
    <w:rsid w:val="005E00AE"/>
    <w:rsid w:val="005E2B72"/>
    <w:rsid w:val="005E6D8F"/>
    <w:rsid w:val="00601994"/>
    <w:rsid w:val="006077E5"/>
    <w:rsid w:val="00617F2C"/>
    <w:rsid w:val="006264E3"/>
    <w:rsid w:val="00626678"/>
    <w:rsid w:val="00634DBF"/>
    <w:rsid w:val="006369BD"/>
    <w:rsid w:val="00636E91"/>
    <w:rsid w:val="00643ADC"/>
    <w:rsid w:val="00656517"/>
    <w:rsid w:val="00656932"/>
    <w:rsid w:val="006605BE"/>
    <w:rsid w:val="00667077"/>
    <w:rsid w:val="0068193A"/>
    <w:rsid w:val="0068458A"/>
    <w:rsid w:val="00696262"/>
    <w:rsid w:val="006A0DC4"/>
    <w:rsid w:val="006B3D9F"/>
    <w:rsid w:val="006B5206"/>
    <w:rsid w:val="006C160C"/>
    <w:rsid w:val="006D5FAD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0AF8"/>
    <w:rsid w:val="00732269"/>
    <w:rsid w:val="00733AC0"/>
    <w:rsid w:val="00756434"/>
    <w:rsid w:val="00762756"/>
    <w:rsid w:val="0076356D"/>
    <w:rsid w:val="00767211"/>
    <w:rsid w:val="007726C7"/>
    <w:rsid w:val="007743BF"/>
    <w:rsid w:val="00785ABD"/>
    <w:rsid w:val="00792EF4"/>
    <w:rsid w:val="007944D2"/>
    <w:rsid w:val="007A2DD4"/>
    <w:rsid w:val="007A3ABD"/>
    <w:rsid w:val="007A4133"/>
    <w:rsid w:val="007A787B"/>
    <w:rsid w:val="007B0DB2"/>
    <w:rsid w:val="007B5EF1"/>
    <w:rsid w:val="007C17A0"/>
    <w:rsid w:val="007D38B5"/>
    <w:rsid w:val="007D49F4"/>
    <w:rsid w:val="007D4E22"/>
    <w:rsid w:val="007E673A"/>
    <w:rsid w:val="007E7EA0"/>
    <w:rsid w:val="007F68EE"/>
    <w:rsid w:val="00800C0D"/>
    <w:rsid w:val="00807255"/>
    <w:rsid w:val="0081023E"/>
    <w:rsid w:val="008173AA"/>
    <w:rsid w:val="00821479"/>
    <w:rsid w:val="00821783"/>
    <w:rsid w:val="00827DAB"/>
    <w:rsid w:val="008400BE"/>
    <w:rsid w:val="00840173"/>
    <w:rsid w:val="00840A14"/>
    <w:rsid w:val="0084450A"/>
    <w:rsid w:val="0084503E"/>
    <w:rsid w:val="00845B22"/>
    <w:rsid w:val="00857A89"/>
    <w:rsid w:val="008610D1"/>
    <w:rsid w:val="00867294"/>
    <w:rsid w:val="0087459D"/>
    <w:rsid w:val="008764BE"/>
    <w:rsid w:val="008817D3"/>
    <w:rsid w:val="00885B51"/>
    <w:rsid w:val="008956FA"/>
    <w:rsid w:val="008A6EEF"/>
    <w:rsid w:val="008B3F4C"/>
    <w:rsid w:val="008B4ED9"/>
    <w:rsid w:val="008B6BB8"/>
    <w:rsid w:val="008C6D60"/>
    <w:rsid w:val="008D2D7B"/>
    <w:rsid w:val="008D70AE"/>
    <w:rsid w:val="008E0737"/>
    <w:rsid w:val="008F0D39"/>
    <w:rsid w:val="008F2220"/>
    <w:rsid w:val="008F472F"/>
    <w:rsid w:val="008F535A"/>
    <w:rsid w:val="008F7C2C"/>
    <w:rsid w:val="00905DD1"/>
    <w:rsid w:val="0090751B"/>
    <w:rsid w:val="00910B54"/>
    <w:rsid w:val="00911ED6"/>
    <w:rsid w:val="009137A7"/>
    <w:rsid w:val="00915106"/>
    <w:rsid w:val="00920418"/>
    <w:rsid w:val="00924053"/>
    <w:rsid w:val="00940E96"/>
    <w:rsid w:val="00945F8F"/>
    <w:rsid w:val="009647CF"/>
    <w:rsid w:val="00971C23"/>
    <w:rsid w:val="0097342A"/>
    <w:rsid w:val="00974665"/>
    <w:rsid w:val="00975FF0"/>
    <w:rsid w:val="00977215"/>
    <w:rsid w:val="00995826"/>
    <w:rsid w:val="009A22F7"/>
    <w:rsid w:val="009A2ABF"/>
    <w:rsid w:val="009B0766"/>
    <w:rsid w:val="009B0BAE"/>
    <w:rsid w:val="009B56C1"/>
    <w:rsid w:val="009C1C89"/>
    <w:rsid w:val="009D7381"/>
    <w:rsid w:val="009D7A25"/>
    <w:rsid w:val="009D7E9E"/>
    <w:rsid w:val="009E6072"/>
    <w:rsid w:val="009F6B34"/>
    <w:rsid w:val="009F794C"/>
    <w:rsid w:val="00A0767C"/>
    <w:rsid w:val="00A14B33"/>
    <w:rsid w:val="00A16489"/>
    <w:rsid w:val="00A25DDC"/>
    <w:rsid w:val="00A536CA"/>
    <w:rsid w:val="00A71773"/>
    <w:rsid w:val="00A80799"/>
    <w:rsid w:val="00A82C57"/>
    <w:rsid w:val="00A94C82"/>
    <w:rsid w:val="00AB531E"/>
    <w:rsid w:val="00AB5545"/>
    <w:rsid w:val="00AC06CE"/>
    <w:rsid w:val="00AC556F"/>
    <w:rsid w:val="00AE2C85"/>
    <w:rsid w:val="00AE34A3"/>
    <w:rsid w:val="00AE4844"/>
    <w:rsid w:val="00AF56EE"/>
    <w:rsid w:val="00B109FC"/>
    <w:rsid w:val="00B12A37"/>
    <w:rsid w:val="00B13C39"/>
    <w:rsid w:val="00B14E73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973D4"/>
    <w:rsid w:val="00BA3D2A"/>
    <w:rsid w:val="00BB19FE"/>
    <w:rsid w:val="00BB5A59"/>
    <w:rsid w:val="00BC0D39"/>
    <w:rsid w:val="00BC4690"/>
    <w:rsid w:val="00BC7BC0"/>
    <w:rsid w:val="00BD57B7"/>
    <w:rsid w:val="00BE63E2"/>
    <w:rsid w:val="00BE658A"/>
    <w:rsid w:val="00BF0C61"/>
    <w:rsid w:val="00BF7F80"/>
    <w:rsid w:val="00C029C3"/>
    <w:rsid w:val="00C070C1"/>
    <w:rsid w:val="00C0753B"/>
    <w:rsid w:val="00C158B1"/>
    <w:rsid w:val="00C16CA9"/>
    <w:rsid w:val="00C203A1"/>
    <w:rsid w:val="00C229F9"/>
    <w:rsid w:val="00C30AFB"/>
    <w:rsid w:val="00C31004"/>
    <w:rsid w:val="00C34F38"/>
    <w:rsid w:val="00C404C3"/>
    <w:rsid w:val="00C430B4"/>
    <w:rsid w:val="00C45E60"/>
    <w:rsid w:val="00C466B6"/>
    <w:rsid w:val="00C46787"/>
    <w:rsid w:val="00C505A5"/>
    <w:rsid w:val="00C529D0"/>
    <w:rsid w:val="00C61CEC"/>
    <w:rsid w:val="00C660C3"/>
    <w:rsid w:val="00C661D3"/>
    <w:rsid w:val="00C76D7E"/>
    <w:rsid w:val="00C96AB1"/>
    <w:rsid w:val="00CA7C89"/>
    <w:rsid w:val="00CB156F"/>
    <w:rsid w:val="00CB6266"/>
    <w:rsid w:val="00CD2009"/>
    <w:rsid w:val="00CE1D97"/>
    <w:rsid w:val="00CF629C"/>
    <w:rsid w:val="00D10A28"/>
    <w:rsid w:val="00D121F4"/>
    <w:rsid w:val="00D1411E"/>
    <w:rsid w:val="00D16813"/>
    <w:rsid w:val="00D17F88"/>
    <w:rsid w:val="00D204DC"/>
    <w:rsid w:val="00D34635"/>
    <w:rsid w:val="00D356D0"/>
    <w:rsid w:val="00D36D92"/>
    <w:rsid w:val="00D402F7"/>
    <w:rsid w:val="00D4039F"/>
    <w:rsid w:val="00D405CE"/>
    <w:rsid w:val="00D460D2"/>
    <w:rsid w:val="00D50D26"/>
    <w:rsid w:val="00D53428"/>
    <w:rsid w:val="00D712F0"/>
    <w:rsid w:val="00D767C7"/>
    <w:rsid w:val="00D77DF3"/>
    <w:rsid w:val="00D8065C"/>
    <w:rsid w:val="00D92EEA"/>
    <w:rsid w:val="00DA3752"/>
    <w:rsid w:val="00DA5D4E"/>
    <w:rsid w:val="00DB2408"/>
    <w:rsid w:val="00DB363F"/>
    <w:rsid w:val="00DB58D3"/>
    <w:rsid w:val="00DC359C"/>
    <w:rsid w:val="00DE14AF"/>
    <w:rsid w:val="00DF2730"/>
    <w:rsid w:val="00E009BB"/>
    <w:rsid w:val="00E0307A"/>
    <w:rsid w:val="00E0653A"/>
    <w:rsid w:val="00E165D1"/>
    <w:rsid w:val="00E176BA"/>
    <w:rsid w:val="00E31666"/>
    <w:rsid w:val="00E423EC"/>
    <w:rsid w:val="00E553E7"/>
    <w:rsid w:val="00E734D2"/>
    <w:rsid w:val="00E803DF"/>
    <w:rsid w:val="00E87641"/>
    <w:rsid w:val="00E908DF"/>
    <w:rsid w:val="00E969A5"/>
    <w:rsid w:val="00EA72A3"/>
    <w:rsid w:val="00EB461B"/>
    <w:rsid w:val="00EC6BC5"/>
    <w:rsid w:val="00ED5F5C"/>
    <w:rsid w:val="00ED72EB"/>
    <w:rsid w:val="00EE3D2D"/>
    <w:rsid w:val="00EE7BBB"/>
    <w:rsid w:val="00F029A1"/>
    <w:rsid w:val="00F0488B"/>
    <w:rsid w:val="00F111FD"/>
    <w:rsid w:val="00F20BE1"/>
    <w:rsid w:val="00F25143"/>
    <w:rsid w:val="00F2793E"/>
    <w:rsid w:val="00F32EA6"/>
    <w:rsid w:val="00F35898"/>
    <w:rsid w:val="00F36526"/>
    <w:rsid w:val="00F36C5A"/>
    <w:rsid w:val="00F434D5"/>
    <w:rsid w:val="00F5112C"/>
    <w:rsid w:val="00F5225B"/>
    <w:rsid w:val="00F5742C"/>
    <w:rsid w:val="00F80722"/>
    <w:rsid w:val="00F94E97"/>
    <w:rsid w:val="00F958FD"/>
    <w:rsid w:val="00FA1188"/>
    <w:rsid w:val="00FB799E"/>
    <w:rsid w:val="00FC0F80"/>
    <w:rsid w:val="00FD31D4"/>
    <w:rsid w:val="00FD357C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A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43AD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43AD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43ADC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643AD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43ADC"/>
    <w:pPr>
      <w:outlineLvl w:val="4"/>
    </w:pPr>
  </w:style>
  <w:style w:type="paragraph" w:styleId="Heading6">
    <w:name w:val="heading 6"/>
    <w:basedOn w:val="Heading4"/>
    <w:next w:val="Normal"/>
    <w:qFormat/>
    <w:rsid w:val="00643ADC"/>
    <w:pPr>
      <w:outlineLvl w:val="5"/>
    </w:pPr>
  </w:style>
  <w:style w:type="paragraph" w:styleId="Heading7">
    <w:name w:val="heading 7"/>
    <w:basedOn w:val="Heading6"/>
    <w:next w:val="Normal"/>
    <w:qFormat/>
    <w:rsid w:val="00643ADC"/>
    <w:pPr>
      <w:outlineLvl w:val="6"/>
    </w:pPr>
  </w:style>
  <w:style w:type="paragraph" w:styleId="Heading8">
    <w:name w:val="heading 8"/>
    <w:basedOn w:val="Heading6"/>
    <w:next w:val="Normal"/>
    <w:qFormat/>
    <w:rsid w:val="00643ADC"/>
    <w:pPr>
      <w:outlineLvl w:val="7"/>
    </w:pPr>
  </w:style>
  <w:style w:type="paragraph" w:styleId="Heading9">
    <w:name w:val="heading 9"/>
    <w:basedOn w:val="Heading6"/>
    <w:next w:val="Normal"/>
    <w:qFormat/>
    <w:rsid w:val="00643ADC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43A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3ADC"/>
  </w:style>
  <w:style w:type="paragraph" w:styleId="TOC8">
    <w:name w:val="toc 8"/>
    <w:basedOn w:val="TOC4"/>
    <w:rsid w:val="00643ADC"/>
  </w:style>
  <w:style w:type="paragraph" w:styleId="TOC4">
    <w:name w:val="toc 4"/>
    <w:basedOn w:val="TOC3"/>
    <w:rsid w:val="00643ADC"/>
    <w:pPr>
      <w:spacing w:before="80"/>
    </w:pPr>
  </w:style>
  <w:style w:type="paragraph" w:styleId="TOC3">
    <w:name w:val="toc 3"/>
    <w:basedOn w:val="TOC2"/>
    <w:rsid w:val="00643ADC"/>
  </w:style>
  <w:style w:type="paragraph" w:styleId="TOC2">
    <w:name w:val="toc 2"/>
    <w:basedOn w:val="TOC1"/>
    <w:rsid w:val="00643ADC"/>
    <w:pPr>
      <w:spacing w:before="160"/>
    </w:pPr>
  </w:style>
  <w:style w:type="paragraph" w:styleId="TOC1">
    <w:name w:val="toc 1"/>
    <w:basedOn w:val="Normal"/>
    <w:rsid w:val="00643AD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43ADC"/>
  </w:style>
  <w:style w:type="paragraph" w:styleId="TOC6">
    <w:name w:val="toc 6"/>
    <w:basedOn w:val="TOC4"/>
    <w:rsid w:val="00643ADC"/>
  </w:style>
  <w:style w:type="paragraph" w:styleId="TOC5">
    <w:name w:val="toc 5"/>
    <w:basedOn w:val="TOC4"/>
    <w:rsid w:val="00643ADC"/>
  </w:style>
  <w:style w:type="paragraph" w:styleId="Index7">
    <w:name w:val="index 7"/>
    <w:basedOn w:val="Normal"/>
    <w:next w:val="Normal"/>
    <w:rsid w:val="00643ADC"/>
    <w:pPr>
      <w:ind w:left="1698"/>
    </w:pPr>
  </w:style>
  <w:style w:type="paragraph" w:styleId="Index6">
    <w:name w:val="index 6"/>
    <w:basedOn w:val="Normal"/>
    <w:next w:val="Normal"/>
    <w:rsid w:val="00643ADC"/>
    <w:pPr>
      <w:ind w:left="1415"/>
    </w:pPr>
  </w:style>
  <w:style w:type="paragraph" w:styleId="Index5">
    <w:name w:val="index 5"/>
    <w:basedOn w:val="Normal"/>
    <w:next w:val="Normal"/>
    <w:rsid w:val="00643ADC"/>
    <w:pPr>
      <w:ind w:left="1132"/>
    </w:pPr>
  </w:style>
  <w:style w:type="paragraph" w:styleId="Index4">
    <w:name w:val="index 4"/>
    <w:basedOn w:val="Normal"/>
    <w:next w:val="Normal"/>
    <w:rsid w:val="00643ADC"/>
    <w:pPr>
      <w:ind w:left="849"/>
    </w:pPr>
  </w:style>
  <w:style w:type="paragraph" w:styleId="Index3">
    <w:name w:val="index 3"/>
    <w:basedOn w:val="Normal"/>
    <w:next w:val="Normal"/>
    <w:rsid w:val="00643ADC"/>
    <w:pPr>
      <w:ind w:left="566"/>
    </w:pPr>
  </w:style>
  <w:style w:type="paragraph" w:styleId="Index2">
    <w:name w:val="index 2"/>
    <w:basedOn w:val="Normal"/>
    <w:next w:val="Normal"/>
    <w:rsid w:val="00643ADC"/>
    <w:pPr>
      <w:ind w:left="283"/>
    </w:pPr>
  </w:style>
  <w:style w:type="paragraph" w:styleId="Index1">
    <w:name w:val="index 1"/>
    <w:basedOn w:val="Normal"/>
    <w:next w:val="Normal"/>
    <w:rsid w:val="00643ADC"/>
  </w:style>
  <w:style w:type="character" w:styleId="LineNumber">
    <w:name w:val="line number"/>
    <w:basedOn w:val="DefaultParagraphFont"/>
    <w:rsid w:val="00643ADC"/>
  </w:style>
  <w:style w:type="paragraph" w:styleId="IndexHeading">
    <w:name w:val="index heading"/>
    <w:basedOn w:val="Normal"/>
    <w:next w:val="Index1"/>
    <w:rsid w:val="00643ADC"/>
  </w:style>
  <w:style w:type="paragraph" w:styleId="Footer">
    <w:name w:val="footer"/>
    <w:basedOn w:val="Normal"/>
    <w:link w:val="FooterChar"/>
    <w:rsid w:val="00643A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43A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43AD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43AD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43ADC"/>
    <w:pPr>
      <w:ind w:left="794"/>
    </w:pPr>
  </w:style>
  <w:style w:type="paragraph" w:customStyle="1" w:styleId="enumlev1">
    <w:name w:val="enumlev1"/>
    <w:basedOn w:val="Normal"/>
    <w:rsid w:val="00643AD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43ADC"/>
    <w:pPr>
      <w:ind w:left="1191" w:hanging="397"/>
    </w:pPr>
  </w:style>
  <w:style w:type="paragraph" w:customStyle="1" w:styleId="enumlev3">
    <w:name w:val="enumlev3"/>
    <w:basedOn w:val="enumlev2"/>
    <w:rsid w:val="00643ADC"/>
    <w:pPr>
      <w:ind w:left="1588"/>
    </w:pPr>
  </w:style>
  <w:style w:type="paragraph" w:customStyle="1" w:styleId="Normalaftertitle">
    <w:name w:val="Normal after title"/>
    <w:basedOn w:val="Normal"/>
    <w:next w:val="Normal"/>
    <w:rsid w:val="00643ADC"/>
    <w:pPr>
      <w:spacing w:before="320"/>
    </w:pPr>
  </w:style>
  <w:style w:type="paragraph" w:customStyle="1" w:styleId="Equation">
    <w:name w:val="Equation"/>
    <w:basedOn w:val="Normal"/>
    <w:rsid w:val="00643A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43AD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43AD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43A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43A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43AD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43AD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43AD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43AD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43ADC"/>
  </w:style>
  <w:style w:type="paragraph" w:customStyle="1" w:styleId="Data">
    <w:name w:val="Data"/>
    <w:basedOn w:val="Subject"/>
    <w:next w:val="Subject"/>
    <w:rsid w:val="00643ADC"/>
  </w:style>
  <w:style w:type="paragraph" w:customStyle="1" w:styleId="Reasons">
    <w:name w:val="Reasons"/>
    <w:basedOn w:val="Normal"/>
    <w:rsid w:val="00643A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43ADC"/>
    <w:rPr>
      <w:color w:val="0000FF"/>
      <w:u w:val="single"/>
    </w:rPr>
  </w:style>
  <w:style w:type="paragraph" w:customStyle="1" w:styleId="FirstFooter">
    <w:name w:val="FirstFooter"/>
    <w:basedOn w:val="Footer"/>
    <w:rsid w:val="00643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43AD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43ADC"/>
  </w:style>
  <w:style w:type="paragraph" w:customStyle="1" w:styleId="Headingb">
    <w:name w:val="Heading_b"/>
    <w:basedOn w:val="Heading3"/>
    <w:next w:val="Normal"/>
    <w:rsid w:val="00643AD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43AD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43A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43A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43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43ADC"/>
    <w:rPr>
      <w:b/>
    </w:rPr>
  </w:style>
  <w:style w:type="paragraph" w:customStyle="1" w:styleId="dnum">
    <w:name w:val="dnum"/>
    <w:basedOn w:val="Normal"/>
    <w:rsid w:val="00643AD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43AD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43AD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43AD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43AD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43AD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43ADC"/>
  </w:style>
  <w:style w:type="paragraph" w:customStyle="1" w:styleId="Appendixtitle">
    <w:name w:val="Appendix_title"/>
    <w:basedOn w:val="Annextitle"/>
    <w:next w:val="Appendixref"/>
    <w:rsid w:val="00643ADC"/>
  </w:style>
  <w:style w:type="paragraph" w:customStyle="1" w:styleId="Appendixref">
    <w:name w:val="Appendix_ref"/>
    <w:basedOn w:val="Annexref"/>
    <w:next w:val="Normalaftertitle"/>
    <w:rsid w:val="00643ADC"/>
  </w:style>
  <w:style w:type="paragraph" w:customStyle="1" w:styleId="Call">
    <w:name w:val="Call"/>
    <w:basedOn w:val="Normal"/>
    <w:next w:val="Normal"/>
    <w:rsid w:val="00643AD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43ADC"/>
    <w:rPr>
      <w:vertAlign w:val="superscript"/>
    </w:rPr>
  </w:style>
  <w:style w:type="paragraph" w:customStyle="1" w:styleId="Equationlegend">
    <w:name w:val="Equation_legend"/>
    <w:basedOn w:val="Normal"/>
    <w:rsid w:val="00643AD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43AD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43AD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43AD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43AD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643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43A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43AD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43AD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43AD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43AD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43ADC"/>
  </w:style>
  <w:style w:type="paragraph" w:customStyle="1" w:styleId="Parttitle">
    <w:name w:val="Part_title"/>
    <w:basedOn w:val="Annextitle"/>
    <w:next w:val="Partref"/>
    <w:rsid w:val="00643ADC"/>
  </w:style>
  <w:style w:type="paragraph" w:customStyle="1" w:styleId="Partref">
    <w:name w:val="Part_ref"/>
    <w:basedOn w:val="Annexref"/>
    <w:next w:val="Normalaftertitle"/>
    <w:rsid w:val="00643ADC"/>
  </w:style>
  <w:style w:type="paragraph" w:customStyle="1" w:styleId="RecNo">
    <w:name w:val="Rec_No"/>
    <w:basedOn w:val="Normal"/>
    <w:next w:val="Rectitle"/>
    <w:rsid w:val="00643AD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43AD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43AD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43AD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43ADC"/>
  </w:style>
  <w:style w:type="paragraph" w:customStyle="1" w:styleId="QuestionNo">
    <w:name w:val="Question_No"/>
    <w:basedOn w:val="RecNo"/>
    <w:next w:val="Questiontitle"/>
    <w:rsid w:val="00643ADC"/>
  </w:style>
  <w:style w:type="paragraph" w:customStyle="1" w:styleId="Questionref">
    <w:name w:val="Question_ref"/>
    <w:basedOn w:val="Recref"/>
    <w:next w:val="Questiondate"/>
    <w:rsid w:val="00643ADC"/>
  </w:style>
  <w:style w:type="paragraph" w:customStyle="1" w:styleId="Questiontitle">
    <w:name w:val="Question_title"/>
    <w:basedOn w:val="Rectitle"/>
    <w:next w:val="Questionref"/>
    <w:rsid w:val="00643ADC"/>
  </w:style>
  <w:style w:type="paragraph" w:customStyle="1" w:styleId="Reftext">
    <w:name w:val="Ref_text"/>
    <w:basedOn w:val="Normal"/>
    <w:rsid w:val="00643ADC"/>
    <w:pPr>
      <w:ind w:left="794" w:hanging="794"/>
    </w:pPr>
  </w:style>
  <w:style w:type="paragraph" w:customStyle="1" w:styleId="Reftitle">
    <w:name w:val="Ref_title"/>
    <w:basedOn w:val="Normal"/>
    <w:next w:val="Reftext"/>
    <w:rsid w:val="00643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43ADC"/>
  </w:style>
  <w:style w:type="paragraph" w:customStyle="1" w:styleId="RepNo">
    <w:name w:val="Rep_No"/>
    <w:basedOn w:val="RecNo"/>
    <w:next w:val="Reptitle"/>
    <w:rsid w:val="00643ADC"/>
  </w:style>
  <w:style w:type="paragraph" w:customStyle="1" w:styleId="Reptitle">
    <w:name w:val="Rep_title"/>
    <w:basedOn w:val="Rectitle"/>
    <w:next w:val="Repref"/>
    <w:rsid w:val="00643ADC"/>
  </w:style>
  <w:style w:type="paragraph" w:customStyle="1" w:styleId="Repref">
    <w:name w:val="Rep_ref"/>
    <w:basedOn w:val="Recref"/>
    <w:next w:val="Repdate"/>
    <w:rsid w:val="00643ADC"/>
  </w:style>
  <w:style w:type="paragraph" w:customStyle="1" w:styleId="Resdate">
    <w:name w:val="Res_date"/>
    <w:basedOn w:val="Recdate"/>
    <w:next w:val="Normalaftertitle"/>
    <w:rsid w:val="00643ADC"/>
  </w:style>
  <w:style w:type="paragraph" w:customStyle="1" w:styleId="ResNo">
    <w:name w:val="Res_No"/>
    <w:basedOn w:val="RecNo"/>
    <w:next w:val="Restitle"/>
    <w:rsid w:val="00643ADC"/>
  </w:style>
  <w:style w:type="paragraph" w:customStyle="1" w:styleId="Restitle">
    <w:name w:val="Res_title"/>
    <w:basedOn w:val="Rectitle"/>
    <w:next w:val="Resref"/>
    <w:rsid w:val="00643ADC"/>
  </w:style>
  <w:style w:type="paragraph" w:customStyle="1" w:styleId="Resref">
    <w:name w:val="Res_ref"/>
    <w:basedOn w:val="Recref"/>
    <w:next w:val="Resdate"/>
    <w:rsid w:val="00643ADC"/>
  </w:style>
  <w:style w:type="paragraph" w:customStyle="1" w:styleId="SectionNo">
    <w:name w:val="Section_No"/>
    <w:basedOn w:val="AnnexNo"/>
    <w:next w:val="Sectiontitle"/>
    <w:rsid w:val="00643ADC"/>
  </w:style>
  <w:style w:type="paragraph" w:customStyle="1" w:styleId="Sectiontitle">
    <w:name w:val="Section_title"/>
    <w:basedOn w:val="Normal"/>
    <w:next w:val="Normalaftertitle"/>
    <w:rsid w:val="00643ADC"/>
    <w:rPr>
      <w:sz w:val="26"/>
    </w:rPr>
  </w:style>
  <w:style w:type="paragraph" w:customStyle="1" w:styleId="SpecialFooter">
    <w:name w:val="Special Footer"/>
    <w:basedOn w:val="Footer"/>
    <w:rsid w:val="00643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43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43ADC"/>
    <w:pPr>
      <w:spacing w:before="120"/>
    </w:pPr>
  </w:style>
  <w:style w:type="paragraph" w:customStyle="1" w:styleId="Tableref">
    <w:name w:val="Table_ref"/>
    <w:basedOn w:val="Normal"/>
    <w:next w:val="Tabletitle"/>
    <w:rsid w:val="00643AD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43AD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43AD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43AD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43ADC"/>
    <w:rPr>
      <w:b/>
    </w:rPr>
  </w:style>
  <w:style w:type="paragraph" w:customStyle="1" w:styleId="Chaptitle">
    <w:name w:val="Chap_title"/>
    <w:basedOn w:val="Arttitle"/>
    <w:next w:val="Normalaftertitle"/>
    <w:rsid w:val="00643ADC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33AC0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ref">
    <w:name w:val="href"/>
    <w:basedOn w:val="DefaultParagraphFont"/>
    <w:uiPriority w:val="99"/>
    <w:rsid w:val="009647CF"/>
    <w:rPr>
      <w:lang w:val="ru-RU"/>
    </w:rPr>
  </w:style>
  <w:style w:type="paragraph" w:styleId="Revision">
    <w:name w:val="Revision"/>
    <w:hidden/>
    <w:uiPriority w:val="99"/>
    <w:semiHidden/>
    <w:rsid w:val="00CE1D97"/>
    <w:rPr>
      <w:rFonts w:ascii="Calibri" w:hAnsi="Calibr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77215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5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8A57-E745-4C92-A719-655E5789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4</Pages>
  <Words>1111</Words>
  <Characters>7733</Characters>
  <Application>Microsoft Office Word</Application>
  <DocSecurity>4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Secretariat's input to annex 3 to Resolution 71- Glossary of terms</vt:lpstr>
      <vt:lpstr>НАЗВАНИЕ</vt:lpstr>
    </vt:vector>
  </TitlesOfParts>
  <Manager>General Secretariat - Pool</Manager>
  <Company>International Telecommunication Union (ITU)</Company>
  <LinksUpToDate>false</LinksUpToDate>
  <CharactersWithSpaces>8827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Algeria, Egypt, Kuwait, Saudi Arabia, and the United Arab Emirates to the third Council Working Group for the Strategic and financial plans (CWG-SFP) meeting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2022-02-17T11:39:00Z</dcterms:created>
  <dcterms:modified xsi:type="dcterms:W3CDTF">2022-02-17T11:39:00Z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