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4C7019" w14:paraId="615D7DD6" w14:textId="77777777">
        <w:trPr>
          <w:cantSplit/>
        </w:trPr>
        <w:tc>
          <w:tcPr>
            <w:tcW w:w="6911" w:type="dxa"/>
          </w:tcPr>
          <w:p w14:paraId="1A9DE82C" w14:textId="5D15BA68" w:rsidR="00700D1F" w:rsidRPr="004C7019" w:rsidRDefault="005133D3" w:rsidP="00D42120">
            <w:pPr>
              <w:spacing w:before="360" w:after="48"/>
              <w:rPr>
                <w:position w:val="6"/>
                <w:lang w:eastAsia="zh-CN"/>
              </w:rPr>
            </w:pP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5133D3">
              <w:rPr>
                <w:b/>
                <w:sz w:val="28"/>
                <w:szCs w:val="28"/>
                <w:lang w:eastAsia="zh-CN"/>
              </w:rPr>
              <w:t>202</w:t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5133D3">
              <w:rPr>
                <w:b/>
                <w:sz w:val="28"/>
                <w:szCs w:val="28"/>
                <w:lang w:eastAsia="zh-CN"/>
              </w:rPr>
              <w:t>-202</w:t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年战略规划</w:t>
            </w:r>
            <w:r w:rsidRPr="005133D3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Pr="005133D3">
              <w:rPr>
                <w:b/>
                <w:sz w:val="28"/>
                <w:szCs w:val="28"/>
                <w:lang w:eastAsia="zh-CN"/>
              </w:rPr>
              <w:br/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第</w:t>
            </w:r>
            <w:r w:rsidR="00D42120">
              <w:rPr>
                <w:rFonts w:hint="eastAsia"/>
                <w:b/>
                <w:sz w:val="28"/>
                <w:szCs w:val="28"/>
                <w:lang w:eastAsia="zh-CN"/>
              </w:rPr>
              <w:t>三</w:t>
            </w:r>
            <w:r w:rsidRPr="005133D3">
              <w:rPr>
                <w:b/>
                <w:sz w:val="28"/>
                <w:szCs w:val="28"/>
                <w:lang w:eastAsia="zh-CN"/>
              </w:rPr>
              <w:t>次会议</w:t>
            </w:r>
            <w:r w:rsidRPr="005133D3">
              <w:rPr>
                <w:b/>
                <w:sz w:val="28"/>
                <w:szCs w:val="28"/>
                <w:lang w:eastAsia="zh-CN"/>
              </w:rPr>
              <w:t xml:space="preserve"> –</w:t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 xml:space="preserve"> </w:t>
            </w:r>
            <w:r w:rsidR="00D91323" w:rsidRPr="00D91323">
              <w:rPr>
                <w:b/>
                <w:sz w:val="28"/>
                <w:szCs w:val="28"/>
                <w:lang w:eastAsia="zh-CN"/>
              </w:rPr>
              <w:t>20</w:t>
            </w:r>
            <w:r w:rsidR="00D91323" w:rsidRPr="00D91323">
              <w:rPr>
                <w:rFonts w:hint="eastAsia"/>
                <w:b/>
                <w:sz w:val="28"/>
                <w:szCs w:val="28"/>
                <w:lang w:eastAsia="zh-CN"/>
              </w:rPr>
              <w:t>22</w:t>
            </w:r>
            <w:r w:rsidR="00D91323" w:rsidRPr="00D91323">
              <w:rPr>
                <w:b/>
                <w:sz w:val="28"/>
                <w:szCs w:val="28"/>
                <w:lang w:eastAsia="zh-CN"/>
              </w:rPr>
              <w:t>年</w:t>
            </w:r>
            <w:r w:rsidR="00D91323" w:rsidRPr="00D91323">
              <w:rPr>
                <w:b/>
                <w:sz w:val="28"/>
                <w:szCs w:val="28"/>
                <w:lang w:eastAsia="zh-CN"/>
              </w:rPr>
              <w:t>2</w:t>
            </w:r>
            <w:r w:rsidR="00D91323" w:rsidRPr="00D91323">
              <w:rPr>
                <w:b/>
                <w:sz w:val="28"/>
                <w:szCs w:val="28"/>
                <w:lang w:eastAsia="zh-CN"/>
              </w:rPr>
              <w:t>月</w:t>
            </w:r>
            <w:r w:rsidR="00D91323" w:rsidRPr="00D91323">
              <w:rPr>
                <w:rFonts w:hint="eastAsia"/>
                <w:b/>
                <w:sz w:val="28"/>
                <w:szCs w:val="28"/>
                <w:lang w:eastAsia="zh-CN"/>
              </w:rPr>
              <w:t>21-</w:t>
            </w:r>
            <w:r w:rsidR="00D91323" w:rsidRPr="00D91323">
              <w:rPr>
                <w:b/>
                <w:sz w:val="28"/>
                <w:szCs w:val="28"/>
                <w:lang w:eastAsia="zh-CN"/>
              </w:rPr>
              <w:t>22</w:t>
            </w:r>
            <w:r w:rsidR="00D91323" w:rsidRPr="00D91323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20" w:type="dxa"/>
          </w:tcPr>
          <w:p w14:paraId="36E09915" w14:textId="77777777" w:rsidR="00700D1F" w:rsidRPr="004C7019" w:rsidRDefault="009D2585" w:rsidP="009D2585">
            <w:pPr>
              <w:spacing w:before="0"/>
            </w:pPr>
            <w:bookmarkStart w:id="0" w:name="ditulogo"/>
            <w:bookmarkEnd w:id="0"/>
            <w:r w:rsidRPr="004C7019">
              <w:rPr>
                <w:noProof/>
                <w:lang w:val="en-US" w:eastAsia="zh-CN"/>
              </w:rPr>
              <w:drawing>
                <wp:inline distT="0" distB="0" distL="0" distR="0" wp14:anchorId="79267DB9" wp14:editId="54B2105A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4C7019" w14:paraId="73E044B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B17852" w14:textId="7BAE3581" w:rsidR="00700D1F" w:rsidRPr="004C7019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61CC1C" w14:textId="77777777" w:rsidR="00700D1F" w:rsidRPr="004C7019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4C7019" w14:paraId="4678394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DB8BB3A" w14:textId="77777777" w:rsidR="00700D1F" w:rsidRPr="004C7019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F39A6E" w14:textId="77777777" w:rsidR="00700D1F" w:rsidRPr="004C7019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4C7019" w14:paraId="78C1034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D39AE3D" w14:textId="77777777" w:rsidR="003C68C5" w:rsidRPr="004C7019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78DE070A" w14:textId="1D64E8FD" w:rsidR="003C68C5" w:rsidRPr="004C7019" w:rsidRDefault="003C68C5" w:rsidP="000916EA">
            <w:pPr>
              <w:tabs>
                <w:tab w:val="left" w:pos="851"/>
              </w:tabs>
              <w:spacing w:before="0"/>
              <w:rPr>
                <w:b/>
                <w:bCs/>
              </w:rPr>
            </w:pPr>
            <w:proofErr w:type="spellStart"/>
            <w:r w:rsidRPr="004C7019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Pr="004C7019">
              <w:rPr>
                <w:b/>
                <w:bCs/>
                <w:sz w:val="20"/>
              </w:rPr>
              <w:t xml:space="preserve"> </w:t>
            </w:r>
            <w:r w:rsidR="009B0BC1" w:rsidRPr="00A82C73">
              <w:rPr>
                <w:rFonts w:cs="Times New Roman Bold"/>
                <w:b/>
                <w:spacing w:val="-4"/>
              </w:rPr>
              <w:t>CWG-SFP-</w:t>
            </w:r>
            <w:r w:rsidR="00D91323">
              <w:rPr>
                <w:rFonts w:cs="Times New Roman Bold" w:hint="eastAsia"/>
                <w:b/>
                <w:spacing w:val="-4"/>
                <w:lang w:eastAsia="zh-CN"/>
              </w:rPr>
              <w:t>3</w:t>
            </w:r>
            <w:r w:rsidR="009B0BC1" w:rsidRPr="00A82C73">
              <w:rPr>
                <w:rFonts w:cs="Times New Roman Bold"/>
                <w:b/>
                <w:bCs/>
                <w:spacing w:val="-4"/>
              </w:rPr>
              <w:t>/</w:t>
            </w:r>
            <w:r w:rsidR="0063372F">
              <w:rPr>
                <w:rFonts w:cs="Times New Roman Bold"/>
                <w:b/>
                <w:bCs/>
                <w:spacing w:val="-4"/>
                <w:lang w:eastAsia="zh-CN"/>
              </w:rPr>
              <w:t>9</w:t>
            </w:r>
            <w:r w:rsidR="009B0BC1" w:rsidRPr="00A82C73">
              <w:rPr>
                <w:rFonts w:cs="Times New Roman Bold"/>
                <w:b/>
                <w:bCs/>
                <w:spacing w:val="-4"/>
              </w:rPr>
              <w:t>-C</w:t>
            </w:r>
          </w:p>
        </w:tc>
      </w:tr>
      <w:bookmarkEnd w:id="1"/>
      <w:tr w:rsidR="003C68C5" w:rsidRPr="004C7019" w14:paraId="083FB0F5" w14:textId="77777777">
        <w:trPr>
          <w:cantSplit/>
          <w:trHeight w:val="23"/>
        </w:trPr>
        <w:tc>
          <w:tcPr>
            <w:tcW w:w="6911" w:type="dxa"/>
            <w:vMerge/>
          </w:tcPr>
          <w:p w14:paraId="1FA732A1" w14:textId="77777777" w:rsidR="003C68C5" w:rsidRPr="004C7019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C4E05C1" w14:textId="39729AFC" w:rsidR="003C68C5" w:rsidRPr="004C7019" w:rsidRDefault="009B0BC1" w:rsidP="000916EA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r w:rsidRPr="004C7019">
              <w:rPr>
                <w:b/>
              </w:rPr>
              <w:t>20</w:t>
            </w:r>
            <w:r w:rsidRPr="004C7019">
              <w:rPr>
                <w:rFonts w:hint="eastAsia"/>
                <w:b/>
                <w:lang w:eastAsia="zh-CN"/>
              </w:rPr>
              <w:t>2</w:t>
            </w:r>
            <w:r w:rsidR="00D91323">
              <w:rPr>
                <w:rFonts w:hint="eastAsia"/>
                <w:b/>
                <w:lang w:eastAsia="zh-CN"/>
              </w:rPr>
              <w:t>2</w:t>
            </w:r>
            <w:r w:rsidR="003C68C5" w:rsidRPr="004C7019">
              <w:rPr>
                <w:rFonts w:hint="eastAsia"/>
                <w:b/>
              </w:rPr>
              <w:t>年</w:t>
            </w:r>
            <w:r w:rsidR="00D91323">
              <w:rPr>
                <w:rFonts w:hint="eastAsia"/>
                <w:b/>
                <w:lang w:eastAsia="zh-CN"/>
              </w:rPr>
              <w:t>1</w:t>
            </w:r>
            <w:r w:rsidR="003C68C5" w:rsidRPr="004C7019">
              <w:rPr>
                <w:rFonts w:hint="eastAsia"/>
                <w:b/>
              </w:rPr>
              <w:t>月</w:t>
            </w:r>
            <w:r w:rsidR="00D91323">
              <w:rPr>
                <w:rFonts w:hint="eastAsia"/>
                <w:b/>
                <w:lang w:eastAsia="zh-CN"/>
              </w:rPr>
              <w:t>21</w:t>
            </w:r>
            <w:r w:rsidR="003C68C5" w:rsidRPr="004C7019">
              <w:rPr>
                <w:rFonts w:hint="eastAsia"/>
                <w:b/>
              </w:rPr>
              <w:t>日</w:t>
            </w:r>
          </w:p>
        </w:tc>
      </w:tr>
      <w:tr w:rsidR="003C68C5" w:rsidRPr="004C7019" w14:paraId="5D735881" w14:textId="77777777" w:rsidTr="00DB3997">
        <w:trPr>
          <w:cantSplit/>
          <w:trHeight w:val="23"/>
        </w:trPr>
        <w:tc>
          <w:tcPr>
            <w:tcW w:w="6911" w:type="dxa"/>
            <w:vMerge/>
          </w:tcPr>
          <w:p w14:paraId="0E745397" w14:textId="77777777" w:rsidR="003C68C5" w:rsidRPr="004C7019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FB77E41" w14:textId="77777777" w:rsidR="003C68C5" w:rsidRPr="004C7019" w:rsidRDefault="003C68C5" w:rsidP="000916EA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proofErr w:type="spellStart"/>
            <w:r w:rsidRPr="004C7019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63372F" w:rsidRPr="004C7019" w14:paraId="5C5022EF" w14:textId="77777777" w:rsidTr="00B76531">
        <w:trPr>
          <w:cantSplit/>
        </w:trPr>
        <w:tc>
          <w:tcPr>
            <w:tcW w:w="10031" w:type="dxa"/>
            <w:gridSpan w:val="2"/>
          </w:tcPr>
          <w:p w14:paraId="6E555FFB" w14:textId="640E5A34" w:rsidR="0063372F" w:rsidRPr="004C7019" w:rsidRDefault="0063372F" w:rsidP="0063372F">
            <w:pPr>
              <w:pStyle w:val="Source"/>
              <w:rPr>
                <w:lang w:eastAsia="zh-CN"/>
              </w:rPr>
            </w:pPr>
            <w:r>
              <w:rPr>
                <w:szCs w:val="28"/>
                <w:lang w:eastAsia="zh-CN"/>
              </w:rPr>
              <w:t>阿尔及利亚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埃及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科威特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沙特阿拉伯</w:t>
            </w:r>
            <w:r>
              <w:rPr>
                <w:rFonts w:hint="eastAsia"/>
                <w:szCs w:val="28"/>
                <w:lang w:eastAsia="zh-CN"/>
              </w:rPr>
              <w:t>和</w:t>
            </w:r>
            <w:r>
              <w:rPr>
                <w:szCs w:val="28"/>
                <w:lang w:eastAsia="zh-CN"/>
              </w:rPr>
              <w:t>阿拉伯联合酋长国</w:t>
            </w:r>
            <w:r>
              <w:rPr>
                <w:rFonts w:hint="eastAsia"/>
                <w:szCs w:val="28"/>
                <w:lang w:eastAsia="zh-CN"/>
              </w:rPr>
              <w:t>的文稿</w:t>
            </w:r>
          </w:p>
        </w:tc>
      </w:tr>
      <w:tr w:rsidR="0063372F" w:rsidRPr="004C7019" w14:paraId="41C4F7CC" w14:textId="77777777" w:rsidTr="00B76531">
        <w:trPr>
          <w:cantSplit/>
        </w:trPr>
        <w:tc>
          <w:tcPr>
            <w:tcW w:w="10031" w:type="dxa"/>
            <w:gridSpan w:val="2"/>
          </w:tcPr>
          <w:p w14:paraId="38196859" w14:textId="5465BFAD" w:rsidR="0063372F" w:rsidRPr="004C7019" w:rsidRDefault="0063372F" w:rsidP="0063372F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提交理事会战略规划和财务规划工作组</w:t>
            </w:r>
            <w:r>
              <w:rPr>
                <w:szCs w:val="28"/>
                <w:lang w:eastAsia="zh-CN"/>
              </w:rPr>
              <w:t>（</w:t>
            </w:r>
            <w:r>
              <w:rPr>
                <w:szCs w:val="28"/>
                <w:lang w:eastAsia="zh-CN"/>
              </w:rPr>
              <w:t>CWG-SFP</w:t>
            </w:r>
            <w:r>
              <w:rPr>
                <w:szCs w:val="28"/>
                <w:lang w:eastAsia="zh-CN"/>
              </w:rPr>
              <w:t>）</w:t>
            </w:r>
            <w:r>
              <w:rPr>
                <w:rFonts w:hint="eastAsia"/>
                <w:szCs w:val="28"/>
                <w:lang w:eastAsia="zh-CN"/>
              </w:rPr>
              <w:t>第三次会议的文稿</w:t>
            </w:r>
          </w:p>
        </w:tc>
      </w:tr>
    </w:tbl>
    <w:p w14:paraId="773B57CC" w14:textId="77777777" w:rsidR="0063372F" w:rsidRPr="005E308F" w:rsidRDefault="0063372F" w:rsidP="005E308F">
      <w:pPr>
        <w:pStyle w:val="Heading1"/>
        <w:rPr>
          <w:lang w:eastAsia="zh-CN"/>
        </w:rPr>
      </w:pPr>
      <w:r w:rsidRPr="005E308F">
        <w:rPr>
          <w:rFonts w:hint="eastAsia"/>
          <w:lang w:eastAsia="zh-CN"/>
        </w:rPr>
        <w:t>1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引言</w:t>
      </w:r>
    </w:p>
    <w:p w14:paraId="3AA4163C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我们从</w:t>
      </w:r>
      <w:r w:rsidRPr="005E308F">
        <w:rPr>
          <w:rFonts w:cs="Calibri" w:hint="eastAsia"/>
          <w:lang w:val="en-US" w:eastAsia="zh-CN"/>
        </w:rPr>
        <w:t>CWG-SFP</w:t>
      </w:r>
      <w:r w:rsidRPr="005E308F">
        <w:rPr>
          <w:rFonts w:cs="Calibri" w:hint="eastAsia"/>
          <w:lang w:val="en-US" w:eastAsia="zh-CN"/>
        </w:rPr>
        <w:t>第一次会议开始就参与其中，我们很高兴为我们的国际电联这一非常重要的进程提供多国文稿。</w:t>
      </w:r>
    </w:p>
    <w:p w14:paraId="43F5CFA4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我们很清楚地认识到，秘书处提出的加强国际电</w:t>
      </w:r>
      <w:proofErr w:type="gramStart"/>
      <w:r w:rsidRPr="005E308F">
        <w:rPr>
          <w:rFonts w:cs="Calibri" w:hint="eastAsia"/>
          <w:lang w:val="en-US" w:eastAsia="zh-CN"/>
        </w:rPr>
        <w:t>联战略</w:t>
      </w:r>
      <w:proofErr w:type="gramEnd"/>
      <w:r w:rsidRPr="005E308F">
        <w:rPr>
          <w:rFonts w:cs="Calibri" w:hint="eastAsia"/>
          <w:lang w:val="en-US" w:eastAsia="zh-CN"/>
        </w:rPr>
        <w:t>框架的建议，是建立在</w:t>
      </w:r>
      <w:r w:rsidRPr="005E308F">
        <w:rPr>
          <w:rFonts w:cs="Calibri" w:hint="eastAsia"/>
          <w:lang w:val="en-US" w:eastAsia="zh-CN"/>
        </w:rPr>
        <w:t>CWG-SFP</w:t>
      </w:r>
      <w:r w:rsidRPr="005E308F">
        <w:rPr>
          <w:rFonts w:cs="Calibri" w:hint="eastAsia"/>
          <w:lang w:val="en-US" w:eastAsia="zh-CN"/>
        </w:rPr>
        <w:t>第一次会议所制定的原则之上。我们认为，</w:t>
      </w:r>
      <w:r w:rsidRPr="005E308F">
        <w:rPr>
          <w:rFonts w:cs="Calibri" w:hint="eastAsia"/>
          <w:lang w:val="en-US" w:eastAsia="zh-CN"/>
        </w:rPr>
        <w:t>2024-2027</w:t>
      </w:r>
      <w:r w:rsidRPr="005E308F">
        <w:rPr>
          <w:rFonts w:cs="Calibri" w:hint="eastAsia"/>
          <w:lang w:val="en-US" w:eastAsia="zh-CN"/>
        </w:rPr>
        <w:t>年的时间框架对于实现、审查和跟进联合国的各项议程非常重要，因此，我们认为，对战略规划进行相应的调整是及时的。</w:t>
      </w:r>
      <w:bookmarkStart w:id="2" w:name="_Hlk90019171"/>
    </w:p>
    <w:p w14:paraId="482BAA3C" w14:textId="019B620E" w:rsidR="0063372F" w:rsidRPr="005E308F" w:rsidRDefault="0063372F" w:rsidP="005E308F">
      <w:pPr>
        <w:pStyle w:val="Heading1"/>
        <w:rPr>
          <w:lang w:eastAsia="zh-CN"/>
        </w:rPr>
      </w:pPr>
      <w:r w:rsidRPr="004E6FDF">
        <w:rPr>
          <w:lang w:eastAsia="zh-CN"/>
        </w:rPr>
        <w:t>2</w:t>
      </w:r>
      <w:r w:rsidRPr="004E6FDF">
        <w:rPr>
          <w:lang w:eastAsia="zh-CN"/>
        </w:rPr>
        <w:tab/>
      </w:r>
      <w:r w:rsidRPr="004E6FDF">
        <w:rPr>
          <w:rFonts w:hint="eastAsia"/>
          <w:lang w:eastAsia="zh-CN"/>
        </w:rPr>
        <w:t>有关秘书处对第</w:t>
      </w:r>
      <w:r w:rsidRPr="004E6FDF">
        <w:rPr>
          <w:rFonts w:hint="eastAsia"/>
          <w:lang w:eastAsia="zh-CN"/>
        </w:rPr>
        <w:t>71</w:t>
      </w:r>
      <w:r w:rsidRPr="004E6FDF">
        <w:rPr>
          <w:rFonts w:hint="eastAsia"/>
          <w:lang w:eastAsia="zh-CN"/>
        </w:rPr>
        <w:t>号决议</w:t>
      </w:r>
      <w:r w:rsidR="004E6FDF" w:rsidRPr="004E6FDF">
        <w:rPr>
          <w:rFonts w:hint="eastAsia"/>
          <w:lang w:eastAsia="zh-CN"/>
        </w:rPr>
        <w:t>附件</w:t>
      </w:r>
      <w:r w:rsidR="004E6FDF" w:rsidRPr="004E6FDF">
        <w:rPr>
          <w:rFonts w:hint="eastAsia"/>
          <w:lang w:eastAsia="zh-CN"/>
        </w:rPr>
        <w:t>1</w:t>
      </w:r>
      <w:r w:rsidRPr="004E6FDF">
        <w:rPr>
          <w:rFonts w:hint="eastAsia"/>
          <w:lang w:eastAsia="zh-CN"/>
        </w:rPr>
        <w:t>（《国际电联</w:t>
      </w:r>
      <w:r w:rsidRPr="004E6FDF">
        <w:rPr>
          <w:lang w:eastAsia="zh-CN"/>
        </w:rPr>
        <w:t>2024-2027</w:t>
      </w:r>
      <w:r w:rsidRPr="004E6FDF">
        <w:rPr>
          <w:rFonts w:hint="eastAsia"/>
          <w:lang w:eastAsia="zh-CN"/>
        </w:rPr>
        <w:t>年的战略规划》</w:t>
      </w:r>
      <w:r w:rsidR="004E6FDF" w:rsidRPr="004E6FDF">
        <w:rPr>
          <w:rFonts w:hint="eastAsia"/>
          <w:lang w:eastAsia="zh-CN"/>
        </w:rPr>
        <w:t>草案</w:t>
      </w:r>
      <w:r w:rsidRPr="004E6FDF">
        <w:rPr>
          <w:rFonts w:hint="eastAsia"/>
          <w:lang w:eastAsia="zh-CN"/>
        </w:rPr>
        <w:t>）提出的输入意见第</w:t>
      </w:r>
      <w:r w:rsidRPr="004E6FDF">
        <w:rPr>
          <w:lang w:eastAsia="zh-CN"/>
        </w:rPr>
        <w:t>2.5</w:t>
      </w:r>
      <w:r w:rsidRPr="004E6FDF">
        <w:rPr>
          <w:rFonts w:hint="eastAsia"/>
          <w:lang w:eastAsia="zh-CN"/>
        </w:rPr>
        <w:t>节的看法</w:t>
      </w:r>
      <w:bookmarkEnd w:id="2"/>
    </w:p>
    <w:p w14:paraId="4E2E899A" w14:textId="672159A0" w:rsidR="0063372F" w:rsidRPr="005E308F" w:rsidRDefault="0063372F" w:rsidP="0063372F">
      <w:pPr>
        <w:pStyle w:val="Heading2"/>
        <w:rPr>
          <w:rFonts w:cs="Calibri"/>
          <w:lang w:eastAsia="zh-CN"/>
        </w:rPr>
      </w:pPr>
      <w:r w:rsidRPr="005E308F">
        <w:rPr>
          <w:rFonts w:cs="Calibri" w:hint="eastAsia"/>
          <w:lang w:eastAsia="zh-CN"/>
        </w:rPr>
        <w:t>2</w:t>
      </w:r>
      <w:r w:rsidRPr="005E308F">
        <w:rPr>
          <w:rFonts w:cs="Calibri"/>
          <w:lang w:eastAsia="zh-CN"/>
        </w:rPr>
        <w:t>.1</w:t>
      </w:r>
      <w:r w:rsidR="005E308F">
        <w:rPr>
          <w:rFonts w:cs="Calibri"/>
          <w:lang w:eastAsia="zh-CN"/>
        </w:rPr>
        <w:tab/>
      </w:r>
      <w:r w:rsidRPr="005E308F">
        <w:rPr>
          <w:rFonts w:cs="Calibri" w:hint="eastAsia"/>
          <w:lang w:eastAsia="zh-CN"/>
        </w:rPr>
        <w:t>总体观点：</w:t>
      </w:r>
    </w:p>
    <w:p w14:paraId="6A61AF8F" w14:textId="77777777" w:rsidR="0063372F" w:rsidRPr="005E308F" w:rsidRDefault="0063372F" w:rsidP="0063372F">
      <w:pPr>
        <w:pStyle w:val="enumlev1"/>
        <w:rPr>
          <w:rFonts w:cs="Calibri"/>
          <w:lang w:eastAsia="zh-CN"/>
        </w:rPr>
      </w:pPr>
      <w:r w:rsidRPr="005E308F">
        <w:rPr>
          <w:rFonts w:cs="Calibri"/>
          <w:lang w:eastAsia="zh-CN"/>
        </w:rPr>
        <w:t>•</w:t>
      </w:r>
      <w:r w:rsidRPr="005E308F">
        <w:rPr>
          <w:rFonts w:cs="Calibri"/>
          <w:lang w:eastAsia="zh-CN"/>
        </w:rPr>
        <w:tab/>
      </w:r>
      <w:r w:rsidRPr="005E308F">
        <w:rPr>
          <w:rFonts w:cs="Calibri" w:hint="eastAsia"/>
          <w:lang w:eastAsia="zh-CN"/>
        </w:rPr>
        <w:t>国际电联在信息社会世界峰会（</w:t>
      </w:r>
      <w:r w:rsidRPr="005E308F">
        <w:rPr>
          <w:rFonts w:cs="Calibri" w:hint="eastAsia"/>
          <w:lang w:eastAsia="zh-CN"/>
        </w:rPr>
        <w:t>WSIS</w:t>
      </w:r>
      <w:r w:rsidRPr="005E308F">
        <w:rPr>
          <w:rFonts w:cs="Calibri" w:hint="eastAsia"/>
          <w:lang w:eastAsia="zh-CN"/>
        </w:rPr>
        <w:t>）进程中发挥了牵头作用，作为主要推进方，国际电联协调利益攸关多方对《日内瓦行动计划》的实施。值得注意的是，国际电联是</w:t>
      </w:r>
      <w:r w:rsidRPr="005E308F">
        <w:rPr>
          <w:rFonts w:cs="Calibri" w:hint="eastAsia"/>
          <w:lang w:eastAsia="zh-CN"/>
        </w:rPr>
        <w:t>WSIS</w:t>
      </w:r>
      <w:r w:rsidRPr="005E308F">
        <w:rPr>
          <w:rFonts w:cs="Calibri" w:hint="eastAsia"/>
          <w:lang w:eastAsia="zh-CN"/>
        </w:rPr>
        <w:t>三个不同行动方面的唯一推进方。</w:t>
      </w:r>
      <w:r w:rsidRPr="005E308F">
        <w:rPr>
          <w:rFonts w:cs="Calibri" w:hint="eastAsia"/>
          <w:lang w:eastAsia="zh-CN"/>
        </w:rPr>
        <w:t>C2</w:t>
      </w:r>
      <w:r w:rsidRPr="005E308F">
        <w:rPr>
          <w:rFonts w:cs="Calibri" w:hint="eastAsia"/>
          <w:lang w:eastAsia="zh-CN"/>
        </w:rPr>
        <w:t>（信息通信基础设施）、</w:t>
      </w:r>
      <w:r w:rsidRPr="005E308F">
        <w:rPr>
          <w:rFonts w:cs="Calibri" w:hint="eastAsia"/>
          <w:lang w:eastAsia="zh-CN"/>
        </w:rPr>
        <w:t>C5</w:t>
      </w:r>
      <w:r w:rsidRPr="005E308F">
        <w:rPr>
          <w:rFonts w:cs="Calibri" w:hint="eastAsia"/>
          <w:lang w:eastAsia="zh-CN"/>
        </w:rPr>
        <w:t>（树立使用信息通信技术（</w:t>
      </w:r>
      <w:r w:rsidRPr="005E308F">
        <w:rPr>
          <w:rFonts w:cs="Calibri" w:hint="eastAsia"/>
          <w:lang w:eastAsia="zh-CN"/>
        </w:rPr>
        <w:t>ICT</w:t>
      </w:r>
      <w:r w:rsidRPr="005E308F">
        <w:rPr>
          <w:rFonts w:cs="Calibri" w:hint="eastAsia"/>
          <w:lang w:eastAsia="zh-CN"/>
        </w:rPr>
        <w:t>）的信心并提高安全性）和</w:t>
      </w:r>
      <w:r w:rsidRPr="005E308F">
        <w:rPr>
          <w:rFonts w:cs="Calibri" w:hint="eastAsia"/>
          <w:lang w:eastAsia="zh-CN"/>
        </w:rPr>
        <w:t>C6</w:t>
      </w:r>
      <w:r w:rsidRPr="005E308F">
        <w:rPr>
          <w:rFonts w:cs="Calibri" w:hint="eastAsia"/>
          <w:lang w:eastAsia="zh-CN"/>
        </w:rPr>
        <w:t>（有利的环境）。</w:t>
      </w:r>
    </w:p>
    <w:p w14:paraId="40990041" w14:textId="68CC1C88" w:rsidR="0063372F" w:rsidRPr="005E308F" w:rsidRDefault="0063372F" w:rsidP="0063372F">
      <w:pPr>
        <w:pStyle w:val="enumlev1"/>
        <w:rPr>
          <w:rFonts w:cs="Calibri"/>
          <w:lang w:eastAsia="zh-CN"/>
        </w:rPr>
      </w:pPr>
      <w:r w:rsidRPr="005E308F">
        <w:rPr>
          <w:rFonts w:cs="Calibri"/>
          <w:lang w:eastAsia="zh-CN"/>
        </w:rPr>
        <w:t>•</w:t>
      </w:r>
      <w:r w:rsidRPr="005E308F">
        <w:rPr>
          <w:rFonts w:cs="Calibri"/>
          <w:lang w:eastAsia="zh-CN"/>
        </w:rPr>
        <w:tab/>
      </w:r>
      <w:hyperlink r:id="rId9" w:history="1">
        <w:r w:rsidRPr="005E308F">
          <w:rPr>
            <w:rStyle w:val="Hyperlink"/>
            <w:rFonts w:cs="Calibri" w:hint="eastAsia"/>
            <w:lang w:eastAsia="zh-CN"/>
          </w:rPr>
          <w:t>CWG-SFP-3/4</w:t>
        </w:r>
        <w:r w:rsidR="001C1190">
          <w:rPr>
            <w:rStyle w:val="Hyperlink"/>
            <w:rFonts w:cs="Calibri"/>
            <w:lang w:eastAsia="zh-CN"/>
          </w:rPr>
          <w:t>-</w:t>
        </w:r>
        <w:r w:rsidRPr="005E308F">
          <w:rPr>
            <w:rStyle w:val="Hyperlink"/>
            <w:rFonts w:cs="Calibri" w:hint="eastAsia"/>
            <w:lang w:eastAsia="zh-CN"/>
          </w:rPr>
          <w:t>C</w:t>
        </w:r>
        <w:r w:rsidRPr="005E308F">
          <w:rPr>
            <w:rStyle w:val="Hyperlink"/>
            <w:rFonts w:cs="Calibri" w:hint="eastAsia"/>
            <w:lang w:eastAsia="zh-CN"/>
          </w:rPr>
          <w:t>号文件</w:t>
        </w:r>
      </w:hyperlink>
      <w:r w:rsidRPr="005E308F">
        <w:rPr>
          <w:rFonts w:cs="Calibri" w:hint="eastAsia"/>
          <w:lang w:eastAsia="zh-CN"/>
        </w:rPr>
        <w:t>中提出的《</w:t>
      </w:r>
      <w:r w:rsidRPr="005E308F">
        <w:rPr>
          <w:rFonts w:cs="Calibri" w:hint="eastAsia"/>
          <w:lang w:eastAsia="zh-CN"/>
        </w:rPr>
        <w:t>2024-2027</w:t>
      </w:r>
      <w:r w:rsidRPr="005E308F">
        <w:rPr>
          <w:rFonts w:cs="Calibri" w:hint="eastAsia"/>
          <w:lang w:eastAsia="zh-CN"/>
        </w:rPr>
        <w:t>年战略规划》草案显示了两个总体战略目标和相关具体目标，以及六个主题重点和相关成果。然而，《战略规划》草案并没有在成果和具体目标与相关</w:t>
      </w:r>
      <w:r w:rsidRPr="005E308F">
        <w:rPr>
          <w:rFonts w:cs="Calibri" w:hint="eastAsia"/>
          <w:lang w:eastAsia="zh-CN"/>
        </w:rPr>
        <w:t>WSIS</w:t>
      </w:r>
      <w:r w:rsidRPr="005E308F">
        <w:rPr>
          <w:rFonts w:cs="Calibri" w:hint="eastAsia"/>
          <w:lang w:eastAsia="zh-CN"/>
        </w:rPr>
        <w:t>行动方面之间提供明确的对照</w:t>
      </w:r>
      <w:r w:rsidRPr="005E308F">
        <w:rPr>
          <w:rFonts w:cs="Calibri" w:hint="eastAsia"/>
          <w:lang w:eastAsia="zh-CN"/>
        </w:rPr>
        <w:t>/</w:t>
      </w:r>
      <w:r w:rsidRPr="005E308F">
        <w:rPr>
          <w:rFonts w:cs="Calibri" w:hint="eastAsia"/>
          <w:lang w:eastAsia="zh-CN"/>
        </w:rPr>
        <w:t>联系。因此，在没有这种对照的情况下，要决定《</w:t>
      </w:r>
      <w:r w:rsidRPr="005E308F">
        <w:rPr>
          <w:rFonts w:cs="Calibri" w:hint="eastAsia"/>
          <w:lang w:eastAsia="zh-CN"/>
        </w:rPr>
        <w:t>2024-2027</w:t>
      </w:r>
      <w:r w:rsidRPr="005E308F">
        <w:rPr>
          <w:rFonts w:cs="Calibri" w:hint="eastAsia"/>
          <w:lang w:eastAsia="zh-CN"/>
        </w:rPr>
        <w:t>年战略规划》草案是否全面并涵盖国际电联的责任是非常具有挑战性的。</w:t>
      </w:r>
    </w:p>
    <w:p w14:paraId="48AB8864" w14:textId="77777777" w:rsidR="0063372F" w:rsidRPr="005E308F" w:rsidRDefault="0063372F" w:rsidP="0063372F">
      <w:pPr>
        <w:pStyle w:val="enumlev1"/>
        <w:rPr>
          <w:rFonts w:cs="Calibri"/>
          <w:lang w:eastAsia="zh-CN"/>
        </w:rPr>
      </w:pPr>
      <w:r w:rsidRPr="005E308F">
        <w:rPr>
          <w:rFonts w:cs="Calibri"/>
          <w:lang w:eastAsia="zh-CN"/>
        </w:rPr>
        <w:t>•</w:t>
      </w:r>
      <w:r w:rsidRPr="005E308F">
        <w:rPr>
          <w:rFonts w:cs="Calibri"/>
          <w:lang w:eastAsia="zh-CN"/>
        </w:rPr>
        <w:tab/>
      </w:r>
      <w:r w:rsidRPr="005E308F">
        <w:rPr>
          <w:rFonts w:cs="Calibri" w:hint="eastAsia"/>
          <w:lang w:eastAsia="zh-CN"/>
        </w:rPr>
        <w:t>此外，还应统一协调《</w:t>
      </w:r>
      <w:r w:rsidRPr="005E308F">
        <w:rPr>
          <w:rFonts w:cs="Calibri" w:hint="eastAsia"/>
          <w:lang w:eastAsia="zh-CN"/>
        </w:rPr>
        <w:t>2024-2027</w:t>
      </w:r>
      <w:r w:rsidRPr="005E308F">
        <w:rPr>
          <w:rFonts w:cs="Calibri" w:hint="eastAsia"/>
          <w:lang w:eastAsia="zh-CN"/>
        </w:rPr>
        <w:t>年战略规划》草案的所有组成部分（即产品和服务、主题重点等）并将其联系起来。</w:t>
      </w:r>
    </w:p>
    <w:p w14:paraId="779C48CE" w14:textId="77777777" w:rsidR="0063372F" w:rsidRPr="005E308F" w:rsidRDefault="0063372F" w:rsidP="0063372F">
      <w:pPr>
        <w:pStyle w:val="enumlev1"/>
        <w:rPr>
          <w:rFonts w:cs="Calibri"/>
          <w:lang w:eastAsia="zh-CN"/>
        </w:rPr>
      </w:pPr>
      <w:r w:rsidRPr="005E308F">
        <w:rPr>
          <w:rFonts w:cs="Calibri"/>
          <w:lang w:eastAsia="zh-CN"/>
        </w:rPr>
        <w:t>•</w:t>
      </w:r>
      <w:r w:rsidRPr="005E308F">
        <w:rPr>
          <w:rFonts w:cs="Calibri"/>
          <w:lang w:eastAsia="zh-CN"/>
        </w:rPr>
        <w:tab/>
      </w:r>
      <w:r w:rsidRPr="005E308F">
        <w:rPr>
          <w:rFonts w:cs="Calibri" w:hint="eastAsia"/>
          <w:lang w:eastAsia="zh-CN"/>
        </w:rPr>
        <w:t>《战略规划》草案中建议的大部分具体目标都与连通性和扩大宽带覆盖面有关，而没有提到其他重要的具体目标，如与树立信心和提高安全性有关的目标。</w:t>
      </w:r>
    </w:p>
    <w:p w14:paraId="41A1F6EE" w14:textId="3487051A" w:rsidR="0063372F" w:rsidRPr="005E308F" w:rsidRDefault="0063372F" w:rsidP="0063372F">
      <w:pPr>
        <w:pStyle w:val="enumlev1"/>
        <w:rPr>
          <w:rFonts w:cs="Calibri"/>
          <w:lang w:eastAsia="zh-CN"/>
        </w:rPr>
      </w:pPr>
      <w:r w:rsidRPr="005E308F">
        <w:rPr>
          <w:rFonts w:cs="Calibri"/>
          <w:lang w:eastAsia="zh-CN"/>
        </w:rPr>
        <w:t>•</w:t>
      </w:r>
      <w:r w:rsidRPr="005E308F">
        <w:rPr>
          <w:rFonts w:cs="Calibri"/>
          <w:lang w:eastAsia="zh-CN"/>
        </w:rPr>
        <w:tab/>
      </w:r>
      <w:r w:rsidRPr="005E308F">
        <w:rPr>
          <w:rFonts w:cs="Calibri" w:hint="eastAsia"/>
          <w:lang w:eastAsia="zh-CN"/>
        </w:rPr>
        <w:t>《战略规划》草案应从第</w:t>
      </w:r>
      <w:r w:rsidRPr="005E308F">
        <w:rPr>
          <w:rFonts w:cs="Calibri" w:hint="eastAsia"/>
          <w:lang w:eastAsia="zh-CN"/>
        </w:rPr>
        <w:t>71</w:t>
      </w:r>
      <w:r w:rsidRPr="005E308F">
        <w:rPr>
          <w:rFonts w:cs="Calibri" w:hint="eastAsia"/>
          <w:lang w:eastAsia="zh-CN"/>
        </w:rPr>
        <w:t>号决议附件</w:t>
      </w:r>
      <w:r w:rsidRPr="005E308F">
        <w:rPr>
          <w:rFonts w:cs="Calibri" w:hint="eastAsia"/>
          <w:lang w:eastAsia="zh-CN"/>
        </w:rPr>
        <w:t>2</w:t>
      </w:r>
      <w:r w:rsidRPr="005E308F">
        <w:rPr>
          <w:rFonts w:cs="Calibri" w:hint="eastAsia"/>
          <w:lang w:eastAsia="zh-CN"/>
        </w:rPr>
        <w:t>草案中获益</w:t>
      </w:r>
      <w:r w:rsidR="000D6F2B">
        <w:rPr>
          <w:rFonts w:cs="Calibri" w:hint="eastAsia"/>
          <w:lang w:eastAsia="zh-CN"/>
        </w:rPr>
        <w:t xml:space="preserve"> </w:t>
      </w:r>
      <w:r w:rsidR="000D6F2B" w:rsidRPr="000D6F2B">
        <w:rPr>
          <w:rFonts w:cs="Calibri"/>
          <w:lang w:eastAsia="zh-CN"/>
        </w:rPr>
        <w:t>–</w:t>
      </w:r>
      <w:r w:rsidR="000D6F2B">
        <w:rPr>
          <w:rFonts w:cs="Calibri"/>
          <w:lang w:eastAsia="zh-CN"/>
        </w:rPr>
        <w:t xml:space="preserve"> </w:t>
      </w:r>
      <w:r w:rsidRPr="005E308F">
        <w:rPr>
          <w:rFonts w:cs="Calibri" w:hint="eastAsia"/>
          <w:lang w:eastAsia="zh-CN"/>
        </w:rPr>
        <w:t>通过利用优势和机会，减轻弱点和威胁进行的情况分析（</w:t>
      </w:r>
      <w:hyperlink r:id="rId10" w:history="1">
        <w:r w:rsidRPr="005E308F">
          <w:rPr>
            <w:rStyle w:val="Hyperlink"/>
            <w:rFonts w:cs="Calibri" w:hint="eastAsia"/>
            <w:lang w:eastAsia="zh-CN"/>
          </w:rPr>
          <w:t>CWG-SFP-3/5-</w:t>
        </w:r>
        <w:r w:rsidR="00B14489">
          <w:rPr>
            <w:rStyle w:val="Hyperlink"/>
            <w:rFonts w:cs="Calibri"/>
            <w:lang w:eastAsia="zh-CN"/>
          </w:rPr>
          <w:t>C</w:t>
        </w:r>
        <w:r w:rsidRPr="005E308F">
          <w:rPr>
            <w:rStyle w:val="Hyperlink"/>
            <w:rFonts w:cs="Calibri" w:hint="eastAsia"/>
            <w:lang w:eastAsia="zh-CN"/>
          </w:rPr>
          <w:t>号文件</w:t>
        </w:r>
      </w:hyperlink>
      <w:r w:rsidRPr="005E308F">
        <w:rPr>
          <w:rFonts w:cs="Calibri" w:hint="eastAsia"/>
          <w:lang w:eastAsia="zh-CN"/>
        </w:rPr>
        <w:t>）。</w:t>
      </w:r>
    </w:p>
    <w:p w14:paraId="7D8AD81B" w14:textId="6BAC6392" w:rsidR="0063372F" w:rsidRPr="005E308F" w:rsidRDefault="0063372F" w:rsidP="0063372F">
      <w:pPr>
        <w:pStyle w:val="enumlev1"/>
        <w:rPr>
          <w:rFonts w:cs="Calibri"/>
          <w:lang w:eastAsia="zh-CN"/>
        </w:rPr>
      </w:pPr>
      <w:r w:rsidRPr="005E308F">
        <w:rPr>
          <w:rFonts w:cs="Calibri"/>
          <w:lang w:eastAsia="zh-CN"/>
        </w:rPr>
        <w:t>•</w:t>
      </w:r>
      <w:r w:rsidRPr="005E308F">
        <w:rPr>
          <w:rFonts w:cs="Calibri"/>
          <w:lang w:eastAsia="zh-CN"/>
        </w:rPr>
        <w:tab/>
      </w:r>
      <w:r w:rsidRPr="005E308F">
        <w:rPr>
          <w:rFonts w:cs="Calibri" w:hint="eastAsia"/>
          <w:lang w:eastAsia="zh-CN"/>
        </w:rPr>
        <w:t>在提及</w:t>
      </w:r>
      <w:r w:rsidRPr="005E308F">
        <w:rPr>
          <w:rFonts w:cs="Calibri" w:hint="eastAsia"/>
          <w:lang w:eastAsia="zh-CN"/>
        </w:rPr>
        <w:t>WSIS</w:t>
      </w:r>
      <w:r w:rsidRPr="005E308F">
        <w:rPr>
          <w:rFonts w:cs="Calibri" w:hint="eastAsia"/>
          <w:lang w:eastAsia="zh-CN"/>
        </w:rPr>
        <w:t>和可持续发展目标（</w:t>
      </w:r>
      <w:r w:rsidRPr="005E308F">
        <w:rPr>
          <w:rFonts w:cs="Calibri" w:hint="eastAsia"/>
          <w:lang w:eastAsia="zh-CN"/>
        </w:rPr>
        <w:t>SDG</w:t>
      </w:r>
      <w:r w:rsidRPr="005E308F">
        <w:rPr>
          <w:rFonts w:cs="Calibri" w:hint="eastAsia"/>
          <w:lang w:eastAsia="zh-CN"/>
        </w:rPr>
        <w:t>）的同时，也应包括其他联合国议程，</w:t>
      </w:r>
      <w:proofErr w:type="gramStart"/>
      <w:r w:rsidRPr="005E308F">
        <w:rPr>
          <w:rFonts w:cs="Calibri" w:hint="eastAsia"/>
          <w:lang w:eastAsia="zh-CN"/>
        </w:rPr>
        <w:t>如联合国数字合作和联合国“</w:t>
      </w:r>
      <w:proofErr w:type="gramEnd"/>
      <w:r w:rsidR="005E308F" w:rsidRPr="005E308F">
        <w:rPr>
          <w:rFonts w:cs="Calibri" w:hint="eastAsia"/>
          <w:lang w:eastAsia="zh-CN"/>
        </w:rPr>
        <w:t>我们的共同议程”。</w:t>
      </w:r>
    </w:p>
    <w:p w14:paraId="5291873B" w14:textId="4F74CF19" w:rsidR="0063372F" w:rsidRPr="005E308F" w:rsidRDefault="0063372F" w:rsidP="0063372F">
      <w:pPr>
        <w:pStyle w:val="Heading2"/>
        <w:rPr>
          <w:rFonts w:cs="Calibri"/>
          <w:lang w:eastAsia="zh-CN"/>
        </w:rPr>
      </w:pPr>
      <w:r w:rsidRPr="005E308F">
        <w:rPr>
          <w:rFonts w:cs="Calibri" w:hint="eastAsia"/>
          <w:lang w:eastAsia="zh-CN"/>
        </w:rPr>
        <w:lastRenderedPageBreak/>
        <w:t>2</w:t>
      </w:r>
      <w:r w:rsidRPr="005E308F">
        <w:rPr>
          <w:rFonts w:cs="Calibri"/>
          <w:lang w:eastAsia="zh-CN"/>
        </w:rPr>
        <w:t>.2</w:t>
      </w:r>
      <w:r w:rsidR="005E308F">
        <w:rPr>
          <w:rFonts w:cs="Calibri"/>
          <w:lang w:eastAsia="zh-CN"/>
        </w:rPr>
        <w:tab/>
      </w:r>
      <w:r w:rsidRPr="005E308F">
        <w:rPr>
          <w:rFonts w:cs="Calibri" w:hint="eastAsia"/>
          <w:lang w:eastAsia="zh-CN"/>
        </w:rPr>
        <w:t>一些完善建议：</w:t>
      </w:r>
    </w:p>
    <w:p w14:paraId="33FDD35A" w14:textId="77777777" w:rsidR="0063372F" w:rsidRPr="005E308F" w:rsidRDefault="0063372F" w:rsidP="0063372F">
      <w:pPr>
        <w:spacing w:after="120"/>
        <w:ind w:firstLineChars="200" w:firstLine="480"/>
        <w:jc w:val="both"/>
        <w:rPr>
          <w:rFonts w:cs="Calibri"/>
          <w:b/>
          <w:bCs/>
          <w:lang w:val="en-US" w:eastAsia="zh-CN"/>
        </w:rPr>
      </w:pPr>
      <w:r w:rsidRPr="005E308F">
        <w:rPr>
          <w:rFonts w:cs="Calibri" w:hint="eastAsia"/>
          <w:szCs w:val="24"/>
          <w:lang w:val="en-US" w:eastAsia="zh-CN"/>
        </w:rPr>
        <w:t>我们建议进一步</w:t>
      </w:r>
      <w:r w:rsidRPr="005E308F">
        <w:rPr>
          <w:rFonts w:cs="Calibri" w:hint="eastAsia"/>
          <w:b/>
          <w:bCs/>
          <w:szCs w:val="24"/>
          <w:lang w:val="en-US" w:eastAsia="zh-CN"/>
        </w:rPr>
        <w:t>加强</w:t>
      </w:r>
      <w:r w:rsidRPr="005E308F">
        <w:rPr>
          <w:rFonts w:cs="Calibri" w:hint="eastAsia"/>
          <w:szCs w:val="24"/>
          <w:lang w:val="en-US" w:eastAsia="zh-CN"/>
        </w:rPr>
        <w:t>总体目标</w:t>
      </w:r>
      <w:r w:rsidRPr="005E308F">
        <w:rPr>
          <w:rFonts w:cs="Calibri" w:hint="eastAsia"/>
          <w:szCs w:val="24"/>
          <w:lang w:val="en-US" w:eastAsia="zh-CN"/>
        </w:rPr>
        <w:t>1</w:t>
      </w:r>
      <w:r w:rsidRPr="005E308F">
        <w:rPr>
          <w:rFonts w:cs="Calibri" w:hint="eastAsia"/>
          <w:szCs w:val="24"/>
          <w:lang w:val="en-US" w:eastAsia="zh-CN"/>
        </w:rPr>
        <w:t>的拟议具体目标：</w:t>
      </w:r>
      <w:bookmarkStart w:id="3" w:name="_Hlk95235693"/>
      <w:r w:rsidRPr="005E308F">
        <w:rPr>
          <w:rFonts w:cs="Calibri" w:hint="eastAsia"/>
          <w:szCs w:val="24"/>
          <w:lang w:val="en-US" w:eastAsia="zh-CN"/>
        </w:rPr>
        <w:t>到</w:t>
      </w:r>
      <w:r w:rsidRPr="005E308F">
        <w:rPr>
          <w:rFonts w:cs="Calibri" w:hint="eastAsia"/>
          <w:szCs w:val="24"/>
          <w:lang w:val="en-US" w:eastAsia="zh-CN"/>
        </w:rPr>
        <w:t>2030</w:t>
      </w:r>
      <w:r w:rsidRPr="005E308F">
        <w:rPr>
          <w:rFonts w:cs="Calibri" w:hint="eastAsia"/>
          <w:szCs w:val="24"/>
          <w:lang w:val="en-US" w:eastAsia="zh-CN"/>
        </w:rPr>
        <w:t>年实现普遍连接</w:t>
      </w:r>
      <w:bookmarkEnd w:id="3"/>
      <w:r w:rsidRPr="005E308F">
        <w:rPr>
          <w:rFonts w:cs="Calibri" w:hint="eastAsia"/>
          <w:szCs w:val="24"/>
          <w:lang w:val="en-US" w:eastAsia="zh-CN"/>
        </w:rPr>
        <w:t>，并进一步加强总体目标</w:t>
      </w:r>
      <w:r w:rsidRPr="005E308F">
        <w:rPr>
          <w:rFonts w:cs="Calibri" w:hint="eastAsia"/>
          <w:szCs w:val="24"/>
          <w:lang w:val="en-US" w:eastAsia="zh-CN"/>
        </w:rPr>
        <w:t>2</w:t>
      </w:r>
      <w:r w:rsidRPr="005E308F">
        <w:rPr>
          <w:rFonts w:cs="Calibri" w:hint="eastAsia"/>
          <w:szCs w:val="24"/>
          <w:lang w:val="en-US" w:eastAsia="zh-CN"/>
        </w:rPr>
        <w:t>的拟议具体目标：</w:t>
      </w:r>
      <w:bookmarkStart w:id="4" w:name="_Hlk95236113"/>
      <w:r w:rsidRPr="005E308F">
        <w:rPr>
          <w:rFonts w:cs="Calibri" w:hint="eastAsia"/>
          <w:szCs w:val="24"/>
          <w:lang w:val="en-US" w:eastAsia="zh-CN"/>
        </w:rPr>
        <w:t>到</w:t>
      </w:r>
      <w:r w:rsidRPr="005E308F">
        <w:rPr>
          <w:rFonts w:cs="Calibri" w:hint="eastAsia"/>
          <w:szCs w:val="24"/>
          <w:lang w:val="en-US" w:eastAsia="zh-CN"/>
        </w:rPr>
        <w:t>2030</w:t>
      </w:r>
      <w:r w:rsidRPr="005E308F">
        <w:rPr>
          <w:rFonts w:cs="Calibri" w:hint="eastAsia"/>
          <w:szCs w:val="24"/>
          <w:lang w:val="en-US" w:eastAsia="zh-CN"/>
        </w:rPr>
        <w:t>年实现可持续数字化转型</w:t>
      </w:r>
      <w:bookmarkEnd w:id="4"/>
      <w:r w:rsidRPr="005E308F">
        <w:rPr>
          <w:rFonts w:cs="Calibri" w:hint="eastAsia"/>
          <w:szCs w:val="24"/>
          <w:lang w:val="en-US" w:eastAsia="zh-CN"/>
        </w:rPr>
        <w:t>。我们还建议，目前为</w:t>
      </w:r>
      <w:r w:rsidRPr="005E308F">
        <w:rPr>
          <w:rFonts w:cs="Calibri" w:hint="eastAsia"/>
          <w:b/>
          <w:bCs/>
          <w:szCs w:val="24"/>
          <w:lang w:val="en-US" w:eastAsia="zh-CN"/>
        </w:rPr>
        <w:t>总体目标</w:t>
      </w:r>
      <w:r w:rsidRPr="005E308F">
        <w:rPr>
          <w:rFonts w:cs="Calibri"/>
          <w:b/>
          <w:bCs/>
          <w:lang w:val="en-US" w:eastAsia="zh-CN"/>
        </w:rPr>
        <w:t>2</w:t>
      </w:r>
      <w:r w:rsidRPr="005E308F">
        <w:rPr>
          <w:rFonts w:cs="Calibri" w:hint="eastAsia"/>
          <w:szCs w:val="24"/>
          <w:lang w:val="en-US" w:eastAsia="zh-CN"/>
        </w:rPr>
        <w:t>拟议的具体目标与</w:t>
      </w:r>
      <w:r w:rsidRPr="005E308F">
        <w:rPr>
          <w:rFonts w:cs="Calibri" w:hint="eastAsia"/>
          <w:b/>
          <w:bCs/>
          <w:szCs w:val="24"/>
          <w:lang w:val="en-US" w:eastAsia="zh-CN"/>
        </w:rPr>
        <w:t>总体目标</w:t>
      </w:r>
      <w:r w:rsidRPr="005E308F">
        <w:rPr>
          <w:rFonts w:cs="Calibri" w:hint="eastAsia"/>
          <w:b/>
          <w:bCs/>
          <w:szCs w:val="24"/>
          <w:lang w:val="en-US" w:eastAsia="zh-CN"/>
        </w:rPr>
        <w:t>1</w:t>
      </w:r>
      <w:r w:rsidRPr="005E308F">
        <w:rPr>
          <w:rFonts w:cs="Calibri" w:hint="eastAsia"/>
          <w:szCs w:val="24"/>
          <w:lang w:val="en-US" w:eastAsia="zh-CN"/>
        </w:rPr>
        <w:t>的具体目标相关，应纳入其中。</w:t>
      </w:r>
    </w:p>
    <w:p w14:paraId="2BA1F345" w14:textId="3A0F93A3" w:rsidR="0063372F" w:rsidRPr="005E308F" w:rsidRDefault="0063372F" w:rsidP="0063372F">
      <w:pPr>
        <w:spacing w:after="120"/>
        <w:ind w:firstLineChars="200" w:firstLine="480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拟议的具体目标可设立如下</w:t>
      </w:r>
      <w:r w:rsidR="00395802">
        <w:rPr>
          <w:rFonts w:cs="Calibri" w:hint="eastAsia"/>
          <w:lang w:val="en-US" w:eastAsia="zh-CN"/>
        </w:rPr>
        <w:t>：</w:t>
      </w:r>
    </w:p>
    <w:p w14:paraId="7EFE7428" w14:textId="7AEE84C3" w:rsidR="0063372F" w:rsidRPr="005E308F" w:rsidRDefault="0063372F" w:rsidP="0063372F">
      <w:pPr>
        <w:spacing w:before="240" w:after="120"/>
        <w:rPr>
          <w:rFonts w:cs="Calibri"/>
          <w:b/>
          <w:bCs/>
          <w:lang w:val="en-US" w:eastAsia="zh-CN"/>
        </w:rPr>
      </w:pPr>
      <w:r w:rsidRPr="005E308F">
        <w:rPr>
          <w:rStyle w:val="Heading2Char"/>
          <w:rFonts w:cs="Calibri" w:hint="eastAsia"/>
          <w:lang w:eastAsia="zh-CN"/>
        </w:rPr>
        <w:t>总体目标</w:t>
      </w:r>
      <w:r w:rsidRPr="005E308F">
        <w:rPr>
          <w:rStyle w:val="Heading2Char"/>
          <w:rFonts w:cs="Calibri" w:hint="eastAsia"/>
          <w:lang w:eastAsia="zh-CN"/>
        </w:rPr>
        <w:t>1</w:t>
      </w:r>
      <w:r w:rsidR="005E308F">
        <w:rPr>
          <w:rStyle w:val="Heading2Char"/>
          <w:rFonts w:cs="Calibri" w:hint="eastAsia"/>
          <w:lang w:eastAsia="zh-CN"/>
        </w:rPr>
        <w:t>：</w:t>
      </w:r>
      <w:r w:rsidRPr="005E308F">
        <w:rPr>
          <w:rStyle w:val="Heading2Char"/>
          <w:rFonts w:cs="Calibri" w:hint="eastAsia"/>
          <w:lang w:eastAsia="zh-CN"/>
        </w:rPr>
        <w:t>到</w:t>
      </w:r>
      <w:r w:rsidRPr="005E308F">
        <w:rPr>
          <w:rStyle w:val="Heading2Char"/>
          <w:rFonts w:cs="Calibri" w:hint="eastAsia"/>
          <w:lang w:eastAsia="zh-CN"/>
        </w:rPr>
        <w:t>2030</w:t>
      </w:r>
      <w:r w:rsidRPr="005E308F">
        <w:rPr>
          <w:rStyle w:val="Heading2Char"/>
          <w:rFonts w:cs="Calibri" w:hint="eastAsia"/>
          <w:lang w:eastAsia="zh-CN"/>
        </w:rPr>
        <w:t>年实现普遍连接</w:t>
      </w:r>
      <w:r w:rsidRPr="005E308F">
        <w:rPr>
          <w:rFonts w:cs="Calibri" w:hint="eastAsia"/>
          <w:b/>
          <w:bCs/>
          <w:lang w:val="en-US" w:eastAsia="zh-CN"/>
        </w:rPr>
        <w:t>：</w:t>
      </w:r>
    </w:p>
    <w:p w14:paraId="02BB176C" w14:textId="4C1FE2F0" w:rsidR="0063372F" w:rsidRPr="005E308F" w:rsidRDefault="0063372F" w:rsidP="005E308F">
      <w:pPr>
        <w:pStyle w:val="enumlev1"/>
        <w:rPr>
          <w:rFonts w:cs="Calibri"/>
          <w:lang w:val="en-US" w:eastAsia="zh-CN"/>
        </w:rPr>
      </w:pPr>
      <w:r w:rsidRPr="005E308F">
        <w:rPr>
          <w:rFonts w:cs="Calibri"/>
          <w:lang w:val="en-US" w:eastAsia="zh-CN"/>
        </w:rPr>
        <w:t>1.1</w:t>
      </w:r>
      <w:r w:rsidRPr="005E308F">
        <w:rPr>
          <w:rFonts w:cs="Calibri"/>
          <w:lang w:val="en-US" w:eastAsia="zh-CN"/>
        </w:rPr>
        <w:tab/>
      </w:r>
      <w:r w:rsidRPr="005E308F">
        <w:rPr>
          <w:rFonts w:cs="Calibri" w:hint="eastAsia"/>
          <w:lang w:val="en-US" w:eastAsia="zh-CN" w:bidi="ar-DZ"/>
        </w:rPr>
        <w:t>为所有人提供价格可承受的、可靠或安全的、具有复原力的宽带服务</w:t>
      </w:r>
    </w:p>
    <w:p w14:paraId="5E7E4B7F" w14:textId="77777777" w:rsidR="0063372F" w:rsidRPr="005E308F" w:rsidRDefault="0063372F" w:rsidP="005E308F">
      <w:pPr>
        <w:pStyle w:val="enumlev1"/>
        <w:rPr>
          <w:rFonts w:cs="Calibri"/>
          <w:lang w:val="en-US" w:eastAsia="zh-CN"/>
        </w:rPr>
      </w:pPr>
      <w:r w:rsidRPr="005E308F">
        <w:rPr>
          <w:rFonts w:cs="Calibri"/>
          <w:lang w:val="en-US" w:eastAsia="zh-CN"/>
        </w:rPr>
        <w:t>1.2</w:t>
      </w:r>
      <w:r w:rsidRPr="005E308F">
        <w:rPr>
          <w:rFonts w:cs="Calibri"/>
          <w:lang w:val="en-US" w:eastAsia="zh-CN"/>
        </w:rPr>
        <w:tab/>
      </w:r>
      <w:r w:rsidRPr="005E308F">
        <w:rPr>
          <w:rFonts w:cs="Calibri" w:hint="eastAsia"/>
          <w:lang w:val="en-US" w:eastAsia="zh-CN"/>
        </w:rPr>
        <w:t>为教育和其他生活领域提供宽带连接</w:t>
      </w:r>
    </w:p>
    <w:p w14:paraId="2E2328FF" w14:textId="7E51EF38" w:rsidR="0063372F" w:rsidRPr="005E308F" w:rsidRDefault="0063372F" w:rsidP="005E308F">
      <w:pPr>
        <w:pStyle w:val="enumlev1"/>
        <w:rPr>
          <w:rFonts w:cs="Calibri"/>
          <w:lang w:val="en-US" w:eastAsia="zh-CN"/>
        </w:rPr>
      </w:pPr>
      <w:r w:rsidRPr="005E308F">
        <w:rPr>
          <w:rFonts w:cs="Calibri"/>
          <w:lang w:val="en-US" w:eastAsia="zh-CN"/>
        </w:rPr>
        <w:t>1.3</w:t>
      </w:r>
      <w:r w:rsidRPr="005E308F">
        <w:rPr>
          <w:rFonts w:cs="Calibri"/>
          <w:lang w:val="en-US" w:eastAsia="zh-CN"/>
        </w:rPr>
        <w:tab/>
      </w:r>
      <w:bookmarkStart w:id="5" w:name="_Hlk95236271"/>
      <w:r w:rsidRPr="005E308F">
        <w:rPr>
          <w:rFonts w:cs="Calibri" w:hint="eastAsia"/>
          <w:lang w:val="en-US" w:eastAsia="zh-CN"/>
        </w:rPr>
        <w:t>所有需要弥合的数字鸿沟（尤其是在国家、性别、年龄、城市</w:t>
      </w:r>
      <w:r w:rsidRPr="005E308F">
        <w:rPr>
          <w:rFonts w:cs="Calibri" w:hint="eastAsia"/>
          <w:lang w:val="en-US" w:eastAsia="zh-CN"/>
        </w:rPr>
        <w:t>/</w:t>
      </w:r>
      <w:r w:rsidRPr="005E308F">
        <w:rPr>
          <w:rFonts w:cs="Calibri" w:hint="eastAsia"/>
          <w:lang w:val="en-US" w:eastAsia="zh-CN"/>
        </w:rPr>
        <w:t>农村方面）</w:t>
      </w:r>
      <w:bookmarkEnd w:id="5"/>
    </w:p>
    <w:p w14:paraId="15E891A9" w14:textId="531F7893" w:rsidR="0063372F" w:rsidRPr="005E308F" w:rsidRDefault="0063372F" w:rsidP="0063372F">
      <w:pPr>
        <w:spacing w:before="240" w:after="120"/>
        <w:rPr>
          <w:rFonts w:cs="Calibri"/>
          <w:b/>
          <w:bCs/>
          <w:lang w:val="en-US" w:eastAsia="zh-CN"/>
        </w:rPr>
      </w:pPr>
      <w:r w:rsidRPr="005E308F">
        <w:rPr>
          <w:rFonts w:cs="Calibri" w:hint="eastAsia"/>
          <w:b/>
          <w:bCs/>
          <w:lang w:val="en-US" w:eastAsia="zh-CN"/>
        </w:rPr>
        <w:t>总体目标</w:t>
      </w:r>
      <w:r w:rsidRPr="005E308F">
        <w:rPr>
          <w:rFonts w:cs="Calibri"/>
          <w:b/>
          <w:bCs/>
          <w:lang w:val="en-US" w:eastAsia="zh-CN"/>
        </w:rPr>
        <w:t>2</w:t>
      </w:r>
      <w:r w:rsidR="005E308F">
        <w:rPr>
          <w:rFonts w:cs="Calibri" w:hint="eastAsia"/>
          <w:b/>
          <w:bCs/>
          <w:lang w:val="en-US" w:eastAsia="zh-CN"/>
        </w:rPr>
        <w:t>：</w:t>
      </w:r>
      <w:r w:rsidRPr="005E308F">
        <w:rPr>
          <w:rFonts w:cs="Calibri" w:hint="eastAsia"/>
          <w:b/>
          <w:bCs/>
          <w:lang w:val="en-US" w:eastAsia="zh-CN"/>
        </w:rPr>
        <w:t>到</w:t>
      </w:r>
      <w:r w:rsidRPr="005E308F">
        <w:rPr>
          <w:rFonts w:cs="Calibri" w:hint="eastAsia"/>
          <w:b/>
          <w:bCs/>
          <w:lang w:val="en-US" w:eastAsia="zh-CN"/>
        </w:rPr>
        <w:t>2030</w:t>
      </w:r>
      <w:r w:rsidRPr="005E308F">
        <w:rPr>
          <w:rFonts w:cs="Calibri" w:hint="eastAsia"/>
          <w:b/>
          <w:bCs/>
          <w:lang w:val="en-US" w:eastAsia="zh-CN"/>
        </w:rPr>
        <w:t>年实现可持续数字化转型：</w:t>
      </w:r>
    </w:p>
    <w:p w14:paraId="1628BDC4" w14:textId="77777777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2.1</w:t>
      </w:r>
      <w:r w:rsidRPr="005E308F">
        <w:rPr>
          <w:lang w:val="en-US" w:eastAsia="zh-CN"/>
        </w:rPr>
        <w:tab/>
      </w:r>
      <w:r w:rsidRPr="005E308F">
        <w:rPr>
          <w:rFonts w:hint="eastAsia"/>
          <w:lang w:val="en-US" w:eastAsia="zh-CN"/>
        </w:rPr>
        <w:t>数字化转型战略</w:t>
      </w:r>
    </w:p>
    <w:p w14:paraId="3404B29D" w14:textId="77777777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2.2</w:t>
      </w:r>
      <w:r w:rsidRPr="005E308F">
        <w:rPr>
          <w:lang w:val="en-US" w:eastAsia="zh-CN"/>
        </w:rPr>
        <w:tab/>
      </w:r>
      <w:r w:rsidRPr="005E308F">
        <w:rPr>
          <w:rFonts w:hint="eastAsia"/>
          <w:lang w:val="en-US" w:eastAsia="zh-CN"/>
        </w:rPr>
        <w:t>所有需要弥合的数字鸿沟（尤其是在国家、性别、年龄、城市</w:t>
      </w:r>
      <w:r w:rsidRPr="005E308F">
        <w:rPr>
          <w:rFonts w:hint="eastAsia"/>
          <w:lang w:val="en-US" w:eastAsia="zh-CN"/>
        </w:rPr>
        <w:t>/</w:t>
      </w:r>
      <w:r w:rsidRPr="005E308F">
        <w:rPr>
          <w:rFonts w:hint="eastAsia"/>
          <w:lang w:val="en-US" w:eastAsia="zh-CN"/>
        </w:rPr>
        <w:t>农村方面）</w:t>
      </w:r>
    </w:p>
    <w:p w14:paraId="33450388" w14:textId="0574F9FF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2.</w:t>
      </w:r>
      <w:r w:rsidR="00244284">
        <w:rPr>
          <w:rFonts w:hint="eastAsia"/>
          <w:lang w:val="en-US" w:eastAsia="zh-CN"/>
        </w:rPr>
        <w:t>3</w:t>
      </w:r>
      <w:r w:rsidRPr="005E308F">
        <w:rPr>
          <w:lang w:val="en-US" w:eastAsia="zh-CN"/>
        </w:rPr>
        <w:tab/>
      </w:r>
      <w:r w:rsidRPr="005E308F">
        <w:rPr>
          <w:rFonts w:hint="eastAsia"/>
          <w:lang w:val="en-US" w:eastAsia="zh-CN"/>
        </w:rPr>
        <w:t>人工智能战略和就绪情况</w:t>
      </w:r>
    </w:p>
    <w:p w14:paraId="79A551B8" w14:textId="75943D3E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2.</w:t>
      </w:r>
      <w:r w:rsidR="00244284">
        <w:rPr>
          <w:rFonts w:hint="eastAsia"/>
          <w:lang w:val="en-US" w:eastAsia="zh-CN"/>
        </w:rPr>
        <w:t>4</w:t>
      </w:r>
      <w:r w:rsidRPr="005E308F">
        <w:rPr>
          <w:lang w:val="en-US" w:eastAsia="zh-CN"/>
        </w:rPr>
        <w:tab/>
      </w:r>
      <w:r w:rsidRPr="005E308F">
        <w:rPr>
          <w:rFonts w:hint="eastAsia"/>
          <w:lang w:val="en-US" w:eastAsia="zh-CN"/>
        </w:rPr>
        <w:t>人工智能在政府、私营部门、学术界的应用</w:t>
      </w:r>
    </w:p>
    <w:p w14:paraId="563CED76" w14:textId="34050245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2</w:t>
      </w:r>
      <w:r w:rsidR="00244284">
        <w:rPr>
          <w:rFonts w:hint="eastAsia"/>
          <w:lang w:val="en-US" w:eastAsia="zh-CN"/>
        </w:rPr>
        <w:t>.5</w:t>
      </w:r>
      <w:r w:rsidRPr="005E308F">
        <w:rPr>
          <w:lang w:val="en-US" w:eastAsia="zh-CN"/>
        </w:rPr>
        <w:tab/>
      </w:r>
      <w:r w:rsidRPr="005E308F">
        <w:rPr>
          <w:rFonts w:hint="eastAsia"/>
          <w:lang w:val="en-US" w:eastAsia="zh-CN"/>
        </w:rPr>
        <w:t>大数据在政府、私营部门、学术界的应用</w:t>
      </w:r>
    </w:p>
    <w:p w14:paraId="7A6EBE2D" w14:textId="6D04E4DE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2.</w:t>
      </w:r>
      <w:r w:rsidR="00244284">
        <w:rPr>
          <w:rFonts w:hint="eastAsia"/>
          <w:lang w:val="en-US" w:eastAsia="zh-CN"/>
        </w:rPr>
        <w:t>6</w:t>
      </w:r>
      <w:r w:rsidRPr="005E308F">
        <w:rPr>
          <w:lang w:val="en-US" w:eastAsia="zh-CN"/>
        </w:rPr>
        <w:tab/>
      </w:r>
      <w:r w:rsidRPr="005E308F">
        <w:rPr>
          <w:rFonts w:hint="eastAsia"/>
          <w:lang w:val="en-US" w:eastAsia="zh-CN"/>
        </w:rPr>
        <w:t>改进网络安全防范，具备关键能力：战略和政策的到位、国家计算机事故</w:t>
      </w:r>
      <w:r w:rsidRPr="005E308F">
        <w:rPr>
          <w:rFonts w:hint="eastAsia"/>
          <w:lang w:val="en-US" w:eastAsia="zh-CN"/>
        </w:rPr>
        <w:t>/</w:t>
      </w:r>
      <w:r w:rsidRPr="005E308F">
        <w:rPr>
          <w:rFonts w:hint="eastAsia"/>
          <w:lang w:val="en-US" w:eastAsia="zh-CN"/>
        </w:rPr>
        <w:t>应急响应团队和立法</w:t>
      </w:r>
    </w:p>
    <w:p w14:paraId="0582BD49" w14:textId="6900556A" w:rsidR="0063372F" w:rsidRPr="005E308F" w:rsidRDefault="0063372F" w:rsidP="0063372F">
      <w:pPr>
        <w:pStyle w:val="Heading1"/>
        <w:rPr>
          <w:lang w:eastAsia="zh-CN"/>
        </w:rPr>
      </w:pPr>
      <w:bookmarkStart w:id="6" w:name="_Hlk95245171"/>
      <w:r w:rsidRPr="005E308F">
        <w:rPr>
          <w:rFonts w:hint="eastAsia"/>
          <w:lang w:eastAsia="zh-CN"/>
        </w:rPr>
        <w:t>3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有关秘书处对第</w:t>
      </w:r>
      <w:r w:rsidRPr="005E308F">
        <w:rPr>
          <w:rFonts w:hint="eastAsia"/>
          <w:lang w:eastAsia="zh-CN"/>
        </w:rPr>
        <w:t>71</w:t>
      </w:r>
      <w:r w:rsidRPr="005E308F">
        <w:rPr>
          <w:rFonts w:hint="eastAsia"/>
          <w:lang w:eastAsia="zh-CN"/>
        </w:rPr>
        <w:t>号决议</w:t>
      </w:r>
      <w:r w:rsidR="004E6FDF" w:rsidRPr="005E308F">
        <w:rPr>
          <w:rFonts w:hint="eastAsia"/>
          <w:lang w:eastAsia="zh-CN"/>
        </w:rPr>
        <w:t>附件</w:t>
      </w:r>
      <w:r w:rsidR="004E6FDF" w:rsidRPr="005E308F">
        <w:rPr>
          <w:rFonts w:hint="eastAsia"/>
          <w:lang w:eastAsia="zh-CN"/>
        </w:rPr>
        <w:t>1</w:t>
      </w:r>
      <w:r w:rsidRPr="005E308F">
        <w:rPr>
          <w:rFonts w:hint="eastAsia"/>
          <w:lang w:eastAsia="zh-CN"/>
        </w:rPr>
        <w:t>（《国际电联</w:t>
      </w:r>
      <w:r w:rsidRPr="005E308F">
        <w:rPr>
          <w:lang w:eastAsia="zh-CN"/>
        </w:rPr>
        <w:t>2024-2027</w:t>
      </w:r>
      <w:r w:rsidRPr="005E308F">
        <w:rPr>
          <w:rFonts w:hint="eastAsia"/>
          <w:lang w:eastAsia="zh-CN"/>
        </w:rPr>
        <w:t>年的战略规划》</w:t>
      </w:r>
      <w:r w:rsidR="004E6FDF" w:rsidRPr="005E308F">
        <w:rPr>
          <w:rFonts w:hint="eastAsia"/>
          <w:lang w:eastAsia="zh-CN"/>
        </w:rPr>
        <w:t>草案</w:t>
      </w:r>
      <w:r w:rsidRPr="005E308F">
        <w:rPr>
          <w:rFonts w:hint="eastAsia"/>
          <w:lang w:eastAsia="zh-CN"/>
        </w:rPr>
        <w:t>）提出的输入意见</w:t>
      </w:r>
      <w:bookmarkEnd w:id="6"/>
      <w:r w:rsidRPr="005E308F">
        <w:rPr>
          <w:rFonts w:hint="eastAsia"/>
          <w:lang w:eastAsia="zh-CN"/>
        </w:rPr>
        <w:t>第</w:t>
      </w:r>
      <w:r w:rsidRPr="005E308F">
        <w:rPr>
          <w:lang w:eastAsia="zh-CN"/>
        </w:rPr>
        <w:t>2.</w:t>
      </w:r>
      <w:r w:rsidRPr="005E308F">
        <w:rPr>
          <w:rFonts w:hint="eastAsia"/>
          <w:lang w:eastAsia="zh-CN"/>
        </w:rPr>
        <w:t>6</w:t>
      </w:r>
      <w:r w:rsidRPr="005E308F">
        <w:rPr>
          <w:rFonts w:hint="eastAsia"/>
          <w:lang w:eastAsia="zh-CN"/>
        </w:rPr>
        <w:t>节（主题重点）的看法</w:t>
      </w:r>
    </w:p>
    <w:p w14:paraId="03A45398" w14:textId="6966A726" w:rsidR="0063372F" w:rsidRPr="005E308F" w:rsidRDefault="005E308F" w:rsidP="005E308F">
      <w:pPr>
        <w:pStyle w:val="enumlev1"/>
        <w:rPr>
          <w:rFonts w:cs="Calibri"/>
          <w:b/>
          <w:bCs/>
          <w:lang w:eastAsia="zh-CN"/>
        </w:rPr>
      </w:pPr>
      <w:r>
        <w:rPr>
          <w:rFonts w:cs="Calibri" w:hint="eastAsia"/>
          <w:b/>
          <w:bCs/>
          <w:lang w:eastAsia="zh-CN"/>
        </w:rPr>
        <w:t>a</w:t>
      </w:r>
      <w:r>
        <w:rPr>
          <w:rFonts w:cs="Calibri"/>
          <w:b/>
          <w:bCs/>
          <w:lang w:eastAsia="zh-CN"/>
        </w:rPr>
        <w:t>)</w:t>
      </w:r>
      <w:r>
        <w:rPr>
          <w:rFonts w:cs="Calibri"/>
          <w:b/>
          <w:bCs/>
          <w:lang w:eastAsia="zh-CN"/>
        </w:rPr>
        <w:tab/>
      </w:r>
      <w:r w:rsidR="0063372F" w:rsidRPr="005E308F">
        <w:rPr>
          <w:rFonts w:cs="Calibri" w:hint="eastAsia"/>
          <w:b/>
          <w:bCs/>
          <w:lang w:eastAsia="zh-CN"/>
        </w:rPr>
        <w:t>有利环境</w:t>
      </w:r>
    </w:p>
    <w:p w14:paraId="522798ED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我们建议在这一主题重点下纳入电信</w:t>
      </w:r>
      <w:r w:rsidRPr="005E308F">
        <w:rPr>
          <w:rFonts w:cs="Calibri" w:hint="eastAsia"/>
          <w:lang w:val="en-US" w:eastAsia="zh-CN"/>
        </w:rPr>
        <w:t>/ICT</w:t>
      </w:r>
      <w:r w:rsidRPr="005E308F">
        <w:rPr>
          <w:rFonts w:cs="Calibri" w:hint="eastAsia"/>
          <w:lang w:val="en-US" w:eastAsia="zh-CN"/>
        </w:rPr>
        <w:t>方面的有利创新。国际电联需要在发展有利于创新的环境方面发挥关键作用，使新的和新兴技术有助于落实</w:t>
      </w:r>
      <w:r w:rsidRPr="005E308F">
        <w:rPr>
          <w:rFonts w:cs="Calibri" w:hint="eastAsia"/>
          <w:lang w:val="en-US" w:eastAsia="zh-CN"/>
        </w:rPr>
        <w:t>WSIS</w:t>
      </w:r>
      <w:r w:rsidRPr="005E308F">
        <w:rPr>
          <w:rFonts w:cs="Calibri" w:hint="eastAsia"/>
          <w:lang w:val="en-US" w:eastAsia="zh-CN"/>
        </w:rPr>
        <w:t>成果和</w:t>
      </w:r>
      <w:r w:rsidRPr="005E308F">
        <w:rPr>
          <w:rFonts w:cs="Calibri" w:hint="eastAsia"/>
          <w:lang w:val="en-US" w:eastAsia="zh-CN"/>
        </w:rPr>
        <w:t>2030</w:t>
      </w:r>
      <w:r w:rsidRPr="005E308F">
        <w:rPr>
          <w:rFonts w:cs="Calibri" w:hint="eastAsia"/>
          <w:lang w:val="en-US" w:eastAsia="zh-CN"/>
        </w:rPr>
        <w:t>年可持续发展议程，特别是在国家层面。</w:t>
      </w:r>
    </w:p>
    <w:p w14:paraId="5422AA77" w14:textId="5C560B28" w:rsidR="0063372F" w:rsidRPr="005E308F" w:rsidRDefault="005E308F" w:rsidP="005E308F">
      <w:pPr>
        <w:pStyle w:val="enumlev1"/>
        <w:rPr>
          <w:rFonts w:cs="Calibri"/>
          <w:b/>
          <w:bCs/>
          <w:lang w:eastAsia="zh-CN"/>
        </w:rPr>
      </w:pPr>
      <w:r>
        <w:rPr>
          <w:rFonts w:cs="Calibri" w:hint="eastAsia"/>
          <w:b/>
          <w:bCs/>
          <w:lang w:eastAsia="zh-CN"/>
        </w:rPr>
        <w:t>b</w:t>
      </w:r>
      <w:r>
        <w:rPr>
          <w:rFonts w:cs="Calibri"/>
          <w:b/>
          <w:bCs/>
          <w:lang w:eastAsia="zh-CN"/>
        </w:rPr>
        <w:t>)</w:t>
      </w:r>
      <w:r>
        <w:rPr>
          <w:rFonts w:cs="Calibri"/>
          <w:b/>
          <w:bCs/>
          <w:lang w:eastAsia="zh-CN"/>
        </w:rPr>
        <w:tab/>
      </w:r>
      <w:r w:rsidR="0063372F" w:rsidRPr="005E308F">
        <w:rPr>
          <w:rFonts w:cs="Calibri" w:hint="eastAsia"/>
          <w:b/>
          <w:bCs/>
          <w:lang w:eastAsia="zh-CN"/>
        </w:rPr>
        <w:t>网络安全</w:t>
      </w:r>
    </w:p>
    <w:p w14:paraId="50F2866C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正如我们在</w:t>
      </w:r>
      <w:r w:rsidRPr="005E308F">
        <w:rPr>
          <w:rFonts w:cs="Calibri" w:hint="eastAsia"/>
          <w:lang w:val="en-US" w:eastAsia="zh-CN"/>
        </w:rPr>
        <w:t>CWG-SFP</w:t>
      </w:r>
      <w:r w:rsidRPr="005E308F">
        <w:rPr>
          <w:rFonts w:cs="Calibri" w:hint="eastAsia"/>
          <w:lang w:val="en-US" w:eastAsia="zh-CN"/>
        </w:rPr>
        <w:t>第二次会议上所表达的那样，该主题重点需要作为一项独立的工作。我们认为，将数字化转型视为一个战略目标，在其之后设立一个独立的网络安全主题重点将是非常合理的。</w:t>
      </w:r>
    </w:p>
    <w:p w14:paraId="031BCC5B" w14:textId="6A719EE3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此外，考虑到国际电联是联合国负责电信</w:t>
      </w:r>
      <w:r w:rsidRPr="005E308F">
        <w:rPr>
          <w:rFonts w:cs="Calibri" w:hint="eastAsia"/>
          <w:lang w:val="en-US" w:eastAsia="zh-CN"/>
        </w:rPr>
        <w:t>/ICT</w:t>
      </w:r>
      <w:r w:rsidRPr="005E308F">
        <w:rPr>
          <w:rFonts w:cs="Calibri" w:hint="eastAsia"/>
          <w:lang w:val="en-US" w:eastAsia="zh-CN"/>
        </w:rPr>
        <w:t>的组织，是</w:t>
      </w:r>
      <w:r w:rsidRPr="005E308F">
        <w:rPr>
          <w:rFonts w:cs="Calibri" w:hint="eastAsia"/>
          <w:lang w:val="en-US" w:eastAsia="zh-CN"/>
        </w:rPr>
        <w:t>WSIS</w:t>
      </w:r>
      <w:r w:rsidRPr="005E308F">
        <w:rPr>
          <w:rFonts w:cs="Calibri" w:hint="eastAsia"/>
          <w:lang w:val="en-US" w:eastAsia="zh-CN"/>
        </w:rPr>
        <w:t>关于树立使用信息通信技术的信心并提高安全性的行动方面</w:t>
      </w:r>
      <w:r w:rsidRPr="005E308F">
        <w:rPr>
          <w:rFonts w:cs="Calibri" w:hint="eastAsia"/>
          <w:lang w:val="en-US" w:eastAsia="zh-CN"/>
        </w:rPr>
        <w:t>C5</w:t>
      </w:r>
      <w:r w:rsidRPr="005E308F">
        <w:rPr>
          <w:rFonts w:cs="Calibri" w:hint="eastAsia"/>
          <w:lang w:val="en-US" w:eastAsia="zh-CN"/>
        </w:rPr>
        <w:t>的唯一推进方，经修订的全球网络安全议程（</w:t>
      </w:r>
      <w:r w:rsidRPr="005E308F">
        <w:rPr>
          <w:rFonts w:cs="Calibri" w:hint="eastAsia"/>
          <w:lang w:val="en-US" w:eastAsia="zh-CN"/>
        </w:rPr>
        <w:t>GCA</w:t>
      </w:r>
      <w:r w:rsidRPr="005E308F">
        <w:rPr>
          <w:rFonts w:cs="Calibri" w:hint="eastAsia"/>
          <w:lang w:val="en-US" w:eastAsia="zh-CN"/>
        </w:rPr>
        <w:t>）导则以及联合国网络安全的重大发展，国际电联需要以某种方式对联合国进程</w:t>
      </w:r>
      <w:r w:rsidR="001048CF" w:rsidRPr="005E308F">
        <w:rPr>
          <w:rFonts w:cs="Calibri" w:hint="eastAsia"/>
          <w:lang w:val="en-US" w:eastAsia="zh-CN"/>
        </w:rPr>
        <w:t>做出</w:t>
      </w:r>
      <w:r w:rsidRPr="005E308F">
        <w:rPr>
          <w:rFonts w:cs="Calibri" w:hint="eastAsia"/>
          <w:lang w:val="en-US" w:eastAsia="zh-CN"/>
        </w:rPr>
        <w:t>贡献，这些都是将网络安全作为一个独立的主题重点的有效论据。</w:t>
      </w:r>
    </w:p>
    <w:p w14:paraId="5C7B80D8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关于第</w:t>
      </w:r>
      <w:r w:rsidRPr="005E308F">
        <w:rPr>
          <w:rFonts w:cs="Calibri" w:hint="eastAsia"/>
          <w:lang w:val="en-US" w:eastAsia="zh-CN"/>
        </w:rPr>
        <w:t>35</w:t>
      </w:r>
      <w:r w:rsidRPr="005E308F">
        <w:rPr>
          <w:rFonts w:cs="Calibri" w:hint="eastAsia"/>
          <w:lang w:val="en-US" w:eastAsia="zh-CN"/>
        </w:rPr>
        <w:t>节，我们建议，有关网络安全的主题重点工作重心需置于国际电</w:t>
      </w:r>
      <w:proofErr w:type="gramStart"/>
      <w:r w:rsidRPr="005E308F">
        <w:rPr>
          <w:rFonts w:cs="Calibri" w:hint="eastAsia"/>
          <w:lang w:val="en-US" w:eastAsia="zh-CN"/>
        </w:rPr>
        <w:t>联全球</w:t>
      </w:r>
      <w:proofErr w:type="gramEnd"/>
      <w:r w:rsidRPr="005E308F">
        <w:rPr>
          <w:rFonts w:cs="Calibri" w:hint="eastAsia"/>
          <w:lang w:val="en-US" w:eastAsia="zh-CN"/>
        </w:rPr>
        <w:t>网络安全议程（</w:t>
      </w:r>
      <w:r w:rsidRPr="005E308F">
        <w:rPr>
          <w:rFonts w:cs="Calibri" w:hint="eastAsia"/>
          <w:lang w:val="en-US" w:eastAsia="zh-CN"/>
        </w:rPr>
        <w:t>GCA</w:t>
      </w:r>
      <w:r w:rsidRPr="005E308F">
        <w:rPr>
          <w:rFonts w:cs="Calibri" w:hint="eastAsia"/>
          <w:lang w:val="en-US" w:eastAsia="zh-CN"/>
        </w:rPr>
        <w:t>）及其相关的</w:t>
      </w:r>
      <w:r w:rsidRPr="005E308F">
        <w:rPr>
          <w:rFonts w:cs="Calibri" w:hint="eastAsia"/>
          <w:lang w:val="en-US" w:eastAsia="zh-CN"/>
        </w:rPr>
        <w:t>5</w:t>
      </w:r>
      <w:r w:rsidRPr="005E308F">
        <w:rPr>
          <w:rFonts w:cs="Calibri" w:hint="eastAsia"/>
          <w:lang w:val="en-US" w:eastAsia="zh-CN"/>
        </w:rPr>
        <w:t>个支柱内，即：法律、技术、组织、能力建设、合作。</w:t>
      </w:r>
    </w:p>
    <w:p w14:paraId="090ACABF" w14:textId="534F3A5C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lastRenderedPageBreak/>
        <w:t>认识到网络安全是三个优先议题或目标之一，也是联合国秘书长数字路线图的一个关键要素，国际电联对此</w:t>
      </w:r>
      <w:r w:rsidR="00263356" w:rsidRPr="005E308F">
        <w:rPr>
          <w:rFonts w:cs="Calibri" w:hint="eastAsia"/>
          <w:lang w:val="en-US" w:eastAsia="zh-CN"/>
        </w:rPr>
        <w:t>做出</w:t>
      </w:r>
      <w:r w:rsidRPr="005E308F">
        <w:rPr>
          <w:rFonts w:cs="Calibri" w:hint="eastAsia"/>
          <w:lang w:val="en-US" w:eastAsia="zh-CN"/>
        </w:rPr>
        <w:t>了充分的承诺，这再次证明了将网络安全作为一个独立的主题重点的相关性。</w:t>
      </w:r>
    </w:p>
    <w:p w14:paraId="7E10B78E" w14:textId="72850B9F" w:rsidR="0063372F" w:rsidRPr="005E308F" w:rsidRDefault="005E308F" w:rsidP="0063372F">
      <w:pPr>
        <w:pStyle w:val="Heading1"/>
        <w:rPr>
          <w:lang w:eastAsia="zh-CN"/>
        </w:rPr>
      </w:pPr>
      <w:r w:rsidRPr="00F9010E">
        <w:rPr>
          <w:rFonts w:hint="eastAsia"/>
          <w:lang w:eastAsia="zh-CN"/>
        </w:rPr>
        <w:t>4</w:t>
      </w:r>
      <w:r w:rsidR="0063372F" w:rsidRPr="00F9010E">
        <w:rPr>
          <w:lang w:eastAsia="zh-CN"/>
        </w:rPr>
        <w:tab/>
      </w:r>
      <w:r w:rsidR="008C6E1C" w:rsidRPr="00F9010E">
        <w:rPr>
          <w:rFonts w:hint="eastAsia"/>
          <w:lang w:eastAsia="zh-CN"/>
        </w:rPr>
        <w:t>有</w:t>
      </w:r>
      <w:r w:rsidR="0063372F" w:rsidRPr="00F9010E">
        <w:rPr>
          <w:rFonts w:hint="eastAsia"/>
          <w:lang w:eastAsia="zh-CN"/>
        </w:rPr>
        <w:t>关秘书处对第</w:t>
      </w:r>
      <w:r w:rsidR="0063372F" w:rsidRPr="00F9010E">
        <w:rPr>
          <w:rFonts w:hint="eastAsia"/>
          <w:lang w:eastAsia="zh-CN"/>
        </w:rPr>
        <w:t>71</w:t>
      </w:r>
      <w:r w:rsidR="0063372F" w:rsidRPr="00F9010E">
        <w:rPr>
          <w:rFonts w:hint="eastAsia"/>
          <w:lang w:eastAsia="zh-CN"/>
        </w:rPr>
        <w:t>号决议</w:t>
      </w:r>
      <w:r w:rsidR="004E6FDF" w:rsidRPr="00F9010E">
        <w:rPr>
          <w:rFonts w:hint="eastAsia"/>
          <w:lang w:eastAsia="zh-CN"/>
        </w:rPr>
        <w:t>附件</w:t>
      </w:r>
      <w:r w:rsidR="004E6FDF" w:rsidRPr="00F9010E">
        <w:rPr>
          <w:rFonts w:hint="eastAsia"/>
          <w:lang w:eastAsia="zh-CN"/>
        </w:rPr>
        <w:t>2</w:t>
      </w:r>
      <w:r w:rsidR="002F1CEA" w:rsidRPr="00F9010E">
        <w:rPr>
          <w:rFonts w:hint="eastAsia"/>
          <w:lang w:eastAsia="zh-CN"/>
        </w:rPr>
        <w:t>（情况分析）</w:t>
      </w:r>
      <w:r w:rsidR="0063372F" w:rsidRPr="00F9010E">
        <w:rPr>
          <w:rFonts w:hint="eastAsia"/>
          <w:lang w:eastAsia="zh-CN"/>
        </w:rPr>
        <w:t>提出的输入意见的看法</w:t>
      </w:r>
    </w:p>
    <w:p w14:paraId="625ECF4D" w14:textId="1BBFBCB9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关于国际电联</w:t>
      </w:r>
      <w:r w:rsidRPr="005E308F">
        <w:rPr>
          <w:rFonts w:cs="Calibri" w:hint="eastAsia"/>
          <w:lang w:val="en-US" w:eastAsia="zh-CN"/>
        </w:rPr>
        <w:t>2018</w:t>
      </w:r>
      <w:r w:rsidRPr="005E308F">
        <w:rPr>
          <w:rFonts w:cs="Calibri" w:hint="eastAsia"/>
          <w:lang w:val="en-US" w:eastAsia="zh-CN"/>
        </w:rPr>
        <w:t>年全权代表大会以来的发展，我们希望包括与联合国数字合作议程及其相关路线图</w:t>
      </w:r>
      <w:r w:rsidR="00263356">
        <w:rPr>
          <w:rFonts w:cs="Calibri" w:hint="eastAsia"/>
          <w:lang w:val="en-US" w:eastAsia="zh-CN"/>
        </w:rPr>
        <w:t xml:space="preserve"> </w:t>
      </w:r>
      <w:r w:rsidR="00263356" w:rsidRPr="00263356">
        <w:rPr>
          <w:rFonts w:cs="Calibri"/>
          <w:lang w:val="en-US" w:eastAsia="zh-CN"/>
        </w:rPr>
        <w:t>–</w:t>
      </w:r>
      <w:r w:rsidR="00263356">
        <w:rPr>
          <w:rFonts w:cs="Calibri"/>
          <w:lang w:val="en-US" w:eastAsia="zh-CN"/>
        </w:rPr>
        <w:t xml:space="preserve"> </w:t>
      </w:r>
      <w:r w:rsidRPr="005E308F">
        <w:rPr>
          <w:rFonts w:cs="Calibri" w:hint="eastAsia"/>
          <w:lang w:val="en-US" w:eastAsia="zh-CN"/>
        </w:rPr>
        <w:t>联合国“我们的共同议程”有关的发展。我们认为它们包含了国际电联可以参与的几个领域，而且，它为与不同组织的联合伙伴关系开辟了一系列机会。这也可以作为一种机会反映在优势、劣势、机会与威胁（</w:t>
      </w:r>
      <w:r w:rsidRPr="005E308F">
        <w:rPr>
          <w:rFonts w:cs="Calibri" w:hint="eastAsia"/>
          <w:lang w:val="en-US" w:eastAsia="zh-CN"/>
        </w:rPr>
        <w:t>SWOT</w:t>
      </w:r>
      <w:r w:rsidRPr="005E308F">
        <w:rPr>
          <w:rFonts w:cs="Calibri" w:hint="eastAsia"/>
          <w:lang w:val="en-US" w:eastAsia="zh-CN"/>
        </w:rPr>
        <w:t>）分析中。</w:t>
      </w:r>
    </w:p>
    <w:p w14:paraId="6A439B9B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我们还建议在</w:t>
      </w:r>
      <w:r w:rsidRPr="005E308F">
        <w:rPr>
          <w:rFonts w:cs="Calibri" w:hint="eastAsia"/>
          <w:lang w:val="en-US" w:eastAsia="zh-CN"/>
        </w:rPr>
        <w:t>SWOT</w:t>
      </w:r>
      <w:r w:rsidRPr="005E308F">
        <w:rPr>
          <w:rFonts w:cs="Calibri" w:hint="eastAsia"/>
          <w:lang w:val="en-US" w:eastAsia="zh-CN"/>
        </w:rPr>
        <w:t>分析的</w:t>
      </w:r>
      <w:r w:rsidRPr="005E308F">
        <w:rPr>
          <w:rFonts w:cs="Calibri" w:hint="eastAsia"/>
          <w:b/>
          <w:bCs/>
          <w:lang w:val="en-US" w:eastAsia="zh-CN"/>
        </w:rPr>
        <w:t>“弱点”</w:t>
      </w:r>
      <w:r w:rsidRPr="005E308F">
        <w:rPr>
          <w:rFonts w:cs="Calibri" w:hint="eastAsia"/>
          <w:lang w:val="en-US" w:eastAsia="zh-CN"/>
        </w:rPr>
        <w:t>部分反映以下方面：</w:t>
      </w:r>
    </w:p>
    <w:p w14:paraId="3EB572F5" w14:textId="77777777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1</w:t>
      </w:r>
      <w:r w:rsidRPr="005E308F">
        <w:rPr>
          <w:lang w:val="en-US" w:eastAsia="zh-CN"/>
        </w:rPr>
        <w:tab/>
      </w:r>
      <w:r w:rsidRPr="005E308F">
        <w:rPr>
          <w:rFonts w:hint="eastAsia"/>
          <w:lang w:eastAsia="zh-CN"/>
        </w:rPr>
        <w:t>区域代表处和地区办事处的职权不明确，导致向成员提供的服务效率不高，对利益攸关方的价值主张不明确。</w:t>
      </w:r>
    </w:p>
    <w:p w14:paraId="5207FF30" w14:textId="77777777" w:rsidR="0063372F" w:rsidRPr="005E308F" w:rsidRDefault="0063372F" w:rsidP="005E308F">
      <w:pPr>
        <w:pStyle w:val="enumlev1"/>
        <w:rPr>
          <w:lang w:eastAsia="zh-CN"/>
        </w:rPr>
      </w:pPr>
      <w:r w:rsidRPr="005E308F">
        <w:rPr>
          <w:rFonts w:hint="eastAsia"/>
          <w:lang w:eastAsia="zh-CN"/>
        </w:rPr>
        <w:t>2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收入方面大幅减少，而支出方面却提出了额外要求。</w:t>
      </w:r>
    </w:p>
    <w:p w14:paraId="17D5BAA4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我们还建议在</w:t>
      </w:r>
      <w:r w:rsidRPr="005E308F">
        <w:rPr>
          <w:rFonts w:cs="Calibri" w:hint="eastAsia"/>
          <w:lang w:val="en-US" w:eastAsia="zh-CN"/>
        </w:rPr>
        <w:t>SWOT</w:t>
      </w:r>
      <w:r w:rsidRPr="005E308F">
        <w:rPr>
          <w:rFonts w:cs="Calibri" w:hint="eastAsia"/>
          <w:lang w:val="en-US" w:eastAsia="zh-CN"/>
        </w:rPr>
        <w:t>分析的</w:t>
      </w:r>
      <w:r w:rsidRPr="005E308F">
        <w:rPr>
          <w:rFonts w:cs="Calibri" w:hint="eastAsia"/>
          <w:b/>
          <w:bCs/>
          <w:lang w:val="en-US" w:eastAsia="zh-CN"/>
        </w:rPr>
        <w:t>“威胁”</w:t>
      </w:r>
      <w:r w:rsidRPr="005E308F">
        <w:rPr>
          <w:rFonts w:cs="Calibri" w:hint="eastAsia"/>
          <w:lang w:val="en-US" w:eastAsia="zh-CN"/>
        </w:rPr>
        <w:t>部分反映以下方面：</w:t>
      </w:r>
    </w:p>
    <w:p w14:paraId="7D65F61F" w14:textId="77777777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val="en-US" w:eastAsia="zh-CN"/>
        </w:rPr>
        <w:t>1</w:t>
      </w:r>
      <w:r w:rsidRPr="005E308F">
        <w:rPr>
          <w:lang w:val="en-US" w:eastAsia="zh-CN"/>
        </w:rPr>
        <w:tab/>
      </w:r>
      <w:r w:rsidRPr="005E308F">
        <w:rPr>
          <w:rFonts w:hint="eastAsia"/>
          <w:lang w:eastAsia="zh-CN"/>
        </w:rPr>
        <w:t>在国际和区域层面竞争和保持相关性的能力特别令人关注。</w:t>
      </w:r>
    </w:p>
    <w:p w14:paraId="4BA00D94" w14:textId="28EAF4DE" w:rsidR="0063372F" w:rsidRPr="005E308F" w:rsidRDefault="0063372F" w:rsidP="005E308F">
      <w:pPr>
        <w:pStyle w:val="enumlev1"/>
        <w:rPr>
          <w:lang w:eastAsia="zh-CN"/>
        </w:rPr>
      </w:pPr>
      <w:r w:rsidRPr="005E308F">
        <w:rPr>
          <w:rFonts w:hint="eastAsia"/>
          <w:lang w:eastAsia="zh-CN"/>
        </w:rPr>
        <w:t>2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资金不足</w:t>
      </w:r>
      <w:r w:rsidR="00DA3796">
        <w:rPr>
          <w:rFonts w:hint="eastAsia"/>
          <w:lang w:eastAsia="zh-CN"/>
        </w:rPr>
        <w:t xml:space="preserve"> </w:t>
      </w:r>
      <w:r w:rsidRPr="005E308F">
        <w:rPr>
          <w:lang w:eastAsia="zh-CN"/>
        </w:rPr>
        <w:t>–</w:t>
      </w:r>
      <w:r w:rsidR="00DA3796">
        <w:rPr>
          <w:lang w:eastAsia="zh-CN"/>
        </w:rPr>
        <w:t xml:space="preserve"> </w:t>
      </w:r>
      <w:r w:rsidRPr="005E308F">
        <w:rPr>
          <w:rFonts w:hint="eastAsia"/>
          <w:lang w:eastAsia="zh-CN"/>
        </w:rPr>
        <w:t>财务计划有失衡的风险。</w:t>
      </w:r>
    </w:p>
    <w:p w14:paraId="7C4FF727" w14:textId="77777777" w:rsidR="005E56E6" w:rsidRDefault="0063372F" w:rsidP="005E308F">
      <w:pPr>
        <w:pStyle w:val="enumlev1"/>
        <w:rPr>
          <w:lang w:eastAsia="zh-CN"/>
        </w:rPr>
      </w:pPr>
      <w:r w:rsidRPr="005E308F">
        <w:rPr>
          <w:rFonts w:hint="eastAsia"/>
          <w:lang w:eastAsia="zh-CN"/>
        </w:rPr>
        <w:t>3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其他联合国组织正在加强对数字合作和</w:t>
      </w:r>
      <w:r w:rsidRPr="005E308F">
        <w:rPr>
          <w:rFonts w:hint="eastAsia"/>
          <w:lang w:eastAsia="zh-CN"/>
        </w:rPr>
        <w:t>ICT</w:t>
      </w:r>
      <w:r w:rsidRPr="005E308F">
        <w:rPr>
          <w:rFonts w:hint="eastAsia"/>
          <w:lang w:eastAsia="zh-CN"/>
        </w:rPr>
        <w:t>的参与。</w:t>
      </w:r>
    </w:p>
    <w:p w14:paraId="5635CC98" w14:textId="7D74939D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rFonts w:hint="eastAsia"/>
          <w:lang w:eastAsia="zh-CN"/>
        </w:rPr>
        <w:t>4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他们在区域层面部署的能力可能超过国际电联的能力带来问题。</w:t>
      </w:r>
    </w:p>
    <w:p w14:paraId="68F6B749" w14:textId="77777777" w:rsidR="0063372F" w:rsidRPr="005E308F" w:rsidRDefault="0063372F" w:rsidP="005E308F">
      <w:pPr>
        <w:pStyle w:val="enumlev1"/>
        <w:rPr>
          <w:lang w:eastAsia="zh-CN"/>
        </w:rPr>
      </w:pPr>
      <w:r w:rsidRPr="005E308F">
        <w:rPr>
          <w:rFonts w:hint="eastAsia"/>
          <w:lang w:eastAsia="zh-CN"/>
        </w:rPr>
        <w:t>5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目前电信展活动的商业模式在财务上是不可行的，活动的价值主张显示出明显的疲软迹象</w:t>
      </w:r>
    </w:p>
    <w:p w14:paraId="5BE26414" w14:textId="77777777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rFonts w:hint="eastAsia"/>
          <w:lang w:eastAsia="zh-CN"/>
        </w:rPr>
        <w:t>6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联合国范围内对联合战略规划的参与、协调和合作较少。</w:t>
      </w:r>
    </w:p>
    <w:p w14:paraId="17263713" w14:textId="77777777" w:rsidR="0063372F" w:rsidRPr="005E308F" w:rsidRDefault="0063372F" w:rsidP="005E308F">
      <w:pPr>
        <w:ind w:firstLineChars="200" w:firstLine="480"/>
        <w:jc w:val="both"/>
        <w:rPr>
          <w:rFonts w:cs="Calibri"/>
          <w:lang w:val="en-US" w:eastAsia="zh-CN"/>
        </w:rPr>
      </w:pPr>
      <w:r w:rsidRPr="005E308F">
        <w:rPr>
          <w:rFonts w:cs="Calibri" w:hint="eastAsia"/>
          <w:lang w:val="en-US" w:eastAsia="zh-CN"/>
        </w:rPr>
        <w:t>我们还建议在</w:t>
      </w:r>
      <w:r w:rsidRPr="005E308F">
        <w:rPr>
          <w:rFonts w:cs="Calibri" w:hint="eastAsia"/>
          <w:lang w:val="en-US" w:eastAsia="zh-CN"/>
        </w:rPr>
        <w:t>SWOT</w:t>
      </w:r>
      <w:r w:rsidRPr="005E308F">
        <w:rPr>
          <w:rFonts w:cs="Calibri" w:hint="eastAsia"/>
          <w:lang w:val="en-US" w:eastAsia="zh-CN"/>
        </w:rPr>
        <w:t>分析的</w:t>
      </w:r>
      <w:r w:rsidRPr="005E308F">
        <w:rPr>
          <w:rFonts w:cs="Calibri" w:hint="eastAsia"/>
          <w:b/>
          <w:bCs/>
          <w:lang w:val="en-US" w:eastAsia="zh-CN"/>
        </w:rPr>
        <w:t>“机会”</w:t>
      </w:r>
      <w:r w:rsidRPr="005E308F">
        <w:rPr>
          <w:rFonts w:cs="Calibri" w:hint="eastAsia"/>
          <w:lang w:val="en-US" w:eastAsia="zh-CN"/>
        </w:rPr>
        <w:t>部分反映以下内容：</w:t>
      </w:r>
    </w:p>
    <w:p w14:paraId="301B8548" w14:textId="77777777" w:rsidR="0063372F" w:rsidRPr="005E308F" w:rsidRDefault="0063372F" w:rsidP="005E308F">
      <w:pPr>
        <w:pStyle w:val="enumlev1"/>
        <w:rPr>
          <w:lang w:val="en-US" w:eastAsia="zh-CN"/>
        </w:rPr>
      </w:pPr>
      <w:r w:rsidRPr="005E308F">
        <w:rPr>
          <w:lang w:eastAsia="zh-CN"/>
        </w:rPr>
        <w:t>1</w:t>
      </w:r>
      <w:r w:rsidRPr="005E308F">
        <w:rPr>
          <w:lang w:eastAsia="zh-CN"/>
        </w:rPr>
        <w:tab/>
      </w:r>
      <w:r w:rsidRPr="005E308F">
        <w:rPr>
          <w:rFonts w:hint="eastAsia"/>
          <w:lang w:eastAsia="zh-CN"/>
        </w:rPr>
        <w:t>利用国际电联的竞争优势，包括其产品和服务，增加国际电联的收入或开发更多新的财务机制。</w:t>
      </w:r>
    </w:p>
    <w:p w14:paraId="760E284C" w14:textId="77777777" w:rsidR="0063372F" w:rsidRPr="005E308F" w:rsidRDefault="0063372F" w:rsidP="0060148D">
      <w:pPr>
        <w:spacing w:before="840"/>
        <w:jc w:val="center"/>
        <w:rPr>
          <w:rFonts w:cs="Calibri"/>
        </w:rPr>
      </w:pPr>
      <w:r w:rsidRPr="005E308F">
        <w:rPr>
          <w:rFonts w:cs="Calibri"/>
        </w:rPr>
        <w:t>______________</w:t>
      </w:r>
    </w:p>
    <w:sectPr w:rsidR="0063372F" w:rsidRPr="005E308F" w:rsidSect="00DC60C4">
      <w:headerReference w:type="default" r:id="rId11"/>
      <w:footerReference w:type="default" r:id="rId12"/>
      <w:footerReference w:type="first" r:id="rId13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6166" w14:textId="77777777" w:rsidR="00400631" w:rsidRDefault="00400631">
      <w:r>
        <w:separator/>
      </w:r>
    </w:p>
  </w:endnote>
  <w:endnote w:type="continuationSeparator" w:id="0">
    <w:p w14:paraId="5D4A15B6" w14:textId="77777777" w:rsidR="00400631" w:rsidRDefault="004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3C47" w14:textId="70E9D720" w:rsidR="00B40A53" w:rsidRPr="00502A2C" w:rsidRDefault="0001297B" w:rsidP="0001297B">
    <w:pPr>
      <w:pStyle w:val="Footer"/>
      <w:rPr>
        <w:szCs w:val="16"/>
        <w:lang w:val="fr-CH"/>
      </w:rPr>
    </w:pPr>
    <w:r w:rsidRPr="0060148D">
      <w:rPr>
        <w:color w:val="F2F2F2" w:themeColor="background1" w:themeShade="F2"/>
        <w:szCs w:val="16"/>
      </w:rPr>
      <w:fldChar w:fldCharType="begin"/>
    </w:r>
    <w:r w:rsidRPr="0060148D">
      <w:rPr>
        <w:color w:val="F2F2F2" w:themeColor="background1" w:themeShade="F2"/>
        <w:szCs w:val="16"/>
        <w:lang w:val="fr-CH"/>
      </w:rPr>
      <w:instrText xml:space="preserve"> FILENAME \p \* MERGEFORMAT </w:instrText>
    </w:r>
    <w:r w:rsidRPr="0060148D">
      <w:rPr>
        <w:color w:val="F2F2F2" w:themeColor="background1" w:themeShade="F2"/>
        <w:szCs w:val="16"/>
      </w:rPr>
      <w:fldChar w:fldCharType="separate"/>
    </w:r>
    <w:r w:rsidR="0044349D" w:rsidRPr="0060148D">
      <w:rPr>
        <w:color w:val="F2F2F2" w:themeColor="background1" w:themeShade="F2"/>
        <w:szCs w:val="16"/>
        <w:lang w:val="fr-CH"/>
      </w:rPr>
      <w:t>P:\CHI\SG\CONSEIL\CWG-SFP\CWG-SFP3\000\009C.docx</w:t>
    </w:r>
    <w:r w:rsidRPr="0060148D">
      <w:rPr>
        <w:color w:val="F2F2F2" w:themeColor="background1" w:themeShade="F2"/>
        <w:szCs w:val="16"/>
      </w:rPr>
      <w:fldChar w:fldCharType="end"/>
    </w:r>
    <w:r w:rsidRPr="0060148D">
      <w:rPr>
        <w:color w:val="F2F2F2" w:themeColor="background1" w:themeShade="F2"/>
        <w:szCs w:val="16"/>
        <w:lang w:val="fr-CH"/>
      </w:rPr>
      <w:t xml:space="preserve"> (</w:t>
    </w:r>
    <w:r w:rsidR="00F672C9" w:rsidRPr="0060148D">
      <w:rPr>
        <w:color w:val="F2F2F2" w:themeColor="background1" w:themeShade="F2"/>
        <w:szCs w:val="16"/>
        <w:lang w:val="fr-CH"/>
      </w:rPr>
      <w:t>501470</w:t>
    </w:r>
    <w:r w:rsidRPr="0060148D">
      <w:rPr>
        <w:color w:val="F2F2F2" w:themeColor="background1" w:themeShade="F2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732E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846D" w14:textId="77777777" w:rsidR="00400631" w:rsidRDefault="00400631">
      <w:r>
        <w:t>____________________</w:t>
      </w:r>
    </w:p>
  </w:footnote>
  <w:footnote w:type="continuationSeparator" w:id="0">
    <w:p w14:paraId="0CA82D0A" w14:textId="77777777" w:rsidR="00400631" w:rsidRDefault="0040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78727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14:paraId="278D15E3" w14:textId="36C1945E" w:rsidR="00977EB9" w:rsidRPr="008B1926" w:rsidRDefault="00977EB9" w:rsidP="00977EB9">
        <w:pPr>
          <w:pStyle w:val="Header"/>
          <w:rPr>
            <w:szCs w:val="18"/>
          </w:rPr>
        </w:pPr>
        <w:r w:rsidRPr="008B1926">
          <w:rPr>
            <w:szCs w:val="18"/>
          </w:rPr>
          <w:fldChar w:fldCharType="begin"/>
        </w:r>
        <w:r w:rsidRPr="008B1926">
          <w:rPr>
            <w:szCs w:val="18"/>
          </w:rPr>
          <w:instrText xml:space="preserve"> PAGE   \* MERGEFORMAT </w:instrText>
        </w:r>
        <w:r w:rsidRPr="008B1926">
          <w:rPr>
            <w:szCs w:val="18"/>
          </w:rPr>
          <w:fldChar w:fldCharType="separate"/>
        </w:r>
        <w:r w:rsidR="0044349D">
          <w:rPr>
            <w:noProof/>
            <w:szCs w:val="18"/>
          </w:rPr>
          <w:t>3</w:t>
        </w:r>
        <w:r w:rsidRPr="008B1926">
          <w:rPr>
            <w:noProof/>
            <w:szCs w:val="18"/>
          </w:rPr>
          <w:fldChar w:fldCharType="end"/>
        </w:r>
      </w:p>
    </w:sdtContent>
  </w:sdt>
  <w:p w14:paraId="669BA6D6" w14:textId="708D3ED3" w:rsidR="00DA48FE" w:rsidRPr="00977EB9" w:rsidRDefault="00977EB9" w:rsidP="00977EB9">
    <w:pPr>
      <w:pStyle w:val="Header"/>
      <w:rPr>
        <w:szCs w:val="18"/>
      </w:rPr>
    </w:pPr>
    <w:r w:rsidRPr="008B1926">
      <w:rPr>
        <w:rFonts w:eastAsia="MS Mincho" w:cs="Arial"/>
        <w:noProof/>
        <w:szCs w:val="18"/>
        <w:lang w:eastAsia="zh-CN"/>
      </w:rPr>
      <w:t>CWG-SFP-</w:t>
    </w:r>
    <w:r>
      <w:rPr>
        <w:rFonts w:eastAsia="MS Mincho" w:cs="Arial"/>
        <w:noProof/>
        <w:szCs w:val="18"/>
        <w:lang w:eastAsia="zh-CN"/>
      </w:rPr>
      <w:t>3</w:t>
    </w:r>
    <w:r w:rsidRPr="008B1926">
      <w:rPr>
        <w:rFonts w:eastAsia="MS Mincho" w:cs="Arial"/>
        <w:noProof/>
        <w:szCs w:val="18"/>
        <w:lang w:eastAsia="zh-CN"/>
      </w:rPr>
      <w:t>/</w:t>
    </w:r>
    <w:r w:rsidR="00F672C9">
      <w:rPr>
        <w:rFonts w:eastAsia="MS Mincho" w:cs="Arial"/>
        <w:noProof/>
        <w:szCs w:val="18"/>
        <w:lang w:eastAsia="zh-CN"/>
      </w:rPr>
      <w:t>9</w:t>
    </w:r>
    <w:r w:rsidRPr="008B1926">
      <w:rPr>
        <w:rFonts w:eastAsia="MS Mincho" w:cs="Arial"/>
        <w:noProof/>
        <w:szCs w:val="18"/>
        <w:lang w:eastAsia="zh-CN"/>
      </w:rPr>
      <w:t>-</w:t>
    </w:r>
    <w:r>
      <w:rPr>
        <w:rFonts w:eastAsia="MS Mincho" w:cs="Arial"/>
        <w:noProof/>
        <w:szCs w:val="18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373FC"/>
    <w:multiLevelType w:val="hybridMultilevel"/>
    <w:tmpl w:val="B41E5E18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C4510"/>
    <w:multiLevelType w:val="hybridMultilevel"/>
    <w:tmpl w:val="064AB0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A6755"/>
    <w:multiLevelType w:val="hybridMultilevel"/>
    <w:tmpl w:val="0046B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921B5"/>
    <w:multiLevelType w:val="hybridMultilevel"/>
    <w:tmpl w:val="4044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61A4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0139"/>
    <w:multiLevelType w:val="hybridMultilevel"/>
    <w:tmpl w:val="1312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DA0DAA"/>
    <w:multiLevelType w:val="hybridMultilevel"/>
    <w:tmpl w:val="A8065DDA"/>
    <w:lvl w:ilvl="0" w:tplc="C706D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732D"/>
    <w:multiLevelType w:val="hybridMultilevel"/>
    <w:tmpl w:val="D81C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18"/>
  </w:num>
  <w:num w:numId="14">
    <w:abstractNumId w:val="19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15">
    <w:abstractNumId w:val="9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7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6"/>
    <w:lvlOverride w:ilvl="0">
      <w:lvl w:ilvl="0" w:tplc="08090003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</w:num>
  <w:num w:numId="18">
    <w:abstractNumId w:val="11"/>
    <w:lvlOverride w:ilvl="0">
      <w:lvl w:ilvl="0" w:tplc="C706D8FA">
        <w:numFmt w:val="bullet"/>
        <w:lvlText w:val="-"/>
        <w:lvlJc w:val="left"/>
        <w:pPr>
          <w:ind w:left="720" w:hanging="360"/>
        </w:pPr>
        <w:rPr>
          <w:rFonts w:ascii="Calibri" w:eastAsiaTheme="minorHAnsi" w:hAnsi="Calibri" w:cs="Calibri" w:hint="default"/>
          <w:lang w:val="en-US"/>
        </w:rPr>
      </w:lvl>
    </w:lvlOverride>
  </w:num>
  <w:num w:numId="19">
    <w:abstractNumId w:val="1"/>
    <w:lvlOverride w:ilvl="0">
      <w:lvl w:ilvl="0" w:tplc="02561A40">
        <w:numFmt w:val="bullet"/>
        <w:lvlText w:val="-"/>
        <w:lvlJc w:val="left"/>
        <w:pPr>
          <w:ind w:left="720" w:hanging="360"/>
        </w:pPr>
        <w:rPr>
          <w:rFonts w:ascii="Calibri" w:eastAsiaTheme="minorHAnsi" w:hAnsi="Calibri" w:cs="Calibri" w:hint="default"/>
        </w:rPr>
      </w:lvl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297B"/>
    <w:rsid w:val="0003025F"/>
    <w:rsid w:val="00031E72"/>
    <w:rsid w:val="000404D2"/>
    <w:rsid w:val="00042CF2"/>
    <w:rsid w:val="00043A09"/>
    <w:rsid w:val="00054C37"/>
    <w:rsid w:val="00057C46"/>
    <w:rsid w:val="000853C0"/>
    <w:rsid w:val="000916EA"/>
    <w:rsid w:val="000A1C21"/>
    <w:rsid w:val="000C4248"/>
    <w:rsid w:val="000D0B67"/>
    <w:rsid w:val="000D15EA"/>
    <w:rsid w:val="000D16BD"/>
    <w:rsid w:val="000D3EE3"/>
    <w:rsid w:val="000D6A0B"/>
    <w:rsid w:val="000D6F2B"/>
    <w:rsid w:val="000E25D6"/>
    <w:rsid w:val="000F0794"/>
    <w:rsid w:val="00100D84"/>
    <w:rsid w:val="001048CF"/>
    <w:rsid w:val="00110D35"/>
    <w:rsid w:val="00120379"/>
    <w:rsid w:val="00124C9D"/>
    <w:rsid w:val="00157773"/>
    <w:rsid w:val="0017144E"/>
    <w:rsid w:val="00181BC7"/>
    <w:rsid w:val="0018251A"/>
    <w:rsid w:val="00190272"/>
    <w:rsid w:val="00193244"/>
    <w:rsid w:val="00195C6C"/>
    <w:rsid w:val="00195FED"/>
    <w:rsid w:val="001A4BD6"/>
    <w:rsid w:val="001B4A65"/>
    <w:rsid w:val="001C1190"/>
    <w:rsid w:val="001D5A18"/>
    <w:rsid w:val="00225BA8"/>
    <w:rsid w:val="00230DC7"/>
    <w:rsid w:val="00244284"/>
    <w:rsid w:val="00245187"/>
    <w:rsid w:val="00263356"/>
    <w:rsid w:val="00264044"/>
    <w:rsid w:val="002768E8"/>
    <w:rsid w:val="00280EB8"/>
    <w:rsid w:val="002A6670"/>
    <w:rsid w:val="002B0397"/>
    <w:rsid w:val="002D75EB"/>
    <w:rsid w:val="002E2C4D"/>
    <w:rsid w:val="002F1CEA"/>
    <w:rsid w:val="002F20D0"/>
    <w:rsid w:val="002F5F44"/>
    <w:rsid w:val="00303502"/>
    <w:rsid w:val="003205F3"/>
    <w:rsid w:val="00325C25"/>
    <w:rsid w:val="00365816"/>
    <w:rsid w:val="00372C8F"/>
    <w:rsid w:val="00373884"/>
    <w:rsid w:val="003765FC"/>
    <w:rsid w:val="00380ECE"/>
    <w:rsid w:val="00390B89"/>
    <w:rsid w:val="00393DDF"/>
    <w:rsid w:val="00395802"/>
    <w:rsid w:val="00396929"/>
    <w:rsid w:val="00397F55"/>
    <w:rsid w:val="003A369A"/>
    <w:rsid w:val="003A480D"/>
    <w:rsid w:val="003B4454"/>
    <w:rsid w:val="003C2E37"/>
    <w:rsid w:val="003C68C5"/>
    <w:rsid w:val="003F1415"/>
    <w:rsid w:val="00400631"/>
    <w:rsid w:val="0040144C"/>
    <w:rsid w:val="00403EB7"/>
    <w:rsid w:val="00430BF0"/>
    <w:rsid w:val="0044349D"/>
    <w:rsid w:val="004516AA"/>
    <w:rsid w:val="00453FA2"/>
    <w:rsid w:val="004672E6"/>
    <w:rsid w:val="004715C0"/>
    <w:rsid w:val="00474ED1"/>
    <w:rsid w:val="004772A3"/>
    <w:rsid w:val="00493085"/>
    <w:rsid w:val="004A36EC"/>
    <w:rsid w:val="004C7019"/>
    <w:rsid w:val="004D163F"/>
    <w:rsid w:val="004E4BFF"/>
    <w:rsid w:val="004E6FDF"/>
    <w:rsid w:val="004F079A"/>
    <w:rsid w:val="004F2598"/>
    <w:rsid w:val="00502A2C"/>
    <w:rsid w:val="005133D3"/>
    <w:rsid w:val="0052309D"/>
    <w:rsid w:val="005403F7"/>
    <w:rsid w:val="00540632"/>
    <w:rsid w:val="00541CF4"/>
    <w:rsid w:val="00544C81"/>
    <w:rsid w:val="005451E8"/>
    <w:rsid w:val="005457A7"/>
    <w:rsid w:val="005507F2"/>
    <w:rsid w:val="00557085"/>
    <w:rsid w:val="005759CC"/>
    <w:rsid w:val="005A72E1"/>
    <w:rsid w:val="005C5A89"/>
    <w:rsid w:val="005C6632"/>
    <w:rsid w:val="005D1C9E"/>
    <w:rsid w:val="005E308F"/>
    <w:rsid w:val="005E56E6"/>
    <w:rsid w:val="0060148D"/>
    <w:rsid w:val="00601F06"/>
    <w:rsid w:val="00626565"/>
    <w:rsid w:val="0063372F"/>
    <w:rsid w:val="00654257"/>
    <w:rsid w:val="0065435A"/>
    <w:rsid w:val="006A2DD3"/>
    <w:rsid w:val="006A5AF8"/>
    <w:rsid w:val="006C36CD"/>
    <w:rsid w:val="00700D1F"/>
    <w:rsid w:val="007158DE"/>
    <w:rsid w:val="00717444"/>
    <w:rsid w:val="00720594"/>
    <w:rsid w:val="007205CB"/>
    <w:rsid w:val="00720B07"/>
    <w:rsid w:val="00722F05"/>
    <w:rsid w:val="00726073"/>
    <w:rsid w:val="00734FE8"/>
    <w:rsid w:val="007360CE"/>
    <w:rsid w:val="00743354"/>
    <w:rsid w:val="00745F65"/>
    <w:rsid w:val="0075041B"/>
    <w:rsid w:val="007508E8"/>
    <w:rsid w:val="00764D7A"/>
    <w:rsid w:val="00772315"/>
    <w:rsid w:val="00775157"/>
    <w:rsid w:val="007813AE"/>
    <w:rsid w:val="00796695"/>
    <w:rsid w:val="007969F5"/>
    <w:rsid w:val="007A37DB"/>
    <w:rsid w:val="007B7E8D"/>
    <w:rsid w:val="007E189D"/>
    <w:rsid w:val="007F053A"/>
    <w:rsid w:val="007F0CDE"/>
    <w:rsid w:val="007F46B6"/>
    <w:rsid w:val="00811259"/>
    <w:rsid w:val="00813AA2"/>
    <w:rsid w:val="008173A3"/>
    <w:rsid w:val="0086059C"/>
    <w:rsid w:val="00864589"/>
    <w:rsid w:val="00864AA5"/>
    <w:rsid w:val="00870ECF"/>
    <w:rsid w:val="0087698A"/>
    <w:rsid w:val="00890AFB"/>
    <w:rsid w:val="00890FC4"/>
    <w:rsid w:val="00895905"/>
    <w:rsid w:val="008C6E1C"/>
    <w:rsid w:val="008D2A36"/>
    <w:rsid w:val="008E6E99"/>
    <w:rsid w:val="008F6603"/>
    <w:rsid w:val="009164A9"/>
    <w:rsid w:val="009258CB"/>
    <w:rsid w:val="0093362E"/>
    <w:rsid w:val="00944563"/>
    <w:rsid w:val="009453DB"/>
    <w:rsid w:val="00953160"/>
    <w:rsid w:val="0095533D"/>
    <w:rsid w:val="009625D8"/>
    <w:rsid w:val="00977179"/>
    <w:rsid w:val="00977EB9"/>
    <w:rsid w:val="0098459B"/>
    <w:rsid w:val="00997185"/>
    <w:rsid w:val="009A3F1A"/>
    <w:rsid w:val="009A55EF"/>
    <w:rsid w:val="009B0BC1"/>
    <w:rsid w:val="009C2458"/>
    <w:rsid w:val="009C4A7B"/>
    <w:rsid w:val="009C6123"/>
    <w:rsid w:val="009D2585"/>
    <w:rsid w:val="009F1E3E"/>
    <w:rsid w:val="009F2A13"/>
    <w:rsid w:val="00A04EB3"/>
    <w:rsid w:val="00A1213C"/>
    <w:rsid w:val="00A13C17"/>
    <w:rsid w:val="00A272FF"/>
    <w:rsid w:val="00A411A4"/>
    <w:rsid w:val="00A50AD3"/>
    <w:rsid w:val="00A5354B"/>
    <w:rsid w:val="00A71B57"/>
    <w:rsid w:val="00A82C73"/>
    <w:rsid w:val="00A85CE7"/>
    <w:rsid w:val="00A87B83"/>
    <w:rsid w:val="00AB42C1"/>
    <w:rsid w:val="00AC516F"/>
    <w:rsid w:val="00AE2926"/>
    <w:rsid w:val="00AE536E"/>
    <w:rsid w:val="00AF0DE6"/>
    <w:rsid w:val="00B0184B"/>
    <w:rsid w:val="00B035CD"/>
    <w:rsid w:val="00B0769D"/>
    <w:rsid w:val="00B14489"/>
    <w:rsid w:val="00B217F8"/>
    <w:rsid w:val="00B332EA"/>
    <w:rsid w:val="00B34643"/>
    <w:rsid w:val="00B40A53"/>
    <w:rsid w:val="00B45365"/>
    <w:rsid w:val="00B46A65"/>
    <w:rsid w:val="00B5321F"/>
    <w:rsid w:val="00B60184"/>
    <w:rsid w:val="00B60F88"/>
    <w:rsid w:val="00B62D20"/>
    <w:rsid w:val="00B81E75"/>
    <w:rsid w:val="00B86D56"/>
    <w:rsid w:val="00B90C18"/>
    <w:rsid w:val="00B97155"/>
    <w:rsid w:val="00BA1A78"/>
    <w:rsid w:val="00BC021A"/>
    <w:rsid w:val="00BC51D5"/>
    <w:rsid w:val="00BD1194"/>
    <w:rsid w:val="00BD1A5A"/>
    <w:rsid w:val="00BD7A9B"/>
    <w:rsid w:val="00BD7BE1"/>
    <w:rsid w:val="00BE49A9"/>
    <w:rsid w:val="00BE4CF0"/>
    <w:rsid w:val="00BF416B"/>
    <w:rsid w:val="00BF774C"/>
    <w:rsid w:val="00C50B28"/>
    <w:rsid w:val="00C64E4E"/>
    <w:rsid w:val="00C66E64"/>
    <w:rsid w:val="00C71444"/>
    <w:rsid w:val="00C761A0"/>
    <w:rsid w:val="00C85F7E"/>
    <w:rsid w:val="00C90D53"/>
    <w:rsid w:val="00CB3E36"/>
    <w:rsid w:val="00CB5108"/>
    <w:rsid w:val="00CC47FE"/>
    <w:rsid w:val="00CD47F0"/>
    <w:rsid w:val="00CD5566"/>
    <w:rsid w:val="00CD64D7"/>
    <w:rsid w:val="00CE6F22"/>
    <w:rsid w:val="00CF41F6"/>
    <w:rsid w:val="00CF7D3E"/>
    <w:rsid w:val="00D02B4E"/>
    <w:rsid w:val="00D21F11"/>
    <w:rsid w:val="00D34610"/>
    <w:rsid w:val="00D366CA"/>
    <w:rsid w:val="00D36817"/>
    <w:rsid w:val="00D42120"/>
    <w:rsid w:val="00D45122"/>
    <w:rsid w:val="00D5666C"/>
    <w:rsid w:val="00D63268"/>
    <w:rsid w:val="00D666BC"/>
    <w:rsid w:val="00D7062A"/>
    <w:rsid w:val="00D83542"/>
    <w:rsid w:val="00D86DA5"/>
    <w:rsid w:val="00D90E1E"/>
    <w:rsid w:val="00D91323"/>
    <w:rsid w:val="00D92F45"/>
    <w:rsid w:val="00D94637"/>
    <w:rsid w:val="00D94A44"/>
    <w:rsid w:val="00D95E18"/>
    <w:rsid w:val="00D96457"/>
    <w:rsid w:val="00D966A7"/>
    <w:rsid w:val="00D9725C"/>
    <w:rsid w:val="00DA3796"/>
    <w:rsid w:val="00DA48FE"/>
    <w:rsid w:val="00DA7006"/>
    <w:rsid w:val="00DB3997"/>
    <w:rsid w:val="00DC60C4"/>
    <w:rsid w:val="00DC6427"/>
    <w:rsid w:val="00DD66A1"/>
    <w:rsid w:val="00DE196D"/>
    <w:rsid w:val="00DF135E"/>
    <w:rsid w:val="00DF1C8F"/>
    <w:rsid w:val="00DF6B49"/>
    <w:rsid w:val="00E067C5"/>
    <w:rsid w:val="00E06A40"/>
    <w:rsid w:val="00E265BF"/>
    <w:rsid w:val="00E378D8"/>
    <w:rsid w:val="00E43A12"/>
    <w:rsid w:val="00E46DD4"/>
    <w:rsid w:val="00E67C67"/>
    <w:rsid w:val="00E77476"/>
    <w:rsid w:val="00E8228B"/>
    <w:rsid w:val="00E834CD"/>
    <w:rsid w:val="00E85450"/>
    <w:rsid w:val="00E86B0F"/>
    <w:rsid w:val="00EC4BED"/>
    <w:rsid w:val="00EE4D0B"/>
    <w:rsid w:val="00EE5706"/>
    <w:rsid w:val="00EF373D"/>
    <w:rsid w:val="00F11595"/>
    <w:rsid w:val="00F13BC9"/>
    <w:rsid w:val="00F20CD5"/>
    <w:rsid w:val="00F350F0"/>
    <w:rsid w:val="00F357B2"/>
    <w:rsid w:val="00F36556"/>
    <w:rsid w:val="00F36B4A"/>
    <w:rsid w:val="00F432F3"/>
    <w:rsid w:val="00F672C9"/>
    <w:rsid w:val="00F705DF"/>
    <w:rsid w:val="00F70622"/>
    <w:rsid w:val="00F81EED"/>
    <w:rsid w:val="00F85624"/>
    <w:rsid w:val="00F87C05"/>
    <w:rsid w:val="00F9010E"/>
    <w:rsid w:val="00F91748"/>
    <w:rsid w:val="00F93191"/>
    <w:rsid w:val="00F93A17"/>
    <w:rsid w:val="00FA2AF6"/>
    <w:rsid w:val="00FB073D"/>
    <w:rsid w:val="00FB394C"/>
    <w:rsid w:val="00FB771F"/>
    <w:rsid w:val="00FC4562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6A8A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977EB9"/>
    <w:rPr>
      <w:rFonts w:ascii="Calibri" w:hAnsi="Calibri"/>
      <w:sz w:val="18"/>
      <w:lang w:val="fr-FR" w:eastAsia="en-US"/>
    </w:rPr>
  </w:style>
  <w:style w:type="paragraph" w:customStyle="1" w:styleId="Headingb0">
    <w:name w:val="Heading b"/>
    <w:basedOn w:val="Normal"/>
    <w:rsid w:val="005457A7"/>
    <w:rPr>
      <w:b/>
      <w:bCs/>
      <w:lang w:val="zh-CN" w:eastAsia="zh-CN"/>
    </w:rPr>
  </w:style>
  <w:style w:type="character" w:customStyle="1" w:styleId="TabletextChar">
    <w:name w:val="Table_text Char"/>
    <w:basedOn w:val="DefaultParagraphFont"/>
    <w:link w:val="Tabletext"/>
    <w:locked/>
    <w:rsid w:val="00EC4BED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3372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SFP3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B7D8-F348-445E-878F-3F4B139A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3</Pages>
  <Words>2241</Words>
  <Characters>486</Characters>
  <Application>Microsoft Office Word</Application>
  <DocSecurity>4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to the 3rd meeting of CWG-SFP</dc:title>
  <dc:subject>Council Working Group for Strategic and Financial Plans 2024-2027</dc:subject>
  <dc:creator>Wang, Yujia</dc:creator>
  <cp:keywords>CWG-SFP</cp:keywords>
  <dc:description/>
  <cp:lastModifiedBy>Xue, Kun</cp:lastModifiedBy>
  <cp:revision>2</cp:revision>
  <cp:lastPrinted>2018-04-05T09:51:00Z</cp:lastPrinted>
  <dcterms:created xsi:type="dcterms:W3CDTF">2022-02-10T07:50:00Z</dcterms:created>
  <dcterms:modified xsi:type="dcterms:W3CDTF">2022-02-10T07:50:00Z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