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E8ED9C" w14:textId="77777777" w:rsidR="00B915C1" w:rsidRPr="00D47CF9" w:rsidRDefault="00B915C1" w:rsidP="00CA20F2">
      <w:pPr>
        <w:spacing w:after="0" w:line="240" w:lineRule="auto"/>
        <w:rPr>
          <w:rFonts w:cs="Arial"/>
          <w:sz w:val="24"/>
          <w:szCs w:val="24"/>
        </w:rPr>
      </w:pPr>
    </w:p>
    <w:tbl>
      <w:tblPr>
        <w:tblpPr w:leftFromText="181" w:rightFromText="181" w:horzAnchor="margin" w:tblpY="-674"/>
        <w:tblW w:w="10314" w:type="dxa"/>
        <w:tblLayout w:type="fixed"/>
        <w:tblLook w:val="0000" w:firstRow="0" w:lastRow="0" w:firstColumn="0" w:lastColumn="0" w:noHBand="0" w:noVBand="0"/>
      </w:tblPr>
      <w:tblGrid>
        <w:gridCol w:w="6096"/>
        <w:gridCol w:w="4218"/>
      </w:tblGrid>
      <w:tr w:rsidR="005F153A" w14:paraId="3E4374D6" w14:textId="77777777" w:rsidTr="00CA20F2">
        <w:trPr>
          <w:cantSplit/>
        </w:trPr>
        <w:tc>
          <w:tcPr>
            <w:tcW w:w="6096" w:type="dxa"/>
            <w:vAlign w:val="center"/>
          </w:tcPr>
          <w:p w14:paraId="39F05024" w14:textId="5D2AFFA7" w:rsidR="005F153A" w:rsidRPr="00D613F6" w:rsidRDefault="000F2E67" w:rsidP="0076620B">
            <w:pPr>
              <w:rPr>
                <w:b/>
                <w:position w:val="6"/>
                <w:sz w:val="26"/>
                <w:szCs w:val="26"/>
              </w:rPr>
            </w:pPr>
            <w:bookmarkStart w:id="0" w:name="dc06"/>
            <w:bookmarkEnd w:id="0"/>
            <w:r w:rsidRPr="000F2E67">
              <w:rPr>
                <w:b/>
                <w:position w:val="6"/>
                <w:sz w:val="30"/>
                <w:szCs w:val="30"/>
              </w:rPr>
              <w:t xml:space="preserve">Council Working Group </w:t>
            </w:r>
            <w:r w:rsidR="002219C9">
              <w:rPr>
                <w:b/>
                <w:position w:val="6"/>
                <w:sz w:val="30"/>
                <w:szCs w:val="30"/>
              </w:rPr>
              <w:t>for</w:t>
            </w:r>
            <w:r w:rsidR="002219C9">
              <w:rPr>
                <w:b/>
                <w:position w:val="6"/>
                <w:sz w:val="30"/>
                <w:szCs w:val="30"/>
              </w:rPr>
              <w:br/>
              <w:t>Strategic and Financial Plans 2024-2027</w:t>
            </w:r>
            <w:r w:rsidR="00994E08">
              <w:rPr>
                <w:b/>
                <w:position w:val="6"/>
                <w:sz w:val="30"/>
                <w:szCs w:val="30"/>
              </w:rPr>
              <w:br/>
            </w:r>
            <w:r w:rsidR="00E84106">
              <w:rPr>
                <w:rFonts w:cstheme="minorHAnsi"/>
                <w:b/>
                <w:spacing w:val="-2"/>
                <w:sz w:val="24"/>
                <w:szCs w:val="24"/>
              </w:rPr>
              <w:t>Third</w:t>
            </w:r>
            <w:r w:rsidR="00E84106" w:rsidRPr="00857FF1">
              <w:rPr>
                <w:rFonts w:cstheme="minorHAnsi"/>
                <w:b/>
                <w:spacing w:val="-2"/>
                <w:sz w:val="24"/>
                <w:szCs w:val="24"/>
              </w:rPr>
              <w:t xml:space="preserve"> </w:t>
            </w:r>
            <w:r w:rsidR="001B506B" w:rsidRPr="00857FF1">
              <w:rPr>
                <w:rFonts w:cstheme="minorHAnsi"/>
                <w:b/>
                <w:spacing w:val="-2"/>
                <w:sz w:val="24"/>
                <w:szCs w:val="24"/>
              </w:rPr>
              <w:t xml:space="preserve">meeting </w:t>
            </w:r>
            <w:r w:rsidR="001B506B" w:rsidRPr="00857FF1">
              <w:rPr>
                <w:rFonts w:eastAsia="Calibri" w:cstheme="minorHAnsi"/>
                <w:b/>
                <w:color w:val="000000"/>
                <w:spacing w:val="-2"/>
                <w:sz w:val="24"/>
                <w:szCs w:val="24"/>
              </w:rPr>
              <w:t>–</w:t>
            </w:r>
            <w:r w:rsidR="00D75BF6">
              <w:rPr>
                <w:rFonts w:eastAsia="Calibri" w:cstheme="minorHAnsi"/>
                <w:b/>
                <w:color w:val="000000"/>
                <w:spacing w:val="-2"/>
                <w:sz w:val="24"/>
                <w:szCs w:val="24"/>
              </w:rPr>
              <w:t xml:space="preserve"> </w:t>
            </w:r>
            <w:r w:rsidR="00E84106">
              <w:rPr>
                <w:rFonts w:cstheme="minorHAnsi"/>
                <w:b/>
                <w:spacing w:val="-2"/>
                <w:sz w:val="24"/>
                <w:szCs w:val="24"/>
              </w:rPr>
              <w:t>21</w:t>
            </w:r>
            <w:r w:rsidR="00E84106" w:rsidRPr="00857FF1">
              <w:rPr>
                <w:rFonts w:cstheme="minorHAnsi"/>
                <w:b/>
                <w:spacing w:val="-2"/>
                <w:sz w:val="24"/>
                <w:szCs w:val="24"/>
              </w:rPr>
              <w:t xml:space="preserve"> </w:t>
            </w:r>
            <w:r w:rsidR="00857FF1" w:rsidRPr="00857FF1">
              <w:rPr>
                <w:rFonts w:cstheme="minorHAnsi"/>
                <w:b/>
                <w:spacing w:val="-2"/>
                <w:sz w:val="24"/>
                <w:szCs w:val="24"/>
              </w:rPr>
              <w:t xml:space="preserve">and </w:t>
            </w:r>
            <w:r w:rsidR="00E84106">
              <w:rPr>
                <w:rFonts w:cstheme="minorHAnsi"/>
                <w:b/>
                <w:spacing w:val="-2"/>
                <w:sz w:val="24"/>
                <w:szCs w:val="24"/>
              </w:rPr>
              <w:t>22</w:t>
            </w:r>
            <w:r w:rsidR="00E84106" w:rsidRPr="00857FF1">
              <w:rPr>
                <w:rFonts w:cstheme="minorHAnsi"/>
                <w:b/>
                <w:spacing w:val="-2"/>
                <w:sz w:val="24"/>
                <w:szCs w:val="24"/>
              </w:rPr>
              <w:t xml:space="preserve"> </w:t>
            </w:r>
            <w:r w:rsidR="00E84106">
              <w:rPr>
                <w:rFonts w:cstheme="minorHAnsi"/>
                <w:b/>
                <w:spacing w:val="-2"/>
                <w:sz w:val="24"/>
                <w:szCs w:val="24"/>
              </w:rPr>
              <w:t>February</w:t>
            </w:r>
            <w:r w:rsidR="00E84106" w:rsidRPr="00857FF1">
              <w:rPr>
                <w:rFonts w:cstheme="minorHAnsi"/>
                <w:b/>
                <w:spacing w:val="-2"/>
                <w:sz w:val="24"/>
                <w:szCs w:val="24"/>
              </w:rPr>
              <w:t xml:space="preserve"> </w:t>
            </w:r>
            <w:r w:rsidR="0076620B" w:rsidRPr="00857FF1">
              <w:rPr>
                <w:rFonts w:cstheme="minorHAnsi"/>
                <w:b/>
                <w:spacing w:val="-2"/>
                <w:sz w:val="24"/>
                <w:szCs w:val="24"/>
              </w:rPr>
              <w:t>20</w:t>
            </w:r>
            <w:r w:rsidR="000E334D" w:rsidRPr="00857FF1">
              <w:rPr>
                <w:rFonts w:cstheme="minorHAnsi"/>
                <w:b/>
                <w:spacing w:val="-2"/>
                <w:sz w:val="24"/>
                <w:szCs w:val="24"/>
              </w:rPr>
              <w:t>2</w:t>
            </w:r>
            <w:r w:rsidR="00857FF1" w:rsidRPr="00857FF1">
              <w:rPr>
                <w:rFonts w:cstheme="minorHAnsi"/>
                <w:b/>
                <w:spacing w:val="-2"/>
                <w:sz w:val="24"/>
                <w:szCs w:val="24"/>
              </w:rPr>
              <w:t>2</w:t>
            </w:r>
          </w:p>
        </w:tc>
        <w:tc>
          <w:tcPr>
            <w:tcW w:w="4218" w:type="dxa"/>
          </w:tcPr>
          <w:p w14:paraId="533F4B95" w14:textId="77777777" w:rsidR="005F153A" w:rsidRPr="00D613F6" w:rsidRDefault="00CA20F2" w:rsidP="00CA20F2">
            <w:pPr>
              <w:spacing w:before="120" w:line="240" w:lineRule="atLeast"/>
            </w:pPr>
            <w:bookmarkStart w:id="1" w:name="ditulogo"/>
            <w:bookmarkEnd w:id="1"/>
            <w:r>
              <w:rPr>
                <w:noProof/>
              </w:rPr>
              <w:drawing>
                <wp:inline distT="0" distB="0" distL="0" distR="0" wp14:anchorId="221E3885" wp14:editId="7C6B1570">
                  <wp:extent cx="682321" cy="720000"/>
                  <wp:effectExtent l="0" t="0" r="381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ITU-RGB-cropped.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82321" cy="720000"/>
                          </a:xfrm>
                          <a:prstGeom prst="rect">
                            <a:avLst/>
                          </a:prstGeom>
                        </pic:spPr>
                      </pic:pic>
                    </a:graphicData>
                  </a:graphic>
                </wp:inline>
              </w:drawing>
            </w:r>
          </w:p>
        </w:tc>
      </w:tr>
      <w:tr w:rsidR="005F153A" w:rsidRPr="00617BE4" w14:paraId="055501BD" w14:textId="77777777" w:rsidTr="0036762C">
        <w:trPr>
          <w:cantSplit/>
        </w:trPr>
        <w:tc>
          <w:tcPr>
            <w:tcW w:w="6096" w:type="dxa"/>
            <w:tcBorders>
              <w:top w:val="single" w:sz="12" w:space="0" w:color="auto"/>
            </w:tcBorders>
          </w:tcPr>
          <w:p w14:paraId="3CE60A30" w14:textId="77777777" w:rsidR="005F153A" w:rsidRPr="00D613F6" w:rsidRDefault="005F153A" w:rsidP="00CA20F2">
            <w:pPr>
              <w:snapToGrid w:val="0"/>
              <w:spacing w:after="0" w:line="240" w:lineRule="auto"/>
              <w:rPr>
                <w:b/>
                <w:smallCaps/>
              </w:rPr>
            </w:pPr>
          </w:p>
        </w:tc>
        <w:tc>
          <w:tcPr>
            <w:tcW w:w="4218" w:type="dxa"/>
            <w:tcBorders>
              <w:top w:val="single" w:sz="12" w:space="0" w:color="auto"/>
            </w:tcBorders>
          </w:tcPr>
          <w:p w14:paraId="6021A21C" w14:textId="77777777" w:rsidR="005F153A" w:rsidRPr="00D613F6" w:rsidRDefault="005F153A" w:rsidP="00CA20F2">
            <w:pPr>
              <w:snapToGrid w:val="0"/>
              <w:spacing w:after="0" w:line="240" w:lineRule="auto"/>
              <w:ind w:left="209"/>
              <w:rPr>
                <w:rFonts w:ascii="Verdana" w:hAnsi="Verdana"/>
              </w:rPr>
            </w:pPr>
          </w:p>
        </w:tc>
      </w:tr>
      <w:tr w:rsidR="005F153A" w:rsidRPr="002219C9" w14:paraId="414CFCAF" w14:textId="77777777" w:rsidTr="006C5822">
        <w:trPr>
          <w:cantSplit/>
          <w:trHeight w:val="23"/>
        </w:trPr>
        <w:tc>
          <w:tcPr>
            <w:tcW w:w="6096" w:type="dxa"/>
            <w:vMerge w:val="restart"/>
            <w:shd w:val="clear" w:color="auto" w:fill="auto"/>
          </w:tcPr>
          <w:p w14:paraId="293062EA" w14:textId="77777777" w:rsidR="005F153A" w:rsidRPr="006C5822" w:rsidRDefault="005F153A" w:rsidP="00CA20F2">
            <w:pPr>
              <w:snapToGrid w:val="0"/>
              <w:spacing w:after="0" w:line="240" w:lineRule="auto"/>
              <w:rPr>
                <w:b/>
              </w:rPr>
            </w:pPr>
            <w:bookmarkStart w:id="2" w:name="dmeeting" w:colFirst="0" w:colLast="0"/>
            <w:bookmarkStart w:id="3" w:name="dnum" w:colFirst="1" w:colLast="1"/>
          </w:p>
        </w:tc>
        <w:tc>
          <w:tcPr>
            <w:tcW w:w="4218" w:type="dxa"/>
            <w:shd w:val="clear" w:color="auto" w:fill="auto"/>
          </w:tcPr>
          <w:p w14:paraId="404F67C6" w14:textId="085475CB" w:rsidR="005F153A" w:rsidRPr="006C5822" w:rsidRDefault="005F153A" w:rsidP="0076620B">
            <w:pPr>
              <w:snapToGrid w:val="0"/>
              <w:spacing w:after="0" w:line="240" w:lineRule="auto"/>
              <w:ind w:left="57"/>
              <w:rPr>
                <w:rFonts w:cstheme="minorHAnsi"/>
                <w:b/>
                <w:spacing w:val="-4"/>
                <w:sz w:val="24"/>
                <w:szCs w:val="24"/>
                <w:lang w:val="de-CH"/>
              </w:rPr>
            </w:pPr>
            <w:r w:rsidRPr="006C5822">
              <w:rPr>
                <w:rFonts w:cstheme="minorHAnsi"/>
                <w:b/>
                <w:spacing w:val="-4"/>
                <w:sz w:val="24"/>
                <w:szCs w:val="24"/>
                <w:lang w:val="de-CH"/>
              </w:rPr>
              <w:t xml:space="preserve">Document </w:t>
            </w:r>
            <w:r w:rsidR="00F45331" w:rsidRPr="0027063D">
              <w:rPr>
                <w:rFonts w:cstheme="minorHAnsi"/>
                <w:b/>
                <w:spacing w:val="-4"/>
                <w:sz w:val="24"/>
                <w:szCs w:val="24"/>
                <w:lang w:val="de-CH"/>
              </w:rPr>
              <w:t>C</w:t>
            </w:r>
            <w:r w:rsidRPr="0027063D">
              <w:rPr>
                <w:rFonts w:cstheme="minorHAnsi"/>
                <w:b/>
                <w:spacing w:val="-4"/>
                <w:sz w:val="24"/>
                <w:szCs w:val="24"/>
                <w:lang w:val="de-CH"/>
              </w:rPr>
              <w:t>WG-</w:t>
            </w:r>
            <w:r w:rsidR="002219C9" w:rsidRPr="0027063D">
              <w:rPr>
                <w:rFonts w:cstheme="minorHAnsi"/>
                <w:b/>
                <w:spacing w:val="-4"/>
                <w:sz w:val="24"/>
                <w:szCs w:val="24"/>
                <w:lang w:val="de-CH"/>
              </w:rPr>
              <w:t>SFP-</w:t>
            </w:r>
            <w:r w:rsidR="00E84106" w:rsidRPr="0027063D">
              <w:rPr>
                <w:rFonts w:cstheme="minorHAnsi"/>
                <w:b/>
                <w:spacing w:val="-4"/>
                <w:sz w:val="24"/>
                <w:szCs w:val="24"/>
                <w:lang w:val="de-CH"/>
              </w:rPr>
              <w:t>3</w:t>
            </w:r>
            <w:r w:rsidRPr="0027063D">
              <w:rPr>
                <w:rFonts w:cstheme="minorHAnsi"/>
                <w:b/>
                <w:spacing w:val="-4"/>
                <w:sz w:val="24"/>
                <w:szCs w:val="24"/>
                <w:lang w:val="de-CH"/>
              </w:rPr>
              <w:t>/</w:t>
            </w:r>
            <w:r w:rsidR="0065512B" w:rsidRPr="0027063D">
              <w:rPr>
                <w:rFonts w:cstheme="minorHAnsi"/>
                <w:b/>
                <w:spacing w:val="-4"/>
                <w:sz w:val="24"/>
                <w:szCs w:val="24"/>
                <w:lang w:val="de-CH"/>
              </w:rPr>
              <w:t>5</w:t>
            </w:r>
            <w:r w:rsidR="006B460D" w:rsidRPr="0027063D">
              <w:rPr>
                <w:rFonts w:cstheme="minorHAnsi"/>
                <w:b/>
                <w:spacing w:val="-4"/>
                <w:sz w:val="24"/>
                <w:szCs w:val="24"/>
                <w:lang w:val="de-CH"/>
              </w:rPr>
              <w:t>-E</w:t>
            </w:r>
          </w:p>
        </w:tc>
      </w:tr>
      <w:tr w:rsidR="005F153A" w:rsidRPr="00E544AC" w14:paraId="738CA7AF" w14:textId="77777777" w:rsidTr="006C5822">
        <w:trPr>
          <w:cantSplit/>
          <w:trHeight w:val="23"/>
        </w:trPr>
        <w:tc>
          <w:tcPr>
            <w:tcW w:w="6096" w:type="dxa"/>
            <w:vMerge/>
            <w:shd w:val="clear" w:color="auto" w:fill="auto"/>
          </w:tcPr>
          <w:p w14:paraId="418692AD" w14:textId="77777777" w:rsidR="005F153A" w:rsidRPr="006C5822" w:rsidRDefault="005F153A" w:rsidP="00CA20F2">
            <w:pPr>
              <w:snapToGrid w:val="0"/>
              <w:spacing w:after="0" w:line="240" w:lineRule="auto"/>
              <w:rPr>
                <w:b/>
                <w:lang w:val="de-CH"/>
              </w:rPr>
            </w:pPr>
            <w:bookmarkStart w:id="4" w:name="ddate" w:colFirst="1" w:colLast="1"/>
            <w:bookmarkEnd w:id="2"/>
            <w:bookmarkEnd w:id="3"/>
          </w:p>
        </w:tc>
        <w:tc>
          <w:tcPr>
            <w:tcW w:w="4218" w:type="dxa"/>
            <w:shd w:val="clear" w:color="auto" w:fill="auto"/>
          </w:tcPr>
          <w:p w14:paraId="62B5CD2A" w14:textId="5859FDE0" w:rsidR="005F153A" w:rsidRPr="006C5822" w:rsidRDefault="00E84106" w:rsidP="0076620B">
            <w:pPr>
              <w:snapToGrid w:val="0"/>
              <w:spacing w:after="0" w:line="240" w:lineRule="auto"/>
              <w:ind w:left="57"/>
              <w:rPr>
                <w:rFonts w:cstheme="minorHAnsi"/>
                <w:b/>
                <w:sz w:val="24"/>
                <w:szCs w:val="24"/>
              </w:rPr>
            </w:pPr>
            <w:r>
              <w:rPr>
                <w:rFonts w:cstheme="minorHAnsi"/>
                <w:b/>
                <w:sz w:val="24"/>
                <w:szCs w:val="24"/>
              </w:rPr>
              <w:t>21 January 2022</w:t>
            </w:r>
          </w:p>
        </w:tc>
      </w:tr>
      <w:tr w:rsidR="005F153A" w:rsidRPr="00E544AC" w14:paraId="1438B3DD" w14:textId="77777777" w:rsidTr="006C5822">
        <w:trPr>
          <w:cantSplit/>
          <w:trHeight w:val="80"/>
        </w:trPr>
        <w:tc>
          <w:tcPr>
            <w:tcW w:w="6096" w:type="dxa"/>
            <w:vMerge/>
            <w:shd w:val="clear" w:color="auto" w:fill="auto"/>
          </w:tcPr>
          <w:p w14:paraId="7609E632" w14:textId="77777777" w:rsidR="005F153A" w:rsidRPr="006C5822" w:rsidRDefault="005F153A" w:rsidP="00CA20F2">
            <w:pPr>
              <w:snapToGrid w:val="0"/>
              <w:spacing w:after="0" w:line="240" w:lineRule="auto"/>
              <w:rPr>
                <w:b/>
              </w:rPr>
            </w:pPr>
            <w:bookmarkStart w:id="5" w:name="dorlang" w:colFirst="1" w:colLast="1"/>
            <w:bookmarkEnd w:id="4"/>
          </w:p>
        </w:tc>
        <w:tc>
          <w:tcPr>
            <w:tcW w:w="4218" w:type="dxa"/>
            <w:shd w:val="clear" w:color="auto" w:fill="auto"/>
          </w:tcPr>
          <w:p w14:paraId="74D115A8" w14:textId="58796246" w:rsidR="005F153A" w:rsidRPr="006C5822" w:rsidRDefault="002219C9" w:rsidP="00CA20F2">
            <w:pPr>
              <w:snapToGrid w:val="0"/>
              <w:spacing w:after="0" w:line="240" w:lineRule="auto"/>
              <w:ind w:left="57"/>
              <w:rPr>
                <w:rFonts w:cstheme="minorHAnsi"/>
                <w:b/>
                <w:sz w:val="24"/>
                <w:szCs w:val="24"/>
              </w:rPr>
            </w:pPr>
            <w:r w:rsidRPr="006C5822">
              <w:rPr>
                <w:rFonts w:cstheme="minorHAnsi"/>
                <w:b/>
                <w:sz w:val="24"/>
                <w:szCs w:val="24"/>
              </w:rPr>
              <w:t xml:space="preserve">Original: </w:t>
            </w:r>
            <w:r w:rsidR="005F153A" w:rsidRPr="006C5822">
              <w:rPr>
                <w:rFonts w:cstheme="minorHAnsi"/>
                <w:b/>
                <w:sz w:val="24"/>
                <w:szCs w:val="24"/>
              </w:rPr>
              <w:t>English</w:t>
            </w:r>
          </w:p>
        </w:tc>
      </w:tr>
      <w:bookmarkEnd w:id="5"/>
      <w:tr w:rsidR="00857FF1" w:rsidRPr="00E544AC" w14:paraId="274ACDD0" w14:textId="77777777" w:rsidTr="004830DC">
        <w:trPr>
          <w:cantSplit/>
          <w:trHeight w:val="80"/>
        </w:trPr>
        <w:tc>
          <w:tcPr>
            <w:tcW w:w="10314" w:type="dxa"/>
            <w:gridSpan w:val="2"/>
          </w:tcPr>
          <w:p w14:paraId="20E90AAA" w14:textId="73DDB713" w:rsidR="00857FF1" w:rsidRPr="00D75BF6" w:rsidRDefault="00857FF1" w:rsidP="00D75BF6">
            <w:pPr>
              <w:pStyle w:val="Source"/>
              <w:framePr w:hSpace="0" w:wrap="auto" w:hAnchor="text" w:yAlign="inline"/>
            </w:pPr>
            <w:r w:rsidRPr="00D75BF6">
              <w:t xml:space="preserve">Contribution by </w:t>
            </w:r>
            <w:r w:rsidR="00861484" w:rsidRPr="00D75BF6">
              <w:t xml:space="preserve">the </w:t>
            </w:r>
            <w:r w:rsidR="00E84106">
              <w:t>Chairman of CWG-SFP</w:t>
            </w:r>
          </w:p>
        </w:tc>
      </w:tr>
      <w:tr w:rsidR="00857FF1" w:rsidRPr="00E544AC" w14:paraId="051AB311" w14:textId="77777777" w:rsidTr="004830DC">
        <w:trPr>
          <w:cantSplit/>
          <w:trHeight w:val="80"/>
        </w:trPr>
        <w:tc>
          <w:tcPr>
            <w:tcW w:w="10314" w:type="dxa"/>
            <w:gridSpan w:val="2"/>
          </w:tcPr>
          <w:p w14:paraId="7BC664EC" w14:textId="6C890CA2" w:rsidR="00857FF1" w:rsidRPr="000F2E67" w:rsidRDefault="00E84106" w:rsidP="00D75BF6">
            <w:pPr>
              <w:pStyle w:val="Title1"/>
              <w:framePr w:hSpace="0" w:wrap="auto" w:hAnchor="text" w:yAlign="inline"/>
            </w:pPr>
            <w:bookmarkStart w:id="6" w:name="_Hlk90022080"/>
            <w:r>
              <w:t>Draft</w:t>
            </w:r>
            <w:r w:rsidR="00861484">
              <w:t xml:space="preserve"> annex </w:t>
            </w:r>
            <w:r w:rsidR="009F6FE3">
              <w:t>2</w:t>
            </w:r>
            <w:r w:rsidR="00861484">
              <w:t xml:space="preserve"> to resolution 71</w:t>
            </w:r>
            <w:r w:rsidR="003469C6">
              <w:t>:</w:t>
            </w:r>
            <w:r w:rsidR="00861484">
              <w:br/>
            </w:r>
            <w:r w:rsidR="009F6FE3">
              <w:t>Situational Analysis</w:t>
            </w:r>
            <w:bookmarkEnd w:id="6"/>
          </w:p>
        </w:tc>
      </w:tr>
      <w:tr w:rsidR="00857FF1" w:rsidRPr="00E544AC" w14:paraId="755E6669" w14:textId="77777777" w:rsidTr="004830DC">
        <w:trPr>
          <w:cantSplit/>
          <w:trHeight w:val="80"/>
        </w:trPr>
        <w:tc>
          <w:tcPr>
            <w:tcW w:w="10314" w:type="dxa"/>
            <w:gridSpan w:val="2"/>
          </w:tcPr>
          <w:p w14:paraId="6C543411" w14:textId="77777777" w:rsidR="00857FF1" w:rsidRDefault="00857FF1" w:rsidP="00D75BF6">
            <w:pPr>
              <w:pStyle w:val="Title1"/>
              <w:framePr w:hSpace="0" w:wrap="auto" w:hAnchor="text" w:yAlign="inline"/>
            </w:pPr>
          </w:p>
        </w:tc>
      </w:tr>
    </w:tbl>
    <w:tbl>
      <w:tblPr>
        <w:tblW w:w="8646"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46"/>
      </w:tblGrid>
      <w:tr w:rsidR="00857FF1" w:rsidRPr="001F57C2" w14:paraId="184840CF" w14:textId="77777777" w:rsidTr="006C5822">
        <w:trPr>
          <w:trHeight w:val="3372"/>
        </w:trPr>
        <w:tc>
          <w:tcPr>
            <w:tcW w:w="8646" w:type="dxa"/>
            <w:tcBorders>
              <w:top w:val="single" w:sz="12" w:space="0" w:color="auto"/>
              <w:left w:val="single" w:sz="12" w:space="0" w:color="auto"/>
              <w:bottom w:val="single" w:sz="12" w:space="0" w:color="auto"/>
              <w:right w:val="single" w:sz="12" w:space="0" w:color="auto"/>
            </w:tcBorders>
          </w:tcPr>
          <w:p w14:paraId="418BBC43" w14:textId="77777777" w:rsidR="00857FF1" w:rsidRPr="0036762C" w:rsidRDefault="00857FF1" w:rsidP="00617346">
            <w:pPr>
              <w:snapToGrid w:val="0"/>
              <w:spacing w:before="120" w:after="120" w:line="240" w:lineRule="auto"/>
              <w:ind w:left="869" w:hanging="869"/>
              <w:rPr>
                <w:rFonts w:eastAsia="SimSun"/>
                <w:b/>
                <w:bCs/>
                <w:szCs w:val="24"/>
              </w:rPr>
            </w:pPr>
            <w:r w:rsidRPr="0036762C">
              <w:rPr>
                <w:rFonts w:eastAsia="SimSun"/>
                <w:b/>
                <w:bCs/>
                <w:szCs w:val="24"/>
              </w:rPr>
              <w:t>Summary</w:t>
            </w:r>
          </w:p>
          <w:p w14:paraId="28C22265" w14:textId="6F00D29B" w:rsidR="00857FF1" w:rsidRPr="0036762C" w:rsidRDefault="000F015E" w:rsidP="000F015E">
            <w:pPr>
              <w:snapToGrid w:val="0"/>
              <w:spacing w:before="120" w:after="120" w:line="240" w:lineRule="auto"/>
              <w:ind w:right="64"/>
              <w:jc w:val="both"/>
              <w:rPr>
                <w:rFonts w:eastAsia="SimSun"/>
                <w:szCs w:val="24"/>
              </w:rPr>
            </w:pPr>
            <w:r w:rsidRPr="000F015E">
              <w:rPr>
                <w:rFonts w:eastAsia="SimSun"/>
                <w:szCs w:val="24"/>
              </w:rPr>
              <w:t xml:space="preserve">This document presents the </w:t>
            </w:r>
            <w:r w:rsidR="00725BA5">
              <w:rPr>
                <w:rFonts w:eastAsia="SimSun"/>
                <w:szCs w:val="24"/>
              </w:rPr>
              <w:t xml:space="preserve">draft </w:t>
            </w:r>
            <w:r w:rsidR="00AE1243">
              <w:rPr>
                <w:rFonts w:eastAsia="SimSun"/>
                <w:szCs w:val="24"/>
              </w:rPr>
              <w:t>Situational Analysis</w:t>
            </w:r>
            <w:r w:rsidR="00725BA5">
              <w:rPr>
                <w:rFonts w:eastAsia="SimSun"/>
                <w:szCs w:val="24"/>
              </w:rPr>
              <w:t xml:space="preserve">, being </w:t>
            </w:r>
            <w:r w:rsidR="00FC0F4A">
              <w:rPr>
                <w:rFonts w:eastAsia="SimSun"/>
                <w:szCs w:val="24"/>
              </w:rPr>
              <w:t xml:space="preserve">elaborated by the CWG-SFP within the </w:t>
            </w:r>
            <w:r w:rsidR="00725BA5" w:rsidRPr="00725BA5">
              <w:rPr>
                <w:rFonts w:eastAsia="SimSun"/>
                <w:szCs w:val="24"/>
              </w:rPr>
              <w:t>process of the development of the</w:t>
            </w:r>
            <w:r w:rsidR="00AE1243">
              <w:rPr>
                <w:rFonts w:eastAsia="SimSun"/>
                <w:szCs w:val="24"/>
              </w:rPr>
              <w:t xml:space="preserve"> of the </w:t>
            </w:r>
            <w:r w:rsidR="00F338F6">
              <w:rPr>
                <w:rFonts w:eastAsia="SimSun"/>
                <w:szCs w:val="24"/>
              </w:rPr>
              <w:t>D</w:t>
            </w:r>
            <w:r w:rsidR="005674B3">
              <w:rPr>
                <w:rFonts w:eastAsia="SimSun"/>
                <w:szCs w:val="24"/>
              </w:rPr>
              <w:t xml:space="preserve">raft ITU Strategic </w:t>
            </w:r>
            <w:r w:rsidRPr="000F015E">
              <w:rPr>
                <w:rFonts w:eastAsia="SimSun"/>
                <w:szCs w:val="24"/>
              </w:rPr>
              <w:t>plan for 2024-2027</w:t>
            </w:r>
            <w:r w:rsidR="005674B3">
              <w:rPr>
                <w:rFonts w:eastAsia="SimSun"/>
                <w:szCs w:val="24"/>
              </w:rPr>
              <w:t>.</w:t>
            </w:r>
          </w:p>
          <w:p w14:paraId="3AAE3E2E" w14:textId="77777777" w:rsidR="00857FF1" w:rsidRPr="0036762C" w:rsidRDefault="00857FF1" w:rsidP="00617346">
            <w:pPr>
              <w:snapToGrid w:val="0"/>
              <w:spacing w:before="120" w:after="120" w:line="240" w:lineRule="auto"/>
              <w:ind w:left="862" w:hanging="868"/>
              <w:jc w:val="both"/>
              <w:rPr>
                <w:rFonts w:eastAsia="SimSun"/>
                <w:b/>
                <w:bCs/>
                <w:szCs w:val="24"/>
              </w:rPr>
            </w:pPr>
            <w:r w:rsidRPr="0036762C">
              <w:rPr>
                <w:rFonts w:eastAsia="SimSun"/>
                <w:b/>
                <w:bCs/>
                <w:szCs w:val="24"/>
              </w:rPr>
              <w:t>Action required</w:t>
            </w:r>
          </w:p>
          <w:p w14:paraId="49943B1C" w14:textId="47EACEE4" w:rsidR="00857FF1" w:rsidRDefault="001603E8" w:rsidP="00617346">
            <w:pPr>
              <w:snapToGrid w:val="0"/>
              <w:spacing w:before="120" w:after="120" w:line="240" w:lineRule="auto"/>
              <w:ind w:right="64"/>
              <w:jc w:val="both"/>
              <w:rPr>
                <w:szCs w:val="24"/>
              </w:rPr>
            </w:pPr>
            <w:r>
              <w:rPr>
                <w:szCs w:val="24"/>
              </w:rPr>
              <w:t xml:space="preserve">The Council Working Group is invited to </w:t>
            </w:r>
            <w:r w:rsidRPr="001603E8">
              <w:rPr>
                <w:b/>
                <w:bCs/>
                <w:szCs w:val="24"/>
              </w:rPr>
              <w:t>consider</w:t>
            </w:r>
            <w:r>
              <w:rPr>
                <w:szCs w:val="24"/>
              </w:rPr>
              <w:t xml:space="preserve"> </w:t>
            </w:r>
            <w:r w:rsidR="00FC0F4A" w:rsidRPr="00FC0F4A">
              <w:rPr>
                <w:b/>
                <w:bCs/>
                <w:szCs w:val="24"/>
              </w:rPr>
              <w:t>and endorse</w:t>
            </w:r>
            <w:r w:rsidR="00FC0F4A">
              <w:rPr>
                <w:szCs w:val="24"/>
              </w:rPr>
              <w:t xml:space="preserve"> </w:t>
            </w:r>
            <w:r>
              <w:rPr>
                <w:szCs w:val="24"/>
              </w:rPr>
              <w:t xml:space="preserve">the </w:t>
            </w:r>
            <w:r w:rsidR="00FC0F4A">
              <w:rPr>
                <w:szCs w:val="24"/>
              </w:rPr>
              <w:t xml:space="preserve">draft </w:t>
            </w:r>
            <w:r w:rsidR="00AE1243">
              <w:rPr>
                <w:szCs w:val="24"/>
              </w:rPr>
              <w:t xml:space="preserve">Situational Analysis of the </w:t>
            </w:r>
            <w:r w:rsidR="00F338F6">
              <w:rPr>
                <w:szCs w:val="24"/>
              </w:rPr>
              <w:t>D</w:t>
            </w:r>
            <w:r w:rsidR="00A65128">
              <w:rPr>
                <w:szCs w:val="24"/>
              </w:rPr>
              <w:t>raft ITU Strategic plan for 2024-2027.</w:t>
            </w:r>
          </w:p>
          <w:p w14:paraId="7B688A64" w14:textId="463736A3" w:rsidR="00617346" w:rsidRPr="0036762C" w:rsidRDefault="00617346" w:rsidP="006C5822">
            <w:pPr>
              <w:snapToGrid w:val="0"/>
              <w:spacing w:before="120" w:after="120" w:line="240" w:lineRule="auto"/>
              <w:ind w:right="64"/>
              <w:jc w:val="center"/>
              <w:rPr>
                <w:rFonts w:eastAsia="SimSun"/>
                <w:szCs w:val="24"/>
              </w:rPr>
            </w:pPr>
            <w:r>
              <w:rPr>
                <w:szCs w:val="24"/>
              </w:rPr>
              <w:t>________________</w:t>
            </w:r>
          </w:p>
          <w:p w14:paraId="56AC7730" w14:textId="77777777" w:rsidR="00857FF1" w:rsidRPr="0036762C" w:rsidRDefault="00857FF1" w:rsidP="00617346">
            <w:pPr>
              <w:snapToGrid w:val="0"/>
              <w:spacing w:before="120" w:after="120" w:line="240" w:lineRule="auto"/>
              <w:ind w:left="862" w:hanging="868"/>
              <w:jc w:val="both"/>
              <w:rPr>
                <w:rFonts w:eastAsia="SimSun"/>
                <w:b/>
                <w:bCs/>
                <w:szCs w:val="24"/>
              </w:rPr>
            </w:pPr>
            <w:r w:rsidRPr="0036762C">
              <w:rPr>
                <w:rFonts w:eastAsia="SimSun"/>
                <w:b/>
                <w:bCs/>
                <w:szCs w:val="24"/>
              </w:rPr>
              <w:t>References</w:t>
            </w:r>
          </w:p>
          <w:p w14:paraId="31655A5C" w14:textId="0A5D4ED5" w:rsidR="00857FF1" w:rsidRPr="0036762C" w:rsidRDefault="0027063D" w:rsidP="00617346">
            <w:pPr>
              <w:snapToGrid w:val="0"/>
              <w:spacing w:before="120" w:after="120" w:line="240" w:lineRule="auto"/>
              <w:ind w:right="64"/>
              <w:jc w:val="both"/>
              <w:rPr>
                <w:szCs w:val="24"/>
              </w:rPr>
            </w:pPr>
            <w:hyperlink r:id="rId13" w:history="1">
              <w:r w:rsidR="005674B3" w:rsidRPr="00F73102">
                <w:rPr>
                  <w:rStyle w:val="Hyperlink"/>
                  <w:szCs w:val="24"/>
                </w:rPr>
                <w:t>Resolution 71 (rev. Dubai, 2018)</w:t>
              </w:r>
            </w:hyperlink>
          </w:p>
        </w:tc>
      </w:tr>
    </w:tbl>
    <w:p w14:paraId="37B7D2C9" w14:textId="181DCFD6" w:rsidR="00CC597D" w:rsidRDefault="00CC597D" w:rsidP="00617346">
      <w:pPr>
        <w:spacing w:before="120" w:after="120"/>
        <w:rPr>
          <w:rFonts w:cstheme="majorBidi"/>
          <w:sz w:val="24"/>
          <w:szCs w:val="24"/>
        </w:rPr>
      </w:pPr>
    </w:p>
    <w:p w14:paraId="4ABAF3CC" w14:textId="0127B5A6" w:rsidR="00857FF1" w:rsidRDefault="00857FF1">
      <w:pPr>
        <w:spacing w:after="0" w:line="240" w:lineRule="auto"/>
        <w:rPr>
          <w:rFonts w:cstheme="majorBidi"/>
          <w:sz w:val="24"/>
          <w:szCs w:val="24"/>
        </w:rPr>
      </w:pPr>
      <w:r>
        <w:rPr>
          <w:rFonts w:cstheme="majorBidi"/>
          <w:sz w:val="24"/>
          <w:szCs w:val="24"/>
        </w:rPr>
        <w:br w:type="page"/>
      </w:r>
    </w:p>
    <w:p w14:paraId="16339287" w14:textId="356F2B81" w:rsidR="00D06783" w:rsidRDefault="004C5404" w:rsidP="00D06783">
      <w:pPr>
        <w:pStyle w:val="Heading1"/>
        <w:numPr>
          <w:ilvl w:val="0"/>
          <w:numId w:val="9"/>
        </w:numPr>
        <w:tabs>
          <w:tab w:val="num" w:pos="360"/>
        </w:tabs>
        <w:spacing w:before="120" w:after="120"/>
        <w:ind w:left="357" w:hanging="357"/>
        <w:rPr>
          <w:rStyle w:val="Heading1Char"/>
          <w:noProof/>
          <w:lang w:val="en-US"/>
        </w:rPr>
      </w:pPr>
      <w:r w:rsidRPr="004C5404">
        <w:rPr>
          <w:rStyle w:val="Heading1Char"/>
          <w:noProof/>
          <w:lang w:val="en-US"/>
        </w:rPr>
        <w:lastRenderedPageBreak/>
        <w:t>ITU as a part of the United Nations System</w:t>
      </w:r>
    </w:p>
    <w:p w14:paraId="6B5C4369" w14:textId="1E95F125" w:rsidR="00420D58" w:rsidRPr="00D364DC" w:rsidRDefault="00420D58" w:rsidP="00420D58">
      <w:pPr>
        <w:pStyle w:val="Numberedpara"/>
        <w:rPr>
          <w:lang w:val="en-US"/>
        </w:rPr>
      </w:pPr>
      <w:r>
        <w:t xml:space="preserve">ITU is the United Nations </w:t>
      </w:r>
      <w:r w:rsidRPr="00A35D4C">
        <w:t xml:space="preserve">specialized agency for telecommunication/ICTs. ITU allocates global radio spectrum and </w:t>
      </w:r>
      <w:r>
        <w:t xml:space="preserve">associated </w:t>
      </w:r>
      <w:r w:rsidRPr="00A35D4C">
        <w:t>satellite orbit</w:t>
      </w:r>
      <w:r>
        <w:t xml:space="preserve"> resources</w:t>
      </w:r>
      <w:r w:rsidRPr="00A35D4C">
        <w:t xml:space="preserve">, develops technical standards that ensure networks and technologies seamlessly interconnect, and strives to improve access to and use </w:t>
      </w:r>
      <w:r w:rsidRPr="00C70A91">
        <w:t>of telecommunication/ICTs to underserved communities worldwide. ITU is committed to connecting all the world's people – wherever they live and whatever their means, leaving no</w:t>
      </w:r>
      <w:r>
        <w:t xml:space="preserve"> </w:t>
      </w:r>
      <w:r w:rsidRPr="00C70A91">
        <w:t xml:space="preserve">one behind. ITU's work aims to </w:t>
      </w:r>
      <w:r w:rsidRPr="007F02DA">
        <w:t>protect and support everyone's fundamental right to communicate.</w:t>
      </w:r>
    </w:p>
    <w:p w14:paraId="4D92F886" w14:textId="00BEC206" w:rsidR="00420D58" w:rsidRPr="00D364DC" w:rsidRDefault="00420D58" w:rsidP="00420D58">
      <w:pPr>
        <w:pStyle w:val="Numberedpara"/>
        <w:rPr>
          <w:lang w:val="en-US"/>
        </w:rPr>
      </w:pPr>
      <w:r w:rsidRPr="009E65E7">
        <w:rPr>
          <w:lang w:val="en-US"/>
        </w:rPr>
        <w:t xml:space="preserve">ITU has been based on </w:t>
      </w:r>
      <w:r>
        <w:rPr>
          <w:lang w:val="en-US"/>
        </w:rPr>
        <w:t xml:space="preserve">the partnership of diverse members </w:t>
      </w:r>
      <w:r w:rsidRPr="009E65E7">
        <w:rPr>
          <w:lang w:val="en-US"/>
        </w:rPr>
        <w:t>since its inception in 1865</w:t>
      </w:r>
      <w:r>
        <w:rPr>
          <w:lang w:val="en-US"/>
        </w:rPr>
        <w:t xml:space="preserve">. It is therefore unique in the UN system, as it brings together </w:t>
      </w:r>
      <w:r w:rsidRPr="009E65E7">
        <w:rPr>
          <w:lang w:val="en-US"/>
        </w:rPr>
        <w:t xml:space="preserve">193 Member States, over 900 private sector companies, universities, and </w:t>
      </w:r>
      <w:r>
        <w:rPr>
          <w:lang w:val="en-US"/>
        </w:rPr>
        <w:t xml:space="preserve">civil society organizations, that work </w:t>
      </w:r>
      <w:r w:rsidRPr="009E65E7">
        <w:rPr>
          <w:lang w:val="en-US"/>
        </w:rPr>
        <w:t xml:space="preserve">together to harness the power of </w:t>
      </w:r>
      <w:r>
        <w:rPr>
          <w:lang w:val="en-US"/>
        </w:rPr>
        <w:t xml:space="preserve">telecommunication/ICT to </w:t>
      </w:r>
      <w:r w:rsidRPr="009E65E7">
        <w:rPr>
          <w:lang w:val="en-US"/>
        </w:rPr>
        <w:t xml:space="preserve">promote </w:t>
      </w:r>
      <w:r>
        <w:rPr>
          <w:lang w:val="en-US"/>
        </w:rPr>
        <w:t>universal and</w:t>
      </w:r>
      <w:r w:rsidRPr="009E65E7">
        <w:rPr>
          <w:lang w:val="en-US"/>
        </w:rPr>
        <w:t xml:space="preserve"> affordable</w:t>
      </w:r>
      <w:r>
        <w:rPr>
          <w:lang w:val="en-US"/>
        </w:rPr>
        <w:t xml:space="preserve"> </w:t>
      </w:r>
      <w:r w:rsidRPr="009E65E7">
        <w:rPr>
          <w:lang w:val="en-US"/>
        </w:rPr>
        <w:t>connectivity for all</w:t>
      </w:r>
      <w:r>
        <w:rPr>
          <w:lang w:val="en-US"/>
        </w:rPr>
        <w:t>.</w:t>
      </w:r>
    </w:p>
    <w:p w14:paraId="1A54FD61" w14:textId="77777777" w:rsidR="00420D58" w:rsidRPr="003C7565" w:rsidRDefault="00420D58" w:rsidP="00671FF5">
      <w:pPr>
        <w:pStyle w:val="Heading1"/>
        <w:numPr>
          <w:ilvl w:val="0"/>
          <w:numId w:val="9"/>
        </w:numPr>
        <w:tabs>
          <w:tab w:val="num" w:pos="360"/>
        </w:tabs>
        <w:spacing w:before="360" w:after="0"/>
        <w:ind w:left="357" w:hanging="357"/>
        <w:rPr>
          <w:rStyle w:val="Heading1Char"/>
          <w:noProof/>
          <w:lang w:val="en-US"/>
        </w:rPr>
      </w:pPr>
      <w:r w:rsidRPr="003C7565">
        <w:rPr>
          <w:rStyle w:val="Heading1Char"/>
          <w:noProof/>
          <w:lang w:val="en-US"/>
        </w:rPr>
        <w:t>Developments since the ITU 2018 Plenipotentiary Conference</w:t>
      </w:r>
    </w:p>
    <w:p w14:paraId="49893DC4" w14:textId="734A219F" w:rsidR="00420D58" w:rsidRDefault="00420D58" w:rsidP="003C7565">
      <w:pPr>
        <w:pStyle w:val="Sections"/>
      </w:pPr>
      <w:r w:rsidRPr="00987F78">
        <w:t>Developments at the UN System</w:t>
      </w:r>
    </w:p>
    <w:p w14:paraId="502F0B76" w14:textId="23F72088" w:rsidR="00420D58" w:rsidRPr="00125C1F" w:rsidRDefault="00420D58" w:rsidP="00125C1F">
      <w:pPr>
        <w:pStyle w:val="Numberedpara"/>
        <w:rPr>
          <w:lang w:val="en-US"/>
        </w:rPr>
      </w:pPr>
      <w:r w:rsidRPr="00087411">
        <w:rPr>
          <w:b/>
          <w:bCs/>
          <w:lang w:val="en-US"/>
        </w:rPr>
        <w:t>Digital transformation and cooperation have become one of the top priorities across the United Nations</w:t>
      </w:r>
      <w:r w:rsidRPr="6145325F">
        <w:rPr>
          <w:lang w:val="en-US"/>
        </w:rPr>
        <w:t>.</w:t>
      </w:r>
      <w:r w:rsidR="00125C1F">
        <w:rPr>
          <w:lang w:val="en-US"/>
        </w:rPr>
        <w:t xml:space="preserve"> </w:t>
      </w:r>
      <w:r w:rsidRPr="00125C1F">
        <w:rPr>
          <w:rFonts w:ascii="Calibri" w:eastAsia="Calibri" w:hAnsi="Calibri" w:cs="Calibri"/>
          <w:lang w:val="en-US"/>
        </w:rPr>
        <w:t xml:space="preserve">The rapid advancement of digital technologies is transforming economic and social activities globally. In response, digital transformation has been considered as a top priority across the UN system, especially to support the achievement of the Sustainable Development Goals (SDGs). Notably, the UN Secretary-General’s strategies and priorities are increasingly focused on digital and cyber-security issues, the number of resolutions on </w:t>
      </w:r>
      <w:r w:rsidRPr="00892463">
        <w:t>digital technologies</w:t>
      </w:r>
      <w:r w:rsidRPr="00125C1F">
        <w:rPr>
          <w:rFonts w:ascii="Calibri" w:eastAsia="Calibri" w:hAnsi="Calibri" w:cs="Calibri"/>
          <w:lang w:val="en-US"/>
        </w:rPr>
        <w:t xml:space="preserve"> in the UN General Assembly and other UN entities has grown, while many UN entities have launched digital transformation</w:t>
      </w:r>
      <w:r w:rsidRPr="00D547EA">
        <w:t xml:space="preserve"> </w:t>
      </w:r>
      <w:r w:rsidRPr="00125C1F">
        <w:rPr>
          <w:rFonts w:ascii="Calibri" w:eastAsia="Calibri" w:hAnsi="Calibri" w:cs="Calibri"/>
          <w:lang w:val="en-US"/>
        </w:rPr>
        <w:t xml:space="preserve">strategies and initiatives for their </w:t>
      </w:r>
      <w:proofErr w:type="spellStart"/>
      <w:r w:rsidRPr="00125C1F">
        <w:rPr>
          <w:rFonts w:ascii="Calibri" w:eastAsia="Calibri" w:hAnsi="Calibri" w:cs="Calibri"/>
          <w:lang w:val="en-US"/>
        </w:rPr>
        <w:t>programmes</w:t>
      </w:r>
      <w:proofErr w:type="spellEnd"/>
      <w:r w:rsidRPr="00125C1F">
        <w:rPr>
          <w:rFonts w:ascii="Calibri" w:eastAsia="Calibri" w:hAnsi="Calibri" w:cs="Calibri"/>
          <w:lang w:val="en-US"/>
        </w:rPr>
        <w:t xml:space="preserve">, </w:t>
      </w:r>
      <w:proofErr w:type="gramStart"/>
      <w:r w:rsidRPr="00125C1F">
        <w:rPr>
          <w:rFonts w:ascii="Calibri" w:eastAsia="Calibri" w:hAnsi="Calibri" w:cs="Calibri"/>
          <w:lang w:val="en-US"/>
        </w:rPr>
        <w:t>funds</w:t>
      </w:r>
      <w:proofErr w:type="gramEnd"/>
      <w:r w:rsidRPr="00125C1F">
        <w:rPr>
          <w:rFonts w:ascii="Calibri" w:eastAsia="Calibri" w:hAnsi="Calibri" w:cs="Calibri"/>
          <w:lang w:val="en-US"/>
        </w:rPr>
        <w:t xml:space="preserve"> and internal processes. Digital-themed UN conferences and international days are also becoming more frequent. In particular, the UN Secretary-General outlined his vision of an open, </w:t>
      </w:r>
      <w:proofErr w:type="gramStart"/>
      <w:r w:rsidRPr="00125C1F">
        <w:rPr>
          <w:rFonts w:ascii="Calibri" w:eastAsia="Calibri" w:hAnsi="Calibri" w:cs="Calibri"/>
          <w:lang w:val="en-US"/>
        </w:rPr>
        <w:t>free</w:t>
      </w:r>
      <w:proofErr w:type="gramEnd"/>
      <w:r w:rsidRPr="00125C1F">
        <w:rPr>
          <w:rFonts w:ascii="Calibri" w:eastAsia="Calibri" w:hAnsi="Calibri" w:cs="Calibri"/>
          <w:lang w:val="en-US"/>
        </w:rPr>
        <w:t xml:space="preserve"> and secure digital future for all in the ‘Roadmap for Digital Cooperation’, released in June 2020.</w:t>
      </w:r>
      <w:r>
        <w:rPr>
          <w:rStyle w:val="FootnoteReference"/>
          <w:rFonts w:eastAsia="Calibri" w:cs="Calibri"/>
          <w:lang w:val="en-US"/>
        </w:rPr>
        <w:footnoteReference w:id="2"/>
      </w:r>
      <w:r w:rsidRPr="00125C1F">
        <w:rPr>
          <w:rFonts w:ascii="Calibri" w:eastAsia="Calibri" w:hAnsi="Calibri" w:cs="Calibri"/>
          <w:lang w:val="en-US"/>
        </w:rPr>
        <w:t xml:space="preserve"> This was reinforced through a set of recommendations, responding to the commitments made by Member States in the Declaration on the Commemoration of the 75</w:t>
      </w:r>
      <w:r w:rsidRPr="00125C1F">
        <w:rPr>
          <w:rFonts w:ascii="Calibri" w:eastAsia="Calibri" w:hAnsi="Calibri" w:cs="Calibri"/>
          <w:vertAlign w:val="superscript"/>
          <w:lang w:val="en-US"/>
        </w:rPr>
        <w:t>th</w:t>
      </w:r>
      <w:r w:rsidRPr="00125C1F">
        <w:rPr>
          <w:rFonts w:ascii="Calibri" w:eastAsia="Calibri" w:hAnsi="Calibri" w:cs="Calibri"/>
          <w:lang w:val="en-US"/>
        </w:rPr>
        <w:t xml:space="preserve"> anniversary of the United Nations</w:t>
      </w:r>
      <w:r w:rsidRPr="1704833A">
        <w:rPr>
          <w:rStyle w:val="FootnoteReference"/>
          <w:rFonts w:eastAsia="Calibri" w:cs="Calibri"/>
          <w:lang w:val="en-US"/>
        </w:rPr>
        <w:footnoteReference w:id="3"/>
      </w:r>
      <w:r w:rsidRPr="00125C1F">
        <w:rPr>
          <w:rFonts w:ascii="Calibri" w:eastAsia="Calibri" w:hAnsi="Calibri" w:cs="Calibri"/>
          <w:lang w:val="en-US"/>
        </w:rPr>
        <w:t>, in his recent report ‘Our Common Agenda’, released in September 2021.</w:t>
      </w:r>
      <w:r>
        <w:rPr>
          <w:rStyle w:val="FootnoteReference"/>
          <w:rFonts w:eastAsia="Calibri" w:cs="Calibri"/>
          <w:lang w:val="en-US"/>
        </w:rPr>
        <w:footnoteReference w:id="4"/>
      </w:r>
    </w:p>
    <w:p w14:paraId="37D78143" w14:textId="4A68E889" w:rsidR="00420D58" w:rsidRPr="00B91154" w:rsidRDefault="00420D58" w:rsidP="00087411">
      <w:pPr>
        <w:pStyle w:val="Numberedpara"/>
        <w:rPr>
          <w:lang w:val="en-US"/>
        </w:rPr>
      </w:pPr>
      <w:r>
        <w:rPr>
          <w:lang w:val="en-US"/>
        </w:rPr>
        <w:t xml:space="preserve">These evolutions in the UN system may create parallel </w:t>
      </w:r>
      <w:r w:rsidRPr="00457EFE">
        <w:rPr>
          <w:lang w:val="en-US"/>
        </w:rPr>
        <w:t xml:space="preserve">work-streams </w:t>
      </w:r>
      <w:r>
        <w:rPr>
          <w:lang w:val="en-US"/>
        </w:rPr>
        <w:t xml:space="preserve">and related inefficiencies across UN entities whose work overlaps with </w:t>
      </w:r>
      <w:r w:rsidRPr="00457EFE">
        <w:rPr>
          <w:lang w:val="en-US"/>
        </w:rPr>
        <w:t xml:space="preserve">ITU’s mandate in </w:t>
      </w:r>
      <w:r>
        <w:rPr>
          <w:lang w:val="en-US"/>
        </w:rPr>
        <w:t>areas of</w:t>
      </w:r>
      <w:r w:rsidRPr="00457EFE">
        <w:rPr>
          <w:lang w:val="en-US"/>
        </w:rPr>
        <w:t xml:space="preserve"> telecommunication</w:t>
      </w:r>
      <w:r w:rsidR="003F7FFD">
        <w:rPr>
          <w:lang w:val="en-US"/>
        </w:rPr>
        <w:t>s</w:t>
      </w:r>
      <w:r w:rsidRPr="00457EFE">
        <w:rPr>
          <w:lang w:val="en-US"/>
        </w:rPr>
        <w:t>/ICTs, such as universal connectivity</w:t>
      </w:r>
      <w:r>
        <w:rPr>
          <w:lang w:val="en-US"/>
        </w:rPr>
        <w:t xml:space="preserve">. They may also hinder ITU’s value added in supporting digital transformation across its </w:t>
      </w:r>
      <w:r w:rsidRPr="2CC4693C">
        <w:rPr>
          <w:lang w:val="en-US"/>
        </w:rPr>
        <w:t>membership.</w:t>
      </w:r>
      <w:r>
        <w:rPr>
          <w:lang w:val="en-US"/>
        </w:rPr>
        <w:t xml:space="preserve"> However, these developments can also create </w:t>
      </w:r>
      <w:r w:rsidRPr="00C70A91">
        <w:rPr>
          <w:lang w:val="en-US"/>
        </w:rPr>
        <w:t xml:space="preserve">opportunities to </w:t>
      </w:r>
      <w:r>
        <w:rPr>
          <w:lang w:val="en-US"/>
        </w:rPr>
        <w:t xml:space="preserve">enhance </w:t>
      </w:r>
      <w:r w:rsidRPr="00C70A91">
        <w:rPr>
          <w:lang w:val="en-US"/>
        </w:rPr>
        <w:t>ITU’s unique role as</w:t>
      </w:r>
      <w:r>
        <w:rPr>
          <w:lang w:val="en-US"/>
        </w:rPr>
        <w:t xml:space="preserve"> a leading organization in the telecommunication/</w:t>
      </w:r>
      <w:r w:rsidRPr="00C70A91">
        <w:rPr>
          <w:lang w:val="en-US"/>
        </w:rPr>
        <w:t>ICT</w:t>
      </w:r>
      <w:r>
        <w:rPr>
          <w:lang w:val="en-US"/>
        </w:rPr>
        <w:t xml:space="preserve"> landscape. </w:t>
      </w:r>
      <w:proofErr w:type="gramStart"/>
      <w:r>
        <w:rPr>
          <w:lang w:val="en-US"/>
        </w:rPr>
        <w:t>In particular, ITU</w:t>
      </w:r>
      <w:proofErr w:type="gramEnd"/>
      <w:r>
        <w:rPr>
          <w:lang w:val="en-US"/>
        </w:rPr>
        <w:t xml:space="preserve"> can </w:t>
      </w:r>
      <w:r w:rsidRPr="00C70A91">
        <w:rPr>
          <w:lang w:val="en-US"/>
        </w:rPr>
        <w:t>collaborat</w:t>
      </w:r>
      <w:r>
        <w:rPr>
          <w:lang w:val="en-US"/>
        </w:rPr>
        <w:t xml:space="preserve">e and participate across UN </w:t>
      </w:r>
      <w:r w:rsidRPr="00C70A91">
        <w:rPr>
          <w:lang w:val="en-US"/>
        </w:rPr>
        <w:t>agencies</w:t>
      </w:r>
      <w:r>
        <w:rPr>
          <w:lang w:val="en-US"/>
        </w:rPr>
        <w:t xml:space="preserve">’ workstreams, to increase synergies, knowledge-sharing and generate </w:t>
      </w:r>
      <w:r w:rsidRPr="00C70A91">
        <w:rPr>
          <w:lang w:val="en-US"/>
        </w:rPr>
        <w:t xml:space="preserve">new and </w:t>
      </w:r>
      <w:r>
        <w:rPr>
          <w:lang w:val="en-US"/>
        </w:rPr>
        <w:t xml:space="preserve">increased </w:t>
      </w:r>
      <w:r w:rsidRPr="00C70A91">
        <w:rPr>
          <w:lang w:val="en-US"/>
        </w:rPr>
        <w:t>funding</w:t>
      </w:r>
      <w:r>
        <w:rPr>
          <w:lang w:val="en-US"/>
        </w:rPr>
        <w:t xml:space="preserve">, as well as </w:t>
      </w:r>
      <w:r w:rsidRPr="00C70A91">
        <w:rPr>
          <w:lang w:val="en-US"/>
        </w:rPr>
        <w:t>support</w:t>
      </w:r>
      <w:r>
        <w:rPr>
          <w:lang w:val="en-US"/>
        </w:rPr>
        <w:t xml:space="preserve"> for </w:t>
      </w:r>
      <w:r w:rsidRPr="00892463">
        <w:t>telecommunication/ICTs</w:t>
      </w:r>
      <w:r>
        <w:rPr>
          <w:lang w:val="en-US"/>
        </w:rPr>
        <w:t xml:space="preserve"> initiatives</w:t>
      </w:r>
      <w:r w:rsidRPr="00C70A91">
        <w:rPr>
          <w:lang w:val="en-US"/>
        </w:rPr>
        <w:t xml:space="preserve"> at global, regional and local levels.</w:t>
      </w:r>
      <w:r>
        <w:rPr>
          <w:lang w:val="en-US"/>
        </w:rPr>
        <w:t xml:space="preserve"> </w:t>
      </w:r>
      <w:r w:rsidRPr="6DC564AF">
        <w:rPr>
          <w:lang w:val="en-US"/>
        </w:rPr>
        <w:t>For example, ITU has already been part of the UN workstreams to lead the implementation of the Secretary-General</w:t>
      </w:r>
      <w:r w:rsidR="00F04A95">
        <w:rPr>
          <w:lang w:val="en-US"/>
        </w:rPr>
        <w:t>’</w:t>
      </w:r>
      <w:r w:rsidRPr="6DC564AF">
        <w:rPr>
          <w:lang w:val="en-US"/>
        </w:rPr>
        <w:t xml:space="preserve">s Roadmap for Digital Cooperation, as well as to support the UN-wide effort to put forward </w:t>
      </w:r>
      <w:r w:rsidR="00F04A95">
        <w:rPr>
          <w:lang w:val="en-US"/>
        </w:rPr>
        <w:t>‘</w:t>
      </w:r>
      <w:r w:rsidRPr="6DC564AF">
        <w:rPr>
          <w:lang w:val="en-US"/>
        </w:rPr>
        <w:t>Our Common Agenda</w:t>
      </w:r>
      <w:r w:rsidR="00F04A95">
        <w:rPr>
          <w:lang w:val="en-US"/>
        </w:rPr>
        <w:t>’</w:t>
      </w:r>
      <w:r w:rsidRPr="6DC564AF">
        <w:rPr>
          <w:lang w:val="en-US"/>
        </w:rPr>
        <w:t>. Overall, t</w:t>
      </w:r>
      <w:r>
        <w:rPr>
          <w:lang w:val="en-US"/>
        </w:rPr>
        <w:t xml:space="preserve">his will enable ITU </w:t>
      </w:r>
      <w:r w:rsidRPr="00C70A91">
        <w:rPr>
          <w:lang w:val="en-US"/>
        </w:rPr>
        <w:t xml:space="preserve">to fulfil </w:t>
      </w:r>
      <w:r>
        <w:rPr>
          <w:lang w:val="en-US"/>
        </w:rPr>
        <w:t xml:space="preserve">its </w:t>
      </w:r>
      <w:r w:rsidRPr="00C70A91">
        <w:rPr>
          <w:lang w:val="en-US"/>
        </w:rPr>
        <w:t>programmatic, operational and management mandates in a more coherent and coordinated manner</w:t>
      </w:r>
      <w:r w:rsidRPr="6DC564AF">
        <w:rPr>
          <w:lang w:val="en-US"/>
        </w:rPr>
        <w:t xml:space="preserve"> within the UN </w:t>
      </w:r>
      <w:proofErr w:type="gramStart"/>
      <w:r w:rsidRPr="6DC564AF">
        <w:rPr>
          <w:lang w:val="en-US"/>
        </w:rPr>
        <w:t>system</w:t>
      </w:r>
      <w:r w:rsidRPr="00C70A91">
        <w:rPr>
          <w:lang w:val="en-US"/>
        </w:rPr>
        <w:t>, and</w:t>
      </w:r>
      <w:proofErr w:type="gramEnd"/>
      <w:r w:rsidRPr="00C70A91">
        <w:rPr>
          <w:lang w:val="en-US"/>
        </w:rPr>
        <w:t xml:space="preserve"> ensure that its priorities are strengthened and reflected in UN system</w:t>
      </w:r>
      <w:r>
        <w:rPr>
          <w:lang w:val="en-US"/>
        </w:rPr>
        <w:t>-</w:t>
      </w:r>
      <w:r w:rsidRPr="00C70A91">
        <w:rPr>
          <w:lang w:val="en-US"/>
        </w:rPr>
        <w:t>wide related work, outputs and agenda settings.</w:t>
      </w:r>
    </w:p>
    <w:p w14:paraId="0AA22865" w14:textId="7C622E1F" w:rsidR="00420D58" w:rsidRPr="00125C1F" w:rsidRDefault="00420D58" w:rsidP="00125C1F">
      <w:pPr>
        <w:pStyle w:val="Numberedpara"/>
        <w:rPr>
          <w:lang w:val="en-US"/>
        </w:rPr>
      </w:pPr>
      <w:r w:rsidRPr="0025087C">
        <w:rPr>
          <w:b/>
          <w:bCs/>
          <w:lang w:val="en-US"/>
        </w:rPr>
        <w:t>The UN development system reform involves a set of far-reaching changes to support Member States in achieving the Sustainable Development Goals</w:t>
      </w:r>
      <w:r w:rsidRPr="6145325F">
        <w:rPr>
          <w:lang w:val="en-US"/>
        </w:rPr>
        <w:t>.</w:t>
      </w:r>
      <w:r w:rsidR="00125C1F">
        <w:rPr>
          <w:lang w:val="en-US"/>
        </w:rPr>
        <w:t xml:space="preserve"> </w:t>
      </w:r>
      <w:r w:rsidRPr="00125C1F">
        <w:rPr>
          <w:lang w:val="en-US"/>
        </w:rPr>
        <w:t xml:space="preserve">The 2030 Agenda resulted in bold changes to the UN Development System (UNDS), including the development of a new generation of UN Country Teams, focused </w:t>
      </w:r>
      <w:r w:rsidRPr="00125C1F">
        <w:rPr>
          <w:lang w:val="en-US"/>
        </w:rPr>
        <w:lastRenderedPageBreak/>
        <w:t>on Common Country Analysis (CCA) and a strategic ‘UN Sustainable Development Cooperation Framework’ (UNSDCF) led by independent and empowered UN Resident Coordinators (RC).</w:t>
      </w:r>
      <w:r>
        <w:rPr>
          <w:rStyle w:val="FootnoteReference"/>
          <w:rFonts w:eastAsia="Calibri" w:cs="Calibri"/>
          <w:lang w:val="en-US"/>
        </w:rPr>
        <w:footnoteReference w:id="5"/>
      </w:r>
      <w:r w:rsidRPr="00125C1F">
        <w:rPr>
          <w:lang w:val="en-US"/>
        </w:rPr>
        <w:t xml:space="preserve"> The UNSDCF, in particular, underscores the UNDS’s collective commitment to help countries address SDG priorities and gaps; it also enhances the accountability of UN Country Teams and host governments, to collectively deliver development results. To do this, the UN system employs CCA further to conduct independent, </w:t>
      </w:r>
      <w:proofErr w:type="gramStart"/>
      <w:r w:rsidRPr="00125C1F">
        <w:rPr>
          <w:lang w:val="en-US"/>
        </w:rPr>
        <w:t>impartial</w:t>
      </w:r>
      <w:proofErr w:type="gramEnd"/>
      <w:r w:rsidRPr="00125C1F">
        <w:rPr>
          <w:lang w:val="en-US"/>
        </w:rPr>
        <w:t xml:space="preserve"> and collective analyses of countries’ progress, opportunities and challenges in delivering their commitments to the 2030 Agenda, UN norms and standards and the principles of the UN Charter, as reflected in the Cooperation Framework Guiding Principles. The UNDS has also enhanced and promoted common business operations, through the mutual recognition of policy and procedure best practices.</w:t>
      </w:r>
      <w:r>
        <w:rPr>
          <w:rStyle w:val="FootnoteReference"/>
          <w:rFonts w:eastAsia="Calibri" w:cs="Calibri"/>
          <w:lang w:val="en-US"/>
        </w:rPr>
        <w:footnoteReference w:id="6"/>
      </w:r>
      <w:r w:rsidRPr="00125C1F">
        <w:rPr>
          <w:lang w:val="en-US"/>
        </w:rPr>
        <w:t xml:space="preserve"> This allows UN entities to adopt each other</w:t>
      </w:r>
      <w:r w:rsidR="004E503E">
        <w:rPr>
          <w:lang w:val="en-US"/>
        </w:rPr>
        <w:t>’</w:t>
      </w:r>
      <w:r w:rsidRPr="00125C1F">
        <w:rPr>
          <w:lang w:val="en-US"/>
        </w:rPr>
        <w:t xml:space="preserve">s policies, procedures, system contracts and related operational mechanisms to deliver their mandates, without further evaluation, checks or approvals. </w:t>
      </w:r>
    </w:p>
    <w:p w14:paraId="09F458B3" w14:textId="339428EF" w:rsidR="00420D58" w:rsidRDefault="00420D58" w:rsidP="00C30F71">
      <w:pPr>
        <w:pStyle w:val="Numberedpara"/>
        <w:rPr>
          <w:lang w:val="en-US"/>
        </w:rPr>
      </w:pPr>
      <w:r>
        <w:rPr>
          <w:lang w:val="en-US"/>
        </w:rPr>
        <w:t xml:space="preserve">To ensure the UN system works for ITU, the Union can continue to engage </w:t>
      </w:r>
      <w:r w:rsidRPr="00C70A91">
        <w:rPr>
          <w:lang w:val="en-US"/>
        </w:rPr>
        <w:t>with the reformed UNDS, especially with the new RC system</w:t>
      </w:r>
      <w:r>
        <w:rPr>
          <w:lang w:val="en-US"/>
        </w:rPr>
        <w:t>.</w:t>
      </w:r>
      <w:r w:rsidRPr="00C70A91">
        <w:rPr>
          <w:lang w:val="en-US"/>
        </w:rPr>
        <w:t xml:space="preserve"> </w:t>
      </w:r>
      <w:r>
        <w:rPr>
          <w:lang w:val="en-US"/>
        </w:rPr>
        <w:t xml:space="preserve">In particular, the Union can work to raise awareness among RCs on ITU’s mandate and functions, by </w:t>
      </w:r>
      <w:r w:rsidRPr="00C70A91">
        <w:rPr>
          <w:lang w:val="en-US"/>
        </w:rPr>
        <w:t xml:space="preserve">involving them in meetings and consultations with </w:t>
      </w:r>
      <w:r>
        <w:rPr>
          <w:lang w:val="en-US"/>
        </w:rPr>
        <w:t>the membership. It can also further leverage ITU’s Regional Presence and</w:t>
      </w:r>
      <w:r w:rsidRPr="00892463">
        <w:rPr>
          <w:lang w:val="en-US"/>
        </w:rPr>
        <w:t xml:space="preserve"> </w:t>
      </w:r>
      <w:r>
        <w:rPr>
          <w:lang w:val="en-US"/>
        </w:rPr>
        <w:t xml:space="preserve">support these offices on </w:t>
      </w:r>
      <w:r w:rsidRPr="00892463">
        <w:rPr>
          <w:lang w:val="en-US"/>
        </w:rPr>
        <w:t>engagement</w:t>
      </w:r>
      <w:r>
        <w:rPr>
          <w:lang w:val="en-US"/>
        </w:rPr>
        <w:t>s</w:t>
      </w:r>
      <w:r w:rsidRPr="00892463">
        <w:rPr>
          <w:lang w:val="en-US"/>
        </w:rPr>
        <w:t xml:space="preserve"> with RCs</w:t>
      </w:r>
      <w:r>
        <w:rPr>
          <w:lang w:val="en-US"/>
        </w:rPr>
        <w:t xml:space="preserve">, </w:t>
      </w:r>
      <w:r w:rsidRPr="00892463">
        <w:rPr>
          <w:lang w:val="en-US"/>
        </w:rPr>
        <w:t>in CCAs</w:t>
      </w:r>
      <w:r>
        <w:rPr>
          <w:lang w:val="en-US"/>
        </w:rPr>
        <w:t xml:space="preserve"> and</w:t>
      </w:r>
      <w:r w:rsidRPr="00892463">
        <w:rPr>
          <w:lang w:val="en-US"/>
        </w:rPr>
        <w:t xml:space="preserve"> UNSDCF</w:t>
      </w:r>
      <w:r>
        <w:rPr>
          <w:lang w:val="en-US"/>
        </w:rPr>
        <w:t xml:space="preserve">. Moreover, to enhance its involvement in the CCA and other UN Periodic Reviews, the ITU can </w:t>
      </w:r>
      <w:r w:rsidRPr="00C70A91">
        <w:rPr>
          <w:lang w:val="en-US"/>
        </w:rPr>
        <w:t xml:space="preserve">provide </w:t>
      </w:r>
      <w:r w:rsidRPr="00892463">
        <w:t>telecommunication/ICT</w:t>
      </w:r>
      <w:r>
        <w:rPr>
          <w:lang w:val="en-US"/>
        </w:rPr>
        <w:t>-</w:t>
      </w:r>
      <w:r w:rsidRPr="00C70A91">
        <w:rPr>
          <w:lang w:val="en-US"/>
        </w:rPr>
        <w:t>related guideline</w:t>
      </w:r>
      <w:r>
        <w:rPr>
          <w:lang w:val="en-US"/>
        </w:rPr>
        <w:t>s</w:t>
      </w:r>
      <w:r w:rsidRPr="00C70A91">
        <w:rPr>
          <w:lang w:val="en-US"/>
        </w:rPr>
        <w:t xml:space="preserve"> or data for </w:t>
      </w:r>
      <w:r>
        <w:rPr>
          <w:lang w:val="en-US"/>
        </w:rPr>
        <w:t>specific countries or regions</w:t>
      </w:r>
      <w:r w:rsidRPr="00C70A91">
        <w:rPr>
          <w:lang w:val="en-US"/>
        </w:rPr>
        <w:t xml:space="preserve">. </w:t>
      </w:r>
      <w:r>
        <w:rPr>
          <w:lang w:val="en-US"/>
        </w:rPr>
        <w:t xml:space="preserve">Meanwhile, </w:t>
      </w:r>
      <w:r w:rsidRPr="00C70A91">
        <w:rPr>
          <w:lang w:val="en-US"/>
        </w:rPr>
        <w:t xml:space="preserve">ITU </w:t>
      </w:r>
      <w:r>
        <w:rPr>
          <w:lang w:val="en-US"/>
        </w:rPr>
        <w:t xml:space="preserve">can continue to build on its existing role in the UN system. The organization is </w:t>
      </w:r>
      <w:r w:rsidRPr="00C70A91">
        <w:rPr>
          <w:lang w:val="en-US"/>
        </w:rPr>
        <w:t>a signatory to</w:t>
      </w:r>
      <w:r>
        <w:rPr>
          <w:lang w:val="en-US"/>
        </w:rPr>
        <w:t xml:space="preserve"> the </w:t>
      </w:r>
      <w:r w:rsidRPr="00C70A91">
        <w:rPr>
          <w:lang w:val="en-US"/>
        </w:rPr>
        <w:t xml:space="preserve">UNSCDF and has worked closely with the UN Development Coordination Office (DCO) to </w:t>
      </w:r>
      <w:r>
        <w:rPr>
          <w:lang w:val="en-US"/>
        </w:rPr>
        <w:t xml:space="preserve">provide </w:t>
      </w:r>
      <w:r w:rsidRPr="00C70A91">
        <w:rPr>
          <w:lang w:val="en-US"/>
        </w:rPr>
        <w:t>an offer to R</w:t>
      </w:r>
      <w:r>
        <w:rPr>
          <w:lang w:val="en-US"/>
        </w:rPr>
        <w:t xml:space="preserve">Cs </w:t>
      </w:r>
      <w:r w:rsidRPr="00C70A91">
        <w:rPr>
          <w:lang w:val="en-US"/>
        </w:rPr>
        <w:t xml:space="preserve">and </w:t>
      </w:r>
      <w:r>
        <w:rPr>
          <w:lang w:val="en-US"/>
        </w:rPr>
        <w:t xml:space="preserve">has </w:t>
      </w:r>
      <w:r w:rsidRPr="00C70A91">
        <w:rPr>
          <w:lang w:val="en-US"/>
        </w:rPr>
        <w:t xml:space="preserve">participated in virtual briefings organized with DCO. ITU Regional Directors are </w:t>
      </w:r>
      <w:r>
        <w:rPr>
          <w:lang w:val="en-US"/>
        </w:rPr>
        <w:t xml:space="preserve">also </w:t>
      </w:r>
      <w:r w:rsidRPr="00C70A91">
        <w:rPr>
          <w:lang w:val="en-US"/>
        </w:rPr>
        <w:t xml:space="preserve">regularly updated on new developments, </w:t>
      </w:r>
      <w:r>
        <w:rPr>
          <w:lang w:val="en-US"/>
        </w:rPr>
        <w:t>including updated</w:t>
      </w:r>
      <w:r w:rsidRPr="00C70A91">
        <w:rPr>
          <w:lang w:val="en-US"/>
        </w:rPr>
        <w:t xml:space="preserve"> </w:t>
      </w:r>
      <w:r>
        <w:rPr>
          <w:lang w:val="en-US"/>
        </w:rPr>
        <w:t>g</w:t>
      </w:r>
      <w:r w:rsidRPr="00C70A91">
        <w:rPr>
          <w:lang w:val="en-US"/>
        </w:rPr>
        <w:t xml:space="preserve">uidance </w:t>
      </w:r>
      <w:r>
        <w:rPr>
          <w:lang w:val="en-US"/>
        </w:rPr>
        <w:t xml:space="preserve">on </w:t>
      </w:r>
      <w:r w:rsidRPr="00C70A91">
        <w:rPr>
          <w:lang w:val="en-US"/>
        </w:rPr>
        <w:t>RC-UN agency engagement, such as the revised Management and Accountability Framework</w:t>
      </w:r>
      <w:r>
        <w:rPr>
          <w:lang w:val="en-US"/>
        </w:rPr>
        <w:t xml:space="preserve"> that was </w:t>
      </w:r>
      <w:r w:rsidRPr="00C70A91">
        <w:rPr>
          <w:lang w:val="en-US"/>
        </w:rPr>
        <w:t xml:space="preserve">recently published with </w:t>
      </w:r>
      <w:r>
        <w:rPr>
          <w:lang w:val="en-US"/>
        </w:rPr>
        <w:t>national</w:t>
      </w:r>
      <w:r w:rsidRPr="00C70A91">
        <w:rPr>
          <w:lang w:val="en-US"/>
        </w:rPr>
        <w:t xml:space="preserve">, </w:t>
      </w:r>
      <w:proofErr w:type="gramStart"/>
      <w:r w:rsidRPr="00C70A91">
        <w:rPr>
          <w:lang w:val="en-US"/>
        </w:rPr>
        <w:t>regional</w:t>
      </w:r>
      <w:proofErr w:type="gramEnd"/>
      <w:r w:rsidRPr="00C70A91">
        <w:rPr>
          <w:lang w:val="en-US"/>
        </w:rPr>
        <w:t xml:space="preserve"> and global chapters.</w:t>
      </w:r>
    </w:p>
    <w:p w14:paraId="7DFB92BB" w14:textId="61278E6B" w:rsidR="00420D58" w:rsidRPr="006D3476" w:rsidRDefault="00420D58" w:rsidP="006D3476">
      <w:pPr>
        <w:pStyle w:val="Sections"/>
        <w:rPr>
          <w:rStyle w:val="Heading2Char"/>
          <w:rFonts w:asciiTheme="minorHAnsi" w:eastAsiaTheme="minorHAnsi" w:hAnsiTheme="minorHAnsi"/>
          <w:b w:val="0"/>
          <w:lang w:val="en-US"/>
        </w:rPr>
      </w:pPr>
      <w:r w:rsidRPr="006D3476">
        <w:rPr>
          <w:rStyle w:val="Heading2Char"/>
          <w:rFonts w:asciiTheme="minorHAnsi" w:eastAsiaTheme="minorHAnsi" w:hAnsiTheme="minorHAnsi"/>
          <w:b w:val="0"/>
          <w:lang w:val="en-US"/>
        </w:rPr>
        <w:t>Developments in the Telecommunication</w:t>
      </w:r>
      <w:r w:rsidR="006D3476">
        <w:rPr>
          <w:rStyle w:val="Heading2Char"/>
          <w:rFonts w:asciiTheme="minorHAnsi" w:eastAsiaTheme="minorHAnsi" w:hAnsiTheme="minorHAnsi"/>
          <w:b w:val="0"/>
          <w:lang w:val="en-US"/>
        </w:rPr>
        <w:t>s</w:t>
      </w:r>
      <w:r w:rsidRPr="006D3476">
        <w:rPr>
          <w:rStyle w:val="Heading2Char"/>
          <w:rFonts w:asciiTheme="minorHAnsi" w:eastAsiaTheme="minorHAnsi" w:hAnsiTheme="minorHAnsi"/>
          <w:b w:val="0"/>
          <w:lang w:val="en-US"/>
        </w:rPr>
        <w:t xml:space="preserve"> and ICTs landscape</w:t>
      </w:r>
    </w:p>
    <w:p w14:paraId="3739099E" w14:textId="6052D8B8" w:rsidR="00420D58" w:rsidRPr="00C70A91" w:rsidRDefault="00420D58" w:rsidP="00C30F71">
      <w:pPr>
        <w:pStyle w:val="Numberedpara"/>
        <w:rPr>
          <w:lang w:val="en-US"/>
        </w:rPr>
      </w:pPr>
      <w:r w:rsidRPr="00C30F71">
        <w:rPr>
          <w:b/>
          <w:bCs/>
          <w:lang w:val="en-US"/>
        </w:rPr>
        <w:t>COVID-19 demonstrated the critical role of telecommunication</w:t>
      </w:r>
      <w:r w:rsidR="00B65DF6">
        <w:rPr>
          <w:b/>
          <w:bCs/>
          <w:lang w:val="en-US"/>
        </w:rPr>
        <w:t>s</w:t>
      </w:r>
      <w:r w:rsidRPr="00C30F71">
        <w:rPr>
          <w:b/>
          <w:bCs/>
          <w:lang w:val="en-US"/>
        </w:rPr>
        <w:t xml:space="preserve"> and ICTs in connecting societies and accelerating digital transformation</w:t>
      </w:r>
      <w:r>
        <w:rPr>
          <w:lang w:val="en-US"/>
        </w:rPr>
        <w:t xml:space="preserve">. </w:t>
      </w:r>
      <w:r w:rsidRPr="00351B26">
        <w:rPr>
          <w:lang w:val="en-US"/>
        </w:rPr>
        <w:t>The COVID-19 crisis created unprecedented demand for communication networks</w:t>
      </w:r>
      <w:r>
        <w:rPr>
          <w:lang w:val="en-US"/>
        </w:rPr>
        <w:t xml:space="preserve">. </w:t>
      </w:r>
      <w:r w:rsidRPr="00351B26">
        <w:rPr>
          <w:lang w:val="en-US"/>
        </w:rPr>
        <w:t>As a result of global lockdowns and the rise of teleworking, distance learning, remote entertainment and telemedicine, internet traffic has risen by 30%</w:t>
      </w:r>
      <w:r>
        <w:rPr>
          <w:lang w:val="en-US"/>
        </w:rPr>
        <w:t>.</w:t>
      </w:r>
      <w:r>
        <w:rPr>
          <w:rStyle w:val="FootnoteReference"/>
          <w:lang w:val="en-US"/>
        </w:rPr>
        <w:footnoteReference w:id="7"/>
      </w:r>
      <w:r>
        <w:rPr>
          <w:lang w:val="en-US"/>
        </w:rPr>
        <w:t xml:space="preserve"> </w:t>
      </w:r>
      <w:r>
        <w:t>Consumers have also become more reliant on digital tools, with 74% of global users reporting significant increases in their internet usage during COVID-19 lockdowns.</w:t>
      </w:r>
      <w:r>
        <w:rPr>
          <w:rStyle w:val="FootnoteReference"/>
        </w:rPr>
        <w:footnoteReference w:id="8"/>
      </w:r>
      <w:r>
        <w:rPr>
          <w:lang w:val="en-US"/>
        </w:rPr>
        <w:t xml:space="preserve"> </w:t>
      </w:r>
      <w:r>
        <w:t xml:space="preserve">To meet these evolving consumer needs, </w:t>
      </w:r>
      <w:r w:rsidRPr="00B43B18">
        <w:rPr>
          <w:lang w:val="en-US"/>
        </w:rPr>
        <w:t>new technologies are scaling rapidly</w:t>
      </w:r>
      <w:r>
        <w:rPr>
          <w:lang w:val="en-US"/>
        </w:rPr>
        <w:t xml:space="preserve">. </w:t>
      </w:r>
      <w:r w:rsidRPr="00B43B18">
        <w:rPr>
          <w:lang w:val="en-US"/>
        </w:rPr>
        <w:t>5G network rollouts have continued unabated and enabled faster connectivity across longer distances. From March 2020 an average of eight new 5G networks have launched monthly, up from six for the same period in 2019.</w:t>
      </w:r>
      <w:r>
        <w:rPr>
          <w:rStyle w:val="FootnoteReference"/>
          <w:lang w:val="en-US"/>
        </w:rPr>
        <w:footnoteReference w:id="9"/>
      </w:r>
      <w:r w:rsidRPr="00B43B18">
        <w:rPr>
          <w:lang w:val="en-US"/>
        </w:rPr>
        <w:t xml:space="preserve"> </w:t>
      </w:r>
      <w:r w:rsidRPr="00C6692A">
        <w:rPr>
          <w:lang w:val="en-US"/>
        </w:rPr>
        <w:t>IT infrastructure is also evolving and becoming more democratized. Cloud internet traffic doubled 2019 volume during the pandemic.</w:t>
      </w:r>
      <w:r>
        <w:rPr>
          <w:rStyle w:val="FootnoteReference"/>
          <w:lang w:val="en-US"/>
        </w:rPr>
        <w:footnoteReference w:id="10"/>
      </w:r>
      <w:r w:rsidRPr="00C6692A">
        <w:rPr>
          <w:lang w:val="en-US"/>
        </w:rPr>
        <w:t xml:space="preserve"> Meanwhile, the IoT, quantum computing and AI are becoming more sophisticated and widespread. These technologies have the potential to improve operational efficiency, accelerate automation and unlock new capabilities</w:t>
      </w:r>
      <w:r>
        <w:rPr>
          <w:lang w:val="en-US"/>
        </w:rPr>
        <w:t>.</w:t>
      </w:r>
      <w:r>
        <w:rPr>
          <w:rStyle w:val="FootnoteReference"/>
          <w:lang w:val="en-US"/>
        </w:rPr>
        <w:footnoteReference w:id="11"/>
      </w:r>
      <w:r w:rsidRPr="00C6692A">
        <w:rPr>
          <w:lang w:val="en-US"/>
        </w:rPr>
        <w:t xml:space="preserve"> The COVID-19 crisis has demonstrated that emerging technologies are essential to the functioning of our society, economy, and provide critical infrastructure. As digitalization advances, ensuring equitable and sustainable development is increasingly pressing.</w:t>
      </w:r>
    </w:p>
    <w:p w14:paraId="2232CBA4" w14:textId="3E279AFC" w:rsidR="00420D58" w:rsidRPr="00C70A91" w:rsidRDefault="00420D58" w:rsidP="00C30F71">
      <w:pPr>
        <w:pStyle w:val="Numberedpara"/>
      </w:pPr>
      <w:r w:rsidRPr="00E80FF8">
        <w:rPr>
          <w:b/>
          <w:bCs/>
          <w:lang w:val="en-US"/>
        </w:rPr>
        <w:t>However, the socioeconomic impacts of the pandemic have left vulnerable communities behind.</w:t>
      </w:r>
      <w:r>
        <w:rPr>
          <w:b/>
          <w:bCs/>
          <w:lang w:val="en-US"/>
        </w:rPr>
        <w:t xml:space="preserve"> </w:t>
      </w:r>
      <w:r w:rsidRPr="007C4DBF">
        <w:rPr>
          <w:lang w:val="en-US"/>
        </w:rPr>
        <w:t xml:space="preserve">The pandemic has widened differences in </w:t>
      </w:r>
      <w:r w:rsidRPr="00A8242F">
        <w:t>telecommunication/ICT</w:t>
      </w:r>
      <w:r>
        <w:t xml:space="preserve"> </w:t>
      </w:r>
      <w:r w:rsidRPr="007C4DBF">
        <w:rPr>
          <w:lang w:val="en-US"/>
        </w:rPr>
        <w:t xml:space="preserve">investments and infrastructure </w:t>
      </w:r>
      <w:r w:rsidRPr="007C4DBF">
        <w:rPr>
          <w:lang w:val="en-US"/>
        </w:rPr>
        <w:lastRenderedPageBreak/>
        <w:t>development between countries</w:t>
      </w:r>
      <w:r>
        <w:rPr>
          <w:lang w:val="en-US"/>
        </w:rPr>
        <w:t>.</w:t>
      </w:r>
      <w:r w:rsidRPr="007C4DBF">
        <w:rPr>
          <w:lang w:val="en-US"/>
        </w:rPr>
        <w:t xml:space="preserve"> In developed countries, </w:t>
      </w:r>
      <w:r w:rsidRPr="00A8242F">
        <w:t>telecommunication/ICT</w:t>
      </w:r>
      <w:r>
        <w:t xml:space="preserve">s </w:t>
      </w:r>
      <w:r w:rsidRPr="007C4DBF">
        <w:rPr>
          <w:lang w:val="en-US"/>
        </w:rPr>
        <w:t>capital investment has increased to accommodate rising internet traffic and led to an expansion of 5G and optical fiber infrastructure.</w:t>
      </w:r>
      <w:r>
        <w:t xml:space="preserve"> </w:t>
      </w:r>
      <w:r w:rsidRPr="007C4DBF">
        <w:rPr>
          <w:lang w:val="en-US"/>
        </w:rPr>
        <w:t>In developing countries, capital investment and expenditures per capita have fallen</w:t>
      </w:r>
      <w:r>
        <w:rPr>
          <w:lang w:val="en-US"/>
        </w:rPr>
        <w:t xml:space="preserve">, while the </w:t>
      </w:r>
      <w:r w:rsidRPr="007C4DBF">
        <w:rPr>
          <w:lang w:val="en-US"/>
        </w:rPr>
        <w:t>deployment of 4G and 5G coverage is lagging</w:t>
      </w:r>
      <w:r>
        <w:rPr>
          <w:lang w:val="en-US"/>
        </w:rPr>
        <w:t>.</w:t>
      </w:r>
      <w:r w:rsidRPr="007C4DBF">
        <w:rPr>
          <w:lang w:val="en-US"/>
        </w:rPr>
        <w:t xml:space="preserve"> 5G currently reaches 3</w:t>
      </w:r>
      <w:r>
        <w:rPr>
          <w:lang w:val="en-US"/>
        </w:rPr>
        <w:t xml:space="preserve">% </w:t>
      </w:r>
      <w:r w:rsidRPr="007C4DBF">
        <w:rPr>
          <w:lang w:val="en-US"/>
        </w:rPr>
        <w:t>of the population in Latin America and 0</w:t>
      </w:r>
      <w:r>
        <w:rPr>
          <w:lang w:val="en-US"/>
        </w:rPr>
        <w:t xml:space="preserve">% </w:t>
      </w:r>
      <w:r w:rsidRPr="007C4DBF">
        <w:rPr>
          <w:lang w:val="en-US"/>
        </w:rPr>
        <w:t xml:space="preserve">in Africa. </w:t>
      </w:r>
      <w:r>
        <w:rPr>
          <w:lang w:val="en-US"/>
        </w:rPr>
        <w:t xml:space="preserve">Thus, </w:t>
      </w:r>
      <w:r>
        <w:t xml:space="preserve">with the rapid pace of digitalization after COVID-19, those without affordable connectivity risk being left further behind. </w:t>
      </w:r>
      <w:r>
        <w:rPr>
          <w:lang w:val="en-US"/>
        </w:rPr>
        <w:t>I</w:t>
      </w:r>
      <w:r w:rsidRPr="00580E84">
        <w:rPr>
          <w:lang w:val="en-US"/>
        </w:rPr>
        <w:t>n 2021, some 2.9 billion people remain offline</w:t>
      </w:r>
      <w:r>
        <w:rPr>
          <w:lang w:val="en-US"/>
        </w:rPr>
        <w:t xml:space="preserve">, </w:t>
      </w:r>
      <w:r w:rsidRPr="00E1286B">
        <w:rPr>
          <w:lang w:val="en-US"/>
        </w:rPr>
        <w:t>96 per cent of whom live</w:t>
      </w:r>
      <w:r>
        <w:rPr>
          <w:lang w:val="en-US"/>
        </w:rPr>
        <w:t xml:space="preserve"> </w:t>
      </w:r>
      <w:r w:rsidRPr="00E1286B">
        <w:rPr>
          <w:lang w:val="en-US"/>
        </w:rPr>
        <w:t>in developing countries.</w:t>
      </w:r>
      <w:r>
        <w:rPr>
          <w:rStyle w:val="FootnoteReference"/>
          <w:lang w:val="en-US"/>
        </w:rPr>
        <w:footnoteReference w:id="12"/>
      </w:r>
      <w:r>
        <w:rPr>
          <w:lang w:val="en-US"/>
        </w:rPr>
        <w:t xml:space="preserve"> </w:t>
      </w:r>
      <w:r>
        <w:t>In</w:t>
      </w:r>
      <w:r w:rsidR="00BC7E6C">
        <w:t xml:space="preserve"> </w:t>
      </w:r>
      <w:r w:rsidR="0027081F">
        <w:t xml:space="preserve">the </w:t>
      </w:r>
      <w:r w:rsidR="00BC7E6C" w:rsidRPr="00BC7E6C">
        <w:t>UN-designated Least Developed Countries (LDCs)</w:t>
      </w:r>
      <w:r>
        <w:t xml:space="preserve"> in particular, affordability and lack of literacy and digital skills remain significant barriers to the adoption of digital tools.</w:t>
      </w:r>
      <w:r>
        <w:rPr>
          <w:lang w:val="en-US"/>
        </w:rPr>
        <w:t xml:space="preserve"> </w:t>
      </w:r>
      <w:r>
        <w:t xml:space="preserve">There are almost six times more people in the usage gap than the coverage gap, and while </w:t>
      </w:r>
      <w:r w:rsidRPr="00634950">
        <w:rPr>
          <w:lang w:val="en-US"/>
        </w:rPr>
        <w:t>handset affordability has improved</w:t>
      </w:r>
      <w:r w:rsidR="007E1221">
        <w:rPr>
          <w:lang w:val="en-US"/>
        </w:rPr>
        <w:t>,</w:t>
      </w:r>
      <w:r w:rsidRPr="00634950">
        <w:rPr>
          <w:lang w:val="en-US"/>
        </w:rPr>
        <w:t xml:space="preserve"> </w:t>
      </w:r>
      <w:r>
        <w:t xml:space="preserve">over 50% of </w:t>
      </w:r>
      <w:r>
        <w:rPr>
          <w:lang w:val="en-US"/>
        </w:rPr>
        <w:t>LDCs</w:t>
      </w:r>
      <w:r>
        <w:t xml:space="preserve"> fall short of international affordability targets.</w:t>
      </w:r>
      <w:r>
        <w:rPr>
          <w:rStyle w:val="FootnoteReference"/>
        </w:rPr>
        <w:footnoteReference w:id="13"/>
      </w:r>
      <w:r>
        <w:rPr>
          <w:lang w:val="en-US"/>
        </w:rPr>
        <w:t xml:space="preserve"> </w:t>
      </w:r>
      <w:r>
        <w:t xml:space="preserve">As more services are delivered online, the most vulnerable in society will have increasingly limited access to education, medicine, government services, </w:t>
      </w:r>
      <w:proofErr w:type="gramStart"/>
      <w:r>
        <w:t>e-commerce</w:t>
      </w:r>
      <w:proofErr w:type="gramEnd"/>
      <w:r>
        <w:t xml:space="preserve"> and communication tools.</w:t>
      </w:r>
    </w:p>
    <w:p w14:paraId="11BB12DF" w14:textId="2482A0BE" w:rsidR="00420D58" w:rsidRPr="000E248E" w:rsidRDefault="00420D58" w:rsidP="00C30F71">
      <w:pPr>
        <w:pStyle w:val="Numberedpara"/>
        <w:rPr>
          <w:lang w:val="en-US"/>
        </w:rPr>
      </w:pPr>
      <w:r w:rsidRPr="00C30F71">
        <w:rPr>
          <w:b/>
          <w:bCs/>
          <w:lang w:val="en-US"/>
        </w:rPr>
        <w:t>Meanwhile, as the climate crisis intensifies, it is increasingly urgent for the telecommunication/ICT sector to advance progress towards the WSIS Action Lines and 2030 Agenda for Sustainable Development</w:t>
      </w:r>
      <w:r w:rsidRPr="00283126">
        <w:rPr>
          <w:lang w:val="en-US"/>
        </w:rPr>
        <w:t xml:space="preserve">. </w:t>
      </w:r>
      <w:r w:rsidRPr="00EB0831">
        <w:rPr>
          <w:lang w:val="en-US"/>
        </w:rPr>
        <w:t>Human influence has warmed the climate at a</w:t>
      </w:r>
      <w:r>
        <w:rPr>
          <w:lang w:val="en-US"/>
        </w:rPr>
        <w:t>n</w:t>
      </w:r>
      <w:r w:rsidRPr="00EB0831">
        <w:rPr>
          <w:lang w:val="en-US"/>
        </w:rPr>
        <w:t xml:space="preserve"> unprecedented rate in the last 2000 years. Meanwhile, the rapid adva</w:t>
      </w:r>
      <w:r>
        <w:rPr>
          <w:lang w:val="en-US"/>
        </w:rPr>
        <w:t>n</w:t>
      </w:r>
      <w:r w:rsidRPr="00EB0831">
        <w:rPr>
          <w:lang w:val="en-US"/>
        </w:rPr>
        <w:t>cement and deployment of telecommunication</w:t>
      </w:r>
      <w:r w:rsidR="00F20671">
        <w:rPr>
          <w:lang w:val="en-US"/>
        </w:rPr>
        <w:t>s</w:t>
      </w:r>
      <w:r w:rsidRPr="00EB0831">
        <w:rPr>
          <w:lang w:val="en-US"/>
        </w:rPr>
        <w:t>/ICT</w:t>
      </w:r>
      <w:r>
        <w:rPr>
          <w:lang w:val="en-US"/>
        </w:rPr>
        <w:t>s</w:t>
      </w:r>
      <w:r w:rsidRPr="00EB0831">
        <w:rPr>
          <w:lang w:val="en-US"/>
        </w:rPr>
        <w:t xml:space="preserve"> globally ha</w:t>
      </w:r>
      <w:r>
        <w:rPr>
          <w:lang w:val="en-US"/>
        </w:rPr>
        <w:t>s</w:t>
      </w:r>
      <w:r w:rsidRPr="00EB0831">
        <w:rPr>
          <w:lang w:val="en-US"/>
        </w:rPr>
        <w:t xml:space="preserve"> led to an increase in greenhouse gas </w:t>
      </w:r>
      <w:r>
        <w:rPr>
          <w:lang w:val="en-US"/>
        </w:rPr>
        <w:t xml:space="preserve">(GHG) </w:t>
      </w:r>
      <w:r w:rsidRPr="00EB0831">
        <w:rPr>
          <w:lang w:val="en-US"/>
        </w:rPr>
        <w:t>emissions, energy consumption and electronic</w:t>
      </w:r>
      <w:r>
        <w:rPr>
          <w:lang w:val="en-US"/>
        </w:rPr>
        <w:t xml:space="preserve"> </w:t>
      </w:r>
      <w:r w:rsidRPr="00EB0831">
        <w:rPr>
          <w:lang w:val="en-US"/>
        </w:rPr>
        <w:t xml:space="preserve">waste. According to recent estimates, the </w:t>
      </w:r>
      <w:r w:rsidRPr="00892463">
        <w:t>telecommunication/ICT</w:t>
      </w:r>
      <w:r w:rsidRPr="00EB0831">
        <w:rPr>
          <w:lang w:val="en-US"/>
        </w:rPr>
        <w:t xml:space="preserve"> sector accounts for 3-4% of global CO2 emissions, about twice that of civil aviation. With global data traffic expected to grow around 60% per year, the industry’s share is expected to grow further.</w:t>
      </w:r>
      <w:r>
        <w:rPr>
          <w:rStyle w:val="FootnoteReference"/>
          <w:lang w:val="en-US"/>
        </w:rPr>
        <w:footnoteReference w:id="14"/>
      </w:r>
      <w:r w:rsidRPr="00EB0831">
        <w:rPr>
          <w:lang w:val="en-US"/>
        </w:rPr>
        <w:t xml:space="preserve"> </w:t>
      </w:r>
      <w:r>
        <w:rPr>
          <w:lang w:val="en-US"/>
        </w:rPr>
        <w:t xml:space="preserve"> </w:t>
      </w:r>
      <w:r w:rsidRPr="000E248E">
        <w:rPr>
          <w:lang w:val="en-US"/>
        </w:rPr>
        <w:t xml:space="preserve">However, while </w:t>
      </w:r>
      <w:r>
        <w:rPr>
          <w:lang w:val="en-US"/>
        </w:rPr>
        <w:t xml:space="preserve">the sector </w:t>
      </w:r>
      <w:r w:rsidRPr="000E248E">
        <w:rPr>
          <w:lang w:val="en-US"/>
        </w:rPr>
        <w:t xml:space="preserve">requires energy resources, </w:t>
      </w:r>
      <w:r w:rsidRPr="00892463">
        <w:t>telecommunication</w:t>
      </w:r>
      <w:r w:rsidR="00030B8E">
        <w:t>s</w:t>
      </w:r>
      <w:r w:rsidRPr="00892463">
        <w:t>/ICTs</w:t>
      </w:r>
      <w:r w:rsidRPr="000E248E">
        <w:rPr>
          <w:lang w:val="en-US"/>
        </w:rPr>
        <w:t xml:space="preserve"> also offer</w:t>
      </w:r>
      <w:r>
        <w:rPr>
          <w:lang w:val="en-US"/>
        </w:rPr>
        <w:t xml:space="preserve"> </w:t>
      </w:r>
      <w:r w:rsidRPr="000E248E">
        <w:rPr>
          <w:lang w:val="en-US"/>
        </w:rPr>
        <w:t xml:space="preserve">new opportunities to mitigate and adapt to climate change. For example, </w:t>
      </w:r>
      <w:r w:rsidRPr="00892463">
        <w:t>telecommunication/ICT</w:t>
      </w:r>
      <w:r w:rsidRPr="000E248E">
        <w:rPr>
          <w:lang w:val="en-US"/>
        </w:rPr>
        <w:t xml:space="preserve"> play a crucial role in monitoring and analyzing short- and long-term climate trends, </w:t>
      </w:r>
      <w:r>
        <w:rPr>
          <w:lang w:val="en-US"/>
        </w:rPr>
        <w:t xml:space="preserve">enabling </w:t>
      </w:r>
      <w:r w:rsidRPr="000E248E">
        <w:rPr>
          <w:lang w:val="en-US"/>
        </w:rPr>
        <w:t xml:space="preserve">disaster risk reduction and management and raising awareness to help protect the environment and reduce </w:t>
      </w:r>
      <w:r>
        <w:rPr>
          <w:lang w:val="en-US"/>
        </w:rPr>
        <w:t xml:space="preserve">GHG </w:t>
      </w:r>
      <w:r w:rsidRPr="000E248E">
        <w:rPr>
          <w:lang w:val="en-US"/>
        </w:rPr>
        <w:t>emissions.</w:t>
      </w:r>
      <w:r>
        <w:rPr>
          <w:lang w:val="en-US"/>
        </w:rPr>
        <w:t xml:space="preserve"> </w:t>
      </w:r>
      <w:r w:rsidRPr="000E248E">
        <w:rPr>
          <w:lang w:val="en-US"/>
        </w:rPr>
        <w:t>In this context, as 2030 approaches, it is increasingly pressing to leverage the power of telecommunications/ICT</w:t>
      </w:r>
      <w:r w:rsidR="00237BA8">
        <w:rPr>
          <w:lang w:val="en-US"/>
        </w:rPr>
        <w:t>s</w:t>
      </w:r>
      <w:r w:rsidRPr="000E248E">
        <w:rPr>
          <w:lang w:val="en-US"/>
        </w:rPr>
        <w:t xml:space="preserve"> to drive sustainable development and accelerate progress towards the WSIS Action Lines and Sustainable Development Goals.</w:t>
      </w:r>
    </w:p>
    <w:p w14:paraId="50CFA2A4" w14:textId="3B8D60F6" w:rsidR="00420D58" w:rsidRPr="004043F9" w:rsidRDefault="00420D58" w:rsidP="00C30F71">
      <w:pPr>
        <w:pStyle w:val="Numberedpara"/>
        <w:rPr>
          <w:lang w:val="en-US"/>
        </w:rPr>
      </w:pPr>
      <w:r w:rsidRPr="004043F9">
        <w:rPr>
          <w:b/>
          <w:bCs/>
          <w:lang w:val="en-US"/>
        </w:rPr>
        <w:t xml:space="preserve">To respond to these challenges and unlock the potential of digitalization, ITU </w:t>
      </w:r>
      <w:proofErr w:type="gramStart"/>
      <w:r w:rsidR="00817DF0" w:rsidRPr="004043F9">
        <w:rPr>
          <w:b/>
          <w:bCs/>
          <w:lang w:val="en-US"/>
        </w:rPr>
        <w:t>has the opportunity to</w:t>
      </w:r>
      <w:proofErr w:type="gramEnd"/>
      <w:r w:rsidRPr="004043F9">
        <w:rPr>
          <w:b/>
          <w:bCs/>
          <w:lang w:val="en-US"/>
        </w:rPr>
        <w:t xml:space="preserve"> play a vital role in bridging the digital divide and enabling sustainable digital transformation</w:t>
      </w:r>
      <w:r w:rsidRPr="004043F9">
        <w:rPr>
          <w:lang w:val="en-US"/>
        </w:rPr>
        <w:t xml:space="preserve">. ITU’s diverse membership is uniquely positioned to address digital inequalities. </w:t>
      </w:r>
      <w:proofErr w:type="gramStart"/>
      <w:r w:rsidRPr="004043F9">
        <w:rPr>
          <w:lang w:val="en-US"/>
        </w:rPr>
        <w:t>In particular, governments</w:t>
      </w:r>
      <w:proofErr w:type="gramEnd"/>
      <w:r w:rsidRPr="004043F9">
        <w:rPr>
          <w:lang w:val="en-US"/>
        </w:rPr>
        <w:t xml:space="preserve"> and regulators in developing countries can launch initiatives targeted at reversing declining capital spending and stimulating investments to enable network roll-out. </w:t>
      </w:r>
      <w:r w:rsidRPr="004043F9">
        <w:t xml:space="preserve">They can also collaborate to reduce demand-side barriers to connectivity, through efforts to enhance affordability, digital literacy, local content development and adoption of mobile broadband. </w:t>
      </w:r>
      <w:r w:rsidRPr="004043F9">
        <w:rPr>
          <w:lang w:val="en-US"/>
        </w:rPr>
        <w:t xml:space="preserve">As an organization, ITU </w:t>
      </w:r>
      <w:r w:rsidR="00B161E5" w:rsidRPr="004043F9">
        <w:rPr>
          <w:lang w:val="en-US"/>
        </w:rPr>
        <w:t>can</w:t>
      </w:r>
      <w:r w:rsidR="00BB423E" w:rsidRPr="004043F9">
        <w:rPr>
          <w:lang w:val="en-US"/>
        </w:rPr>
        <w:t xml:space="preserve"> </w:t>
      </w:r>
      <w:r w:rsidRPr="004043F9">
        <w:rPr>
          <w:lang w:val="en-US"/>
        </w:rPr>
        <w:t xml:space="preserve">continue to serve as a platform to drive responsive </w:t>
      </w:r>
      <w:r w:rsidR="00AD07D2" w:rsidRPr="004043F9">
        <w:rPr>
          <w:lang w:val="en-US"/>
        </w:rPr>
        <w:t xml:space="preserve">technical and </w:t>
      </w:r>
      <w:r w:rsidRPr="004043F9">
        <w:rPr>
          <w:lang w:val="en-US"/>
        </w:rPr>
        <w:t xml:space="preserve">regulatory action and encourage collaboration between regulators and industry. ITU </w:t>
      </w:r>
      <w:r w:rsidR="00BE64EE" w:rsidRPr="004043F9">
        <w:rPr>
          <w:lang w:val="en-US"/>
        </w:rPr>
        <w:t xml:space="preserve">could </w:t>
      </w:r>
      <w:r w:rsidRPr="004043F9">
        <w:rPr>
          <w:lang w:val="en-US"/>
        </w:rPr>
        <w:t xml:space="preserve">also </w:t>
      </w:r>
      <w:r w:rsidR="00027258" w:rsidRPr="004043F9">
        <w:rPr>
          <w:lang w:val="en-US"/>
        </w:rPr>
        <w:t xml:space="preserve">further </w:t>
      </w:r>
      <w:r w:rsidRPr="004043F9">
        <w:rPr>
          <w:lang w:val="en-US"/>
        </w:rPr>
        <w:t>harness data to enhance digital regulation, by building analytics capabilities, adopting data-driven tools in decision-making and providing regulators with regulatory solutions to respond to changes in the telecommunication</w:t>
      </w:r>
      <w:r w:rsidR="00027258" w:rsidRPr="004043F9">
        <w:rPr>
          <w:lang w:val="en-US"/>
        </w:rPr>
        <w:t>s</w:t>
      </w:r>
      <w:r w:rsidRPr="004043F9">
        <w:rPr>
          <w:lang w:val="en-US"/>
        </w:rPr>
        <w:t>/ICTs landscape.</w:t>
      </w:r>
      <w:r w:rsidRPr="004043F9">
        <w:rPr>
          <w:rStyle w:val="FootnoteReference"/>
          <w:rFonts w:cs="Calibri"/>
          <w:lang w:val="en-US"/>
        </w:rPr>
        <w:footnoteReference w:id="15"/>
      </w:r>
      <w:r w:rsidRPr="004043F9">
        <w:rPr>
          <w:lang w:val="en-US"/>
        </w:rPr>
        <w:t xml:space="preserve"> Finally, to support </w:t>
      </w:r>
      <w:r w:rsidRPr="004043F9">
        <w:t xml:space="preserve">the achievement of the SDGs, ITU </w:t>
      </w:r>
      <w:r w:rsidR="00DF4245" w:rsidRPr="004043F9">
        <w:t xml:space="preserve">can </w:t>
      </w:r>
      <w:r w:rsidRPr="004043F9">
        <w:t>continue to play a crucial role in helping members leverage the power of telecommunication</w:t>
      </w:r>
      <w:r w:rsidR="00430FA0" w:rsidRPr="004043F9">
        <w:t>s</w:t>
      </w:r>
      <w:r w:rsidRPr="004043F9">
        <w:t>/ICTs to promote sustainability, tackle the climate crisis and reduce the environmental footprint of the sector. In particular, ITU</w:t>
      </w:r>
      <w:r w:rsidR="009A652B" w:rsidRPr="004043F9">
        <w:t>’s</w:t>
      </w:r>
      <w:r w:rsidRPr="004043F9">
        <w:t xml:space="preserve"> work </w:t>
      </w:r>
      <w:r w:rsidR="007C2E8A" w:rsidRPr="004043F9">
        <w:t xml:space="preserve">could contribute </w:t>
      </w:r>
      <w:proofErr w:type="gramStart"/>
      <w:r w:rsidR="007C2E8A" w:rsidRPr="004043F9">
        <w:t>in</w:t>
      </w:r>
      <w:proofErr w:type="gramEnd"/>
      <w:r w:rsidR="007C2E8A" w:rsidRPr="004043F9">
        <w:t xml:space="preserve"> </w:t>
      </w:r>
      <w:r w:rsidRPr="004043F9">
        <w:t>address</w:t>
      </w:r>
      <w:r w:rsidR="007C2E8A" w:rsidRPr="004043F9">
        <w:t>ing</w:t>
      </w:r>
      <w:r w:rsidRPr="004043F9">
        <w:t xml:space="preserve"> rising energy consumption, greenhouse gas (GHG) emissions, and e-waste generation through the application of an environmental lens across its work.</w:t>
      </w:r>
    </w:p>
    <w:p w14:paraId="489F5F2B" w14:textId="3BF7167B" w:rsidR="00420D58" w:rsidRPr="00ED7BA4" w:rsidRDefault="00420D58" w:rsidP="00C30F71">
      <w:pPr>
        <w:pStyle w:val="Sections"/>
      </w:pPr>
      <w:r>
        <w:lastRenderedPageBreak/>
        <w:t>Progress on ITU’s Targets of the 2020-2023 Strategic Plan</w:t>
      </w:r>
    </w:p>
    <w:p w14:paraId="2512DC8C" w14:textId="2E982698" w:rsidR="00420D58" w:rsidRDefault="00420D58" w:rsidP="00C30F71">
      <w:pPr>
        <w:pStyle w:val="Numberedpara"/>
        <w:rPr>
          <w:lang w:val="en-US"/>
        </w:rPr>
      </w:pPr>
      <w:r w:rsidRPr="00132A2E">
        <w:rPr>
          <w:lang w:val="en-US"/>
        </w:rPr>
        <w:t xml:space="preserve">The </w:t>
      </w:r>
      <w:r>
        <w:rPr>
          <w:lang w:val="en-US"/>
        </w:rPr>
        <w:t>2020-2023</w:t>
      </w:r>
      <w:r w:rsidR="00C122EB">
        <w:rPr>
          <w:lang w:val="en-US"/>
        </w:rPr>
        <w:t xml:space="preserve"> ITU</w:t>
      </w:r>
      <w:r>
        <w:rPr>
          <w:lang w:val="en-US"/>
        </w:rPr>
        <w:t xml:space="preserve"> </w:t>
      </w:r>
      <w:r w:rsidRPr="00132A2E">
        <w:rPr>
          <w:lang w:val="en-US"/>
        </w:rPr>
        <w:t xml:space="preserve">Strategic Plan </w:t>
      </w:r>
      <w:r>
        <w:rPr>
          <w:lang w:val="en-US"/>
        </w:rPr>
        <w:t>contained five strategic goals (</w:t>
      </w:r>
      <w:r w:rsidRPr="00132A2E">
        <w:rPr>
          <w:lang w:val="en-US"/>
        </w:rPr>
        <w:t>Growth, Inclusiveness, Sustainability, Innovation and Partnership</w:t>
      </w:r>
      <w:r>
        <w:rPr>
          <w:lang w:val="en-US"/>
        </w:rPr>
        <w:t>) measured through 24 t</w:t>
      </w:r>
      <w:r w:rsidRPr="00132A2E">
        <w:rPr>
          <w:lang w:val="en-US"/>
        </w:rPr>
        <w:t>argets</w:t>
      </w:r>
      <w:r>
        <w:rPr>
          <w:lang w:val="en-US"/>
        </w:rPr>
        <w:t xml:space="preserve"> contributing to the achievement of the Connect 2030 Agenda.</w:t>
      </w:r>
    </w:p>
    <w:p w14:paraId="5FA3BE39" w14:textId="77777777" w:rsidR="00420D58" w:rsidRDefault="00420D58" w:rsidP="00C30F71">
      <w:pPr>
        <w:pStyle w:val="Numberedpara"/>
        <w:rPr>
          <w:lang w:val="en-US"/>
        </w:rPr>
      </w:pPr>
      <w:r w:rsidRPr="0095025E">
        <w:rPr>
          <w:b/>
          <w:bCs/>
          <w:lang w:val="en-US"/>
        </w:rPr>
        <w:t>Uptake of the Internet has accelerated during the pandemic</w:t>
      </w:r>
      <w:r>
        <w:rPr>
          <w:lang w:val="en-US"/>
        </w:rPr>
        <w:t xml:space="preserve">. </w:t>
      </w:r>
      <w:r w:rsidRPr="00B22B8D">
        <w:rPr>
          <w:lang w:val="en-US"/>
        </w:rPr>
        <w:t>An estimated 4.9 billion people are using the Internet in 2021</w:t>
      </w:r>
      <w:r>
        <w:rPr>
          <w:rStyle w:val="FootnoteReference"/>
          <w:lang w:val="en-US"/>
        </w:rPr>
        <w:footnoteReference w:id="16"/>
      </w:r>
      <w:r w:rsidRPr="00B22B8D">
        <w:rPr>
          <w:lang w:val="en-US"/>
        </w:rPr>
        <w:t>,</w:t>
      </w:r>
      <w:r>
        <w:rPr>
          <w:lang w:val="en-US"/>
        </w:rPr>
        <w:t xml:space="preserve"> meaning </w:t>
      </w:r>
      <w:r w:rsidRPr="00B22B8D">
        <w:rPr>
          <w:lang w:val="en-US"/>
        </w:rPr>
        <w:t>that roughly 63 per cent of the world’s population is online – an increase of 17 per cent – with almost 800 million people estimated to have come online since 2019. Internet penetration increased more than 20 per cent on average in Africa, in Asia and the Pacific, and in the UN-designated Least Developed Countries (LDCs).</w:t>
      </w:r>
    </w:p>
    <w:p w14:paraId="27C588F8" w14:textId="77777777" w:rsidR="00420D58" w:rsidRDefault="00420D58" w:rsidP="00C30F71">
      <w:pPr>
        <w:pStyle w:val="Numberedpara"/>
        <w:rPr>
          <w:lang w:val="en-US"/>
        </w:rPr>
      </w:pPr>
      <w:r w:rsidRPr="00DF0E80">
        <w:rPr>
          <w:b/>
          <w:bCs/>
          <w:lang w:val="en-US"/>
        </w:rPr>
        <w:t>Growth has been necessarily much weaker in developed economies, given that Internet use is already almost universal</w:t>
      </w:r>
      <w:r w:rsidRPr="00F3142F">
        <w:rPr>
          <w:lang w:val="en-US"/>
        </w:rPr>
        <w:t>, at more than 90 per cent.</w:t>
      </w:r>
      <w:r>
        <w:rPr>
          <w:lang w:val="en-US"/>
        </w:rPr>
        <w:t xml:space="preserve"> </w:t>
      </w:r>
      <w:r w:rsidRPr="00F3142F">
        <w:rPr>
          <w:lang w:val="en-US"/>
        </w:rPr>
        <w:t>This growth differential has contributed to a modest narrowing of the divide between the world’s</w:t>
      </w:r>
      <w:r>
        <w:rPr>
          <w:lang w:val="en-US"/>
        </w:rPr>
        <w:t xml:space="preserve"> </w:t>
      </w:r>
      <w:r w:rsidRPr="00F3142F">
        <w:rPr>
          <w:lang w:val="en-US"/>
        </w:rPr>
        <w:t>most and least-connected countries: for example, the divide between developed economies</w:t>
      </w:r>
      <w:r>
        <w:rPr>
          <w:lang w:val="en-US"/>
        </w:rPr>
        <w:t xml:space="preserve"> </w:t>
      </w:r>
      <w:r w:rsidRPr="00F3142F">
        <w:rPr>
          <w:lang w:val="en-US"/>
        </w:rPr>
        <w:t>and the LDCs went from 66 percentage points in 2017 to 63 percentage points in 2021.</w:t>
      </w:r>
    </w:p>
    <w:p w14:paraId="60245A06" w14:textId="77777777" w:rsidR="00420D58" w:rsidRDefault="00420D58" w:rsidP="00C30F71">
      <w:pPr>
        <w:pStyle w:val="Numberedpara"/>
        <w:rPr>
          <w:lang w:val="en-US"/>
        </w:rPr>
      </w:pPr>
      <w:r w:rsidRPr="006B3C28">
        <w:rPr>
          <w:b/>
          <w:bCs/>
          <w:lang w:val="en-US"/>
        </w:rPr>
        <w:t>Broadband subscriptions pick up in 2021</w:t>
      </w:r>
      <w:r>
        <w:rPr>
          <w:lang w:val="en-US"/>
        </w:rPr>
        <w:t xml:space="preserve">: </w:t>
      </w:r>
      <w:r w:rsidRPr="00674D3E">
        <w:rPr>
          <w:lang w:val="en-US"/>
        </w:rPr>
        <w:t>Following a small decline in 2020, the penetration of mobile cellular subscriptions worldwide</w:t>
      </w:r>
      <w:r>
        <w:rPr>
          <w:lang w:val="en-US"/>
        </w:rPr>
        <w:t xml:space="preserve"> </w:t>
      </w:r>
      <w:r w:rsidRPr="00674D3E">
        <w:rPr>
          <w:lang w:val="en-US"/>
        </w:rPr>
        <w:t>rose again in 2021, reaching a record 110 subscriptions per 100 inhabitants. Mobile subscriptions</w:t>
      </w:r>
      <w:r>
        <w:rPr>
          <w:lang w:val="en-US"/>
        </w:rPr>
        <w:t xml:space="preserve"> </w:t>
      </w:r>
      <w:r w:rsidRPr="00674D3E">
        <w:rPr>
          <w:lang w:val="en-US"/>
        </w:rPr>
        <w:t>with broadband capability (3G or better) followed the same trend, reaching 83 subscriptions</w:t>
      </w:r>
      <w:r>
        <w:rPr>
          <w:lang w:val="en-US"/>
        </w:rPr>
        <w:t xml:space="preserve"> </w:t>
      </w:r>
      <w:r w:rsidRPr="00674D3E">
        <w:rPr>
          <w:lang w:val="en-US"/>
        </w:rPr>
        <w:t>per 100 people.</w:t>
      </w:r>
    </w:p>
    <w:p w14:paraId="6D9E8067" w14:textId="77777777" w:rsidR="00420D58" w:rsidRDefault="00420D58" w:rsidP="00C30F71">
      <w:pPr>
        <w:pStyle w:val="Numberedpara"/>
        <w:rPr>
          <w:lang w:val="en-US"/>
        </w:rPr>
      </w:pPr>
      <w:r w:rsidRPr="00C30F71">
        <w:rPr>
          <w:b/>
          <w:bCs/>
          <w:lang w:val="en-US"/>
        </w:rPr>
        <w:t>The urban-rural gap, though less severe in developed countries, remains a major challenge for digital connectivity in the rest of the world</w:t>
      </w:r>
      <w:r w:rsidRPr="00DD73E9">
        <w:rPr>
          <w:lang w:val="en-US"/>
        </w:rPr>
        <w:t>.</w:t>
      </w:r>
      <w:r>
        <w:rPr>
          <w:lang w:val="en-US"/>
        </w:rPr>
        <w:t xml:space="preserve"> </w:t>
      </w:r>
      <w:r w:rsidRPr="00DD73E9">
        <w:rPr>
          <w:lang w:val="en-US"/>
        </w:rPr>
        <w:t>Globally, people in urban areas are twice as likely to use the Internet than those in rural areas (76 per cent urban compared to 39 per cent rural).</w:t>
      </w:r>
      <w:r>
        <w:rPr>
          <w:lang w:val="en-US"/>
        </w:rPr>
        <w:t xml:space="preserve"> </w:t>
      </w:r>
      <w:r w:rsidRPr="00DD73E9">
        <w:rPr>
          <w:lang w:val="en-US"/>
        </w:rPr>
        <w:t>In developed economies, the urban-rural gap appears negligible in terms of Internet usage (with 89 per cent of people in urban areas having used the Internet in the last three months, compared to 85 per cent in rural areas), whereas in developing countries, people in urban areas are twice as likely to use the Internet as those in rural areas (72 per cent urban compared to 34 per cent rural).</w:t>
      </w:r>
      <w:r>
        <w:rPr>
          <w:lang w:val="en-US"/>
        </w:rPr>
        <w:t xml:space="preserve"> </w:t>
      </w:r>
      <w:r w:rsidRPr="00DD73E9">
        <w:rPr>
          <w:lang w:val="en-US"/>
        </w:rPr>
        <w:t>In the LDCs, urban dwellers are almost four times as likely to use the Internet as people living in rural areas (47 per cent urban compared to 13 per cent rural).</w:t>
      </w:r>
    </w:p>
    <w:p w14:paraId="74B0E2A8" w14:textId="77777777" w:rsidR="00420D58" w:rsidRDefault="00420D58" w:rsidP="00C30F71">
      <w:pPr>
        <w:pStyle w:val="Numberedpara"/>
        <w:rPr>
          <w:lang w:val="en-US"/>
        </w:rPr>
      </w:pPr>
      <w:r w:rsidRPr="00E20AD9">
        <w:rPr>
          <w:b/>
          <w:bCs/>
          <w:lang w:val="en-US"/>
        </w:rPr>
        <w:t>The digital gender divide is also narrowing globally, but large gaps remain in poorer countries</w:t>
      </w:r>
      <w:r w:rsidRPr="00F8768F">
        <w:rPr>
          <w:lang w:val="en-US"/>
        </w:rPr>
        <w:t>.</w:t>
      </w:r>
      <w:r>
        <w:rPr>
          <w:lang w:val="en-US"/>
        </w:rPr>
        <w:t xml:space="preserve"> In the </w:t>
      </w:r>
      <w:r w:rsidRPr="00F8768F">
        <w:rPr>
          <w:lang w:val="en-US"/>
        </w:rPr>
        <w:t>developed world</w:t>
      </w:r>
      <w:r>
        <w:rPr>
          <w:lang w:val="en-US"/>
        </w:rPr>
        <w:t xml:space="preserve">, the digital gender divide </w:t>
      </w:r>
      <w:r w:rsidRPr="00F8768F">
        <w:rPr>
          <w:lang w:val="en-US"/>
        </w:rPr>
        <w:t>has been virtually eliminated (89 per cent of men and 88 per cent of women online)</w:t>
      </w:r>
      <w:r>
        <w:rPr>
          <w:lang w:val="en-US"/>
        </w:rPr>
        <w:t xml:space="preserve"> but</w:t>
      </w:r>
      <w:r w:rsidRPr="00F8768F">
        <w:rPr>
          <w:lang w:val="en-US"/>
        </w:rPr>
        <w:t xml:space="preserve"> wide gaps remain in Least Developed Countries (31 per cent of men compared to just 19 per cent of women) and in Landlocked Developing Countries (38 per cent of men compared to 27 per cent of women).</w:t>
      </w:r>
    </w:p>
    <w:p w14:paraId="40F42EF5" w14:textId="77777777" w:rsidR="00420D58" w:rsidRPr="0009466C" w:rsidRDefault="00420D58" w:rsidP="00C30F71">
      <w:pPr>
        <w:pStyle w:val="Numberedpara"/>
        <w:rPr>
          <w:lang w:val="en-US"/>
        </w:rPr>
      </w:pPr>
      <w:r w:rsidRPr="00EE7E1C">
        <w:rPr>
          <w:b/>
          <w:bCs/>
          <w:lang w:val="en-US"/>
        </w:rPr>
        <w:t>A generational gap is evident across all world regions</w:t>
      </w:r>
      <w:r w:rsidRPr="0009466C">
        <w:rPr>
          <w:lang w:val="en-US"/>
        </w:rPr>
        <w:t>.</w:t>
      </w:r>
      <w:r>
        <w:rPr>
          <w:lang w:val="en-US"/>
        </w:rPr>
        <w:t xml:space="preserve"> </w:t>
      </w:r>
      <w:r w:rsidRPr="0009466C">
        <w:rPr>
          <w:lang w:val="en-US"/>
        </w:rPr>
        <w:t>On average, 71 per cent of the world’s population aged 15-24 is using the Internet, compared with 57 per cent of all other age groups.</w:t>
      </w:r>
      <w:r>
        <w:rPr>
          <w:lang w:val="en-US"/>
        </w:rPr>
        <w:t xml:space="preserve"> </w:t>
      </w:r>
      <w:r w:rsidRPr="0009466C">
        <w:rPr>
          <w:lang w:val="en-US"/>
        </w:rPr>
        <w:t>This generational gap is reflected across all regions. It is most pronounced in the LDCs, where 34 per cent of young people are connected, compared with only 22 per cent of the rest of the population.</w:t>
      </w:r>
      <w:r>
        <w:rPr>
          <w:lang w:val="en-US"/>
        </w:rPr>
        <w:t xml:space="preserve"> </w:t>
      </w:r>
      <w:r w:rsidRPr="0009466C">
        <w:rPr>
          <w:lang w:val="en-US"/>
        </w:rPr>
        <w:t xml:space="preserve">Greater uptake among young people bodes well for connectivity and development. In the LDCs, for example, half of the population is less than 20 years old, suggesting that local </w:t>
      </w:r>
      <w:proofErr w:type="spellStart"/>
      <w:r w:rsidRPr="0009466C">
        <w:rPr>
          <w:lang w:val="en-US"/>
        </w:rPr>
        <w:t>labour</w:t>
      </w:r>
      <w:proofErr w:type="spellEnd"/>
      <w:r w:rsidRPr="0009466C">
        <w:rPr>
          <w:lang w:val="en-US"/>
        </w:rPr>
        <w:t xml:space="preserve"> markets will become progressively more connected and technology-savvy as the younger generation enters the workforce.</w:t>
      </w:r>
    </w:p>
    <w:p w14:paraId="72BA4471" w14:textId="77777777" w:rsidR="00420D58" w:rsidRPr="0009466C" w:rsidRDefault="00420D58" w:rsidP="00C30F71">
      <w:pPr>
        <w:pStyle w:val="Numberedpara"/>
        <w:rPr>
          <w:lang w:val="en-US"/>
        </w:rPr>
      </w:pPr>
      <w:r>
        <w:rPr>
          <w:b/>
          <w:bCs/>
          <w:lang w:val="en-US"/>
        </w:rPr>
        <w:t>M</w:t>
      </w:r>
      <w:r w:rsidRPr="00596757">
        <w:rPr>
          <w:b/>
          <w:bCs/>
          <w:lang w:val="en-US"/>
        </w:rPr>
        <w:t>onitoring the world’s evolving digital divide</w:t>
      </w:r>
      <w:r w:rsidRPr="0009466C">
        <w:rPr>
          <w:lang w:val="en-US"/>
        </w:rPr>
        <w:t>.</w:t>
      </w:r>
      <w:r>
        <w:rPr>
          <w:lang w:val="en-US"/>
        </w:rPr>
        <w:t xml:space="preserve"> ITU f</w:t>
      </w:r>
      <w:r w:rsidRPr="0009466C">
        <w:rPr>
          <w:lang w:val="en-US"/>
        </w:rPr>
        <w:t>igures also point to a glaring gap between digital network availability versus actual connection. While 95 per cent of people in the world could theoretically access a 3G or 4G mobile broadband network, billions of them do not connect.</w:t>
      </w:r>
    </w:p>
    <w:p w14:paraId="6EE0A247" w14:textId="77777777" w:rsidR="00420D58" w:rsidRDefault="00420D58" w:rsidP="00C30F71">
      <w:pPr>
        <w:pStyle w:val="Numberedpara"/>
        <w:rPr>
          <w:lang w:val="en-US"/>
        </w:rPr>
      </w:pPr>
      <w:r w:rsidRPr="00DF0E80">
        <w:rPr>
          <w:b/>
          <w:bCs/>
          <w:lang w:val="en-US"/>
        </w:rPr>
        <w:t>Affordability of devices and services remains a major barrier</w:t>
      </w:r>
      <w:r w:rsidRPr="0009466C">
        <w:rPr>
          <w:lang w:val="en-US"/>
        </w:rPr>
        <w:t xml:space="preserve">. The widely accepted target for affordable broadband connectivity in developing countries sets the cost of an entry-level mobile broadband </w:t>
      </w:r>
      <w:r w:rsidRPr="0009466C">
        <w:rPr>
          <w:lang w:val="en-US"/>
        </w:rPr>
        <w:lastRenderedPageBreak/>
        <w:t>package at 2 per cent of gross national income (GNI) per capita. Yet in some of the world’s poorest nations, getting online can cost a staggering 20 per cent or more of per capita GNI.</w:t>
      </w:r>
    </w:p>
    <w:p w14:paraId="3ABE681E" w14:textId="77777777" w:rsidR="00420D58" w:rsidRPr="003B0CC5" w:rsidRDefault="00420D58" w:rsidP="00C30F71">
      <w:pPr>
        <w:pStyle w:val="Numberedpara"/>
      </w:pPr>
      <w:r w:rsidRPr="00DF0E80">
        <w:rPr>
          <w:b/>
          <w:bCs/>
        </w:rPr>
        <w:t>Lack of digital skills and an appreciation of the benefits of an online connection is another bottleneck</w:t>
      </w:r>
      <w:r w:rsidRPr="003B0CC5">
        <w:t>, compounded by a lack of content in local languages, as well as by interfaces that demand literacy and numeracy skills that many people do not possess.</w:t>
      </w:r>
    </w:p>
    <w:p w14:paraId="35AD1726" w14:textId="116E210B" w:rsidR="00420D58" w:rsidRPr="00C70A91" w:rsidRDefault="00420D58" w:rsidP="00C30F71">
      <w:pPr>
        <w:pStyle w:val="Sections"/>
      </w:pPr>
      <w:r>
        <w:t>Assessing ITU’s value proposition and its organizational effectiveness</w:t>
      </w:r>
    </w:p>
    <w:p w14:paraId="4C5DD4E3" w14:textId="3B1F4218" w:rsidR="00420D58" w:rsidRDefault="00420D58" w:rsidP="00C30F71">
      <w:pPr>
        <w:pStyle w:val="Numberedpara"/>
        <w:rPr>
          <w:lang w:val="en-US"/>
        </w:rPr>
      </w:pPr>
      <w:r w:rsidRPr="14999D2E">
        <w:rPr>
          <w:lang w:val="en-US"/>
        </w:rPr>
        <w:t xml:space="preserve">Several projects and initiatives undertaken in the last strategic planning cycle reviewed ITU’s capabilities and provided recommendations on how to further improve its value proposition to its membership and </w:t>
      </w:r>
      <w:r>
        <w:rPr>
          <w:lang w:val="en-US"/>
        </w:rPr>
        <w:t xml:space="preserve">advice to ITU management on </w:t>
      </w:r>
      <w:r w:rsidRPr="14999D2E">
        <w:rPr>
          <w:lang w:val="en-US"/>
        </w:rPr>
        <w:t>enhanc</w:t>
      </w:r>
      <w:r>
        <w:rPr>
          <w:lang w:val="en-US"/>
        </w:rPr>
        <w:t>ing</w:t>
      </w:r>
      <w:r w:rsidRPr="14999D2E">
        <w:rPr>
          <w:lang w:val="en-US"/>
        </w:rPr>
        <w:t xml:space="preserve"> organizational effectiveness. These included the </w:t>
      </w:r>
      <w:r>
        <w:rPr>
          <w:lang w:val="en-US"/>
        </w:rPr>
        <w:t xml:space="preserve">Review of ITU’s </w:t>
      </w:r>
      <w:r w:rsidRPr="14999D2E">
        <w:rPr>
          <w:lang w:val="en-US"/>
        </w:rPr>
        <w:t>Regional Presence</w:t>
      </w:r>
      <w:r>
        <w:rPr>
          <w:lang w:val="en-US"/>
        </w:rPr>
        <w:t xml:space="preserve">, </w:t>
      </w:r>
      <w:r w:rsidRPr="14999D2E">
        <w:rPr>
          <w:lang w:val="en-US"/>
        </w:rPr>
        <w:t>the Culture &amp; Skills</w:t>
      </w:r>
      <w:r>
        <w:rPr>
          <w:lang w:val="en-US"/>
        </w:rPr>
        <w:t xml:space="preserve"> </w:t>
      </w:r>
      <w:proofErr w:type="gramStart"/>
      <w:r>
        <w:rPr>
          <w:lang w:val="en-US"/>
        </w:rPr>
        <w:t>Project</w:t>
      </w:r>
      <w:proofErr w:type="gramEnd"/>
      <w:r>
        <w:rPr>
          <w:lang w:val="en-US"/>
        </w:rPr>
        <w:t xml:space="preserve"> and informal consultations with members</w:t>
      </w:r>
      <w:r w:rsidR="00A4367E">
        <w:rPr>
          <w:lang w:val="en-US"/>
        </w:rPr>
        <w:t xml:space="preserve"> during the strategic planning process</w:t>
      </w:r>
      <w:r w:rsidRPr="14999D2E">
        <w:rPr>
          <w:lang w:val="en-US"/>
        </w:rPr>
        <w:t>.</w:t>
      </w:r>
    </w:p>
    <w:p w14:paraId="46BCD843" w14:textId="4D65BB7B" w:rsidR="00420D58" w:rsidRDefault="00420D58" w:rsidP="00C30F71">
      <w:pPr>
        <w:pStyle w:val="Numberedpara"/>
        <w:rPr>
          <w:lang w:val="en-US"/>
        </w:rPr>
      </w:pPr>
      <w:proofErr w:type="gramStart"/>
      <w:r>
        <w:rPr>
          <w:lang w:val="en-US"/>
        </w:rPr>
        <w:t>In particular, feedback</w:t>
      </w:r>
      <w:proofErr w:type="gramEnd"/>
      <w:r>
        <w:rPr>
          <w:lang w:val="en-US"/>
        </w:rPr>
        <w:t xml:space="preserve"> gathered from the membership underscored the need to establish clear areas of impact and leverage synergies across ITU Sectors. To enhance ITU’s membership offering, it was also suggested providing members with a catalogue of services. Finally, it reinforced the need to i</w:t>
      </w:r>
      <w:r w:rsidRPr="00C70A91">
        <w:rPr>
          <w:lang w:val="en-US"/>
        </w:rPr>
        <w:t xml:space="preserve">mprove internal management </w:t>
      </w:r>
      <w:r>
        <w:rPr>
          <w:lang w:val="en-US"/>
        </w:rPr>
        <w:t xml:space="preserve">through results-based management </w:t>
      </w:r>
      <w:r w:rsidRPr="00C70A91">
        <w:rPr>
          <w:lang w:val="en-US"/>
        </w:rPr>
        <w:t>and enhance transparency and accountability.</w:t>
      </w:r>
    </w:p>
    <w:p w14:paraId="55C16D56" w14:textId="4D569370" w:rsidR="00420D58" w:rsidRPr="00C70A91" w:rsidRDefault="00420D58" w:rsidP="00C30F71">
      <w:pPr>
        <w:pStyle w:val="Numberedpara"/>
        <w:rPr>
          <w:lang w:val="en-US"/>
        </w:rPr>
      </w:pPr>
      <w:r>
        <w:rPr>
          <w:lang w:val="en-US"/>
        </w:rPr>
        <w:t xml:space="preserve">The Culture &amp; Skills project report emphasized the need for ITU to reform its organizational culture, by fostering cross-functional collaboration, bottom-up </w:t>
      </w:r>
      <w:proofErr w:type="gramStart"/>
      <w:r>
        <w:rPr>
          <w:lang w:val="en-US"/>
        </w:rPr>
        <w:t>innovation</w:t>
      </w:r>
      <w:proofErr w:type="gramEnd"/>
      <w:r>
        <w:rPr>
          <w:lang w:val="en-US"/>
        </w:rPr>
        <w:t xml:space="preserve"> and responsiveness to changes in the </w:t>
      </w:r>
      <w:r w:rsidRPr="00892463">
        <w:t>telecommunication/ICT</w:t>
      </w:r>
      <w:r>
        <w:rPr>
          <w:lang w:val="en-US"/>
        </w:rPr>
        <w:t xml:space="preserve"> landscape. It also highlighted the need to tackle p</w:t>
      </w:r>
      <w:r w:rsidRPr="009A1FED">
        <w:rPr>
          <w:lang w:val="en-US"/>
        </w:rPr>
        <w:t>rocess inefficiencies</w:t>
      </w:r>
      <w:r>
        <w:rPr>
          <w:lang w:val="en-US"/>
        </w:rPr>
        <w:t xml:space="preserve">, </w:t>
      </w:r>
      <w:r w:rsidRPr="009A1FED">
        <w:rPr>
          <w:lang w:val="en-US"/>
        </w:rPr>
        <w:t xml:space="preserve">duplication and </w:t>
      </w:r>
      <w:r>
        <w:rPr>
          <w:lang w:val="en-US"/>
        </w:rPr>
        <w:t xml:space="preserve">perceived bureaucracy that </w:t>
      </w:r>
      <w:proofErr w:type="gramStart"/>
      <w:r>
        <w:rPr>
          <w:lang w:val="en-US"/>
        </w:rPr>
        <w:t>lead</w:t>
      </w:r>
      <w:proofErr w:type="gramEnd"/>
      <w:r>
        <w:rPr>
          <w:lang w:val="en-US"/>
        </w:rPr>
        <w:t xml:space="preserve"> to </w:t>
      </w:r>
      <w:r w:rsidRPr="00091370">
        <w:rPr>
          <w:lang w:val="en-US"/>
        </w:rPr>
        <w:t>reactive</w:t>
      </w:r>
      <w:r>
        <w:rPr>
          <w:lang w:val="en-US"/>
        </w:rPr>
        <w:t xml:space="preserve"> and slow decision-making. Other areas of improvement regarding culture included providing staff with clearer ownership and accountability through performance-driven talent management, while also reinforcing inspirational leadership by minimizing organizational hierarchy.</w:t>
      </w:r>
    </w:p>
    <w:p w14:paraId="788C64C4" w14:textId="77777777" w:rsidR="00420D58" w:rsidRPr="00B25392" w:rsidRDefault="00420D58" w:rsidP="00C30F71">
      <w:pPr>
        <w:pStyle w:val="Numberedpara"/>
        <w:rPr>
          <w:lang w:val="en-US"/>
        </w:rPr>
      </w:pPr>
      <w:r>
        <w:rPr>
          <w:lang w:val="en-US"/>
        </w:rPr>
        <w:t xml:space="preserve">Finally, in terms of regional presence, the Review of ITU Regional Presence recommended that ITU further integrate its regional and global planning instruments to enhance the alignment and focus of regional </w:t>
      </w:r>
      <w:proofErr w:type="spellStart"/>
      <w:r>
        <w:rPr>
          <w:lang w:val="en-US"/>
        </w:rPr>
        <w:t>programmes</w:t>
      </w:r>
      <w:proofErr w:type="spellEnd"/>
      <w:r>
        <w:rPr>
          <w:lang w:val="en-US"/>
        </w:rPr>
        <w:t xml:space="preserve"> and initiatives. Specifically, it emphasized the need to clarify regional mandates and responsibilities, to ensure ITU’s regional presence represents the </w:t>
      </w:r>
      <w:proofErr w:type="gramStart"/>
      <w:r>
        <w:rPr>
          <w:lang w:val="en-US"/>
        </w:rPr>
        <w:t>ITU as a whole, aligns</w:t>
      </w:r>
      <w:proofErr w:type="gramEnd"/>
      <w:r>
        <w:rPr>
          <w:lang w:val="en-US"/>
        </w:rPr>
        <w:t xml:space="preserve"> with the organization’s vision and mission, and takes a leading role in coordinating specific activities. </w:t>
      </w:r>
    </w:p>
    <w:p w14:paraId="3D029BF4" w14:textId="171FBAAB" w:rsidR="00420D58" w:rsidRPr="00C70A91" w:rsidRDefault="00420D58" w:rsidP="00C30F71">
      <w:pPr>
        <w:pStyle w:val="Sections"/>
      </w:pPr>
      <w:r>
        <w:t xml:space="preserve">Summary of ITU’s </w:t>
      </w:r>
      <w:r w:rsidRPr="00E5344F">
        <w:t xml:space="preserve">Strengths, Weaknesses, Opportunities </w:t>
      </w:r>
      <w:r>
        <w:t>and Threats (SWOT)</w:t>
      </w:r>
    </w:p>
    <w:p w14:paraId="2825B715" w14:textId="4305A195" w:rsidR="00420D58" w:rsidRDefault="00420D58" w:rsidP="00C30F71">
      <w:pPr>
        <w:pStyle w:val="Numberedpara"/>
        <w:rPr>
          <w:lang w:val="en-US"/>
        </w:rPr>
      </w:pPr>
      <w:r>
        <w:rPr>
          <w:lang w:val="en-US"/>
        </w:rPr>
        <w:t xml:space="preserve">To respond to the rapid changes in the </w:t>
      </w:r>
      <w:r w:rsidRPr="006828E8">
        <w:rPr>
          <w:lang w:val="en-US"/>
        </w:rPr>
        <w:t>digital landscape, it will be vital for ITU to leverage its existing strengths</w:t>
      </w:r>
      <w:r>
        <w:rPr>
          <w:lang w:val="en-US"/>
        </w:rPr>
        <w:t xml:space="preserve"> as the leading UN Agency focused on </w:t>
      </w:r>
      <w:r w:rsidRPr="00892463">
        <w:t>telecommunication</w:t>
      </w:r>
      <w:r w:rsidR="00603AA6">
        <w:t>s</w:t>
      </w:r>
      <w:r w:rsidRPr="00892463">
        <w:t>/ICTs</w:t>
      </w:r>
      <w:r w:rsidRPr="006312CB">
        <w:rPr>
          <w:lang w:val="en-US"/>
        </w:rPr>
        <w:t xml:space="preserve"> </w:t>
      </w:r>
      <w:r>
        <w:rPr>
          <w:lang w:val="en-US"/>
        </w:rPr>
        <w:t xml:space="preserve">and clearly demonstrate its critical role in enhancing the access and use of these technologies for sustainable development. ITU will also strive to leverage both internal and external opportunities, to reinforce the added value of ITU’s services, </w:t>
      </w:r>
      <w:proofErr w:type="gramStart"/>
      <w:r>
        <w:rPr>
          <w:lang w:val="en-US"/>
        </w:rPr>
        <w:t>products</w:t>
      </w:r>
      <w:proofErr w:type="gramEnd"/>
      <w:r>
        <w:rPr>
          <w:lang w:val="en-US"/>
        </w:rPr>
        <w:t xml:space="preserve"> and initiatives. However, to build and maintain its vital role in the</w:t>
      </w:r>
      <w:r w:rsidRPr="00B93B76">
        <w:t xml:space="preserve"> </w:t>
      </w:r>
      <w:r>
        <w:rPr>
          <w:lang w:val="en-US"/>
        </w:rPr>
        <w:t xml:space="preserve">telecommunication and ICTs sector, the Union must also focus on remedying its weaknesses as an organization and responding to emerging threats. </w:t>
      </w:r>
      <w:r w:rsidRPr="00795051">
        <w:rPr>
          <w:lang w:val="en-US"/>
        </w:rPr>
        <w:t xml:space="preserve">ITU has identified, </w:t>
      </w:r>
      <w:proofErr w:type="spellStart"/>
      <w:proofErr w:type="gramStart"/>
      <w:r w:rsidRPr="00795051">
        <w:rPr>
          <w:lang w:val="en-US"/>
        </w:rPr>
        <w:t>analysed</w:t>
      </w:r>
      <w:proofErr w:type="spellEnd"/>
      <w:proofErr w:type="gramEnd"/>
      <w:r w:rsidRPr="00795051">
        <w:rPr>
          <w:lang w:val="en-US"/>
        </w:rPr>
        <w:t xml:space="preserve"> and assessed </w:t>
      </w:r>
      <w:r>
        <w:rPr>
          <w:lang w:val="en-US"/>
        </w:rPr>
        <w:t xml:space="preserve">the </w:t>
      </w:r>
      <w:r w:rsidRPr="00795051">
        <w:rPr>
          <w:lang w:val="en-US"/>
        </w:rPr>
        <w:t>strategic risks</w:t>
      </w:r>
      <w:r>
        <w:rPr>
          <w:lang w:val="en-US"/>
        </w:rPr>
        <w:t xml:space="preserve"> during the strategic planning process </w:t>
      </w:r>
      <w:r w:rsidR="00970B74">
        <w:rPr>
          <w:lang w:val="en-US"/>
        </w:rPr>
        <w:t>(</w:t>
      </w:r>
      <w:r>
        <w:rPr>
          <w:lang w:val="en-US"/>
        </w:rPr>
        <w:t xml:space="preserve">as part of the </w:t>
      </w:r>
      <w:r w:rsidR="00970B74">
        <w:rPr>
          <w:lang w:val="en-US"/>
        </w:rPr>
        <w:t xml:space="preserve">organization’s </w:t>
      </w:r>
      <w:r>
        <w:rPr>
          <w:lang w:val="en-US"/>
        </w:rPr>
        <w:t>overall risk management framework</w:t>
      </w:r>
      <w:r w:rsidR="00970B74">
        <w:rPr>
          <w:lang w:val="en-US"/>
        </w:rPr>
        <w:t>)</w:t>
      </w:r>
      <w:r>
        <w:rPr>
          <w:lang w:val="en-US"/>
        </w:rPr>
        <w:t>, which are further reflected in this analysis.</w:t>
      </w:r>
    </w:p>
    <w:p w14:paraId="49ED797E" w14:textId="3716AEFC" w:rsidR="00420D58" w:rsidRDefault="00420D58" w:rsidP="00C30F71">
      <w:pPr>
        <w:pStyle w:val="Numberedpara"/>
        <w:rPr>
          <w:lang w:val="en-US"/>
        </w:rPr>
      </w:pPr>
      <w:r>
        <w:rPr>
          <w:lang w:val="en-US"/>
        </w:rPr>
        <w:t xml:space="preserve">Further details on the strengths, weaknesses, </w:t>
      </w:r>
      <w:proofErr w:type="gramStart"/>
      <w:r>
        <w:rPr>
          <w:lang w:val="en-US"/>
        </w:rPr>
        <w:t>opportunities</w:t>
      </w:r>
      <w:proofErr w:type="gramEnd"/>
      <w:r>
        <w:rPr>
          <w:lang w:val="en-US"/>
        </w:rPr>
        <w:t xml:space="preserve"> and threats (SWOT) for ITU are included in the tables below.</w:t>
      </w:r>
    </w:p>
    <w:tbl>
      <w:tblPr>
        <w:tblStyle w:val="TableGrid"/>
        <w:tblW w:w="9776" w:type="dxa"/>
        <w:tblCellMar>
          <w:top w:w="85" w:type="dxa"/>
          <w:left w:w="85" w:type="dxa"/>
          <w:bottom w:w="85" w:type="dxa"/>
          <w:right w:w="85" w:type="dxa"/>
        </w:tblCellMar>
        <w:tblLook w:val="04A0" w:firstRow="1" w:lastRow="0" w:firstColumn="1" w:lastColumn="0" w:noHBand="0" w:noVBand="1"/>
      </w:tblPr>
      <w:tblGrid>
        <w:gridCol w:w="5382"/>
        <w:gridCol w:w="4394"/>
      </w:tblGrid>
      <w:tr w:rsidR="004059D4" w14:paraId="3E74A2D0" w14:textId="77777777" w:rsidTr="00B742EF">
        <w:trPr>
          <w:cantSplit/>
          <w:tblHeader/>
        </w:trPr>
        <w:tc>
          <w:tcPr>
            <w:tcW w:w="5382" w:type="dxa"/>
            <w:shd w:val="clear" w:color="auto" w:fill="DBDBDB" w:themeFill="accent3" w:themeFillTint="66"/>
            <w:vAlign w:val="bottom"/>
          </w:tcPr>
          <w:p w14:paraId="600A22CF" w14:textId="77777777" w:rsidR="004059D4" w:rsidRPr="001548DA" w:rsidRDefault="004059D4" w:rsidP="00ED2E74">
            <w:pPr>
              <w:spacing w:before="60" w:after="60"/>
              <w:jc w:val="center"/>
              <w:rPr>
                <w:b/>
                <w:bCs/>
                <w:lang w:val="en-US"/>
              </w:rPr>
            </w:pPr>
            <w:r w:rsidRPr="001548DA">
              <w:rPr>
                <w:b/>
                <w:bCs/>
                <w:lang w:val="en-US"/>
              </w:rPr>
              <w:lastRenderedPageBreak/>
              <w:t>Strengths</w:t>
            </w:r>
          </w:p>
        </w:tc>
        <w:tc>
          <w:tcPr>
            <w:tcW w:w="4394" w:type="dxa"/>
            <w:tcBorders>
              <w:bottom w:val="single" w:sz="4" w:space="0" w:color="auto"/>
            </w:tcBorders>
            <w:shd w:val="clear" w:color="auto" w:fill="DBDBDB" w:themeFill="accent3" w:themeFillTint="66"/>
          </w:tcPr>
          <w:p w14:paraId="7FE63B0F" w14:textId="77777777" w:rsidR="004059D4" w:rsidRPr="00993E12" w:rsidRDefault="004059D4" w:rsidP="00ED2E74">
            <w:pPr>
              <w:spacing w:before="60" w:after="60"/>
              <w:jc w:val="center"/>
              <w:rPr>
                <w:b/>
                <w:bCs/>
                <w:lang w:val="en-US"/>
              </w:rPr>
            </w:pPr>
            <w:r w:rsidRPr="00993E12">
              <w:rPr>
                <w:b/>
                <w:bCs/>
                <w:lang w:val="en-US"/>
              </w:rPr>
              <w:t>Weaknesses</w:t>
            </w:r>
          </w:p>
        </w:tc>
      </w:tr>
      <w:tr w:rsidR="004059D4" w:rsidRPr="0021415B" w14:paraId="7889B85E" w14:textId="77777777" w:rsidTr="00B742EF">
        <w:trPr>
          <w:cantSplit/>
        </w:trPr>
        <w:tc>
          <w:tcPr>
            <w:tcW w:w="5382" w:type="dxa"/>
            <w:hideMark/>
          </w:tcPr>
          <w:p w14:paraId="1B96E2DA" w14:textId="0DFAF32C" w:rsidR="004059D4" w:rsidRPr="004059D4" w:rsidRDefault="004059D4" w:rsidP="00ED2E74">
            <w:pPr>
              <w:spacing w:before="60" w:after="60" w:line="240" w:lineRule="auto"/>
              <w:rPr>
                <w:rFonts w:ascii="Calibri" w:eastAsia="Times New Roman" w:hAnsi="Calibri" w:cs="Calibri"/>
                <w:lang w:eastAsia="en-GB"/>
              </w:rPr>
            </w:pPr>
            <w:r>
              <w:rPr>
                <w:rFonts w:ascii="Calibri" w:eastAsia="Times New Roman" w:hAnsi="Calibri" w:cs="Calibri"/>
                <w:lang w:eastAsia="en-GB"/>
              </w:rPr>
              <w:t xml:space="preserve">- </w:t>
            </w:r>
            <w:r w:rsidRPr="004059D4">
              <w:rPr>
                <w:rFonts w:ascii="Calibri" w:eastAsia="Times New Roman" w:hAnsi="Calibri" w:cs="Calibri"/>
                <w:lang w:eastAsia="en-GB"/>
              </w:rPr>
              <w:t xml:space="preserve">Targeted focus on </w:t>
            </w:r>
            <w:r w:rsidRPr="00892463">
              <w:t>telecommunication</w:t>
            </w:r>
            <w:r w:rsidR="00443409">
              <w:t>s</w:t>
            </w:r>
            <w:r w:rsidRPr="00892463">
              <w:t>/ICTs</w:t>
            </w:r>
            <w:r w:rsidRPr="004059D4">
              <w:rPr>
                <w:rFonts w:ascii="Calibri" w:eastAsia="Times New Roman" w:hAnsi="Calibri" w:cs="Calibri"/>
                <w:lang w:eastAsia="en-GB"/>
              </w:rPr>
              <w:t xml:space="preserve"> and more than 150-year history, giving ITU a unique position in the UN system</w:t>
            </w:r>
          </w:p>
          <w:p w14:paraId="06897E25" w14:textId="6F4F93A8" w:rsidR="004059D4" w:rsidRPr="004059D4" w:rsidRDefault="004059D4" w:rsidP="00ED2E74">
            <w:pPr>
              <w:spacing w:before="60" w:after="60" w:line="240" w:lineRule="auto"/>
              <w:rPr>
                <w:rFonts w:ascii="Calibri" w:eastAsia="Times New Roman" w:hAnsi="Calibri" w:cs="Calibri"/>
                <w:lang w:eastAsia="en-GB"/>
              </w:rPr>
            </w:pPr>
            <w:r>
              <w:rPr>
                <w:rFonts w:ascii="Calibri" w:eastAsia="Times New Roman" w:hAnsi="Calibri" w:cs="Calibri"/>
                <w:lang w:eastAsia="en-GB"/>
              </w:rPr>
              <w:t xml:space="preserve">- </w:t>
            </w:r>
            <w:r w:rsidRPr="004059D4">
              <w:rPr>
                <w:rFonts w:ascii="Calibri" w:eastAsia="Times New Roman" w:hAnsi="Calibri" w:cs="Calibri"/>
                <w:lang w:eastAsia="en-GB"/>
              </w:rPr>
              <w:t xml:space="preserve">Leading role in enabling the use of and access to </w:t>
            </w:r>
            <w:r w:rsidRPr="00892463">
              <w:t>telecommunication/ICT</w:t>
            </w:r>
            <w:r w:rsidRPr="00A8242F">
              <w:t xml:space="preserve"> </w:t>
            </w:r>
            <w:r w:rsidRPr="004059D4">
              <w:rPr>
                <w:rFonts w:ascii="Calibri" w:eastAsia="Times New Roman" w:hAnsi="Calibri" w:cs="Calibri"/>
                <w:lang w:eastAsia="en-GB"/>
              </w:rPr>
              <w:t>resources globally, through regulations and standards of universal applicability</w:t>
            </w:r>
          </w:p>
          <w:p w14:paraId="63B906B7" w14:textId="380F565F" w:rsidR="004059D4" w:rsidRPr="004059D4" w:rsidRDefault="004059D4" w:rsidP="00ED2E74">
            <w:pPr>
              <w:spacing w:before="60" w:after="60" w:line="240" w:lineRule="auto"/>
              <w:rPr>
                <w:rFonts w:ascii="Calibri" w:eastAsia="Times New Roman" w:hAnsi="Calibri" w:cs="Calibri"/>
                <w:lang w:eastAsia="en-GB"/>
              </w:rPr>
            </w:pPr>
            <w:r>
              <w:rPr>
                <w:rFonts w:ascii="Calibri" w:eastAsia="Times New Roman" w:hAnsi="Calibri" w:cs="Calibri"/>
                <w:lang w:eastAsia="en-GB"/>
              </w:rPr>
              <w:t xml:space="preserve">- </w:t>
            </w:r>
            <w:r w:rsidRPr="004059D4">
              <w:rPr>
                <w:rFonts w:ascii="Calibri" w:eastAsia="Times New Roman" w:hAnsi="Calibri" w:cs="Calibri"/>
                <w:lang w:eastAsia="en-GB"/>
              </w:rPr>
              <w:t>Trusted global and neutral platform, with a recognized brand and credibility in the international community to facilitate SDGs and WSIS action lines</w:t>
            </w:r>
          </w:p>
          <w:p w14:paraId="4C4379F0" w14:textId="62DC12E0" w:rsidR="004059D4" w:rsidRPr="004059D4" w:rsidRDefault="004059D4" w:rsidP="00ED2E74">
            <w:pPr>
              <w:spacing w:before="60" w:after="60" w:line="240" w:lineRule="auto"/>
              <w:rPr>
                <w:rFonts w:ascii="Calibri" w:eastAsia="Times New Roman" w:hAnsi="Calibri" w:cs="Calibri"/>
                <w:lang w:eastAsia="en-GB"/>
              </w:rPr>
            </w:pPr>
            <w:r>
              <w:rPr>
                <w:rFonts w:ascii="Calibri" w:eastAsia="Times New Roman" w:hAnsi="Calibri" w:cs="Calibri"/>
                <w:lang w:eastAsia="en-GB"/>
              </w:rPr>
              <w:t xml:space="preserve">- </w:t>
            </w:r>
            <w:r w:rsidRPr="004059D4">
              <w:rPr>
                <w:rFonts w:ascii="Calibri" w:eastAsia="Times New Roman" w:hAnsi="Calibri" w:cs="Calibri"/>
                <w:lang w:eastAsia="en-GB"/>
              </w:rPr>
              <w:t xml:space="preserve">Comprehensive and diverse membership that includes governments and regulators, the private sector and academia, providing a unique platform for multilateral discussions and enabling partnerships with stakeholders across the </w:t>
            </w:r>
            <w:r w:rsidRPr="00892463">
              <w:t>telecommunication/ICT</w:t>
            </w:r>
            <w:r>
              <w:t xml:space="preserve"> s</w:t>
            </w:r>
            <w:r w:rsidRPr="004059D4">
              <w:rPr>
                <w:rFonts w:ascii="Calibri" w:eastAsia="Times New Roman" w:hAnsi="Calibri" w:cs="Calibri"/>
                <w:lang w:eastAsia="en-GB"/>
              </w:rPr>
              <w:t>ector</w:t>
            </w:r>
          </w:p>
          <w:p w14:paraId="53A9D5C3" w14:textId="24D946D5" w:rsidR="004059D4" w:rsidRPr="004059D4" w:rsidRDefault="004059D4" w:rsidP="00ED2E74">
            <w:pPr>
              <w:spacing w:before="60" w:after="60" w:line="240" w:lineRule="auto"/>
              <w:rPr>
                <w:rFonts w:ascii="Calibri" w:eastAsia="Times New Roman" w:hAnsi="Calibri" w:cs="Calibri"/>
                <w:lang w:eastAsia="en-GB"/>
              </w:rPr>
            </w:pPr>
            <w:r>
              <w:rPr>
                <w:rFonts w:ascii="Calibri" w:eastAsia="Times New Roman" w:hAnsi="Calibri" w:cs="Calibri"/>
                <w:lang w:eastAsia="en-GB"/>
              </w:rPr>
              <w:t xml:space="preserve">- </w:t>
            </w:r>
            <w:r w:rsidRPr="004059D4">
              <w:rPr>
                <w:rFonts w:ascii="Calibri" w:eastAsia="Times New Roman" w:hAnsi="Calibri" w:cs="Calibri"/>
                <w:lang w:eastAsia="en-GB"/>
              </w:rPr>
              <w:t xml:space="preserve">A diverse range of sector mandates that facilitate comprehensive and complementary </w:t>
            </w:r>
            <w:r w:rsidR="00E742A6">
              <w:rPr>
                <w:rFonts w:ascii="Calibri" w:eastAsia="Times New Roman" w:hAnsi="Calibri" w:cs="Calibri"/>
                <w:lang w:eastAsia="en-GB"/>
              </w:rPr>
              <w:t>actions</w:t>
            </w:r>
            <w:r w:rsidRPr="004059D4">
              <w:rPr>
                <w:rFonts w:ascii="Calibri" w:eastAsia="Times New Roman" w:hAnsi="Calibri" w:cs="Calibri"/>
                <w:lang w:eastAsia="en-GB"/>
              </w:rPr>
              <w:t xml:space="preserve"> to deliver on ITU</w:t>
            </w:r>
            <w:r w:rsidR="007C398C">
              <w:rPr>
                <w:rFonts w:ascii="Calibri" w:eastAsia="Times New Roman" w:hAnsi="Calibri" w:cs="Calibri"/>
                <w:lang w:eastAsia="en-GB"/>
              </w:rPr>
              <w:t>’</w:t>
            </w:r>
            <w:r w:rsidRPr="004059D4">
              <w:rPr>
                <w:rFonts w:ascii="Calibri" w:eastAsia="Times New Roman" w:hAnsi="Calibri" w:cs="Calibri"/>
                <w:lang w:eastAsia="en-GB"/>
              </w:rPr>
              <w:t>s mission</w:t>
            </w:r>
          </w:p>
          <w:p w14:paraId="357A710F" w14:textId="58296281" w:rsidR="004059D4" w:rsidRPr="004059D4" w:rsidRDefault="004059D4" w:rsidP="00ED2E74">
            <w:pPr>
              <w:spacing w:before="60" w:after="60" w:line="240" w:lineRule="auto"/>
              <w:rPr>
                <w:rFonts w:ascii="Calibri" w:eastAsia="Times New Roman" w:hAnsi="Calibri" w:cs="Calibri"/>
                <w:lang w:eastAsia="en-GB"/>
              </w:rPr>
            </w:pPr>
            <w:r>
              <w:rPr>
                <w:rFonts w:ascii="Calibri" w:eastAsia="Times New Roman" w:hAnsi="Calibri" w:cs="Calibri"/>
                <w:lang w:eastAsia="en-GB"/>
              </w:rPr>
              <w:t xml:space="preserve">- </w:t>
            </w:r>
            <w:r w:rsidRPr="004059D4">
              <w:rPr>
                <w:rFonts w:ascii="Calibri" w:eastAsia="Times New Roman" w:hAnsi="Calibri" w:cs="Calibri"/>
                <w:lang w:eastAsia="en-GB"/>
              </w:rPr>
              <w:t>Strong technical capacities of staff and membership, especially within core competencies</w:t>
            </w:r>
          </w:p>
        </w:tc>
        <w:tc>
          <w:tcPr>
            <w:tcW w:w="4394" w:type="dxa"/>
            <w:tcBorders>
              <w:top w:val="single" w:sz="4" w:space="0" w:color="auto"/>
              <w:left w:val="nil"/>
              <w:right w:val="single" w:sz="4" w:space="0" w:color="auto"/>
            </w:tcBorders>
            <w:shd w:val="clear" w:color="auto" w:fill="auto"/>
          </w:tcPr>
          <w:p w14:paraId="35501069" w14:textId="127077C7" w:rsidR="004059D4" w:rsidRPr="004059D4" w:rsidRDefault="004059D4" w:rsidP="00ED2E74">
            <w:pPr>
              <w:spacing w:before="60" w:after="60" w:line="240" w:lineRule="auto"/>
              <w:rPr>
                <w:rFonts w:ascii="Calibri" w:eastAsia="Times New Roman" w:hAnsi="Calibri" w:cs="Calibri"/>
                <w:lang w:eastAsia="en-GB"/>
              </w:rPr>
            </w:pPr>
            <w:r>
              <w:rPr>
                <w:rFonts w:ascii="Calibri" w:eastAsia="Times New Roman" w:hAnsi="Calibri" w:cs="Calibri"/>
                <w:lang w:eastAsia="en-GB"/>
              </w:rPr>
              <w:t xml:space="preserve">- </w:t>
            </w:r>
            <w:r w:rsidRPr="004059D4">
              <w:rPr>
                <w:rFonts w:ascii="Calibri" w:eastAsia="Times New Roman" w:hAnsi="Calibri" w:cs="Calibri"/>
                <w:lang w:eastAsia="en-GB"/>
              </w:rPr>
              <w:t>Inefficiencies and bureaucracy, leading to reactive and slow processes</w:t>
            </w:r>
          </w:p>
          <w:p w14:paraId="5B925C51" w14:textId="0E0BFE46" w:rsidR="004059D4" w:rsidRPr="004059D4" w:rsidRDefault="004059D4" w:rsidP="00ED2E74">
            <w:pPr>
              <w:spacing w:before="60" w:after="60" w:line="240" w:lineRule="auto"/>
              <w:rPr>
                <w:rFonts w:ascii="Calibri" w:eastAsia="Times New Roman" w:hAnsi="Calibri" w:cs="Calibri"/>
                <w:lang w:eastAsia="en-GB"/>
              </w:rPr>
            </w:pPr>
            <w:r>
              <w:rPr>
                <w:rFonts w:ascii="Calibri" w:eastAsia="Times New Roman" w:hAnsi="Calibri" w:cs="Calibri"/>
                <w:lang w:eastAsia="en-GB"/>
              </w:rPr>
              <w:t xml:space="preserve">- </w:t>
            </w:r>
            <w:r w:rsidRPr="004059D4">
              <w:rPr>
                <w:rFonts w:ascii="Calibri" w:eastAsia="Times New Roman" w:hAnsi="Calibri" w:cs="Calibri"/>
                <w:lang w:eastAsia="en-GB"/>
              </w:rPr>
              <w:t>Complex governing structure, limiting organizational agility and quick decision-making</w:t>
            </w:r>
          </w:p>
          <w:p w14:paraId="18EC76E8" w14:textId="31E53B50" w:rsidR="004059D4" w:rsidRPr="004059D4" w:rsidRDefault="004059D4" w:rsidP="00ED2E74">
            <w:pPr>
              <w:spacing w:before="60" w:after="60" w:line="240" w:lineRule="auto"/>
              <w:rPr>
                <w:rFonts w:ascii="Calibri" w:eastAsia="Times New Roman" w:hAnsi="Calibri" w:cs="Calibri"/>
                <w:lang w:eastAsia="en-GB"/>
              </w:rPr>
            </w:pPr>
            <w:r>
              <w:rPr>
                <w:rFonts w:ascii="Calibri" w:eastAsia="Times New Roman" w:hAnsi="Calibri" w:cs="Calibri"/>
                <w:lang w:eastAsia="en-GB"/>
              </w:rPr>
              <w:t xml:space="preserve">- </w:t>
            </w:r>
            <w:r w:rsidRPr="004059D4">
              <w:rPr>
                <w:rFonts w:ascii="Calibri" w:eastAsia="Times New Roman" w:hAnsi="Calibri" w:cs="Calibri"/>
                <w:lang w:eastAsia="en-GB"/>
              </w:rPr>
              <w:t>Siloed approach with limited cross-functional collaboration that impedes potential synergies and operational efficiencies</w:t>
            </w:r>
          </w:p>
          <w:p w14:paraId="429A4FD6" w14:textId="32C198C0" w:rsidR="004059D4" w:rsidRPr="004059D4" w:rsidRDefault="004059D4" w:rsidP="00ED2E74">
            <w:pPr>
              <w:spacing w:before="60" w:after="60" w:line="240" w:lineRule="auto"/>
              <w:rPr>
                <w:rFonts w:ascii="Calibri" w:eastAsia="Times New Roman" w:hAnsi="Calibri" w:cs="Calibri"/>
                <w:lang w:eastAsia="en-GB"/>
              </w:rPr>
            </w:pPr>
            <w:r>
              <w:rPr>
                <w:rFonts w:ascii="Calibri" w:eastAsia="Times New Roman" w:hAnsi="Calibri" w:cs="Calibri"/>
                <w:lang w:eastAsia="en-GB"/>
              </w:rPr>
              <w:t xml:space="preserve">- </w:t>
            </w:r>
            <w:r w:rsidRPr="004059D4">
              <w:rPr>
                <w:rFonts w:ascii="Calibri" w:eastAsia="Times New Roman" w:hAnsi="Calibri" w:cs="Calibri"/>
                <w:lang w:eastAsia="en-GB"/>
              </w:rPr>
              <w:t>Risk-averse organizational culture and processes, constraining innovation, and bottom-up entrepreneurship</w:t>
            </w:r>
          </w:p>
          <w:p w14:paraId="50556ED5" w14:textId="2352B2CE" w:rsidR="004059D4" w:rsidRPr="009273B7" w:rsidRDefault="004059D4" w:rsidP="00B742EF">
            <w:pPr>
              <w:spacing w:before="60" w:after="60" w:line="240" w:lineRule="auto"/>
              <w:rPr>
                <w:rFonts w:ascii="Calibri" w:eastAsia="Times New Roman" w:hAnsi="Calibri" w:cs="Calibri"/>
                <w:lang w:eastAsia="en-GB"/>
              </w:rPr>
            </w:pPr>
            <w:r>
              <w:rPr>
                <w:rFonts w:ascii="Calibri" w:eastAsia="Times New Roman" w:hAnsi="Calibri" w:cs="Calibri"/>
                <w:lang w:eastAsia="en-GB"/>
              </w:rPr>
              <w:t xml:space="preserve">- </w:t>
            </w:r>
            <w:r w:rsidRPr="004059D4">
              <w:rPr>
                <w:rFonts w:ascii="Calibri" w:eastAsia="Times New Roman" w:hAnsi="Calibri" w:cs="Calibri"/>
                <w:lang w:eastAsia="en-GB"/>
              </w:rPr>
              <w:t>Limited resource mobilization capacity, constraining the organization</w:t>
            </w:r>
            <w:r w:rsidR="00D36577">
              <w:rPr>
                <w:rFonts w:ascii="Calibri" w:eastAsia="Times New Roman" w:hAnsi="Calibri" w:cs="Calibri"/>
                <w:lang w:eastAsia="en-GB"/>
              </w:rPr>
              <w:t>’</w:t>
            </w:r>
            <w:r w:rsidRPr="004059D4">
              <w:rPr>
                <w:rFonts w:ascii="Calibri" w:eastAsia="Times New Roman" w:hAnsi="Calibri" w:cs="Calibri"/>
                <w:lang w:eastAsia="en-GB"/>
              </w:rPr>
              <w:t>s ability to enhance support for its members</w:t>
            </w:r>
          </w:p>
        </w:tc>
      </w:tr>
    </w:tbl>
    <w:p w14:paraId="68EAD4B9" w14:textId="77777777" w:rsidR="004C5404" w:rsidRPr="004059D4" w:rsidRDefault="004C5404" w:rsidP="004C5404"/>
    <w:tbl>
      <w:tblPr>
        <w:tblStyle w:val="TableGrid"/>
        <w:tblW w:w="0" w:type="auto"/>
        <w:tblCellMar>
          <w:top w:w="85" w:type="dxa"/>
          <w:left w:w="85" w:type="dxa"/>
          <w:bottom w:w="85" w:type="dxa"/>
          <w:right w:w="85" w:type="dxa"/>
        </w:tblCellMar>
        <w:tblLook w:val="04A0" w:firstRow="1" w:lastRow="0" w:firstColumn="1" w:lastColumn="0" w:noHBand="0" w:noVBand="1"/>
      </w:tblPr>
      <w:tblGrid>
        <w:gridCol w:w="5382"/>
        <w:gridCol w:w="4355"/>
      </w:tblGrid>
      <w:tr w:rsidR="00E00D08" w:rsidRPr="00993E12" w14:paraId="46CCFDC8" w14:textId="77777777" w:rsidTr="00B742EF">
        <w:tc>
          <w:tcPr>
            <w:tcW w:w="5382" w:type="dxa"/>
            <w:shd w:val="clear" w:color="auto" w:fill="DBDBDB" w:themeFill="accent3" w:themeFillTint="66"/>
          </w:tcPr>
          <w:p w14:paraId="7ACD17C5" w14:textId="77777777" w:rsidR="00E00D08" w:rsidRPr="001548DA" w:rsidRDefault="00E00D08" w:rsidP="00B742EF">
            <w:pPr>
              <w:spacing w:before="60" w:after="60"/>
              <w:jc w:val="center"/>
              <w:rPr>
                <w:b/>
                <w:bCs/>
                <w:lang w:val="en-US"/>
              </w:rPr>
            </w:pPr>
            <w:r>
              <w:rPr>
                <w:b/>
                <w:bCs/>
                <w:lang w:val="en-US"/>
              </w:rPr>
              <w:t xml:space="preserve">Opportunities </w:t>
            </w:r>
          </w:p>
        </w:tc>
        <w:tc>
          <w:tcPr>
            <w:tcW w:w="4355" w:type="dxa"/>
            <w:tcBorders>
              <w:bottom w:val="single" w:sz="4" w:space="0" w:color="auto"/>
            </w:tcBorders>
            <w:shd w:val="clear" w:color="auto" w:fill="DBDBDB" w:themeFill="accent3" w:themeFillTint="66"/>
          </w:tcPr>
          <w:p w14:paraId="2915DD06" w14:textId="77777777" w:rsidR="00E00D08" w:rsidRPr="00993E12" w:rsidRDefault="00E00D08" w:rsidP="00B742EF">
            <w:pPr>
              <w:spacing w:before="60" w:after="60"/>
              <w:jc w:val="center"/>
              <w:rPr>
                <w:b/>
                <w:bCs/>
                <w:lang w:val="en-US"/>
              </w:rPr>
            </w:pPr>
            <w:r>
              <w:rPr>
                <w:b/>
                <w:bCs/>
                <w:lang w:val="en-US"/>
              </w:rPr>
              <w:t>Threats</w:t>
            </w:r>
          </w:p>
        </w:tc>
      </w:tr>
      <w:tr w:rsidR="00E00D08" w:rsidRPr="00306057" w14:paraId="24BAF4DB" w14:textId="77777777" w:rsidTr="00B742EF">
        <w:trPr>
          <w:tblHeader/>
        </w:trPr>
        <w:tc>
          <w:tcPr>
            <w:tcW w:w="5382" w:type="dxa"/>
            <w:hideMark/>
          </w:tcPr>
          <w:p w14:paraId="4130A9E3" w14:textId="7ED25EBD" w:rsidR="00E00D08" w:rsidRPr="00E00D08" w:rsidRDefault="00E00D08" w:rsidP="00B742EF">
            <w:pPr>
              <w:spacing w:before="60" w:after="60" w:line="240" w:lineRule="auto"/>
              <w:rPr>
                <w:rFonts w:ascii="Calibri" w:eastAsia="Times New Roman" w:hAnsi="Calibri" w:cs="Calibri"/>
                <w:lang w:eastAsia="en-GB"/>
              </w:rPr>
            </w:pPr>
            <w:r>
              <w:rPr>
                <w:rFonts w:ascii="Calibri" w:eastAsia="Times New Roman" w:hAnsi="Calibri" w:cs="Calibri"/>
                <w:lang w:eastAsia="en-GB"/>
              </w:rPr>
              <w:t xml:space="preserve">- </w:t>
            </w:r>
            <w:r w:rsidRPr="00E00D08">
              <w:rPr>
                <w:rFonts w:ascii="Calibri" w:eastAsia="Times New Roman" w:hAnsi="Calibri" w:cs="Calibri"/>
                <w:lang w:eastAsia="en-GB"/>
              </w:rPr>
              <w:t>Increased contributions of</w:t>
            </w:r>
            <w:r w:rsidRPr="00A8242F">
              <w:t xml:space="preserve"> telecommunication</w:t>
            </w:r>
            <w:r w:rsidR="00D36577">
              <w:t>s</w:t>
            </w:r>
            <w:r>
              <w:t xml:space="preserve"> and </w:t>
            </w:r>
            <w:r w:rsidRPr="00A8242F">
              <w:t>ICT</w:t>
            </w:r>
            <w:r w:rsidR="00D36577">
              <w:t>s</w:t>
            </w:r>
            <w:r>
              <w:t xml:space="preserve"> </w:t>
            </w:r>
            <w:r w:rsidRPr="00E00D08">
              <w:rPr>
                <w:rFonts w:ascii="Calibri" w:eastAsia="Times New Roman" w:hAnsi="Calibri" w:cs="Calibri"/>
                <w:lang w:eastAsia="en-GB"/>
              </w:rPr>
              <w:t>to sustainable development, enhancing ITU</w:t>
            </w:r>
            <w:r w:rsidR="00D36577">
              <w:rPr>
                <w:rFonts w:ascii="Calibri" w:eastAsia="Times New Roman" w:hAnsi="Calibri" w:cs="Calibri"/>
                <w:lang w:eastAsia="en-GB"/>
              </w:rPr>
              <w:t>’</w:t>
            </w:r>
            <w:r w:rsidRPr="00E00D08">
              <w:rPr>
                <w:rFonts w:ascii="Calibri" w:eastAsia="Times New Roman" w:hAnsi="Calibri" w:cs="Calibri"/>
                <w:lang w:eastAsia="en-GB"/>
              </w:rPr>
              <w:t>s role in achieving the SDGs</w:t>
            </w:r>
          </w:p>
          <w:p w14:paraId="02F24734" w14:textId="6794D725" w:rsidR="00E00D08" w:rsidRPr="00E00D08" w:rsidRDefault="00E00D08" w:rsidP="00B742EF">
            <w:pPr>
              <w:spacing w:before="60" w:after="60" w:line="240" w:lineRule="auto"/>
              <w:rPr>
                <w:rFonts w:ascii="Calibri" w:eastAsia="Times New Roman" w:hAnsi="Calibri" w:cs="Calibri"/>
                <w:lang w:eastAsia="en-GB"/>
              </w:rPr>
            </w:pPr>
            <w:r>
              <w:rPr>
                <w:rFonts w:ascii="Calibri" w:eastAsia="Times New Roman" w:hAnsi="Calibri" w:cs="Calibri"/>
                <w:lang w:eastAsia="en-GB"/>
              </w:rPr>
              <w:t xml:space="preserve">- </w:t>
            </w:r>
            <w:r w:rsidRPr="00E00D08">
              <w:rPr>
                <w:rFonts w:ascii="Calibri" w:eastAsia="Times New Roman" w:hAnsi="Calibri" w:cs="Calibri"/>
                <w:lang w:eastAsia="en-GB"/>
              </w:rPr>
              <w:t>Acceleration of digitalization and digital transformation driven by the impacts of COVID-19, reinforcing the importance of ITU’s programmes and platform</w:t>
            </w:r>
          </w:p>
          <w:p w14:paraId="23A25249" w14:textId="0E246F2B" w:rsidR="00E00D08" w:rsidRPr="00E00D08" w:rsidRDefault="00E00D08" w:rsidP="00B742EF">
            <w:pPr>
              <w:spacing w:before="60" w:after="60" w:line="240" w:lineRule="auto"/>
              <w:rPr>
                <w:rFonts w:ascii="Calibri" w:eastAsia="Times New Roman" w:hAnsi="Calibri" w:cs="Calibri"/>
                <w:lang w:eastAsia="en-GB"/>
              </w:rPr>
            </w:pPr>
            <w:r>
              <w:rPr>
                <w:rFonts w:ascii="Calibri" w:eastAsia="Times New Roman" w:hAnsi="Calibri" w:cs="Calibri"/>
                <w:lang w:eastAsia="en-GB"/>
              </w:rPr>
              <w:t xml:space="preserve">- </w:t>
            </w:r>
            <w:r w:rsidRPr="00E00D08">
              <w:rPr>
                <w:rFonts w:ascii="Calibri" w:eastAsia="Times New Roman" w:hAnsi="Calibri" w:cs="Calibri"/>
                <w:lang w:eastAsia="en-GB"/>
              </w:rPr>
              <w:t xml:space="preserve">Deepened engagement with new technologies and stakeholder groups, such as youth, </w:t>
            </w:r>
            <w:proofErr w:type="gramStart"/>
            <w:r w:rsidRPr="00E00D08">
              <w:rPr>
                <w:rFonts w:ascii="Calibri" w:eastAsia="Times New Roman" w:hAnsi="Calibri" w:cs="Calibri"/>
                <w:lang w:eastAsia="en-GB"/>
              </w:rPr>
              <w:t>women</w:t>
            </w:r>
            <w:proofErr w:type="gramEnd"/>
            <w:r w:rsidRPr="00E00D08">
              <w:rPr>
                <w:rFonts w:ascii="Calibri" w:eastAsia="Times New Roman" w:hAnsi="Calibri" w:cs="Calibri"/>
                <w:lang w:eastAsia="en-GB"/>
              </w:rPr>
              <w:t xml:space="preserve"> and marginalized communities to garner diverse perspectives on the challenges and opportunities of digitalization</w:t>
            </w:r>
          </w:p>
          <w:p w14:paraId="253B7D6F" w14:textId="56D380A7" w:rsidR="00E00D08" w:rsidRPr="00E00D08" w:rsidRDefault="00E00D08" w:rsidP="00B742EF">
            <w:pPr>
              <w:spacing w:before="60" w:after="60" w:line="240" w:lineRule="auto"/>
              <w:rPr>
                <w:rFonts w:ascii="Calibri" w:eastAsia="Times New Roman" w:hAnsi="Calibri" w:cs="Calibri"/>
                <w:lang w:eastAsia="en-GB"/>
              </w:rPr>
            </w:pPr>
            <w:r>
              <w:rPr>
                <w:rFonts w:ascii="Calibri" w:eastAsia="Times New Roman" w:hAnsi="Calibri" w:cs="Calibri"/>
                <w:lang w:eastAsia="en-GB"/>
              </w:rPr>
              <w:t xml:space="preserve">- </w:t>
            </w:r>
            <w:r w:rsidRPr="00E00D08">
              <w:rPr>
                <w:rFonts w:ascii="Calibri" w:eastAsia="Times New Roman" w:hAnsi="Calibri" w:cs="Calibri"/>
                <w:lang w:eastAsia="en-GB"/>
              </w:rPr>
              <w:t xml:space="preserve">Growth of membership and partnership opportunities, with the rapid development of new companies and organizations in the </w:t>
            </w:r>
            <w:r w:rsidRPr="00892463">
              <w:t>telecommunication/ICT</w:t>
            </w:r>
            <w:r w:rsidRPr="00E00D08">
              <w:rPr>
                <w:rFonts w:ascii="Calibri" w:eastAsia="Times New Roman" w:hAnsi="Calibri" w:cs="Calibri"/>
                <w:lang w:eastAsia="en-GB"/>
              </w:rPr>
              <w:t xml:space="preserve"> landscape due to digital transformation</w:t>
            </w:r>
          </w:p>
          <w:p w14:paraId="7647DDAB" w14:textId="7A418774" w:rsidR="00E00D08" w:rsidRPr="00E00D08" w:rsidRDefault="002B06C4" w:rsidP="00B742EF">
            <w:pPr>
              <w:spacing w:before="60" w:after="60" w:line="240" w:lineRule="auto"/>
              <w:rPr>
                <w:rFonts w:ascii="Calibri" w:eastAsia="Times New Roman" w:hAnsi="Calibri" w:cs="Calibri"/>
                <w:lang w:eastAsia="en-GB"/>
              </w:rPr>
            </w:pPr>
            <w:r>
              <w:rPr>
                <w:rFonts w:ascii="Calibri" w:eastAsia="Times New Roman" w:hAnsi="Calibri" w:cs="Calibri"/>
                <w:lang w:eastAsia="en-GB"/>
              </w:rPr>
              <w:t xml:space="preserve">- </w:t>
            </w:r>
            <w:r w:rsidR="00E00D08" w:rsidRPr="00E00D08">
              <w:rPr>
                <w:rFonts w:ascii="Calibri" w:eastAsia="Times New Roman" w:hAnsi="Calibri" w:cs="Calibri"/>
                <w:lang w:eastAsia="en-GB"/>
              </w:rPr>
              <w:t>Expansion of system-wide UN digital programming, empowering ITU to leverage its unique expertise and position itself as the leading telecommunication</w:t>
            </w:r>
            <w:r w:rsidR="001F1D3F">
              <w:rPr>
                <w:rFonts w:ascii="Calibri" w:eastAsia="Times New Roman" w:hAnsi="Calibri" w:cs="Calibri"/>
                <w:lang w:eastAsia="en-GB"/>
              </w:rPr>
              <w:t>s</w:t>
            </w:r>
            <w:r w:rsidR="00E00D08" w:rsidRPr="00E00D08">
              <w:rPr>
                <w:rFonts w:ascii="Calibri" w:eastAsia="Times New Roman" w:hAnsi="Calibri" w:cs="Calibri"/>
                <w:lang w:eastAsia="en-GB"/>
              </w:rPr>
              <w:t>/ICTs enabler of other UN agencies</w:t>
            </w:r>
            <w:r w:rsidR="001F1D3F">
              <w:rPr>
                <w:rFonts w:ascii="Calibri" w:eastAsia="Times New Roman" w:hAnsi="Calibri" w:cs="Calibri"/>
                <w:lang w:eastAsia="en-GB"/>
              </w:rPr>
              <w:t>’</w:t>
            </w:r>
            <w:r w:rsidR="00E00D08" w:rsidRPr="00E00D08">
              <w:rPr>
                <w:rFonts w:ascii="Calibri" w:eastAsia="Times New Roman" w:hAnsi="Calibri" w:cs="Calibri"/>
                <w:lang w:eastAsia="en-GB"/>
              </w:rPr>
              <w:t xml:space="preserve"> activities</w:t>
            </w:r>
          </w:p>
          <w:p w14:paraId="3E0FDADD" w14:textId="29AD09A8" w:rsidR="00E00D08" w:rsidRPr="002B06C4" w:rsidRDefault="002B06C4" w:rsidP="00B742EF">
            <w:pPr>
              <w:spacing w:before="60" w:after="60" w:line="240" w:lineRule="auto"/>
              <w:rPr>
                <w:rFonts w:ascii="Calibri" w:eastAsia="Times New Roman" w:hAnsi="Calibri" w:cs="Calibri"/>
                <w:lang w:eastAsia="en-GB"/>
              </w:rPr>
            </w:pPr>
            <w:r>
              <w:rPr>
                <w:rFonts w:ascii="Calibri" w:eastAsia="Times New Roman" w:hAnsi="Calibri" w:cs="Calibri"/>
                <w:lang w:eastAsia="en-GB"/>
              </w:rPr>
              <w:t xml:space="preserve">- </w:t>
            </w:r>
            <w:r w:rsidR="00E00D08" w:rsidRPr="002B06C4">
              <w:rPr>
                <w:rFonts w:ascii="Calibri" w:eastAsia="Times New Roman" w:hAnsi="Calibri" w:cs="Calibri"/>
                <w:lang w:eastAsia="en-GB"/>
              </w:rPr>
              <w:t>A more targeted use of the ITU’s regional presence could improve programming and results delivery</w:t>
            </w:r>
          </w:p>
        </w:tc>
        <w:tc>
          <w:tcPr>
            <w:tcW w:w="4355" w:type="dxa"/>
            <w:tcBorders>
              <w:top w:val="single" w:sz="4" w:space="0" w:color="auto"/>
              <w:left w:val="nil"/>
              <w:right w:val="single" w:sz="4" w:space="0" w:color="auto"/>
            </w:tcBorders>
            <w:shd w:val="clear" w:color="auto" w:fill="auto"/>
          </w:tcPr>
          <w:p w14:paraId="014C1FF0" w14:textId="3EF6774F" w:rsidR="00E00D08" w:rsidRPr="002B06C4" w:rsidRDefault="002B06C4" w:rsidP="00B742EF">
            <w:pPr>
              <w:spacing w:before="60" w:after="60" w:line="240" w:lineRule="auto"/>
              <w:rPr>
                <w:rFonts w:ascii="Calibri" w:eastAsia="Times New Roman" w:hAnsi="Calibri" w:cs="Calibri"/>
                <w:lang w:eastAsia="en-GB"/>
              </w:rPr>
            </w:pPr>
            <w:r>
              <w:rPr>
                <w:rFonts w:ascii="Calibri" w:eastAsia="Times New Roman" w:hAnsi="Calibri" w:cs="Calibri"/>
                <w:lang w:eastAsia="en-GB"/>
              </w:rPr>
              <w:t xml:space="preserve">- </w:t>
            </w:r>
            <w:r w:rsidR="00E00D08" w:rsidRPr="002B06C4">
              <w:rPr>
                <w:rFonts w:ascii="Calibri" w:eastAsia="Times New Roman" w:hAnsi="Calibri" w:cs="Calibri"/>
                <w:lang w:eastAsia="en-GB"/>
              </w:rPr>
              <w:t xml:space="preserve">The </w:t>
            </w:r>
            <w:r w:rsidR="00E00D08" w:rsidRPr="00892463">
              <w:t>telecommunication/ICT</w:t>
            </w:r>
            <w:r w:rsidR="00E00D08" w:rsidRPr="00A8242F">
              <w:t xml:space="preserve"> </w:t>
            </w:r>
            <w:r w:rsidR="00E00D08" w:rsidRPr="002B06C4">
              <w:rPr>
                <w:rFonts w:ascii="Calibri" w:eastAsia="Times New Roman" w:hAnsi="Calibri" w:cs="Calibri"/>
                <w:lang w:eastAsia="en-GB"/>
              </w:rPr>
              <w:t>landscape and development needs may evolve too quickly for ITU to effectively adapt its programming and capacities, and uphold its value proposition</w:t>
            </w:r>
          </w:p>
          <w:p w14:paraId="6071F0E2" w14:textId="202ADE0D" w:rsidR="00E00D08" w:rsidRPr="002B06C4" w:rsidRDefault="002B06C4" w:rsidP="00B742EF">
            <w:pPr>
              <w:spacing w:before="60" w:after="60" w:line="240" w:lineRule="auto"/>
              <w:rPr>
                <w:rFonts w:ascii="Calibri" w:eastAsia="Times New Roman" w:hAnsi="Calibri" w:cs="Calibri"/>
                <w:lang w:eastAsia="en-GB"/>
              </w:rPr>
            </w:pPr>
            <w:r>
              <w:rPr>
                <w:rFonts w:ascii="Calibri" w:eastAsia="Times New Roman" w:hAnsi="Calibri" w:cs="Calibri"/>
                <w:lang w:eastAsia="en-GB"/>
              </w:rPr>
              <w:t xml:space="preserve">- </w:t>
            </w:r>
            <w:r w:rsidR="00E00D08" w:rsidRPr="002B06C4">
              <w:rPr>
                <w:rFonts w:ascii="Calibri" w:eastAsia="Times New Roman" w:hAnsi="Calibri" w:cs="Calibri"/>
                <w:lang w:eastAsia="en-GB"/>
              </w:rPr>
              <w:t xml:space="preserve">The COVID-19 induced global economic slow-down and threats to strong, </w:t>
            </w:r>
            <w:proofErr w:type="gramStart"/>
            <w:r w:rsidR="00E00D08" w:rsidRPr="002B06C4">
              <w:rPr>
                <w:rFonts w:ascii="Calibri" w:eastAsia="Times New Roman" w:hAnsi="Calibri" w:cs="Calibri"/>
                <w:lang w:eastAsia="en-GB"/>
              </w:rPr>
              <w:t>balanced</w:t>
            </w:r>
            <w:proofErr w:type="gramEnd"/>
            <w:r w:rsidR="00E00D08" w:rsidRPr="002B06C4">
              <w:rPr>
                <w:rFonts w:ascii="Calibri" w:eastAsia="Times New Roman" w:hAnsi="Calibri" w:cs="Calibri"/>
                <w:lang w:eastAsia="en-GB"/>
              </w:rPr>
              <w:t xml:space="preserve"> and sustained growth may limit ITU's resources and ability to deliver its strategic goals</w:t>
            </w:r>
          </w:p>
          <w:p w14:paraId="0E32FEE0" w14:textId="2B5A13BF" w:rsidR="00E00D08" w:rsidRPr="002B06C4" w:rsidRDefault="002B06C4" w:rsidP="00B742EF">
            <w:pPr>
              <w:spacing w:before="60" w:after="60" w:line="240" w:lineRule="auto"/>
              <w:rPr>
                <w:rFonts w:ascii="Calibri" w:eastAsia="Times New Roman" w:hAnsi="Calibri" w:cs="Calibri"/>
                <w:lang w:eastAsia="en-GB"/>
              </w:rPr>
            </w:pPr>
            <w:r>
              <w:rPr>
                <w:rFonts w:ascii="Calibri" w:eastAsia="Times New Roman" w:hAnsi="Calibri" w:cs="Calibri"/>
                <w:lang w:eastAsia="en-GB"/>
              </w:rPr>
              <w:t xml:space="preserve">- </w:t>
            </w:r>
            <w:r w:rsidR="00E00D08" w:rsidRPr="002B06C4">
              <w:rPr>
                <w:rFonts w:ascii="Calibri" w:eastAsia="Times New Roman" w:hAnsi="Calibri" w:cs="Calibri"/>
                <w:lang w:eastAsia="en-GB"/>
              </w:rPr>
              <w:t>In the rapidly changing landscape, Member states, industry leaders, other UN agencies and international organizations may capture a greater share of new opportunities in regulation within the mandate, standard-</w:t>
            </w:r>
            <w:proofErr w:type="gramStart"/>
            <w:r w:rsidR="00E00D08" w:rsidRPr="002B06C4">
              <w:rPr>
                <w:rFonts w:ascii="Calibri" w:eastAsia="Times New Roman" w:hAnsi="Calibri" w:cs="Calibri"/>
                <w:lang w:eastAsia="en-GB"/>
              </w:rPr>
              <w:t>setting</w:t>
            </w:r>
            <w:proofErr w:type="gramEnd"/>
            <w:r w:rsidR="00E00D08" w:rsidRPr="002B06C4">
              <w:rPr>
                <w:rFonts w:ascii="Calibri" w:eastAsia="Times New Roman" w:hAnsi="Calibri" w:cs="Calibri"/>
                <w:lang w:eastAsia="en-GB"/>
              </w:rPr>
              <w:t xml:space="preserve"> and funding, which may render some of ITU</w:t>
            </w:r>
            <w:r w:rsidR="001F1D3F">
              <w:rPr>
                <w:rFonts w:ascii="Calibri" w:eastAsia="Times New Roman" w:hAnsi="Calibri" w:cs="Calibri"/>
                <w:lang w:eastAsia="en-GB"/>
              </w:rPr>
              <w:t>’</w:t>
            </w:r>
            <w:r w:rsidR="00E00D08" w:rsidRPr="002B06C4">
              <w:rPr>
                <w:rFonts w:ascii="Calibri" w:eastAsia="Times New Roman" w:hAnsi="Calibri" w:cs="Calibri"/>
                <w:lang w:eastAsia="en-GB"/>
              </w:rPr>
              <w:t>s activities less relevant</w:t>
            </w:r>
          </w:p>
          <w:p w14:paraId="55687E1D" w14:textId="2834335D" w:rsidR="00E00D08" w:rsidRPr="002B06C4" w:rsidRDefault="002B06C4" w:rsidP="00B742EF">
            <w:pPr>
              <w:spacing w:before="60" w:after="60" w:line="240" w:lineRule="auto"/>
              <w:rPr>
                <w:rFonts w:ascii="Calibri" w:eastAsia="Times New Roman" w:hAnsi="Calibri" w:cs="Calibri"/>
                <w:lang w:eastAsia="en-GB"/>
              </w:rPr>
            </w:pPr>
            <w:r>
              <w:rPr>
                <w:rFonts w:ascii="Calibri" w:eastAsia="Times New Roman" w:hAnsi="Calibri" w:cs="Calibri"/>
                <w:lang w:eastAsia="en-GB"/>
              </w:rPr>
              <w:t xml:space="preserve">- </w:t>
            </w:r>
            <w:r w:rsidR="00E00D08" w:rsidRPr="002B06C4">
              <w:rPr>
                <w:rFonts w:ascii="Calibri" w:eastAsia="Times New Roman" w:hAnsi="Calibri" w:cs="Calibri"/>
                <w:lang w:eastAsia="en-GB"/>
              </w:rPr>
              <w:t>Divergent guidance around the specific scope of ITU’s work leading to</w:t>
            </w:r>
            <w:r w:rsidR="00E00D08">
              <w:t xml:space="preserve"> </w:t>
            </w:r>
            <w:r w:rsidR="00E00D08" w:rsidRPr="002B06C4">
              <w:rPr>
                <w:rFonts w:ascii="Calibri" w:eastAsia="Times New Roman" w:hAnsi="Calibri" w:cs="Calibri"/>
                <w:lang w:eastAsia="en-GB"/>
              </w:rPr>
              <w:t>stretching resources too thin, which risks diluting ITU</w:t>
            </w:r>
            <w:r w:rsidR="00190B20">
              <w:rPr>
                <w:rFonts w:ascii="Calibri" w:eastAsia="Times New Roman" w:hAnsi="Calibri" w:cs="Calibri"/>
                <w:lang w:eastAsia="en-GB"/>
              </w:rPr>
              <w:t>’</w:t>
            </w:r>
            <w:r w:rsidR="00E00D08" w:rsidRPr="002B06C4">
              <w:rPr>
                <w:rFonts w:ascii="Calibri" w:eastAsia="Times New Roman" w:hAnsi="Calibri" w:cs="Calibri"/>
                <w:lang w:eastAsia="en-GB"/>
              </w:rPr>
              <w:t>s impact</w:t>
            </w:r>
          </w:p>
        </w:tc>
      </w:tr>
    </w:tbl>
    <w:p w14:paraId="4B150BB4" w14:textId="61D1F325" w:rsidR="004C5404" w:rsidRPr="000C3315" w:rsidRDefault="00D75BF6" w:rsidP="00D75BF6">
      <w:pPr>
        <w:tabs>
          <w:tab w:val="left" w:pos="794"/>
          <w:tab w:val="left" w:pos="1191"/>
          <w:tab w:val="left" w:pos="1588"/>
          <w:tab w:val="left" w:pos="1985"/>
        </w:tabs>
        <w:overflowPunct w:val="0"/>
        <w:autoSpaceDE w:val="0"/>
        <w:autoSpaceDN w:val="0"/>
        <w:adjustRightInd w:val="0"/>
        <w:spacing w:before="840" w:after="0" w:line="240" w:lineRule="auto"/>
        <w:jc w:val="center"/>
        <w:textAlignment w:val="baseline"/>
        <w:rPr>
          <w:lang w:val="en-US"/>
        </w:rPr>
      </w:pPr>
      <w:bookmarkStart w:id="7" w:name="_Hlk90021807"/>
      <w:r w:rsidRPr="009E4EE2">
        <w:rPr>
          <w:rFonts w:ascii="Times New Roman" w:eastAsia="Times New Roman" w:hAnsi="Times New Roman" w:cs="Times New Roman"/>
          <w:sz w:val="26"/>
          <w:szCs w:val="26"/>
          <w:lang w:val="ru-RU"/>
        </w:rPr>
        <w:t>______________</w:t>
      </w:r>
      <w:bookmarkEnd w:id="7"/>
    </w:p>
    <w:sectPr w:rsidR="004C5404" w:rsidRPr="000C3315" w:rsidSect="00857FF1">
      <w:headerReference w:type="default" r:id="rId14"/>
      <w:footerReference w:type="first" r:id="rId15"/>
      <w:pgSz w:w="11901" w:h="16840" w:code="9"/>
      <w:pgMar w:top="1418" w:right="1077" w:bottom="851" w:left="1077" w:header="720" w:footer="720" w:gutter="0"/>
      <w:paperSrc w:first="15" w:other="15"/>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B64C81" w14:textId="77777777" w:rsidR="001B3888" w:rsidRDefault="001B3888">
      <w:r>
        <w:separator/>
      </w:r>
    </w:p>
  </w:endnote>
  <w:endnote w:type="continuationSeparator" w:id="0">
    <w:p w14:paraId="79E266FF" w14:textId="77777777" w:rsidR="001B3888" w:rsidRDefault="001B3888">
      <w:r>
        <w:continuationSeparator/>
      </w:r>
    </w:p>
  </w:endnote>
  <w:endnote w:type="continuationNotice" w:id="1">
    <w:p w14:paraId="0982765B" w14:textId="77777777" w:rsidR="001B3888" w:rsidRDefault="001B38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1E5AC" w14:textId="5571EF0F" w:rsidR="0036762C" w:rsidRDefault="0036762C" w:rsidP="00D47CF9">
    <w:pPr>
      <w:spacing w:before="120"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239B53" w14:textId="77777777" w:rsidR="001B3888" w:rsidRDefault="001B3888">
      <w:r>
        <w:separator/>
      </w:r>
    </w:p>
  </w:footnote>
  <w:footnote w:type="continuationSeparator" w:id="0">
    <w:p w14:paraId="136B9EAB" w14:textId="77777777" w:rsidR="001B3888" w:rsidRDefault="001B3888">
      <w:r>
        <w:continuationSeparator/>
      </w:r>
    </w:p>
  </w:footnote>
  <w:footnote w:type="continuationNotice" w:id="1">
    <w:p w14:paraId="3F5A0F3D" w14:textId="77777777" w:rsidR="001B3888" w:rsidRDefault="001B3888"/>
  </w:footnote>
  <w:footnote w:id="2">
    <w:p w14:paraId="365AC0F3" w14:textId="77777777" w:rsidR="00420D58" w:rsidRPr="002916BD" w:rsidRDefault="00420D58" w:rsidP="002916BD">
      <w:pPr>
        <w:pStyle w:val="FootnoteText"/>
        <w:spacing w:after="0" w:line="240" w:lineRule="auto"/>
        <w:ind w:left="255" w:hanging="255"/>
        <w:rPr>
          <w:sz w:val="18"/>
          <w:szCs w:val="18"/>
          <w:lang w:val="en-US"/>
        </w:rPr>
      </w:pPr>
      <w:r w:rsidRPr="002916BD">
        <w:rPr>
          <w:rStyle w:val="FootnoteReference"/>
          <w:sz w:val="18"/>
          <w:szCs w:val="18"/>
        </w:rPr>
        <w:footnoteRef/>
      </w:r>
      <w:r w:rsidRPr="002916BD">
        <w:rPr>
          <w:sz w:val="18"/>
          <w:szCs w:val="18"/>
        </w:rPr>
        <w:t xml:space="preserve"> </w:t>
      </w:r>
      <w:hyperlink r:id="rId1" w:history="1">
        <w:r w:rsidRPr="002916BD">
          <w:rPr>
            <w:rStyle w:val="Hyperlink"/>
            <w:sz w:val="18"/>
            <w:szCs w:val="18"/>
          </w:rPr>
          <w:t>United Nations</w:t>
        </w:r>
      </w:hyperlink>
      <w:r w:rsidRPr="002916BD">
        <w:rPr>
          <w:sz w:val="18"/>
          <w:szCs w:val="18"/>
        </w:rPr>
        <w:t>, June 2020 (</w:t>
      </w:r>
      <w:hyperlink r:id="rId2" w:history="1">
        <w:r w:rsidRPr="002916BD">
          <w:rPr>
            <w:rStyle w:val="Hyperlink"/>
            <w:sz w:val="18"/>
            <w:szCs w:val="18"/>
          </w:rPr>
          <w:t>https://undocs.org/A/74/821</w:t>
        </w:r>
      </w:hyperlink>
      <w:r w:rsidRPr="002916BD">
        <w:rPr>
          <w:sz w:val="18"/>
          <w:szCs w:val="18"/>
        </w:rPr>
        <w:t>)</w:t>
      </w:r>
    </w:p>
  </w:footnote>
  <w:footnote w:id="3">
    <w:p w14:paraId="52A8EC83" w14:textId="77777777" w:rsidR="00420D58" w:rsidRPr="002916BD" w:rsidRDefault="00420D58" w:rsidP="002916BD">
      <w:pPr>
        <w:pStyle w:val="FootnoteText"/>
        <w:spacing w:after="0" w:line="240" w:lineRule="auto"/>
        <w:ind w:left="255" w:hanging="255"/>
        <w:rPr>
          <w:sz w:val="18"/>
          <w:szCs w:val="18"/>
        </w:rPr>
      </w:pPr>
      <w:r w:rsidRPr="002916BD">
        <w:rPr>
          <w:rStyle w:val="FootnoteReference"/>
          <w:sz w:val="18"/>
          <w:szCs w:val="18"/>
        </w:rPr>
        <w:footnoteRef/>
      </w:r>
      <w:r w:rsidRPr="002916BD">
        <w:rPr>
          <w:sz w:val="18"/>
          <w:szCs w:val="18"/>
        </w:rPr>
        <w:t xml:space="preserve"> </w:t>
      </w:r>
      <w:hyperlink r:id="rId3" w:history="1">
        <w:r w:rsidRPr="002916BD">
          <w:rPr>
            <w:rStyle w:val="Hyperlink"/>
            <w:sz w:val="18"/>
            <w:szCs w:val="18"/>
          </w:rPr>
          <w:t>A/RES/75/1 - E - A/RES/75/1 -Desktop (undocs.org)</w:t>
        </w:r>
      </w:hyperlink>
      <w:r w:rsidRPr="002916BD">
        <w:rPr>
          <w:sz w:val="18"/>
          <w:szCs w:val="18"/>
        </w:rPr>
        <w:t xml:space="preserve"> </w:t>
      </w:r>
    </w:p>
  </w:footnote>
  <w:footnote w:id="4">
    <w:p w14:paraId="35864D4F" w14:textId="77777777" w:rsidR="00420D58" w:rsidRPr="002916BD" w:rsidRDefault="00420D58" w:rsidP="002916BD">
      <w:pPr>
        <w:pStyle w:val="FootnoteText"/>
        <w:spacing w:after="0" w:line="240" w:lineRule="auto"/>
        <w:ind w:left="255" w:hanging="255"/>
        <w:rPr>
          <w:sz w:val="18"/>
          <w:szCs w:val="18"/>
          <w:lang w:val="en-US"/>
        </w:rPr>
      </w:pPr>
      <w:r w:rsidRPr="002916BD">
        <w:rPr>
          <w:rStyle w:val="FootnoteReference"/>
          <w:sz w:val="18"/>
          <w:szCs w:val="18"/>
        </w:rPr>
        <w:footnoteRef/>
      </w:r>
      <w:r w:rsidRPr="002916BD">
        <w:rPr>
          <w:sz w:val="18"/>
          <w:szCs w:val="18"/>
        </w:rPr>
        <w:t xml:space="preserve"> </w:t>
      </w:r>
      <w:hyperlink r:id="rId4" w:history="1">
        <w:r w:rsidRPr="002916BD">
          <w:rPr>
            <w:rStyle w:val="Hyperlink"/>
            <w:sz w:val="18"/>
            <w:szCs w:val="18"/>
          </w:rPr>
          <w:t>United Nations</w:t>
        </w:r>
      </w:hyperlink>
      <w:r w:rsidRPr="002916BD">
        <w:rPr>
          <w:sz w:val="18"/>
          <w:szCs w:val="18"/>
        </w:rPr>
        <w:t>, September 2021</w:t>
      </w:r>
    </w:p>
  </w:footnote>
  <w:footnote w:id="5">
    <w:p w14:paraId="7C50A2DE" w14:textId="77777777" w:rsidR="00420D58" w:rsidRPr="00125C1F" w:rsidRDefault="00420D58" w:rsidP="00125C1F">
      <w:pPr>
        <w:pStyle w:val="FootnoteText"/>
        <w:spacing w:after="0" w:line="240" w:lineRule="auto"/>
        <w:ind w:left="255" w:hanging="255"/>
        <w:rPr>
          <w:sz w:val="18"/>
          <w:szCs w:val="18"/>
          <w:lang w:val="en-US"/>
        </w:rPr>
      </w:pPr>
      <w:r w:rsidRPr="00125C1F">
        <w:rPr>
          <w:rStyle w:val="FootnoteReference"/>
          <w:sz w:val="18"/>
          <w:szCs w:val="18"/>
        </w:rPr>
        <w:footnoteRef/>
      </w:r>
      <w:r w:rsidRPr="00125C1F">
        <w:rPr>
          <w:sz w:val="18"/>
          <w:szCs w:val="18"/>
        </w:rPr>
        <w:t xml:space="preserve"> </w:t>
      </w:r>
      <w:hyperlink r:id="rId5" w:history="1">
        <w:r w:rsidRPr="00125C1F">
          <w:rPr>
            <w:rStyle w:val="Hyperlink"/>
            <w:sz w:val="18"/>
            <w:szCs w:val="18"/>
          </w:rPr>
          <w:t>UNSG</w:t>
        </w:r>
      </w:hyperlink>
      <w:r w:rsidRPr="00125C1F">
        <w:rPr>
          <w:sz w:val="18"/>
          <w:szCs w:val="18"/>
        </w:rPr>
        <w:t>, June 2019</w:t>
      </w:r>
    </w:p>
  </w:footnote>
  <w:footnote w:id="6">
    <w:p w14:paraId="3C851051" w14:textId="77777777" w:rsidR="00420D58" w:rsidRPr="00125C1F" w:rsidRDefault="00420D58" w:rsidP="00125C1F">
      <w:pPr>
        <w:pStyle w:val="FootnoteText"/>
        <w:spacing w:after="0" w:line="240" w:lineRule="auto"/>
        <w:ind w:left="255" w:hanging="255"/>
        <w:rPr>
          <w:sz w:val="18"/>
          <w:szCs w:val="18"/>
          <w:lang w:val="en-US"/>
        </w:rPr>
      </w:pPr>
      <w:r w:rsidRPr="00125C1F">
        <w:rPr>
          <w:rStyle w:val="FootnoteReference"/>
          <w:sz w:val="18"/>
          <w:szCs w:val="18"/>
        </w:rPr>
        <w:footnoteRef/>
      </w:r>
      <w:r w:rsidRPr="00125C1F">
        <w:rPr>
          <w:sz w:val="18"/>
          <w:szCs w:val="18"/>
        </w:rPr>
        <w:t xml:space="preserve"> </w:t>
      </w:r>
      <w:hyperlink r:id="rId6" w:history="1">
        <w:r w:rsidRPr="00125C1F">
          <w:rPr>
            <w:rStyle w:val="Hyperlink"/>
            <w:sz w:val="18"/>
            <w:szCs w:val="18"/>
          </w:rPr>
          <w:t>UN</w:t>
        </w:r>
      </w:hyperlink>
      <w:r w:rsidRPr="00125C1F">
        <w:rPr>
          <w:sz w:val="18"/>
          <w:szCs w:val="18"/>
        </w:rPr>
        <w:t>, February 1</w:t>
      </w:r>
      <w:proofErr w:type="gramStart"/>
      <w:r w:rsidRPr="00125C1F">
        <w:rPr>
          <w:sz w:val="18"/>
          <w:szCs w:val="18"/>
        </w:rPr>
        <w:t xml:space="preserve"> 2017</w:t>
      </w:r>
      <w:proofErr w:type="gramEnd"/>
    </w:p>
  </w:footnote>
  <w:footnote w:id="7">
    <w:p w14:paraId="57CFBC08" w14:textId="77777777" w:rsidR="00420D58" w:rsidRPr="00125C1F" w:rsidRDefault="00420D58" w:rsidP="00125C1F">
      <w:pPr>
        <w:pStyle w:val="FootnoteText"/>
        <w:spacing w:after="0" w:line="240" w:lineRule="auto"/>
        <w:ind w:left="255" w:hanging="255"/>
        <w:rPr>
          <w:sz w:val="18"/>
          <w:szCs w:val="18"/>
          <w:lang w:val="en-US"/>
        </w:rPr>
      </w:pPr>
      <w:r w:rsidRPr="00125C1F">
        <w:rPr>
          <w:rStyle w:val="FootnoteReference"/>
          <w:sz w:val="18"/>
          <w:szCs w:val="18"/>
        </w:rPr>
        <w:footnoteRef/>
      </w:r>
      <w:r w:rsidRPr="00125C1F">
        <w:rPr>
          <w:sz w:val="18"/>
          <w:szCs w:val="18"/>
        </w:rPr>
        <w:t xml:space="preserve"> </w:t>
      </w:r>
      <w:hyperlink r:id="rId7" w:history="1">
        <w:r w:rsidRPr="00125C1F">
          <w:rPr>
            <w:rStyle w:val="Hyperlink"/>
            <w:sz w:val="18"/>
            <w:szCs w:val="18"/>
            <w:lang w:val="en-US"/>
          </w:rPr>
          <w:t>I</w:t>
        </w:r>
        <w:r w:rsidRPr="00125C1F">
          <w:rPr>
            <w:rStyle w:val="Hyperlink"/>
            <w:sz w:val="18"/>
            <w:szCs w:val="18"/>
          </w:rPr>
          <w:t>TU Publication</w:t>
        </w:r>
      </w:hyperlink>
      <w:r w:rsidRPr="00125C1F">
        <w:rPr>
          <w:sz w:val="18"/>
          <w:szCs w:val="18"/>
        </w:rPr>
        <w:t>, June 2021</w:t>
      </w:r>
    </w:p>
  </w:footnote>
  <w:footnote w:id="8">
    <w:p w14:paraId="576D591E" w14:textId="77777777" w:rsidR="00420D58" w:rsidRPr="00125C1F" w:rsidRDefault="00420D58" w:rsidP="00125C1F">
      <w:pPr>
        <w:pStyle w:val="FootnoteText"/>
        <w:spacing w:after="0" w:line="240" w:lineRule="auto"/>
        <w:ind w:left="255" w:hanging="255"/>
        <w:rPr>
          <w:sz w:val="18"/>
          <w:szCs w:val="18"/>
          <w:lang w:val="en-US"/>
        </w:rPr>
      </w:pPr>
      <w:r w:rsidRPr="00125C1F">
        <w:rPr>
          <w:rStyle w:val="FootnoteReference"/>
          <w:sz w:val="18"/>
          <w:szCs w:val="18"/>
        </w:rPr>
        <w:footnoteRef/>
      </w:r>
      <w:r w:rsidRPr="00125C1F">
        <w:rPr>
          <w:sz w:val="18"/>
          <w:szCs w:val="18"/>
        </w:rPr>
        <w:t xml:space="preserve"> </w:t>
      </w:r>
      <w:hyperlink r:id="rId8" w:history="1">
        <w:r w:rsidRPr="00125C1F">
          <w:rPr>
            <w:rStyle w:val="Hyperlink"/>
            <w:sz w:val="18"/>
            <w:szCs w:val="18"/>
          </w:rPr>
          <w:t>Ericsson</w:t>
        </w:r>
      </w:hyperlink>
      <w:r w:rsidRPr="00125C1F">
        <w:rPr>
          <w:sz w:val="18"/>
          <w:szCs w:val="18"/>
        </w:rPr>
        <w:t>, April 2020</w:t>
      </w:r>
    </w:p>
  </w:footnote>
  <w:footnote w:id="9">
    <w:p w14:paraId="1900C86A" w14:textId="77777777" w:rsidR="00420D58" w:rsidRPr="00125C1F" w:rsidRDefault="00420D58" w:rsidP="00125C1F">
      <w:pPr>
        <w:pStyle w:val="FootnoteText"/>
        <w:spacing w:after="0" w:line="240" w:lineRule="auto"/>
        <w:ind w:left="255" w:hanging="255"/>
        <w:rPr>
          <w:sz w:val="18"/>
          <w:szCs w:val="18"/>
          <w:lang w:val="en-US"/>
        </w:rPr>
      </w:pPr>
      <w:r w:rsidRPr="00125C1F">
        <w:rPr>
          <w:rStyle w:val="FootnoteReference"/>
          <w:sz w:val="18"/>
          <w:szCs w:val="18"/>
        </w:rPr>
        <w:footnoteRef/>
      </w:r>
      <w:r w:rsidRPr="00125C1F">
        <w:rPr>
          <w:sz w:val="18"/>
          <w:szCs w:val="18"/>
        </w:rPr>
        <w:t xml:space="preserve"> </w:t>
      </w:r>
      <w:hyperlink r:id="rId9" w:history="1">
        <w:r w:rsidRPr="00125C1F">
          <w:rPr>
            <w:rStyle w:val="Hyperlink"/>
            <w:sz w:val="18"/>
            <w:szCs w:val="18"/>
            <w:lang w:val="en-US"/>
          </w:rPr>
          <w:t>GSMA Intelligence</w:t>
        </w:r>
      </w:hyperlink>
      <w:r w:rsidRPr="00125C1F">
        <w:rPr>
          <w:sz w:val="18"/>
          <w:szCs w:val="18"/>
          <w:lang w:val="en-US"/>
        </w:rPr>
        <w:t>, December 2020</w:t>
      </w:r>
    </w:p>
  </w:footnote>
  <w:footnote w:id="10">
    <w:p w14:paraId="4E154F4B" w14:textId="77777777" w:rsidR="00420D58" w:rsidRPr="00125C1F" w:rsidRDefault="00420D58" w:rsidP="00125C1F">
      <w:pPr>
        <w:pStyle w:val="FootnoteText"/>
        <w:spacing w:after="0" w:line="240" w:lineRule="auto"/>
        <w:rPr>
          <w:sz w:val="18"/>
          <w:szCs w:val="18"/>
          <w:lang w:val="en-US"/>
        </w:rPr>
      </w:pPr>
      <w:r w:rsidRPr="00125C1F">
        <w:rPr>
          <w:rStyle w:val="FootnoteReference"/>
          <w:sz w:val="18"/>
          <w:szCs w:val="18"/>
        </w:rPr>
        <w:footnoteRef/>
      </w:r>
      <w:r w:rsidRPr="00125C1F">
        <w:rPr>
          <w:sz w:val="18"/>
          <w:szCs w:val="18"/>
        </w:rPr>
        <w:t xml:space="preserve"> </w:t>
      </w:r>
      <w:hyperlink r:id="rId10" w:history="1">
        <w:r w:rsidRPr="00125C1F">
          <w:rPr>
            <w:rStyle w:val="Hyperlink"/>
            <w:sz w:val="18"/>
            <w:szCs w:val="18"/>
            <w:lang w:val="en-US"/>
          </w:rPr>
          <w:t>Deloitte</w:t>
        </w:r>
      </w:hyperlink>
      <w:r w:rsidRPr="00125C1F">
        <w:rPr>
          <w:sz w:val="18"/>
          <w:szCs w:val="18"/>
          <w:lang w:val="en-US"/>
        </w:rPr>
        <w:t>, December 2020</w:t>
      </w:r>
    </w:p>
  </w:footnote>
  <w:footnote w:id="11">
    <w:p w14:paraId="228FC059" w14:textId="77777777" w:rsidR="00420D58" w:rsidRPr="00125C1F" w:rsidRDefault="00420D58" w:rsidP="00125C1F">
      <w:pPr>
        <w:pStyle w:val="FootnoteText"/>
        <w:spacing w:after="0" w:line="240" w:lineRule="auto"/>
        <w:rPr>
          <w:sz w:val="18"/>
          <w:szCs w:val="18"/>
          <w:lang w:val="en-US"/>
        </w:rPr>
      </w:pPr>
      <w:r w:rsidRPr="00125C1F">
        <w:rPr>
          <w:rStyle w:val="FootnoteReference"/>
          <w:sz w:val="18"/>
          <w:szCs w:val="18"/>
        </w:rPr>
        <w:footnoteRef/>
      </w:r>
      <w:r w:rsidRPr="00125C1F">
        <w:rPr>
          <w:sz w:val="18"/>
          <w:szCs w:val="18"/>
        </w:rPr>
        <w:t xml:space="preserve"> </w:t>
      </w:r>
      <w:hyperlink r:id="rId11" w:history="1">
        <w:r w:rsidRPr="00125C1F">
          <w:rPr>
            <w:rStyle w:val="Hyperlink"/>
            <w:sz w:val="18"/>
            <w:szCs w:val="18"/>
            <w:lang w:val="en-US"/>
          </w:rPr>
          <w:t>McKinsey</w:t>
        </w:r>
      </w:hyperlink>
      <w:r w:rsidRPr="00125C1F">
        <w:rPr>
          <w:sz w:val="18"/>
          <w:szCs w:val="18"/>
          <w:lang w:val="en-US"/>
        </w:rPr>
        <w:t>, June 2021</w:t>
      </w:r>
    </w:p>
  </w:footnote>
  <w:footnote w:id="12">
    <w:p w14:paraId="7FD2D079" w14:textId="77777777" w:rsidR="00420D58" w:rsidRPr="00125C1F" w:rsidRDefault="00420D58" w:rsidP="00125C1F">
      <w:pPr>
        <w:spacing w:after="0" w:line="240" w:lineRule="auto"/>
        <w:rPr>
          <w:b/>
          <w:sz w:val="18"/>
          <w:szCs w:val="18"/>
          <w:lang w:val="fr-FR"/>
        </w:rPr>
      </w:pPr>
      <w:r w:rsidRPr="00125C1F">
        <w:rPr>
          <w:rStyle w:val="FootnoteReference"/>
          <w:sz w:val="18"/>
          <w:szCs w:val="18"/>
        </w:rPr>
        <w:footnoteRef/>
      </w:r>
      <w:r w:rsidR="0027063D">
        <w:fldChar w:fldCharType="begin"/>
      </w:r>
      <w:r w:rsidR="0027063D" w:rsidRPr="0027063D">
        <w:rPr>
          <w:lang w:val="fr-FR"/>
        </w:rPr>
        <w:instrText xml:space="preserve"> HYPERLINK "https://www.itu.int/pub/D-PREF-EF.COV_ECO_IMPACT_B-2021" </w:instrText>
      </w:r>
      <w:r w:rsidR="0027063D">
        <w:fldChar w:fldCharType="separate"/>
      </w:r>
      <w:r w:rsidRPr="00125C1F">
        <w:rPr>
          <w:rStyle w:val="Hyperlink"/>
          <w:sz w:val="18"/>
          <w:szCs w:val="18"/>
          <w:lang w:val="fr-FR"/>
        </w:rPr>
        <w:t>ITU Publication</w:t>
      </w:r>
      <w:r w:rsidR="0027063D">
        <w:rPr>
          <w:rStyle w:val="Hyperlink"/>
          <w:sz w:val="18"/>
          <w:szCs w:val="18"/>
          <w:lang w:val="fr-FR"/>
        </w:rPr>
        <w:fldChar w:fldCharType="end"/>
      </w:r>
      <w:r w:rsidRPr="00125C1F">
        <w:rPr>
          <w:sz w:val="18"/>
          <w:szCs w:val="18"/>
          <w:lang w:val="fr-FR"/>
        </w:rPr>
        <w:t>, June 2021</w:t>
      </w:r>
    </w:p>
  </w:footnote>
  <w:footnote w:id="13">
    <w:p w14:paraId="5594B05C" w14:textId="77777777" w:rsidR="00420D58" w:rsidRPr="00125C1F" w:rsidRDefault="00420D58" w:rsidP="00125C1F">
      <w:pPr>
        <w:pStyle w:val="FootnoteText"/>
        <w:spacing w:after="0" w:line="240" w:lineRule="auto"/>
        <w:rPr>
          <w:sz w:val="18"/>
          <w:szCs w:val="18"/>
          <w:lang w:val="fr-FR"/>
        </w:rPr>
      </w:pPr>
      <w:r w:rsidRPr="00125C1F">
        <w:rPr>
          <w:rStyle w:val="FootnoteReference"/>
          <w:sz w:val="18"/>
          <w:szCs w:val="18"/>
        </w:rPr>
        <w:footnoteRef/>
      </w:r>
      <w:r w:rsidRPr="00125C1F">
        <w:rPr>
          <w:sz w:val="18"/>
          <w:szCs w:val="18"/>
          <w:lang w:val="fr-FR"/>
        </w:rPr>
        <w:t xml:space="preserve"> </w:t>
      </w:r>
      <w:r w:rsidR="0027063D">
        <w:fldChar w:fldCharType="begin"/>
      </w:r>
      <w:r w:rsidR="0027063D" w:rsidRPr="0027063D">
        <w:rPr>
          <w:lang w:val="fr-FR"/>
        </w:rPr>
        <w:instrText xml:space="preserve"> HYPERLINK "https://data.gsmaintelligence.com/api-web/v2/research-file-download?id=58621970&amp;file=141220-Global-Mobile-Trends.pdf" </w:instrText>
      </w:r>
      <w:r w:rsidR="0027063D">
        <w:fldChar w:fldCharType="separate"/>
      </w:r>
      <w:r w:rsidRPr="00125C1F">
        <w:rPr>
          <w:rStyle w:val="Hyperlink"/>
          <w:sz w:val="18"/>
          <w:szCs w:val="18"/>
          <w:lang w:val="fr-FR"/>
        </w:rPr>
        <w:t>GSMA Intelligence</w:t>
      </w:r>
      <w:r w:rsidR="0027063D">
        <w:rPr>
          <w:rStyle w:val="Hyperlink"/>
          <w:sz w:val="18"/>
          <w:szCs w:val="18"/>
          <w:lang w:val="fr-FR"/>
        </w:rPr>
        <w:fldChar w:fldCharType="end"/>
      </w:r>
      <w:r w:rsidRPr="00125C1F">
        <w:rPr>
          <w:sz w:val="18"/>
          <w:szCs w:val="18"/>
          <w:lang w:val="fr-FR"/>
        </w:rPr>
        <w:t xml:space="preserve">, </w:t>
      </w:r>
      <w:proofErr w:type="spellStart"/>
      <w:r w:rsidRPr="00125C1F">
        <w:rPr>
          <w:sz w:val="18"/>
          <w:szCs w:val="18"/>
          <w:lang w:val="fr-FR"/>
        </w:rPr>
        <w:t>December</w:t>
      </w:r>
      <w:proofErr w:type="spellEnd"/>
      <w:r w:rsidRPr="00125C1F">
        <w:rPr>
          <w:sz w:val="18"/>
          <w:szCs w:val="18"/>
          <w:lang w:val="fr-FR"/>
        </w:rPr>
        <w:t xml:space="preserve"> 2020</w:t>
      </w:r>
    </w:p>
  </w:footnote>
  <w:footnote w:id="14">
    <w:p w14:paraId="443EA3BF" w14:textId="77777777" w:rsidR="00420D58" w:rsidRPr="006C5822" w:rsidRDefault="00420D58" w:rsidP="00125C1F">
      <w:pPr>
        <w:pStyle w:val="FootnoteText"/>
        <w:spacing w:after="0" w:line="240" w:lineRule="auto"/>
        <w:rPr>
          <w:sz w:val="18"/>
          <w:szCs w:val="18"/>
        </w:rPr>
      </w:pPr>
      <w:r w:rsidRPr="00125C1F">
        <w:rPr>
          <w:rStyle w:val="FootnoteReference"/>
          <w:sz w:val="18"/>
          <w:szCs w:val="18"/>
        </w:rPr>
        <w:footnoteRef/>
      </w:r>
      <w:hyperlink r:id="rId12" w:history="1">
        <w:r w:rsidRPr="006C5822">
          <w:rPr>
            <w:rStyle w:val="Hyperlink"/>
            <w:sz w:val="18"/>
            <w:szCs w:val="18"/>
          </w:rPr>
          <w:t xml:space="preserve"> BCG</w:t>
        </w:r>
      </w:hyperlink>
      <w:r w:rsidRPr="006C5822">
        <w:rPr>
          <w:sz w:val="18"/>
          <w:szCs w:val="18"/>
        </w:rPr>
        <w:t>, June 2021</w:t>
      </w:r>
    </w:p>
  </w:footnote>
  <w:footnote w:id="15">
    <w:p w14:paraId="321CA690" w14:textId="77777777" w:rsidR="00420D58" w:rsidRPr="006C5822" w:rsidRDefault="00420D58" w:rsidP="00125C1F">
      <w:pPr>
        <w:pStyle w:val="FootnoteText"/>
        <w:spacing w:after="0" w:line="240" w:lineRule="auto"/>
        <w:ind w:left="255" w:hanging="255"/>
        <w:rPr>
          <w:sz w:val="18"/>
          <w:szCs w:val="18"/>
        </w:rPr>
      </w:pPr>
      <w:r w:rsidRPr="00125C1F">
        <w:rPr>
          <w:rStyle w:val="FootnoteReference"/>
          <w:sz w:val="18"/>
          <w:szCs w:val="18"/>
        </w:rPr>
        <w:footnoteRef/>
      </w:r>
      <w:r w:rsidRPr="006C5822">
        <w:rPr>
          <w:sz w:val="18"/>
          <w:szCs w:val="18"/>
        </w:rPr>
        <w:t xml:space="preserve"> </w:t>
      </w:r>
      <w:hyperlink r:id="rId13" w:history="1">
        <w:r w:rsidRPr="006C5822">
          <w:rPr>
            <w:rStyle w:val="Hyperlink"/>
            <w:sz w:val="18"/>
            <w:szCs w:val="18"/>
          </w:rPr>
          <w:t>ITU Publication</w:t>
        </w:r>
      </w:hyperlink>
      <w:r w:rsidRPr="006C5822">
        <w:rPr>
          <w:sz w:val="18"/>
          <w:szCs w:val="18"/>
        </w:rPr>
        <w:t>, June 2021</w:t>
      </w:r>
    </w:p>
  </w:footnote>
  <w:footnote w:id="16">
    <w:p w14:paraId="102EA36E" w14:textId="77777777" w:rsidR="00420D58" w:rsidRPr="00125C1F" w:rsidRDefault="00420D58" w:rsidP="00125C1F">
      <w:pPr>
        <w:pStyle w:val="FootnoteText"/>
        <w:spacing w:after="0" w:line="240" w:lineRule="auto"/>
        <w:ind w:left="255" w:hanging="255"/>
        <w:rPr>
          <w:sz w:val="18"/>
          <w:szCs w:val="18"/>
          <w:lang w:val="en-US"/>
        </w:rPr>
      </w:pPr>
      <w:r w:rsidRPr="00125C1F">
        <w:rPr>
          <w:rStyle w:val="FootnoteReference"/>
          <w:sz w:val="18"/>
          <w:szCs w:val="18"/>
        </w:rPr>
        <w:footnoteRef/>
      </w:r>
      <w:r w:rsidRPr="00125C1F">
        <w:rPr>
          <w:sz w:val="18"/>
          <w:szCs w:val="18"/>
        </w:rPr>
        <w:t xml:space="preserve"> </w:t>
      </w:r>
      <w:hyperlink r:id="rId14" w:history="1">
        <w:r w:rsidRPr="00125C1F">
          <w:rPr>
            <w:rStyle w:val="Hyperlink"/>
            <w:sz w:val="18"/>
            <w:szCs w:val="18"/>
          </w:rPr>
          <w:t>ITU Publication</w:t>
        </w:r>
      </w:hyperlink>
      <w:r w:rsidRPr="00125C1F">
        <w:rPr>
          <w:sz w:val="18"/>
          <w:szCs w:val="18"/>
        </w:rPr>
        <w:t>, 2021 edition of Measuring Digital Development: Facts and figures, November 2021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82971" w14:textId="14004DE7" w:rsidR="004B6FBE" w:rsidRDefault="0036762C" w:rsidP="00857FF1">
    <w:pPr>
      <w:pStyle w:val="Header"/>
      <w:spacing w:after="120"/>
      <w:rPr>
        <w:noProof/>
      </w:rPr>
    </w:pPr>
    <w:r>
      <w:fldChar w:fldCharType="begin"/>
    </w:r>
    <w:r>
      <w:instrText xml:space="preserve"> PAGE   \* MERGEFORMAT </w:instrText>
    </w:r>
    <w:r>
      <w:fldChar w:fldCharType="separate"/>
    </w:r>
    <w:r w:rsidR="003B0E70">
      <w:rPr>
        <w:noProof/>
      </w:rPr>
      <w:t>2</w:t>
    </w:r>
    <w:r>
      <w:rPr>
        <w:noProof/>
      </w:rPr>
      <w:fldChar w:fldCharType="end"/>
    </w:r>
    <w:r w:rsidR="00857FF1">
      <w:rPr>
        <w:noProof/>
      </w:rPr>
      <w:br/>
    </w:r>
    <w:r w:rsidR="00857FF1" w:rsidRPr="006C5822">
      <w:rPr>
        <w:noProof/>
      </w:rPr>
      <w:t>CWG-</w:t>
    </w:r>
    <w:r w:rsidR="002219C9" w:rsidRPr="006C5822">
      <w:rPr>
        <w:noProof/>
      </w:rPr>
      <w:t>SFP-2</w:t>
    </w:r>
    <w:r w:rsidR="00857FF1" w:rsidRPr="006C5822">
      <w:rPr>
        <w:noProof/>
      </w:rPr>
      <w:t>/</w:t>
    </w:r>
    <w:r w:rsidR="006C5822" w:rsidRPr="006C5822">
      <w:rPr>
        <w:noProof/>
      </w:rPr>
      <w:t>3</w:t>
    </w:r>
    <w:r w:rsidR="00857FF1" w:rsidRPr="006C5822">
      <w:rPr>
        <w:noProof/>
      </w:rPr>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3AA40BF"/>
    <w:multiLevelType w:val="hybridMultilevel"/>
    <w:tmpl w:val="56766C70"/>
    <w:lvl w:ilvl="0" w:tplc="08090001">
      <w:start w:val="1"/>
      <w:numFmt w:val="bullet"/>
      <w:lvlText w:val=""/>
      <w:lvlJc w:val="left"/>
      <w:pPr>
        <w:ind w:left="1068" w:hanging="360"/>
      </w:pPr>
      <w:rPr>
        <w:rFonts w:ascii="Symbol" w:hAnsi="Symbol"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2" w15:restartNumberingAfterBreak="0">
    <w:nsid w:val="09610029"/>
    <w:multiLevelType w:val="hybridMultilevel"/>
    <w:tmpl w:val="FFFFFFFF"/>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238852BD"/>
    <w:multiLevelType w:val="multilevel"/>
    <w:tmpl w:val="B15487F6"/>
    <w:lvl w:ilvl="0">
      <w:start w:val="1"/>
      <w:numFmt w:val="decimal"/>
      <w:lvlText w:val="%1"/>
      <w:lvlJc w:val="left"/>
      <w:pPr>
        <w:ind w:left="360" w:hanging="360"/>
      </w:pPr>
      <w:rPr>
        <w:rFonts w:hint="default"/>
      </w:rPr>
    </w:lvl>
    <w:lvl w:ilvl="1">
      <w:start w:val="2"/>
      <w:numFmt w:val="decimal"/>
      <w:isLgl/>
      <w:lvlText w:val="%1.%2"/>
      <w:lvlJc w:val="left"/>
      <w:pPr>
        <w:ind w:left="540" w:hanging="540"/>
      </w:pPr>
      <w:rPr>
        <w:rFonts w:hint="default"/>
      </w:rPr>
    </w:lvl>
    <w:lvl w:ilvl="2">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 w15:restartNumberingAfterBreak="0">
    <w:nsid w:val="27A80EBC"/>
    <w:multiLevelType w:val="multilevel"/>
    <w:tmpl w:val="89DE8740"/>
    <w:lvl w:ilvl="0">
      <w:start w:val="2"/>
      <w:numFmt w:val="decimal"/>
      <w:lvlText w:val="%1"/>
      <w:lvlJc w:val="left"/>
      <w:pPr>
        <w:ind w:left="360" w:hanging="360"/>
      </w:pPr>
      <w:rPr>
        <w:rFonts w:hint="default"/>
      </w:rPr>
    </w:lvl>
    <w:lvl w:ilvl="1">
      <w:start w:val="1"/>
      <w:numFmt w:val="decimal"/>
      <w:pStyle w:val="Sections"/>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B952AFD"/>
    <w:multiLevelType w:val="hybridMultilevel"/>
    <w:tmpl w:val="FFFFFFFF"/>
    <w:lvl w:ilvl="0" w:tplc="CCDCBBAC">
      <w:start w:val="1"/>
      <w:numFmt w:val="decimal"/>
      <w:lvlText w:val="%1."/>
      <w:lvlJc w:val="left"/>
      <w:pPr>
        <w:ind w:left="720" w:hanging="360"/>
      </w:pPr>
    </w:lvl>
    <w:lvl w:ilvl="1" w:tplc="637C1770">
      <w:start w:val="1"/>
      <w:numFmt w:val="lowerLetter"/>
      <w:lvlText w:val="%2."/>
      <w:lvlJc w:val="left"/>
      <w:pPr>
        <w:ind w:left="1440" w:hanging="360"/>
      </w:pPr>
    </w:lvl>
    <w:lvl w:ilvl="2" w:tplc="90F44AFC">
      <w:start w:val="1"/>
      <w:numFmt w:val="lowerRoman"/>
      <w:lvlText w:val="%3."/>
      <w:lvlJc w:val="right"/>
      <w:pPr>
        <w:ind w:left="2160" w:hanging="180"/>
      </w:pPr>
    </w:lvl>
    <w:lvl w:ilvl="3" w:tplc="19C4BC50">
      <w:start w:val="1"/>
      <w:numFmt w:val="decimal"/>
      <w:lvlText w:val="%4."/>
      <w:lvlJc w:val="left"/>
      <w:pPr>
        <w:ind w:left="2880" w:hanging="360"/>
      </w:pPr>
    </w:lvl>
    <w:lvl w:ilvl="4" w:tplc="DAC0AB26">
      <w:start w:val="1"/>
      <w:numFmt w:val="lowerLetter"/>
      <w:lvlText w:val="%5."/>
      <w:lvlJc w:val="left"/>
      <w:pPr>
        <w:ind w:left="3600" w:hanging="360"/>
      </w:pPr>
    </w:lvl>
    <w:lvl w:ilvl="5" w:tplc="59765FCC">
      <w:start w:val="1"/>
      <w:numFmt w:val="lowerRoman"/>
      <w:lvlText w:val="%6."/>
      <w:lvlJc w:val="right"/>
      <w:pPr>
        <w:ind w:left="4320" w:hanging="180"/>
      </w:pPr>
    </w:lvl>
    <w:lvl w:ilvl="6" w:tplc="91BC663E">
      <w:start w:val="1"/>
      <w:numFmt w:val="decimal"/>
      <w:lvlText w:val="%7."/>
      <w:lvlJc w:val="left"/>
      <w:pPr>
        <w:ind w:left="5040" w:hanging="360"/>
      </w:pPr>
    </w:lvl>
    <w:lvl w:ilvl="7" w:tplc="BC9C58DE">
      <w:start w:val="1"/>
      <w:numFmt w:val="lowerLetter"/>
      <w:lvlText w:val="%8."/>
      <w:lvlJc w:val="left"/>
      <w:pPr>
        <w:ind w:left="5760" w:hanging="360"/>
      </w:pPr>
    </w:lvl>
    <w:lvl w:ilvl="8" w:tplc="BF4A2C54">
      <w:start w:val="1"/>
      <w:numFmt w:val="lowerRoman"/>
      <w:lvlText w:val="%9."/>
      <w:lvlJc w:val="right"/>
      <w:pPr>
        <w:ind w:left="6480" w:hanging="180"/>
      </w:pPr>
    </w:lvl>
  </w:abstractNum>
  <w:abstractNum w:abstractNumId="6" w15:restartNumberingAfterBreak="0">
    <w:nsid w:val="2FD94F2F"/>
    <w:multiLevelType w:val="hybridMultilevel"/>
    <w:tmpl w:val="0A6AEDE2"/>
    <w:lvl w:ilvl="0" w:tplc="21CE48F6">
      <w:start w:val="1"/>
      <w:numFmt w:val="decimal"/>
      <w:pStyle w:val="Numberedpara"/>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A324FD7"/>
    <w:multiLevelType w:val="hybridMultilevel"/>
    <w:tmpl w:val="29E2400C"/>
    <w:lvl w:ilvl="0" w:tplc="73366FAA">
      <w:start w:val="1"/>
      <w:numFmt w:val="lowerLetter"/>
      <w:lvlText w:val="%1)"/>
      <w:lvlJc w:val="left"/>
      <w:pPr>
        <w:ind w:left="794" w:hanging="434"/>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9494323"/>
    <w:multiLevelType w:val="hybridMultilevel"/>
    <w:tmpl w:val="98D00B94"/>
    <w:lvl w:ilvl="0" w:tplc="476081AE">
      <w:start w:val="1"/>
      <w:numFmt w:val="bullet"/>
      <w:lvlText w:val="o"/>
      <w:lvlJc w:val="left"/>
      <w:pPr>
        <w:ind w:left="851" w:hanging="494"/>
      </w:pPr>
      <w:rPr>
        <w:rFonts w:ascii="Courier New" w:hAnsi="Courier New" w:hint="default"/>
      </w:rPr>
    </w:lvl>
    <w:lvl w:ilvl="1" w:tplc="04090003">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9" w15:restartNumberingAfterBreak="0">
    <w:nsid w:val="57C310E9"/>
    <w:multiLevelType w:val="hybridMultilevel"/>
    <w:tmpl w:val="C1CC51CE"/>
    <w:lvl w:ilvl="0" w:tplc="05E8FC6E">
      <w:start w:val="1"/>
      <w:numFmt w:val="bullet"/>
      <w:lvlText w:val="o"/>
      <w:lvlJc w:val="left"/>
      <w:pPr>
        <w:ind w:left="794" w:hanging="437"/>
      </w:pPr>
      <w:rPr>
        <w:rFonts w:ascii="Courier New" w:hAnsi="Courier New" w:hint="default"/>
      </w:rPr>
    </w:lvl>
    <w:lvl w:ilvl="1" w:tplc="04090003">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0" w15:restartNumberingAfterBreak="0">
    <w:nsid w:val="59515273"/>
    <w:multiLevelType w:val="multilevel"/>
    <w:tmpl w:val="163695E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1" w15:restartNumberingAfterBreak="0">
    <w:nsid w:val="5CA73BDC"/>
    <w:multiLevelType w:val="hybridMultilevel"/>
    <w:tmpl w:val="FFFFFFFF"/>
    <w:lvl w:ilvl="0" w:tplc="2F5C337A">
      <w:start w:val="1"/>
      <w:numFmt w:val="decimal"/>
      <w:lvlText w:val="%1."/>
      <w:lvlJc w:val="left"/>
      <w:pPr>
        <w:ind w:left="720" w:hanging="360"/>
      </w:pPr>
    </w:lvl>
    <w:lvl w:ilvl="1" w:tplc="2362D1AE">
      <w:start w:val="1"/>
      <w:numFmt w:val="lowerLetter"/>
      <w:lvlText w:val="%2."/>
      <w:lvlJc w:val="left"/>
      <w:pPr>
        <w:ind w:left="1440" w:hanging="360"/>
      </w:pPr>
    </w:lvl>
    <w:lvl w:ilvl="2" w:tplc="77D47C4A">
      <w:start w:val="1"/>
      <w:numFmt w:val="lowerRoman"/>
      <w:lvlText w:val="%3."/>
      <w:lvlJc w:val="right"/>
      <w:pPr>
        <w:ind w:left="2160" w:hanging="180"/>
      </w:pPr>
    </w:lvl>
    <w:lvl w:ilvl="3" w:tplc="B600AAD2">
      <w:start w:val="1"/>
      <w:numFmt w:val="decimal"/>
      <w:lvlText w:val="%4."/>
      <w:lvlJc w:val="left"/>
      <w:pPr>
        <w:ind w:left="2880" w:hanging="360"/>
      </w:pPr>
    </w:lvl>
    <w:lvl w:ilvl="4" w:tplc="C3C28E00">
      <w:start w:val="1"/>
      <w:numFmt w:val="lowerLetter"/>
      <w:lvlText w:val="%5."/>
      <w:lvlJc w:val="left"/>
      <w:pPr>
        <w:ind w:left="3600" w:hanging="360"/>
      </w:pPr>
    </w:lvl>
    <w:lvl w:ilvl="5" w:tplc="11BE1BAE">
      <w:start w:val="1"/>
      <w:numFmt w:val="lowerRoman"/>
      <w:lvlText w:val="%6."/>
      <w:lvlJc w:val="right"/>
      <w:pPr>
        <w:ind w:left="4320" w:hanging="180"/>
      </w:pPr>
    </w:lvl>
    <w:lvl w:ilvl="6" w:tplc="2E3E7B7C">
      <w:start w:val="1"/>
      <w:numFmt w:val="decimal"/>
      <w:lvlText w:val="%7."/>
      <w:lvlJc w:val="left"/>
      <w:pPr>
        <w:ind w:left="5040" w:hanging="360"/>
      </w:pPr>
    </w:lvl>
    <w:lvl w:ilvl="7" w:tplc="A5DEC850">
      <w:start w:val="1"/>
      <w:numFmt w:val="lowerLetter"/>
      <w:lvlText w:val="%8."/>
      <w:lvlJc w:val="left"/>
      <w:pPr>
        <w:ind w:left="5760" w:hanging="360"/>
      </w:pPr>
    </w:lvl>
    <w:lvl w:ilvl="8" w:tplc="26CA7524">
      <w:start w:val="1"/>
      <w:numFmt w:val="lowerRoman"/>
      <w:lvlText w:val="%9."/>
      <w:lvlJc w:val="right"/>
      <w:pPr>
        <w:ind w:left="6480" w:hanging="180"/>
      </w:pPr>
    </w:lvl>
  </w:abstractNum>
  <w:abstractNum w:abstractNumId="12" w15:restartNumberingAfterBreak="0">
    <w:nsid w:val="65455F4C"/>
    <w:multiLevelType w:val="hybridMultilevel"/>
    <w:tmpl w:val="758E5C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BD23589"/>
    <w:multiLevelType w:val="hybridMultilevel"/>
    <w:tmpl w:val="582C2998"/>
    <w:lvl w:ilvl="0" w:tplc="C4EAD058">
      <w:start w:val="1"/>
      <w:numFmt w:val="lowerRoman"/>
      <w:lvlText w:val="%1."/>
      <w:lvlJc w:val="right"/>
      <w:pPr>
        <w:ind w:left="794" w:hanging="434"/>
      </w:pPr>
      <w:rPr>
        <w:rFonts w:hint="default"/>
      </w:rPr>
    </w:lvl>
    <w:lvl w:ilvl="1" w:tplc="0409001B">
      <w:start w:val="1"/>
      <w:numFmt w:val="lowerRoman"/>
      <w:lvlText w:val="%2."/>
      <w:lvlJc w:val="right"/>
      <w:pPr>
        <w:ind w:left="1440" w:hanging="360"/>
      </w:pPr>
    </w:lvl>
    <w:lvl w:ilvl="2" w:tplc="CE3EC23A">
      <w:start w:val="1"/>
      <w:numFmt w:val="lowerRoman"/>
      <w:lvlText w:val="%3."/>
      <w:lvlJc w:val="right"/>
      <w:pPr>
        <w:ind w:left="794" w:hanging="437"/>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6D7F5E0E"/>
    <w:multiLevelType w:val="hybridMultilevel"/>
    <w:tmpl w:val="FFFFFFFF"/>
    <w:lvl w:ilvl="0" w:tplc="17DCA544">
      <w:start w:val="1"/>
      <w:numFmt w:val="decimal"/>
      <w:lvlText w:val="%1."/>
      <w:lvlJc w:val="left"/>
      <w:pPr>
        <w:ind w:left="720" w:hanging="360"/>
      </w:pPr>
    </w:lvl>
    <w:lvl w:ilvl="1" w:tplc="B50636DE">
      <w:start w:val="1"/>
      <w:numFmt w:val="lowerLetter"/>
      <w:lvlText w:val="%2."/>
      <w:lvlJc w:val="left"/>
      <w:pPr>
        <w:ind w:left="1440" w:hanging="360"/>
      </w:pPr>
    </w:lvl>
    <w:lvl w:ilvl="2" w:tplc="2D92BF3E">
      <w:start w:val="1"/>
      <w:numFmt w:val="lowerRoman"/>
      <w:lvlText w:val="%3."/>
      <w:lvlJc w:val="right"/>
      <w:pPr>
        <w:ind w:left="2160" w:hanging="180"/>
      </w:pPr>
    </w:lvl>
    <w:lvl w:ilvl="3" w:tplc="34A04AEE">
      <w:start w:val="1"/>
      <w:numFmt w:val="decimal"/>
      <w:lvlText w:val="%4."/>
      <w:lvlJc w:val="left"/>
      <w:pPr>
        <w:ind w:left="2880" w:hanging="360"/>
      </w:pPr>
    </w:lvl>
    <w:lvl w:ilvl="4" w:tplc="1042290C">
      <w:start w:val="1"/>
      <w:numFmt w:val="lowerLetter"/>
      <w:lvlText w:val="%5."/>
      <w:lvlJc w:val="left"/>
      <w:pPr>
        <w:ind w:left="3600" w:hanging="360"/>
      </w:pPr>
    </w:lvl>
    <w:lvl w:ilvl="5" w:tplc="1B145542">
      <w:start w:val="1"/>
      <w:numFmt w:val="lowerRoman"/>
      <w:lvlText w:val="%6."/>
      <w:lvlJc w:val="right"/>
      <w:pPr>
        <w:ind w:left="4320" w:hanging="180"/>
      </w:pPr>
    </w:lvl>
    <w:lvl w:ilvl="6" w:tplc="19288B46">
      <w:start w:val="1"/>
      <w:numFmt w:val="decimal"/>
      <w:lvlText w:val="%7."/>
      <w:lvlJc w:val="left"/>
      <w:pPr>
        <w:ind w:left="5040" w:hanging="360"/>
      </w:pPr>
    </w:lvl>
    <w:lvl w:ilvl="7" w:tplc="8368915C">
      <w:start w:val="1"/>
      <w:numFmt w:val="lowerLetter"/>
      <w:lvlText w:val="%8."/>
      <w:lvlJc w:val="left"/>
      <w:pPr>
        <w:ind w:left="5760" w:hanging="360"/>
      </w:pPr>
    </w:lvl>
    <w:lvl w:ilvl="8" w:tplc="EAF2F9A0">
      <w:start w:val="1"/>
      <w:numFmt w:val="lowerRoman"/>
      <w:lvlText w:val="%9."/>
      <w:lvlJc w:val="right"/>
      <w:pPr>
        <w:ind w:left="6480" w:hanging="180"/>
      </w:pPr>
    </w:lvl>
  </w:abstractNum>
  <w:abstractNum w:abstractNumId="15" w15:restartNumberingAfterBreak="0">
    <w:nsid w:val="73F83E77"/>
    <w:multiLevelType w:val="hybridMultilevel"/>
    <w:tmpl w:val="CCDC9FB8"/>
    <w:lvl w:ilvl="0" w:tplc="6D62C436">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75976EF1"/>
    <w:multiLevelType w:val="hybridMultilevel"/>
    <w:tmpl w:val="B70E485C"/>
    <w:lvl w:ilvl="0" w:tplc="20000003">
      <w:start w:val="1"/>
      <w:numFmt w:val="bullet"/>
      <w:lvlText w:val="o"/>
      <w:lvlJc w:val="left"/>
      <w:pPr>
        <w:ind w:left="1157" w:hanging="800"/>
      </w:pPr>
      <w:rPr>
        <w:rFonts w:ascii="Courier New" w:hAnsi="Courier New" w:cs="Courier New" w:hint="default"/>
      </w:rPr>
    </w:lvl>
    <w:lvl w:ilvl="1" w:tplc="04090003">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7" w15:restartNumberingAfterBreak="0">
    <w:nsid w:val="75F752BE"/>
    <w:multiLevelType w:val="hybridMultilevel"/>
    <w:tmpl w:val="DCA2BCAE"/>
    <w:lvl w:ilvl="0" w:tplc="04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3"/>
  </w:num>
  <w:num w:numId="3">
    <w:abstractNumId w:val="16"/>
  </w:num>
  <w:num w:numId="4">
    <w:abstractNumId w:val="7"/>
  </w:num>
  <w:num w:numId="5">
    <w:abstractNumId w:val="8"/>
  </w:num>
  <w:num w:numId="6">
    <w:abstractNumId w:val="9"/>
  </w:num>
  <w:num w:numId="7">
    <w:abstractNumId w:val="13"/>
  </w:num>
  <w:num w:numId="8">
    <w:abstractNumId w:val="6"/>
  </w:num>
  <w:num w:numId="9">
    <w:abstractNumId w:val="15"/>
  </w:num>
  <w:num w:numId="10">
    <w:abstractNumId w:val="4"/>
  </w:num>
  <w:num w:numId="11">
    <w:abstractNumId w:val="10"/>
  </w:num>
  <w:num w:numId="12">
    <w:abstractNumId w:val="17"/>
  </w:num>
  <w:num w:numId="13">
    <w:abstractNumId w:val="5"/>
  </w:num>
  <w:num w:numId="14">
    <w:abstractNumId w:val="14"/>
  </w:num>
  <w:num w:numId="15">
    <w:abstractNumId w:val="11"/>
  </w:num>
  <w:num w:numId="16">
    <w:abstractNumId w:val="12"/>
  </w:num>
  <w:num w:numId="17">
    <w:abstractNumId w:val="2"/>
  </w:num>
  <w:num w:numId="18">
    <w:abstractNumId w:val="3"/>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M1MTM2MjWwMLAwNbRU0lEKTi0uzszPAykwqgUAqgsQjiwAAAA="/>
  </w:docVars>
  <w:rsids>
    <w:rsidRoot w:val="006D70C6"/>
    <w:rsid w:val="00000257"/>
    <w:rsid w:val="00001A9C"/>
    <w:rsid w:val="000027C8"/>
    <w:rsid w:val="000038C4"/>
    <w:rsid w:val="00007F7F"/>
    <w:rsid w:val="00010C32"/>
    <w:rsid w:val="00010F48"/>
    <w:rsid w:val="000147CA"/>
    <w:rsid w:val="00015FB1"/>
    <w:rsid w:val="0001774E"/>
    <w:rsid w:val="0001781D"/>
    <w:rsid w:val="0002197D"/>
    <w:rsid w:val="00021DF9"/>
    <w:rsid w:val="000239D6"/>
    <w:rsid w:val="0002607F"/>
    <w:rsid w:val="000264BE"/>
    <w:rsid w:val="000268B0"/>
    <w:rsid w:val="00027258"/>
    <w:rsid w:val="00027767"/>
    <w:rsid w:val="00030B8E"/>
    <w:rsid w:val="0003282D"/>
    <w:rsid w:val="000361CF"/>
    <w:rsid w:val="00047F0D"/>
    <w:rsid w:val="00052578"/>
    <w:rsid w:val="00052886"/>
    <w:rsid w:val="00052EB0"/>
    <w:rsid w:val="00053C26"/>
    <w:rsid w:val="00053FE3"/>
    <w:rsid w:val="00054724"/>
    <w:rsid w:val="000548E3"/>
    <w:rsid w:val="0006023C"/>
    <w:rsid w:val="00060990"/>
    <w:rsid w:val="0006108F"/>
    <w:rsid w:val="00061780"/>
    <w:rsid w:val="00065E3D"/>
    <w:rsid w:val="0007074D"/>
    <w:rsid w:val="000720AB"/>
    <w:rsid w:val="0007733F"/>
    <w:rsid w:val="000811C5"/>
    <w:rsid w:val="0008236A"/>
    <w:rsid w:val="00086FC8"/>
    <w:rsid w:val="00087411"/>
    <w:rsid w:val="0009127B"/>
    <w:rsid w:val="000929FF"/>
    <w:rsid w:val="00093ACA"/>
    <w:rsid w:val="000A1688"/>
    <w:rsid w:val="000A5071"/>
    <w:rsid w:val="000B4C95"/>
    <w:rsid w:val="000B6B5D"/>
    <w:rsid w:val="000B74BA"/>
    <w:rsid w:val="000C20DC"/>
    <w:rsid w:val="000C2A2E"/>
    <w:rsid w:val="000C2C28"/>
    <w:rsid w:val="000C3315"/>
    <w:rsid w:val="000C4839"/>
    <w:rsid w:val="000D1EC9"/>
    <w:rsid w:val="000D746E"/>
    <w:rsid w:val="000E0B2E"/>
    <w:rsid w:val="000E334D"/>
    <w:rsid w:val="000E6444"/>
    <w:rsid w:val="000E6F49"/>
    <w:rsid w:val="000E738E"/>
    <w:rsid w:val="000F015E"/>
    <w:rsid w:val="000F2E67"/>
    <w:rsid w:val="000F366F"/>
    <w:rsid w:val="000F7587"/>
    <w:rsid w:val="0010077D"/>
    <w:rsid w:val="00100FFB"/>
    <w:rsid w:val="001012BC"/>
    <w:rsid w:val="0010361A"/>
    <w:rsid w:val="0010375B"/>
    <w:rsid w:val="001054A9"/>
    <w:rsid w:val="00111A8A"/>
    <w:rsid w:val="0011282B"/>
    <w:rsid w:val="001158FB"/>
    <w:rsid w:val="001164E6"/>
    <w:rsid w:val="00117719"/>
    <w:rsid w:val="001217CF"/>
    <w:rsid w:val="00121D0F"/>
    <w:rsid w:val="00122205"/>
    <w:rsid w:val="00125C1F"/>
    <w:rsid w:val="0012767B"/>
    <w:rsid w:val="00130BEC"/>
    <w:rsid w:val="00131895"/>
    <w:rsid w:val="0014173E"/>
    <w:rsid w:val="00143AFF"/>
    <w:rsid w:val="001465DF"/>
    <w:rsid w:val="00151F6B"/>
    <w:rsid w:val="001603E8"/>
    <w:rsid w:val="001656EC"/>
    <w:rsid w:val="001668F0"/>
    <w:rsid w:val="0017057A"/>
    <w:rsid w:val="001743A1"/>
    <w:rsid w:val="00175D3F"/>
    <w:rsid w:val="001778D9"/>
    <w:rsid w:val="00190B20"/>
    <w:rsid w:val="00193826"/>
    <w:rsid w:val="00194AC8"/>
    <w:rsid w:val="001962CD"/>
    <w:rsid w:val="001A1E52"/>
    <w:rsid w:val="001A43BB"/>
    <w:rsid w:val="001B0D22"/>
    <w:rsid w:val="001B17B9"/>
    <w:rsid w:val="001B32D8"/>
    <w:rsid w:val="001B3888"/>
    <w:rsid w:val="001B3FBE"/>
    <w:rsid w:val="001B506B"/>
    <w:rsid w:val="001B5EDA"/>
    <w:rsid w:val="001B776D"/>
    <w:rsid w:val="001B7A37"/>
    <w:rsid w:val="001C154A"/>
    <w:rsid w:val="001C230E"/>
    <w:rsid w:val="001C2863"/>
    <w:rsid w:val="001C36A8"/>
    <w:rsid w:val="001C4440"/>
    <w:rsid w:val="001C533D"/>
    <w:rsid w:val="001D16E1"/>
    <w:rsid w:val="001D27FE"/>
    <w:rsid w:val="001D56CD"/>
    <w:rsid w:val="001D6882"/>
    <w:rsid w:val="001D69BE"/>
    <w:rsid w:val="001D6BE4"/>
    <w:rsid w:val="001E4BD2"/>
    <w:rsid w:val="001E4BD6"/>
    <w:rsid w:val="001E56AD"/>
    <w:rsid w:val="001E5885"/>
    <w:rsid w:val="001E5B3B"/>
    <w:rsid w:val="001F0940"/>
    <w:rsid w:val="001F1D3F"/>
    <w:rsid w:val="00200486"/>
    <w:rsid w:val="00200CD5"/>
    <w:rsid w:val="0020692F"/>
    <w:rsid w:val="002070AD"/>
    <w:rsid w:val="00207123"/>
    <w:rsid w:val="002079BE"/>
    <w:rsid w:val="002111A3"/>
    <w:rsid w:val="0021145F"/>
    <w:rsid w:val="00212BF7"/>
    <w:rsid w:val="00214150"/>
    <w:rsid w:val="0022078A"/>
    <w:rsid w:val="002219C9"/>
    <w:rsid w:val="002228D5"/>
    <w:rsid w:val="0022556C"/>
    <w:rsid w:val="00231D52"/>
    <w:rsid w:val="00231E1D"/>
    <w:rsid w:val="00234D49"/>
    <w:rsid w:val="00236174"/>
    <w:rsid w:val="00237BA8"/>
    <w:rsid w:val="002417B8"/>
    <w:rsid w:val="0024200E"/>
    <w:rsid w:val="002427C0"/>
    <w:rsid w:val="00243040"/>
    <w:rsid w:val="0025087C"/>
    <w:rsid w:val="00251AC8"/>
    <w:rsid w:val="00253185"/>
    <w:rsid w:val="00253744"/>
    <w:rsid w:val="0026019F"/>
    <w:rsid w:val="00260D49"/>
    <w:rsid w:val="00261ACE"/>
    <w:rsid w:val="0026646E"/>
    <w:rsid w:val="00266D8D"/>
    <w:rsid w:val="0027063D"/>
    <w:rsid w:val="0027081F"/>
    <w:rsid w:val="00272D0B"/>
    <w:rsid w:val="002773E1"/>
    <w:rsid w:val="0028438C"/>
    <w:rsid w:val="00286F10"/>
    <w:rsid w:val="00287A13"/>
    <w:rsid w:val="00287A40"/>
    <w:rsid w:val="00291555"/>
    <w:rsid w:val="002916BD"/>
    <w:rsid w:val="00291F7C"/>
    <w:rsid w:val="00292EB7"/>
    <w:rsid w:val="00296ACE"/>
    <w:rsid w:val="002A09B4"/>
    <w:rsid w:val="002A173B"/>
    <w:rsid w:val="002A264E"/>
    <w:rsid w:val="002A6B9A"/>
    <w:rsid w:val="002B06C4"/>
    <w:rsid w:val="002B070C"/>
    <w:rsid w:val="002B4498"/>
    <w:rsid w:val="002B4C20"/>
    <w:rsid w:val="002B7F6E"/>
    <w:rsid w:val="002C2CDC"/>
    <w:rsid w:val="002C788C"/>
    <w:rsid w:val="002D0F7E"/>
    <w:rsid w:val="002D21B0"/>
    <w:rsid w:val="002E04CE"/>
    <w:rsid w:val="002E581D"/>
    <w:rsid w:val="002E5B9B"/>
    <w:rsid w:val="002F150A"/>
    <w:rsid w:val="003010A1"/>
    <w:rsid w:val="00302584"/>
    <w:rsid w:val="00302B27"/>
    <w:rsid w:val="00306388"/>
    <w:rsid w:val="00307AF2"/>
    <w:rsid w:val="00312766"/>
    <w:rsid w:val="00313660"/>
    <w:rsid w:val="003149DC"/>
    <w:rsid w:val="00315C60"/>
    <w:rsid w:val="0031621F"/>
    <w:rsid w:val="00317B8E"/>
    <w:rsid w:val="00321BF8"/>
    <w:rsid w:val="00323367"/>
    <w:rsid w:val="00332B82"/>
    <w:rsid w:val="003341A5"/>
    <w:rsid w:val="00335193"/>
    <w:rsid w:val="00342898"/>
    <w:rsid w:val="00344CAA"/>
    <w:rsid w:val="00344DC5"/>
    <w:rsid w:val="00344ED3"/>
    <w:rsid w:val="003469C6"/>
    <w:rsid w:val="0034736F"/>
    <w:rsid w:val="00347E04"/>
    <w:rsid w:val="00356D20"/>
    <w:rsid w:val="003573BA"/>
    <w:rsid w:val="00361C69"/>
    <w:rsid w:val="00366DC6"/>
    <w:rsid w:val="0036762C"/>
    <w:rsid w:val="003735B5"/>
    <w:rsid w:val="00374C2C"/>
    <w:rsid w:val="0037552B"/>
    <w:rsid w:val="0038108B"/>
    <w:rsid w:val="003834F8"/>
    <w:rsid w:val="00383935"/>
    <w:rsid w:val="003849FA"/>
    <w:rsid w:val="0038562C"/>
    <w:rsid w:val="00390067"/>
    <w:rsid w:val="00391655"/>
    <w:rsid w:val="003917D7"/>
    <w:rsid w:val="00394C20"/>
    <w:rsid w:val="003A4FC0"/>
    <w:rsid w:val="003B0E70"/>
    <w:rsid w:val="003B306B"/>
    <w:rsid w:val="003B4EBC"/>
    <w:rsid w:val="003B63AE"/>
    <w:rsid w:val="003C1AEF"/>
    <w:rsid w:val="003C1B04"/>
    <w:rsid w:val="003C441A"/>
    <w:rsid w:val="003C7565"/>
    <w:rsid w:val="003D1349"/>
    <w:rsid w:val="003D1F22"/>
    <w:rsid w:val="003D38E2"/>
    <w:rsid w:val="003D7FD9"/>
    <w:rsid w:val="003E071A"/>
    <w:rsid w:val="003E74D8"/>
    <w:rsid w:val="003E7E4F"/>
    <w:rsid w:val="003F36AF"/>
    <w:rsid w:val="003F5EE5"/>
    <w:rsid w:val="003F6014"/>
    <w:rsid w:val="003F7794"/>
    <w:rsid w:val="003F7FFD"/>
    <w:rsid w:val="00401FA7"/>
    <w:rsid w:val="00403A79"/>
    <w:rsid w:val="004043F9"/>
    <w:rsid w:val="00405880"/>
    <w:rsid w:val="004059D4"/>
    <w:rsid w:val="00405A0C"/>
    <w:rsid w:val="004061AF"/>
    <w:rsid w:val="00406379"/>
    <w:rsid w:val="00406503"/>
    <w:rsid w:val="00406D07"/>
    <w:rsid w:val="004109AC"/>
    <w:rsid w:val="004110D2"/>
    <w:rsid w:val="0041154D"/>
    <w:rsid w:val="00412020"/>
    <w:rsid w:val="00417936"/>
    <w:rsid w:val="00420D58"/>
    <w:rsid w:val="00423041"/>
    <w:rsid w:val="004232D9"/>
    <w:rsid w:val="004268D5"/>
    <w:rsid w:val="00427D71"/>
    <w:rsid w:val="004303C3"/>
    <w:rsid w:val="00430FA0"/>
    <w:rsid w:val="00431D53"/>
    <w:rsid w:val="00431EA7"/>
    <w:rsid w:val="00434926"/>
    <w:rsid w:val="0043494A"/>
    <w:rsid w:val="004351D8"/>
    <w:rsid w:val="0043742A"/>
    <w:rsid w:val="00441E09"/>
    <w:rsid w:val="00443409"/>
    <w:rsid w:val="00453636"/>
    <w:rsid w:val="00455626"/>
    <w:rsid w:val="0045624E"/>
    <w:rsid w:val="00456EF2"/>
    <w:rsid w:val="004577B4"/>
    <w:rsid w:val="00457B00"/>
    <w:rsid w:val="00463A64"/>
    <w:rsid w:val="00470472"/>
    <w:rsid w:val="00471036"/>
    <w:rsid w:val="00473B64"/>
    <w:rsid w:val="00477A11"/>
    <w:rsid w:val="004812CB"/>
    <w:rsid w:val="004830DC"/>
    <w:rsid w:val="00483E76"/>
    <w:rsid w:val="004855FD"/>
    <w:rsid w:val="00486CB6"/>
    <w:rsid w:val="004944DB"/>
    <w:rsid w:val="00496213"/>
    <w:rsid w:val="004A0CD0"/>
    <w:rsid w:val="004A2F01"/>
    <w:rsid w:val="004B6FBE"/>
    <w:rsid w:val="004C1A8E"/>
    <w:rsid w:val="004C4DBE"/>
    <w:rsid w:val="004C53CF"/>
    <w:rsid w:val="004C5404"/>
    <w:rsid w:val="004C72E3"/>
    <w:rsid w:val="004D1794"/>
    <w:rsid w:val="004D3913"/>
    <w:rsid w:val="004D48DF"/>
    <w:rsid w:val="004E2A9A"/>
    <w:rsid w:val="004E503E"/>
    <w:rsid w:val="004E5922"/>
    <w:rsid w:val="004E59D9"/>
    <w:rsid w:val="004F5D70"/>
    <w:rsid w:val="00502CCA"/>
    <w:rsid w:val="005070D4"/>
    <w:rsid w:val="00510FAF"/>
    <w:rsid w:val="0051302F"/>
    <w:rsid w:val="00513A75"/>
    <w:rsid w:val="00515657"/>
    <w:rsid w:val="00524EF4"/>
    <w:rsid w:val="00530D10"/>
    <w:rsid w:val="005325DA"/>
    <w:rsid w:val="00532C41"/>
    <w:rsid w:val="00533490"/>
    <w:rsid w:val="00533519"/>
    <w:rsid w:val="0053382F"/>
    <w:rsid w:val="005364C3"/>
    <w:rsid w:val="00536CF3"/>
    <w:rsid w:val="0054047D"/>
    <w:rsid w:val="00545DD0"/>
    <w:rsid w:val="005523DF"/>
    <w:rsid w:val="00555C6E"/>
    <w:rsid w:val="00566BFF"/>
    <w:rsid w:val="005674B3"/>
    <w:rsid w:val="00570FC0"/>
    <w:rsid w:val="00571DB9"/>
    <w:rsid w:val="00575631"/>
    <w:rsid w:val="0057653D"/>
    <w:rsid w:val="00580A4A"/>
    <w:rsid w:val="00581062"/>
    <w:rsid w:val="005816C5"/>
    <w:rsid w:val="00582047"/>
    <w:rsid w:val="00583DAA"/>
    <w:rsid w:val="00586ABC"/>
    <w:rsid w:val="005940F0"/>
    <w:rsid w:val="0059492C"/>
    <w:rsid w:val="005A000B"/>
    <w:rsid w:val="005A09AC"/>
    <w:rsid w:val="005A39BB"/>
    <w:rsid w:val="005A3ABC"/>
    <w:rsid w:val="005A58DC"/>
    <w:rsid w:val="005B02E4"/>
    <w:rsid w:val="005B231B"/>
    <w:rsid w:val="005B40A9"/>
    <w:rsid w:val="005B5D4C"/>
    <w:rsid w:val="005C295A"/>
    <w:rsid w:val="005C3310"/>
    <w:rsid w:val="005C3678"/>
    <w:rsid w:val="005C510E"/>
    <w:rsid w:val="005C51C0"/>
    <w:rsid w:val="005C55D0"/>
    <w:rsid w:val="005C6602"/>
    <w:rsid w:val="005D010A"/>
    <w:rsid w:val="005D23BD"/>
    <w:rsid w:val="005D55E2"/>
    <w:rsid w:val="005D676E"/>
    <w:rsid w:val="005D7FBC"/>
    <w:rsid w:val="005E0F35"/>
    <w:rsid w:val="005E4B0A"/>
    <w:rsid w:val="005E6248"/>
    <w:rsid w:val="005F0DAC"/>
    <w:rsid w:val="005F153A"/>
    <w:rsid w:val="005F3C9A"/>
    <w:rsid w:val="005F42CA"/>
    <w:rsid w:val="005F43BC"/>
    <w:rsid w:val="005F6E60"/>
    <w:rsid w:val="005F716F"/>
    <w:rsid w:val="005F7189"/>
    <w:rsid w:val="005F7C2E"/>
    <w:rsid w:val="006006FD"/>
    <w:rsid w:val="00602355"/>
    <w:rsid w:val="00603AA6"/>
    <w:rsid w:val="00607F0B"/>
    <w:rsid w:val="00611188"/>
    <w:rsid w:val="00616D37"/>
    <w:rsid w:val="00617346"/>
    <w:rsid w:val="006204DB"/>
    <w:rsid w:val="00622EA2"/>
    <w:rsid w:val="00623E67"/>
    <w:rsid w:val="006243C6"/>
    <w:rsid w:val="00624887"/>
    <w:rsid w:val="00626262"/>
    <w:rsid w:val="00630805"/>
    <w:rsid w:val="00635161"/>
    <w:rsid w:val="006367B6"/>
    <w:rsid w:val="006377C7"/>
    <w:rsid w:val="0064055B"/>
    <w:rsid w:val="00642B5B"/>
    <w:rsid w:val="006463AB"/>
    <w:rsid w:val="006477FD"/>
    <w:rsid w:val="0065512B"/>
    <w:rsid w:val="00655BE6"/>
    <w:rsid w:val="00656B2D"/>
    <w:rsid w:val="00657A92"/>
    <w:rsid w:val="00661E22"/>
    <w:rsid w:val="0066426F"/>
    <w:rsid w:val="00665F5E"/>
    <w:rsid w:val="0066704D"/>
    <w:rsid w:val="00671D68"/>
    <w:rsid w:val="00671FF5"/>
    <w:rsid w:val="006720AA"/>
    <w:rsid w:val="00672921"/>
    <w:rsid w:val="00673228"/>
    <w:rsid w:val="0067474B"/>
    <w:rsid w:val="00683733"/>
    <w:rsid w:val="00683C44"/>
    <w:rsid w:val="00692A3E"/>
    <w:rsid w:val="00692FA4"/>
    <w:rsid w:val="006955AB"/>
    <w:rsid w:val="00696709"/>
    <w:rsid w:val="006978E5"/>
    <w:rsid w:val="006A02E2"/>
    <w:rsid w:val="006A079F"/>
    <w:rsid w:val="006A0E15"/>
    <w:rsid w:val="006A15AC"/>
    <w:rsid w:val="006A2F0C"/>
    <w:rsid w:val="006A6D99"/>
    <w:rsid w:val="006B361F"/>
    <w:rsid w:val="006B39E1"/>
    <w:rsid w:val="006B460D"/>
    <w:rsid w:val="006C1682"/>
    <w:rsid w:val="006C2B40"/>
    <w:rsid w:val="006C364F"/>
    <w:rsid w:val="006C5822"/>
    <w:rsid w:val="006C5D53"/>
    <w:rsid w:val="006D18A0"/>
    <w:rsid w:val="006D3476"/>
    <w:rsid w:val="006D42F1"/>
    <w:rsid w:val="006D5D09"/>
    <w:rsid w:val="006D70C6"/>
    <w:rsid w:val="006E0FF3"/>
    <w:rsid w:val="006E36F1"/>
    <w:rsid w:val="006E39B8"/>
    <w:rsid w:val="006F059A"/>
    <w:rsid w:val="006F2163"/>
    <w:rsid w:val="006F5ACB"/>
    <w:rsid w:val="007003D6"/>
    <w:rsid w:val="0070262F"/>
    <w:rsid w:val="00704271"/>
    <w:rsid w:val="0070591A"/>
    <w:rsid w:val="00713A1D"/>
    <w:rsid w:val="00714125"/>
    <w:rsid w:val="007156E4"/>
    <w:rsid w:val="00717F6C"/>
    <w:rsid w:val="0072067D"/>
    <w:rsid w:val="00721EED"/>
    <w:rsid w:val="007231B0"/>
    <w:rsid w:val="00725BA5"/>
    <w:rsid w:val="007270D0"/>
    <w:rsid w:val="00733871"/>
    <w:rsid w:val="007339D5"/>
    <w:rsid w:val="00734285"/>
    <w:rsid w:val="007401C2"/>
    <w:rsid w:val="00750401"/>
    <w:rsid w:val="007525F7"/>
    <w:rsid w:val="00754FEE"/>
    <w:rsid w:val="0076010E"/>
    <w:rsid w:val="00764696"/>
    <w:rsid w:val="0076620B"/>
    <w:rsid w:val="0077353C"/>
    <w:rsid w:val="00775A12"/>
    <w:rsid w:val="00776D75"/>
    <w:rsid w:val="00783E51"/>
    <w:rsid w:val="0078643F"/>
    <w:rsid w:val="00790E9D"/>
    <w:rsid w:val="007944BB"/>
    <w:rsid w:val="0079453B"/>
    <w:rsid w:val="007962C2"/>
    <w:rsid w:val="0079648E"/>
    <w:rsid w:val="00796598"/>
    <w:rsid w:val="00797D46"/>
    <w:rsid w:val="007A5462"/>
    <w:rsid w:val="007A54BE"/>
    <w:rsid w:val="007B1D6C"/>
    <w:rsid w:val="007B3243"/>
    <w:rsid w:val="007B3BF2"/>
    <w:rsid w:val="007B7E45"/>
    <w:rsid w:val="007C05A7"/>
    <w:rsid w:val="007C102C"/>
    <w:rsid w:val="007C2E8A"/>
    <w:rsid w:val="007C34B0"/>
    <w:rsid w:val="007C398C"/>
    <w:rsid w:val="007C5CDF"/>
    <w:rsid w:val="007C5E5C"/>
    <w:rsid w:val="007C7752"/>
    <w:rsid w:val="007E1149"/>
    <w:rsid w:val="007E1221"/>
    <w:rsid w:val="007E33CE"/>
    <w:rsid w:val="007E6398"/>
    <w:rsid w:val="007E754E"/>
    <w:rsid w:val="007E77C1"/>
    <w:rsid w:val="007F1EAE"/>
    <w:rsid w:val="007F5448"/>
    <w:rsid w:val="007F5590"/>
    <w:rsid w:val="007F7EDA"/>
    <w:rsid w:val="008002FF"/>
    <w:rsid w:val="00802ED1"/>
    <w:rsid w:val="00803EC9"/>
    <w:rsid w:val="0080441F"/>
    <w:rsid w:val="00804996"/>
    <w:rsid w:val="0080713C"/>
    <w:rsid w:val="008108E6"/>
    <w:rsid w:val="00811AE1"/>
    <w:rsid w:val="008151AA"/>
    <w:rsid w:val="00816221"/>
    <w:rsid w:val="00816507"/>
    <w:rsid w:val="00817DF0"/>
    <w:rsid w:val="00821976"/>
    <w:rsid w:val="0082335C"/>
    <w:rsid w:val="008233F9"/>
    <w:rsid w:val="00831D35"/>
    <w:rsid w:val="0083200C"/>
    <w:rsid w:val="00833DC2"/>
    <w:rsid w:val="00835CD6"/>
    <w:rsid w:val="0084292A"/>
    <w:rsid w:val="00842DFD"/>
    <w:rsid w:val="008446CA"/>
    <w:rsid w:val="008449BB"/>
    <w:rsid w:val="0084622B"/>
    <w:rsid w:val="00853371"/>
    <w:rsid w:val="008543CD"/>
    <w:rsid w:val="00857FF1"/>
    <w:rsid w:val="00861484"/>
    <w:rsid w:val="00861F9C"/>
    <w:rsid w:val="00872804"/>
    <w:rsid w:val="008749C8"/>
    <w:rsid w:val="0088059A"/>
    <w:rsid w:val="00887F43"/>
    <w:rsid w:val="00890172"/>
    <w:rsid w:val="00891BFC"/>
    <w:rsid w:val="00892B20"/>
    <w:rsid w:val="00893BBD"/>
    <w:rsid w:val="00894A9C"/>
    <w:rsid w:val="00897007"/>
    <w:rsid w:val="008A0AAD"/>
    <w:rsid w:val="008A0F72"/>
    <w:rsid w:val="008A2445"/>
    <w:rsid w:val="008A292E"/>
    <w:rsid w:val="008A4F01"/>
    <w:rsid w:val="008B2C85"/>
    <w:rsid w:val="008B56C2"/>
    <w:rsid w:val="008C173B"/>
    <w:rsid w:val="008C2C8E"/>
    <w:rsid w:val="008C4F3F"/>
    <w:rsid w:val="008D18C5"/>
    <w:rsid w:val="008D1B8D"/>
    <w:rsid w:val="008D1DB1"/>
    <w:rsid w:val="008D45D6"/>
    <w:rsid w:val="008E27E9"/>
    <w:rsid w:val="008E28FB"/>
    <w:rsid w:val="008E3308"/>
    <w:rsid w:val="008E3915"/>
    <w:rsid w:val="008E74F8"/>
    <w:rsid w:val="008F0348"/>
    <w:rsid w:val="00902E96"/>
    <w:rsid w:val="009039E6"/>
    <w:rsid w:val="0090735D"/>
    <w:rsid w:val="00907F6E"/>
    <w:rsid w:val="00911D35"/>
    <w:rsid w:val="00911D37"/>
    <w:rsid w:val="0091462A"/>
    <w:rsid w:val="009152F8"/>
    <w:rsid w:val="009158E2"/>
    <w:rsid w:val="0091691F"/>
    <w:rsid w:val="009208B2"/>
    <w:rsid w:val="00921BD2"/>
    <w:rsid w:val="00924989"/>
    <w:rsid w:val="009325E5"/>
    <w:rsid w:val="00932DC2"/>
    <w:rsid w:val="00933184"/>
    <w:rsid w:val="0094076B"/>
    <w:rsid w:val="00941F8F"/>
    <w:rsid w:val="009468B8"/>
    <w:rsid w:val="00946B12"/>
    <w:rsid w:val="00946D2C"/>
    <w:rsid w:val="00952D9C"/>
    <w:rsid w:val="009537F8"/>
    <w:rsid w:val="009538DC"/>
    <w:rsid w:val="009579CD"/>
    <w:rsid w:val="00957F67"/>
    <w:rsid w:val="009605B2"/>
    <w:rsid w:val="00960A81"/>
    <w:rsid w:val="00962DE5"/>
    <w:rsid w:val="00964048"/>
    <w:rsid w:val="009640AB"/>
    <w:rsid w:val="00967173"/>
    <w:rsid w:val="00970B74"/>
    <w:rsid w:val="00973FB5"/>
    <w:rsid w:val="00975417"/>
    <w:rsid w:val="00977945"/>
    <w:rsid w:val="00981751"/>
    <w:rsid w:val="00981C18"/>
    <w:rsid w:val="00990CB4"/>
    <w:rsid w:val="009914AD"/>
    <w:rsid w:val="00994E08"/>
    <w:rsid w:val="00995818"/>
    <w:rsid w:val="009A0436"/>
    <w:rsid w:val="009A5599"/>
    <w:rsid w:val="009A652B"/>
    <w:rsid w:val="009A68D0"/>
    <w:rsid w:val="009A7E6E"/>
    <w:rsid w:val="009B04ED"/>
    <w:rsid w:val="009B17A1"/>
    <w:rsid w:val="009B2CB2"/>
    <w:rsid w:val="009B7A6D"/>
    <w:rsid w:val="009C38EC"/>
    <w:rsid w:val="009C53AB"/>
    <w:rsid w:val="009C7808"/>
    <w:rsid w:val="009D06FA"/>
    <w:rsid w:val="009D6205"/>
    <w:rsid w:val="009D6E05"/>
    <w:rsid w:val="009E0E57"/>
    <w:rsid w:val="009E6DA4"/>
    <w:rsid w:val="009E788E"/>
    <w:rsid w:val="009F6474"/>
    <w:rsid w:val="009F6FE3"/>
    <w:rsid w:val="00A004BB"/>
    <w:rsid w:val="00A01278"/>
    <w:rsid w:val="00A017C1"/>
    <w:rsid w:val="00A02457"/>
    <w:rsid w:val="00A03373"/>
    <w:rsid w:val="00A034D1"/>
    <w:rsid w:val="00A036B8"/>
    <w:rsid w:val="00A10925"/>
    <w:rsid w:val="00A10EFD"/>
    <w:rsid w:val="00A10EFE"/>
    <w:rsid w:val="00A12C2C"/>
    <w:rsid w:val="00A14D06"/>
    <w:rsid w:val="00A241C3"/>
    <w:rsid w:val="00A26A94"/>
    <w:rsid w:val="00A26C2E"/>
    <w:rsid w:val="00A26EF2"/>
    <w:rsid w:val="00A3221E"/>
    <w:rsid w:val="00A37145"/>
    <w:rsid w:val="00A40EC9"/>
    <w:rsid w:val="00A4220F"/>
    <w:rsid w:val="00A4367E"/>
    <w:rsid w:val="00A4381A"/>
    <w:rsid w:val="00A43E66"/>
    <w:rsid w:val="00A46705"/>
    <w:rsid w:val="00A467F7"/>
    <w:rsid w:val="00A47D6B"/>
    <w:rsid w:val="00A518FB"/>
    <w:rsid w:val="00A53763"/>
    <w:rsid w:val="00A538E3"/>
    <w:rsid w:val="00A5763D"/>
    <w:rsid w:val="00A60890"/>
    <w:rsid w:val="00A62722"/>
    <w:rsid w:val="00A65128"/>
    <w:rsid w:val="00A66A91"/>
    <w:rsid w:val="00A66CCC"/>
    <w:rsid w:val="00A70CB6"/>
    <w:rsid w:val="00A714BD"/>
    <w:rsid w:val="00A7318E"/>
    <w:rsid w:val="00A77A06"/>
    <w:rsid w:val="00A819C3"/>
    <w:rsid w:val="00A82190"/>
    <w:rsid w:val="00A8726B"/>
    <w:rsid w:val="00A93C72"/>
    <w:rsid w:val="00A95D42"/>
    <w:rsid w:val="00A962C3"/>
    <w:rsid w:val="00A973E2"/>
    <w:rsid w:val="00AA5CFE"/>
    <w:rsid w:val="00AB1A29"/>
    <w:rsid w:val="00AB3AE5"/>
    <w:rsid w:val="00AC37B1"/>
    <w:rsid w:val="00AC6047"/>
    <w:rsid w:val="00AC7956"/>
    <w:rsid w:val="00AD07D2"/>
    <w:rsid w:val="00AD1902"/>
    <w:rsid w:val="00AD6268"/>
    <w:rsid w:val="00AD7EE1"/>
    <w:rsid w:val="00AE1243"/>
    <w:rsid w:val="00AE1811"/>
    <w:rsid w:val="00AE72AF"/>
    <w:rsid w:val="00AF2C12"/>
    <w:rsid w:val="00AF50A8"/>
    <w:rsid w:val="00B012E8"/>
    <w:rsid w:val="00B02AB0"/>
    <w:rsid w:val="00B13CEA"/>
    <w:rsid w:val="00B15C66"/>
    <w:rsid w:val="00B161E5"/>
    <w:rsid w:val="00B22946"/>
    <w:rsid w:val="00B25573"/>
    <w:rsid w:val="00B32122"/>
    <w:rsid w:val="00B33E2C"/>
    <w:rsid w:val="00B36FB3"/>
    <w:rsid w:val="00B46BB7"/>
    <w:rsid w:val="00B50536"/>
    <w:rsid w:val="00B52617"/>
    <w:rsid w:val="00B548BE"/>
    <w:rsid w:val="00B60E2E"/>
    <w:rsid w:val="00B628B6"/>
    <w:rsid w:val="00B648E7"/>
    <w:rsid w:val="00B65DF6"/>
    <w:rsid w:val="00B660AC"/>
    <w:rsid w:val="00B70A2D"/>
    <w:rsid w:val="00B70AF5"/>
    <w:rsid w:val="00B70B6B"/>
    <w:rsid w:val="00B71491"/>
    <w:rsid w:val="00B727B8"/>
    <w:rsid w:val="00B742EF"/>
    <w:rsid w:val="00B7485F"/>
    <w:rsid w:val="00B83F99"/>
    <w:rsid w:val="00B908E2"/>
    <w:rsid w:val="00B915C1"/>
    <w:rsid w:val="00B921B1"/>
    <w:rsid w:val="00B92D6B"/>
    <w:rsid w:val="00B9352F"/>
    <w:rsid w:val="00B97A98"/>
    <w:rsid w:val="00BA02C1"/>
    <w:rsid w:val="00BA4B96"/>
    <w:rsid w:val="00BA7BE0"/>
    <w:rsid w:val="00BB09A2"/>
    <w:rsid w:val="00BB0AE6"/>
    <w:rsid w:val="00BB1545"/>
    <w:rsid w:val="00BB16E4"/>
    <w:rsid w:val="00BB21AD"/>
    <w:rsid w:val="00BB423E"/>
    <w:rsid w:val="00BB46DF"/>
    <w:rsid w:val="00BB4B1A"/>
    <w:rsid w:val="00BB5F5E"/>
    <w:rsid w:val="00BB611D"/>
    <w:rsid w:val="00BC1480"/>
    <w:rsid w:val="00BC2693"/>
    <w:rsid w:val="00BC30E9"/>
    <w:rsid w:val="00BC4228"/>
    <w:rsid w:val="00BC7E6C"/>
    <w:rsid w:val="00BD6AF4"/>
    <w:rsid w:val="00BD6DF5"/>
    <w:rsid w:val="00BE175D"/>
    <w:rsid w:val="00BE2648"/>
    <w:rsid w:val="00BE364F"/>
    <w:rsid w:val="00BE4BC7"/>
    <w:rsid w:val="00BE5EDE"/>
    <w:rsid w:val="00BE64EE"/>
    <w:rsid w:val="00BE71E9"/>
    <w:rsid w:val="00BE7737"/>
    <w:rsid w:val="00BF3543"/>
    <w:rsid w:val="00BF3A0C"/>
    <w:rsid w:val="00C03ACA"/>
    <w:rsid w:val="00C05BEF"/>
    <w:rsid w:val="00C07674"/>
    <w:rsid w:val="00C077B4"/>
    <w:rsid w:val="00C122EB"/>
    <w:rsid w:val="00C13CAA"/>
    <w:rsid w:val="00C13CBB"/>
    <w:rsid w:val="00C16177"/>
    <w:rsid w:val="00C201B9"/>
    <w:rsid w:val="00C24302"/>
    <w:rsid w:val="00C243FF"/>
    <w:rsid w:val="00C25ADC"/>
    <w:rsid w:val="00C25D00"/>
    <w:rsid w:val="00C30F71"/>
    <w:rsid w:val="00C318C0"/>
    <w:rsid w:val="00C37F17"/>
    <w:rsid w:val="00C40E80"/>
    <w:rsid w:val="00C4148D"/>
    <w:rsid w:val="00C44650"/>
    <w:rsid w:val="00C4710B"/>
    <w:rsid w:val="00C627CD"/>
    <w:rsid w:val="00C62E1A"/>
    <w:rsid w:val="00C64BBF"/>
    <w:rsid w:val="00C64D8D"/>
    <w:rsid w:val="00C64EB2"/>
    <w:rsid w:val="00C657EE"/>
    <w:rsid w:val="00C70729"/>
    <w:rsid w:val="00C71595"/>
    <w:rsid w:val="00C724EE"/>
    <w:rsid w:val="00C73FEA"/>
    <w:rsid w:val="00C863F7"/>
    <w:rsid w:val="00C86BA0"/>
    <w:rsid w:val="00C9084A"/>
    <w:rsid w:val="00CA20F2"/>
    <w:rsid w:val="00CA27F5"/>
    <w:rsid w:val="00CA2A06"/>
    <w:rsid w:val="00CA3CB2"/>
    <w:rsid w:val="00CA3F8B"/>
    <w:rsid w:val="00CA5798"/>
    <w:rsid w:val="00CA59F0"/>
    <w:rsid w:val="00CB0190"/>
    <w:rsid w:val="00CB0AAF"/>
    <w:rsid w:val="00CB5E62"/>
    <w:rsid w:val="00CB6567"/>
    <w:rsid w:val="00CB7672"/>
    <w:rsid w:val="00CB7CCD"/>
    <w:rsid w:val="00CC0448"/>
    <w:rsid w:val="00CC2C8B"/>
    <w:rsid w:val="00CC597D"/>
    <w:rsid w:val="00CD01A7"/>
    <w:rsid w:val="00CD04E4"/>
    <w:rsid w:val="00CD098D"/>
    <w:rsid w:val="00CD54AF"/>
    <w:rsid w:val="00CD6297"/>
    <w:rsid w:val="00CD6E42"/>
    <w:rsid w:val="00CE036F"/>
    <w:rsid w:val="00CE6DF3"/>
    <w:rsid w:val="00CF00B4"/>
    <w:rsid w:val="00CF049D"/>
    <w:rsid w:val="00CF1CD3"/>
    <w:rsid w:val="00CF3EA5"/>
    <w:rsid w:val="00D02CC5"/>
    <w:rsid w:val="00D03809"/>
    <w:rsid w:val="00D03FE6"/>
    <w:rsid w:val="00D06783"/>
    <w:rsid w:val="00D078F2"/>
    <w:rsid w:val="00D13E8A"/>
    <w:rsid w:val="00D14744"/>
    <w:rsid w:val="00D15326"/>
    <w:rsid w:val="00D15F1E"/>
    <w:rsid w:val="00D1632D"/>
    <w:rsid w:val="00D24CF3"/>
    <w:rsid w:val="00D35A9D"/>
    <w:rsid w:val="00D36577"/>
    <w:rsid w:val="00D44BB2"/>
    <w:rsid w:val="00D45050"/>
    <w:rsid w:val="00D452A3"/>
    <w:rsid w:val="00D47CF9"/>
    <w:rsid w:val="00D50491"/>
    <w:rsid w:val="00D5205D"/>
    <w:rsid w:val="00D55BA5"/>
    <w:rsid w:val="00D565B5"/>
    <w:rsid w:val="00D56BEF"/>
    <w:rsid w:val="00D57D04"/>
    <w:rsid w:val="00D60A90"/>
    <w:rsid w:val="00D626A2"/>
    <w:rsid w:val="00D638BB"/>
    <w:rsid w:val="00D64702"/>
    <w:rsid w:val="00D65D0F"/>
    <w:rsid w:val="00D67FAE"/>
    <w:rsid w:val="00D70819"/>
    <w:rsid w:val="00D70C72"/>
    <w:rsid w:val="00D70EE0"/>
    <w:rsid w:val="00D73265"/>
    <w:rsid w:val="00D75BF6"/>
    <w:rsid w:val="00D80FB4"/>
    <w:rsid w:val="00D82F11"/>
    <w:rsid w:val="00D834CC"/>
    <w:rsid w:val="00D8573B"/>
    <w:rsid w:val="00D91684"/>
    <w:rsid w:val="00D93F41"/>
    <w:rsid w:val="00D96222"/>
    <w:rsid w:val="00D97EE0"/>
    <w:rsid w:val="00DA0B97"/>
    <w:rsid w:val="00DA1064"/>
    <w:rsid w:val="00DA1E24"/>
    <w:rsid w:val="00DA2A5C"/>
    <w:rsid w:val="00DA5BBE"/>
    <w:rsid w:val="00DAE366"/>
    <w:rsid w:val="00DB00C3"/>
    <w:rsid w:val="00DB054A"/>
    <w:rsid w:val="00DB37C3"/>
    <w:rsid w:val="00DB5C1D"/>
    <w:rsid w:val="00DB6291"/>
    <w:rsid w:val="00DB701F"/>
    <w:rsid w:val="00DC740F"/>
    <w:rsid w:val="00DD0E84"/>
    <w:rsid w:val="00DD0F20"/>
    <w:rsid w:val="00DD4270"/>
    <w:rsid w:val="00DD551F"/>
    <w:rsid w:val="00DD7F74"/>
    <w:rsid w:val="00DE0161"/>
    <w:rsid w:val="00DE2E35"/>
    <w:rsid w:val="00DE6AB7"/>
    <w:rsid w:val="00DF0E80"/>
    <w:rsid w:val="00DF4245"/>
    <w:rsid w:val="00DF7878"/>
    <w:rsid w:val="00DF7B4D"/>
    <w:rsid w:val="00E00223"/>
    <w:rsid w:val="00E00D08"/>
    <w:rsid w:val="00E01D38"/>
    <w:rsid w:val="00E023F8"/>
    <w:rsid w:val="00E02AF4"/>
    <w:rsid w:val="00E04BBC"/>
    <w:rsid w:val="00E0648E"/>
    <w:rsid w:val="00E06E45"/>
    <w:rsid w:val="00E1258E"/>
    <w:rsid w:val="00E1668A"/>
    <w:rsid w:val="00E2007F"/>
    <w:rsid w:val="00E20B6F"/>
    <w:rsid w:val="00E30DF6"/>
    <w:rsid w:val="00E33E37"/>
    <w:rsid w:val="00E44ED4"/>
    <w:rsid w:val="00E450ED"/>
    <w:rsid w:val="00E50795"/>
    <w:rsid w:val="00E507AC"/>
    <w:rsid w:val="00E5592F"/>
    <w:rsid w:val="00E55EFC"/>
    <w:rsid w:val="00E57DBA"/>
    <w:rsid w:val="00E6031C"/>
    <w:rsid w:val="00E6198A"/>
    <w:rsid w:val="00E652C7"/>
    <w:rsid w:val="00E7055E"/>
    <w:rsid w:val="00E72E88"/>
    <w:rsid w:val="00E742A6"/>
    <w:rsid w:val="00E8066A"/>
    <w:rsid w:val="00E84106"/>
    <w:rsid w:val="00E87721"/>
    <w:rsid w:val="00E90D16"/>
    <w:rsid w:val="00E90EA7"/>
    <w:rsid w:val="00E942A3"/>
    <w:rsid w:val="00E950B1"/>
    <w:rsid w:val="00E95A03"/>
    <w:rsid w:val="00E97D5E"/>
    <w:rsid w:val="00EA1E39"/>
    <w:rsid w:val="00EA3A6C"/>
    <w:rsid w:val="00EA5FFD"/>
    <w:rsid w:val="00EA751F"/>
    <w:rsid w:val="00EB1578"/>
    <w:rsid w:val="00EB47FF"/>
    <w:rsid w:val="00EB67D1"/>
    <w:rsid w:val="00EB7CDE"/>
    <w:rsid w:val="00EC7457"/>
    <w:rsid w:val="00ED2E74"/>
    <w:rsid w:val="00ED3A2F"/>
    <w:rsid w:val="00EE27ED"/>
    <w:rsid w:val="00EE2DD2"/>
    <w:rsid w:val="00EE3A10"/>
    <w:rsid w:val="00EF36A7"/>
    <w:rsid w:val="00EF3901"/>
    <w:rsid w:val="00EF430C"/>
    <w:rsid w:val="00EF4B60"/>
    <w:rsid w:val="00F002C8"/>
    <w:rsid w:val="00F0400A"/>
    <w:rsid w:val="00F04A95"/>
    <w:rsid w:val="00F05197"/>
    <w:rsid w:val="00F06256"/>
    <w:rsid w:val="00F063E8"/>
    <w:rsid w:val="00F06CEE"/>
    <w:rsid w:val="00F07006"/>
    <w:rsid w:val="00F12ECB"/>
    <w:rsid w:val="00F13DB9"/>
    <w:rsid w:val="00F147F9"/>
    <w:rsid w:val="00F1697D"/>
    <w:rsid w:val="00F20671"/>
    <w:rsid w:val="00F2080E"/>
    <w:rsid w:val="00F22AF9"/>
    <w:rsid w:val="00F31532"/>
    <w:rsid w:val="00F338F6"/>
    <w:rsid w:val="00F339FB"/>
    <w:rsid w:val="00F37B8E"/>
    <w:rsid w:val="00F40E12"/>
    <w:rsid w:val="00F45331"/>
    <w:rsid w:val="00F4737F"/>
    <w:rsid w:val="00F47396"/>
    <w:rsid w:val="00F52927"/>
    <w:rsid w:val="00F55548"/>
    <w:rsid w:val="00F567E9"/>
    <w:rsid w:val="00F57E7D"/>
    <w:rsid w:val="00F60232"/>
    <w:rsid w:val="00F60D6B"/>
    <w:rsid w:val="00F63237"/>
    <w:rsid w:val="00F63983"/>
    <w:rsid w:val="00F70AE5"/>
    <w:rsid w:val="00F73102"/>
    <w:rsid w:val="00F739A8"/>
    <w:rsid w:val="00F810B3"/>
    <w:rsid w:val="00F81790"/>
    <w:rsid w:val="00F84989"/>
    <w:rsid w:val="00F8521F"/>
    <w:rsid w:val="00F85428"/>
    <w:rsid w:val="00F87D4E"/>
    <w:rsid w:val="00F91073"/>
    <w:rsid w:val="00F91B39"/>
    <w:rsid w:val="00F93469"/>
    <w:rsid w:val="00F93F8E"/>
    <w:rsid w:val="00FA0E59"/>
    <w:rsid w:val="00FA1C6D"/>
    <w:rsid w:val="00FA3BE3"/>
    <w:rsid w:val="00FA473A"/>
    <w:rsid w:val="00FB022C"/>
    <w:rsid w:val="00FB0912"/>
    <w:rsid w:val="00FB21E2"/>
    <w:rsid w:val="00FC0F4A"/>
    <w:rsid w:val="00FC30CC"/>
    <w:rsid w:val="00FD1433"/>
    <w:rsid w:val="00FE1C5A"/>
    <w:rsid w:val="00FE5D70"/>
    <w:rsid w:val="00FE6802"/>
    <w:rsid w:val="00FE6FD2"/>
    <w:rsid w:val="00FE74B7"/>
    <w:rsid w:val="00FF2F3B"/>
    <w:rsid w:val="00FF54E3"/>
    <w:rsid w:val="110F5302"/>
    <w:rsid w:val="15C3A95A"/>
    <w:rsid w:val="16F19F33"/>
    <w:rsid w:val="185BC5BC"/>
    <w:rsid w:val="22840125"/>
    <w:rsid w:val="26DAC713"/>
    <w:rsid w:val="28BA3A05"/>
    <w:rsid w:val="30A6A90C"/>
    <w:rsid w:val="339DDA52"/>
    <w:rsid w:val="359DF283"/>
    <w:rsid w:val="4C68464B"/>
    <w:rsid w:val="4E3A59D8"/>
    <w:rsid w:val="4F58EA65"/>
    <w:rsid w:val="56F54D2E"/>
    <w:rsid w:val="572BA27D"/>
    <w:rsid w:val="57862F0F"/>
    <w:rsid w:val="5A0CEEAA"/>
    <w:rsid w:val="63439E3F"/>
    <w:rsid w:val="65F44738"/>
    <w:rsid w:val="68491161"/>
    <w:rsid w:val="6AA986DF"/>
    <w:rsid w:val="6E11A738"/>
    <w:rsid w:val="6FAB1117"/>
    <w:rsid w:val="777A961E"/>
    <w:rsid w:val="77E4E901"/>
    <w:rsid w:val="786D4323"/>
    <w:rsid w:val="7DE0901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7495F7"/>
  <w15:docId w15:val="{29CDBBC1-3A5E-4321-80B9-168414F73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7063D"/>
    <w:pPr>
      <w:spacing w:after="160" w:line="259" w:lineRule="auto"/>
    </w:pPr>
    <w:rPr>
      <w:rFonts w:asciiTheme="minorHAnsi" w:eastAsiaTheme="minorEastAsia" w:hAnsiTheme="minorHAnsi" w:cstheme="minorBidi"/>
      <w:sz w:val="22"/>
      <w:szCs w:val="22"/>
      <w:lang w:val="en-GB" w:eastAsia="zh-CN"/>
    </w:rPr>
  </w:style>
  <w:style w:type="paragraph" w:styleId="Heading1">
    <w:name w:val="heading 1"/>
    <w:basedOn w:val="Normal"/>
    <w:next w:val="Normal"/>
    <w:link w:val="Heading1Char"/>
    <w:qFormat/>
    <w:rsid w:val="00A7318E"/>
    <w:pPr>
      <w:keepNext/>
      <w:keepLines/>
      <w:spacing w:before="480"/>
      <w:ind w:left="567" w:hanging="567"/>
      <w:outlineLvl w:val="0"/>
    </w:pPr>
    <w:rPr>
      <w:b/>
      <w:color w:val="44546A" w:themeColor="text2"/>
      <w:sz w:val="28"/>
    </w:rPr>
  </w:style>
  <w:style w:type="paragraph" w:styleId="Heading2">
    <w:name w:val="heading 2"/>
    <w:basedOn w:val="Heading1"/>
    <w:next w:val="Normal"/>
    <w:link w:val="Heading2Char"/>
    <w:qFormat/>
    <w:rsid w:val="00015FB1"/>
    <w:pPr>
      <w:spacing w:before="320"/>
      <w:outlineLvl w:val="1"/>
    </w:pPr>
    <w:rPr>
      <w:sz w:val="24"/>
    </w:rPr>
  </w:style>
  <w:style w:type="paragraph" w:styleId="Heading3">
    <w:name w:val="heading 3"/>
    <w:basedOn w:val="Heading1"/>
    <w:next w:val="Normal"/>
    <w:link w:val="Heading3Char"/>
    <w:qFormat/>
    <w:rsid w:val="00015FB1"/>
    <w:pPr>
      <w:spacing w:before="200"/>
      <w:outlineLvl w:val="2"/>
    </w:pPr>
    <w:rPr>
      <w:sz w:val="24"/>
    </w:rPr>
  </w:style>
  <w:style w:type="paragraph" w:styleId="Heading4">
    <w:name w:val="heading 4"/>
    <w:basedOn w:val="Heading3"/>
    <w:next w:val="Normal"/>
    <w:link w:val="Heading4Char"/>
    <w:qFormat/>
    <w:rsid w:val="00015FB1"/>
    <w:pPr>
      <w:ind w:left="1134" w:hanging="1134"/>
      <w:outlineLvl w:val="3"/>
    </w:pPr>
  </w:style>
  <w:style w:type="paragraph" w:styleId="Heading5">
    <w:name w:val="heading 5"/>
    <w:basedOn w:val="Heading4"/>
    <w:next w:val="Normal"/>
    <w:link w:val="Heading5Char"/>
    <w:qFormat/>
    <w:rsid w:val="00015FB1"/>
    <w:pPr>
      <w:outlineLvl w:val="4"/>
    </w:pPr>
  </w:style>
  <w:style w:type="paragraph" w:styleId="Heading6">
    <w:name w:val="heading 6"/>
    <w:basedOn w:val="Heading4"/>
    <w:next w:val="Normal"/>
    <w:link w:val="Heading6Char"/>
    <w:qFormat/>
    <w:rsid w:val="00015FB1"/>
    <w:pPr>
      <w:outlineLvl w:val="5"/>
    </w:pPr>
  </w:style>
  <w:style w:type="paragraph" w:styleId="Heading7">
    <w:name w:val="heading 7"/>
    <w:basedOn w:val="Heading4"/>
    <w:next w:val="Normal"/>
    <w:link w:val="Heading7Char"/>
    <w:qFormat/>
    <w:rsid w:val="00015FB1"/>
    <w:pPr>
      <w:ind w:left="1701" w:hanging="1701"/>
      <w:outlineLvl w:val="6"/>
    </w:pPr>
  </w:style>
  <w:style w:type="paragraph" w:styleId="Heading8">
    <w:name w:val="heading 8"/>
    <w:basedOn w:val="Heading4"/>
    <w:next w:val="Normal"/>
    <w:link w:val="Heading8Char"/>
    <w:qFormat/>
    <w:rsid w:val="00015FB1"/>
    <w:pPr>
      <w:ind w:left="1701" w:hanging="1701"/>
      <w:outlineLvl w:val="7"/>
    </w:pPr>
  </w:style>
  <w:style w:type="paragraph" w:styleId="Heading9">
    <w:name w:val="heading 9"/>
    <w:basedOn w:val="Heading4"/>
    <w:next w:val="Normal"/>
    <w:link w:val="Heading9Char"/>
    <w:qFormat/>
    <w:rsid w:val="00015FB1"/>
    <w:pPr>
      <w:ind w:left="1701" w:hanging="1701"/>
      <w:outlineLvl w:val="8"/>
    </w:pPr>
  </w:style>
  <w:style w:type="character" w:default="1" w:styleId="DefaultParagraphFont">
    <w:name w:val="Default Paragraph Font"/>
    <w:uiPriority w:val="1"/>
    <w:semiHidden/>
    <w:unhideWhenUsed/>
    <w:rsid w:val="0027063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7063D"/>
  </w:style>
  <w:style w:type="paragraph" w:styleId="Header">
    <w:name w:val="header"/>
    <w:basedOn w:val="Normal"/>
    <w:rsid w:val="00015FB1"/>
    <w:pPr>
      <w:jc w:val="center"/>
    </w:pPr>
    <w:rPr>
      <w:sz w:val="18"/>
    </w:rPr>
  </w:style>
  <w:style w:type="paragraph" w:styleId="Footer">
    <w:name w:val="footer"/>
    <w:basedOn w:val="Normal"/>
    <w:rsid w:val="00015FB1"/>
    <w:pPr>
      <w:tabs>
        <w:tab w:val="left" w:pos="5954"/>
        <w:tab w:val="right" w:pos="9639"/>
      </w:tabs>
    </w:pPr>
    <w:rPr>
      <w:caps/>
      <w:noProof/>
      <w:sz w:val="16"/>
    </w:rPr>
  </w:style>
  <w:style w:type="character" w:styleId="Hyperlink">
    <w:name w:val="Hyperlink"/>
    <w:basedOn w:val="DefaultParagraphFont"/>
    <w:rsid w:val="00015FB1"/>
    <w:rPr>
      <w:color w:val="0000FF"/>
      <w:u w:val="single"/>
    </w:rPr>
  </w:style>
  <w:style w:type="table" w:styleId="TableGrid">
    <w:name w:val="Table Grid"/>
    <w:basedOn w:val="TableNormal"/>
    <w:uiPriority w:val="39"/>
    <w:rsid w:val="00B915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721EED"/>
    <w:rPr>
      <w:rFonts w:ascii="Tahoma" w:hAnsi="Tahoma" w:cs="Tahoma"/>
      <w:sz w:val="16"/>
      <w:szCs w:val="16"/>
    </w:rPr>
  </w:style>
  <w:style w:type="character" w:styleId="FollowedHyperlink">
    <w:name w:val="FollowedHyperlink"/>
    <w:basedOn w:val="DefaultParagraphFont"/>
    <w:rsid w:val="00015FB1"/>
    <w:rPr>
      <w:color w:val="800080"/>
      <w:u w:val="single"/>
    </w:rPr>
  </w:style>
  <w:style w:type="character" w:customStyle="1" w:styleId="apple-style-span">
    <w:name w:val="apple-style-span"/>
    <w:basedOn w:val="DefaultParagraphFont"/>
    <w:rsid w:val="005A3ABC"/>
  </w:style>
  <w:style w:type="paragraph" w:styleId="NormalWeb">
    <w:name w:val="Normal (Web)"/>
    <w:basedOn w:val="Normal"/>
    <w:uiPriority w:val="99"/>
    <w:rsid w:val="00AC7956"/>
    <w:pPr>
      <w:spacing w:after="150" w:line="348" w:lineRule="auto"/>
    </w:pPr>
    <w:rPr>
      <w:rFonts w:ascii="Times New Roman" w:hAnsi="Times New Roman"/>
      <w:color w:val="303030"/>
    </w:rPr>
  </w:style>
  <w:style w:type="character" w:styleId="Strong">
    <w:name w:val="Strong"/>
    <w:uiPriority w:val="22"/>
    <w:qFormat/>
    <w:rsid w:val="00AC7956"/>
    <w:rPr>
      <w:b/>
      <w:bCs/>
    </w:rPr>
  </w:style>
  <w:style w:type="character" w:styleId="CommentReference">
    <w:name w:val="annotation reference"/>
    <w:semiHidden/>
    <w:rsid w:val="006367B6"/>
    <w:rPr>
      <w:sz w:val="16"/>
      <w:szCs w:val="16"/>
    </w:rPr>
  </w:style>
  <w:style w:type="paragraph" w:styleId="CommentText">
    <w:name w:val="annotation text"/>
    <w:basedOn w:val="Normal"/>
    <w:link w:val="CommentTextChar"/>
    <w:uiPriority w:val="99"/>
    <w:rsid w:val="006367B6"/>
    <w:rPr>
      <w:sz w:val="20"/>
    </w:rPr>
  </w:style>
  <w:style w:type="paragraph" w:styleId="CommentSubject">
    <w:name w:val="annotation subject"/>
    <w:basedOn w:val="CommentText"/>
    <w:next w:val="CommentText"/>
    <w:semiHidden/>
    <w:rsid w:val="006367B6"/>
    <w:rPr>
      <w:b/>
      <w:bCs/>
    </w:rPr>
  </w:style>
  <w:style w:type="character" w:customStyle="1" w:styleId="stdnobr">
    <w:name w:val="std nobr"/>
    <w:basedOn w:val="DefaultParagraphFont"/>
    <w:rsid w:val="00B13CEA"/>
  </w:style>
  <w:style w:type="paragraph" w:styleId="ListParagraph">
    <w:name w:val="List Paragraph"/>
    <w:basedOn w:val="Normal"/>
    <w:uiPriority w:val="34"/>
    <w:qFormat/>
    <w:rsid w:val="0080713C"/>
    <w:pPr>
      <w:ind w:left="720"/>
    </w:pPr>
  </w:style>
  <w:style w:type="character" w:customStyle="1" w:styleId="Heading3Char">
    <w:name w:val="Heading 3 Char"/>
    <w:link w:val="Heading3"/>
    <w:rsid w:val="005F716F"/>
    <w:rPr>
      <w:rFonts w:ascii="Calibri" w:eastAsia="Times New Roman" w:hAnsi="Calibri"/>
      <w:b/>
      <w:sz w:val="24"/>
      <w:lang w:val="en-GB" w:eastAsia="en-US"/>
    </w:rPr>
  </w:style>
  <w:style w:type="character" w:customStyle="1" w:styleId="apple-converted-space">
    <w:name w:val="apple-converted-space"/>
    <w:basedOn w:val="DefaultParagraphFont"/>
    <w:rsid w:val="008002FF"/>
  </w:style>
  <w:style w:type="character" w:styleId="Emphasis">
    <w:name w:val="Emphasis"/>
    <w:uiPriority w:val="20"/>
    <w:qFormat/>
    <w:rsid w:val="008002FF"/>
    <w:rPr>
      <w:i/>
      <w:iCs/>
    </w:rPr>
  </w:style>
  <w:style w:type="paragraph" w:styleId="Revision">
    <w:name w:val="Revision"/>
    <w:hidden/>
    <w:uiPriority w:val="99"/>
    <w:semiHidden/>
    <w:rsid w:val="00962DE5"/>
    <w:rPr>
      <w:rFonts w:ascii="Arial" w:hAnsi="Arial"/>
      <w:sz w:val="22"/>
      <w:szCs w:val="24"/>
      <w:lang w:eastAsia="zh-CN"/>
    </w:rPr>
  </w:style>
  <w:style w:type="character" w:customStyle="1" w:styleId="Heading1Char">
    <w:name w:val="Heading 1 Char"/>
    <w:basedOn w:val="DefaultParagraphFont"/>
    <w:link w:val="Heading1"/>
    <w:uiPriority w:val="9"/>
    <w:rsid w:val="00A7318E"/>
    <w:rPr>
      <w:rFonts w:asciiTheme="minorHAnsi" w:eastAsiaTheme="minorHAnsi" w:hAnsiTheme="minorHAnsi" w:cstheme="minorBidi"/>
      <w:b/>
      <w:color w:val="44546A" w:themeColor="text2"/>
      <w:sz w:val="28"/>
      <w:szCs w:val="22"/>
      <w:lang w:val="en-GB" w:eastAsia="en-US"/>
    </w:rPr>
  </w:style>
  <w:style w:type="character" w:customStyle="1" w:styleId="Heading2Char">
    <w:name w:val="Heading 2 Char"/>
    <w:basedOn w:val="DefaultParagraphFont"/>
    <w:link w:val="Heading2"/>
    <w:uiPriority w:val="9"/>
    <w:rsid w:val="00496213"/>
    <w:rPr>
      <w:rFonts w:ascii="Calibri" w:eastAsia="Times New Roman" w:hAnsi="Calibri"/>
      <w:b/>
      <w:sz w:val="24"/>
      <w:lang w:val="en-GB" w:eastAsia="en-US"/>
    </w:rPr>
  </w:style>
  <w:style w:type="character" w:customStyle="1" w:styleId="Heading4Char">
    <w:name w:val="Heading 4 Char"/>
    <w:basedOn w:val="DefaultParagraphFont"/>
    <w:link w:val="Heading4"/>
    <w:rsid w:val="00496213"/>
    <w:rPr>
      <w:rFonts w:ascii="Calibri" w:eastAsia="Times New Roman" w:hAnsi="Calibri"/>
      <w:b/>
      <w:sz w:val="24"/>
      <w:lang w:val="en-GB" w:eastAsia="en-US"/>
    </w:rPr>
  </w:style>
  <w:style w:type="paragraph" w:customStyle="1" w:styleId="text-sm-justify">
    <w:name w:val="text-sm-justify"/>
    <w:basedOn w:val="Normal"/>
    <w:rsid w:val="00496213"/>
    <w:pPr>
      <w:spacing w:before="100" w:beforeAutospacing="1" w:after="100" w:afterAutospacing="1"/>
    </w:pPr>
    <w:rPr>
      <w:rFonts w:ascii="Times New Roman" w:hAnsi="Times New Roman"/>
    </w:rPr>
  </w:style>
  <w:style w:type="character" w:customStyle="1" w:styleId="icon">
    <w:name w:val="icon"/>
    <w:basedOn w:val="DefaultParagraphFont"/>
    <w:rsid w:val="00496213"/>
  </w:style>
  <w:style w:type="paragraph" w:styleId="NoSpacing">
    <w:name w:val="No Spacing"/>
    <w:uiPriority w:val="1"/>
    <w:qFormat/>
    <w:rsid w:val="00A4220F"/>
    <w:pPr>
      <w:tabs>
        <w:tab w:val="left" w:pos="794"/>
        <w:tab w:val="left" w:pos="1191"/>
        <w:tab w:val="left" w:pos="1588"/>
        <w:tab w:val="left" w:pos="1985"/>
      </w:tabs>
      <w:overflowPunct w:val="0"/>
      <w:autoSpaceDE w:val="0"/>
      <w:autoSpaceDN w:val="0"/>
      <w:adjustRightInd w:val="0"/>
      <w:textAlignment w:val="baseline"/>
    </w:pPr>
    <w:rPr>
      <w:rFonts w:eastAsia="Times New Roman"/>
      <w:sz w:val="24"/>
      <w:lang w:val="en-GB" w:eastAsia="en-US"/>
    </w:rPr>
  </w:style>
  <w:style w:type="paragraph" w:customStyle="1" w:styleId="Source">
    <w:name w:val="Source"/>
    <w:basedOn w:val="Normal"/>
    <w:next w:val="Title1"/>
    <w:autoRedefine/>
    <w:rsid w:val="00D75BF6"/>
    <w:pPr>
      <w:framePr w:hSpace="181" w:wrap="around" w:hAnchor="margin" w:y="-674"/>
      <w:spacing w:before="720" w:after="120" w:line="240" w:lineRule="auto"/>
      <w:jc w:val="center"/>
    </w:pPr>
    <w:rPr>
      <w:b/>
      <w:sz w:val="28"/>
      <w:szCs w:val="28"/>
    </w:rPr>
  </w:style>
  <w:style w:type="character" w:customStyle="1" w:styleId="Heading5Char">
    <w:name w:val="Heading 5 Char"/>
    <w:basedOn w:val="DefaultParagraphFont"/>
    <w:link w:val="Heading5"/>
    <w:rsid w:val="0036762C"/>
    <w:rPr>
      <w:rFonts w:ascii="Calibri" w:eastAsia="Times New Roman" w:hAnsi="Calibri"/>
      <w:b/>
      <w:sz w:val="24"/>
      <w:lang w:val="en-GB" w:eastAsia="en-US"/>
    </w:rPr>
  </w:style>
  <w:style w:type="character" w:customStyle="1" w:styleId="Heading6Char">
    <w:name w:val="Heading 6 Char"/>
    <w:basedOn w:val="DefaultParagraphFont"/>
    <w:link w:val="Heading6"/>
    <w:rsid w:val="0036762C"/>
    <w:rPr>
      <w:rFonts w:ascii="Calibri" w:eastAsia="Times New Roman" w:hAnsi="Calibri"/>
      <w:b/>
      <w:sz w:val="24"/>
      <w:lang w:val="en-GB" w:eastAsia="en-US"/>
    </w:rPr>
  </w:style>
  <w:style w:type="character" w:customStyle="1" w:styleId="Heading7Char">
    <w:name w:val="Heading 7 Char"/>
    <w:basedOn w:val="DefaultParagraphFont"/>
    <w:link w:val="Heading7"/>
    <w:rsid w:val="0036762C"/>
    <w:rPr>
      <w:rFonts w:ascii="Calibri" w:eastAsia="Times New Roman" w:hAnsi="Calibri"/>
      <w:b/>
      <w:sz w:val="24"/>
      <w:lang w:val="en-GB" w:eastAsia="en-US"/>
    </w:rPr>
  </w:style>
  <w:style w:type="character" w:customStyle="1" w:styleId="Heading8Char">
    <w:name w:val="Heading 8 Char"/>
    <w:basedOn w:val="DefaultParagraphFont"/>
    <w:link w:val="Heading8"/>
    <w:rsid w:val="0036762C"/>
    <w:rPr>
      <w:rFonts w:ascii="Calibri" w:eastAsia="Times New Roman" w:hAnsi="Calibri"/>
      <w:b/>
      <w:sz w:val="24"/>
      <w:lang w:val="en-GB" w:eastAsia="en-US"/>
    </w:rPr>
  </w:style>
  <w:style w:type="character" w:customStyle="1" w:styleId="Heading9Char">
    <w:name w:val="Heading 9 Char"/>
    <w:basedOn w:val="DefaultParagraphFont"/>
    <w:link w:val="Heading9"/>
    <w:rsid w:val="0036762C"/>
    <w:rPr>
      <w:rFonts w:ascii="Calibri" w:eastAsia="Times New Roman" w:hAnsi="Calibri"/>
      <w:b/>
      <w:sz w:val="24"/>
      <w:lang w:val="en-GB" w:eastAsia="en-US"/>
    </w:rPr>
  </w:style>
  <w:style w:type="paragraph" w:styleId="TOC8">
    <w:name w:val="toc 8"/>
    <w:basedOn w:val="Normal"/>
    <w:next w:val="Normal"/>
    <w:rsid w:val="00015FB1"/>
    <w:pPr>
      <w:tabs>
        <w:tab w:val="left" w:pos="964"/>
        <w:tab w:val="left" w:leader="dot" w:pos="8789"/>
        <w:tab w:val="right" w:pos="9639"/>
      </w:tabs>
      <w:ind w:left="964" w:hanging="964"/>
    </w:pPr>
  </w:style>
  <w:style w:type="paragraph" w:styleId="TOC4">
    <w:name w:val="toc 4"/>
    <w:basedOn w:val="Normal"/>
    <w:next w:val="Normal"/>
    <w:rsid w:val="00015FB1"/>
    <w:pPr>
      <w:tabs>
        <w:tab w:val="left" w:pos="964"/>
        <w:tab w:val="left" w:pos="8789"/>
        <w:tab w:val="right" w:pos="9639"/>
      </w:tabs>
      <w:ind w:left="964" w:hanging="964"/>
    </w:pPr>
  </w:style>
  <w:style w:type="paragraph" w:styleId="TOC3">
    <w:name w:val="toc 3"/>
    <w:basedOn w:val="Normal"/>
    <w:next w:val="Normal"/>
    <w:rsid w:val="00015FB1"/>
    <w:pPr>
      <w:tabs>
        <w:tab w:val="left" w:pos="964"/>
        <w:tab w:val="left" w:leader="dot" w:pos="8789"/>
        <w:tab w:val="right" w:pos="9639"/>
      </w:tabs>
      <w:ind w:left="964" w:hanging="964"/>
    </w:pPr>
  </w:style>
  <w:style w:type="paragraph" w:styleId="TOC2">
    <w:name w:val="toc 2"/>
    <w:basedOn w:val="Normal"/>
    <w:next w:val="Normal"/>
    <w:rsid w:val="00015FB1"/>
    <w:pPr>
      <w:tabs>
        <w:tab w:val="left" w:pos="964"/>
        <w:tab w:val="left" w:leader="dot" w:pos="8789"/>
        <w:tab w:val="right" w:pos="9639"/>
      </w:tabs>
      <w:ind w:left="964" w:hanging="964"/>
    </w:pPr>
  </w:style>
  <w:style w:type="paragraph" w:styleId="TOC1">
    <w:name w:val="toc 1"/>
    <w:basedOn w:val="Normal"/>
    <w:rsid w:val="00015FB1"/>
    <w:pPr>
      <w:tabs>
        <w:tab w:val="left" w:pos="964"/>
        <w:tab w:val="left" w:leader="dot" w:pos="8789"/>
        <w:tab w:val="right" w:pos="9639"/>
      </w:tabs>
      <w:spacing w:before="240"/>
      <w:ind w:left="964" w:hanging="964"/>
    </w:pPr>
  </w:style>
  <w:style w:type="paragraph" w:styleId="TOC7">
    <w:name w:val="toc 7"/>
    <w:basedOn w:val="Normal"/>
    <w:next w:val="Normal"/>
    <w:rsid w:val="00015FB1"/>
    <w:pPr>
      <w:tabs>
        <w:tab w:val="left" w:pos="964"/>
        <w:tab w:val="left" w:leader="dot" w:pos="8789"/>
        <w:tab w:val="right" w:pos="9639"/>
      </w:tabs>
      <w:ind w:left="964" w:hanging="964"/>
    </w:pPr>
  </w:style>
  <w:style w:type="paragraph" w:styleId="TOC6">
    <w:name w:val="toc 6"/>
    <w:basedOn w:val="Normal"/>
    <w:next w:val="Normal"/>
    <w:rsid w:val="00015FB1"/>
    <w:pPr>
      <w:tabs>
        <w:tab w:val="left" w:pos="964"/>
        <w:tab w:val="left" w:leader="dot" w:pos="8789"/>
        <w:tab w:val="right" w:pos="9639"/>
      </w:tabs>
      <w:ind w:left="964" w:hanging="964"/>
    </w:pPr>
  </w:style>
  <w:style w:type="paragraph" w:styleId="TOC5">
    <w:name w:val="toc 5"/>
    <w:basedOn w:val="Normal"/>
    <w:next w:val="Normal"/>
    <w:rsid w:val="00015FB1"/>
    <w:pPr>
      <w:tabs>
        <w:tab w:val="left" w:pos="964"/>
        <w:tab w:val="left" w:leader="dot" w:pos="8789"/>
        <w:tab w:val="right" w:pos="9639"/>
      </w:tabs>
      <w:ind w:left="964" w:hanging="964"/>
    </w:pPr>
  </w:style>
  <w:style w:type="paragraph" w:styleId="Index7">
    <w:name w:val="index 7"/>
    <w:basedOn w:val="Normal"/>
    <w:next w:val="Normal"/>
    <w:rsid w:val="00015FB1"/>
    <w:pPr>
      <w:ind w:left="1698"/>
    </w:pPr>
  </w:style>
  <w:style w:type="paragraph" w:styleId="Index6">
    <w:name w:val="index 6"/>
    <w:basedOn w:val="Normal"/>
    <w:next w:val="Normal"/>
    <w:rsid w:val="00015FB1"/>
    <w:pPr>
      <w:ind w:left="1415"/>
    </w:pPr>
  </w:style>
  <w:style w:type="paragraph" w:styleId="Index5">
    <w:name w:val="index 5"/>
    <w:basedOn w:val="Normal"/>
    <w:next w:val="Normal"/>
    <w:rsid w:val="00015FB1"/>
    <w:pPr>
      <w:ind w:left="1132"/>
    </w:pPr>
  </w:style>
  <w:style w:type="paragraph" w:styleId="Index4">
    <w:name w:val="index 4"/>
    <w:basedOn w:val="Normal"/>
    <w:next w:val="Normal"/>
    <w:rsid w:val="00015FB1"/>
    <w:pPr>
      <w:ind w:left="849"/>
    </w:pPr>
  </w:style>
  <w:style w:type="paragraph" w:styleId="Index3">
    <w:name w:val="index 3"/>
    <w:basedOn w:val="Normal"/>
    <w:next w:val="Normal"/>
    <w:rsid w:val="00015FB1"/>
    <w:pPr>
      <w:ind w:left="566"/>
    </w:pPr>
  </w:style>
  <w:style w:type="paragraph" w:styleId="Index2">
    <w:name w:val="index 2"/>
    <w:basedOn w:val="Normal"/>
    <w:next w:val="Normal"/>
    <w:rsid w:val="00015FB1"/>
    <w:pPr>
      <w:ind w:left="283"/>
    </w:pPr>
  </w:style>
  <w:style w:type="paragraph" w:styleId="Index1">
    <w:name w:val="index 1"/>
    <w:basedOn w:val="Normal"/>
    <w:next w:val="Normal"/>
    <w:rsid w:val="00015FB1"/>
  </w:style>
  <w:style w:type="character" w:styleId="LineNumber">
    <w:name w:val="line number"/>
    <w:basedOn w:val="DefaultParagraphFont"/>
    <w:rsid w:val="00015FB1"/>
  </w:style>
  <w:style w:type="paragraph" w:styleId="IndexHeading">
    <w:name w:val="index heading"/>
    <w:basedOn w:val="Normal"/>
    <w:next w:val="Index1"/>
    <w:rsid w:val="00015FB1"/>
  </w:style>
  <w:style w:type="character" w:styleId="FootnoteReference">
    <w:name w:val="footnote reference"/>
    <w:basedOn w:val="DefaultParagraphFont"/>
    <w:uiPriority w:val="99"/>
    <w:rsid w:val="00015FB1"/>
    <w:rPr>
      <w:rFonts w:ascii="Calibri" w:hAnsi="Calibri"/>
      <w:position w:val="6"/>
      <w:sz w:val="16"/>
    </w:rPr>
  </w:style>
  <w:style w:type="paragraph" w:styleId="FootnoteText">
    <w:name w:val="footnote text"/>
    <w:basedOn w:val="Normal"/>
    <w:link w:val="FootnoteTextChar"/>
    <w:uiPriority w:val="99"/>
    <w:rsid w:val="00015FB1"/>
    <w:pPr>
      <w:keepLines/>
      <w:tabs>
        <w:tab w:val="left" w:pos="256"/>
      </w:tabs>
      <w:ind w:left="256" w:hanging="256"/>
    </w:pPr>
  </w:style>
  <w:style w:type="character" w:customStyle="1" w:styleId="FootnoteTextChar">
    <w:name w:val="Footnote Text Char"/>
    <w:basedOn w:val="DefaultParagraphFont"/>
    <w:link w:val="FootnoteText"/>
    <w:uiPriority w:val="99"/>
    <w:rsid w:val="0036762C"/>
    <w:rPr>
      <w:rFonts w:ascii="Calibri" w:eastAsia="Times New Roman" w:hAnsi="Calibri"/>
      <w:sz w:val="24"/>
      <w:lang w:val="en-GB" w:eastAsia="en-US"/>
    </w:rPr>
  </w:style>
  <w:style w:type="paragraph" w:styleId="NormalIndent">
    <w:name w:val="Normal Indent"/>
    <w:basedOn w:val="Normal"/>
    <w:rsid w:val="00015FB1"/>
    <w:pPr>
      <w:ind w:left="567"/>
    </w:pPr>
  </w:style>
  <w:style w:type="paragraph" w:customStyle="1" w:styleId="enumlev1">
    <w:name w:val="enumlev1"/>
    <w:basedOn w:val="Normal"/>
    <w:rsid w:val="00015FB1"/>
    <w:pPr>
      <w:spacing w:before="86"/>
      <w:ind w:left="567" w:hanging="567"/>
    </w:pPr>
  </w:style>
  <w:style w:type="paragraph" w:customStyle="1" w:styleId="enumlev2">
    <w:name w:val="enumlev2"/>
    <w:basedOn w:val="enumlev1"/>
    <w:rsid w:val="00015FB1"/>
    <w:pPr>
      <w:ind w:left="1134"/>
    </w:pPr>
  </w:style>
  <w:style w:type="paragraph" w:customStyle="1" w:styleId="enumlev3">
    <w:name w:val="enumlev3"/>
    <w:basedOn w:val="enumlev2"/>
    <w:rsid w:val="00015FB1"/>
    <w:pPr>
      <w:ind w:left="1701"/>
    </w:pPr>
  </w:style>
  <w:style w:type="paragraph" w:customStyle="1" w:styleId="Normalaftertitle">
    <w:name w:val="Normal after title"/>
    <w:basedOn w:val="Normal"/>
    <w:next w:val="Normal"/>
    <w:rsid w:val="00015FB1"/>
    <w:pPr>
      <w:spacing w:before="240"/>
    </w:pPr>
  </w:style>
  <w:style w:type="paragraph" w:customStyle="1" w:styleId="Equation">
    <w:name w:val="Equation"/>
    <w:basedOn w:val="Normal"/>
    <w:rsid w:val="00015FB1"/>
    <w:pPr>
      <w:tabs>
        <w:tab w:val="center" w:pos="4820"/>
        <w:tab w:val="right" w:pos="9639"/>
      </w:tabs>
    </w:pPr>
  </w:style>
  <w:style w:type="paragraph" w:customStyle="1" w:styleId="Head">
    <w:name w:val="Head"/>
    <w:basedOn w:val="Normal"/>
    <w:rsid w:val="00015FB1"/>
    <w:pPr>
      <w:tabs>
        <w:tab w:val="left" w:pos="6663"/>
      </w:tabs>
    </w:pPr>
  </w:style>
  <w:style w:type="paragraph" w:customStyle="1" w:styleId="toc0">
    <w:name w:val="toc 0"/>
    <w:basedOn w:val="Normal"/>
    <w:next w:val="TOC1"/>
    <w:rsid w:val="00015FB1"/>
    <w:pPr>
      <w:tabs>
        <w:tab w:val="right" w:pos="9781"/>
      </w:tabs>
    </w:pPr>
    <w:rPr>
      <w:b/>
    </w:rPr>
  </w:style>
  <w:style w:type="paragraph" w:styleId="List">
    <w:name w:val="List"/>
    <w:basedOn w:val="Normal"/>
    <w:rsid w:val="00015FB1"/>
    <w:pPr>
      <w:tabs>
        <w:tab w:val="left" w:pos="2127"/>
      </w:tabs>
      <w:ind w:left="2127" w:hanging="2127"/>
    </w:pPr>
  </w:style>
  <w:style w:type="paragraph" w:customStyle="1" w:styleId="Part">
    <w:name w:val="Part"/>
    <w:basedOn w:val="Normal"/>
    <w:next w:val="Normal"/>
    <w:rsid w:val="00015FB1"/>
    <w:pPr>
      <w:spacing w:before="600"/>
      <w:jc w:val="center"/>
    </w:pPr>
    <w:rPr>
      <w:caps/>
      <w:sz w:val="28"/>
    </w:rPr>
  </w:style>
  <w:style w:type="paragraph" w:customStyle="1" w:styleId="meeting">
    <w:name w:val="meeting"/>
    <w:basedOn w:val="Head"/>
    <w:next w:val="Head"/>
    <w:rsid w:val="00015FB1"/>
    <w:pPr>
      <w:tabs>
        <w:tab w:val="left" w:pos="7371"/>
      </w:tabs>
      <w:spacing w:after="567"/>
    </w:pPr>
  </w:style>
  <w:style w:type="paragraph" w:customStyle="1" w:styleId="Subject">
    <w:name w:val="Subject"/>
    <w:basedOn w:val="Normal"/>
    <w:next w:val="Source"/>
    <w:rsid w:val="00015FB1"/>
    <w:pPr>
      <w:ind w:left="1134" w:hanging="1134"/>
    </w:pPr>
  </w:style>
  <w:style w:type="paragraph" w:customStyle="1" w:styleId="Object">
    <w:name w:val="Object"/>
    <w:basedOn w:val="Subject"/>
    <w:next w:val="Subject"/>
    <w:rsid w:val="00015FB1"/>
  </w:style>
  <w:style w:type="paragraph" w:customStyle="1" w:styleId="Data">
    <w:name w:val="Data"/>
    <w:basedOn w:val="Subject"/>
    <w:next w:val="Subject"/>
    <w:rsid w:val="00015FB1"/>
  </w:style>
  <w:style w:type="paragraph" w:customStyle="1" w:styleId="Reasons">
    <w:name w:val="Reasons"/>
    <w:basedOn w:val="Normal"/>
    <w:rsid w:val="00015FB1"/>
  </w:style>
  <w:style w:type="paragraph" w:customStyle="1" w:styleId="FirstFooter">
    <w:name w:val="FirstFooter"/>
    <w:basedOn w:val="Footer"/>
    <w:rsid w:val="00015FB1"/>
    <w:rPr>
      <w:caps w:val="0"/>
    </w:rPr>
  </w:style>
  <w:style w:type="paragraph" w:customStyle="1" w:styleId="Note">
    <w:name w:val="Note"/>
    <w:basedOn w:val="Normal"/>
    <w:rsid w:val="00015FB1"/>
    <w:pPr>
      <w:tabs>
        <w:tab w:val="left" w:pos="851"/>
      </w:tabs>
    </w:pPr>
  </w:style>
  <w:style w:type="paragraph" w:styleId="TOC9">
    <w:name w:val="toc 9"/>
    <w:basedOn w:val="TOC4"/>
    <w:rsid w:val="00015FB1"/>
  </w:style>
  <w:style w:type="paragraph" w:customStyle="1" w:styleId="Headingb">
    <w:name w:val="Heading_b"/>
    <w:basedOn w:val="Heading3"/>
    <w:next w:val="Normal"/>
    <w:rsid w:val="00015FB1"/>
    <w:pPr>
      <w:spacing w:before="160"/>
      <w:outlineLvl w:val="0"/>
    </w:pPr>
  </w:style>
  <w:style w:type="paragraph" w:customStyle="1" w:styleId="Title1">
    <w:name w:val="Title 1"/>
    <w:basedOn w:val="Source"/>
    <w:next w:val="Title2"/>
    <w:rsid w:val="00015FB1"/>
    <w:pPr>
      <w:framePr w:wrap="around"/>
      <w:spacing w:before="240"/>
    </w:pPr>
    <w:rPr>
      <w:b w:val="0"/>
      <w:caps/>
    </w:rPr>
  </w:style>
  <w:style w:type="paragraph" w:customStyle="1" w:styleId="Title2">
    <w:name w:val="Title 2"/>
    <w:basedOn w:val="Source"/>
    <w:next w:val="Title3"/>
    <w:rsid w:val="00015FB1"/>
    <w:pPr>
      <w:framePr w:wrap="around"/>
      <w:spacing w:before="240"/>
    </w:pPr>
    <w:rPr>
      <w:b w:val="0"/>
      <w:caps/>
    </w:rPr>
  </w:style>
  <w:style w:type="paragraph" w:customStyle="1" w:styleId="Title3">
    <w:name w:val="Title 3"/>
    <w:basedOn w:val="Title2"/>
    <w:next w:val="Normalaftertitle"/>
    <w:rsid w:val="00015FB1"/>
    <w:pPr>
      <w:framePr w:wrap="around"/>
    </w:pPr>
    <w:rPr>
      <w:caps w:val="0"/>
    </w:rPr>
  </w:style>
  <w:style w:type="paragraph" w:customStyle="1" w:styleId="Title4">
    <w:name w:val="Title 4"/>
    <w:basedOn w:val="Title3"/>
    <w:next w:val="Heading1"/>
    <w:rsid w:val="00015FB1"/>
    <w:pPr>
      <w:framePr w:wrap="around"/>
    </w:pPr>
    <w:rPr>
      <w:b/>
    </w:rPr>
  </w:style>
  <w:style w:type="paragraph" w:customStyle="1" w:styleId="dnum">
    <w:name w:val="dnum"/>
    <w:basedOn w:val="Normal"/>
    <w:rsid w:val="00015FB1"/>
    <w:pPr>
      <w:framePr w:hSpace="181" w:wrap="around" w:vAnchor="page" w:hAnchor="margin" w:y="852"/>
      <w:shd w:val="solid" w:color="FFFFFF" w:fill="FFFFFF"/>
      <w:tabs>
        <w:tab w:val="left" w:pos="1871"/>
      </w:tabs>
    </w:pPr>
    <w:rPr>
      <w:b/>
      <w:bCs/>
    </w:rPr>
  </w:style>
  <w:style w:type="paragraph" w:customStyle="1" w:styleId="ddate">
    <w:name w:val="ddate"/>
    <w:basedOn w:val="Normal"/>
    <w:rsid w:val="00015FB1"/>
    <w:pPr>
      <w:framePr w:hSpace="181" w:wrap="around" w:vAnchor="page" w:hAnchor="margin" w:y="852"/>
      <w:shd w:val="solid" w:color="FFFFFF" w:fill="FFFFFF"/>
      <w:tabs>
        <w:tab w:val="left" w:pos="1871"/>
      </w:tabs>
    </w:pPr>
    <w:rPr>
      <w:b/>
      <w:bCs/>
    </w:rPr>
  </w:style>
  <w:style w:type="paragraph" w:customStyle="1" w:styleId="dorlang">
    <w:name w:val="dorlang"/>
    <w:basedOn w:val="Normal"/>
    <w:rsid w:val="00015FB1"/>
    <w:pPr>
      <w:framePr w:hSpace="181" w:wrap="around" w:vAnchor="page" w:hAnchor="margin" w:y="852"/>
      <w:shd w:val="solid" w:color="FFFFFF" w:fill="FFFFFF"/>
      <w:tabs>
        <w:tab w:val="left" w:pos="1871"/>
      </w:tabs>
    </w:pPr>
    <w:rPr>
      <w:b/>
      <w:bCs/>
    </w:rPr>
  </w:style>
  <w:style w:type="paragraph" w:customStyle="1" w:styleId="AnnexNo">
    <w:name w:val="Annex_No"/>
    <w:basedOn w:val="Normal"/>
    <w:next w:val="Annexref"/>
    <w:rsid w:val="00015FB1"/>
    <w:pPr>
      <w:spacing w:before="720"/>
      <w:jc w:val="center"/>
    </w:pPr>
    <w:rPr>
      <w:caps/>
      <w:sz w:val="28"/>
    </w:rPr>
  </w:style>
  <w:style w:type="paragraph" w:customStyle="1" w:styleId="Annextitle">
    <w:name w:val="Annex_title"/>
    <w:basedOn w:val="Normal"/>
    <w:next w:val="Normal"/>
    <w:rsid w:val="00015FB1"/>
    <w:pPr>
      <w:spacing w:before="240" w:after="240"/>
      <w:jc w:val="center"/>
    </w:pPr>
    <w:rPr>
      <w:b/>
      <w:sz w:val="28"/>
    </w:rPr>
  </w:style>
  <w:style w:type="paragraph" w:customStyle="1" w:styleId="Annexref">
    <w:name w:val="Annex_ref"/>
    <w:basedOn w:val="Normal"/>
    <w:next w:val="Annextitle"/>
    <w:rsid w:val="00015FB1"/>
    <w:pPr>
      <w:jc w:val="center"/>
    </w:pPr>
  </w:style>
  <w:style w:type="paragraph" w:customStyle="1" w:styleId="AppendixNo">
    <w:name w:val="Appendix_No"/>
    <w:basedOn w:val="AnnexNo"/>
    <w:next w:val="Appendixref"/>
    <w:rsid w:val="00015FB1"/>
  </w:style>
  <w:style w:type="paragraph" w:customStyle="1" w:styleId="Appendixtitle">
    <w:name w:val="Appendix_title"/>
    <w:basedOn w:val="Annextitle"/>
    <w:next w:val="Normal"/>
    <w:rsid w:val="00015FB1"/>
  </w:style>
  <w:style w:type="paragraph" w:customStyle="1" w:styleId="Appendixref">
    <w:name w:val="Appendix_ref"/>
    <w:basedOn w:val="Annexref"/>
    <w:next w:val="Appendixtitle"/>
    <w:rsid w:val="00015FB1"/>
  </w:style>
  <w:style w:type="paragraph" w:customStyle="1" w:styleId="Call">
    <w:name w:val="Call"/>
    <w:basedOn w:val="Normal"/>
    <w:next w:val="Normal"/>
    <w:rsid w:val="00015FB1"/>
    <w:pPr>
      <w:keepNext/>
      <w:keepLines/>
      <w:spacing w:before="160"/>
      <w:ind w:left="567"/>
    </w:pPr>
    <w:rPr>
      <w:i/>
    </w:rPr>
  </w:style>
  <w:style w:type="paragraph" w:customStyle="1" w:styleId="Equationlegend">
    <w:name w:val="Equation_legend"/>
    <w:basedOn w:val="Normal"/>
    <w:rsid w:val="00015FB1"/>
    <w:pPr>
      <w:tabs>
        <w:tab w:val="right" w:pos="1531"/>
      </w:tabs>
      <w:spacing w:before="80"/>
      <w:ind w:left="1701" w:hanging="1701"/>
    </w:pPr>
  </w:style>
  <w:style w:type="paragraph" w:customStyle="1" w:styleId="Figure">
    <w:name w:val="Figure"/>
    <w:basedOn w:val="Normal"/>
    <w:next w:val="Figuretitle"/>
    <w:rsid w:val="00015FB1"/>
    <w:pPr>
      <w:keepNext/>
      <w:keepLines/>
      <w:spacing w:after="120"/>
      <w:jc w:val="center"/>
    </w:pPr>
  </w:style>
  <w:style w:type="paragraph" w:customStyle="1" w:styleId="Figuretitle">
    <w:name w:val="Figure_title"/>
    <w:basedOn w:val="Tabletitle"/>
    <w:next w:val="Normalaftertitle"/>
    <w:rsid w:val="00015FB1"/>
    <w:pPr>
      <w:spacing w:before="240" w:after="480"/>
    </w:pPr>
  </w:style>
  <w:style w:type="paragraph" w:customStyle="1" w:styleId="Tabletitle">
    <w:name w:val="Table_title"/>
    <w:basedOn w:val="TableNo"/>
    <w:next w:val="Tabletext"/>
    <w:rsid w:val="00015FB1"/>
    <w:pPr>
      <w:tabs>
        <w:tab w:val="left" w:pos="2948"/>
        <w:tab w:val="left" w:pos="4082"/>
      </w:tabs>
      <w:spacing w:before="0"/>
    </w:pPr>
    <w:rPr>
      <w:b/>
      <w:caps w:val="0"/>
    </w:rPr>
  </w:style>
  <w:style w:type="paragraph" w:customStyle="1" w:styleId="TableNo">
    <w:name w:val="Table_No"/>
    <w:basedOn w:val="Normal"/>
    <w:next w:val="Tabletitle"/>
    <w:rsid w:val="00015FB1"/>
    <w:pPr>
      <w:keepNext/>
      <w:spacing w:before="560" w:after="120"/>
      <w:jc w:val="center"/>
    </w:pPr>
    <w:rPr>
      <w:caps/>
    </w:rPr>
  </w:style>
  <w:style w:type="paragraph" w:customStyle="1" w:styleId="Tabletext">
    <w:name w:val="Table_text"/>
    <w:basedOn w:val="Normal"/>
    <w:rsid w:val="00015FB1"/>
    <w:pPr>
      <w:spacing w:before="60" w:after="60"/>
    </w:pPr>
  </w:style>
  <w:style w:type="paragraph" w:customStyle="1" w:styleId="Figurelegend">
    <w:name w:val="Figure_legend"/>
    <w:basedOn w:val="Normal"/>
    <w:rsid w:val="00015FB1"/>
    <w:pPr>
      <w:keepNext/>
      <w:keepLines/>
      <w:spacing w:before="20" w:after="20"/>
    </w:pPr>
    <w:rPr>
      <w:sz w:val="18"/>
    </w:rPr>
  </w:style>
  <w:style w:type="paragraph" w:customStyle="1" w:styleId="FigureNo">
    <w:name w:val="Figure_No"/>
    <w:basedOn w:val="Normal"/>
    <w:next w:val="Figuretitle"/>
    <w:rsid w:val="00015FB1"/>
    <w:pPr>
      <w:keepNext/>
      <w:keepLines/>
      <w:spacing w:before="240" w:after="120"/>
      <w:jc w:val="center"/>
    </w:pPr>
    <w:rPr>
      <w:caps/>
    </w:rPr>
  </w:style>
  <w:style w:type="paragraph" w:customStyle="1" w:styleId="Figurewithouttitle">
    <w:name w:val="Figure_without_title"/>
    <w:basedOn w:val="Figure"/>
    <w:next w:val="Normalaftertitle"/>
    <w:rsid w:val="00015FB1"/>
    <w:pPr>
      <w:keepNext w:val="0"/>
      <w:spacing w:after="240"/>
    </w:pPr>
  </w:style>
  <w:style w:type="paragraph" w:customStyle="1" w:styleId="Headingi">
    <w:name w:val="Heading_i"/>
    <w:basedOn w:val="Heading3"/>
    <w:next w:val="Normal"/>
    <w:rsid w:val="00015FB1"/>
    <w:pPr>
      <w:spacing w:before="160"/>
      <w:outlineLvl w:val="0"/>
    </w:pPr>
    <w:rPr>
      <w:b w:val="0"/>
      <w:i/>
    </w:rPr>
  </w:style>
  <w:style w:type="character" w:styleId="PageNumber">
    <w:name w:val="page number"/>
    <w:basedOn w:val="DefaultParagraphFont"/>
    <w:rsid w:val="00015FB1"/>
    <w:rPr>
      <w:rFonts w:ascii="Calibri" w:hAnsi="Calibri"/>
    </w:rPr>
  </w:style>
  <w:style w:type="paragraph" w:customStyle="1" w:styleId="PartNo">
    <w:name w:val="Part_No"/>
    <w:basedOn w:val="AnnexNo"/>
    <w:next w:val="Parttitle"/>
    <w:rsid w:val="00015FB1"/>
  </w:style>
  <w:style w:type="paragraph" w:customStyle="1" w:styleId="Parttitle">
    <w:name w:val="Part_title"/>
    <w:basedOn w:val="Annextitle"/>
    <w:next w:val="Partref"/>
    <w:rsid w:val="00015FB1"/>
  </w:style>
  <w:style w:type="paragraph" w:customStyle="1" w:styleId="Partref">
    <w:name w:val="Part_ref"/>
    <w:basedOn w:val="Annexref"/>
    <w:next w:val="Normalaftertitle"/>
    <w:rsid w:val="00015FB1"/>
  </w:style>
  <w:style w:type="paragraph" w:customStyle="1" w:styleId="RecNo">
    <w:name w:val="Rec_No"/>
    <w:basedOn w:val="Normal"/>
    <w:next w:val="Rectitle"/>
    <w:rsid w:val="00015FB1"/>
    <w:pPr>
      <w:spacing w:before="720"/>
      <w:jc w:val="center"/>
    </w:pPr>
    <w:rPr>
      <w:caps/>
      <w:sz w:val="28"/>
    </w:rPr>
  </w:style>
  <w:style w:type="paragraph" w:customStyle="1" w:styleId="Rectitle">
    <w:name w:val="Rec_title"/>
    <w:basedOn w:val="Normal"/>
    <w:next w:val="Heading1"/>
    <w:rsid w:val="00015FB1"/>
    <w:pPr>
      <w:spacing w:before="240"/>
      <w:jc w:val="center"/>
    </w:pPr>
    <w:rPr>
      <w:b/>
      <w:sz w:val="28"/>
    </w:rPr>
  </w:style>
  <w:style w:type="paragraph" w:customStyle="1" w:styleId="Recref">
    <w:name w:val="Rec_ref"/>
    <w:basedOn w:val="Rectitle"/>
    <w:next w:val="Recdate"/>
    <w:rsid w:val="00015FB1"/>
    <w:pPr>
      <w:spacing w:before="120"/>
    </w:pPr>
    <w:rPr>
      <w:rFonts w:ascii="Times New Roman" w:hAnsi="Times New Roman"/>
      <w:b w:val="0"/>
      <w:sz w:val="24"/>
    </w:rPr>
  </w:style>
  <w:style w:type="paragraph" w:customStyle="1" w:styleId="Recdate">
    <w:name w:val="Rec_date"/>
    <w:basedOn w:val="Recref"/>
    <w:next w:val="Normalaftertitle"/>
    <w:rsid w:val="00015FB1"/>
    <w:pPr>
      <w:jc w:val="right"/>
    </w:pPr>
    <w:rPr>
      <w:sz w:val="22"/>
    </w:rPr>
  </w:style>
  <w:style w:type="paragraph" w:customStyle="1" w:styleId="Questiondate">
    <w:name w:val="Question_date"/>
    <w:basedOn w:val="Recdate"/>
    <w:next w:val="Normalaftertitle"/>
    <w:rsid w:val="00015FB1"/>
  </w:style>
  <w:style w:type="paragraph" w:customStyle="1" w:styleId="QuestionNo">
    <w:name w:val="Question_No"/>
    <w:basedOn w:val="RecNo"/>
    <w:next w:val="Questiontitle"/>
    <w:rsid w:val="00015FB1"/>
  </w:style>
  <w:style w:type="paragraph" w:customStyle="1" w:styleId="Questionref">
    <w:name w:val="Question_ref"/>
    <w:basedOn w:val="Recref"/>
    <w:next w:val="Questiondate"/>
    <w:rsid w:val="00015FB1"/>
  </w:style>
  <w:style w:type="paragraph" w:customStyle="1" w:styleId="Questiontitle">
    <w:name w:val="Question_title"/>
    <w:basedOn w:val="Rectitle"/>
    <w:next w:val="Questionref"/>
    <w:rsid w:val="00015FB1"/>
  </w:style>
  <w:style w:type="paragraph" w:customStyle="1" w:styleId="Reftext">
    <w:name w:val="Ref_text"/>
    <w:basedOn w:val="Normal"/>
    <w:rsid w:val="00015FB1"/>
    <w:pPr>
      <w:ind w:left="567" w:hanging="567"/>
    </w:pPr>
  </w:style>
  <w:style w:type="paragraph" w:customStyle="1" w:styleId="Reftitle">
    <w:name w:val="Ref_title"/>
    <w:basedOn w:val="Normal"/>
    <w:next w:val="Reftext"/>
    <w:rsid w:val="00015FB1"/>
    <w:pPr>
      <w:spacing w:before="480"/>
      <w:jc w:val="center"/>
    </w:pPr>
    <w:rPr>
      <w:caps/>
      <w:sz w:val="28"/>
    </w:rPr>
  </w:style>
  <w:style w:type="paragraph" w:customStyle="1" w:styleId="Repdate">
    <w:name w:val="Rep_date"/>
    <w:basedOn w:val="Recdate"/>
    <w:next w:val="Normalaftertitle"/>
    <w:rsid w:val="00015FB1"/>
  </w:style>
  <w:style w:type="paragraph" w:customStyle="1" w:styleId="RepNo">
    <w:name w:val="Rep_No"/>
    <w:basedOn w:val="RecNo"/>
    <w:next w:val="Reptitle"/>
    <w:rsid w:val="00015FB1"/>
  </w:style>
  <w:style w:type="paragraph" w:customStyle="1" w:styleId="Reptitle">
    <w:name w:val="Rep_title"/>
    <w:basedOn w:val="Rectitle"/>
    <w:next w:val="Repref"/>
    <w:rsid w:val="00015FB1"/>
  </w:style>
  <w:style w:type="paragraph" w:customStyle="1" w:styleId="Repref">
    <w:name w:val="Rep_ref"/>
    <w:basedOn w:val="Recref"/>
    <w:next w:val="Repdate"/>
    <w:rsid w:val="00015FB1"/>
  </w:style>
  <w:style w:type="paragraph" w:customStyle="1" w:styleId="Resdate">
    <w:name w:val="Res_date"/>
    <w:basedOn w:val="Recdate"/>
    <w:next w:val="Normalaftertitle"/>
    <w:rsid w:val="00015FB1"/>
  </w:style>
  <w:style w:type="paragraph" w:customStyle="1" w:styleId="ResNo">
    <w:name w:val="Res_No"/>
    <w:basedOn w:val="AnnexNo"/>
    <w:next w:val="Restitle"/>
    <w:rsid w:val="00015FB1"/>
  </w:style>
  <w:style w:type="paragraph" w:customStyle="1" w:styleId="Restitle">
    <w:name w:val="Res_title"/>
    <w:basedOn w:val="Annextitle"/>
    <w:next w:val="Normal"/>
    <w:rsid w:val="00015FB1"/>
  </w:style>
  <w:style w:type="paragraph" w:customStyle="1" w:styleId="Resref">
    <w:name w:val="Res_ref"/>
    <w:basedOn w:val="Recref"/>
    <w:next w:val="Resdate"/>
    <w:rsid w:val="00015FB1"/>
  </w:style>
  <w:style w:type="paragraph" w:customStyle="1" w:styleId="SectionNo">
    <w:name w:val="Section_No"/>
    <w:basedOn w:val="AnnexNo"/>
    <w:next w:val="Sectiontitle"/>
    <w:rsid w:val="00015FB1"/>
  </w:style>
  <w:style w:type="paragraph" w:customStyle="1" w:styleId="Sectiontitle">
    <w:name w:val="Section_title"/>
    <w:basedOn w:val="Normal"/>
    <w:next w:val="Normalaftertitle"/>
    <w:rsid w:val="00015FB1"/>
    <w:rPr>
      <w:sz w:val="28"/>
    </w:rPr>
  </w:style>
  <w:style w:type="paragraph" w:customStyle="1" w:styleId="SpecialFooter">
    <w:name w:val="Special Footer"/>
    <w:basedOn w:val="Footer"/>
    <w:rsid w:val="00015FB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15FB1"/>
    <w:pPr>
      <w:spacing w:before="120" w:after="120"/>
      <w:jc w:val="center"/>
    </w:pPr>
    <w:rPr>
      <w:b/>
    </w:rPr>
  </w:style>
  <w:style w:type="paragraph" w:customStyle="1" w:styleId="Tablelegend">
    <w:name w:val="Table_legend"/>
    <w:basedOn w:val="Tabletext"/>
    <w:rsid w:val="00015FB1"/>
    <w:pPr>
      <w:spacing w:before="120"/>
    </w:pPr>
  </w:style>
  <w:style w:type="paragraph" w:customStyle="1" w:styleId="Tableref">
    <w:name w:val="Table_ref"/>
    <w:basedOn w:val="Normal"/>
    <w:next w:val="Tabletitle"/>
    <w:rsid w:val="00015FB1"/>
    <w:pPr>
      <w:keepNext/>
      <w:spacing w:before="567"/>
      <w:jc w:val="center"/>
    </w:pPr>
  </w:style>
  <w:style w:type="paragraph" w:customStyle="1" w:styleId="Artheading">
    <w:name w:val="Art_heading"/>
    <w:basedOn w:val="Normal"/>
    <w:next w:val="Normalaftertitle"/>
    <w:rsid w:val="00015FB1"/>
    <w:pPr>
      <w:spacing w:before="480"/>
      <w:jc w:val="center"/>
    </w:pPr>
    <w:rPr>
      <w:b/>
    </w:rPr>
  </w:style>
  <w:style w:type="paragraph" w:customStyle="1" w:styleId="ArtNo">
    <w:name w:val="Art_No"/>
    <w:basedOn w:val="Normal"/>
    <w:next w:val="Arttitle"/>
    <w:rsid w:val="00015FB1"/>
    <w:pPr>
      <w:spacing w:before="600"/>
      <w:jc w:val="center"/>
    </w:pPr>
    <w:rPr>
      <w:caps/>
      <w:sz w:val="28"/>
    </w:rPr>
  </w:style>
  <w:style w:type="paragraph" w:customStyle="1" w:styleId="Arttitle">
    <w:name w:val="Art_title"/>
    <w:basedOn w:val="Normal"/>
    <w:next w:val="Normal"/>
    <w:rsid w:val="00015FB1"/>
    <w:pPr>
      <w:spacing w:before="240" w:after="240"/>
      <w:jc w:val="center"/>
    </w:pPr>
    <w:rPr>
      <w:b/>
      <w:sz w:val="28"/>
    </w:rPr>
  </w:style>
  <w:style w:type="paragraph" w:customStyle="1" w:styleId="ChapNo">
    <w:name w:val="Chap_No"/>
    <w:basedOn w:val="ArtNo"/>
    <w:next w:val="Chaptitle"/>
    <w:rsid w:val="00015FB1"/>
  </w:style>
  <w:style w:type="paragraph" w:customStyle="1" w:styleId="Chaptitle">
    <w:name w:val="Chap_title"/>
    <w:basedOn w:val="Arttitle"/>
    <w:next w:val="Normal"/>
    <w:rsid w:val="00015FB1"/>
  </w:style>
  <w:style w:type="paragraph" w:customStyle="1" w:styleId="Table">
    <w:name w:val="Table_#"/>
    <w:basedOn w:val="Normal"/>
    <w:next w:val="Normal"/>
    <w:rsid w:val="00015FB1"/>
    <w:pPr>
      <w:keepNext/>
      <w:tabs>
        <w:tab w:val="left" w:pos="794"/>
        <w:tab w:val="left" w:pos="1191"/>
        <w:tab w:val="left" w:pos="1588"/>
        <w:tab w:val="left" w:pos="1985"/>
      </w:tabs>
      <w:spacing w:before="560" w:after="120"/>
      <w:jc w:val="center"/>
    </w:pPr>
    <w:rPr>
      <w:rFonts w:ascii="Times New Roman" w:hAnsi="Times New Roman"/>
      <w:caps/>
    </w:rPr>
  </w:style>
  <w:style w:type="character" w:styleId="UnresolvedMention">
    <w:name w:val="Unresolved Mention"/>
    <w:basedOn w:val="DefaultParagraphFont"/>
    <w:uiPriority w:val="99"/>
    <w:semiHidden/>
    <w:unhideWhenUsed/>
    <w:rsid w:val="009D6205"/>
    <w:rPr>
      <w:color w:val="605E5C"/>
      <w:shd w:val="clear" w:color="auto" w:fill="E1DFDD"/>
    </w:rPr>
  </w:style>
  <w:style w:type="paragraph" w:customStyle="1" w:styleId="Numberedpara">
    <w:name w:val="Numbered para"/>
    <w:basedOn w:val="Normal"/>
    <w:qFormat/>
    <w:rsid w:val="00754FEE"/>
    <w:pPr>
      <w:numPr>
        <w:numId w:val="8"/>
      </w:numPr>
      <w:spacing w:before="120" w:after="120"/>
      <w:ind w:left="0" w:firstLine="0"/>
      <w:jc w:val="both"/>
    </w:pPr>
    <w:rPr>
      <w:rFonts w:cstheme="majorBidi"/>
      <w:szCs w:val="24"/>
    </w:rPr>
  </w:style>
  <w:style w:type="character" w:customStyle="1" w:styleId="CommentTextChar">
    <w:name w:val="Comment Text Char"/>
    <w:basedOn w:val="DefaultParagraphFont"/>
    <w:link w:val="CommentText"/>
    <w:uiPriority w:val="99"/>
    <w:rsid w:val="00D06783"/>
    <w:rPr>
      <w:rFonts w:asciiTheme="minorHAnsi" w:eastAsiaTheme="minorHAnsi" w:hAnsiTheme="minorHAnsi" w:cstheme="minorBidi"/>
      <w:szCs w:val="22"/>
      <w:lang w:val="en-GB" w:eastAsia="en-US"/>
    </w:rPr>
  </w:style>
  <w:style w:type="table" w:styleId="PlainTable1">
    <w:name w:val="Plain Table 1"/>
    <w:basedOn w:val="TableNormal"/>
    <w:uiPriority w:val="41"/>
    <w:rsid w:val="00C05BEF"/>
    <w:rPr>
      <w:rFonts w:asciiTheme="minorHAnsi" w:eastAsiaTheme="minorHAnsi" w:hAnsiTheme="minorHAnsi" w:cstheme="minorBidi"/>
      <w:sz w:val="22"/>
      <w:szCs w:val="22"/>
      <w:lang w:val="en-GB"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Sections">
    <w:name w:val="Sections"/>
    <w:basedOn w:val="Heading2"/>
    <w:link w:val="SectionsChar"/>
    <w:qFormat/>
    <w:rsid w:val="00356D20"/>
    <w:pPr>
      <w:numPr>
        <w:ilvl w:val="1"/>
        <w:numId w:val="10"/>
      </w:numPr>
      <w:tabs>
        <w:tab w:val="num" w:pos="360"/>
      </w:tabs>
      <w:spacing w:before="240" w:after="120"/>
      <w:ind w:left="680" w:hanging="680"/>
    </w:pPr>
    <w:rPr>
      <w:b w:val="0"/>
      <w:noProof/>
      <w:lang w:val="en-US"/>
    </w:rPr>
  </w:style>
  <w:style w:type="paragraph" w:customStyle="1" w:styleId="SimpleHeading">
    <w:name w:val="Simple Heading"/>
    <w:basedOn w:val="Normal"/>
    <w:qFormat/>
    <w:rsid w:val="0051302F"/>
    <w:pPr>
      <w:keepNext/>
      <w:spacing w:before="240" w:after="60"/>
      <w:jc w:val="both"/>
    </w:pPr>
    <w:rPr>
      <w:b/>
      <w:sz w:val="24"/>
      <w:lang w:val="en-US"/>
    </w:rPr>
  </w:style>
  <w:style w:type="character" w:customStyle="1" w:styleId="SectionsChar">
    <w:name w:val="Sections Char"/>
    <w:basedOn w:val="Heading2Char"/>
    <w:link w:val="Sections"/>
    <w:rsid w:val="00356D20"/>
    <w:rPr>
      <w:rFonts w:asciiTheme="minorHAnsi" w:eastAsiaTheme="minorHAnsi" w:hAnsiTheme="minorHAnsi" w:cstheme="minorBidi"/>
      <w:b w:val="0"/>
      <w:noProof/>
      <w:color w:val="44546A" w:themeColor="text2"/>
      <w:sz w:val="24"/>
      <w:szCs w:val="22"/>
      <w:lang w:val="en-GB" w:eastAsia="en-US"/>
    </w:rPr>
  </w:style>
  <w:style w:type="table" w:styleId="ListTable1Light-Accent3">
    <w:name w:val="List Table 1 Light Accent 3"/>
    <w:basedOn w:val="TableNormal"/>
    <w:uiPriority w:val="46"/>
    <w:rsid w:val="0051302F"/>
    <w:rPr>
      <w:rFonts w:asciiTheme="minorHAnsi" w:eastAsiaTheme="minorHAnsi" w:hAnsiTheme="minorHAnsi" w:cstheme="minorBidi"/>
      <w:sz w:val="22"/>
      <w:szCs w:val="22"/>
      <w:lang w:val="en-GB" w:eastAsia="en-US"/>
    </w:r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66463">
      <w:bodyDiv w:val="1"/>
      <w:marLeft w:val="0"/>
      <w:marRight w:val="0"/>
      <w:marTop w:val="0"/>
      <w:marBottom w:val="0"/>
      <w:divBdr>
        <w:top w:val="none" w:sz="0" w:space="0" w:color="auto"/>
        <w:left w:val="none" w:sz="0" w:space="0" w:color="auto"/>
        <w:bottom w:val="none" w:sz="0" w:space="0" w:color="auto"/>
        <w:right w:val="none" w:sz="0" w:space="0" w:color="auto"/>
      </w:divBdr>
    </w:div>
    <w:div w:id="14624088">
      <w:bodyDiv w:val="1"/>
      <w:marLeft w:val="0"/>
      <w:marRight w:val="0"/>
      <w:marTop w:val="0"/>
      <w:marBottom w:val="0"/>
      <w:divBdr>
        <w:top w:val="none" w:sz="0" w:space="0" w:color="auto"/>
        <w:left w:val="none" w:sz="0" w:space="0" w:color="auto"/>
        <w:bottom w:val="none" w:sz="0" w:space="0" w:color="auto"/>
        <w:right w:val="none" w:sz="0" w:space="0" w:color="auto"/>
      </w:divBdr>
      <w:divsChild>
        <w:div w:id="23290443">
          <w:marLeft w:val="720"/>
          <w:marRight w:val="0"/>
          <w:marTop w:val="0"/>
          <w:marBottom w:val="0"/>
          <w:divBdr>
            <w:top w:val="none" w:sz="0" w:space="0" w:color="auto"/>
            <w:left w:val="none" w:sz="0" w:space="0" w:color="auto"/>
            <w:bottom w:val="none" w:sz="0" w:space="0" w:color="auto"/>
            <w:right w:val="none" w:sz="0" w:space="0" w:color="auto"/>
          </w:divBdr>
        </w:div>
        <w:div w:id="434440667">
          <w:marLeft w:val="1440"/>
          <w:marRight w:val="0"/>
          <w:marTop w:val="0"/>
          <w:marBottom w:val="0"/>
          <w:divBdr>
            <w:top w:val="none" w:sz="0" w:space="0" w:color="auto"/>
            <w:left w:val="none" w:sz="0" w:space="0" w:color="auto"/>
            <w:bottom w:val="none" w:sz="0" w:space="0" w:color="auto"/>
            <w:right w:val="none" w:sz="0" w:space="0" w:color="auto"/>
          </w:divBdr>
        </w:div>
        <w:div w:id="506557038">
          <w:marLeft w:val="1440"/>
          <w:marRight w:val="0"/>
          <w:marTop w:val="0"/>
          <w:marBottom w:val="0"/>
          <w:divBdr>
            <w:top w:val="none" w:sz="0" w:space="0" w:color="auto"/>
            <w:left w:val="none" w:sz="0" w:space="0" w:color="auto"/>
            <w:bottom w:val="none" w:sz="0" w:space="0" w:color="auto"/>
            <w:right w:val="none" w:sz="0" w:space="0" w:color="auto"/>
          </w:divBdr>
        </w:div>
        <w:div w:id="560289657">
          <w:marLeft w:val="720"/>
          <w:marRight w:val="0"/>
          <w:marTop w:val="0"/>
          <w:marBottom w:val="0"/>
          <w:divBdr>
            <w:top w:val="none" w:sz="0" w:space="0" w:color="auto"/>
            <w:left w:val="none" w:sz="0" w:space="0" w:color="auto"/>
            <w:bottom w:val="none" w:sz="0" w:space="0" w:color="auto"/>
            <w:right w:val="none" w:sz="0" w:space="0" w:color="auto"/>
          </w:divBdr>
        </w:div>
        <w:div w:id="612202739">
          <w:marLeft w:val="1440"/>
          <w:marRight w:val="0"/>
          <w:marTop w:val="0"/>
          <w:marBottom w:val="0"/>
          <w:divBdr>
            <w:top w:val="none" w:sz="0" w:space="0" w:color="auto"/>
            <w:left w:val="none" w:sz="0" w:space="0" w:color="auto"/>
            <w:bottom w:val="none" w:sz="0" w:space="0" w:color="auto"/>
            <w:right w:val="none" w:sz="0" w:space="0" w:color="auto"/>
          </w:divBdr>
        </w:div>
        <w:div w:id="1081830855">
          <w:marLeft w:val="1440"/>
          <w:marRight w:val="0"/>
          <w:marTop w:val="0"/>
          <w:marBottom w:val="0"/>
          <w:divBdr>
            <w:top w:val="none" w:sz="0" w:space="0" w:color="auto"/>
            <w:left w:val="none" w:sz="0" w:space="0" w:color="auto"/>
            <w:bottom w:val="none" w:sz="0" w:space="0" w:color="auto"/>
            <w:right w:val="none" w:sz="0" w:space="0" w:color="auto"/>
          </w:divBdr>
        </w:div>
        <w:div w:id="1279416137">
          <w:marLeft w:val="1440"/>
          <w:marRight w:val="0"/>
          <w:marTop w:val="0"/>
          <w:marBottom w:val="0"/>
          <w:divBdr>
            <w:top w:val="none" w:sz="0" w:space="0" w:color="auto"/>
            <w:left w:val="none" w:sz="0" w:space="0" w:color="auto"/>
            <w:bottom w:val="none" w:sz="0" w:space="0" w:color="auto"/>
            <w:right w:val="none" w:sz="0" w:space="0" w:color="auto"/>
          </w:divBdr>
        </w:div>
      </w:divsChild>
    </w:div>
    <w:div w:id="210532495">
      <w:bodyDiv w:val="1"/>
      <w:marLeft w:val="0"/>
      <w:marRight w:val="0"/>
      <w:marTop w:val="0"/>
      <w:marBottom w:val="0"/>
      <w:divBdr>
        <w:top w:val="none" w:sz="0" w:space="0" w:color="auto"/>
        <w:left w:val="none" w:sz="0" w:space="0" w:color="auto"/>
        <w:bottom w:val="none" w:sz="0" w:space="0" w:color="auto"/>
        <w:right w:val="none" w:sz="0" w:space="0" w:color="auto"/>
      </w:divBdr>
    </w:div>
    <w:div w:id="449052974">
      <w:bodyDiv w:val="1"/>
      <w:marLeft w:val="0"/>
      <w:marRight w:val="0"/>
      <w:marTop w:val="0"/>
      <w:marBottom w:val="0"/>
      <w:divBdr>
        <w:top w:val="none" w:sz="0" w:space="0" w:color="auto"/>
        <w:left w:val="none" w:sz="0" w:space="0" w:color="auto"/>
        <w:bottom w:val="none" w:sz="0" w:space="0" w:color="auto"/>
        <w:right w:val="none" w:sz="0" w:space="0" w:color="auto"/>
      </w:divBdr>
    </w:div>
    <w:div w:id="624963920">
      <w:bodyDiv w:val="1"/>
      <w:marLeft w:val="0"/>
      <w:marRight w:val="0"/>
      <w:marTop w:val="0"/>
      <w:marBottom w:val="0"/>
      <w:divBdr>
        <w:top w:val="none" w:sz="0" w:space="0" w:color="auto"/>
        <w:left w:val="none" w:sz="0" w:space="0" w:color="auto"/>
        <w:bottom w:val="none" w:sz="0" w:space="0" w:color="auto"/>
        <w:right w:val="none" w:sz="0" w:space="0" w:color="auto"/>
      </w:divBdr>
    </w:div>
    <w:div w:id="719013376">
      <w:bodyDiv w:val="1"/>
      <w:marLeft w:val="0"/>
      <w:marRight w:val="0"/>
      <w:marTop w:val="0"/>
      <w:marBottom w:val="0"/>
      <w:divBdr>
        <w:top w:val="none" w:sz="0" w:space="0" w:color="auto"/>
        <w:left w:val="none" w:sz="0" w:space="0" w:color="auto"/>
        <w:bottom w:val="none" w:sz="0" w:space="0" w:color="auto"/>
        <w:right w:val="none" w:sz="0" w:space="0" w:color="auto"/>
      </w:divBdr>
    </w:div>
    <w:div w:id="817303337">
      <w:bodyDiv w:val="1"/>
      <w:marLeft w:val="0"/>
      <w:marRight w:val="0"/>
      <w:marTop w:val="0"/>
      <w:marBottom w:val="0"/>
      <w:divBdr>
        <w:top w:val="none" w:sz="0" w:space="0" w:color="auto"/>
        <w:left w:val="none" w:sz="0" w:space="0" w:color="auto"/>
        <w:bottom w:val="none" w:sz="0" w:space="0" w:color="auto"/>
        <w:right w:val="none" w:sz="0" w:space="0" w:color="auto"/>
      </w:divBdr>
      <w:divsChild>
        <w:div w:id="387341964">
          <w:marLeft w:val="2160"/>
          <w:marRight w:val="0"/>
          <w:marTop w:val="0"/>
          <w:marBottom w:val="0"/>
          <w:divBdr>
            <w:top w:val="none" w:sz="0" w:space="0" w:color="auto"/>
            <w:left w:val="none" w:sz="0" w:space="0" w:color="auto"/>
            <w:bottom w:val="none" w:sz="0" w:space="0" w:color="auto"/>
            <w:right w:val="none" w:sz="0" w:space="0" w:color="auto"/>
          </w:divBdr>
        </w:div>
        <w:div w:id="407074131">
          <w:marLeft w:val="1440"/>
          <w:marRight w:val="0"/>
          <w:marTop w:val="0"/>
          <w:marBottom w:val="0"/>
          <w:divBdr>
            <w:top w:val="none" w:sz="0" w:space="0" w:color="auto"/>
            <w:left w:val="none" w:sz="0" w:space="0" w:color="auto"/>
            <w:bottom w:val="none" w:sz="0" w:space="0" w:color="auto"/>
            <w:right w:val="none" w:sz="0" w:space="0" w:color="auto"/>
          </w:divBdr>
        </w:div>
        <w:div w:id="431781739">
          <w:marLeft w:val="2160"/>
          <w:marRight w:val="0"/>
          <w:marTop w:val="0"/>
          <w:marBottom w:val="0"/>
          <w:divBdr>
            <w:top w:val="none" w:sz="0" w:space="0" w:color="auto"/>
            <w:left w:val="none" w:sz="0" w:space="0" w:color="auto"/>
            <w:bottom w:val="none" w:sz="0" w:space="0" w:color="auto"/>
            <w:right w:val="none" w:sz="0" w:space="0" w:color="auto"/>
          </w:divBdr>
        </w:div>
        <w:div w:id="497842802">
          <w:marLeft w:val="2160"/>
          <w:marRight w:val="0"/>
          <w:marTop w:val="0"/>
          <w:marBottom w:val="0"/>
          <w:divBdr>
            <w:top w:val="none" w:sz="0" w:space="0" w:color="auto"/>
            <w:left w:val="none" w:sz="0" w:space="0" w:color="auto"/>
            <w:bottom w:val="none" w:sz="0" w:space="0" w:color="auto"/>
            <w:right w:val="none" w:sz="0" w:space="0" w:color="auto"/>
          </w:divBdr>
        </w:div>
        <w:div w:id="610893335">
          <w:marLeft w:val="720"/>
          <w:marRight w:val="0"/>
          <w:marTop w:val="0"/>
          <w:marBottom w:val="0"/>
          <w:divBdr>
            <w:top w:val="none" w:sz="0" w:space="0" w:color="auto"/>
            <w:left w:val="none" w:sz="0" w:space="0" w:color="auto"/>
            <w:bottom w:val="none" w:sz="0" w:space="0" w:color="auto"/>
            <w:right w:val="none" w:sz="0" w:space="0" w:color="auto"/>
          </w:divBdr>
        </w:div>
        <w:div w:id="629870039">
          <w:marLeft w:val="1440"/>
          <w:marRight w:val="0"/>
          <w:marTop w:val="0"/>
          <w:marBottom w:val="0"/>
          <w:divBdr>
            <w:top w:val="none" w:sz="0" w:space="0" w:color="auto"/>
            <w:left w:val="none" w:sz="0" w:space="0" w:color="auto"/>
            <w:bottom w:val="none" w:sz="0" w:space="0" w:color="auto"/>
            <w:right w:val="none" w:sz="0" w:space="0" w:color="auto"/>
          </w:divBdr>
        </w:div>
        <w:div w:id="953635578">
          <w:marLeft w:val="1440"/>
          <w:marRight w:val="0"/>
          <w:marTop w:val="0"/>
          <w:marBottom w:val="0"/>
          <w:divBdr>
            <w:top w:val="none" w:sz="0" w:space="0" w:color="auto"/>
            <w:left w:val="none" w:sz="0" w:space="0" w:color="auto"/>
            <w:bottom w:val="none" w:sz="0" w:space="0" w:color="auto"/>
            <w:right w:val="none" w:sz="0" w:space="0" w:color="auto"/>
          </w:divBdr>
        </w:div>
        <w:div w:id="974064887">
          <w:marLeft w:val="2160"/>
          <w:marRight w:val="0"/>
          <w:marTop w:val="0"/>
          <w:marBottom w:val="0"/>
          <w:divBdr>
            <w:top w:val="none" w:sz="0" w:space="0" w:color="auto"/>
            <w:left w:val="none" w:sz="0" w:space="0" w:color="auto"/>
            <w:bottom w:val="none" w:sz="0" w:space="0" w:color="auto"/>
            <w:right w:val="none" w:sz="0" w:space="0" w:color="auto"/>
          </w:divBdr>
        </w:div>
        <w:div w:id="1090008566">
          <w:marLeft w:val="0"/>
          <w:marRight w:val="0"/>
          <w:marTop w:val="0"/>
          <w:marBottom w:val="0"/>
          <w:divBdr>
            <w:top w:val="none" w:sz="0" w:space="0" w:color="auto"/>
            <w:left w:val="none" w:sz="0" w:space="0" w:color="auto"/>
            <w:bottom w:val="none" w:sz="0" w:space="0" w:color="auto"/>
            <w:right w:val="none" w:sz="0" w:space="0" w:color="auto"/>
          </w:divBdr>
        </w:div>
        <w:div w:id="1104496603">
          <w:marLeft w:val="2160"/>
          <w:marRight w:val="0"/>
          <w:marTop w:val="0"/>
          <w:marBottom w:val="0"/>
          <w:divBdr>
            <w:top w:val="none" w:sz="0" w:space="0" w:color="auto"/>
            <w:left w:val="none" w:sz="0" w:space="0" w:color="auto"/>
            <w:bottom w:val="none" w:sz="0" w:space="0" w:color="auto"/>
            <w:right w:val="none" w:sz="0" w:space="0" w:color="auto"/>
          </w:divBdr>
        </w:div>
        <w:div w:id="1352951233">
          <w:marLeft w:val="2160"/>
          <w:marRight w:val="0"/>
          <w:marTop w:val="0"/>
          <w:marBottom w:val="0"/>
          <w:divBdr>
            <w:top w:val="none" w:sz="0" w:space="0" w:color="auto"/>
            <w:left w:val="none" w:sz="0" w:space="0" w:color="auto"/>
            <w:bottom w:val="none" w:sz="0" w:space="0" w:color="auto"/>
            <w:right w:val="none" w:sz="0" w:space="0" w:color="auto"/>
          </w:divBdr>
        </w:div>
        <w:div w:id="1492215275">
          <w:marLeft w:val="1440"/>
          <w:marRight w:val="0"/>
          <w:marTop w:val="0"/>
          <w:marBottom w:val="0"/>
          <w:divBdr>
            <w:top w:val="none" w:sz="0" w:space="0" w:color="auto"/>
            <w:left w:val="none" w:sz="0" w:space="0" w:color="auto"/>
            <w:bottom w:val="none" w:sz="0" w:space="0" w:color="auto"/>
            <w:right w:val="none" w:sz="0" w:space="0" w:color="auto"/>
          </w:divBdr>
        </w:div>
        <w:div w:id="1724206928">
          <w:marLeft w:val="1440"/>
          <w:marRight w:val="0"/>
          <w:marTop w:val="0"/>
          <w:marBottom w:val="0"/>
          <w:divBdr>
            <w:top w:val="none" w:sz="0" w:space="0" w:color="auto"/>
            <w:left w:val="none" w:sz="0" w:space="0" w:color="auto"/>
            <w:bottom w:val="none" w:sz="0" w:space="0" w:color="auto"/>
            <w:right w:val="none" w:sz="0" w:space="0" w:color="auto"/>
          </w:divBdr>
        </w:div>
        <w:div w:id="1833182308">
          <w:marLeft w:val="2160"/>
          <w:marRight w:val="0"/>
          <w:marTop w:val="0"/>
          <w:marBottom w:val="0"/>
          <w:divBdr>
            <w:top w:val="none" w:sz="0" w:space="0" w:color="auto"/>
            <w:left w:val="none" w:sz="0" w:space="0" w:color="auto"/>
            <w:bottom w:val="none" w:sz="0" w:space="0" w:color="auto"/>
            <w:right w:val="none" w:sz="0" w:space="0" w:color="auto"/>
          </w:divBdr>
        </w:div>
        <w:div w:id="1944797331">
          <w:marLeft w:val="2160"/>
          <w:marRight w:val="0"/>
          <w:marTop w:val="0"/>
          <w:marBottom w:val="0"/>
          <w:divBdr>
            <w:top w:val="none" w:sz="0" w:space="0" w:color="auto"/>
            <w:left w:val="none" w:sz="0" w:space="0" w:color="auto"/>
            <w:bottom w:val="none" w:sz="0" w:space="0" w:color="auto"/>
            <w:right w:val="none" w:sz="0" w:space="0" w:color="auto"/>
          </w:divBdr>
        </w:div>
        <w:div w:id="1949310228">
          <w:marLeft w:val="2160"/>
          <w:marRight w:val="0"/>
          <w:marTop w:val="0"/>
          <w:marBottom w:val="0"/>
          <w:divBdr>
            <w:top w:val="none" w:sz="0" w:space="0" w:color="auto"/>
            <w:left w:val="none" w:sz="0" w:space="0" w:color="auto"/>
            <w:bottom w:val="none" w:sz="0" w:space="0" w:color="auto"/>
            <w:right w:val="none" w:sz="0" w:space="0" w:color="auto"/>
          </w:divBdr>
        </w:div>
        <w:div w:id="1957176778">
          <w:marLeft w:val="2160"/>
          <w:marRight w:val="0"/>
          <w:marTop w:val="0"/>
          <w:marBottom w:val="0"/>
          <w:divBdr>
            <w:top w:val="none" w:sz="0" w:space="0" w:color="auto"/>
            <w:left w:val="none" w:sz="0" w:space="0" w:color="auto"/>
            <w:bottom w:val="none" w:sz="0" w:space="0" w:color="auto"/>
            <w:right w:val="none" w:sz="0" w:space="0" w:color="auto"/>
          </w:divBdr>
        </w:div>
      </w:divsChild>
    </w:div>
    <w:div w:id="948201498">
      <w:bodyDiv w:val="1"/>
      <w:marLeft w:val="0"/>
      <w:marRight w:val="0"/>
      <w:marTop w:val="0"/>
      <w:marBottom w:val="0"/>
      <w:divBdr>
        <w:top w:val="none" w:sz="0" w:space="0" w:color="auto"/>
        <w:left w:val="none" w:sz="0" w:space="0" w:color="auto"/>
        <w:bottom w:val="none" w:sz="0" w:space="0" w:color="auto"/>
        <w:right w:val="none" w:sz="0" w:space="0" w:color="auto"/>
      </w:divBdr>
    </w:div>
    <w:div w:id="1019040040">
      <w:bodyDiv w:val="1"/>
      <w:marLeft w:val="0"/>
      <w:marRight w:val="0"/>
      <w:marTop w:val="0"/>
      <w:marBottom w:val="0"/>
      <w:divBdr>
        <w:top w:val="none" w:sz="0" w:space="0" w:color="auto"/>
        <w:left w:val="none" w:sz="0" w:space="0" w:color="auto"/>
        <w:bottom w:val="none" w:sz="0" w:space="0" w:color="auto"/>
        <w:right w:val="none" w:sz="0" w:space="0" w:color="auto"/>
      </w:divBdr>
    </w:div>
    <w:div w:id="1129667439">
      <w:bodyDiv w:val="1"/>
      <w:marLeft w:val="0"/>
      <w:marRight w:val="0"/>
      <w:marTop w:val="0"/>
      <w:marBottom w:val="0"/>
      <w:divBdr>
        <w:top w:val="none" w:sz="0" w:space="0" w:color="auto"/>
        <w:left w:val="none" w:sz="0" w:space="0" w:color="auto"/>
        <w:bottom w:val="none" w:sz="0" w:space="0" w:color="auto"/>
        <w:right w:val="none" w:sz="0" w:space="0" w:color="auto"/>
      </w:divBdr>
    </w:div>
    <w:div w:id="1228613932">
      <w:bodyDiv w:val="1"/>
      <w:marLeft w:val="0"/>
      <w:marRight w:val="0"/>
      <w:marTop w:val="0"/>
      <w:marBottom w:val="0"/>
      <w:divBdr>
        <w:top w:val="none" w:sz="0" w:space="0" w:color="auto"/>
        <w:left w:val="none" w:sz="0" w:space="0" w:color="auto"/>
        <w:bottom w:val="none" w:sz="0" w:space="0" w:color="auto"/>
        <w:right w:val="none" w:sz="0" w:space="0" w:color="auto"/>
      </w:divBdr>
    </w:div>
    <w:div w:id="1551652610">
      <w:bodyDiv w:val="1"/>
      <w:marLeft w:val="0"/>
      <w:marRight w:val="0"/>
      <w:marTop w:val="0"/>
      <w:marBottom w:val="0"/>
      <w:divBdr>
        <w:top w:val="none" w:sz="0" w:space="0" w:color="auto"/>
        <w:left w:val="none" w:sz="0" w:space="0" w:color="auto"/>
        <w:bottom w:val="none" w:sz="0" w:space="0" w:color="auto"/>
        <w:right w:val="none" w:sz="0" w:space="0" w:color="auto"/>
      </w:divBdr>
    </w:div>
    <w:div w:id="1562252364">
      <w:bodyDiv w:val="1"/>
      <w:marLeft w:val="120"/>
      <w:marRight w:val="120"/>
      <w:marTop w:val="45"/>
      <w:marBottom w:val="45"/>
      <w:divBdr>
        <w:top w:val="none" w:sz="0" w:space="0" w:color="auto"/>
        <w:left w:val="none" w:sz="0" w:space="0" w:color="auto"/>
        <w:bottom w:val="none" w:sz="0" w:space="0" w:color="auto"/>
        <w:right w:val="none" w:sz="0" w:space="0" w:color="auto"/>
      </w:divBdr>
      <w:divsChild>
        <w:div w:id="1083919698">
          <w:marLeft w:val="0"/>
          <w:marRight w:val="0"/>
          <w:marTop w:val="0"/>
          <w:marBottom w:val="0"/>
          <w:divBdr>
            <w:top w:val="none" w:sz="0" w:space="0" w:color="auto"/>
            <w:left w:val="none" w:sz="0" w:space="0" w:color="auto"/>
            <w:bottom w:val="none" w:sz="0" w:space="0" w:color="auto"/>
            <w:right w:val="none" w:sz="0" w:space="0" w:color="auto"/>
          </w:divBdr>
          <w:divsChild>
            <w:div w:id="1418746611">
              <w:marLeft w:val="240"/>
              <w:marRight w:val="240"/>
              <w:marTop w:val="0"/>
              <w:marBottom w:val="0"/>
              <w:divBdr>
                <w:top w:val="none" w:sz="0" w:space="0" w:color="auto"/>
                <w:left w:val="none" w:sz="0" w:space="0" w:color="auto"/>
                <w:bottom w:val="none" w:sz="0" w:space="0" w:color="auto"/>
                <w:right w:val="none" w:sz="0" w:space="0" w:color="auto"/>
              </w:divBdr>
              <w:divsChild>
                <w:div w:id="37049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695250">
      <w:bodyDiv w:val="1"/>
      <w:marLeft w:val="0"/>
      <w:marRight w:val="0"/>
      <w:marTop w:val="0"/>
      <w:marBottom w:val="0"/>
      <w:divBdr>
        <w:top w:val="none" w:sz="0" w:space="0" w:color="auto"/>
        <w:left w:val="none" w:sz="0" w:space="0" w:color="auto"/>
        <w:bottom w:val="none" w:sz="0" w:space="0" w:color="auto"/>
        <w:right w:val="none" w:sz="0" w:space="0" w:color="auto"/>
      </w:divBdr>
    </w:div>
    <w:div w:id="1689212487">
      <w:bodyDiv w:val="1"/>
      <w:marLeft w:val="0"/>
      <w:marRight w:val="0"/>
      <w:marTop w:val="0"/>
      <w:marBottom w:val="0"/>
      <w:divBdr>
        <w:top w:val="none" w:sz="0" w:space="0" w:color="auto"/>
        <w:left w:val="none" w:sz="0" w:space="0" w:color="auto"/>
        <w:bottom w:val="none" w:sz="0" w:space="0" w:color="auto"/>
        <w:right w:val="none" w:sz="0" w:space="0" w:color="auto"/>
      </w:divBdr>
    </w:div>
    <w:div w:id="1692101829">
      <w:bodyDiv w:val="1"/>
      <w:marLeft w:val="0"/>
      <w:marRight w:val="0"/>
      <w:marTop w:val="0"/>
      <w:marBottom w:val="0"/>
      <w:divBdr>
        <w:top w:val="none" w:sz="0" w:space="0" w:color="auto"/>
        <w:left w:val="none" w:sz="0" w:space="0" w:color="auto"/>
        <w:bottom w:val="none" w:sz="0" w:space="0" w:color="auto"/>
        <w:right w:val="none" w:sz="0" w:space="0" w:color="auto"/>
      </w:divBdr>
    </w:div>
    <w:div w:id="1762606307">
      <w:bodyDiv w:val="1"/>
      <w:marLeft w:val="0"/>
      <w:marRight w:val="0"/>
      <w:marTop w:val="0"/>
      <w:marBottom w:val="0"/>
      <w:divBdr>
        <w:top w:val="none" w:sz="0" w:space="0" w:color="auto"/>
        <w:left w:val="none" w:sz="0" w:space="0" w:color="auto"/>
        <w:bottom w:val="none" w:sz="0" w:space="0" w:color="auto"/>
        <w:right w:val="none" w:sz="0" w:space="0" w:color="auto"/>
      </w:divBdr>
    </w:div>
    <w:div w:id="1904288572">
      <w:bodyDiv w:val="1"/>
      <w:marLeft w:val="0"/>
      <w:marRight w:val="0"/>
      <w:marTop w:val="0"/>
      <w:marBottom w:val="0"/>
      <w:divBdr>
        <w:top w:val="none" w:sz="0" w:space="0" w:color="auto"/>
        <w:left w:val="none" w:sz="0" w:space="0" w:color="auto"/>
        <w:bottom w:val="none" w:sz="0" w:space="0" w:color="auto"/>
        <w:right w:val="none" w:sz="0" w:space="0" w:color="auto"/>
      </w:divBdr>
    </w:div>
    <w:div w:id="2080788102">
      <w:bodyDiv w:val="1"/>
      <w:marLeft w:val="0"/>
      <w:marRight w:val="0"/>
      <w:marTop w:val="0"/>
      <w:marBottom w:val="0"/>
      <w:divBdr>
        <w:top w:val="none" w:sz="0" w:space="0" w:color="auto"/>
        <w:left w:val="none" w:sz="0" w:space="0" w:color="auto"/>
        <w:bottom w:val="none" w:sz="0" w:space="0" w:color="auto"/>
        <w:right w:val="none" w:sz="0" w:space="0" w:color="auto"/>
      </w:divBdr>
      <w:divsChild>
        <w:div w:id="547844424">
          <w:marLeft w:val="0"/>
          <w:marRight w:val="0"/>
          <w:marTop w:val="0"/>
          <w:marBottom w:val="0"/>
          <w:divBdr>
            <w:top w:val="none" w:sz="0" w:space="0" w:color="555555"/>
            <w:left w:val="none" w:sz="0" w:space="11" w:color="555555"/>
            <w:bottom w:val="none" w:sz="0" w:space="0" w:color="555555"/>
            <w:right w:val="none" w:sz="0" w:space="11" w:color="555555"/>
          </w:divBdr>
          <w:divsChild>
            <w:div w:id="989947031">
              <w:marLeft w:val="-225"/>
              <w:marRight w:val="-225"/>
              <w:marTop w:val="0"/>
              <w:marBottom w:val="0"/>
              <w:divBdr>
                <w:top w:val="none" w:sz="0" w:space="0" w:color="555555"/>
                <w:left w:val="none" w:sz="0" w:space="0" w:color="555555"/>
                <w:bottom w:val="none" w:sz="0" w:space="0" w:color="555555"/>
                <w:right w:val="none" w:sz="0" w:space="0" w:color="555555"/>
              </w:divBdr>
              <w:divsChild>
                <w:div w:id="58018041">
                  <w:marLeft w:val="0"/>
                  <w:marRight w:val="0"/>
                  <w:marTop w:val="0"/>
                  <w:marBottom w:val="0"/>
                  <w:divBdr>
                    <w:top w:val="none" w:sz="0" w:space="0" w:color="555555"/>
                    <w:left w:val="none" w:sz="0" w:space="11" w:color="555555"/>
                    <w:bottom w:val="none" w:sz="0" w:space="0" w:color="555555"/>
                    <w:right w:val="none" w:sz="0" w:space="11" w:color="555555"/>
                  </w:divBdr>
                  <w:divsChild>
                    <w:div w:id="783302674">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55725615">
                  <w:marLeft w:val="0"/>
                  <w:marRight w:val="0"/>
                  <w:marTop w:val="0"/>
                  <w:marBottom w:val="0"/>
                  <w:divBdr>
                    <w:top w:val="none" w:sz="0" w:space="0" w:color="555555"/>
                    <w:left w:val="none" w:sz="0" w:space="11" w:color="555555"/>
                    <w:bottom w:val="none" w:sz="0" w:space="0" w:color="555555"/>
                    <w:right w:val="none" w:sz="0" w:space="11" w:color="555555"/>
                  </w:divBdr>
                </w:div>
                <w:div w:id="1374883996">
                  <w:marLeft w:val="0"/>
                  <w:marRight w:val="0"/>
                  <w:marTop w:val="0"/>
                  <w:marBottom w:val="0"/>
                  <w:divBdr>
                    <w:top w:val="none" w:sz="0" w:space="0" w:color="555555"/>
                    <w:left w:val="none" w:sz="0" w:space="11" w:color="555555"/>
                    <w:bottom w:val="none" w:sz="0" w:space="0" w:color="555555"/>
                    <w:right w:val="none" w:sz="0" w:space="11" w:color="555555"/>
                  </w:divBdr>
                  <w:divsChild>
                    <w:div w:id="1232734027">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391539301">
                  <w:marLeft w:val="0"/>
                  <w:marRight w:val="0"/>
                  <w:marTop w:val="0"/>
                  <w:marBottom w:val="0"/>
                  <w:divBdr>
                    <w:top w:val="none" w:sz="0" w:space="0" w:color="555555"/>
                    <w:left w:val="none" w:sz="0" w:space="11" w:color="555555"/>
                    <w:bottom w:val="none" w:sz="0" w:space="0" w:color="555555"/>
                    <w:right w:val="none" w:sz="0" w:space="11" w:color="555555"/>
                  </w:divBdr>
                  <w:divsChild>
                    <w:div w:id="413160843">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580015298">
                  <w:marLeft w:val="0"/>
                  <w:marRight w:val="0"/>
                  <w:marTop w:val="0"/>
                  <w:marBottom w:val="0"/>
                  <w:divBdr>
                    <w:top w:val="none" w:sz="0" w:space="0" w:color="555555"/>
                    <w:left w:val="none" w:sz="0" w:space="11" w:color="555555"/>
                    <w:bottom w:val="none" w:sz="0" w:space="0" w:color="555555"/>
                    <w:right w:val="none" w:sz="0" w:space="11" w:color="555555"/>
                  </w:divBdr>
                </w:div>
                <w:div w:id="1724671198">
                  <w:marLeft w:val="0"/>
                  <w:marRight w:val="0"/>
                  <w:marTop w:val="0"/>
                  <w:marBottom w:val="0"/>
                  <w:divBdr>
                    <w:top w:val="none" w:sz="0" w:space="0" w:color="555555"/>
                    <w:left w:val="none" w:sz="0" w:space="11" w:color="555555"/>
                    <w:bottom w:val="none" w:sz="0" w:space="0" w:color="555555"/>
                    <w:right w:val="none" w:sz="0" w:space="11" w:color="555555"/>
                  </w:divBdr>
                  <w:divsChild>
                    <w:div w:id="131678829">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894584999">
                  <w:marLeft w:val="0"/>
                  <w:marRight w:val="0"/>
                  <w:marTop w:val="0"/>
                  <w:marBottom w:val="0"/>
                  <w:divBdr>
                    <w:top w:val="none" w:sz="0" w:space="0" w:color="555555"/>
                    <w:left w:val="none" w:sz="0" w:space="11" w:color="555555"/>
                    <w:bottom w:val="none" w:sz="0" w:space="0" w:color="555555"/>
                    <w:right w:val="none" w:sz="0" w:space="11" w:color="555555"/>
                  </w:divBdr>
                  <w:divsChild>
                    <w:div w:id="794719320">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918132005">
                  <w:marLeft w:val="0"/>
                  <w:marRight w:val="0"/>
                  <w:marTop w:val="0"/>
                  <w:marBottom w:val="0"/>
                  <w:divBdr>
                    <w:top w:val="none" w:sz="0" w:space="0" w:color="555555"/>
                    <w:left w:val="none" w:sz="0" w:space="11" w:color="555555"/>
                    <w:bottom w:val="none" w:sz="0" w:space="0" w:color="555555"/>
                    <w:right w:val="none" w:sz="0" w:space="11" w:color="555555"/>
                  </w:divBdr>
                  <w:divsChild>
                    <w:div w:id="1203248984">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sChild>
            </w:div>
          </w:divsChild>
        </w:div>
        <w:div w:id="1842699443">
          <w:marLeft w:val="0"/>
          <w:marRight w:val="0"/>
          <w:marTop w:val="0"/>
          <w:marBottom w:val="0"/>
          <w:divBdr>
            <w:top w:val="none" w:sz="0" w:space="0" w:color="555555"/>
            <w:left w:val="none" w:sz="0" w:space="11" w:color="555555"/>
            <w:bottom w:val="none" w:sz="0" w:space="0" w:color="555555"/>
            <w:right w:val="none" w:sz="0" w:space="11" w:color="555555"/>
          </w:divBdr>
          <w:divsChild>
            <w:div w:id="2135173052">
              <w:marLeft w:val="-225"/>
              <w:marRight w:val="-225"/>
              <w:marTop w:val="0"/>
              <w:marBottom w:val="0"/>
              <w:divBdr>
                <w:top w:val="none" w:sz="0" w:space="0" w:color="555555"/>
                <w:left w:val="none" w:sz="0" w:space="0" w:color="555555"/>
                <w:bottom w:val="none" w:sz="0" w:space="0" w:color="555555"/>
                <w:right w:val="none" w:sz="0" w:space="0" w:color="555555"/>
              </w:divBdr>
              <w:divsChild>
                <w:div w:id="59253080">
                  <w:marLeft w:val="0"/>
                  <w:marRight w:val="0"/>
                  <w:marTop w:val="0"/>
                  <w:marBottom w:val="0"/>
                  <w:divBdr>
                    <w:top w:val="none" w:sz="0" w:space="0" w:color="555555"/>
                    <w:left w:val="none" w:sz="0" w:space="11" w:color="555555"/>
                    <w:bottom w:val="none" w:sz="0" w:space="0" w:color="555555"/>
                    <w:right w:val="none" w:sz="0" w:space="11" w:color="555555"/>
                  </w:divBdr>
                  <w:divsChild>
                    <w:div w:id="809976623">
                      <w:blockQuote w:val="1"/>
                      <w:marLeft w:val="0"/>
                      <w:marRight w:val="0"/>
                      <w:marTop w:val="0"/>
                      <w:marBottom w:val="300"/>
                      <w:divBdr>
                        <w:top w:val="none" w:sz="0" w:space="8" w:color="555555"/>
                        <w:left w:val="single" w:sz="36" w:space="31" w:color="555555"/>
                        <w:bottom w:val="none" w:sz="0" w:space="8" w:color="555555"/>
                        <w:right w:val="none" w:sz="0" w:space="15" w:color="555555"/>
                      </w:divBdr>
                    </w:div>
                  </w:divsChild>
                </w:div>
                <w:div w:id="389546352">
                  <w:marLeft w:val="0"/>
                  <w:marRight w:val="0"/>
                  <w:marTop w:val="0"/>
                  <w:marBottom w:val="0"/>
                  <w:divBdr>
                    <w:top w:val="none" w:sz="0" w:space="0" w:color="555555"/>
                    <w:left w:val="none" w:sz="0" w:space="11" w:color="555555"/>
                    <w:bottom w:val="none" w:sz="0" w:space="0" w:color="555555"/>
                    <w:right w:val="none" w:sz="0" w:space="11" w:color="555555"/>
                  </w:divBdr>
                </w:div>
                <w:div w:id="431364161">
                  <w:marLeft w:val="0"/>
                  <w:marRight w:val="0"/>
                  <w:marTop w:val="0"/>
                  <w:marBottom w:val="0"/>
                  <w:divBdr>
                    <w:top w:val="none" w:sz="0" w:space="0" w:color="555555"/>
                    <w:left w:val="none" w:sz="0" w:space="11" w:color="555555"/>
                    <w:bottom w:val="none" w:sz="0" w:space="0" w:color="555555"/>
                    <w:right w:val="none" w:sz="0" w:space="11" w:color="555555"/>
                  </w:divBdr>
                  <w:divsChild>
                    <w:div w:id="914244997">
                      <w:blockQuote w:val="1"/>
                      <w:marLeft w:val="0"/>
                      <w:marRight w:val="0"/>
                      <w:marTop w:val="0"/>
                      <w:marBottom w:val="300"/>
                      <w:divBdr>
                        <w:top w:val="none" w:sz="0" w:space="8" w:color="555555"/>
                        <w:left w:val="single" w:sz="36" w:space="31" w:color="555555"/>
                        <w:bottom w:val="none" w:sz="0" w:space="8" w:color="555555"/>
                        <w:right w:val="none" w:sz="0" w:space="15" w:color="555555"/>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itu.int/en/council/Documents/basic-texts/RES-071-E.pdf"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ericsson.com/en/blog/2020/4/networks-adapting-data-traffic-new-normal" TargetMode="External"/><Relationship Id="rId13" Type="http://schemas.openxmlformats.org/officeDocument/2006/relationships/hyperlink" Target="https://www.itu.int/pub/D-PREF-EF.COV_ECO_IMPACT_B-2021" TargetMode="External"/><Relationship Id="rId3" Type="http://schemas.openxmlformats.org/officeDocument/2006/relationships/hyperlink" Target="https://undocs.org/A/RES/75/1" TargetMode="External"/><Relationship Id="rId7" Type="http://schemas.openxmlformats.org/officeDocument/2006/relationships/hyperlink" Target="https://www.itu.int/pub/D-PREF-EF.COV_ECO_IMPACT_B-2021" TargetMode="External"/><Relationship Id="rId12" Type="http://schemas.openxmlformats.org/officeDocument/2006/relationships/hyperlink" Target="https://www.bcg.com/en-gb/publications/2021/building-sustainable-telecommunications-companies" TargetMode="External"/><Relationship Id="rId2" Type="http://schemas.openxmlformats.org/officeDocument/2006/relationships/hyperlink" Target="https://undocs.org/A/74/821" TargetMode="External"/><Relationship Id="rId1" Type="http://schemas.openxmlformats.org/officeDocument/2006/relationships/hyperlink" Target="https://www.un.org/en/content/digital-cooperation-roadmap/" TargetMode="External"/><Relationship Id="rId6" Type="http://schemas.openxmlformats.org/officeDocument/2006/relationships/hyperlink" Target="https://undocs.org/en/A/RES/71/243" TargetMode="External"/><Relationship Id="rId11" Type="http://schemas.openxmlformats.org/officeDocument/2006/relationships/hyperlink" Target="https://www.mckinsey.com/business-functions/mckinsey-digital/our-insights/the-top-trends-in-tech" TargetMode="External"/><Relationship Id="rId5" Type="http://schemas.openxmlformats.org/officeDocument/2006/relationships/hyperlink" Target="https://unsdg.un.org/2030-agenda/cooperation-framework" TargetMode="External"/><Relationship Id="rId10" Type="http://schemas.openxmlformats.org/officeDocument/2006/relationships/hyperlink" Target="https://www2.deloitte.com/content/dam/insights/articles/US93838_TMT_Predictions_2021/93838_TMT-predictions-2021-infographic.pdf" TargetMode="External"/><Relationship Id="rId4" Type="http://schemas.openxmlformats.org/officeDocument/2006/relationships/hyperlink" Target="https://www.un.org/en/content/common-agenda-report/" TargetMode="External"/><Relationship Id="rId9" Type="http://schemas.openxmlformats.org/officeDocument/2006/relationships/hyperlink" Target="https://data.gsmaintelligence.com/api-web/v2/research-file-download?id=58621970&amp;file=141220-Global-Mobile-Trends.pdf" TargetMode="External"/><Relationship Id="rId14" Type="http://schemas.openxmlformats.org/officeDocument/2006/relationships/hyperlink" Target="https://www.itu.int/en/ITU-D/Statistics/Documents/facts/FactsFigures202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3FE96C3E44B9B42930888C51A5BBA72" ma:contentTypeVersion="6" ma:contentTypeDescription="Create a new document." ma:contentTypeScope="" ma:versionID="09fda9e22ecce8f3364b83cd3fa741fd">
  <xsd:schema xmlns:xsd="http://www.w3.org/2001/XMLSchema" xmlns:xs="http://www.w3.org/2001/XMLSchema" xmlns:p="http://schemas.microsoft.com/office/2006/metadata/properties" xmlns:ns2="2ee27016-ed1a-4cf8-bcc9-fa6a27349352" xmlns:ns3="a8a026bf-b100-42f1-9dd5-7cbc76b456c8" targetNamespace="http://schemas.microsoft.com/office/2006/metadata/properties" ma:root="true" ma:fieldsID="848e42f2aca173aa99242a20e82e0abb" ns2:_="" ns3:_="">
    <xsd:import namespace="2ee27016-ed1a-4cf8-bcc9-fa6a27349352"/>
    <xsd:import namespace="a8a026bf-b100-42f1-9dd5-7cbc76b456c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e27016-ed1a-4cf8-bcc9-fa6a273493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8a026bf-b100-42f1-9dd5-7cbc76b456c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953B8A-51B0-421C-9219-ED12AB0ADFCF}">
  <ds:schemaRefs>
    <ds:schemaRef ds:uri="http://schemas.microsoft.com/sharepoint/v3/contenttype/forms"/>
  </ds:schemaRefs>
</ds:datastoreItem>
</file>

<file path=customXml/itemProps2.xml><?xml version="1.0" encoding="utf-8"?>
<ds:datastoreItem xmlns:ds="http://schemas.openxmlformats.org/officeDocument/2006/customXml" ds:itemID="{3865AB1C-5A79-4CE2-961F-884EEC138F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e27016-ed1a-4cf8-bcc9-fa6a27349352"/>
    <ds:schemaRef ds:uri="a8a026bf-b100-42f1-9dd5-7cbc76b456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CBB7ADF-EB5F-4537-943F-279F722AEB45}">
  <ds:schemaRefs>
    <ds:schemaRef ds:uri="http://schemas.openxmlformats.org/package/2006/metadata/core-properties"/>
    <ds:schemaRef ds:uri="http://www.w3.org/XML/1998/namespace"/>
    <ds:schemaRef ds:uri="a8a026bf-b100-42f1-9dd5-7cbc76b456c8"/>
    <ds:schemaRef ds:uri="http://purl.org/dc/dcmitype/"/>
    <ds:schemaRef ds:uri="http://purl.org/dc/elements/1.1/"/>
    <ds:schemaRef ds:uri="http://purl.org/dc/terms/"/>
    <ds:schemaRef ds:uri="http://schemas.microsoft.com/office/2006/metadata/properties"/>
    <ds:schemaRef ds:uri="http://schemas.microsoft.com/office/2006/documentManagement/types"/>
    <ds:schemaRef ds:uri="http://schemas.microsoft.com/office/infopath/2007/PartnerControls"/>
    <ds:schemaRef ds:uri="2ee27016-ed1a-4cf8-bcc9-fa6a27349352"/>
  </ds:schemaRefs>
</ds:datastoreItem>
</file>

<file path=customXml/itemProps4.xml><?xml version="1.0" encoding="utf-8"?>
<ds:datastoreItem xmlns:ds="http://schemas.openxmlformats.org/officeDocument/2006/customXml" ds:itemID="{65FE8DB8-ECA4-431A-910F-5B372D368FA0}">
  <ds:schemaRefs>
    <ds:schemaRef ds:uri="http://schemas.openxmlformats.org/officeDocument/2006/bibliography"/>
  </ds:schemaRefs>
</ds:datastoreItem>
</file>

<file path=customXml/itemProps5.xml><?xml version="1.0" encoding="utf-8"?>
<ds:datastoreItem xmlns:ds="http://schemas.openxmlformats.org/officeDocument/2006/customXml" ds:itemID="{4C0FA38D-6E00-4CBA-9460-488FB9AE4C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3416</Words>
  <Characters>20028</Characters>
  <Application>Microsoft Office Word</Application>
  <DocSecurity>4</DocSecurity>
  <Lines>166</Lines>
  <Paragraphs>46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Secretariat’s input to annex 2 to Resolution 71: Situational analysis</vt:lpstr>
      <vt:lpstr>ITU Normal.dot</vt:lpstr>
    </vt:vector>
  </TitlesOfParts>
  <Company>International Telecommunication Union (ITU)</Company>
  <LinksUpToDate>false</LinksUpToDate>
  <CharactersWithSpaces>23398</CharactersWithSpaces>
  <SharedDoc>false</SharedDoc>
  <HLinks>
    <vt:vector size="108" baseType="variant">
      <vt:variant>
        <vt:i4>2949227</vt:i4>
      </vt:variant>
      <vt:variant>
        <vt:i4>0</vt:i4>
      </vt:variant>
      <vt:variant>
        <vt:i4>0</vt:i4>
      </vt:variant>
      <vt:variant>
        <vt:i4>5</vt:i4>
      </vt:variant>
      <vt:variant>
        <vt:lpwstr>https://www.itu.int/en/council/Documents/basic-texts/RES-071-E.pdf</vt:lpwstr>
      </vt:variant>
      <vt:variant>
        <vt:lpwstr/>
      </vt:variant>
      <vt:variant>
        <vt:i4>1704016</vt:i4>
      </vt:variant>
      <vt:variant>
        <vt:i4>45</vt:i4>
      </vt:variant>
      <vt:variant>
        <vt:i4>0</vt:i4>
      </vt:variant>
      <vt:variant>
        <vt:i4>5</vt:i4>
      </vt:variant>
      <vt:variant>
        <vt:lpwstr>https://www.itu.int/en/ITU-D/Statistics/Documents/facts/FactsFigures2021.pdf</vt:lpwstr>
      </vt:variant>
      <vt:variant>
        <vt:lpwstr/>
      </vt:variant>
      <vt:variant>
        <vt:i4>7143502</vt:i4>
      </vt:variant>
      <vt:variant>
        <vt:i4>42</vt:i4>
      </vt:variant>
      <vt:variant>
        <vt:i4>0</vt:i4>
      </vt:variant>
      <vt:variant>
        <vt:i4>5</vt:i4>
      </vt:variant>
      <vt:variant>
        <vt:lpwstr>https://www.itu.int/pub/D-PREF-EF.COV_ECO_IMPACT_B-2021</vt:lpwstr>
      </vt:variant>
      <vt:variant>
        <vt:lpwstr/>
      </vt:variant>
      <vt:variant>
        <vt:i4>1310807</vt:i4>
      </vt:variant>
      <vt:variant>
        <vt:i4>39</vt:i4>
      </vt:variant>
      <vt:variant>
        <vt:i4>0</vt:i4>
      </vt:variant>
      <vt:variant>
        <vt:i4>5</vt:i4>
      </vt:variant>
      <vt:variant>
        <vt:lpwstr>https://www.bcg.com/en-gb/publications/2021/building-sustainable-telecommunications-companies</vt:lpwstr>
      </vt:variant>
      <vt:variant>
        <vt:lpwstr/>
      </vt:variant>
      <vt:variant>
        <vt:i4>4980820</vt:i4>
      </vt:variant>
      <vt:variant>
        <vt:i4>36</vt:i4>
      </vt:variant>
      <vt:variant>
        <vt:i4>0</vt:i4>
      </vt:variant>
      <vt:variant>
        <vt:i4>5</vt:i4>
      </vt:variant>
      <vt:variant>
        <vt:lpwstr>https://data.gsmaintelligence.com/api-web/v2/research-file-download?id=58621970&amp;file=141220-Global-Mobile-Trends.pdf</vt:lpwstr>
      </vt:variant>
      <vt:variant>
        <vt:lpwstr/>
      </vt:variant>
      <vt:variant>
        <vt:i4>7143502</vt:i4>
      </vt:variant>
      <vt:variant>
        <vt:i4>33</vt:i4>
      </vt:variant>
      <vt:variant>
        <vt:i4>0</vt:i4>
      </vt:variant>
      <vt:variant>
        <vt:i4>5</vt:i4>
      </vt:variant>
      <vt:variant>
        <vt:lpwstr>https://www.itu.int/pub/D-PREF-EF.COV_ECO_IMPACT_B-2021</vt:lpwstr>
      </vt:variant>
      <vt:variant>
        <vt:lpwstr/>
      </vt:variant>
      <vt:variant>
        <vt:i4>5767255</vt:i4>
      </vt:variant>
      <vt:variant>
        <vt:i4>30</vt:i4>
      </vt:variant>
      <vt:variant>
        <vt:i4>0</vt:i4>
      </vt:variant>
      <vt:variant>
        <vt:i4>5</vt:i4>
      </vt:variant>
      <vt:variant>
        <vt:lpwstr>https://www.mckinsey.com/business-functions/mckinsey-digital/our-insights/the-top-trends-in-tech</vt:lpwstr>
      </vt:variant>
      <vt:variant>
        <vt:lpwstr/>
      </vt:variant>
      <vt:variant>
        <vt:i4>589832</vt:i4>
      </vt:variant>
      <vt:variant>
        <vt:i4>27</vt:i4>
      </vt:variant>
      <vt:variant>
        <vt:i4>0</vt:i4>
      </vt:variant>
      <vt:variant>
        <vt:i4>5</vt:i4>
      </vt:variant>
      <vt:variant>
        <vt:lpwstr>https://www2.deloitte.com/content/dam/insights/articles/US93838_TMT_Predictions_2021/93838_TMT-predictions-2021-infographic.pdf</vt:lpwstr>
      </vt:variant>
      <vt:variant>
        <vt:lpwstr/>
      </vt:variant>
      <vt:variant>
        <vt:i4>4980820</vt:i4>
      </vt:variant>
      <vt:variant>
        <vt:i4>24</vt:i4>
      </vt:variant>
      <vt:variant>
        <vt:i4>0</vt:i4>
      </vt:variant>
      <vt:variant>
        <vt:i4>5</vt:i4>
      </vt:variant>
      <vt:variant>
        <vt:lpwstr>https://data.gsmaintelligence.com/api-web/v2/research-file-download?id=58621970&amp;file=141220-Global-Mobile-Trends.pdf</vt:lpwstr>
      </vt:variant>
      <vt:variant>
        <vt:lpwstr/>
      </vt:variant>
      <vt:variant>
        <vt:i4>5963848</vt:i4>
      </vt:variant>
      <vt:variant>
        <vt:i4>21</vt:i4>
      </vt:variant>
      <vt:variant>
        <vt:i4>0</vt:i4>
      </vt:variant>
      <vt:variant>
        <vt:i4>5</vt:i4>
      </vt:variant>
      <vt:variant>
        <vt:lpwstr>https://www.ericsson.com/en/blog/2020/4/networks-adapting-data-traffic-new-normal</vt:lpwstr>
      </vt:variant>
      <vt:variant>
        <vt:lpwstr/>
      </vt:variant>
      <vt:variant>
        <vt:i4>7143502</vt:i4>
      </vt:variant>
      <vt:variant>
        <vt:i4>18</vt:i4>
      </vt:variant>
      <vt:variant>
        <vt:i4>0</vt:i4>
      </vt:variant>
      <vt:variant>
        <vt:i4>5</vt:i4>
      </vt:variant>
      <vt:variant>
        <vt:lpwstr>https://www.itu.int/pub/D-PREF-EF.COV_ECO_IMPACT_B-2021</vt:lpwstr>
      </vt:variant>
      <vt:variant>
        <vt:lpwstr/>
      </vt:variant>
      <vt:variant>
        <vt:i4>7602275</vt:i4>
      </vt:variant>
      <vt:variant>
        <vt:i4>15</vt:i4>
      </vt:variant>
      <vt:variant>
        <vt:i4>0</vt:i4>
      </vt:variant>
      <vt:variant>
        <vt:i4>5</vt:i4>
      </vt:variant>
      <vt:variant>
        <vt:lpwstr>https://undocs.org/en/A/RES/71/243</vt:lpwstr>
      </vt:variant>
      <vt:variant>
        <vt:lpwstr/>
      </vt:variant>
      <vt:variant>
        <vt:i4>8257577</vt:i4>
      </vt:variant>
      <vt:variant>
        <vt:i4>12</vt:i4>
      </vt:variant>
      <vt:variant>
        <vt:i4>0</vt:i4>
      </vt:variant>
      <vt:variant>
        <vt:i4>5</vt:i4>
      </vt:variant>
      <vt:variant>
        <vt:lpwstr>https://unsdg.un.org/2030-agenda/cooperation-framework</vt:lpwstr>
      </vt:variant>
      <vt:variant>
        <vt:lpwstr/>
      </vt:variant>
      <vt:variant>
        <vt:i4>6357088</vt:i4>
      </vt:variant>
      <vt:variant>
        <vt:i4>9</vt:i4>
      </vt:variant>
      <vt:variant>
        <vt:i4>0</vt:i4>
      </vt:variant>
      <vt:variant>
        <vt:i4>5</vt:i4>
      </vt:variant>
      <vt:variant>
        <vt:lpwstr>https://www.un.org/en/content/common-agenda-report/</vt:lpwstr>
      </vt:variant>
      <vt:variant>
        <vt:lpwstr/>
      </vt:variant>
      <vt:variant>
        <vt:i4>1245201</vt:i4>
      </vt:variant>
      <vt:variant>
        <vt:i4>6</vt:i4>
      </vt:variant>
      <vt:variant>
        <vt:i4>0</vt:i4>
      </vt:variant>
      <vt:variant>
        <vt:i4>5</vt:i4>
      </vt:variant>
      <vt:variant>
        <vt:lpwstr>https://undocs.org/A/RES/75/1</vt:lpwstr>
      </vt:variant>
      <vt:variant>
        <vt:lpwstr/>
      </vt:variant>
      <vt:variant>
        <vt:i4>2097250</vt:i4>
      </vt:variant>
      <vt:variant>
        <vt:i4>3</vt:i4>
      </vt:variant>
      <vt:variant>
        <vt:i4>0</vt:i4>
      </vt:variant>
      <vt:variant>
        <vt:i4>5</vt:i4>
      </vt:variant>
      <vt:variant>
        <vt:lpwstr>https://undocs.org/A/74/821</vt:lpwstr>
      </vt:variant>
      <vt:variant>
        <vt:lpwstr/>
      </vt:variant>
      <vt:variant>
        <vt:i4>7077934</vt:i4>
      </vt:variant>
      <vt:variant>
        <vt:i4>0</vt:i4>
      </vt:variant>
      <vt:variant>
        <vt:i4>0</vt:i4>
      </vt:variant>
      <vt:variant>
        <vt:i4>5</vt:i4>
      </vt:variant>
      <vt:variant>
        <vt:lpwstr>https://www.un.org/en/content/digital-cooperation-roadmap/</vt:lpwstr>
      </vt:variant>
      <vt:variant>
        <vt:lpwstr/>
      </vt:variant>
      <vt:variant>
        <vt:i4>3342371</vt:i4>
      </vt:variant>
      <vt:variant>
        <vt:i4>3</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Secretariat’s input to annex 2 to Resolution 71: Situational analysis</dc:title>
  <dc:subject>Council Working Group for Strategic and Financial Plans 2024-2027</dc:subject>
  <dc:creator>Brouard, Ricarda</dc:creator>
  <cp:keywords>CWG-SFP</cp:keywords>
  <cp:lastModifiedBy>Xue, Kun</cp:lastModifiedBy>
  <cp:revision>2</cp:revision>
  <cp:lastPrinted>2021-08-24T03:13:00Z</cp:lastPrinted>
  <dcterms:created xsi:type="dcterms:W3CDTF">2022-01-20T09:18:00Z</dcterms:created>
  <dcterms:modified xsi:type="dcterms:W3CDTF">2022-01-20T09:18:00Z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_DocHome">
    <vt:i4>-1556540486</vt:i4>
  </property>
  <property fmtid="{D5CDD505-2E9C-101B-9397-08002B2CF9AE}" pid="4" name="ContentTypeId">
    <vt:lpwstr>0x01010023FE96C3E44B9B42930888C51A5BBA72</vt:lpwstr>
  </property>
</Properties>
</file>