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4749ED" w14:paraId="509E9351" w14:textId="77777777">
        <w:trPr>
          <w:cantSplit/>
        </w:trPr>
        <w:tc>
          <w:tcPr>
            <w:tcW w:w="6912" w:type="dxa"/>
          </w:tcPr>
          <w:p w14:paraId="3C9F03EA" w14:textId="3589F188" w:rsidR="00093EEB" w:rsidRPr="004749ED" w:rsidRDefault="003A584C" w:rsidP="005A1840">
            <w:pPr>
              <w:spacing w:before="360"/>
              <w:rPr>
                <w:szCs w:val="24"/>
              </w:rPr>
            </w:pPr>
            <w:bookmarkStart w:id="0" w:name="dbluepink" w:colFirst="0" w:colLast="0"/>
            <w:r w:rsidRPr="004749ED">
              <w:rPr>
                <w:b/>
                <w:bCs/>
                <w:sz w:val="30"/>
                <w:szCs w:val="30"/>
              </w:rPr>
              <w:t>Grupo de Trabajo del Consejo sobre los Planes Estratégico y Financiero para 2024-2027</w:t>
            </w:r>
            <w:r w:rsidR="00093EEB" w:rsidRPr="004749ED">
              <w:rPr>
                <w:b/>
                <w:bCs/>
                <w:sz w:val="26"/>
                <w:szCs w:val="26"/>
              </w:rPr>
              <w:br/>
            </w:r>
            <w:bookmarkStart w:id="1" w:name="lt_pId005"/>
            <w:r w:rsidR="00D21291" w:rsidRPr="004749ED">
              <w:rPr>
                <w:b/>
                <w:bCs/>
                <w:szCs w:val="24"/>
              </w:rPr>
              <w:t>Tercera reunión</w:t>
            </w:r>
            <w:r w:rsidR="00D21291" w:rsidRPr="004749ED">
              <w:rPr>
                <w:rFonts w:eastAsia="Calibri" w:cs="Calibri"/>
                <w:b/>
                <w:spacing w:val="-2"/>
                <w:szCs w:val="24"/>
              </w:rPr>
              <w:t xml:space="preserve"> </w:t>
            </w:r>
            <w:r w:rsidR="005B2E97" w:rsidRPr="004749ED">
              <w:rPr>
                <w:rFonts w:eastAsia="Calibri" w:cs="Calibri"/>
                <w:b/>
                <w:color w:val="000000"/>
                <w:spacing w:val="-2"/>
                <w:szCs w:val="24"/>
              </w:rPr>
              <w:t xml:space="preserve">– </w:t>
            </w:r>
            <w:r w:rsidR="00875A32" w:rsidRPr="004749ED">
              <w:rPr>
                <w:b/>
                <w:bCs/>
                <w:szCs w:val="24"/>
              </w:rPr>
              <w:t>21 y 22 de febrero de 2022</w:t>
            </w:r>
            <w:bookmarkEnd w:id="1"/>
          </w:p>
        </w:tc>
        <w:tc>
          <w:tcPr>
            <w:tcW w:w="3261" w:type="dxa"/>
          </w:tcPr>
          <w:p w14:paraId="3B65EF6A" w14:textId="77777777" w:rsidR="00093EEB" w:rsidRPr="004749ED" w:rsidRDefault="007955DA" w:rsidP="007955DA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4749ED">
              <w:rPr>
                <w:noProof/>
              </w:rPr>
              <w:drawing>
                <wp:inline distT="0" distB="0" distL="0" distR="0" wp14:anchorId="2EA8E8B5" wp14:editId="20F437A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4749ED" w14:paraId="3722BAF5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6E867426" w14:textId="77777777" w:rsidR="00093EEB" w:rsidRPr="004749ED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4749ED" w14:paraId="52A2B439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A6B2B3C" w14:textId="77777777" w:rsidR="00093EEB" w:rsidRPr="004749ED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0C667BA9" w14:textId="77777777" w:rsidR="00093EEB" w:rsidRPr="004749ED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4749ED" w14:paraId="23AF1C7F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46E8C087" w14:textId="77777777" w:rsidR="00093EEB" w:rsidRPr="004749ED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14:paraId="6A2EE25E" w14:textId="3570CB0E" w:rsidR="00093EEB" w:rsidRPr="004749ED" w:rsidRDefault="005A1840" w:rsidP="00C2727F">
            <w:pPr>
              <w:spacing w:before="0"/>
              <w:rPr>
                <w:b/>
                <w:bCs/>
                <w:szCs w:val="24"/>
              </w:rPr>
            </w:pPr>
            <w:r w:rsidRPr="004749ED">
              <w:rPr>
                <w:b/>
                <w:bCs/>
                <w:szCs w:val="24"/>
              </w:rPr>
              <w:t>Documento CWG-SFP-</w:t>
            </w:r>
            <w:r w:rsidR="00875A32" w:rsidRPr="004749ED">
              <w:rPr>
                <w:b/>
                <w:bCs/>
                <w:szCs w:val="24"/>
              </w:rPr>
              <w:t>3</w:t>
            </w:r>
            <w:r w:rsidRPr="004749ED">
              <w:rPr>
                <w:b/>
                <w:bCs/>
                <w:szCs w:val="24"/>
              </w:rPr>
              <w:t>/</w:t>
            </w:r>
            <w:r w:rsidR="008440F8" w:rsidRPr="004749ED">
              <w:rPr>
                <w:b/>
                <w:bCs/>
                <w:szCs w:val="24"/>
              </w:rPr>
              <w:t>3</w:t>
            </w:r>
            <w:r w:rsidRPr="004749ED">
              <w:rPr>
                <w:b/>
                <w:bCs/>
                <w:szCs w:val="24"/>
              </w:rPr>
              <w:t>-S</w:t>
            </w:r>
          </w:p>
        </w:tc>
      </w:tr>
      <w:tr w:rsidR="00093EEB" w:rsidRPr="004749ED" w14:paraId="0E8E77A1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FE500A4" w14:textId="77777777" w:rsidR="00093EEB" w:rsidRPr="004749ED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5F565883" w14:textId="7B9F4057" w:rsidR="00093EEB" w:rsidRPr="004749ED" w:rsidRDefault="00E37B27" w:rsidP="00C2727F">
            <w:pPr>
              <w:spacing w:before="0"/>
              <w:rPr>
                <w:b/>
                <w:bCs/>
                <w:szCs w:val="24"/>
              </w:rPr>
            </w:pPr>
            <w:r w:rsidRPr="004749ED">
              <w:rPr>
                <w:b/>
                <w:bCs/>
                <w:szCs w:val="24"/>
              </w:rPr>
              <w:t>21</w:t>
            </w:r>
            <w:r w:rsidR="005A1840" w:rsidRPr="004749ED">
              <w:rPr>
                <w:b/>
                <w:bCs/>
                <w:szCs w:val="24"/>
              </w:rPr>
              <w:t xml:space="preserve"> de </w:t>
            </w:r>
            <w:r w:rsidRPr="004749ED">
              <w:rPr>
                <w:b/>
                <w:bCs/>
                <w:szCs w:val="24"/>
              </w:rPr>
              <w:t>enero</w:t>
            </w:r>
            <w:r w:rsidR="005A1840" w:rsidRPr="004749ED">
              <w:rPr>
                <w:b/>
                <w:bCs/>
                <w:szCs w:val="24"/>
              </w:rPr>
              <w:t xml:space="preserve"> de 202</w:t>
            </w:r>
            <w:r w:rsidRPr="004749ED">
              <w:rPr>
                <w:b/>
                <w:bCs/>
                <w:szCs w:val="24"/>
              </w:rPr>
              <w:t>2</w:t>
            </w:r>
          </w:p>
        </w:tc>
      </w:tr>
      <w:tr w:rsidR="00093EEB" w:rsidRPr="004749ED" w14:paraId="6D7EF81A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A900D65" w14:textId="77777777" w:rsidR="00093EEB" w:rsidRPr="004749ED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535E8E1E" w14:textId="77777777" w:rsidR="00093EEB" w:rsidRPr="004749ED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4749ED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4749ED" w14:paraId="2D243CAD" w14:textId="77777777">
        <w:trPr>
          <w:cantSplit/>
        </w:trPr>
        <w:tc>
          <w:tcPr>
            <w:tcW w:w="10173" w:type="dxa"/>
            <w:gridSpan w:val="2"/>
          </w:tcPr>
          <w:p w14:paraId="3B00EA2B" w14:textId="542DC9EC" w:rsidR="00093EEB" w:rsidRPr="00C74D6D" w:rsidRDefault="008440F8" w:rsidP="00543752">
            <w:pPr>
              <w:pStyle w:val="Source"/>
            </w:pPr>
            <w:bookmarkStart w:id="7" w:name="dsource" w:colFirst="0" w:colLast="0"/>
            <w:bookmarkEnd w:id="0"/>
            <w:bookmarkEnd w:id="6"/>
            <w:r w:rsidRPr="00C74D6D">
              <w:t>Contribución de la Secretaría</w:t>
            </w:r>
          </w:p>
        </w:tc>
      </w:tr>
      <w:tr w:rsidR="00093EEB" w:rsidRPr="004749ED" w14:paraId="2FF2D504" w14:textId="77777777">
        <w:trPr>
          <w:cantSplit/>
        </w:trPr>
        <w:tc>
          <w:tcPr>
            <w:tcW w:w="10173" w:type="dxa"/>
            <w:gridSpan w:val="2"/>
          </w:tcPr>
          <w:p w14:paraId="62389682" w14:textId="1A6533DE" w:rsidR="00093EEB" w:rsidRPr="004749ED" w:rsidRDefault="008440F8" w:rsidP="00EA12F4">
            <w:pPr>
              <w:pStyle w:val="Title1"/>
            </w:pPr>
            <w:bookmarkStart w:id="8" w:name="dtitle1" w:colFirst="0" w:colLast="0"/>
            <w:bookmarkStart w:id="9" w:name="_Hlk95489832"/>
            <w:bookmarkEnd w:id="7"/>
            <w:r w:rsidRPr="004749ED">
              <w:t xml:space="preserve">Documento de información sobre la contribución de la Secretaría al </w:t>
            </w:r>
            <w:r w:rsidR="001D18F4" w:rsidRPr="004749ED">
              <w:t xml:space="preserve">proyecto de </w:t>
            </w:r>
            <w:r w:rsidRPr="004749ED">
              <w:t>Plan Estratégico de la UIT 2024-2027</w:t>
            </w:r>
            <w:bookmarkEnd w:id="9"/>
          </w:p>
        </w:tc>
      </w:tr>
    </w:tbl>
    <w:p w14:paraId="42C48F5E" w14:textId="77777777" w:rsidR="008440F8" w:rsidRPr="004749ED" w:rsidRDefault="008440F8" w:rsidP="008440F8">
      <w:bookmarkStart w:id="10" w:name="dc06"/>
      <w:bookmarkStart w:id="11" w:name="lt_pId012"/>
      <w:bookmarkStart w:id="12" w:name="_Hlk94102151"/>
      <w:bookmarkStart w:id="13" w:name="_Hlk94102104"/>
      <w:bookmarkStart w:id="14" w:name="_Hlk94102189"/>
      <w:bookmarkEnd w:id="8"/>
      <w:bookmarkEnd w:id="10"/>
    </w:p>
    <w:tbl>
      <w:tblPr>
        <w:tblW w:w="808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</w:tblGrid>
      <w:tr w:rsidR="008440F8" w:rsidRPr="004749ED" w14:paraId="47D0BDED" w14:textId="77777777" w:rsidTr="008440F8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BCD68E" w14:textId="77777777" w:rsidR="008440F8" w:rsidRPr="00C74D6D" w:rsidRDefault="008440F8">
            <w:pPr>
              <w:pStyle w:val="Headingb"/>
            </w:pPr>
            <w:r w:rsidRPr="00C74D6D">
              <w:t>Resumen</w:t>
            </w:r>
          </w:p>
          <w:p w14:paraId="6B93A5BB" w14:textId="693D2D1E" w:rsidR="001204D7" w:rsidRPr="00C74D6D" w:rsidRDefault="001204D7" w:rsidP="001204D7">
            <w:r w:rsidRPr="00C74D6D">
              <w:t>Este documento</w:t>
            </w:r>
            <w:r w:rsidRPr="004749ED">
              <w:t xml:space="preserve"> se presentó en la segunda reunión del </w:t>
            </w:r>
            <w:r w:rsidR="002B3869" w:rsidRPr="004749ED">
              <w:t>GTC-PEF</w:t>
            </w:r>
            <w:r w:rsidRPr="004749ED">
              <w:t xml:space="preserve"> </w:t>
            </w:r>
            <w:r w:rsidRPr="00C74D6D">
              <w:t xml:space="preserve">como </w:t>
            </w:r>
            <w:r w:rsidR="000C65D6" w:rsidRPr="004749ED">
              <w:t>D</w:t>
            </w:r>
            <w:r w:rsidRPr="004749ED">
              <w:t xml:space="preserve">ocumento </w:t>
            </w:r>
            <w:r w:rsidRPr="00C74D6D">
              <w:t xml:space="preserve">CWG-SFP-23/INF-1, </w:t>
            </w:r>
            <w:r w:rsidR="00DA733E" w:rsidRPr="004749ED">
              <w:t>con objeto de exponer</w:t>
            </w:r>
            <w:r w:rsidRPr="00C74D6D">
              <w:t xml:space="preserve"> y explica</w:t>
            </w:r>
            <w:r w:rsidR="00DA733E" w:rsidRPr="004749ED">
              <w:t>r</w:t>
            </w:r>
            <w:r w:rsidRPr="00C74D6D">
              <w:t xml:space="preserve"> la contribución de la Secretaría al proyecto de Plan Estratégico de la Unión para 2024-2027. </w:t>
            </w:r>
            <w:r w:rsidRPr="004749ED">
              <w:t xml:space="preserve">Tiene por </w:t>
            </w:r>
            <w:r w:rsidR="00DA733E" w:rsidRPr="004749ED">
              <w:t>finalidad</w:t>
            </w:r>
            <w:r w:rsidRPr="004749ED">
              <w:t xml:space="preserve"> </w:t>
            </w:r>
            <w:r w:rsidRPr="00C74D6D">
              <w:t>facilitar el examen del proyecto de Plan Estratégico por los miembros, ofreciendo información adicional sobre</w:t>
            </w:r>
            <w:r w:rsidRPr="004749ED">
              <w:t xml:space="preserve">: </w:t>
            </w:r>
            <w:r w:rsidRPr="00C74D6D">
              <w:t xml:space="preserve">1) el proceso </w:t>
            </w:r>
            <w:r w:rsidR="00584DE9" w:rsidRPr="004749ED">
              <w:t xml:space="preserve">de elaboración de </w:t>
            </w:r>
            <w:r w:rsidRPr="00C74D6D">
              <w:t xml:space="preserve">la contribución de la Secretaría al proyecto de Plan Estratégico, </w:t>
            </w:r>
            <w:r w:rsidR="00584DE9" w:rsidRPr="004749ED">
              <w:t xml:space="preserve">siguiendo </w:t>
            </w:r>
            <w:r w:rsidRPr="00C74D6D">
              <w:t xml:space="preserve">las orientaciones </w:t>
            </w:r>
            <w:r w:rsidRPr="004749ED">
              <w:t>impartidas</w:t>
            </w:r>
            <w:r w:rsidRPr="00C74D6D">
              <w:t xml:space="preserve"> por el </w:t>
            </w:r>
            <w:r w:rsidR="002B3869" w:rsidRPr="004749ED">
              <w:t>GTC-PEF</w:t>
            </w:r>
            <w:r w:rsidR="00EC093B" w:rsidRPr="004749ED">
              <w:t>,</w:t>
            </w:r>
            <w:r w:rsidRPr="004749ED">
              <w:t xml:space="preserve"> </w:t>
            </w:r>
            <w:r w:rsidRPr="00C74D6D">
              <w:t xml:space="preserve">2) los principios </w:t>
            </w:r>
            <w:r w:rsidR="00211C01" w:rsidRPr="004749ED">
              <w:t xml:space="preserve">básicos </w:t>
            </w:r>
            <w:r w:rsidR="005D1060" w:rsidRPr="004749ED">
              <w:t xml:space="preserve">que sirvieron de </w:t>
            </w:r>
            <w:r w:rsidR="00EC093B" w:rsidRPr="004749ED">
              <w:t>guía</w:t>
            </w:r>
            <w:r w:rsidR="005D1060" w:rsidRPr="004749ED">
              <w:t xml:space="preserve"> para </w:t>
            </w:r>
            <w:r w:rsidRPr="004749ED">
              <w:t>l</w:t>
            </w:r>
            <w:r w:rsidRPr="00C74D6D">
              <w:t>a elaboración del proyecto de Plan</w:t>
            </w:r>
            <w:r w:rsidR="00EC093B" w:rsidRPr="004749ED">
              <w:t>,</w:t>
            </w:r>
            <w:r w:rsidR="00EE5E24" w:rsidRPr="004749ED">
              <w:t xml:space="preserve"> y </w:t>
            </w:r>
            <w:r w:rsidRPr="00C74D6D">
              <w:t xml:space="preserve">3) </w:t>
            </w:r>
            <w:r w:rsidR="00211C01" w:rsidRPr="004749ED">
              <w:t>la</w:t>
            </w:r>
            <w:r w:rsidR="00EC093B" w:rsidRPr="004749ED">
              <w:t>s razones que explican e</w:t>
            </w:r>
            <w:r w:rsidR="005D1060" w:rsidRPr="004749ED">
              <w:t xml:space="preserve">l </w:t>
            </w:r>
            <w:r w:rsidRPr="00C74D6D">
              <w:t xml:space="preserve">contenido de </w:t>
            </w:r>
            <w:r w:rsidR="003C22BC" w:rsidRPr="004749ED">
              <w:t xml:space="preserve">algunos </w:t>
            </w:r>
            <w:r w:rsidR="001F1F77" w:rsidRPr="004749ED">
              <w:t>componentes</w:t>
            </w:r>
            <w:r w:rsidR="003C22BC" w:rsidRPr="004749ED">
              <w:t xml:space="preserve"> concretos </w:t>
            </w:r>
            <w:r w:rsidRPr="00C74D6D">
              <w:t>del Plan Estratégico y los indicadores de resultados.</w:t>
            </w:r>
          </w:p>
          <w:p w14:paraId="38D1E4AB" w14:textId="77777777" w:rsidR="008440F8" w:rsidRPr="004749ED" w:rsidRDefault="008440F8">
            <w:pPr>
              <w:pStyle w:val="Headingb"/>
            </w:pPr>
            <w:r w:rsidRPr="004749ED">
              <w:t>Acción solicitada</w:t>
            </w:r>
          </w:p>
          <w:p w14:paraId="3FBA9744" w14:textId="77777777" w:rsidR="000C65D6" w:rsidRPr="004749ED" w:rsidRDefault="008440F8" w:rsidP="000C65D6">
            <w:pPr>
              <w:rPr>
                <w:bCs/>
              </w:rPr>
            </w:pPr>
            <w:r w:rsidRPr="004749ED">
              <w:t xml:space="preserve">Se invita al Grupo de Trabajo del Consejo a </w:t>
            </w:r>
            <w:r w:rsidR="001D18F4" w:rsidRPr="004749ED">
              <w:rPr>
                <w:b/>
                <w:bCs/>
              </w:rPr>
              <w:t xml:space="preserve">que tome nota </w:t>
            </w:r>
            <w:r w:rsidR="001D18F4" w:rsidRPr="004749ED">
              <w:rPr>
                <w:bCs/>
              </w:rPr>
              <w:t>del presente documento</w:t>
            </w:r>
          </w:p>
          <w:p w14:paraId="5CB1C2FE" w14:textId="43F11CD0" w:rsidR="008440F8" w:rsidRPr="004749ED" w:rsidRDefault="008440F8" w:rsidP="000C65D6">
            <w:pPr>
              <w:spacing w:line="480" w:lineRule="auto"/>
              <w:rPr>
                <w:sz w:val="22"/>
              </w:rPr>
            </w:pPr>
            <w:r w:rsidRPr="004749ED">
              <w:rPr>
                <w:sz w:val="22"/>
              </w:rPr>
              <w:t>____________</w:t>
            </w:r>
          </w:p>
          <w:p w14:paraId="2A9282C2" w14:textId="77777777" w:rsidR="008440F8" w:rsidRPr="004749ED" w:rsidRDefault="008440F8">
            <w:pPr>
              <w:pStyle w:val="Headingb"/>
            </w:pPr>
            <w:r w:rsidRPr="004749ED">
              <w:t>Referencias</w:t>
            </w:r>
          </w:p>
          <w:p w14:paraId="51AF2950" w14:textId="77777777" w:rsidR="008440F8" w:rsidRPr="004749ED" w:rsidRDefault="00C74D6D">
            <w:pPr>
              <w:spacing w:after="120"/>
              <w:rPr>
                <w:i/>
                <w:iCs/>
              </w:rPr>
            </w:pPr>
            <w:hyperlink r:id="rId9" w:history="1">
              <w:r w:rsidR="008440F8" w:rsidRPr="004749ED">
                <w:rPr>
                  <w:rStyle w:val="Hyperlink"/>
                  <w:i/>
                  <w:iCs/>
                </w:rPr>
                <w:t>Resolución 71 (Rev. Dubái, 2018)</w:t>
              </w:r>
            </w:hyperlink>
          </w:p>
        </w:tc>
      </w:tr>
    </w:tbl>
    <w:p w14:paraId="2E12FB19" w14:textId="77777777" w:rsidR="008440F8" w:rsidRPr="004749ED" w:rsidRDefault="008440F8" w:rsidP="008440F8">
      <w:pPr>
        <w:tabs>
          <w:tab w:val="clear" w:pos="567"/>
          <w:tab w:val="left" w:pos="720"/>
        </w:tabs>
        <w:overflowPunct/>
        <w:autoSpaceDE/>
        <w:adjustRightInd/>
        <w:spacing w:before="0"/>
      </w:pPr>
      <w:r w:rsidRPr="004749ED">
        <w:br w:type="page"/>
      </w:r>
    </w:p>
    <w:p w14:paraId="3F49483B" w14:textId="1F5D92BE" w:rsidR="001F20C2" w:rsidRPr="004749ED" w:rsidRDefault="001F20C2" w:rsidP="001F20C2">
      <w:pPr>
        <w:pStyle w:val="Heading1"/>
      </w:pPr>
      <w:r w:rsidRPr="004749ED">
        <w:lastRenderedPageBreak/>
        <w:t>1</w:t>
      </w:r>
      <w:r w:rsidRPr="004749ED">
        <w:tab/>
      </w:r>
      <w:proofErr w:type="gramStart"/>
      <w:r w:rsidRPr="004749ED">
        <w:t>Introduc</w:t>
      </w:r>
      <w:r w:rsidR="002B3869" w:rsidRPr="004749ED">
        <w:t>ción</w:t>
      </w:r>
      <w:proofErr w:type="gramEnd"/>
    </w:p>
    <w:p w14:paraId="7964E15D" w14:textId="50E318C3" w:rsidR="001F20C2" w:rsidRPr="004749ED" w:rsidRDefault="002B3869" w:rsidP="001F20C2">
      <w:r w:rsidRPr="004749ED">
        <w:t>E</w:t>
      </w:r>
      <w:r w:rsidR="00644CF0" w:rsidRPr="004749ED">
        <w:t>ste</w:t>
      </w:r>
      <w:r w:rsidRPr="004749ED">
        <w:t xml:space="preserve"> documento </w:t>
      </w:r>
      <w:r w:rsidR="00EC093B" w:rsidRPr="004749ED">
        <w:t xml:space="preserve">se </w:t>
      </w:r>
      <w:r w:rsidR="00470B64" w:rsidRPr="004749ED">
        <w:t>elaboró</w:t>
      </w:r>
      <w:r w:rsidRPr="004749ED">
        <w:t xml:space="preserve"> </w:t>
      </w:r>
      <w:r w:rsidR="00262562" w:rsidRPr="004749ED">
        <w:t>con el fin de</w:t>
      </w:r>
      <w:r w:rsidRPr="004749ED">
        <w:t xml:space="preserve"> </w:t>
      </w:r>
      <w:r w:rsidR="00EC093B" w:rsidRPr="004749ED">
        <w:t>exponer</w:t>
      </w:r>
      <w:r w:rsidRPr="004749ED">
        <w:t xml:space="preserve"> y explicar la contribuci</w:t>
      </w:r>
      <w:r w:rsidR="00EC093B" w:rsidRPr="004749ED">
        <w:t>ón</w:t>
      </w:r>
      <w:r w:rsidRPr="004749ED">
        <w:t xml:space="preserve"> de la Secretaría</w:t>
      </w:r>
      <w:r w:rsidR="00262562" w:rsidRPr="004749ED">
        <w:t>,</w:t>
      </w:r>
      <w:r w:rsidRPr="004749ED">
        <w:t xml:space="preserve"> </w:t>
      </w:r>
      <w:r w:rsidR="00262562" w:rsidRPr="004749ED">
        <w:t xml:space="preserve">presentada </w:t>
      </w:r>
      <w:r w:rsidR="00EC093B" w:rsidRPr="004749ED">
        <w:t>en</w:t>
      </w:r>
      <w:r w:rsidRPr="004749ED">
        <w:t xml:space="preserve"> la segunda reunión del GTC-PEF</w:t>
      </w:r>
      <w:r w:rsidR="001F20C2" w:rsidRPr="004749ED">
        <w:t xml:space="preserve">. </w:t>
      </w:r>
      <w:r w:rsidRPr="004749ED">
        <w:t xml:space="preserve">Tiene por </w:t>
      </w:r>
      <w:r w:rsidR="00262562" w:rsidRPr="004749ED">
        <w:t xml:space="preserve">objeto </w:t>
      </w:r>
      <w:r w:rsidRPr="004749ED">
        <w:t xml:space="preserve">facilitar el examen por los miembros del proyecto de Plan Estratégico propuesto, ofreciendo información adicional sobre: 1) el proceso </w:t>
      </w:r>
      <w:r w:rsidR="00470B64" w:rsidRPr="004749ED">
        <w:t>de elaboración de</w:t>
      </w:r>
      <w:r w:rsidRPr="004749ED">
        <w:t xml:space="preserve"> la contribución de la Secretaría al proyecto de Plan Estratégico, </w:t>
      </w:r>
      <w:r w:rsidR="00470B64" w:rsidRPr="004749ED">
        <w:t>siguiendo</w:t>
      </w:r>
      <w:r w:rsidRPr="004749ED">
        <w:t xml:space="preserve"> las orientaciones impartidas por el GTC-PEF</w:t>
      </w:r>
      <w:r w:rsidR="00470B64" w:rsidRPr="004749ED">
        <w:t>,</w:t>
      </w:r>
      <w:r w:rsidRPr="004749ED">
        <w:t xml:space="preserve"> 2) los principios básicos que sirvieron de guía para la elaboración del proyecto de Plan</w:t>
      </w:r>
      <w:r w:rsidR="00470B64" w:rsidRPr="004749ED">
        <w:t>,</w:t>
      </w:r>
      <w:r w:rsidRPr="004749ED">
        <w:t xml:space="preserve"> y 3) la</w:t>
      </w:r>
      <w:r w:rsidR="00470B64" w:rsidRPr="004749ED">
        <w:t>s razones que explican el</w:t>
      </w:r>
      <w:r w:rsidRPr="004749ED">
        <w:t xml:space="preserve"> contenido de </w:t>
      </w:r>
      <w:r w:rsidR="0068078F" w:rsidRPr="004749ED">
        <w:t xml:space="preserve">algunos </w:t>
      </w:r>
      <w:r w:rsidR="001F1F77" w:rsidRPr="004749ED">
        <w:t>componentes</w:t>
      </w:r>
      <w:r w:rsidR="0068078F" w:rsidRPr="004749ED">
        <w:t xml:space="preserve"> concretos </w:t>
      </w:r>
      <w:r w:rsidRPr="004749ED">
        <w:t>del Plan Estratégico y los indicadores de resultados</w:t>
      </w:r>
      <w:r w:rsidR="00262562" w:rsidRPr="004749ED">
        <w:t>.</w:t>
      </w:r>
    </w:p>
    <w:p w14:paraId="2E269623" w14:textId="4CF01210" w:rsidR="001F20C2" w:rsidRPr="00C74D6D" w:rsidRDefault="00CE4723">
      <w:bookmarkStart w:id="15" w:name="lt_pId023"/>
      <w:r w:rsidRPr="004749ED">
        <w:t xml:space="preserve">Una vez que </w:t>
      </w:r>
      <w:r w:rsidR="00470B64" w:rsidRPr="004749ED">
        <w:t xml:space="preserve">se </w:t>
      </w:r>
      <w:r w:rsidRPr="004749ED">
        <w:t xml:space="preserve">haya llegado a un acuerdo </w:t>
      </w:r>
      <w:r w:rsidR="00470B64" w:rsidRPr="004749ED">
        <w:t xml:space="preserve">en el GTC-PEF </w:t>
      </w:r>
      <w:r w:rsidRPr="004749ED">
        <w:t xml:space="preserve">sobre los componentes </w:t>
      </w:r>
      <w:r w:rsidR="00470B64" w:rsidRPr="004749ED">
        <w:t>del Plan E</w:t>
      </w:r>
      <w:r w:rsidRPr="004749ED">
        <w:t>stratégico, la Secretaría someterá nuevas contribuciones a la consideración del GTC sobre los indicadores</w:t>
      </w:r>
      <w:r w:rsidR="00470B64" w:rsidRPr="004749ED">
        <w:t xml:space="preserve"> de finalidad de</w:t>
      </w:r>
      <w:r w:rsidRPr="004749ED">
        <w:t>l Plan Estratégico y la elaboración del marco de resultados</w:t>
      </w:r>
      <w:r w:rsidR="00262562" w:rsidRPr="004749ED">
        <w:t>,</w:t>
      </w:r>
      <w:r w:rsidRPr="004749ED">
        <w:t xml:space="preserve"> en el que se </w:t>
      </w:r>
      <w:r w:rsidR="00025530" w:rsidRPr="004749ED">
        <w:t>incluyen</w:t>
      </w:r>
      <w:r w:rsidRPr="004749ED">
        <w:t xml:space="preserve"> los indicadores SMART</w:t>
      </w:r>
      <w:r w:rsidR="005077F3" w:rsidRPr="004749ED">
        <w:t xml:space="preserve"> (específicos, medibles, orientados a la acción, realistas y limitados en el tiempo)</w:t>
      </w:r>
      <w:r w:rsidRPr="004749ED">
        <w:t xml:space="preserve"> </w:t>
      </w:r>
      <w:r w:rsidR="00025530" w:rsidRPr="004749ED">
        <w:t>para la evaluación de</w:t>
      </w:r>
      <w:r w:rsidRPr="004749ED">
        <w:t xml:space="preserve"> los resultados.</w:t>
      </w:r>
      <w:bookmarkEnd w:id="15"/>
    </w:p>
    <w:p w14:paraId="195A7F2E" w14:textId="4206E586" w:rsidR="001F20C2" w:rsidRPr="004749ED" w:rsidRDefault="001F20C2" w:rsidP="00215079">
      <w:pPr>
        <w:pStyle w:val="Heading1"/>
      </w:pPr>
      <w:r w:rsidRPr="00C74D6D">
        <w:t>2</w:t>
      </w:r>
      <w:r w:rsidRPr="00C74D6D">
        <w:tab/>
      </w:r>
      <w:proofErr w:type="gramStart"/>
      <w:r w:rsidR="00025530" w:rsidRPr="004749ED">
        <w:t>Resumen</w:t>
      </w:r>
      <w:proofErr w:type="gramEnd"/>
      <w:r w:rsidR="00025530" w:rsidRPr="004749ED">
        <w:t xml:space="preserve"> del proceso de elaboración del proyecto de Plan Estratégico hasta la fecha</w:t>
      </w:r>
    </w:p>
    <w:p w14:paraId="588E6BE7" w14:textId="4E313FEC" w:rsidR="00215079" w:rsidRPr="004749ED" w:rsidRDefault="00753C14" w:rsidP="004749ED">
      <w:pPr>
        <w:spacing w:after="480"/>
      </w:pPr>
      <w:r w:rsidRPr="004749ED">
        <w:t xml:space="preserve">La contribución de la Secretaría de la UIT al proceso de planificación estratégica tiene por </w:t>
      </w:r>
      <w:r w:rsidR="003E0A2E" w:rsidRPr="004749ED">
        <w:t>finalidad</w:t>
      </w:r>
      <w:r w:rsidRPr="004749ED">
        <w:t xml:space="preserve"> poner en práctica las orientaciones de los miembros impartidas en la primera reunión del</w:t>
      </w:r>
      <w:r w:rsidR="00215079" w:rsidRPr="004749ED">
        <w:t> </w:t>
      </w:r>
      <w:r w:rsidRPr="004749ED">
        <w:t>GTC</w:t>
      </w:r>
      <w:r w:rsidR="00215079" w:rsidRPr="004749ED">
        <w:noBreakHyphen/>
      </w:r>
      <w:r w:rsidRPr="004749ED">
        <w:t>PEF</w:t>
      </w:r>
      <w:r w:rsidR="00091AD5" w:rsidRPr="004749ED">
        <w:t>,</w:t>
      </w:r>
      <w:r w:rsidRPr="004749ED">
        <w:t xml:space="preserve"> celebrada en septiembre de 2021. En </w:t>
      </w:r>
      <w:r w:rsidR="00091AD5" w:rsidRPr="004749ED">
        <w:t xml:space="preserve">el cuadro </w:t>
      </w:r>
      <w:r w:rsidR="003E0A2E" w:rsidRPr="004749ED">
        <w:t xml:space="preserve">que figura </w:t>
      </w:r>
      <w:r w:rsidR="00091AD5" w:rsidRPr="004749ED">
        <w:t xml:space="preserve">a continuación se exponen los principales hitos de </w:t>
      </w:r>
      <w:r w:rsidRPr="004749ED">
        <w:t>este proceso.</w:t>
      </w:r>
    </w:p>
    <w:p w14:paraId="1AAF0772" w14:textId="72DD38B0" w:rsidR="00DC440B" w:rsidRPr="004749ED" w:rsidRDefault="00C2111C" w:rsidP="00204DD0">
      <w:pPr>
        <w:spacing w:after="240"/>
        <w:jc w:val="center"/>
      </w:pPr>
      <w:r w:rsidRPr="004749ED">
        <w:rPr>
          <w:noProof/>
        </w:rPr>
        <w:drawing>
          <wp:inline distT="0" distB="0" distL="0" distR="0" wp14:anchorId="6996604D" wp14:editId="1B9B535C">
            <wp:extent cx="6035406" cy="2592125"/>
            <wp:effectExtent l="0" t="0" r="3810" b="0"/>
            <wp:docPr id="4" name="Picture 4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313" cy="2624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995D1C" w14:textId="2BD4B3F2" w:rsidR="001F20C2" w:rsidRPr="004749ED" w:rsidRDefault="00753C14" w:rsidP="004749ED">
      <w:pPr>
        <w:spacing w:before="360"/>
      </w:pPr>
      <w:r w:rsidRPr="004749ED">
        <w:t>Con el fin de</w:t>
      </w:r>
      <w:r w:rsidR="00D57B3B" w:rsidRPr="004749ED">
        <w:t xml:space="preserve"> prestar</w:t>
      </w:r>
      <w:r w:rsidRPr="004749ED">
        <w:t xml:space="preserve"> a</w:t>
      </w:r>
      <w:r w:rsidR="00D57B3B" w:rsidRPr="004749ED">
        <w:t>poyo al</w:t>
      </w:r>
      <w:r w:rsidRPr="004749ED">
        <w:t xml:space="preserve"> GTC-PEF </w:t>
      </w:r>
      <w:r w:rsidR="008D41EE" w:rsidRPr="004749ED">
        <w:t>en la elaboración del</w:t>
      </w:r>
      <w:r w:rsidRPr="004749ED">
        <w:t xml:space="preserve"> proyecto de Plan Estratégico, la Secretaría </w:t>
      </w:r>
      <w:r w:rsidR="00021C36" w:rsidRPr="004749ED">
        <w:t xml:space="preserve">examinó </w:t>
      </w:r>
      <w:r w:rsidR="008D41EE" w:rsidRPr="004749ED">
        <w:t xml:space="preserve">diversos </w:t>
      </w:r>
      <w:r w:rsidRPr="004749ED">
        <w:t xml:space="preserve">documentos y </w:t>
      </w:r>
      <w:r w:rsidR="00021C36" w:rsidRPr="004749ED">
        <w:t xml:space="preserve">puso </w:t>
      </w:r>
      <w:r w:rsidRPr="004749ED">
        <w:t xml:space="preserve">en marcha </w:t>
      </w:r>
      <w:r w:rsidR="008D41EE" w:rsidRPr="004749ED">
        <w:t>varias</w:t>
      </w:r>
      <w:r w:rsidRPr="004749ED">
        <w:t xml:space="preserve"> iniciativas </w:t>
      </w:r>
      <w:r w:rsidR="008D41EE" w:rsidRPr="004749ED">
        <w:t xml:space="preserve">encaminadas a </w:t>
      </w:r>
      <w:r w:rsidRPr="004749ED">
        <w:t xml:space="preserve">ofrecer a las partes interesadas la oportunidad de contribuir a los procesos </w:t>
      </w:r>
      <w:r w:rsidR="003E0A2E" w:rsidRPr="004749ED">
        <w:t>ordinarios</w:t>
      </w:r>
      <w:r w:rsidRPr="004749ED">
        <w:t xml:space="preserve"> de planificación estratégica de la UIT</w:t>
      </w:r>
      <w:r w:rsidR="001F20C2" w:rsidRPr="004749ED">
        <w:t xml:space="preserve">. </w:t>
      </w:r>
      <w:r w:rsidRPr="004749ED">
        <w:t>Esas iniciativas c</w:t>
      </w:r>
      <w:r w:rsidR="002D44DA" w:rsidRPr="004749ED">
        <w:t xml:space="preserve">omprendían </w:t>
      </w:r>
      <w:r w:rsidRPr="004749ED">
        <w:t xml:space="preserve">amplias consultas </w:t>
      </w:r>
      <w:r w:rsidR="0049515C" w:rsidRPr="004749ED">
        <w:t>c</w:t>
      </w:r>
      <w:r w:rsidR="002D44DA" w:rsidRPr="004749ED">
        <w:t xml:space="preserve">on los miembros, así como </w:t>
      </w:r>
      <w:r w:rsidRPr="004749ED">
        <w:t xml:space="preserve">diálogos dentro de la Secretaría General de la UIT y con las Oficinas con objeto de recabar puntos de vista sobre el Plan Estratégico y obtener orientaciones sobre la forma </w:t>
      </w:r>
      <w:r w:rsidR="002D44DA" w:rsidRPr="004749ED">
        <w:t xml:space="preserve">más eficaz </w:t>
      </w:r>
      <w:r w:rsidRPr="004749ED">
        <w:t>d</w:t>
      </w:r>
      <w:r w:rsidR="002D44DA" w:rsidRPr="004749ED">
        <w:t>e incorporar las contribuciones</w:t>
      </w:r>
      <w:r w:rsidRPr="004749ED">
        <w:t xml:space="preserve">. </w:t>
      </w:r>
      <w:r w:rsidR="006A1967" w:rsidRPr="004749ED">
        <w:t>E</w:t>
      </w:r>
      <w:r w:rsidR="002D44DA" w:rsidRPr="004749ED">
        <w:t>ntre e</w:t>
      </w:r>
      <w:r w:rsidR="006A1967" w:rsidRPr="004749ED">
        <w:t xml:space="preserve">sas </w:t>
      </w:r>
      <w:r w:rsidRPr="004749ED">
        <w:t xml:space="preserve">iniciativas </w:t>
      </w:r>
      <w:r w:rsidR="0049515C" w:rsidRPr="004749ED">
        <w:t>destacan las siguientes</w:t>
      </w:r>
      <w:r w:rsidR="006A1967" w:rsidRPr="004749ED">
        <w:t>:</w:t>
      </w:r>
    </w:p>
    <w:p w14:paraId="65FE36B4" w14:textId="77777777" w:rsidR="00204DD0" w:rsidRPr="004749ED" w:rsidRDefault="00204DD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Cs/>
        </w:rPr>
      </w:pPr>
      <w:r w:rsidRPr="004749ED">
        <w:rPr>
          <w:b/>
          <w:bCs/>
        </w:rPr>
        <w:br w:type="page"/>
      </w:r>
    </w:p>
    <w:p w14:paraId="1A95DF81" w14:textId="3AABA5A3" w:rsidR="001F20C2" w:rsidRPr="004749ED" w:rsidRDefault="001F20C2" w:rsidP="00433478">
      <w:pPr>
        <w:pStyle w:val="Headingb"/>
        <w:rPr>
          <w:b w:val="0"/>
          <w:bCs/>
          <w:u w:val="single"/>
        </w:rPr>
      </w:pPr>
      <w:r w:rsidRPr="004749ED">
        <w:rPr>
          <w:b w:val="0"/>
          <w:bCs/>
          <w:u w:val="single"/>
        </w:rPr>
        <w:lastRenderedPageBreak/>
        <w:t>Consulta</w:t>
      </w:r>
      <w:r w:rsidR="006A1967" w:rsidRPr="004749ED">
        <w:rPr>
          <w:b w:val="0"/>
          <w:bCs/>
          <w:u w:val="single"/>
        </w:rPr>
        <w:t>s con los Miembros</w:t>
      </w:r>
    </w:p>
    <w:p w14:paraId="02AC13A9" w14:textId="1689C8DC" w:rsidR="001F20C2" w:rsidRPr="004749ED" w:rsidRDefault="00433478" w:rsidP="0038073E">
      <w:pPr>
        <w:pStyle w:val="enumlev1"/>
        <w:rPr>
          <w:rFonts w:eastAsiaTheme="minorEastAsia"/>
        </w:rPr>
      </w:pPr>
      <w:r w:rsidRPr="004749ED">
        <w:rPr>
          <w:rFonts w:cs="Calibri"/>
          <w:b/>
          <w:bCs/>
        </w:rPr>
        <w:t>•</w:t>
      </w:r>
      <w:r w:rsidRPr="004749ED">
        <w:rPr>
          <w:b/>
          <w:bCs/>
        </w:rPr>
        <w:tab/>
      </w:r>
      <w:r w:rsidR="006A1967" w:rsidRPr="004749ED">
        <w:rPr>
          <w:b/>
          <w:bCs/>
        </w:rPr>
        <w:t>La consulta informal</w:t>
      </w:r>
      <w:r w:rsidR="006A1967" w:rsidRPr="004749ED">
        <w:t xml:space="preserve"> iniciada por el presidente del GTC-PEF</w:t>
      </w:r>
      <w:r w:rsidR="003E0A2E" w:rsidRPr="004749ED">
        <w:t xml:space="preserve"> en agosto de 2021</w:t>
      </w:r>
      <w:r w:rsidR="006A1967" w:rsidRPr="004749ED">
        <w:t xml:space="preserve">. La consulta </w:t>
      </w:r>
      <w:r w:rsidR="0049515C" w:rsidRPr="004749ED">
        <w:t>permitió recabar</w:t>
      </w:r>
      <w:r w:rsidR="006A1967" w:rsidRPr="004749ED">
        <w:t xml:space="preserve"> las opiniones de los miembros sobre cómo mejorar el Plan Estratégico. Los comentarios se han resumido en el </w:t>
      </w:r>
      <w:r w:rsidR="0038073E" w:rsidRPr="004749ED">
        <w:t>D</w:t>
      </w:r>
      <w:r w:rsidR="006A1967" w:rsidRPr="004749ED">
        <w:t xml:space="preserve">ocumento </w:t>
      </w:r>
      <w:hyperlink r:id="rId11" w:history="1">
        <w:r w:rsidR="00ED4D42" w:rsidRPr="00ED4D42">
          <w:rPr>
            <w:rStyle w:val="Hyperlink"/>
            <w:lang w:val="ru-RU"/>
          </w:rPr>
          <w:t>CWG-SFP-1/1</w:t>
        </w:r>
        <w:r w:rsidR="00ED4D42">
          <w:rPr>
            <w:rStyle w:val="Hyperlink"/>
            <w:lang w:val="es-ES"/>
          </w:rPr>
          <w:t>1-E</w:t>
        </w:r>
      </w:hyperlink>
      <w:r w:rsidR="00ED4D42">
        <w:t xml:space="preserve"> </w:t>
      </w:r>
      <w:r w:rsidR="006A1967" w:rsidRPr="004749ED">
        <w:t xml:space="preserve">para </w:t>
      </w:r>
      <w:r w:rsidR="000809B2" w:rsidRPr="004749ED">
        <w:t>su</w:t>
      </w:r>
      <w:r w:rsidR="006A1967" w:rsidRPr="004749ED">
        <w:t xml:space="preserve"> consideración </w:t>
      </w:r>
      <w:r w:rsidR="000809B2" w:rsidRPr="004749ED">
        <w:t>por el GTC-PEF.</w:t>
      </w:r>
    </w:p>
    <w:p w14:paraId="1E7AEBED" w14:textId="7E5D7F64" w:rsidR="001F20C2" w:rsidRPr="004749ED" w:rsidRDefault="00433478" w:rsidP="00433478">
      <w:pPr>
        <w:pStyle w:val="enumlev1"/>
        <w:rPr>
          <w:rFonts w:eastAsiaTheme="minorEastAsia"/>
        </w:rPr>
      </w:pPr>
      <w:r w:rsidRPr="004749ED">
        <w:rPr>
          <w:rFonts w:cs="Calibri"/>
          <w:b/>
          <w:bCs/>
        </w:rPr>
        <w:t>•</w:t>
      </w:r>
      <w:r w:rsidRPr="004749ED">
        <w:rPr>
          <w:b/>
          <w:bCs/>
        </w:rPr>
        <w:tab/>
      </w:r>
      <w:r w:rsidR="000809B2" w:rsidRPr="004749ED">
        <w:rPr>
          <w:b/>
          <w:bCs/>
        </w:rPr>
        <w:t>Encuesta de las</w:t>
      </w:r>
      <w:r w:rsidR="000809B2" w:rsidRPr="004749ED">
        <w:t xml:space="preserve"> </w:t>
      </w:r>
      <w:r w:rsidR="000809B2" w:rsidRPr="004749ED">
        <w:rPr>
          <w:b/>
        </w:rPr>
        <w:t>Comisiones de Estudio sobre la Estrategia de la UIT 2024-</w:t>
      </w:r>
      <w:r w:rsidR="003C22BC" w:rsidRPr="004749ED">
        <w:rPr>
          <w:b/>
        </w:rPr>
        <w:t>20</w:t>
      </w:r>
      <w:r w:rsidR="000809B2" w:rsidRPr="004749ED">
        <w:rPr>
          <w:b/>
        </w:rPr>
        <w:t>27</w:t>
      </w:r>
      <w:r w:rsidR="001F20C2" w:rsidRPr="004749ED">
        <w:rPr>
          <w:b/>
          <w:bCs/>
        </w:rPr>
        <w:t xml:space="preserve"> </w:t>
      </w:r>
      <w:r w:rsidR="000809B2" w:rsidRPr="004749ED">
        <w:t xml:space="preserve">publicada en septiembre de 2021. </w:t>
      </w:r>
      <w:r w:rsidR="00A37853" w:rsidRPr="004749ED">
        <w:t xml:space="preserve">Se pidió a los </w:t>
      </w:r>
      <w:r w:rsidR="000809B2" w:rsidRPr="004749ED">
        <w:t xml:space="preserve">19 </w:t>
      </w:r>
      <w:proofErr w:type="gramStart"/>
      <w:r w:rsidR="000809B2" w:rsidRPr="004749ED">
        <w:t>Presidentes</w:t>
      </w:r>
      <w:proofErr w:type="gramEnd"/>
      <w:r w:rsidR="000809B2" w:rsidRPr="004749ED">
        <w:t xml:space="preserve"> de las Comisiones de Estudio de la UIT </w:t>
      </w:r>
      <w:r w:rsidR="00A37853" w:rsidRPr="004749ED">
        <w:t xml:space="preserve">que expresaran </w:t>
      </w:r>
      <w:r w:rsidR="000809B2" w:rsidRPr="004749ED">
        <w:t xml:space="preserve">su </w:t>
      </w:r>
      <w:r w:rsidR="00A37853" w:rsidRPr="004749ED">
        <w:t>opinión sobre</w:t>
      </w:r>
      <w:r w:rsidR="000809B2" w:rsidRPr="004749ED">
        <w:t xml:space="preserve"> los desafíos </w:t>
      </w:r>
      <w:r w:rsidR="003C22BC" w:rsidRPr="004749ED">
        <w:t>a que se enfrenta la</w:t>
      </w:r>
      <w:r w:rsidR="000809B2" w:rsidRPr="004749ED">
        <w:t xml:space="preserve"> UIT, las tendencias en el panorama de las telecomunicaciones/TIC y las mejoras </w:t>
      </w:r>
      <w:r w:rsidR="00A37853" w:rsidRPr="004749ED">
        <w:t>propuestas</w:t>
      </w:r>
      <w:r w:rsidR="000809B2" w:rsidRPr="004749ED">
        <w:t xml:space="preserve"> </w:t>
      </w:r>
      <w:r w:rsidR="00A37853" w:rsidRPr="004749ED">
        <w:t xml:space="preserve">en relación con </w:t>
      </w:r>
      <w:r w:rsidR="000809B2" w:rsidRPr="004749ED">
        <w:t xml:space="preserve">el nuevo Plan Estratégico. Los resultados se recopilaron en el </w:t>
      </w:r>
      <w:r w:rsidR="0038073E" w:rsidRPr="004749ED">
        <w:t>D</w:t>
      </w:r>
      <w:r w:rsidR="000809B2" w:rsidRPr="004749ED">
        <w:t>ocumento</w:t>
      </w:r>
      <w:r w:rsidR="00ED4D42">
        <w:t xml:space="preserve"> </w:t>
      </w:r>
      <w:hyperlink r:id="rId12" w:history="1">
        <w:r w:rsidR="00ED4D42" w:rsidRPr="00ED4D42">
          <w:rPr>
            <w:rStyle w:val="Hyperlink"/>
            <w:lang w:val="ru-RU"/>
          </w:rPr>
          <w:t>CWG-SFP-1/INF-</w:t>
        </w:r>
        <w:r w:rsidR="00ED4D42">
          <w:rPr>
            <w:rStyle w:val="Hyperlink"/>
            <w:lang w:val="es-ES"/>
          </w:rPr>
          <w:t>6-E</w:t>
        </w:r>
      </w:hyperlink>
      <w:r w:rsidR="000809B2" w:rsidRPr="004749ED">
        <w:t xml:space="preserve"> para su consideración por el GTC-PEF</w:t>
      </w:r>
      <w:r w:rsidR="0038073E" w:rsidRPr="004749ED">
        <w:t>.</w:t>
      </w:r>
    </w:p>
    <w:p w14:paraId="6CB9990C" w14:textId="71644753" w:rsidR="001F20C2" w:rsidRPr="004749ED" w:rsidRDefault="00433478" w:rsidP="00433478">
      <w:pPr>
        <w:pStyle w:val="enumlev1"/>
      </w:pPr>
      <w:r w:rsidRPr="004749ED">
        <w:rPr>
          <w:rFonts w:cs="Calibri"/>
          <w:b/>
          <w:bCs/>
        </w:rPr>
        <w:t>•</w:t>
      </w:r>
      <w:r w:rsidRPr="004749ED">
        <w:rPr>
          <w:b/>
          <w:bCs/>
        </w:rPr>
        <w:tab/>
      </w:r>
      <w:r w:rsidR="00A37853" w:rsidRPr="004749ED">
        <w:rPr>
          <w:b/>
        </w:rPr>
        <w:t>La consulta virtual del GTC-PEF</w:t>
      </w:r>
      <w:r w:rsidR="00A37853" w:rsidRPr="004749ED">
        <w:t xml:space="preserve"> </w:t>
      </w:r>
      <w:r w:rsidR="003C22BC" w:rsidRPr="004749ED">
        <w:t xml:space="preserve">celebrada </w:t>
      </w:r>
      <w:r w:rsidR="00A37853" w:rsidRPr="004749ED">
        <w:t xml:space="preserve">en noviembre de 2021. Durante esta consulta, se </w:t>
      </w:r>
      <w:r w:rsidR="006E60E7" w:rsidRPr="004749ED">
        <w:t>expusieron</w:t>
      </w:r>
      <w:r w:rsidR="00A37853" w:rsidRPr="004749ED">
        <w:t xml:space="preserve"> los ajustes </w:t>
      </w:r>
      <w:r w:rsidR="006E60E7" w:rsidRPr="004749ED">
        <w:t>propuestos</w:t>
      </w:r>
      <w:r w:rsidR="00A37853" w:rsidRPr="004749ED">
        <w:t xml:space="preserve"> al marco estratégico de la UIT</w:t>
      </w:r>
      <w:r w:rsidR="006E60E7" w:rsidRPr="004749ED">
        <w:t xml:space="preserve"> y algunos</w:t>
      </w:r>
      <w:r w:rsidR="001F1F77" w:rsidRPr="004749ED">
        <w:t xml:space="preserve"> componentes </w:t>
      </w:r>
      <w:r w:rsidR="006E60E7" w:rsidRPr="004749ED">
        <w:t xml:space="preserve">concretos </w:t>
      </w:r>
      <w:r w:rsidR="00A37853" w:rsidRPr="004749ED">
        <w:t xml:space="preserve">del Plan Estratégico a los miembros, que pudieron proporcionar comentarios orales durante la consulta y por escrito </w:t>
      </w:r>
      <w:r w:rsidR="006E60E7" w:rsidRPr="004749ED">
        <w:t>ulteriormente</w:t>
      </w:r>
      <w:r w:rsidR="001F20C2" w:rsidRPr="004749ED">
        <w:t>.</w:t>
      </w:r>
    </w:p>
    <w:p w14:paraId="273149D0" w14:textId="128F0142" w:rsidR="001F20C2" w:rsidRPr="004749ED" w:rsidRDefault="00433478" w:rsidP="006E60E7">
      <w:pPr>
        <w:pStyle w:val="enumlev1"/>
      </w:pPr>
      <w:r w:rsidRPr="004749ED">
        <w:rPr>
          <w:rFonts w:cs="Calibri"/>
          <w:b/>
          <w:bCs/>
        </w:rPr>
        <w:t>•</w:t>
      </w:r>
      <w:r w:rsidRPr="004749ED">
        <w:rPr>
          <w:b/>
          <w:bCs/>
        </w:rPr>
        <w:tab/>
      </w:r>
      <w:r w:rsidR="003E0A2E" w:rsidRPr="004749ED">
        <w:rPr>
          <w:b/>
          <w:bCs/>
        </w:rPr>
        <w:t>Las r</w:t>
      </w:r>
      <w:r w:rsidR="00A40970" w:rsidRPr="004749ED">
        <w:rPr>
          <w:b/>
          <w:bCs/>
        </w:rPr>
        <w:t>euniones</w:t>
      </w:r>
      <w:r w:rsidR="0068078F" w:rsidRPr="004749ED">
        <w:rPr>
          <w:b/>
          <w:bCs/>
        </w:rPr>
        <w:t xml:space="preserve"> de información</w:t>
      </w:r>
      <w:r w:rsidR="00A40970" w:rsidRPr="004749ED">
        <w:rPr>
          <w:b/>
          <w:bCs/>
        </w:rPr>
        <w:t xml:space="preserve"> </w:t>
      </w:r>
      <w:r w:rsidR="006E60E7" w:rsidRPr="004749ED">
        <w:rPr>
          <w:b/>
          <w:bCs/>
        </w:rPr>
        <w:t>y consultas continuas</w:t>
      </w:r>
      <w:r w:rsidR="006E60E7" w:rsidRPr="004749ED">
        <w:t xml:space="preserve"> </w:t>
      </w:r>
      <w:r w:rsidR="006E60E7" w:rsidRPr="004749ED">
        <w:rPr>
          <w:b/>
        </w:rPr>
        <w:t>con los Grupos Asesores de los Sectores</w:t>
      </w:r>
      <w:r w:rsidR="006E60E7" w:rsidRPr="004749ED">
        <w:rPr>
          <w:b/>
          <w:bCs/>
        </w:rPr>
        <w:t xml:space="preserve"> </w:t>
      </w:r>
      <w:r w:rsidR="003E0A2E" w:rsidRPr="004749ED">
        <w:rPr>
          <w:bCs/>
        </w:rPr>
        <w:t>que se han venido celebrando d</w:t>
      </w:r>
      <w:r w:rsidR="006E60E7" w:rsidRPr="004749ED">
        <w:t xml:space="preserve">esde el inicio del proceso de planificación estratégica, </w:t>
      </w:r>
      <w:r w:rsidR="00A40970" w:rsidRPr="004749ED">
        <w:t xml:space="preserve">entre las </w:t>
      </w:r>
      <w:r w:rsidR="0068078F" w:rsidRPr="004749ED">
        <w:t xml:space="preserve">que figuraban </w:t>
      </w:r>
      <w:r w:rsidR="00A40970" w:rsidRPr="004749ED">
        <w:t xml:space="preserve">las reuniones pertinentes del GADT y del GANT, que contaron con la </w:t>
      </w:r>
      <w:r w:rsidR="006E60E7" w:rsidRPr="004749ED">
        <w:t xml:space="preserve">participación del </w:t>
      </w:r>
      <w:proofErr w:type="gramStart"/>
      <w:r w:rsidR="006E60E7" w:rsidRPr="004749ED">
        <w:t>Presidente</w:t>
      </w:r>
      <w:proofErr w:type="gramEnd"/>
      <w:r w:rsidR="006E60E7" w:rsidRPr="004749ED">
        <w:t xml:space="preserve"> del GTC-PEF</w:t>
      </w:r>
      <w:r w:rsidR="00A40970" w:rsidRPr="004749ED">
        <w:t>. Dichas reuniones y consulta</w:t>
      </w:r>
      <w:r w:rsidR="009A63AB" w:rsidRPr="004749ED">
        <w:t xml:space="preserve">s, que </w:t>
      </w:r>
      <w:r w:rsidR="00A40970" w:rsidRPr="004749ED">
        <w:t xml:space="preserve">se seguirán realizando con todos los Sectores </w:t>
      </w:r>
      <w:r w:rsidR="006E60E7" w:rsidRPr="004749ED">
        <w:t>hasta la reunión de 2022 del Consejo</w:t>
      </w:r>
      <w:r w:rsidR="009A63AB" w:rsidRPr="004749ED">
        <w:t xml:space="preserve">, tienen por finalidad </w:t>
      </w:r>
      <w:r w:rsidR="006E60E7" w:rsidRPr="004749ED">
        <w:t xml:space="preserve">facilitar la recopilación de las </w:t>
      </w:r>
      <w:r w:rsidR="00A40970" w:rsidRPr="004749ED">
        <w:t>contribuciones</w:t>
      </w:r>
      <w:r w:rsidR="004D4078" w:rsidRPr="004749ED">
        <w:t xml:space="preserve"> de los tres G</w:t>
      </w:r>
      <w:r w:rsidR="006E60E7" w:rsidRPr="004749ED">
        <w:t>rupos</w:t>
      </w:r>
      <w:r w:rsidR="004D4078" w:rsidRPr="004749ED">
        <w:t xml:space="preserve"> A</w:t>
      </w:r>
      <w:r w:rsidR="00A40970" w:rsidRPr="004749ED">
        <w:t>sesores</w:t>
      </w:r>
      <w:r w:rsidR="00241708" w:rsidRPr="004749ED">
        <w:t xml:space="preserve"> de los Sectores</w:t>
      </w:r>
      <w:r w:rsidR="001F20C2" w:rsidRPr="004749ED">
        <w:t>.</w:t>
      </w:r>
    </w:p>
    <w:p w14:paraId="28E96C22" w14:textId="2917C1F0" w:rsidR="001F20C2" w:rsidRPr="004749ED" w:rsidRDefault="009A63AB" w:rsidP="00433478">
      <w:pPr>
        <w:pStyle w:val="Headingb"/>
        <w:rPr>
          <w:b w:val="0"/>
          <w:bCs/>
          <w:u w:val="single"/>
        </w:rPr>
      </w:pPr>
      <w:r w:rsidRPr="004749ED">
        <w:rPr>
          <w:b w:val="0"/>
          <w:bCs/>
          <w:u w:val="single"/>
        </w:rPr>
        <w:t>Coordinación interna en la Secretaría</w:t>
      </w:r>
      <w:r w:rsidR="001F20C2" w:rsidRPr="004749ED">
        <w:rPr>
          <w:b w:val="0"/>
          <w:bCs/>
          <w:u w:val="single"/>
        </w:rPr>
        <w:t xml:space="preserve"> </w:t>
      </w:r>
    </w:p>
    <w:p w14:paraId="1DE61757" w14:textId="27D0B358" w:rsidR="001F20C2" w:rsidRPr="004749ED" w:rsidRDefault="00433478" w:rsidP="008D33D7">
      <w:pPr>
        <w:pStyle w:val="enumlev1"/>
      </w:pPr>
      <w:r w:rsidRPr="004749ED">
        <w:rPr>
          <w:rFonts w:cs="Calibri"/>
          <w:b/>
          <w:bCs/>
        </w:rPr>
        <w:t>•</w:t>
      </w:r>
      <w:r w:rsidRPr="004749ED">
        <w:rPr>
          <w:b/>
          <w:bCs/>
        </w:rPr>
        <w:tab/>
      </w:r>
      <w:r w:rsidR="009A63AB" w:rsidRPr="004749ED">
        <w:rPr>
          <w:b/>
          <w:bCs/>
        </w:rPr>
        <w:t>El</w:t>
      </w:r>
      <w:r w:rsidR="001F20C2" w:rsidRPr="004749ED">
        <w:t xml:space="preserve"> </w:t>
      </w:r>
      <w:r w:rsidR="009A63AB" w:rsidRPr="004749ED">
        <w:rPr>
          <w:b/>
        </w:rPr>
        <w:t>Grupo de Trabajo sobre Planificación Estratégica (GT-PE)</w:t>
      </w:r>
      <w:r w:rsidR="005B5211" w:rsidRPr="004749ED">
        <w:rPr>
          <w:b/>
        </w:rPr>
        <w:t xml:space="preserve"> </w:t>
      </w:r>
      <w:r w:rsidR="008D33D7" w:rsidRPr="004749ED">
        <w:rPr>
          <w:bCs/>
        </w:rPr>
        <w:t xml:space="preserve">fue creado por el Comité de Coordinación de la UIT (es decir, los </w:t>
      </w:r>
      <w:r w:rsidR="00DE2681" w:rsidRPr="004749ED">
        <w:rPr>
          <w:bCs/>
        </w:rPr>
        <w:t>cinco</w:t>
      </w:r>
      <w:r w:rsidR="008D33D7" w:rsidRPr="004749ED">
        <w:rPr>
          <w:bCs/>
        </w:rPr>
        <w:t xml:space="preserve"> funcionarios de elección) con el fin de preparar las contribuciones de la Secretaría al proceso y apoyar la labor del GTC-PEF. El GT-PE está presidido por el </w:t>
      </w:r>
      <w:proofErr w:type="gramStart"/>
      <w:r w:rsidR="008D33D7" w:rsidRPr="004749ED">
        <w:rPr>
          <w:bCs/>
        </w:rPr>
        <w:t>Director</w:t>
      </w:r>
      <w:proofErr w:type="gramEnd"/>
      <w:r w:rsidR="008D33D7" w:rsidRPr="004749ED">
        <w:rPr>
          <w:bCs/>
        </w:rPr>
        <w:t xml:space="preserve"> de la BR, el Sr. Mario Maniewicz</w:t>
      </w:r>
      <w:r w:rsidR="00735AAA" w:rsidRPr="004749ED">
        <w:rPr>
          <w:bCs/>
        </w:rPr>
        <w:t>.</w:t>
      </w:r>
    </w:p>
    <w:p w14:paraId="1F1A26EB" w14:textId="0C7D0100" w:rsidR="001F20C2" w:rsidRPr="004749ED" w:rsidRDefault="00433478" w:rsidP="00433478">
      <w:pPr>
        <w:pStyle w:val="enumlev1"/>
      </w:pPr>
      <w:r w:rsidRPr="004749ED">
        <w:rPr>
          <w:rFonts w:cs="Calibri"/>
          <w:b/>
          <w:bCs/>
        </w:rPr>
        <w:t>•</w:t>
      </w:r>
      <w:r w:rsidRPr="004749ED">
        <w:rPr>
          <w:b/>
          <w:bCs/>
        </w:rPr>
        <w:tab/>
      </w:r>
      <w:r w:rsidR="003B54FC" w:rsidRPr="004749ED">
        <w:rPr>
          <w:bCs/>
        </w:rPr>
        <w:t>A lo largo de todo el proceso</w:t>
      </w:r>
      <w:r w:rsidR="003B54FC" w:rsidRPr="004749ED">
        <w:rPr>
          <w:b/>
          <w:bCs/>
        </w:rPr>
        <w:t xml:space="preserve">, </w:t>
      </w:r>
      <w:r w:rsidR="003B54FC" w:rsidRPr="004749ED">
        <w:rPr>
          <w:bCs/>
        </w:rPr>
        <w:t>se han realizado reuniones de</w:t>
      </w:r>
      <w:r w:rsidR="003B54FC" w:rsidRPr="004749ED">
        <w:rPr>
          <w:b/>
          <w:bCs/>
        </w:rPr>
        <w:t xml:space="preserve"> c</w:t>
      </w:r>
      <w:r w:rsidR="008D33D7" w:rsidRPr="004749ED">
        <w:rPr>
          <w:b/>
          <w:bCs/>
        </w:rPr>
        <w:t>oordinación y consultas con las tres Oficinas y la Secretaría General</w:t>
      </w:r>
      <w:r w:rsidR="003B54FC" w:rsidRPr="004749ED">
        <w:t xml:space="preserve">, </w:t>
      </w:r>
      <w:r w:rsidR="00610D55" w:rsidRPr="004749ED">
        <w:t>con los jefes de las s</w:t>
      </w:r>
      <w:r w:rsidR="008D33D7" w:rsidRPr="004749ED">
        <w:t>ecretarías de cada Oficina, incluidos los Directores de las Oficinas, así como el Secretario General y el Vicesecretario General, a fin de recabar la opinión de los Sectores y de la Secretaría General sobre el proyecto de Pla</w:t>
      </w:r>
      <w:r w:rsidR="00E83E1F" w:rsidRPr="004749ED">
        <w:t>n Estratégico y asegurar</w:t>
      </w:r>
      <w:r w:rsidR="00610D55" w:rsidRPr="004749ED">
        <w:t xml:space="preserve"> que e</w:t>
      </w:r>
      <w:r w:rsidR="008D33D7" w:rsidRPr="004749ED">
        <w:t xml:space="preserve">ste refleje adecuadamente sus estrategias e incorpore sus prioridades, las realizaciones previstas de la labor de su Sector </w:t>
      </w:r>
      <w:r w:rsidR="00610D55" w:rsidRPr="004749ED">
        <w:t>respectivo</w:t>
      </w:r>
      <w:r w:rsidR="008D33D7" w:rsidRPr="004749ED">
        <w:t xml:space="preserve"> y de la Secretaría General, </w:t>
      </w:r>
      <w:r w:rsidR="00E83E1F" w:rsidRPr="004749ED">
        <w:t xml:space="preserve">así como </w:t>
      </w:r>
      <w:r w:rsidR="008D33D7" w:rsidRPr="004749ED">
        <w:t>la gama de productos y servicios que ofrecen a los Miembros. Se han celebrado asimismo consultas con el Consejo del Personal de la UIT.</w:t>
      </w:r>
    </w:p>
    <w:p w14:paraId="4953D5B2" w14:textId="437C857E" w:rsidR="001F20C2" w:rsidRPr="004749ED" w:rsidRDefault="00433478" w:rsidP="00433478">
      <w:pPr>
        <w:pStyle w:val="Heading1"/>
      </w:pPr>
      <w:r w:rsidRPr="004749ED">
        <w:t>3</w:t>
      </w:r>
      <w:r w:rsidRPr="004749ED">
        <w:tab/>
      </w:r>
      <w:proofErr w:type="gramStart"/>
      <w:r w:rsidR="003B238F" w:rsidRPr="004749ED">
        <w:t>Principios</w:t>
      </w:r>
      <w:proofErr w:type="gramEnd"/>
      <w:r w:rsidR="003B238F" w:rsidRPr="004749ED">
        <w:t xml:space="preserve"> y directrices </w:t>
      </w:r>
      <w:r w:rsidR="006B13C1" w:rsidRPr="004749ED">
        <w:t>para</w:t>
      </w:r>
      <w:r w:rsidR="00E83E1F" w:rsidRPr="004749ED">
        <w:t xml:space="preserve"> </w:t>
      </w:r>
      <w:r w:rsidR="003B238F" w:rsidRPr="004749ED">
        <w:t>la elaboración de la contribución de la Secretaría</w:t>
      </w:r>
    </w:p>
    <w:p w14:paraId="1282B341" w14:textId="53AFFA32" w:rsidR="003B238F" w:rsidRPr="004749ED" w:rsidRDefault="006B13C1" w:rsidP="003B238F">
      <w:r w:rsidRPr="004749ED">
        <w:t>La</w:t>
      </w:r>
      <w:r w:rsidR="003B238F" w:rsidRPr="004749ED">
        <w:t xml:space="preserve"> contribución de la Secretaría </w:t>
      </w:r>
      <w:r w:rsidRPr="004749ED">
        <w:t xml:space="preserve">se preparó siguiendo </w:t>
      </w:r>
      <w:r w:rsidR="003B238F" w:rsidRPr="004749ED">
        <w:t xml:space="preserve">los principios y directrices que fueron acordados y </w:t>
      </w:r>
      <w:r w:rsidRPr="004749ED">
        <w:t xml:space="preserve">presentados </w:t>
      </w:r>
      <w:r w:rsidR="003B238F" w:rsidRPr="004749ED">
        <w:t>por los miembros durante la primera reunión del GTC-PEF</w:t>
      </w:r>
      <w:r w:rsidR="007B2C5E" w:rsidRPr="004749ED">
        <w:t xml:space="preserve"> (</w:t>
      </w:r>
      <w:r w:rsidR="00735AAA" w:rsidRPr="004749ED">
        <w:t>D</w:t>
      </w:r>
      <w:r w:rsidR="007B2C5E" w:rsidRPr="004749ED">
        <w:t>ocumento</w:t>
      </w:r>
      <w:hyperlink r:id="rId13" w:history="1">
        <w:r w:rsidR="00A13E46" w:rsidRPr="004749ED">
          <w:rPr>
            <w:rStyle w:val="Hyperlink"/>
          </w:rPr>
          <w:t> </w:t>
        </w:r>
        <w:r w:rsidR="007B2C5E" w:rsidRPr="004749ED">
          <w:rPr>
            <w:rStyle w:val="Hyperlink"/>
          </w:rPr>
          <w:t>CWG-SFP-1/12</w:t>
        </w:r>
      </w:hyperlink>
      <w:r w:rsidR="007B2C5E" w:rsidRPr="004749ED">
        <w:t>).</w:t>
      </w:r>
      <w:r w:rsidR="003B238F" w:rsidRPr="004749ED">
        <w:t xml:space="preserve"> El proyecto de Plan se basa en las contribuciones de los miembros y en los comentarios </w:t>
      </w:r>
      <w:r w:rsidR="007B2C5E" w:rsidRPr="004749ED">
        <w:t>formulados</w:t>
      </w:r>
      <w:r w:rsidR="003B238F" w:rsidRPr="004749ED">
        <w:t xml:space="preserve"> durante la consulta informal del presidente del GTC-PEF, así como en la consulta virtual del GTC-PEF</w:t>
      </w:r>
      <w:r w:rsidR="007B2C5E" w:rsidRPr="004749ED">
        <w:t>, celebrada</w:t>
      </w:r>
      <w:r w:rsidR="003B238F" w:rsidRPr="004749ED">
        <w:t xml:space="preserve"> en noviembre de 2021.</w:t>
      </w:r>
    </w:p>
    <w:p w14:paraId="36D52429" w14:textId="62A1A28A" w:rsidR="001F20C2" w:rsidRPr="004749ED" w:rsidRDefault="006B13C1" w:rsidP="005B5211">
      <w:r w:rsidRPr="004749ED">
        <w:lastRenderedPageBreak/>
        <w:t>Concretamente</w:t>
      </w:r>
      <w:r w:rsidR="003B238F" w:rsidRPr="004749ED">
        <w:t xml:space="preserve">, las orientaciones </w:t>
      </w:r>
      <w:r w:rsidRPr="004749ED">
        <w:t>que</w:t>
      </w:r>
      <w:r w:rsidR="003B238F" w:rsidRPr="004749ED">
        <w:t xml:space="preserve"> los miembros </w:t>
      </w:r>
      <w:r w:rsidRPr="004749ED">
        <w:t xml:space="preserve">impartieron </w:t>
      </w:r>
      <w:r w:rsidR="003B238F" w:rsidRPr="004749ED">
        <w:t xml:space="preserve">a la Secretaría se </w:t>
      </w:r>
      <w:r w:rsidR="007B2C5E" w:rsidRPr="004749ED">
        <w:t>resum</w:t>
      </w:r>
      <w:r w:rsidRPr="004749ED">
        <w:t>en</w:t>
      </w:r>
      <w:r w:rsidR="003B238F" w:rsidRPr="004749ED">
        <w:t xml:space="preserve"> en los siguientes principios clave, que se aplicaron en la elaboración del Plan Estratégico 2024-2027</w:t>
      </w:r>
      <w:r w:rsidRPr="004749ED">
        <w:t>,</w:t>
      </w:r>
      <w:r w:rsidR="003B238F" w:rsidRPr="004749ED">
        <w:t xml:space="preserve"> </w:t>
      </w:r>
      <w:r w:rsidR="007B2C5E" w:rsidRPr="004749ED">
        <w:t>como se indica a continuación (</w:t>
      </w:r>
      <w:r w:rsidR="00A507B3" w:rsidRPr="004749ED">
        <w:t xml:space="preserve">sírvanse notar que </w:t>
      </w:r>
      <w:r w:rsidR="003B238F" w:rsidRPr="004749ED">
        <w:t xml:space="preserve">los cambios </w:t>
      </w:r>
      <w:r w:rsidR="00A507B3" w:rsidRPr="004749ED">
        <w:t xml:space="preserve">que afectan a </w:t>
      </w:r>
      <w:r w:rsidR="007B2C5E" w:rsidRPr="004749ED">
        <w:t>com</w:t>
      </w:r>
      <w:r w:rsidR="003B238F" w:rsidRPr="004749ED">
        <w:t xml:space="preserve">ponentes específicos se </w:t>
      </w:r>
      <w:r w:rsidR="007B2C5E" w:rsidRPr="004749ED">
        <w:t xml:space="preserve">detallan en </w:t>
      </w:r>
      <w:r w:rsidR="003B238F" w:rsidRPr="004749ED">
        <w:t>la sección siguiente):</w:t>
      </w:r>
    </w:p>
    <w:p w14:paraId="6DE572C1" w14:textId="77777777" w:rsidR="00204DD0" w:rsidRPr="004749ED" w:rsidRDefault="00204DD0" w:rsidP="00204DD0">
      <w:pPr>
        <w:spacing w:before="0"/>
        <w:rPr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1F20C2" w:rsidRPr="004749ED" w14:paraId="59E610E1" w14:textId="77777777" w:rsidTr="002A1C56">
        <w:trPr>
          <w:trHeight w:val="46"/>
          <w:tblHeader/>
        </w:trPr>
        <w:tc>
          <w:tcPr>
            <w:tcW w:w="4815" w:type="dxa"/>
            <w:shd w:val="clear" w:color="auto" w:fill="95B3D7" w:themeFill="accent1" w:themeFillTint="99"/>
            <w:vAlign w:val="center"/>
            <w:hideMark/>
          </w:tcPr>
          <w:p w14:paraId="29D8FDE8" w14:textId="72F57375" w:rsidR="001F20C2" w:rsidRPr="004749ED" w:rsidRDefault="00433478" w:rsidP="00433478">
            <w:pPr>
              <w:pStyle w:val="Tablehead"/>
            </w:pPr>
            <w:r w:rsidRPr="004749ED">
              <w:t>Orientaciones del GTC-PEF</w:t>
            </w:r>
          </w:p>
        </w:tc>
        <w:tc>
          <w:tcPr>
            <w:tcW w:w="4961" w:type="dxa"/>
            <w:shd w:val="clear" w:color="auto" w:fill="95B3D7" w:themeFill="accent1" w:themeFillTint="99"/>
            <w:vAlign w:val="center"/>
            <w:hideMark/>
          </w:tcPr>
          <w:p w14:paraId="04916BED" w14:textId="6CD05A86" w:rsidR="001F20C2" w:rsidRPr="004749ED" w:rsidRDefault="00B61238" w:rsidP="00A507B3">
            <w:pPr>
              <w:pStyle w:val="Tablehead"/>
            </w:pPr>
            <w:bookmarkStart w:id="16" w:name="lt_pId051"/>
            <w:r w:rsidRPr="004749ED">
              <w:t>Respuesta a e</w:t>
            </w:r>
            <w:r w:rsidR="009B196A" w:rsidRPr="004749ED">
              <w:t xml:space="preserve">sas orientaciones </w:t>
            </w:r>
            <w:r w:rsidR="007B2C5E" w:rsidRPr="00C74D6D">
              <w:t>en la contribuci</w:t>
            </w:r>
            <w:r w:rsidR="007B2C5E" w:rsidRPr="004749ED">
              <w:t xml:space="preserve">ón de la Secretaría </w:t>
            </w:r>
            <w:bookmarkEnd w:id="16"/>
          </w:p>
        </w:tc>
      </w:tr>
      <w:tr w:rsidR="001F20C2" w:rsidRPr="004749ED" w14:paraId="46A00E4F" w14:textId="77777777" w:rsidTr="00133F3B">
        <w:trPr>
          <w:trHeight w:val="132"/>
        </w:trPr>
        <w:tc>
          <w:tcPr>
            <w:tcW w:w="4815" w:type="dxa"/>
            <w:hideMark/>
          </w:tcPr>
          <w:p w14:paraId="6A2260E7" w14:textId="783DB0E2" w:rsidR="001F20C2" w:rsidRPr="004749ED" w:rsidRDefault="001F20C2" w:rsidP="00433478">
            <w:pPr>
              <w:pStyle w:val="Tabletext"/>
              <w:tabs>
                <w:tab w:val="left" w:pos="281"/>
              </w:tabs>
              <w:rPr>
                <w:b/>
                <w:bCs/>
                <w:highlight w:val="yellow"/>
              </w:rPr>
            </w:pPr>
            <w:r w:rsidRPr="004749ED">
              <w:rPr>
                <w:b/>
                <w:bCs/>
              </w:rPr>
              <w:t>1</w:t>
            </w:r>
            <w:r w:rsidR="00433478" w:rsidRPr="004749ED">
              <w:rPr>
                <w:b/>
                <w:bCs/>
              </w:rPr>
              <w:tab/>
            </w:r>
            <w:proofErr w:type="gramStart"/>
            <w:r w:rsidR="00433478" w:rsidRPr="004749ED">
              <w:rPr>
                <w:b/>
                <w:bCs/>
              </w:rPr>
              <w:t>Sencillez</w:t>
            </w:r>
            <w:proofErr w:type="gramEnd"/>
            <w:r w:rsidR="00433478" w:rsidRPr="004749ED">
              <w:rPr>
                <w:b/>
                <w:bCs/>
              </w:rPr>
              <w:t xml:space="preserve"> y claridad</w:t>
            </w:r>
          </w:p>
          <w:p w14:paraId="43EC5D9A" w14:textId="34CCB33E" w:rsidR="001F20C2" w:rsidRPr="004749ED" w:rsidRDefault="00433478" w:rsidP="00133F3B">
            <w:pPr>
              <w:pStyle w:val="Tabletext"/>
              <w:tabs>
                <w:tab w:val="left" w:pos="281"/>
              </w:tabs>
              <w:ind w:left="281" w:hanging="281"/>
            </w:pPr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  <w:t xml:space="preserve">Solicitar a la </w:t>
            </w:r>
            <w:r w:rsidR="00CB1141" w:rsidRPr="004749ED">
              <w:rPr>
                <w:lang w:eastAsia="en-GB"/>
              </w:rPr>
              <w:t>S</w:t>
            </w:r>
            <w:r w:rsidRPr="004749ED">
              <w:rPr>
                <w:lang w:eastAsia="en-GB"/>
              </w:rPr>
              <w:t>ecretaría que aporte contribuciones sobre formas de simplificar y clarificar el marco estratégico, revisando los vínculos y los diferentes elementos de los proyectos de Planes Estratégico y Financiero, para que las prioridades estratégicas de la organización queden mejor reflejadas, y las evalúe en la próxima consulta virtual.</w:t>
            </w:r>
          </w:p>
        </w:tc>
        <w:tc>
          <w:tcPr>
            <w:tcW w:w="4961" w:type="dxa"/>
            <w:hideMark/>
          </w:tcPr>
          <w:p w14:paraId="5DCFB50F" w14:textId="13542616" w:rsidR="001F20C2" w:rsidRPr="004749ED" w:rsidRDefault="00133F3B" w:rsidP="00133F3B">
            <w:pPr>
              <w:pStyle w:val="Tabletext"/>
              <w:tabs>
                <w:tab w:val="left" w:pos="281"/>
              </w:tabs>
              <w:ind w:left="281" w:hanging="281"/>
            </w:pPr>
            <w:bookmarkStart w:id="17" w:name="lt_pId055"/>
            <w:r w:rsidRPr="004749ED">
              <w:rPr>
                <w:lang w:eastAsia="en-GB"/>
              </w:rPr>
              <w:t>–</w:t>
            </w:r>
            <w:r w:rsidRPr="004749ED">
              <w:rPr>
                <w:rFonts w:cs="Calibri"/>
                <w:sz w:val="20"/>
                <w:lang w:eastAsia="en-GB"/>
              </w:rPr>
              <w:tab/>
            </w:r>
            <w:r w:rsidR="00786B3C" w:rsidRPr="004749ED">
              <w:rPr>
                <w:rFonts w:cs="Calibri"/>
                <w:lang w:eastAsia="en-GB"/>
              </w:rPr>
              <w:t xml:space="preserve">Se ha mejorado el </w:t>
            </w:r>
            <w:r w:rsidR="0025541C" w:rsidRPr="004749ED">
              <w:t>marco estratégico</w:t>
            </w:r>
            <w:r w:rsidR="00B61238" w:rsidRPr="004749ED">
              <w:t xml:space="preserve"> </w:t>
            </w:r>
            <w:r w:rsidR="00786B3C" w:rsidRPr="004749ED">
              <w:t>con objeto de</w:t>
            </w:r>
            <w:r w:rsidR="00B61238" w:rsidRPr="004749ED">
              <w:t xml:space="preserve"> potenciar</w:t>
            </w:r>
            <w:r w:rsidR="0025541C" w:rsidRPr="004749ED">
              <w:t xml:space="preserve"> su simplicidad y claridad, </w:t>
            </w:r>
            <w:r w:rsidR="00B61238" w:rsidRPr="004749ED">
              <w:t xml:space="preserve">mediante las </w:t>
            </w:r>
            <w:r w:rsidR="0025541C" w:rsidRPr="004749ED">
              <w:t xml:space="preserve">siguientes </w:t>
            </w:r>
            <w:r w:rsidR="00B61238" w:rsidRPr="004749ED">
              <w:t xml:space="preserve">modificaciones </w:t>
            </w:r>
            <w:r w:rsidR="00A507B3" w:rsidRPr="004749ED">
              <w:t>que se someten a la</w:t>
            </w:r>
            <w:r w:rsidR="0025541C" w:rsidRPr="004749ED">
              <w:t xml:space="preserve"> consideración</w:t>
            </w:r>
            <w:r w:rsidR="00A507B3" w:rsidRPr="004749ED">
              <w:t xml:space="preserve"> del</w:t>
            </w:r>
            <w:r w:rsidR="00FD78C6" w:rsidRPr="004749ED">
              <w:t xml:space="preserve"> GTC</w:t>
            </w:r>
            <w:r w:rsidR="001F20C2" w:rsidRPr="004749ED">
              <w:t>:</w:t>
            </w:r>
            <w:bookmarkEnd w:id="17"/>
          </w:p>
          <w:p w14:paraId="0461F1AB" w14:textId="7A46FCBB" w:rsidR="001F20C2" w:rsidRPr="004749ED" w:rsidRDefault="00133F3B" w:rsidP="00133F3B">
            <w:pPr>
              <w:pStyle w:val="Tabletext"/>
              <w:tabs>
                <w:tab w:val="left" w:pos="281"/>
              </w:tabs>
              <w:ind w:left="720" w:hanging="410"/>
            </w:pPr>
            <w:bookmarkStart w:id="18" w:name="lt_pId056"/>
            <w:r w:rsidRPr="004749ED">
              <w:rPr>
                <w:rFonts w:cs="Calibri"/>
              </w:rPr>
              <w:t>•</w:t>
            </w:r>
            <w:r w:rsidRPr="004749ED">
              <w:tab/>
            </w:r>
            <w:r w:rsidR="00786B3C" w:rsidRPr="004749ED">
              <w:t>La s</w:t>
            </w:r>
            <w:r w:rsidR="0025541C" w:rsidRPr="004749ED">
              <w:t>implificación y consolidación de las metas y finalidades estratégicas</w:t>
            </w:r>
            <w:bookmarkEnd w:id="18"/>
          </w:p>
          <w:p w14:paraId="3C80F235" w14:textId="0F5D9EA9" w:rsidR="001F20C2" w:rsidRPr="004749ED" w:rsidRDefault="00133F3B" w:rsidP="00133F3B">
            <w:pPr>
              <w:pStyle w:val="Tabletext"/>
              <w:tabs>
                <w:tab w:val="left" w:pos="281"/>
              </w:tabs>
              <w:ind w:left="720" w:hanging="410"/>
            </w:pPr>
            <w:bookmarkStart w:id="19" w:name="lt_pId057"/>
            <w:r w:rsidRPr="004749ED">
              <w:rPr>
                <w:rFonts w:cs="Calibri"/>
              </w:rPr>
              <w:t>•</w:t>
            </w:r>
            <w:r w:rsidRPr="004749ED">
              <w:tab/>
            </w:r>
            <w:r w:rsidR="00786B3C" w:rsidRPr="004749ED">
              <w:t xml:space="preserve">La </w:t>
            </w:r>
            <w:r w:rsidR="00265A7F" w:rsidRPr="004749ED">
              <w:t xml:space="preserve">concepción </w:t>
            </w:r>
            <w:r w:rsidR="00FD78C6" w:rsidRPr="004749ED">
              <w:t xml:space="preserve">de </w:t>
            </w:r>
            <w:r w:rsidR="0025541C" w:rsidRPr="004749ED">
              <w:t>prioridades temáticas que sinteti</w:t>
            </w:r>
            <w:r w:rsidR="00786B3C" w:rsidRPr="004749ED">
              <w:t>zan</w:t>
            </w:r>
            <w:r w:rsidR="0025541C" w:rsidRPr="004749ED">
              <w:t xml:space="preserve"> y </w:t>
            </w:r>
            <w:r w:rsidR="00FD78C6" w:rsidRPr="004749ED">
              <w:t>rempla</w:t>
            </w:r>
            <w:r w:rsidR="00786B3C" w:rsidRPr="004749ED">
              <w:t>zan</w:t>
            </w:r>
            <w:r w:rsidR="0025541C" w:rsidRPr="004749ED">
              <w:t xml:space="preserve"> los objetivos sectoriales</w:t>
            </w:r>
            <w:r w:rsidR="00241708" w:rsidRPr="004749ED">
              <w:t>/</w:t>
            </w:r>
            <w:r w:rsidR="0025541C" w:rsidRPr="004749ED">
              <w:t>intersectoriales</w:t>
            </w:r>
            <w:r w:rsidR="0025541C" w:rsidRPr="004749ED">
              <w:rPr>
                <w:rFonts w:cs="Calibri"/>
              </w:rPr>
              <w:t xml:space="preserve"> </w:t>
            </w:r>
            <w:bookmarkEnd w:id="19"/>
          </w:p>
          <w:p w14:paraId="39D8A0DD" w14:textId="64BA7AF5" w:rsidR="001F20C2" w:rsidRPr="00C74D6D" w:rsidRDefault="00133F3B" w:rsidP="00A507B3">
            <w:pPr>
              <w:pStyle w:val="Tabletext"/>
              <w:tabs>
                <w:tab w:val="left" w:pos="281"/>
              </w:tabs>
              <w:ind w:left="720" w:hanging="410"/>
            </w:pPr>
            <w:bookmarkStart w:id="20" w:name="lt_pId058"/>
            <w:r w:rsidRPr="004749ED">
              <w:rPr>
                <w:rFonts w:cs="Calibri"/>
              </w:rPr>
              <w:t>•</w:t>
            </w:r>
            <w:r w:rsidRPr="004749ED">
              <w:tab/>
            </w:r>
            <w:r w:rsidR="00786B3C" w:rsidRPr="004749ED">
              <w:t>La co</w:t>
            </w:r>
            <w:r w:rsidR="00FD78C6" w:rsidRPr="004749ED">
              <w:t xml:space="preserve">nsolidación de las actividades y los factores habilitadores de </w:t>
            </w:r>
            <w:r w:rsidR="00021C36" w:rsidRPr="004749ED">
              <w:t xml:space="preserve">los </w:t>
            </w:r>
            <w:r w:rsidR="00FD78C6" w:rsidRPr="004749ED">
              <w:t>Sector</w:t>
            </w:r>
            <w:r w:rsidR="00021C36" w:rsidRPr="004749ED">
              <w:t>es</w:t>
            </w:r>
            <w:r w:rsidR="00FD78C6" w:rsidRPr="004749ED">
              <w:t>/Secretaría General en las ofertas de productos y servicios y factores habilitadores de toda la UIT</w:t>
            </w:r>
            <w:bookmarkEnd w:id="20"/>
            <w:r w:rsidR="00EA5260" w:rsidRPr="004749ED">
              <w:t>.</w:t>
            </w:r>
          </w:p>
        </w:tc>
      </w:tr>
      <w:tr w:rsidR="001F20C2" w:rsidRPr="004749ED" w14:paraId="4AB58DE3" w14:textId="77777777" w:rsidTr="00CC21A2">
        <w:trPr>
          <w:trHeight w:val="35"/>
        </w:trPr>
        <w:tc>
          <w:tcPr>
            <w:tcW w:w="4815" w:type="dxa"/>
            <w:hideMark/>
          </w:tcPr>
          <w:p w14:paraId="0551C63E" w14:textId="5B58D231" w:rsidR="001F20C2" w:rsidRPr="004749ED" w:rsidRDefault="001F20C2" w:rsidP="001C414B">
            <w:pPr>
              <w:pStyle w:val="Tabletext"/>
              <w:tabs>
                <w:tab w:val="left" w:pos="281"/>
              </w:tabs>
              <w:rPr>
                <w:b/>
                <w:bCs/>
                <w:highlight w:val="yellow"/>
              </w:rPr>
            </w:pPr>
            <w:r w:rsidRPr="004749ED">
              <w:rPr>
                <w:b/>
                <w:bCs/>
              </w:rPr>
              <w:t>2</w:t>
            </w:r>
            <w:r w:rsidR="00133F3B" w:rsidRPr="004749ED">
              <w:rPr>
                <w:b/>
                <w:bCs/>
              </w:rPr>
              <w:tab/>
            </w:r>
            <w:proofErr w:type="gramStart"/>
            <w:r w:rsidR="00133F3B" w:rsidRPr="004749ED">
              <w:rPr>
                <w:b/>
                <w:bCs/>
              </w:rPr>
              <w:t>Concreción</w:t>
            </w:r>
            <w:proofErr w:type="gramEnd"/>
          </w:p>
          <w:p w14:paraId="2D2EEE53" w14:textId="3BE25799" w:rsidR="001F20C2" w:rsidRPr="004749ED" w:rsidRDefault="00133F3B" w:rsidP="001C414B">
            <w:pPr>
              <w:pStyle w:val="Tabletext"/>
              <w:tabs>
                <w:tab w:val="left" w:pos="281"/>
              </w:tabs>
              <w:ind w:left="281" w:hanging="281"/>
            </w:pPr>
            <w:bookmarkStart w:id="21" w:name="lt_pId061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  <w:t xml:space="preserve">Solicitar a la </w:t>
            </w:r>
            <w:r w:rsidR="00CB1141" w:rsidRPr="004749ED">
              <w:rPr>
                <w:lang w:eastAsia="en-GB"/>
              </w:rPr>
              <w:t>S</w:t>
            </w:r>
            <w:r w:rsidRPr="004749ED">
              <w:rPr>
                <w:lang w:eastAsia="en-GB"/>
              </w:rPr>
              <w:t xml:space="preserve">ecretaría que aporte contribuciones sobre formas de: </w:t>
            </w:r>
            <w:r w:rsidRPr="004749ED">
              <w:t xml:space="preserve">i) mantener el alto nivel del </w:t>
            </w:r>
            <w:r w:rsidR="00F77A41" w:rsidRPr="004749ED">
              <w:t>P</w:t>
            </w:r>
            <w:r w:rsidRPr="004749ED">
              <w:t xml:space="preserve">lan </w:t>
            </w:r>
            <w:r w:rsidR="00F77A41" w:rsidRPr="004749ED">
              <w:t>E</w:t>
            </w:r>
            <w:r w:rsidRPr="004749ED">
              <w:t xml:space="preserve">stratégico, reconociendo al mismo tiempo el papel y el mandato de los Sectores de la UIT; </w:t>
            </w:r>
            <w:proofErr w:type="spellStart"/>
            <w:r w:rsidRPr="004749ED">
              <w:t>ii</w:t>
            </w:r>
            <w:proofErr w:type="spellEnd"/>
            <w:r w:rsidRPr="004749ED">
              <w:t>) partiendo de las prioridades estratégicas, identificar los principales ámbitos/temas de trabajo, teniendo en cuenta los temas transversales, siempre que sea posible, con el objetivo de reforzar las sinergias entre los Sectores.</w:t>
            </w:r>
            <w:bookmarkEnd w:id="21"/>
          </w:p>
        </w:tc>
        <w:tc>
          <w:tcPr>
            <w:tcW w:w="4961" w:type="dxa"/>
            <w:hideMark/>
          </w:tcPr>
          <w:p w14:paraId="7C79A9A9" w14:textId="3B751122" w:rsidR="001F20C2" w:rsidRPr="004749ED" w:rsidRDefault="00133F3B" w:rsidP="00133F3B">
            <w:pPr>
              <w:pStyle w:val="Tabletext"/>
              <w:tabs>
                <w:tab w:val="left" w:pos="281"/>
              </w:tabs>
              <w:ind w:left="281" w:hanging="281"/>
            </w:pPr>
            <w:bookmarkStart w:id="22" w:name="lt_pId062"/>
            <w:r w:rsidRPr="00C74D6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r w:rsidR="00786B3C" w:rsidRPr="004749ED">
              <w:rPr>
                <w:lang w:eastAsia="en-GB"/>
              </w:rPr>
              <w:t>Se ha establecido una d</w:t>
            </w:r>
            <w:r w:rsidR="0025541C" w:rsidRPr="004749ED">
              <w:t>istinción más clara entre el Plan E</w:t>
            </w:r>
            <w:r w:rsidR="00F77A41" w:rsidRPr="004749ED">
              <w:t xml:space="preserve">stratégico de alto nivel y los </w:t>
            </w:r>
            <w:r w:rsidR="00CB1141" w:rsidRPr="004749ED">
              <w:t>P</w:t>
            </w:r>
            <w:r w:rsidR="0025541C" w:rsidRPr="004749ED">
              <w:t xml:space="preserve">lanes </w:t>
            </w:r>
            <w:r w:rsidR="00CB1141" w:rsidRPr="004749ED">
              <w:t>O</w:t>
            </w:r>
            <w:r w:rsidR="00F77A41" w:rsidRPr="004749ED">
              <w:t>peracionales</w:t>
            </w:r>
            <w:r w:rsidR="0025541C" w:rsidRPr="004749ED">
              <w:t xml:space="preserve"> </w:t>
            </w:r>
            <w:r w:rsidR="00F77A41" w:rsidRPr="004749ED">
              <w:t xml:space="preserve">detallados </w:t>
            </w:r>
            <w:r w:rsidR="0025541C" w:rsidRPr="004749ED">
              <w:t xml:space="preserve">de </w:t>
            </w:r>
            <w:r w:rsidR="00F77A41" w:rsidRPr="004749ED">
              <w:t xml:space="preserve">cada Sector y de la </w:t>
            </w:r>
            <w:r w:rsidR="0025541C" w:rsidRPr="004749ED">
              <w:t>Secretaría General</w:t>
            </w:r>
            <w:bookmarkEnd w:id="22"/>
            <w:r w:rsidR="00EA5260" w:rsidRPr="004749ED">
              <w:t>.</w:t>
            </w:r>
          </w:p>
          <w:p w14:paraId="0727D826" w14:textId="151F16CD" w:rsidR="001F20C2" w:rsidRPr="00C74D6D" w:rsidRDefault="00133F3B" w:rsidP="00A507B3">
            <w:pPr>
              <w:pStyle w:val="Tabletext"/>
              <w:tabs>
                <w:tab w:val="left" w:pos="281"/>
              </w:tabs>
              <w:ind w:left="281" w:hanging="281"/>
            </w:pPr>
            <w:bookmarkStart w:id="23" w:name="lt_pId063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r w:rsidR="00786B3C" w:rsidRPr="004749ED">
              <w:rPr>
                <w:lang w:eastAsia="en-GB"/>
              </w:rPr>
              <w:t>Se han d</w:t>
            </w:r>
            <w:r w:rsidR="00017CC9" w:rsidRPr="004749ED">
              <w:rPr>
                <w:lang w:eastAsia="en-GB"/>
              </w:rPr>
              <w:t>etermina</w:t>
            </w:r>
            <w:r w:rsidR="00786B3C" w:rsidRPr="004749ED">
              <w:rPr>
                <w:lang w:eastAsia="en-GB"/>
              </w:rPr>
              <w:t>do y estructurado</w:t>
            </w:r>
            <w:r w:rsidR="00017CC9" w:rsidRPr="004749ED">
              <w:t xml:space="preserve"> </w:t>
            </w:r>
            <w:r w:rsidR="00780B35" w:rsidRPr="004749ED">
              <w:t>las</w:t>
            </w:r>
            <w:r w:rsidR="0025541C" w:rsidRPr="004749ED">
              <w:t xml:space="preserve"> principales </w:t>
            </w:r>
            <w:r w:rsidR="00780B35" w:rsidRPr="004749ED">
              <w:t xml:space="preserve">esferas </w:t>
            </w:r>
            <w:r w:rsidR="004779C6" w:rsidRPr="004749ED">
              <w:t>de incidencia en el marco de</w:t>
            </w:r>
            <w:r w:rsidR="00751F14" w:rsidRPr="004749ED">
              <w:t xml:space="preserve"> </w:t>
            </w:r>
            <w:r w:rsidR="00780B35" w:rsidRPr="004749ED">
              <w:t xml:space="preserve">las </w:t>
            </w:r>
            <w:r w:rsidR="0025541C" w:rsidRPr="004749ED">
              <w:t xml:space="preserve">prioridades temáticas, que se </w:t>
            </w:r>
            <w:r w:rsidR="00751F14" w:rsidRPr="004749ED">
              <w:t>evaluarán en función de las realizaciones a las que uno o varios Sectores hayan contribuido</w:t>
            </w:r>
            <w:bookmarkEnd w:id="23"/>
            <w:r w:rsidR="00EA5260" w:rsidRPr="004749ED">
              <w:t>.</w:t>
            </w:r>
          </w:p>
        </w:tc>
      </w:tr>
      <w:tr w:rsidR="001F20C2" w:rsidRPr="004749ED" w14:paraId="5DDD4638" w14:textId="77777777" w:rsidTr="00133F3B">
        <w:trPr>
          <w:trHeight w:val="126"/>
        </w:trPr>
        <w:tc>
          <w:tcPr>
            <w:tcW w:w="4815" w:type="dxa"/>
            <w:hideMark/>
          </w:tcPr>
          <w:p w14:paraId="32110F23" w14:textId="02BA4815" w:rsidR="001F20C2" w:rsidRPr="004749ED" w:rsidRDefault="001F20C2" w:rsidP="002A1C56">
            <w:pPr>
              <w:pStyle w:val="Tabletext"/>
              <w:tabs>
                <w:tab w:val="left" w:pos="281"/>
              </w:tabs>
              <w:ind w:left="281" w:hanging="281"/>
              <w:rPr>
                <w:b/>
                <w:bCs/>
              </w:rPr>
            </w:pPr>
            <w:r w:rsidRPr="004749ED">
              <w:rPr>
                <w:b/>
                <w:bCs/>
              </w:rPr>
              <w:t>3</w:t>
            </w:r>
            <w:r w:rsidR="002A1C56" w:rsidRPr="004749ED">
              <w:rPr>
                <w:b/>
                <w:bCs/>
              </w:rPr>
              <w:tab/>
            </w:r>
            <w:proofErr w:type="gramStart"/>
            <w:r w:rsidR="00133F3B" w:rsidRPr="004749ED">
              <w:rPr>
                <w:b/>
                <w:bCs/>
              </w:rPr>
              <w:t>Una</w:t>
            </w:r>
            <w:proofErr w:type="gramEnd"/>
            <w:r w:rsidR="00133F3B" w:rsidRPr="004749ED">
              <w:rPr>
                <w:b/>
                <w:bCs/>
              </w:rPr>
              <w:t xml:space="preserve"> UIT</w:t>
            </w:r>
          </w:p>
          <w:p w14:paraId="537E8B1A" w14:textId="57D1BEC4" w:rsidR="001F20C2" w:rsidRPr="004749ED" w:rsidRDefault="00133F3B" w:rsidP="001C414B">
            <w:pPr>
              <w:pStyle w:val="Tabletext"/>
              <w:tabs>
                <w:tab w:val="left" w:pos="281"/>
              </w:tabs>
              <w:ind w:left="281" w:hanging="281"/>
            </w:pPr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r w:rsidRPr="004749ED">
              <w:t xml:space="preserve">Solicitar a la </w:t>
            </w:r>
            <w:r w:rsidR="00AF4903" w:rsidRPr="004749ED">
              <w:t>S</w:t>
            </w:r>
            <w:r w:rsidRPr="004749ED">
              <w:t xml:space="preserve">ecretaría que siga aportando contribuciones para aclarar y reforzar el concepto de </w:t>
            </w:r>
            <w:r w:rsidR="0038073E" w:rsidRPr="004749ED">
              <w:t>"</w:t>
            </w:r>
            <w:r w:rsidRPr="004749ED">
              <w:t>Una UIT</w:t>
            </w:r>
            <w:r w:rsidR="0038073E" w:rsidRPr="004749ED">
              <w:t>"</w:t>
            </w:r>
            <w:r w:rsidRPr="004749ED">
              <w:t xml:space="preserve">, y al GTC-PEF que siga teniéndolo en cuenta a efectos de la elaboración del </w:t>
            </w:r>
            <w:r w:rsidR="00AF4903" w:rsidRPr="004749ED">
              <w:t>P</w:t>
            </w:r>
            <w:r w:rsidRPr="004749ED">
              <w:t xml:space="preserve">lan </w:t>
            </w:r>
            <w:r w:rsidR="00AF4903" w:rsidRPr="004749ED">
              <w:t>E</w:t>
            </w:r>
            <w:r w:rsidRPr="004749ED">
              <w:t>stratégico.</w:t>
            </w:r>
          </w:p>
          <w:p w14:paraId="38AB5909" w14:textId="745BCBB3" w:rsidR="001F20C2" w:rsidRPr="004749ED" w:rsidRDefault="00133F3B" w:rsidP="00133F3B">
            <w:pPr>
              <w:pStyle w:val="Tabletext"/>
              <w:tabs>
                <w:tab w:val="left" w:pos="281"/>
              </w:tabs>
              <w:ind w:left="281" w:hanging="281"/>
            </w:pPr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  <w:t xml:space="preserve">Solicitar a la </w:t>
            </w:r>
            <w:r w:rsidR="00AF4903" w:rsidRPr="004749ED">
              <w:rPr>
                <w:lang w:eastAsia="en-GB"/>
              </w:rPr>
              <w:t>S</w:t>
            </w:r>
            <w:r w:rsidRPr="004749ED">
              <w:rPr>
                <w:lang w:eastAsia="en-GB"/>
              </w:rPr>
              <w:t xml:space="preserve">ecretaría que potencie las prioridades, los temas y los ámbitos de trabajo estratégicos intersectoriales y refleje el concepto de </w:t>
            </w:r>
            <w:r w:rsidR="0038073E" w:rsidRPr="004749ED">
              <w:rPr>
                <w:lang w:eastAsia="en-GB"/>
              </w:rPr>
              <w:t>"</w:t>
            </w:r>
            <w:r w:rsidRPr="004749ED">
              <w:rPr>
                <w:lang w:eastAsia="en-GB"/>
              </w:rPr>
              <w:t>Una UIT</w:t>
            </w:r>
            <w:r w:rsidR="0038073E" w:rsidRPr="004749ED">
              <w:rPr>
                <w:lang w:eastAsia="en-GB"/>
              </w:rPr>
              <w:t>"</w:t>
            </w:r>
            <w:r w:rsidRPr="004749ED">
              <w:rPr>
                <w:lang w:eastAsia="en-GB"/>
              </w:rPr>
              <w:t>, reconociendo al mismo tiempo la contribución de los Sectores de la UIT, a fin de articular los productos y servicios que la</w:t>
            </w:r>
            <w:r w:rsidR="001C414B" w:rsidRPr="004749ED">
              <w:rPr>
                <w:lang w:eastAsia="en-GB"/>
              </w:rPr>
              <w:t> </w:t>
            </w:r>
            <w:r w:rsidRPr="004749ED">
              <w:rPr>
                <w:lang w:eastAsia="en-GB"/>
              </w:rPr>
              <w:t>UIT puede ofrecer como organización.</w:t>
            </w:r>
          </w:p>
          <w:p w14:paraId="20837A06" w14:textId="00A278D5" w:rsidR="001F20C2" w:rsidRPr="004749ED" w:rsidRDefault="00133F3B" w:rsidP="00133F3B">
            <w:pPr>
              <w:pStyle w:val="Tabletext"/>
              <w:tabs>
                <w:tab w:val="left" w:pos="281"/>
              </w:tabs>
              <w:ind w:left="281" w:hanging="281"/>
            </w:pPr>
            <w:bookmarkStart w:id="24" w:name="lt_pId068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bookmarkEnd w:id="24"/>
            <w:r w:rsidRPr="004749ED">
              <w:rPr>
                <w:lang w:eastAsia="en-GB"/>
              </w:rPr>
              <w:t xml:space="preserve">Solicitar a la </w:t>
            </w:r>
            <w:r w:rsidR="00DB73ED" w:rsidRPr="004749ED">
              <w:rPr>
                <w:lang w:eastAsia="en-GB"/>
              </w:rPr>
              <w:t>S</w:t>
            </w:r>
            <w:r w:rsidRPr="004749ED">
              <w:rPr>
                <w:lang w:eastAsia="en-GB"/>
              </w:rPr>
              <w:t>ecretaría que aclare y considere si es posible flexibilizar el mecanismo de atribución de recursos entre los Sectores.</w:t>
            </w:r>
          </w:p>
        </w:tc>
        <w:tc>
          <w:tcPr>
            <w:tcW w:w="4961" w:type="dxa"/>
            <w:hideMark/>
          </w:tcPr>
          <w:p w14:paraId="6EED0428" w14:textId="3354212B" w:rsidR="001F20C2" w:rsidRPr="004749ED" w:rsidRDefault="00133F3B" w:rsidP="001C414B">
            <w:pPr>
              <w:pStyle w:val="Tabletext"/>
              <w:tabs>
                <w:tab w:val="left" w:pos="281"/>
              </w:tabs>
              <w:ind w:left="281" w:hanging="281"/>
            </w:pPr>
            <w:bookmarkStart w:id="25" w:name="lt_pId069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r w:rsidR="00CC542F" w:rsidRPr="004749ED">
              <w:rPr>
                <w:lang w:eastAsia="en-GB"/>
              </w:rPr>
              <w:t>Se ha tenido en cuenta l</w:t>
            </w:r>
            <w:r w:rsidR="00AF4903" w:rsidRPr="004749ED">
              <w:rPr>
                <w:lang w:eastAsia="en-GB"/>
              </w:rPr>
              <w:t>a definición de</w:t>
            </w:r>
            <w:r w:rsidR="00CC542F" w:rsidRPr="004749ED">
              <w:rPr>
                <w:lang w:eastAsia="en-GB"/>
              </w:rPr>
              <w:t xml:space="preserve"> </w:t>
            </w:r>
            <w:r w:rsidR="0038073E" w:rsidRPr="004749ED">
              <w:rPr>
                <w:lang w:eastAsia="en-GB"/>
              </w:rPr>
              <w:t>"</w:t>
            </w:r>
            <w:r w:rsidR="00AF4903" w:rsidRPr="004749ED">
              <w:rPr>
                <w:lang w:eastAsia="en-GB"/>
              </w:rPr>
              <w:t>Una UIT</w:t>
            </w:r>
            <w:r w:rsidR="0038073E" w:rsidRPr="004749ED">
              <w:rPr>
                <w:lang w:eastAsia="en-GB"/>
              </w:rPr>
              <w:t>"</w:t>
            </w:r>
            <w:r w:rsidR="00241708" w:rsidRPr="004749ED">
              <w:rPr>
                <w:lang w:eastAsia="en-GB"/>
              </w:rPr>
              <w:t xml:space="preserve">, </w:t>
            </w:r>
            <w:r w:rsidR="004779C6" w:rsidRPr="004749ED">
              <w:rPr>
                <w:lang w:eastAsia="en-GB"/>
              </w:rPr>
              <w:t xml:space="preserve">como se establece en el </w:t>
            </w:r>
            <w:r w:rsidR="00241708" w:rsidRPr="004749ED">
              <w:rPr>
                <w:lang w:eastAsia="en-GB"/>
              </w:rPr>
              <w:t>Plan Estratégico anterior</w:t>
            </w:r>
            <w:r w:rsidR="001F20C2" w:rsidRPr="004749ED">
              <w:t xml:space="preserve">: </w:t>
            </w:r>
            <w:bookmarkEnd w:id="25"/>
            <w:r w:rsidRPr="004749ED">
              <w:t>"los Sectores trabajarán con cohesión en la ejecución del Plan Estratégico. La Secretaría apoyará la planificación operacional coordinada para evitar redundancias y duplicaciones y maximizar las sinergias entre los Sectores, las Oficinas y la Secretaría General".</w:t>
            </w:r>
          </w:p>
          <w:p w14:paraId="15C5536B" w14:textId="4090415D" w:rsidR="001F20C2" w:rsidRPr="004749ED" w:rsidRDefault="00133F3B" w:rsidP="00133F3B">
            <w:pPr>
              <w:pStyle w:val="Tabletext"/>
              <w:tabs>
                <w:tab w:val="left" w:pos="281"/>
              </w:tabs>
              <w:ind w:left="281" w:hanging="281"/>
            </w:pPr>
            <w:bookmarkStart w:id="26" w:name="lt_pId071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r w:rsidR="00786B3C" w:rsidRPr="004749ED">
              <w:rPr>
                <w:lang w:eastAsia="en-GB"/>
              </w:rPr>
              <w:t xml:space="preserve">Se ha reforzado </w:t>
            </w:r>
            <w:r w:rsidR="00721300" w:rsidRPr="004749ED">
              <w:t>el concepto de "Una UIT", mediante la elaboración de un Plan Estratégico de alto nivel, mejorado y concreto, que reflej</w:t>
            </w:r>
            <w:r w:rsidR="004779C6" w:rsidRPr="004749ED">
              <w:t>a</w:t>
            </w:r>
            <w:r w:rsidR="00721300" w:rsidRPr="004749ED">
              <w:t xml:space="preserve"> las contribuciones y sinergias a escala de toda la UIT.</w:t>
            </w:r>
            <w:bookmarkEnd w:id="26"/>
          </w:p>
          <w:p w14:paraId="4E1DDE1A" w14:textId="1FCD4497" w:rsidR="001F20C2" w:rsidRPr="004749ED" w:rsidRDefault="00133F3B" w:rsidP="00133F3B">
            <w:pPr>
              <w:pStyle w:val="Tabletext"/>
              <w:tabs>
                <w:tab w:val="left" w:pos="281"/>
              </w:tabs>
              <w:ind w:left="281" w:hanging="281"/>
            </w:pPr>
            <w:bookmarkStart w:id="27" w:name="lt_pId072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r w:rsidR="00786B3C" w:rsidRPr="004749ED">
              <w:rPr>
                <w:lang w:eastAsia="en-GB"/>
              </w:rPr>
              <w:t xml:space="preserve">Se han </w:t>
            </w:r>
            <w:r w:rsidR="00265A7F" w:rsidRPr="004749ED">
              <w:rPr>
                <w:lang w:eastAsia="en-GB"/>
              </w:rPr>
              <w:t xml:space="preserve">creado </w:t>
            </w:r>
            <w:r w:rsidR="00721300" w:rsidRPr="004749ED">
              <w:t>prioridades temáticas que sintetizan las esferas de</w:t>
            </w:r>
            <w:r w:rsidR="004779C6" w:rsidRPr="004749ED">
              <w:t xml:space="preserve"> incidencia</w:t>
            </w:r>
            <w:r w:rsidR="00721300" w:rsidRPr="004749ED">
              <w:t xml:space="preserve"> sectoriales e intersectoriales y reemplazan los objetivos aislados</w:t>
            </w:r>
            <w:bookmarkEnd w:id="27"/>
            <w:r w:rsidR="007810AA" w:rsidRPr="004749ED">
              <w:t>.</w:t>
            </w:r>
          </w:p>
          <w:p w14:paraId="6ADE680E" w14:textId="20CD16B8" w:rsidR="001F20C2" w:rsidRPr="004749ED" w:rsidRDefault="00133F3B" w:rsidP="00133F3B">
            <w:pPr>
              <w:pStyle w:val="Tabletext"/>
              <w:tabs>
                <w:tab w:val="left" w:pos="281"/>
              </w:tabs>
              <w:ind w:left="281" w:hanging="281"/>
            </w:pPr>
            <w:bookmarkStart w:id="28" w:name="lt_pId073"/>
            <w:r w:rsidRPr="004749ED">
              <w:rPr>
                <w:lang w:eastAsia="en-GB"/>
              </w:rPr>
              <w:lastRenderedPageBreak/>
              <w:t>–</w:t>
            </w:r>
            <w:r w:rsidRPr="004749ED">
              <w:rPr>
                <w:lang w:eastAsia="en-GB"/>
              </w:rPr>
              <w:tab/>
            </w:r>
            <w:r w:rsidR="00C41736" w:rsidRPr="004749ED">
              <w:rPr>
                <w:lang w:eastAsia="en-GB"/>
              </w:rPr>
              <w:t>Se han c</w:t>
            </w:r>
            <w:r w:rsidR="00721300" w:rsidRPr="004749ED">
              <w:t>onsolida</w:t>
            </w:r>
            <w:r w:rsidR="00C41736" w:rsidRPr="004749ED">
              <w:t>do</w:t>
            </w:r>
            <w:r w:rsidR="00721300" w:rsidRPr="004749ED">
              <w:t xml:space="preserve"> las ofertas de productos y servicios y de los factores habilitadores en toda la</w:t>
            </w:r>
            <w:r w:rsidR="007810AA" w:rsidRPr="004749ED">
              <w:t> </w:t>
            </w:r>
            <w:r w:rsidR="00721300" w:rsidRPr="004749ED">
              <w:t>UIT de forma que reflejen la forma de trabajar de "Una UIT".</w:t>
            </w:r>
            <w:bookmarkEnd w:id="28"/>
          </w:p>
          <w:p w14:paraId="714ACE67" w14:textId="52FDCF62" w:rsidR="001F20C2" w:rsidRPr="00C74D6D" w:rsidRDefault="00133F3B" w:rsidP="00265A7F">
            <w:pPr>
              <w:pStyle w:val="Tabletext"/>
              <w:tabs>
                <w:tab w:val="left" w:pos="281"/>
              </w:tabs>
              <w:ind w:left="281" w:hanging="281"/>
            </w:pPr>
            <w:bookmarkStart w:id="29" w:name="lt_pId074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r w:rsidR="00C41736" w:rsidRPr="004749ED">
              <w:rPr>
                <w:lang w:eastAsia="en-GB"/>
              </w:rPr>
              <w:t xml:space="preserve">Se ha aclarado la diferencia </w:t>
            </w:r>
            <w:r w:rsidR="00721300" w:rsidRPr="004749ED">
              <w:t>entre los Planes Estratégico y Opera</w:t>
            </w:r>
            <w:r w:rsidR="008D7956" w:rsidRPr="004749ED">
              <w:t>cionales</w:t>
            </w:r>
            <w:r w:rsidR="00721300" w:rsidRPr="004749ED">
              <w:t xml:space="preserve">, ofreciendo a los Sectores y a la Secretaría General la posibilidad de </w:t>
            </w:r>
            <w:r w:rsidR="008D7956" w:rsidRPr="004749ED">
              <w:t>mostrar</w:t>
            </w:r>
            <w:r w:rsidR="00721300" w:rsidRPr="004749ED">
              <w:t xml:space="preserve"> su labor concreta</w:t>
            </w:r>
            <w:r w:rsidR="008D7956" w:rsidRPr="004749ED">
              <w:t>.</w:t>
            </w:r>
            <w:bookmarkEnd w:id="29"/>
          </w:p>
        </w:tc>
      </w:tr>
      <w:tr w:rsidR="001F20C2" w:rsidRPr="004749ED" w14:paraId="6CB029A9" w14:textId="77777777" w:rsidTr="00CC21A2">
        <w:trPr>
          <w:trHeight w:val="1160"/>
        </w:trPr>
        <w:tc>
          <w:tcPr>
            <w:tcW w:w="4815" w:type="dxa"/>
            <w:hideMark/>
          </w:tcPr>
          <w:p w14:paraId="0CDBB57A" w14:textId="2B809559" w:rsidR="001F20C2" w:rsidRPr="004749ED" w:rsidRDefault="001F20C2" w:rsidP="00133F3B">
            <w:pPr>
              <w:pStyle w:val="Tabletext"/>
              <w:tabs>
                <w:tab w:val="left" w:pos="281"/>
              </w:tabs>
              <w:ind w:left="281" w:hanging="281"/>
              <w:rPr>
                <w:b/>
                <w:bCs/>
                <w:highlight w:val="green"/>
              </w:rPr>
            </w:pPr>
            <w:r w:rsidRPr="004749ED">
              <w:rPr>
                <w:b/>
                <w:bCs/>
              </w:rPr>
              <w:lastRenderedPageBreak/>
              <w:t>4</w:t>
            </w:r>
            <w:bookmarkStart w:id="30" w:name="lt_pId076"/>
            <w:r w:rsidR="00133F3B" w:rsidRPr="004749ED">
              <w:rPr>
                <w:b/>
                <w:bCs/>
              </w:rPr>
              <w:tab/>
            </w:r>
            <w:bookmarkEnd w:id="30"/>
            <w:r w:rsidR="00133F3B" w:rsidRPr="004749ED">
              <w:rPr>
                <w:b/>
                <w:bCs/>
              </w:rPr>
              <w:t>Visión y misión</w:t>
            </w:r>
          </w:p>
          <w:p w14:paraId="63CDC8B5" w14:textId="6A51F382" w:rsidR="001F20C2" w:rsidRPr="004749ED" w:rsidRDefault="00133F3B" w:rsidP="00133F3B">
            <w:pPr>
              <w:pStyle w:val="Tabletext"/>
              <w:tabs>
                <w:tab w:val="left" w:pos="281"/>
              </w:tabs>
              <w:ind w:left="281" w:hanging="281"/>
            </w:pPr>
            <w:bookmarkStart w:id="31" w:name="lt_pId077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bookmarkEnd w:id="31"/>
            <w:r w:rsidRPr="004749ED">
              <w:rPr>
                <w:lang w:eastAsia="en-GB"/>
              </w:rPr>
              <w:t xml:space="preserve">Solicitar a la </w:t>
            </w:r>
            <w:r w:rsidR="00721300" w:rsidRPr="004749ED">
              <w:rPr>
                <w:lang w:eastAsia="en-GB"/>
              </w:rPr>
              <w:t>S</w:t>
            </w:r>
            <w:r w:rsidRPr="004749ED">
              <w:rPr>
                <w:lang w:eastAsia="en-GB"/>
              </w:rPr>
              <w:t xml:space="preserve">ecretaría que recopile nuevas contribuciones de </w:t>
            </w:r>
            <w:r w:rsidR="00721300" w:rsidRPr="004749ED">
              <w:rPr>
                <w:lang w:eastAsia="en-GB"/>
              </w:rPr>
              <w:t xml:space="preserve">los </w:t>
            </w:r>
            <w:r w:rsidRPr="004749ED">
              <w:rPr>
                <w:lang w:eastAsia="en-GB"/>
              </w:rPr>
              <w:t>miembros del GTC-PEF, con vistas a una posible modificación de la redacción, en consonancia con el ámbito</w:t>
            </w:r>
            <w:r w:rsidR="00721300" w:rsidRPr="004749ED">
              <w:rPr>
                <w:lang w:eastAsia="en-GB"/>
              </w:rPr>
              <w:t xml:space="preserve"> de competencia</w:t>
            </w:r>
            <w:r w:rsidRPr="004749ED">
              <w:rPr>
                <w:lang w:eastAsia="en-GB"/>
              </w:rPr>
              <w:t xml:space="preserve"> y mandato de la UIT, y habida cuenta de la persistente brecha digital y el papel de la UIT en la ampliación de la conectividad a escala mundial y el uso de las telecomunicaciones/TIC en favor del desarrollo social, económico y ambientalmente sostenible.</w:t>
            </w:r>
          </w:p>
        </w:tc>
        <w:tc>
          <w:tcPr>
            <w:tcW w:w="4961" w:type="dxa"/>
            <w:hideMark/>
          </w:tcPr>
          <w:p w14:paraId="6899BB37" w14:textId="0B31439F" w:rsidR="001F20C2" w:rsidRPr="00C74D6D" w:rsidRDefault="00133F3B" w:rsidP="00265A7F">
            <w:pPr>
              <w:pStyle w:val="Tabletext"/>
              <w:tabs>
                <w:tab w:val="left" w:pos="281"/>
              </w:tabs>
              <w:ind w:left="281" w:hanging="281"/>
            </w:pPr>
            <w:bookmarkStart w:id="32" w:name="lt_pId078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r w:rsidR="00FD1C6C" w:rsidRPr="004749ED">
              <w:rPr>
                <w:lang w:eastAsia="en-GB"/>
              </w:rPr>
              <w:t xml:space="preserve">Se han </w:t>
            </w:r>
            <w:r w:rsidR="00EF7192" w:rsidRPr="004749ED">
              <w:rPr>
                <w:lang w:eastAsia="en-GB"/>
              </w:rPr>
              <w:t xml:space="preserve">presentado </w:t>
            </w:r>
            <w:r w:rsidR="008D7956" w:rsidRPr="004749ED">
              <w:rPr>
                <w:lang w:eastAsia="en-GB"/>
              </w:rPr>
              <w:t>posibles</w:t>
            </w:r>
            <w:r w:rsidR="00721300" w:rsidRPr="004749ED">
              <w:rPr>
                <w:lang w:eastAsia="en-GB"/>
              </w:rPr>
              <w:t xml:space="preserve"> alternativas para la Visión y la Misión</w:t>
            </w:r>
            <w:r w:rsidR="00EF7192" w:rsidRPr="004749ED">
              <w:rPr>
                <w:lang w:eastAsia="en-GB"/>
              </w:rPr>
              <w:t xml:space="preserve"> que refleja</w:t>
            </w:r>
            <w:r w:rsidR="00721300" w:rsidRPr="004749ED">
              <w:rPr>
                <w:lang w:eastAsia="en-GB"/>
              </w:rPr>
              <w:t>n el mandato de la</w:t>
            </w:r>
            <w:r w:rsidR="007810AA" w:rsidRPr="004749ED">
              <w:rPr>
                <w:lang w:eastAsia="en-GB"/>
              </w:rPr>
              <w:t> </w:t>
            </w:r>
            <w:r w:rsidR="00721300" w:rsidRPr="004749ED">
              <w:rPr>
                <w:lang w:eastAsia="en-GB"/>
              </w:rPr>
              <w:t>UIT y simplifi</w:t>
            </w:r>
            <w:r w:rsidR="00EF7192" w:rsidRPr="004749ED">
              <w:rPr>
                <w:lang w:eastAsia="en-GB"/>
              </w:rPr>
              <w:t>can</w:t>
            </w:r>
            <w:r w:rsidR="00721300" w:rsidRPr="004749ED">
              <w:rPr>
                <w:lang w:eastAsia="en-GB"/>
              </w:rPr>
              <w:t xml:space="preserve"> la definición </w:t>
            </w:r>
            <w:bookmarkEnd w:id="32"/>
          </w:p>
        </w:tc>
      </w:tr>
      <w:tr w:rsidR="001F20C2" w:rsidRPr="004749ED" w14:paraId="3B1C5531" w14:textId="77777777" w:rsidTr="00CC21A2">
        <w:trPr>
          <w:trHeight w:val="1160"/>
        </w:trPr>
        <w:tc>
          <w:tcPr>
            <w:tcW w:w="4815" w:type="dxa"/>
            <w:hideMark/>
          </w:tcPr>
          <w:p w14:paraId="3D3B1BD3" w14:textId="0C3B3AEE" w:rsidR="001F20C2" w:rsidRPr="004749ED" w:rsidRDefault="001F20C2" w:rsidP="00EA5260">
            <w:pPr>
              <w:pStyle w:val="Tabletext"/>
              <w:tabs>
                <w:tab w:val="left" w:pos="281"/>
              </w:tabs>
              <w:ind w:left="281" w:hanging="281"/>
              <w:rPr>
                <w:b/>
                <w:bCs/>
              </w:rPr>
            </w:pPr>
            <w:r w:rsidRPr="004749ED">
              <w:rPr>
                <w:b/>
                <w:bCs/>
              </w:rPr>
              <w:t>5</w:t>
            </w:r>
            <w:r w:rsidR="00133F3B" w:rsidRPr="004749ED">
              <w:rPr>
                <w:b/>
                <w:bCs/>
              </w:rPr>
              <w:tab/>
            </w:r>
            <w:proofErr w:type="gramStart"/>
            <w:r w:rsidR="00133F3B" w:rsidRPr="004749ED">
              <w:rPr>
                <w:b/>
                <w:bCs/>
              </w:rPr>
              <w:t>Metas</w:t>
            </w:r>
            <w:proofErr w:type="gramEnd"/>
          </w:p>
          <w:p w14:paraId="1FA748FE" w14:textId="292EC852" w:rsidR="001F20C2" w:rsidRPr="004749ED" w:rsidRDefault="00133F3B" w:rsidP="00EA5260">
            <w:pPr>
              <w:pStyle w:val="Tabletext"/>
              <w:tabs>
                <w:tab w:val="left" w:pos="281"/>
              </w:tabs>
              <w:ind w:left="281" w:hanging="281"/>
            </w:pPr>
            <w:bookmarkStart w:id="33" w:name="lt_pId081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bookmarkEnd w:id="33"/>
            <w:r w:rsidRPr="004749ED">
              <w:rPr>
                <w:rFonts w:cs="Calibri"/>
                <w:lang w:eastAsia="en-GB"/>
              </w:rPr>
              <w:t>Habida cuenta de los resultados de la consulta en línea y las contribuciones al GTC-PEF, solicitar a la Secretaría que recopile nuevas contribuciones de los miembros y analice con más detenimiento la posibilidad de mantener, ajustar o agrupar las metas vigentes, así como sus repercusiones, teniendo presentes tanto los debates en curso relacionados con la Visión y la Misión, como la Constitución y el Convenio de la UIT.</w:t>
            </w:r>
          </w:p>
        </w:tc>
        <w:tc>
          <w:tcPr>
            <w:tcW w:w="4961" w:type="dxa"/>
            <w:hideMark/>
          </w:tcPr>
          <w:p w14:paraId="6FA7FBDB" w14:textId="11BE6C23" w:rsidR="001F20C2" w:rsidRPr="004749ED" w:rsidRDefault="00133F3B" w:rsidP="00133F3B">
            <w:pPr>
              <w:pStyle w:val="Tabletext"/>
              <w:tabs>
                <w:tab w:val="left" w:pos="281"/>
              </w:tabs>
              <w:ind w:left="281" w:hanging="281"/>
            </w:pPr>
            <w:bookmarkStart w:id="34" w:name="lt_pId082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r w:rsidR="008D7956" w:rsidRPr="004749ED">
              <w:rPr>
                <w:lang w:eastAsia="en-GB"/>
              </w:rPr>
              <w:t xml:space="preserve">Se propone la </w:t>
            </w:r>
            <w:r w:rsidR="00F13AF9" w:rsidRPr="004749ED">
              <w:t xml:space="preserve">consolidación y </w:t>
            </w:r>
            <w:r w:rsidR="008D7956" w:rsidRPr="004749ED">
              <w:t>el perfeccionamiento</w:t>
            </w:r>
            <w:r w:rsidR="00F13AF9" w:rsidRPr="004749ED">
              <w:t xml:space="preserve"> de las metas estratégicas de modo que reflejen mejor la Visión y la Misión de la UIT</w:t>
            </w:r>
            <w:r w:rsidR="001F20C2" w:rsidRPr="004749ED">
              <w:t>.</w:t>
            </w:r>
            <w:bookmarkEnd w:id="34"/>
          </w:p>
          <w:p w14:paraId="1A75FA9F" w14:textId="5E80393E" w:rsidR="001F20C2" w:rsidRPr="00C74D6D" w:rsidRDefault="00133F3B" w:rsidP="00265A7F">
            <w:pPr>
              <w:pStyle w:val="Tabletext"/>
              <w:tabs>
                <w:tab w:val="left" w:pos="281"/>
              </w:tabs>
              <w:ind w:left="281" w:hanging="281"/>
            </w:pPr>
            <w:bookmarkStart w:id="35" w:name="lt_pId083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r w:rsidR="00F13AF9" w:rsidRPr="004749ED">
              <w:t xml:space="preserve">Su finalidad es reforzar las sinergias y </w:t>
            </w:r>
            <w:r w:rsidR="00786B3C" w:rsidRPr="004749ED">
              <w:t>establecer</w:t>
            </w:r>
            <w:r w:rsidR="00F13AF9" w:rsidRPr="004749ED">
              <w:t xml:space="preserve"> met</w:t>
            </w:r>
            <w:r w:rsidR="00C41736" w:rsidRPr="004749ED">
              <w:t xml:space="preserve">as que: i) se correspondan y </w:t>
            </w:r>
            <w:r w:rsidR="00F13AF9" w:rsidRPr="004749ED">
              <w:t xml:space="preserve">armonicen con la Visión y la Misión de la UIT, </w:t>
            </w:r>
            <w:proofErr w:type="spellStart"/>
            <w:r w:rsidR="00F13AF9" w:rsidRPr="004749ED">
              <w:t>ii</w:t>
            </w:r>
            <w:proofErr w:type="spellEnd"/>
            <w:r w:rsidR="00F13AF9" w:rsidRPr="004749ED">
              <w:t xml:space="preserve">) sean mutuamente excluyentes y colectivamente exhaustivas, y </w:t>
            </w:r>
            <w:proofErr w:type="spellStart"/>
            <w:r w:rsidR="00F13AF9" w:rsidRPr="004749ED">
              <w:t>iii</w:t>
            </w:r>
            <w:proofErr w:type="spellEnd"/>
            <w:r w:rsidR="00F13AF9" w:rsidRPr="004749ED">
              <w:t xml:space="preserve">) se centren en la </w:t>
            </w:r>
            <w:r w:rsidR="00786B3C" w:rsidRPr="004749ED">
              <w:t>incidencia</w:t>
            </w:r>
            <w:r w:rsidR="00F13AF9" w:rsidRPr="004749ED">
              <w:t xml:space="preserve"> de la UIT, </w:t>
            </w:r>
            <w:r w:rsidR="005770AD" w:rsidRPr="004749ED">
              <w:t xml:space="preserve">por oposición a </w:t>
            </w:r>
            <w:r w:rsidR="00F13AF9" w:rsidRPr="004749ED">
              <w:t>los factores habilitadores de la organización</w:t>
            </w:r>
            <w:bookmarkEnd w:id="35"/>
            <w:r w:rsidR="0038073E" w:rsidRPr="004749ED">
              <w:t>.</w:t>
            </w:r>
          </w:p>
        </w:tc>
      </w:tr>
      <w:tr w:rsidR="001F20C2" w:rsidRPr="004749ED" w14:paraId="47074188" w14:textId="77777777" w:rsidTr="00CC21A2">
        <w:trPr>
          <w:trHeight w:val="557"/>
        </w:trPr>
        <w:tc>
          <w:tcPr>
            <w:tcW w:w="4815" w:type="dxa"/>
            <w:hideMark/>
          </w:tcPr>
          <w:p w14:paraId="48FD11D1" w14:textId="22BB1653" w:rsidR="001F20C2" w:rsidRPr="004749ED" w:rsidRDefault="001F20C2" w:rsidP="00EA5260">
            <w:pPr>
              <w:pStyle w:val="Tabletext"/>
              <w:tabs>
                <w:tab w:val="left" w:pos="281"/>
              </w:tabs>
              <w:ind w:left="281" w:hanging="281"/>
              <w:rPr>
                <w:b/>
                <w:bCs/>
              </w:rPr>
            </w:pPr>
            <w:r w:rsidRPr="004749ED">
              <w:rPr>
                <w:b/>
                <w:bCs/>
              </w:rPr>
              <w:t>6</w:t>
            </w:r>
            <w:r w:rsidR="00CA696A" w:rsidRPr="004749ED">
              <w:rPr>
                <w:b/>
                <w:bCs/>
              </w:rPr>
              <w:tab/>
            </w:r>
            <w:proofErr w:type="gramStart"/>
            <w:r w:rsidR="00133F3B" w:rsidRPr="004749ED">
              <w:rPr>
                <w:b/>
                <w:bCs/>
              </w:rPr>
              <w:t>Finalidades</w:t>
            </w:r>
            <w:proofErr w:type="gramEnd"/>
          </w:p>
          <w:p w14:paraId="2FA150AD" w14:textId="2B23F119" w:rsidR="001F20C2" w:rsidRPr="004749ED" w:rsidRDefault="00133F3B" w:rsidP="00EA5260">
            <w:pPr>
              <w:pStyle w:val="Tabletext"/>
              <w:tabs>
                <w:tab w:val="left" w:pos="390"/>
              </w:tabs>
              <w:ind w:left="390" w:hanging="390"/>
            </w:pPr>
            <w:bookmarkStart w:id="36" w:name="lt_pId086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bookmarkEnd w:id="36"/>
            <w:r w:rsidR="00137369" w:rsidRPr="004749ED">
              <w:rPr>
                <w:rFonts w:cs="Calibri"/>
                <w:lang w:eastAsia="en-GB"/>
              </w:rPr>
              <w:t xml:space="preserve">Solicitar a la </w:t>
            </w:r>
            <w:r w:rsidR="009852E9" w:rsidRPr="004749ED">
              <w:rPr>
                <w:rFonts w:cs="Calibri"/>
                <w:lang w:eastAsia="en-GB"/>
              </w:rPr>
              <w:t>S</w:t>
            </w:r>
            <w:r w:rsidR="00137369" w:rsidRPr="004749ED">
              <w:rPr>
                <w:rFonts w:cs="Calibri"/>
                <w:lang w:eastAsia="en-GB"/>
              </w:rPr>
              <w:t xml:space="preserve">ecretaría que aporte </w:t>
            </w:r>
            <w:r w:rsidR="00137369" w:rsidRPr="004749ED">
              <w:t>contribuciones</w:t>
            </w:r>
            <w:r w:rsidR="00137369" w:rsidRPr="004749ED">
              <w:rPr>
                <w:rFonts w:cs="Calibri"/>
                <w:lang w:eastAsia="en-GB"/>
              </w:rPr>
              <w:t xml:space="preserve"> con miras a la revisión de las finalidades vigentes, conforme a las enseñanzas extraídas, considerando de lo siguiente: las finalidades deben ser específicas, medibles, orientadas a la acción, realistas y limitadas en el tiempo (SMART, por sus siglas en inglés); las finalidades deben tener en cuenta las diferencias en términos regionales y de desarrollo.</w:t>
            </w:r>
          </w:p>
        </w:tc>
        <w:tc>
          <w:tcPr>
            <w:tcW w:w="4961" w:type="dxa"/>
            <w:hideMark/>
          </w:tcPr>
          <w:p w14:paraId="5AA0B6D7" w14:textId="1FF4AE50" w:rsidR="001F20C2" w:rsidRPr="004749ED" w:rsidRDefault="00133F3B" w:rsidP="00EA5260">
            <w:pPr>
              <w:pStyle w:val="Tabletext"/>
              <w:tabs>
                <w:tab w:val="left" w:pos="281"/>
              </w:tabs>
              <w:ind w:left="281" w:hanging="281"/>
            </w:pPr>
            <w:bookmarkStart w:id="37" w:name="lt_pId087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r w:rsidR="00C51679" w:rsidRPr="004749ED">
              <w:rPr>
                <w:lang w:eastAsia="en-GB"/>
              </w:rPr>
              <w:t xml:space="preserve">Se revisaron </w:t>
            </w:r>
            <w:r w:rsidR="009852E9" w:rsidRPr="004749ED">
              <w:t xml:space="preserve">las finalidades </w:t>
            </w:r>
            <w:r w:rsidR="00C51679" w:rsidRPr="004749ED">
              <w:t xml:space="preserve">al objeto de asegurar </w:t>
            </w:r>
            <w:r w:rsidR="009852E9" w:rsidRPr="004749ED">
              <w:t xml:space="preserve">que reflejen las ambiciones de la UIT </w:t>
            </w:r>
            <w:r w:rsidR="00786B3C" w:rsidRPr="004749ED">
              <w:t>respecto de</w:t>
            </w:r>
            <w:r w:rsidR="009852E9" w:rsidRPr="004749ED">
              <w:t xml:space="preserve"> la Agenda 2030 y su contribución a la aplicación de las Líneas de Acción de la CMSI</w:t>
            </w:r>
            <w:r w:rsidR="00C51679" w:rsidRPr="004749ED">
              <w:t>.</w:t>
            </w:r>
            <w:bookmarkEnd w:id="37"/>
          </w:p>
          <w:p w14:paraId="62934692" w14:textId="57FCC3EB" w:rsidR="001F20C2" w:rsidRPr="004749ED" w:rsidRDefault="00133F3B" w:rsidP="00EA5260">
            <w:pPr>
              <w:pStyle w:val="Tabletext"/>
              <w:tabs>
                <w:tab w:val="left" w:pos="281"/>
              </w:tabs>
              <w:ind w:left="281" w:hanging="281"/>
            </w:pPr>
            <w:bookmarkStart w:id="38" w:name="lt_pId088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r w:rsidR="00C51679" w:rsidRPr="004749ED">
              <w:rPr>
                <w:lang w:eastAsia="en-GB"/>
              </w:rPr>
              <w:t xml:space="preserve">Se introdujeron </w:t>
            </w:r>
            <w:r w:rsidR="009852E9" w:rsidRPr="004749ED">
              <w:t xml:space="preserve">indicadores de finalidad SMART en el marco de resultados </w:t>
            </w:r>
            <w:r w:rsidR="00C51679" w:rsidRPr="004749ED">
              <w:t>y se crearon</w:t>
            </w:r>
            <w:r w:rsidR="009852E9" w:rsidRPr="004749ED">
              <w:t xml:space="preserve"> subindicadores para perfeccionar la medición por región/nivel de desarrollo/género, etc</w:t>
            </w:r>
            <w:r w:rsidR="001F20C2" w:rsidRPr="004749ED">
              <w:t>.</w:t>
            </w:r>
            <w:bookmarkEnd w:id="38"/>
          </w:p>
        </w:tc>
      </w:tr>
      <w:tr w:rsidR="001F20C2" w:rsidRPr="004749ED" w14:paraId="32E8E4C5" w14:textId="77777777" w:rsidTr="00CC21A2">
        <w:trPr>
          <w:trHeight w:val="870"/>
        </w:trPr>
        <w:tc>
          <w:tcPr>
            <w:tcW w:w="4815" w:type="dxa"/>
            <w:hideMark/>
          </w:tcPr>
          <w:p w14:paraId="7C69C6DC" w14:textId="61FE3A83" w:rsidR="001F20C2" w:rsidRPr="004749ED" w:rsidRDefault="001F20C2" w:rsidP="002630AF">
            <w:pPr>
              <w:pStyle w:val="Tabletext"/>
              <w:tabs>
                <w:tab w:val="left" w:pos="281"/>
              </w:tabs>
              <w:ind w:left="281" w:hanging="281"/>
              <w:rPr>
                <w:b/>
                <w:bCs/>
              </w:rPr>
            </w:pPr>
            <w:r w:rsidRPr="004749ED">
              <w:rPr>
                <w:b/>
                <w:bCs/>
              </w:rPr>
              <w:t>7</w:t>
            </w:r>
            <w:r w:rsidR="00137369" w:rsidRPr="004749ED">
              <w:rPr>
                <w:b/>
                <w:bCs/>
              </w:rPr>
              <w:tab/>
            </w:r>
            <w:proofErr w:type="gramStart"/>
            <w:r w:rsidR="00137369" w:rsidRPr="004749ED">
              <w:rPr>
                <w:b/>
                <w:bCs/>
              </w:rPr>
              <w:t>Presencia</w:t>
            </w:r>
            <w:proofErr w:type="gramEnd"/>
            <w:r w:rsidR="00137369" w:rsidRPr="004749ED">
              <w:rPr>
                <w:b/>
                <w:bCs/>
              </w:rPr>
              <w:t xml:space="preserve"> regional</w:t>
            </w:r>
          </w:p>
          <w:p w14:paraId="00FED891" w14:textId="03429FDB" w:rsidR="001F20C2" w:rsidRPr="004749ED" w:rsidRDefault="00133F3B" w:rsidP="002630AF">
            <w:pPr>
              <w:pStyle w:val="Tabletext"/>
              <w:tabs>
                <w:tab w:val="left" w:pos="281"/>
              </w:tabs>
              <w:ind w:left="281" w:hanging="281"/>
            </w:pPr>
            <w:bookmarkStart w:id="39" w:name="lt_pId091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r w:rsidR="00137369" w:rsidRPr="004749ED">
              <w:t xml:space="preserve">Acordar que el papel de la presencia regional de la UIT debe reflejarse en el nuevo </w:t>
            </w:r>
            <w:r w:rsidR="009852E9" w:rsidRPr="004749ED">
              <w:t>P</w:t>
            </w:r>
            <w:r w:rsidR="00137369" w:rsidRPr="004749ED">
              <w:t xml:space="preserve">lan </w:t>
            </w:r>
            <w:r w:rsidR="009852E9" w:rsidRPr="004749ED">
              <w:t>E</w:t>
            </w:r>
            <w:r w:rsidR="00137369" w:rsidRPr="004749ED">
              <w:t>stratégico.</w:t>
            </w:r>
            <w:bookmarkEnd w:id="39"/>
          </w:p>
          <w:p w14:paraId="4BC6E2DB" w14:textId="39F5CF93" w:rsidR="001F20C2" w:rsidRPr="004749ED" w:rsidRDefault="00133F3B" w:rsidP="002A1C56">
            <w:pPr>
              <w:pStyle w:val="Tabletext"/>
              <w:keepLines/>
              <w:tabs>
                <w:tab w:val="left" w:pos="281"/>
              </w:tabs>
              <w:ind w:left="284" w:hanging="284"/>
            </w:pPr>
            <w:bookmarkStart w:id="40" w:name="lt_pId092"/>
            <w:r w:rsidRPr="004749ED">
              <w:rPr>
                <w:lang w:eastAsia="en-GB"/>
              </w:rPr>
              <w:lastRenderedPageBreak/>
              <w:t>–</w:t>
            </w:r>
            <w:r w:rsidRPr="004749ED">
              <w:rPr>
                <w:lang w:eastAsia="en-GB"/>
              </w:rPr>
              <w:tab/>
            </w:r>
            <w:bookmarkEnd w:id="40"/>
            <w:r w:rsidR="00137369" w:rsidRPr="004749ED">
              <w:t xml:space="preserve">Dar seguimiento a las discusiones en curso entre los Estados Miembros e integrar las conclusiones sobre el papel de la presencia regional de la UIT en el nuevo </w:t>
            </w:r>
            <w:r w:rsidR="009852E9" w:rsidRPr="004749ED">
              <w:t>P</w:t>
            </w:r>
            <w:r w:rsidR="00137369" w:rsidRPr="004749ED">
              <w:t xml:space="preserve">lan </w:t>
            </w:r>
            <w:r w:rsidR="009852E9" w:rsidRPr="004749ED">
              <w:t>E</w:t>
            </w:r>
            <w:r w:rsidR="00137369" w:rsidRPr="004749ED">
              <w:t>stratégico, teniendo presentes la Constitución y el Convenio de la UIT.</w:t>
            </w:r>
          </w:p>
        </w:tc>
        <w:tc>
          <w:tcPr>
            <w:tcW w:w="4961" w:type="dxa"/>
            <w:hideMark/>
          </w:tcPr>
          <w:p w14:paraId="27F9BD88" w14:textId="64387503" w:rsidR="001F20C2" w:rsidRPr="00C74D6D" w:rsidRDefault="00133F3B" w:rsidP="00265A7F">
            <w:pPr>
              <w:pStyle w:val="Tabletext"/>
              <w:tabs>
                <w:tab w:val="left" w:pos="281"/>
              </w:tabs>
              <w:ind w:left="281" w:hanging="281"/>
            </w:pPr>
            <w:bookmarkStart w:id="41" w:name="lt_pId093"/>
            <w:r w:rsidRPr="00C74D6D">
              <w:rPr>
                <w:lang w:eastAsia="en-GB"/>
              </w:rPr>
              <w:lastRenderedPageBreak/>
              <w:t>–</w:t>
            </w:r>
            <w:r w:rsidRPr="004749ED">
              <w:rPr>
                <w:lang w:eastAsia="en-GB"/>
              </w:rPr>
              <w:tab/>
            </w:r>
            <w:r w:rsidR="00B7616C" w:rsidRPr="004749ED">
              <w:t xml:space="preserve">Se ha resaltado la importancia de la presencia regional de la UIT en el Plan Estratégico, incorporándola como factor habilitador </w:t>
            </w:r>
            <w:bookmarkEnd w:id="41"/>
          </w:p>
        </w:tc>
      </w:tr>
      <w:tr w:rsidR="001F20C2" w:rsidRPr="004749ED" w14:paraId="2211E2B7" w14:textId="77777777" w:rsidTr="00137369">
        <w:trPr>
          <w:trHeight w:val="551"/>
        </w:trPr>
        <w:tc>
          <w:tcPr>
            <w:tcW w:w="4815" w:type="dxa"/>
            <w:hideMark/>
          </w:tcPr>
          <w:p w14:paraId="2B9D35A8" w14:textId="3726C6B7" w:rsidR="001F20C2" w:rsidRPr="004749ED" w:rsidRDefault="001F20C2" w:rsidP="00133F3B">
            <w:pPr>
              <w:pStyle w:val="Tabletext"/>
              <w:tabs>
                <w:tab w:val="left" w:pos="281"/>
              </w:tabs>
              <w:ind w:left="281" w:hanging="281"/>
              <w:rPr>
                <w:b/>
                <w:bCs/>
              </w:rPr>
            </w:pPr>
            <w:r w:rsidRPr="004749ED">
              <w:rPr>
                <w:b/>
                <w:bCs/>
              </w:rPr>
              <w:t>8</w:t>
            </w:r>
            <w:bookmarkStart w:id="42" w:name="lt_pId095"/>
            <w:r w:rsidR="00137369" w:rsidRPr="004749ED">
              <w:rPr>
                <w:b/>
                <w:bCs/>
              </w:rPr>
              <w:tab/>
            </w:r>
            <w:proofErr w:type="gramStart"/>
            <w:r w:rsidR="00137369" w:rsidRPr="004749ED">
              <w:rPr>
                <w:b/>
                <w:bCs/>
              </w:rPr>
              <w:t>Vinculación</w:t>
            </w:r>
            <w:proofErr w:type="gramEnd"/>
            <w:r w:rsidR="00137369" w:rsidRPr="004749ED">
              <w:rPr>
                <w:b/>
                <w:bCs/>
              </w:rPr>
              <w:t xml:space="preserve"> con el Plan Financiero</w:t>
            </w:r>
            <w:bookmarkEnd w:id="42"/>
          </w:p>
          <w:p w14:paraId="33E21FE2" w14:textId="335F08EA" w:rsidR="001F20C2" w:rsidRPr="004749ED" w:rsidRDefault="00133F3B" w:rsidP="002630AF">
            <w:pPr>
              <w:pStyle w:val="Tabletext"/>
              <w:ind w:left="313" w:hanging="313"/>
              <w:rPr>
                <w:rFonts w:cs="Calibri"/>
                <w:lang w:eastAsia="en-GB"/>
              </w:rPr>
            </w:pPr>
            <w:bookmarkStart w:id="43" w:name="lt_pId096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bookmarkEnd w:id="43"/>
            <w:r w:rsidR="00137369" w:rsidRPr="004749ED">
              <w:rPr>
                <w:rFonts w:cs="Calibri"/>
                <w:lang w:eastAsia="en-GB"/>
              </w:rPr>
              <w:t xml:space="preserve">Solicitar a la </w:t>
            </w:r>
            <w:r w:rsidR="009852E9" w:rsidRPr="004749ED">
              <w:rPr>
                <w:rFonts w:cs="Calibri"/>
                <w:lang w:eastAsia="en-GB"/>
              </w:rPr>
              <w:t>S</w:t>
            </w:r>
            <w:r w:rsidR="00137369" w:rsidRPr="004749ED">
              <w:rPr>
                <w:rFonts w:cs="Calibri"/>
                <w:lang w:eastAsia="en-GB"/>
              </w:rPr>
              <w:t xml:space="preserve">ecretaría que tenga en cuenta los siguientes principios a la hora de concebir los vínculos entre los </w:t>
            </w:r>
            <w:r w:rsidR="009852E9" w:rsidRPr="004749ED">
              <w:rPr>
                <w:rFonts w:cs="Calibri"/>
                <w:lang w:eastAsia="en-GB"/>
              </w:rPr>
              <w:t>P</w:t>
            </w:r>
            <w:r w:rsidR="00137369" w:rsidRPr="004749ED">
              <w:rPr>
                <w:rFonts w:cs="Calibri"/>
                <w:lang w:eastAsia="en-GB"/>
              </w:rPr>
              <w:t xml:space="preserve">lanes </w:t>
            </w:r>
            <w:r w:rsidR="009852E9" w:rsidRPr="004749ED">
              <w:rPr>
                <w:rFonts w:cs="Calibri"/>
                <w:lang w:eastAsia="en-GB"/>
              </w:rPr>
              <w:t>E</w:t>
            </w:r>
            <w:r w:rsidR="00137369" w:rsidRPr="004749ED">
              <w:rPr>
                <w:rFonts w:cs="Calibri"/>
                <w:lang w:eastAsia="en-GB"/>
              </w:rPr>
              <w:t xml:space="preserve">stratégico y </w:t>
            </w:r>
            <w:r w:rsidR="009852E9" w:rsidRPr="004749ED">
              <w:rPr>
                <w:rFonts w:cs="Calibri"/>
                <w:lang w:eastAsia="en-GB"/>
              </w:rPr>
              <w:t>F</w:t>
            </w:r>
            <w:r w:rsidR="00137369" w:rsidRPr="004749ED">
              <w:rPr>
                <w:rFonts w:cs="Calibri"/>
                <w:lang w:eastAsia="en-GB"/>
              </w:rPr>
              <w:t xml:space="preserve">inanciero: </w:t>
            </w:r>
            <w:bookmarkStart w:id="44" w:name="lt_pId241"/>
            <w:r w:rsidR="00137369" w:rsidRPr="004749ED">
              <w:rPr>
                <w:rFonts w:cs="Calibri"/>
                <w:lang w:eastAsia="en-GB"/>
              </w:rPr>
              <w:t xml:space="preserve">a) Vinculación directa entre las prioridades estratégicas, incluidos los temas transversales, y la atribución de recursos financieros y humanos. </w:t>
            </w:r>
            <w:bookmarkEnd w:id="44"/>
            <w:r w:rsidR="00137369" w:rsidRPr="004749ED">
              <w:rPr>
                <w:rFonts w:cs="Calibri"/>
                <w:lang w:eastAsia="en-GB"/>
              </w:rPr>
              <w:t>b) No debe quedar ningún componente sin financiar.</w:t>
            </w:r>
          </w:p>
          <w:p w14:paraId="49202A93" w14:textId="3EE86D90" w:rsidR="00137369" w:rsidRPr="004749ED" w:rsidRDefault="00137369" w:rsidP="002630AF">
            <w:pPr>
              <w:pStyle w:val="Tabletext"/>
              <w:ind w:left="313" w:hanging="313"/>
            </w:pPr>
            <w:r w:rsidRPr="004749ED">
              <w:tab/>
              <w:t xml:space="preserve">(véase también la solicitud de aclaración </w:t>
            </w:r>
            <w:r w:rsidR="005A2765" w:rsidRPr="004749ED">
              <w:t>en el punto 3</w:t>
            </w:r>
            <w:r w:rsidRPr="004749ED">
              <w:t>, relativa a la posibilidad de flexibilizar el mecanismo de atribución de recursos entre los Sectores)</w:t>
            </w:r>
            <w:r w:rsidR="002630AF" w:rsidRPr="004749ED">
              <w:t>.</w:t>
            </w:r>
          </w:p>
        </w:tc>
        <w:tc>
          <w:tcPr>
            <w:tcW w:w="4961" w:type="dxa"/>
            <w:hideMark/>
          </w:tcPr>
          <w:p w14:paraId="720E1A3F" w14:textId="75C003DA" w:rsidR="001F20C2" w:rsidRPr="004749ED" w:rsidRDefault="00133F3B">
            <w:pPr>
              <w:pStyle w:val="Tabletext"/>
              <w:tabs>
                <w:tab w:val="left" w:pos="281"/>
              </w:tabs>
              <w:ind w:left="281" w:hanging="281"/>
            </w:pPr>
            <w:bookmarkStart w:id="45" w:name="lt_pId098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r w:rsidR="00B7616C" w:rsidRPr="004749ED">
              <w:t>La vinculación directa entre el Plan Estratégico y la a</w:t>
            </w:r>
            <w:r w:rsidR="00265A7F" w:rsidRPr="004749ED">
              <w:t>signac</w:t>
            </w:r>
            <w:r w:rsidR="00B7616C" w:rsidRPr="004749ED">
              <w:t xml:space="preserve">ión de recursos </w:t>
            </w:r>
            <w:r w:rsidR="00C51679" w:rsidRPr="004749ED">
              <w:t>en lo referente a las</w:t>
            </w:r>
            <w:r w:rsidR="00B7616C" w:rsidRPr="004749ED">
              <w:t xml:space="preserve"> prioridades temáticas se recogerá en el "Apéndice A. A</w:t>
            </w:r>
            <w:r w:rsidR="00265A7F" w:rsidRPr="004749ED">
              <w:t>signa</w:t>
            </w:r>
            <w:r w:rsidR="00B7616C" w:rsidRPr="004749ED">
              <w:t xml:space="preserve">ción de recursos" del Plan Estratégico, asegurando así que ningún elemento </w:t>
            </w:r>
            <w:r w:rsidR="00994C56" w:rsidRPr="004749ED">
              <w:t>quede sin financiar</w:t>
            </w:r>
            <w:r w:rsidR="00C51679" w:rsidRPr="004749ED">
              <w:t>.</w:t>
            </w:r>
            <w:bookmarkEnd w:id="45"/>
          </w:p>
        </w:tc>
      </w:tr>
      <w:tr w:rsidR="001F20C2" w:rsidRPr="004749ED" w14:paraId="006CAA89" w14:textId="77777777" w:rsidTr="00CC21A2">
        <w:trPr>
          <w:trHeight w:val="870"/>
        </w:trPr>
        <w:tc>
          <w:tcPr>
            <w:tcW w:w="4815" w:type="dxa"/>
            <w:hideMark/>
          </w:tcPr>
          <w:p w14:paraId="23335BD3" w14:textId="319EF214" w:rsidR="001F20C2" w:rsidRPr="004749ED" w:rsidRDefault="001F20C2" w:rsidP="00133F3B">
            <w:pPr>
              <w:pStyle w:val="Tabletext"/>
              <w:tabs>
                <w:tab w:val="left" w:pos="281"/>
              </w:tabs>
              <w:ind w:left="281" w:hanging="281"/>
              <w:rPr>
                <w:b/>
                <w:bCs/>
              </w:rPr>
            </w:pPr>
            <w:r w:rsidRPr="004749ED">
              <w:rPr>
                <w:b/>
                <w:bCs/>
              </w:rPr>
              <w:t>9</w:t>
            </w:r>
            <w:bookmarkStart w:id="46" w:name="lt_pId100"/>
            <w:r w:rsidR="00CA696A" w:rsidRPr="004749ED">
              <w:rPr>
                <w:b/>
                <w:bCs/>
              </w:rPr>
              <w:tab/>
            </w:r>
            <w:proofErr w:type="gramStart"/>
            <w:r w:rsidR="00CA696A" w:rsidRPr="004749ED">
              <w:rPr>
                <w:b/>
                <w:bCs/>
              </w:rPr>
              <w:t>Novedades</w:t>
            </w:r>
            <w:proofErr w:type="gramEnd"/>
            <w:r w:rsidR="00CA696A" w:rsidRPr="004749ED">
              <w:rPr>
                <w:b/>
                <w:bCs/>
              </w:rPr>
              <w:t xml:space="preserve"> a escala de las Naciones Unidas</w:t>
            </w:r>
            <w:bookmarkEnd w:id="46"/>
          </w:p>
          <w:p w14:paraId="04568339" w14:textId="6260BA87" w:rsidR="001F20C2" w:rsidRPr="004749ED" w:rsidRDefault="00133F3B" w:rsidP="00133F3B">
            <w:pPr>
              <w:pStyle w:val="Tabletext"/>
              <w:tabs>
                <w:tab w:val="left" w:pos="281"/>
              </w:tabs>
              <w:ind w:left="281" w:hanging="281"/>
            </w:pPr>
            <w:bookmarkStart w:id="47" w:name="lt_pId101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r w:rsidR="00CA696A" w:rsidRPr="004749ED">
              <w:t xml:space="preserve">Solicitar a la </w:t>
            </w:r>
            <w:r w:rsidR="00B7616C" w:rsidRPr="004749ED">
              <w:t>S</w:t>
            </w:r>
            <w:r w:rsidR="00CA696A" w:rsidRPr="004749ED">
              <w:t>ecretaría que proporcione información actualizada sobre los debates en curso a nivel de las Naciones Unidas.</w:t>
            </w:r>
            <w:bookmarkEnd w:id="47"/>
          </w:p>
          <w:p w14:paraId="05F4E5D2" w14:textId="625712FF" w:rsidR="001F20C2" w:rsidRPr="004749ED" w:rsidRDefault="00133F3B" w:rsidP="00133F3B">
            <w:pPr>
              <w:pStyle w:val="Tabletext"/>
              <w:tabs>
                <w:tab w:val="left" w:pos="281"/>
              </w:tabs>
              <w:ind w:left="281" w:hanging="281"/>
            </w:pPr>
            <w:bookmarkStart w:id="48" w:name="lt_pId102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bookmarkEnd w:id="48"/>
            <w:r w:rsidR="00CA696A" w:rsidRPr="004749ED">
              <w:t xml:space="preserve">Solicitar a la </w:t>
            </w:r>
            <w:r w:rsidR="00B7616C" w:rsidRPr="004749ED">
              <w:t>S</w:t>
            </w:r>
            <w:r w:rsidR="00CA696A" w:rsidRPr="004749ED">
              <w:t>ecretaría que aporte contribuciones para definir con mayor precisión el papel de la UIT en el sistema de las Naciones Unidas (teniendo en cuenta la Agenda 2030 y la contribución de la UIT a los ODS y al proceso de la CMSI).</w:t>
            </w:r>
          </w:p>
        </w:tc>
        <w:tc>
          <w:tcPr>
            <w:tcW w:w="4961" w:type="dxa"/>
            <w:hideMark/>
          </w:tcPr>
          <w:p w14:paraId="1F21610A" w14:textId="0C9598C4" w:rsidR="001F20C2" w:rsidRPr="004749ED" w:rsidRDefault="00133F3B" w:rsidP="00133F3B">
            <w:pPr>
              <w:pStyle w:val="Tabletext"/>
              <w:tabs>
                <w:tab w:val="left" w:pos="281"/>
              </w:tabs>
              <w:ind w:left="281" w:hanging="281"/>
            </w:pPr>
            <w:bookmarkStart w:id="49" w:name="lt_pId103"/>
            <w:r w:rsidRPr="00C74D6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r w:rsidR="00B7616C" w:rsidRPr="004749ED">
              <w:t xml:space="preserve">Los debates en curso a nivel de las Naciones Unidas se </w:t>
            </w:r>
            <w:r w:rsidR="00265A7F" w:rsidRPr="004749ED">
              <w:t>han recogido</w:t>
            </w:r>
            <w:r w:rsidR="00B7616C" w:rsidRPr="004749ED">
              <w:t xml:space="preserve"> en el análisis de situación</w:t>
            </w:r>
            <w:bookmarkEnd w:id="49"/>
            <w:r w:rsidR="0038073E" w:rsidRPr="004749ED">
              <w:t>.</w:t>
            </w:r>
          </w:p>
          <w:p w14:paraId="5E947580" w14:textId="7D992D27" w:rsidR="001F20C2" w:rsidRPr="00C74D6D" w:rsidRDefault="00133F3B" w:rsidP="00466094">
            <w:pPr>
              <w:pStyle w:val="Tabletext"/>
              <w:tabs>
                <w:tab w:val="left" w:pos="281"/>
              </w:tabs>
              <w:ind w:left="281" w:hanging="281"/>
            </w:pPr>
            <w:bookmarkStart w:id="50" w:name="lt_pId104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r w:rsidR="00994C56" w:rsidRPr="004749ED">
              <w:rPr>
                <w:lang w:eastAsia="en-GB"/>
              </w:rPr>
              <w:t>Se han propuesto</w:t>
            </w:r>
            <w:r w:rsidR="00B7616C" w:rsidRPr="004749ED">
              <w:t xml:space="preserve"> finalidades para 2030 </w:t>
            </w:r>
            <w:r w:rsidR="00994C56" w:rsidRPr="004749ED">
              <w:t xml:space="preserve">que </w:t>
            </w:r>
            <w:r w:rsidR="00B7616C" w:rsidRPr="004749ED">
              <w:t>ponen de manifiesto el compromiso de la UIT con la Agenda 2030 y los ODS, y destacan el papel de la UIT en el sistema de las Naciones Unidas y la aplicación de las Líneas de Acción de la CMSI</w:t>
            </w:r>
            <w:bookmarkEnd w:id="50"/>
            <w:r w:rsidR="002630AF" w:rsidRPr="004749ED">
              <w:t>.</w:t>
            </w:r>
          </w:p>
        </w:tc>
      </w:tr>
      <w:tr w:rsidR="001F20C2" w:rsidRPr="004749ED" w14:paraId="1C9EEC68" w14:textId="77777777" w:rsidTr="00CC21A2">
        <w:trPr>
          <w:trHeight w:val="1160"/>
        </w:trPr>
        <w:tc>
          <w:tcPr>
            <w:tcW w:w="4815" w:type="dxa"/>
            <w:hideMark/>
          </w:tcPr>
          <w:p w14:paraId="63D706FC" w14:textId="2B517D8A" w:rsidR="001F20C2" w:rsidRPr="004749ED" w:rsidRDefault="001F20C2" w:rsidP="00133F3B">
            <w:pPr>
              <w:pStyle w:val="Tabletext"/>
              <w:tabs>
                <w:tab w:val="left" w:pos="281"/>
              </w:tabs>
              <w:ind w:left="281" w:hanging="281"/>
              <w:rPr>
                <w:b/>
                <w:bCs/>
                <w:highlight w:val="yellow"/>
              </w:rPr>
            </w:pPr>
            <w:r w:rsidRPr="004749ED">
              <w:rPr>
                <w:b/>
                <w:bCs/>
              </w:rPr>
              <w:t>10</w:t>
            </w:r>
            <w:r w:rsidR="00CA696A" w:rsidRPr="004749ED">
              <w:rPr>
                <w:b/>
                <w:bCs/>
              </w:rPr>
              <w:tab/>
              <w:t>Marco de resultados de la UIT</w:t>
            </w:r>
          </w:p>
          <w:p w14:paraId="4B33DABF" w14:textId="6AC14264" w:rsidR="001F20C2" w:rsidRPr="004749ED" w:rsidRDefault="00133F3B">
            <w:pPr>
              <w:pStyle w:val="Tabletext"/>
              <w:tabs>
                <w:tab w:val="left" w:pos="281"/>
              </w:tabs>
              <w:ind w:left="281" w:hanging="281"/>
              <w:rPr>
                <w:highlight w:val="yellow"/>
              </w:rPr>
            </w:pPr>
            <w:bookmarkStart w:id="51" w:name="lt_pId107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bookmarkEnd w:id="51"/>
            <w:r w:rsidR="00CA696A" w:rsidRPr="004749ED">
              <w:t xml:space="preserve">Solicitar a la </w:t>
            </w:r>
            <w:r w:rsidR="00B7616C" w:rsidRPr="004749ED">
              <w:t>S</w:t>
            </w:r>
            <w:r w:rsidR="00CA696A" w:rsidRPr="004749ED">
              <w:t xml:space="preserve">ecretaría que siga desarrollando el marco de resultados de la UIT, habida cuenta de las propuestas de los miembros y considerando la necesidad de facilitar la ejecución de los </w:t>
            </w:r>
            <w:r w:rsidR="00B7616C" w:rsidRPr="004749ED">
              <w:t>P</w:t>
            </w:r>
            <w:r w:rsidR="00CA696A" w:rsidRPr="004749ED">
              <w:t xml:space="preserve">lanes </w:t>
            </w:r>
            <w:r w:rsidR="00B7616C" w:rsidRPr="004749ED">
              <w:t>E</w:t>
            </w:r>
            <w:r w:rsidR="00CA696A" w:rsidRPr="004749ED">
              <w:t xml:space="preserve">stratégico, </w:t>
            </w:r>
            <w:r w:rsidR="00B7616C" w:rsidRPr="004749ED">
              <w:t>F</w:t>
            </w:r>
            <w:r w:rsidR="00CA696A" w:rsidRPr="004749ED">
              <w:t xml:space="preserve">inanciero y </w:t>
            </w:r>
            <w:r w:rsidR="00B7616C" w:rsidRPr="004749ED">
              <w:t>O</w:t>
            </w:r>
            <w:r w:rsidR="00CA696A" w:rsidRPr="004749ED">
              <w:t>peracional y el presupuesto, y de mejorar la capacidad de los miembros de evaluar los progresos realizados en la consecución de las metas de la UIT.</w:t>
            </w:r>
          </w:p>
        </w:tc>
        <w:tc>
          <w:tcPr>
            <w:tcW w:w="4961" w:type="dxa"/>
            <w:hideMark/>
          </w:tcPr>
          <w:p w14:paraId="1F5BB797" w14:textId="71B0F36D" w:rsidR="001F20C2" w:rsidRPr="00C74D6D" w:rsidRDefault="00133F3B" w:rsidP="00466094">
            <w:pPr>
              <w:pStyle w:val="Tabletext"/>
              <w:tabs>
                <w:tab w:val="left" w:pos="281"/>
              </w:tabs>
              <w:ind w:left="281" w:hanging="281"/>
            </w:pPr>
            <w:bookmarkStart w:id="52" w:name="lt_pId108"/>
            <w:r w:rsidRPr="00C74D6D">
              <w:rPr>
                <w:lang w:eastAsia="en-GB"/>
              </w:rPr>
              <w:t>–</w:t>
            </w:r>
            <w:r w:rsidRPr="00C74D6D">
              <w:rPr>
                <w:lang w:eastAsia="en-GB"/>
              </w:rPr>
              <w:tab/>
            </w:r>
            <w:r w:rsidR="003C2F14" w:rsidRPr="004749ED">
              <w:t xml:space="preserve">Se </w:t>
            </w:r>
            <w:r w:rsidR="00994C56" w:rsidRPr="004749ED">
              <w:t>ha mejorado</w:t>
            </w:r>
            <w:r w:rsidR="003C2F14" w:rsidRPr="004749ED">
              <w:t xml:space="preserve"> el marco de resultados para incluir </w:t>
            </w:r>
            <w:r w:rsidR="00994C56" w:rsidRPr="004749ED">
              <w:t xml:space="preserve">los </w:t>
            </w:r>
            <w:r w:rsidR="003C2F14" w:rsidRPr="004749ED">
              <w:t xml:space="preserve">indicadores SMART para las finalidades y las realizaciones de las prioridades temáticas, </w:t>
            </w:r>
            <w:r w:rsidR="00994C56" w:rsidRPr="004749ED">
              <w:t>con el fin de potenciar</w:t>
            </w:r>
            <w:r w:rsidR="003C2F14" w:rsidRPr="004749ED">
              <w:t xml:space="preserve"> la capacidad de los miembros para </w:t>
            </w:r>
            <w:r w:rsidR="00994C56" w:rsidRPr="004749ED">
              <w:t>evaluar</w:t>
            </w:r>
            <w:r w:rsidR="003C2F14" w:rsidRPr="004749ED">
              <w:t xml:space="preserve"> los progresos realizados por la UIT.</w:t>
            </w:r>
            <w:bookmarkEnd w:id="52"/>
          </w:p>
        </w:tc>
      </w:tr>
    </w:tbl>
    <w:p w14:paraId="713C940F" w14:textId="533C78D7" w:rsidR="0026031F" w:rsidRPr="004749ED" w:rsidRDefault="007530DD" w:rsidP="00E829E5">
      <w:pPr>
        <w:keepNext/>
        <w:keepLines/>
        <w:spacing w:after="240"/>
      </w:pPr>
      <w:bookmarkStart w:id="53" w:name="lt_pId109"/>
      <w:r w:rsidRPr="004749ED">
        <w:lastRenderedPageBreak/>
        <w:t>Así pues</w:t>
      </w:r>
      <w:r w:rsidR="003C2F14" w:rsidRPr="004749ED">
        <w:t xml:space="preserve">, </w:t>
      </w:r>
      <w:r w:rsidR="00466094" w:rsidRPr="004749ED">
        <w:t xml:space="preserve">el marco estratégico de la UIT ha sido revisado y mejorado de conformidad con </w:t>
      </w:r>
      <w:r w:rsidR="003C2F14" w:rsidRPr="004749ED">
        <w:t>los principios y directrices mencionados. La siguiente figura muestra la evolución observada desde el anterior marco estratégico hasta el marco propuesto para el proyecto de Plan Estratégico 2024</w:t>
      </w:r>
      <w:r w:rsidR="002630AF" w:rsidRPr="004749ED">
        <w:noBreakHyphen/>
      </w:r>
      <w:r w:rsidR="003C2F14" w:rsidRPr="004749ED">
        <w:t>2027</w:t>
      </w:r>
      <w:bookmarkStart w:id="54" w:name="lt_pId110"/>
      <w:bookmarkEnd w:id="53"/>
      <w:r w:rsidR="001F20C2" w:rsidRPr="004749ED">
        <w:t>.</w:t>
      </w:r>
      <w:bookmarkEnd w:id="54"/>
    </w:p>
    <w:p w14:paraId="3E099001" w14:textId="3C694CC7" w:rsidR="0026031F" w:rsidRPr="004749ED" w:rsidRDefault="0026031F" w:rsidP="00CA696A">
      <w:r w:rsidRPr="004749ED">
        <w:rPr>
          <w:noProof/>
        </w:rPr>
        <w:drawing>
          <wp:inline distT="0" distB="0" distL="0" distR="0" wp14:anchorId="717CFF1B" wp14:editId="4F6D22A0">
            <wp:extent cx="6338570" cy="3188203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91"/>
                    <a:stretch/>
                  </pic:blipFill>
                  <pic:spPr bwMode="auto">
                    <a:xfrm>
                      <a:off x="0" y="0"/>
                      <a:ext cx="6352684" cy="319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4D3142" w14:textId="044D7AEA" w:rsidR="001F20C2" w:rsidRPr="004749ED" w:rsidRDefault="00CA696A" w:rsidP="00CA696A">
      <w:pPr>
        <w:pStyle w:val="Heading1"/>
      </w:pPr>
      <w:bookmarkStart w:id="55" w:name="lt_pId111"/>
      <w:r w:rsidRPr="004749ED">
        <w:t>4</w:t>
      </w:r>
      <w:r w:rsidRPr="004749ED">
        <w:tab/>
      </w:r>
      <w:proofErr w:type="gramStart"/>
      <w:r w:rsidR="003C2F14" w:rsidRPr="004749ED">
        <w:t>Explicación</w:t>
      </w:r>
      <w:proofErr w:type="gramEnd"/>
      <w:r w:rsidR="003C2F14" w:rsidRPr="004749ED">
        <w:t xml:space="preserve"> sobre los </w:t>
      </w:r>
      <w:r w:rsidR="001F1F77" w:rsidRPr="004749ED">
        <w:t>componentes</w:t>
      </w:r>
      <w:r w:rsidR="003C2F14" w:rsidRPr="004749ED">
        <w:t xml:space="preserve"> del marco estratégico</w:t>
      </w:r>
      <w:bookmarkEnd w:id="55"/>
    </w:p>
    <w:p w14:paraId="4E65B1A3" w14:textId="5B813423" w:rsidR="00644E08" w:rsidRDefault="003C2F14" w:rsidP="00D22EC9">
      <w:bookmarkStart w:id="56" w:name="lt_pId112"/>
      <w:r w:rsidRPr="004749ED">
        <w:t xml:space="preserve">En la siguiente sección se ofrecen detalles adicionales sobre los ajustes propuestos </w:t>
      </w:r>
      <w:r w:rsidR="00CC117A" w:rsidRPr="004749ED">
        <w:t xml:space="preserve">a algunos </w:t>
      </w:r>
      <w:r w:rsidR="001F1F77" w:rsidRPr="004749ED">
        <w:t>componentes</w:t>
      </w:r>
      <w:r w:rsidR="00CC117A" w:rsidRPr="004749ED">
        <w:t xml:space="preserve"> concretos</w:t>
      </w:r>
      <w:r w:rsidRPr="004749ED">
        <w:t xml:space="preserve"> del marco estratégico, con el fin de </w:t>
      </w:r>
      <w:r w:rsidR="003043AA" w:rsidRPr="004749ED">
        <w:t>tener en cuenta</w:t>
      </w:r>
      <w:r w:rsidRPr="004749ED">
        <w:t xml:space="preserve"> los principios y directrices acordados en la primera reunión del GTC-SFP. </w:t>
      </w:r>
      <w:r w:rsidR="00CC117A" w:rsidRPr="004749ED">
        <w:t>En concreto</w:t>
      </w:r>
      <w:r w:rsidRPr="004749ED">
        <w:t xml:space="preserve">, se explica el </w:t>
      </w:r>
      <w:r w:rsidR="00CC117A" w:rsidRPr="004749ED">
        <w:t>método</w:t>
      </w:r>
      <w:r w:rsidRPr="004749ED">
        <w:t xml:space="preserve"> adoptado para asegurar que se </w:t>
      </w:r>
      <w:r w:rsidR="00CC117A" w:rsidRPr="004749ED">
        <w:t>hayan</w:t>
      </w:r>
      <w:r w:rsidRPr="004749ED">
        <w:t xml:space="preserve"> tenido en cuenta todos los </w:t>
      </w:r>
      <w:r w:rsidR="001F1F77" w:rsidRPr="004749ED">
        <w:t>elementos</w:t>
      </w:r>
      <w:r w:rsidRPr="004749ED">
        <w:t xml:space="preserve"> del Plan Estratégico</w:t>
      </w:r>
      <w:r w:rsidR="003043AA" w:rsidRPr="004749ED">
        <w:t xml:space="preserve"> anterior</w:t>
      </w:r>
      <w:r w:rsidRPr="004749ED">
        <w:t xml:space="preserve">, la manera en que se han reformulado sus </w:t>
      </w:r>
      <w:r w:rsidR="001F1F77" w:rsidRPr="004749ED">
        <w:t>componentes</w:t>
      </w:r>
      <w:r w:rsidRPr="004749ED">
        <w:t xml:space="preserve">, el </w:t>
      </w:r>
      <w:r w:rsidR="00CC117A" w:rsidRPr="004749ED">
        <w:t>método</w:t>
      </w:r>
      <w:r w:rsidRPr="004749ED">
        <w:t xml:space="preserve"> adoptado para </w:t>
      </w:r>
      <w:r w:rsidR="00CC117A" w:rsidRPr="004749ED">
        <w:t>mantener los e</w:t>
      </w:r>
      <w:r w:rsidRPr="004749ED">
        <w:t xml:space="preserve">lementos clave </w:t>
      </w:r>
      <w:r w:rsidR="00CC117A" w:rsidRPr="004749ED">
        <w:t xml:space="preserve">tras los ajustes </w:t>
      </w:r>
      <w:r w:rsidRPr="004749ED">
        <w:t xml:space="preserve">y la </w:t>
      </w:r>
      <w:r w:rsidR="00CC117A" w:rsidRPr="004749ED">
        <w:t xml:space="preserve">explicación </w:t>
      </w:r>
      <w:r w:rsidRPr="004749ED">
        <w:t>de los cambios.</w:t>
      </w:r>
      <w:bookmarkEnd w:id="56"/>
      <w:r w:rsidR="001F20C2" w:rsidRPr="004749ED">
        <w:t xml:space="preserve"> </w:t>
      </w:r>
      <w:bookmarkStart w:id="57" w:name="lt_pId115"/>
      <w:r w:rsidR="00CA696A" w:rsidRPr="004749ED">
        <w:t xml:space="preserve">La siguiente figura ilustra los componentes principales del marco estratégico, a saber: la visión, la misión, las metas estratégicas y las finalidades, las prioridades temáticas y las realizaciones, la oferta de productos y servicios, y los factores habilitadores </w:t>
      </w:r>
      <w:r w:rsidRPr="004749ED">
        <w:t xml:space="preserve">y el marco de resultados </w:t>
      </w:r>
      <w:r w:rsidR="001F20C2" w:rsidRPr="004749ED">
        <w:t>(</w:t>
      </w:r>
      <w:r w:rsidRPr="004749ED">
        <w:t>finalidades, realizaciones y productos</w:t>
      </w:r>
      <w:r w:rsidR="001F20C2" w:rsidRPr="004749ED">
        <w:t xml:space="preserve">), </w:t>
      </w:r>
      <w:r w:rsidRPr="004749ED">
        <w:t xml:space="preserve">y sus subsecciones correspondientes en el presente documento </w:t>
      </w:r>
      <w:r w:rsidR="001F20C2" w:rsidRPr="004749ED">
        <w:t>(3.1, 3.2, 3.3, 3.4).</w:t>
      </w:r>
      <w:bookmarkEnd w:id="57"/>
    </w:p>
    <w:p w14:paraId="66E42A95" w14:textId="60EC1226" w:rsidR="00644E08" w:rsidRDefault="00644E08" w:rsidP="00D22EC9">
      <w:r>
        <w:rPr>
          <w:b/>
          <w:bCs/>
          <w:noProof/>
        </w:rPr>
        <w:lastRenderedPageBreak/>
        <w:drawing>
          <wp:inline distT="0" distB="0" distL="0" distR="0" wp14:anchorId="346F63F1" wp14:editId="0F705F9D">
            <wp:extent cx="6120765" cy="3461934"/>
            <wp:effectExtent l="0" t="0" r="0" b="5715"/>
            <wp:docPr id="26" name="Picture 26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61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3A4049" w14:textId="5CA1CD39" w:rsidR="001F20C2" w:rsidRPr="004749ED" w:rsidRDefault="003B04AC" w:rsidP="00E12D05">
      <w:pPr>
        <w:spacing w:before="240"/>
      </w:pPr>
      <w:bookmarkStart w:id="58" w:name="lt_pId116"/>
      <w:r w:rsidRPr="004749ED">
        <w:t xml:space="preserve">La interrelación entre los componentes fundamentales del Plan Estratégico posibilita la consecución de resultados. En particular, las ofertas de productos y servicios permiten a la UIT llevar a cabo su labor </w:t>
      </w:r>
      <w:r w:rsidR="001F1F77" w:rsidRPr="004749ED">
        <w:t>con arreglo a</w:t>
      </w:r>
      <w:r w:rsidRPr="004749ED">
        <w:t xml:space="preserve"> sus prioridades temáticas, con el fin de lograr realizaciones que contribuyan a la consecución de las metas </w:t>
      </w:r>
      <w:r w:rsidR="001F1F77" w:rsidRPr="004749ED">
        <w:t xml:space="preserve">y finalidades </w:t>
      </w:r>
      <w:r w:rsidRPr="004749ED">
        <w:t>estratégicas de la Unión</w:t>
      </w:r>
      <w:r w:rsidR="00CC117A" w:rsidRPr="004749ED">
        <w:t>.</w:t>
      </w:r>
      <w:bookmarkEnd w:id="58"/>
      <w:r w:rsidR="001F20C2" w:rsidRPr="004749ED">
        <w:t xml:space="preserve"> </w:t>
      </w:r>
      <w:r w:rsidR="00CA696A" w:rsidRPr="004749ED">
        <w:t>Los factores habilitadores son los métodos de trabajo que permiten a la Unión cumplir sus objetivos y prioridades de manera más eficaz y eficiente.</w:t>
      </w:r>
    </w:p>
    <w:p w14:paraId="6E0F5733" w14:textId="18311E19" w:rsidR="003B04AC" w:rsidRPr="004749ED" w:rsidRDefault="003B04AC" w:rsidP="003B04AC">
      <w:bookmarkStart w:id="59" w:name="lt_pId119"/>
      <w:r w:rsidRPr="004749ED">
        <w:t>Por ejemplo:</w:t>
      </w:r>
    </w:p>
    <w:p w14:paraId="27EB51CA" w14:textId="4F7EAE92" w:rsidR="001F20C2" w:rsidRPr="004749ED" w:rsidRDefault="00813FBD" w:rsidP="00813FBD">
      <w:pPr>
        <w:pStyle w:val="enumlev1"/>
      </w:pPr>
      <w:r w:rsidRPr="004749ED">
        <w:t>–</w:t>
      </w:r>
      <w:r w:rsidRPr="004749ED">
        <w:tab/>
      </w:r>
      <w:r w:rsidR="003B04AC" w:rsidRPr="004749ED">
        <w:t>La UIT actualiza periódicamente el Reglamento de Radiocomunicaciones y los Acuerdos Regionales, fortalece las capacidades de los profesionales de las telecomunicaciones/TIC y fomenta el diálogo entre las partes interesadas mediante la creación de plataformas</w:t>
      </w:r>
      <w:bookmarkStart w:id="60" w:name="lt_pId120"/>
      <w:bookmarkEnd w:id="59"/>
      <w:r w:rsidR="001F20C2" w:rsidRPr="004749ED">
        <w:t>.</w:t>
      </w:r>
      <w:bookmarkEnd w:id="60"/>
      <w:r w:rsidR="001F20C2" w:rsidRPr="004749ED">
        <w:t xml:space="preserve"> </w:t>
      </w:r>
      <w:bookmarkStart w:id="61" w:name="lt_pId122"/>
      <w:r w:rsidR="003D608B" w:rsidRPr="004749ED">
        <w:t xml:space="preserve">Cabe prever que los trabajos de la UIT relacionados con los recursos del espectro de radiofrecuencias y las órbitas de satélites asociadas permitan lograr las siguientes realizaciones: 1) establecimiento de un sistema de atribución y utilización </w:t>
      </w:r>
      <w:r w:rsidR="003043AA" w:rsidRPr="004749ED">
        <w:t xml:space="preserve">de los recursos del espectro de </w:t>
      </w:r>
      <w:r w:rsidR="003D608B" w:rsidRPr="004749ED">
        <w:t>radiofrecuencias y las órbitas de satélites asociadas eficiente y equitativo; 2) supresión de las interferencias perjudiciales;</w:t>
      </w:r>
      <w:r w:rsidR="001F20C2" w:rsidRPr="004749ED">
        <w:rPr>
          <w:rFonts w:cs="Calibri"/>
          <w:b/>
          <w:color w:val="800000"/>
        </w:rPr>
        <w:t xml:space="preserve"> </w:t>
      </w:r>
      <w:r w:rsidR="003043AA" w:rsidRPr="004749ED">
        <w:rPr>
          <w:rFonts w:cs="Calibri"/>
          <w:color w:val="800000"/>
        </w:rPr>
        <w:t>e</w:t>
      </w:r>
      <w:r w:rsidR="003B04AC" w:rsidRPr="004749ED">
        <w:t>l logro de estas realizaciones contribuye a la consecución de la conectividad universal y la transformación digital sostenible, facilitada por los factores habilitadores de la organización</w:t>
      </w:r>
      <w:r w:rsidR="001F20C2" w:rsidRPr="004749ED">
        <w:t>.</w:t>
      </w:r>
      <w:bookmarkEnd w:id="61"/>
    </w:p>
    <w:p w14:paraId="09AD6C9B" w14:textId="6174FED9" w:rsidR="001F20C2" w:rsidRPr="004749ED" w:rsidRDefault="00813FBD" w:rsidP="00813FBD">
      <w:pPr>
        <w:pStyle w:val="enumlev1"/>
      </w:pPr>
      <w:r w:rsidRPr="004749ED">
        <w:t>–</w:t>
      </w:r>
      <w:r w:rsidRPr="004749ED">
        <w:tab/>
      </w:r>
      <w:bookmarkStart w:id="62" w:name="lt_pId124"/>
      <w:r w:rsidR="003D608B" w:rsidRPr="004749ED">
        <w:t xml:space="preserve">La UIT reúne a expertos de todo el mundo a efectos de la elaboración de normas internacionales conocidas como Recomendaciones UIT-R y UIT-T. </w:t>
      </w:r>
      <w:r w:rsidR="001F1F77" w:rsidRPr="004749ED">
        <w:t>Es</w:t>
      </w:r>
      <w:r w:rsidR="00D767CA" w:rsidRPr="004749ED">
        <w:t>tas</w:t>
      </w:r>
      <w:r w:rsidR="003B04AC" w:rsidRPr="004749ED">
        <w:t xml:space="preserve"> oferta</w:t>
      </w:r>
      <w:r w:rsidR="00D767CA" w:rsidRPr="004749ED">
        <w:t>s</w:t>
      </w:r>
      <w:r w:rsidR="003B04AC" w:rsidRPr="004749ED">
        <w:t xml:space="preserve"> de productos y servicios </w:t>
      </w:r>
      <w:r w:rsidR="00D767CA" w:rsidRPr="004749ED">
        <w:t>coadyuvan</w:t>
      </w:r>
      <w:r w:rsidR="001A3401" w:rsidRPr="004749ED">
        <w:t xml:space="preserve"> </w:t>
      </w:r>
      <w:r w:rsidR="00D767CA" w:rsidRPr="004749ED">
        <w:t>a</w:t>
      </w:r>
      <w:r w:rsidR="001A3401" w:rsidRPr="004749ED">
        <w:t>l</w:t>
      </w:r>
      <w:r w:rsidR="00D767CA" w:rsidRPr="004749ED">
        <w:t xml:space="preserve"> logro de</w:t>
      </w:r>
      <w:r w:rsidR="003B04AC" w:rsidRPr="004749ED">
        <w:t xml:space="preserve"> la prioridad temática</w:t>
      </w:r>
      <w:r w:rsidR="001F1F77" w:rsidRPr="004749ED">
        <w:t xml:space="preserve"> relativa a la </w:t>
      </w:r>
      <w:r w:rsidR="003B04AC" w:rsidRPr="004749ED">
        <w:t xml:space="preserve">infraestructura y los servicios, cuya realización prevista es la mejora de la interoperabilidad y el rendimiento de las infraestructuras y los servicios. </w:t>
      </w:r>
      <w:r w:rsidR="003043AA" w:rsidRPr="004749ED">
        <w:t xml:space="preserve">La incidencia </w:t>
      </w:r>
      <w:r w:rsidR="003B04AC" w:rsidRPr="004749ED">
        <w:t xml:space="preserve">a </w:t>
      </w:r>
      <w:r w:rsidR="007D4753" w:rsidRPr="004749ED">
        <w:t>largo plazo de esta realización co</w:t>
      </w:r>
      <w:r w:rsidR="00D767CA" w:rsidRPr="004749ED">
        <w:t>ntribuye</w:t>
      </w:r>
      <w:r w:rsidR="007D4753" w:rsidRPr="004749ED">
        <w:t xml:space="preserve"> a</w:t>
      </w:r>
      <w:r w:rsidR="003B04AC" w:rsidRPr="004749ED">
        <w:t xml:space="preserve"> la consecución de la conectividad universal.</w:t>
      </w:r>
      <w:bookmarkEnd w:id="62"/>
    </w:p>
    <w:p w14:paraId="5D2C2EF4" w14:textId="616E9F6A" w:rsidR="001F20C2" w:rsidRPr="004749ED" w:rsidRDefault="00813FBD" w:rsidP="00813FBD">
      <w:pPr>
        <w:pStyle w:val="enumlev1"/>
        <w:keepLines/>
      </w:pPr>
      <w:r w:rsidRPr="004749ED">
        <w:lastRenderedPageBreak/>
        <w:t>–</w:t>
      </w:r>
      <w:r w:rsidRPr="004749ED">
        <w:tab/>
      </w:r>
      <w:bookmarkStart w:id="63" w:name="lt_pId127"/>
      <w:r w:rsidR="003D608B" w:rsidRPr="004749ED">
        <w:t xml:space="preserve">La UIT se encarga de la capacitación de los profesionales de las telecomunicaciones/TIC y del desarrollo de recursos de conocimiento, y promueve la alfabetización y las competencias digitales de los ciudadanos. </w:t>
      </w:r>
      <w:r w:rsidR="007D4753" w:rsidRPr="004749ED">
        <w:t>Estas</w:t>
      </w:r>
      <w:r w:rsidR="003B04AC" w:rsidRPr="004749ED">
        <w:t xml:space="preserve"> ofertas de productos y servicios co</w:t>
      </w:r>
      <w:r w:rsidR="001A3401" w:rsidRPr="004749ED">
        <w:t xml:space="preserve">adyuvan al logro de </w:t>
      </w:r>
      <w:r w:rsidR="003B04AC" w:rsidRPr="004749ED">
        <w:t>la prioridad temática</w:t>
      </w:r>
      <w:r w:rsidR="007D4753" w:rsidRPr="004749ED">
        <w:t xml:space="preserve"> relativa al </w:t>
      </w:r>
      <w:r w:rsidR="003B04AC" w:rsidRPr="004749ED">
        <w:t xml:space="preserve">entorno propicio, cuya realización prevista es </w:t>
      </w:r>
      <w:r w:rsidR="001A3401" w:rsidRPr="004749ED">
        <w:t>que los</w:t>
      </w:r>
      <w:r w:rsidR="003B04AC" w:rsidRPr="004749ED">
        <w:t xml:space="preserve"> usuarios </w:t>
      </w:r>
      <w:r w:rsidR="001A3401" w:rsidRPr="004749ED">
        <w:t xml:space="preserve">estén </w:t>
      </w:r>
      <w:r w:rsidR="003B04AC" w:rsidRPr="004749ED">
        <w:t xml:space="preserve">dotados de capacidades digitales. </w:t>
      </w:r>
      <w:r w:rsidR="003043AA" w:rsidRPr="004749ED">
        <w:t xml:space="preserve">La incidencia </w:t>
      </w:r>
      <w:r w:rsidR="003B04AC" w:rsidRPr="004749ED">
        <w:t>a largo plazo de esta realización</w:t>
      </w:r>
      <w:r w:rsidR="007D4753" w:rsidRPr="004749ED">
        <w:t xml:space="preserve"> co</w:t>
      </w:r>
      <w:r w:rsidR="001A3401" w:rsidRPr="004749ED">
        <w:t>ntribuye</w:t>
      </w:r>
      <w:r w:rsidR="007D4753" w:rsidRPr="004749ED">
        <w:t xml:space="preserve"> a</w:t>
      </w:r>
      <w:r w:rsidR="003B04AC" w:rsidRPr="004749ED">
        <w:t xml:space="preserve"> la consecución de una transformación digital sostenible</w:t>
      </w:r>
      <w:bookmarkStart w:id="64" w:name="lt_pId128"/>
      <w:bookmarkEnd w:id="63"/>
      <w:r w:rsidR="001F20C2" w:rsidRPr="004749ED">
        <w:t>.</w:t>
      </w:r>
      <w:bookmarkEnd w:id="64"/>
    </w:p>
    <w:p w14:paraId="03122CC6" w14:textId="1C8F83A2" w:rsidR="001F20C2" w:rsidRPr="004749ED" w:rsidRDefault="00CA696A" w:rsidP="00CA696A">
      <w:pPr>
        <w:pStyle w:val="Heading2"/>
      </w:pPr>
      <w:r w:rsidRPr="004749ED">
        <w:t>4</w:t>
      </w:r>
      <w:r w:rsidR="001F20C2" w:rsidRPr="004749ED">
        <w:t>.1</w:t>
      </w:r>
      <w:bookmarkStart w:id="65" w:name="lt_pId130"/>
      <w:r w:rsidRPr="004749ED">
        <w:tab/>
      </w:r>
      <w:r w:rsidR="003C2F14" w:rsidRPr="004749ED">
        <w:t xml:space="preserve">Metas </w:t>
      </w:r>
      <w:r w:rsidR="00441FF7" w:rsidRPr="004749ED">
        <w:t xml:space="preserve">estratégicas </w:t>
      </w:r>
      <w:r w:rsidR="003C2F14" w:rsidRPr="004749ED">
        <w:t>y finalidades</w:t>
      </w:r>
      <w:bookmarkEnd w:id="65"/>
    </w:p>
    <w:p w14:paraId="6B4C4B25" w14:textId="48B9AA94" w:rsidR="001F20C2" w:rsidRPr="004749ED" w:rsidRDefault="003C2F14" w:rsidP="00CA696A">
      <w:pPr>
        <w:pStyle w:val="Headingb"/>
      </w:pPr>
      <w:bookmarkStart w:id="66" w:name="lt_pId131"/>
      <w:r w:rsidRPr="004749ED">
        <w:t>Metas estratégicas</w:t>
      </w:r>
      <w:bookmarkEnd w:id="66"/>
    </w:p>
    <w:p w14:paraId="68EBB284" w14:textId="074BBE5A" w:rsidR="001F20C2" w:rsidRPr="004749ED" w:rsidRDefault="003B04AC" w:rsidP="00CA696A">
      <w:bookmarkStart w:id="67" w:name="lt_pId132"/>
      <w:r w:rsidRPr="004749ED">
        <w:t xml:space="preserve">En respuesta a las orientaciones de los miembros </w:t>
      </w:r>
      <w:r w:rsidR="00A56E79" w:rsidRPr="004749ED">
        <w:t xml:space="preserve">sobre </w:t>
      </w:r>
      <w:r w:rsidRPr="004749ED">
        <w:t>la posib</w:t>
      </w:r>
      <w:r w:rsidR="00A56E79" w:rsidRPr="004749ED">
        <w:t xml:space="preserve">le adecuación o agrupación de </w:t>
      </w:r>
      <w:r w:rsidRPr="004749ED">
        <w:t xml:space="preserve">las metas, </w:t>
      </w:r>
      <w:r w:rsidR="00FB7FA5" w:rsidRPr="004749ED">
        <w:t>y sobre la simplificación y la mayor concreción de</w:t>
      </w:r>
      <w:r w:rsidRPr="004749ED">
        <w:t>l Plan Estratégico, se propone consolidar las cinco metas estratégicas del Plan anterior en dos: "Conectividad Universal" y "Transformación Digital Sostenible". E</w:t>
      </w:r>
      <w:r w:rsidR="00FB7FA5" w:rsidRPr="004749ED">
        <w:t xml:space="preserve">l objetivo es </w:t>
      </w:r>
      <w:r w:rsidRPr="004749ED">
        <w:t xml:space="preserve">reforzar las sinergias y crear metas que: i) se correspondan y se armonicen con la Visión y la Misión de la UIT, </w:t>
      </w:r>
      <w:proofErr w:type="spellStart"/>
      <w:r w:rsidRPr="004749ED">
        <w:t>ii</w:t>
      </w:r>
      <w:proofErr w:type="spellEnd"/>
      <w:r w:rsidRPr="004749ED">
        <w:t xml:space="preserve">) sean mutuamente excluyentes y colectivamente exhaustivas, y </w:t>
      </w:r>
      <w:proofErr w:type="spellStart"/>
      <w:r w:rsidRPr="004749ED">
        <w:t>iii</w:t>
      </w:r>
      <w:proofErr w:type="spellEnd"/>
      <w:r w:rsidRPr="004749ED">
        <w:t xml:space="preserve">) se centren en la </w:t>
      </w:r>
      <w:r w:rsidR="00FB7FA5" w:rsidRPr="004749ED">
        <w:t xml:space="preserve">incidencia </w:t>
      </w:r>
      <w:r w:rsidRPr="004749ED">
        <w:t xml:space="preserve">de la UIT, </w:t>
      </w:r>
      <w:r w:rsidR="009F2B06" w:rsidRPr="004749ED">
        <w:t xml:space="preserve">al contrario de </w:t>
      </w:r>
      <w:r w:rsidR="00FB7FA5" w:rsidRPr="004749ED">
        <w:t>los</w:t>
      </w:r>
      <w:r w:rsidRPr="004749ED">
        <w:t xml:space="preserve"> factores habilitadores de la organización</w:t>
      </w:r>
      <w:bookmarkStart w:id="68" w:name="lt_pId133"/>
      <w:bookmarkEnd w:id="67"/>
      <w:r w:rsidR="001F20C2" w:rsidRPr="004749ED">
        <w:t>.</w:t>
      </w:r>
      <w:bookmarkEnd w:id="68"/>
    </w:p>
    <w:p w14:paraId="352C6E43" w14:textId="7097EDA0" w:rsidR="001F20C2" w:rsidRPr="004749ED" w:rsidRDefault="003B04AC" w:rsidP="00E12D05">
      <w:bookmarkStart w:id="69" w:name="lt_pId134"/>
      <w:r w:rsidRPr="004749ED">
        <w:t>S</w:t>
      </w:r>
      <w:r w:rsidR="00CE72A0" w:rsidRPr="004749ED">
        <w:t>iguiendo las o</w:t>
      </w:r>
      <w:r w:rsidRPr="004749ED">
        <w:t>rientaciones de los miembros,</w:t>
      </w:r>
      <w:r w:rsidR="00CE72A0" w:rsidRPr="004749ED">
        <w:t xml:space="preserve"> se procedió a la evaluación de </w:t>
      </w:r>
      <w:r w:rsidRPr="004749ED">
        <w:t xml:space="preserve">las cinco metas estratégicas de la UIT en función de </w:t>
      </w:r>
      <w:r w:rsidR="00CE72A0" w:rsidRPr="004749ED">
        <w:t xml:space="preserve">los </w:t>
      </w:r>
      <w:r w:rsidRPr="004749ED">
        <w:t xml:space="preserve">criterios </w:t>
      </w:r>
      <w:r w:rsidR="00CE72A0" w:rsidRPr="004749ED">
        <w:t>establecidos, con objeto de</w:t>
      </w:r>
      <w:r w:rsidRPr="004749ED">
        <w:t xml:space="preserve"> determinar si se ajustaban al mandato de la UIT y eran claras, me</w:t>
      </w:r>
      <w:r w:rsidR="00441FF7" w:rsidRPr="004749ED">
        <w:t>di</w:t>
      </w:r>
      <w:r w:rsidRPr="004749ED">
        <w:t xml:space="preserve">bles y </w:t>
      </w:r>
      <w:r w:rsidR="00E21649" w:rsidRPr="004749ED">
        <w:t>precisas</w:t>
      </w:r>
      <w:r w:rsidRPr="004749ED">
        <w:t xml:space="preserve">. Para perfeccionar las metas estratégicas, también se evaluaron los marcos de otras entidades de las Naciones Unidas </w:t>
      </w:r>
      <w:r w:rsidR="00441FF7" w:rsidRPr="004749ED">
        <w:t>a fin de</w:t>
      </w:r>
      <w:r w:rsidRPr="004749ED">
        <w:t xml:space="preserve"> aprovechar las prácticas idóneas. En todas las entidades, este ejercicio reveló que las metas estratégicas </w:t>
      </w:r>
      <w:r w:rsidR="00A81D40" w:rsidRPr="004749ED">
        <w:t>atañían específicamente a</w:t>
      </w:r>
      <w:r w:rsidRPr="004749ED">
        <w:t xml:space="preserve"> los mandatos de las organizaciones y </w:t>
      </w:r>
      <w:r w:rsidR="00A81D40" w:rsidRPr="004749ED">
        <w:t xml:space="preserve">presentaban </w:t>
      </w:r>
      <w:r w:rsidRPr="004749ED">
        <w:t xml:space="preserve">pocos solapamientos entre ellas. </w:t>
      </w:r>
      <w:r w:rsidR="00A83F83" w:rsidRPr="004749ED">
        <w:t>Si bien las metas de "Crecimiento",</w:t>
      </w:r>
      <w:r w:rsidRPr="004749ED">
        <w:t xml:space="preserve"> "In</w:t>
      </w:r>
      <w:r w:rsidR="00CE72A0" w:rsidRPr="004749ED">
        <w:t>tegrac</w:t>
      </w:r>
      <w:r w:rsidRPr="004749ED">
        <w:t>ión"</w:t>
      </w:r>
      <w:r w:rsidR="00A83F83" w:rsidRPr="004749ED">
        <w:t xml:space="preserve"> y </w:t>
      </w:r>
      <w:r w:rsidRPr="004749ED">
        <w:t>"Sostenibilidad" eran</w:t>
      </w:r>
      <w:r w:rsidR="00A83F83" w:rsidRPr="004749ED">
        <w:t xml:space="preserve"> concretas</w:t>
      </w:r>
      <w:r w:rsidRPr="004749ED">
        <w:t xml:space="preserve"> y me</w:t>
      </w:r>
      <w:r w:rsidR="00441FF7" w:rsidRPr="004749ED">
        <w:t>dibles</w:t>
      </w:r>
      <w:r w:rsidRPr="004749ED">
        <w:t xml:space="preserve">, </w:t>
      </w:r>
      <w:r w:rsidR="00A83F83" w:rsidRPr="004749ED">
        <w:t xml:space="preserve">se solapaban con las </w:t>
      </w:r>
      <w:r w:rsidRPr="004749ED">
        <w:t xml:space="preserve">finalidades </w:t>
      </w:r>
      <w:r w:rsidR="00A83F83" w:rsidRPr="004749ED">
        <w:t>en lo referente al</w:t>
      </w:r>
      <w:r w:rsidRPr="004749ED">
        <w:t xml:space="preserve"> acceso, el uso y la mejora de la conectividad. En consecuencia, se resumieron en dos metas que incorporaban temas de las anteriores: la primera</w:t>
      </w:r>
      <w:bookmarkStart w:id="70" w:name="lt_pId138"/>
      <w:bookmarkEnd w:id="69"/>
      <w:r w:rsidR="001F20C2" w:rsidRPr="004749ED">
        <w:t xml:space="preserve">, </w:t>
      </w:r>
      <w:r w:rsidR="00E12D05" w:rsidRPr="004749ED">
        <w:t>'</w:t>
      </w:r>
      <w:r w:rsidR="003D608B" w:rsidRPr="004749ED">
        <w:t>Conectividad universal</w:t>
      </w:r>
      <w:r w:rsidR="00E12D05" w:rsidRPr="004749ED">
        <w:t>'</w:t>
      </w:r>
      <w:r w:rsidR="003D608B" w:rsidRPr="004749ED">
        <w:t>: Permitir y fomentar el acceso universal a unas telecomunicaciones/TIC asequibles, seguras y de alta calidad</w:t>
      </w:r>
      <w:r w:rsidR="001F20C2" w:rsidRPr="004749ED">
        <w:t xml:space="preserve">, </w:t>
      </w:r>
      <w:r w:rsidRPr="004749ED">
        <w:t xml:space="preserve">incluye </w:t>
      </w:r>
      <w:r w:rsidR="00251858" w:rsidRPr="004749ED">
        <w:t xml:space="preserve">cuestiones que estaban incluidas en las metas </w:t>
      </w:r>
      <w:r w:rsidR="0038073E" w:rsidRPr="004749ED">
        <w:t>"</w:t>
      </w:r>
      <w:r w:rsidRPr="004749ED">
        <w:t>Crecimiento</w:t>
      </w:r>
      <w:r w:rsidR="0038073E" w:rsidRPr="004749ED">
        <w:t>"</w:t>
      </w:r>
      <w:r w:rsidR="00517CFB" w:rsidRPr="004749ED">
        <w:t xml:space="preserve"> </w:t>
      </w:r>
      <w:r w:rsidR="00251858" w:rsidRPr="004749ED">
        <w:t>e</w:t>
      </w:r>
      <w:r w:rsidRPr="004749ED">
        <w:t xml:space="preserve"> </w:t>
      </w:r>
      <w:r w:rsidR="0038073E" w:rsidRPr="004749ED">
        <w:t>"</w:t>
      </w:r>
      <w:r w:rsidRPr="004749ED">
        <w:t>In</w:t>
      </w:r>
      <w:r w:rsidR="00CE72A0" w:rsidRPr="004749ED">
        <w:t>tegración</w:t>
      </w:r>
      <w:r w:rsidR="0038073E" w:rsidRPr="004749ED">
        <w:t>"</w:t>
      </w:r>
      <w:r w:rsidR="00517CFB" w:rsidRPr="004749ED">
        <w:t>.</w:t>
      </w:r>
      <w:bookmarkEnd w:id="70"/>
      <w:r w:rsidR="001F20C2" w:rsidRPr="004749ED">
        <w:t xml:space="preserve"> </w:t>
      </w:r>
      <w:bookmarkStart w:id="71" w:name="lt_pId139"/>
      <w:r w:rsidR="006002E8" w:rsidRPr="004749ED">
        <w:t>La segunda</w:t>
      </w:r>
      <w:r w:rsidR="00E12D05" w:rsidRPr="004749ED">
        <w:t>,</w:t>
      </w:r>
      <w:r w:rsidR="001F20C2" w:rsidRPr="004749ED">
        <w:t xml:space="preserve"> ‘</w:t>
      </w:r>
      <w:bookmarkStart w:id="72" w:name="lt_pId140"/>
      <w:bookmarkEnd w:id="71"/>
      <w:r w:rsidR="00D62DE7" w:rsidRPr="004749ED">
        <w:t>Transformación digital sostenible: Fomentar la utilización equitativa e inclusiva de las telecomunicaciones/TIC, para empoderar a las personas y las sociedades en favor del desarrollo sostenible.</w:t>
      </w:r>
      <w:r w:rsidR="00D62DE7" w:rsidRPr="004749ED">
        <w:rPr>
          <w:b/>
          <w:bCs/>
        </w:rPr>
        <w:t xml:space="preserve"> </w:t>
      </w:r>
      <w:r w:rsidR="006002E8" w:rsidRPr="004749ED">
        <w:t xml:space="preserve">Por último, dado que la meta "Asociación" describe </w:t>
      </w:r>
      <w:r w:rsidR="0033506B" w:rsidRPr="004749ED">
        <w:t xml:space="preserve">métodos de </w:t>
      </w:r>
      <w:r w:rsidR="006002E8" w:rsidRPr="004749ED">
        <w:t>trabajo más bien que objetivo</w:t>
      </w:r>
      <w:r w:rsidR="0033506B" w:rsidRPr="004749ED">
        <w:t>s a alcanzar</w:t>
      </w:r>
      <w:r w:rsidR="006002E8" w:rsidRPr="004749ED">
        <w:t xml:space="preserve">, se ha retirado de las metas estratégicas y se ha añadido a la lista de factores habilitadores. Habida cuenta de que la "innovación" es inherente a la labor realizada en el ámbito de las telecomunicaciones/TIC, así como en el seno de la UIT, esta cuestión ha quedado reflejada en las prioridades temáticas, en particular en la </w:t>
      </w:r>
      <w:r w:rsidR="00441FF7" w:rsidRPr="004749ED">
        <w:t>relativa al</w:t>
      </w:r>
      <w:r w:rsidR="006002E8" w:rsidRPr="004749ED">
        <w:t xml:space="preserve"> "Entorno propicio", y se ha incluido también como factor habilitador, a saber</w:t>
      </w:r>
      <w:r w:rsidR="0033506B" w:rsidRPr="004749ED">
        <w:t xml:space="preserve">, </w:t>
      </w:r>
      <w:bookmarkEnd w:id="72"/>
      <w:r w:rsidR="00B01723" w:rsidRPr="004749ED">
        <w:t>'</w:t>
      </w:r>
      <w:r w:rsidR="006002E8" w:rsidRPr="004749ED">
        <w:t>Eficiencia, eficacia e innovación operativa</w:t>
      </w:r>
      <w:r w:rsidR="00B01723" w:rsidRPr="004749ED">
        <w:t>'</w:t>
      </w:r>
      <w:r w:rsidR="001F20C2" w:rsidRPr="004749ED">
        <w:t>.</w:t>
      </w:r>
    </w:p>
    <w:p w14:paraId="048EC0EF" w14:textId="62577CA7" w:rsidR="001F20C2" w:rsidRPr="004749ED" w:rsidRDefault="0033506B" w:rsidP="00CA696A">
      <w:pPr>
        <w:pStyle w:val="Headingb"/>
      </w:pPr>
      <w:bookmarkStart w:id="73" w:name="lt_pId142"/>
      <w:r w:rsidRPr="004749ED">
        <w:t>Finalidades</w:t>
      </w:r>
      <w:bookmarkEnd w:id="73"/>
    </w:p>
    <w:p w14:paraId="738C33F6" w14:textId="57CB8B21" w:rsidR="001F20C2" w:rsidRPr="004749ED" w:rsidRDefault="001F5745" w:rsidP="00CA696A">
      <w:bookmarkStart w:id="74" w:name="lt_pId143"/>
      <w:r w:rsidRPr="004749ED">
        <w:t>El proyecto de Plan Estratégico establece finalidades ambiciosas para 2030, que refuerzan el compromiso de la UIT de facilitar la consecución de los ODS y las Líneas de Acción de la CMSI y de alcanzar sus metas estratégicas. Estas finalidades, que se basan en las finalidades mejoradas del Plan Estratégico anterior, permiten evaluar los progresos realizados en relación con las metas estratégicas y la Agenda Conectar 2030 de la UIT. Se medirán utilizando indicadores SMART (específicos, medibles, orientados a la acción, realistas y limitados en el tiempo) en el marco de resultados</w:t>
      </w:r>
      <w:bookmarkStart w:id="75" w:name="lt_pId145"/>
      <w:bookmarkEnd w:id="74"/>
      <w:r w:rsidR="001F20C2" w:rsidRPr="004749ED">
        <w:t>.</w:t>
      </w:r>
      <w:bookmarkEnd w:id="75"/>
    </w:p>
    <w:p w14:paraId="64B26BD6" w14:textId="2C33CCEA" w:rsidR="001F20C2" w:rsidRPr="004749ED" w:rsidRDefault="001F5745" w:rsidP="00CA696A">
      <w:bookmarkStart w:id="76" w:name="lt_pId146"/>
      <w:r w:rsidRPr="004749ED">
        <w:lastRenderedPageBreak/>
        <w:t xml:space="preserve">Se </w:t>
      </w:r>
      <w:r w:rsidR="00441FF7" w:rsidRPr="004749ED">
        <w:t>revisaron</w:t>
      </w:r>
      <w:r w:rsidRPr="004749ED">
        <w:t xml:space="preserve"> las finalidades del Plan Estratégico anterior y se tuvieron en cuenta al redactar la nueva serie de finalidades para reflejar con exactitud las nuevas metas propuestas.</w:t>
      </w:r>
      <w:bookmarkEnd w:id="76"/>
    </w:p>
    <w:p w14:paraId="2BDFDA2B" w14:textId="2528B2F6" w:rsidR="001F20C2" w:rsidRPr="004749ED" w:rsidRDefault="001F5745" w:rsidP="00CA696A">
      <w:bookmarkStart w:id="77" w:name="lt_pId147"/>
      <w:r w:rsidRPr="004749ED">
        <w:t>En el cuadro siguiente se presentan las finalidades propuestas para el nuevo proyecto de Plan Estratégico, los indicadores propuestos y su relación con las finalidades del Plan Estratégico 2020</w:t>
      </w:r>
      <w:r w:rsidR="00877C83" w:rsidRPr="004749ED">
        <w:noBreakHyphen/>
      </w:r>
      <w:r w:rsidRPr="004749ED">
        <w:t>2023.</w:t>
      </w:r>
      <w:bookmarkEnd w:id="77"/>
    </w:p>
    <w:p w14:paraId="6F45C194" w14:textId="77777777" w:rsidR="00CB2322" w:rsidRPr="004749ED" w:rsidRDefault="00CB2322" w:rsidP="00CA696A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4"/>
        <w:gridCol w:w="2483"/>
        <w:gridCol w:w="2977"/>
        <w:gridCol w:w="3612"/>
      </w:tblGrid>
      <w:tr w:rsidR="001F20C2" w:rsidRPr="004749ED" w14:paraId="2DAC497D" w14:textId="77777777" w:rsidTr="00207F9D">
        <w:trPr>
          <w:tblHeader/>
        </w:trPr>
        <w:tc>
          <w:tcPr>
            <w:tcW w:w="704" w:type="dxa"/>
            <w:shd w:val="clear" w:color="auto" w:fill="4F81BD" w:themeFill="accent1"/>
          </w:tcPr>
          <w:p w14:paraId="45C16CE7" w14:textId="4BD918AD" w:rsidR="001F5745" w:rsidRPr="004749ED" w:rsidRDefault="001F5745" w:rsidP="00877C83">
            <w:pPr>
              <w:pStyle w:val="Tablehead"/>
            </w:pPr>
            <w:bookmarkStart w:id="78" w:name="_Hlk95408676"/>
            <w:r w:rsidRPr="004749ED">
              <w:rPr>
                <w:color w:val="FFFFFF" w:themeColor="background1"/>
              </w:rPr>
              <w:t>Meta</w:t>
            </w:r>
          </w:p>
        </w:tc>
        <w:tc>
          <w:tcPr>
            <w:tcW w:w="2483" w:type="dxa"/>
            <w:shd w:val="clear" w:color="auto" w:fill="95B3D7" w:themeFill="accent1" w:themeFillTint="99"/>
          </w:tcPr>
          <w:p w14:paraId="287BA61F" w14:textId="0D7B0332" w:rsidR="001F20C2" w:rsidRPr="004749ED" w:rsidRDefault="001F5745" w:rsidP="00877C83">
            <w:pPr>
              <w:pStyle w:val="Tablehead"/>
            </w:pPr>
            <w:bookmarkStart w:id="79" w:name="lt_pId149"/>
            <w:r w:rsidRPr="004749ED">
              <w:t>Finalidades propuestas</w:t>
            </w:r>
            <w:bookmarkEnd w:id="79"/>
          </w:p>
        </w:tc>
        <w:tc>
          <w:tcPr>
            <w:tcW w:w="2977" w:type="dxa"/>
            <w:shd w:val="clear" w:color="auto" w:fill="DBE5F1" w:themeFill="accent1" w:themeFillTint="33"/>
          </w:tcPr>
          <w:p w14:paraId="2AA0C2B0" w14:textId="20D4DF1A" w:rsidR="001F20C2" w:rsidRPr="004749ED" w:rsidRDefault="001F5745" w:rsidP="00877C83">
            <w:pPr>
              <w:pStyle w:val="Tablehead"/>
            </w:pPr>
            <w:bookmarkStart w:id="80" w:name="lt_pId150"/>
            <w:r w:rsidRPr="004749ED">
              <w:t>Indicadores de finalidad propuestos</w:t>
            </w:r>
            <w:bookmarkEnd w:id="80"/>
          </w:p>
        </w:tc>
        <w:tc>
          <w:tcPr>
            <w:tcW w:w="3612" w:type="dxa"/>
            <w:shd w:val="clear" w:color="auto" w:fill="DBE5F1" w:themeFill="accent1" w:themeFillTint="33"/>
          </w:tcPr>
          <w:p w14:paraId="7459A217" w14:textId="0F7B13C9" w:rsidR="001F20C2" w:rsidRPr="004749ED" w:rsidRDefault="001F5745" w:rsidP="00877C83">
            <w:pPr>
              <w:pStyle w:val="Tablehead"/>
            </w:pPr>
            <w:bookmarkStart w:id="81" w:name="lt_pId151"/>
            <w:r w:rsidRPr="004749ED">
              <w:t>Relación con las finalidades de 2023</w:t>
            </w:r>
            <w:bookmarkEnd w:id="81"/>
          </w:p>
        </w:tc>
      </w:tr>
      <w:tr w:rsidR="001F20C2" w:rsidRPr="004749ED" w14:paraId="349F71C4" w14:textId="77777777" w:rsidTr="00CC21A2">
        <w:tc>
          <w:tcPr>
            <w:tcW w:w="704" w:type="dxa"/>
            <w:vMerge w:val="restart"/>
            <w:textDirection w:val="btLr"/>
            <w:vAlign w:val="center"/>
          </w:tcPr>
          <w:p w14:paraId="458C0113" w14:textId="70F00D24" w:rsidR="001F20C2" w:rsidRPr="004749ED" w:rsidRDefault="003F3079" w:rsidP="00877C83">
            <w:pPr>
              <w:pStyle w:val="Tabletext"/>
              <w:jc w:val="center"/>
              <w:rPr>
                <w:b/>
                <w:bCs/>
                <w:sz w:val="20"/>
                <w:szCs w:val="20"/>
              </w:rPr>
            </w:pPr>
            <w:bookmarkStart w:id="82" w:name="lt_pId152"/>
            <w:r w:rsidRPr="004749ED">
              <w:rPr>
                <w:b/>
                <w:bCs/>
                <w:sz w:val="20"/>
                <w:szCs w:val="20"/>
              </w:rPr>
              <w:t>Conectividad universal</w:t>
            </w:r>
            <w:bookmarkEnd w:id="82"/>
          </w:p>
        </w:tc>
        <w:tc>
          <w:tcPr>
            <w:tcW w:w="2483" w:type="dxa"/>
          </w:tcPr>
          <w:p w14:paraId="27120661" w14:textId="5AB39BAE" w:rsidR="001F20C2" w:rsidRPr="004749ED" w:rsidRDefault="001F20C2" w:rsidP="00877C83">
            <w:pPr>
              <w:pStyle w:val="Tabletext"/>
            </w:pPr>
            <w:bookmarkStart w:id="83" w:name="lt_pId153"/>
            <w:r w:rsidRPr="004749ED">
              <w:t xml:space="preserve">1.1: </w:t>
            </w:r>
            <w:r w:rsidR="00D62DE7" w:rsidRPr="004749ED">
              <w:t>Cobertura universal de banda ancha</w:t>
            </w:r>
            <w:bookmarkEnd w:id="83"/>
          </w:p>
        </w:tc>
        <w:tc>
          <w:tcPr>
            <w:tcW w:w="2977" w:type="dxa"/>
          </w:tcPr>
          <w:p w14:paraId="798B6DDC" w14:textId="631ED414" w:rsidR="001F20C2" w:rsidRPr="004749ED" w:rsidRDefault="00D62DE7" w:rsidP="00877C83">
            <w:pPr>
              <w:pStyle w:val="Tabletext"/>
              <w:tabs>
                <w:tab w:val="left" w:pos="292"/>
              </w:tabs>
              <w:ind w:left="292" w:hanging="292"/>
            </w:pPr>
            <w:bookmarkStart w:id="84" w:name="lt_pId154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r w:rsidR="002F2B19" w:rsidRPr="004749ED">
              <w:rPr>
                <w:lang w:eastAsia="en-GB"/>
              </w:rPr>
              <w:t>Porcentaje de la población mundial cubierta por los servicios de banda ancha</w:t>
            </w:r>
            <w:r w:rsidR="002F2B19" w:rsidRPr="004749ED">
              <w:rPr>
                <w:rFonts w:eastAsia="Times New Roman" w:cs="Times New Roman"/>
                <w:color w:val="1F497D"/>
                <w:sz w:val="24"/>
                <w:szCs w:val="20"/>
              </w:rPr>
              <w:t xml:space="preserve"> </w:t>
            </w:r>
            <w:r w:rsidR="001F20C2" w:rsidRPr="004749ED">
              <w:t>(</w:t>
            </w:r>
            <w:r w:rsidR="001F5745" w:rsidRPr="004749ED">
              <w:t>también relacionado con Meta 9.1.c de</w:t>
            </w:r>
            <w:r w:rsidR="00E35C4D" w:rsidRPr="004749ED">
              <w:t>l ODS 9</w:t>
            </w:r>
            <w:r w:rsidR="001F20C2" w:rsidRPr="004749ED">
              <w:t>)</w:t>
            </w:r>
            <w:bookmarkEnd w:id="84"/>
          </w:p>
        </w:tc>
        <w:tc>
          <w:tcPr>
            <w:tcW w:w="3612" w:type="dxa"/>
          </w:tcPr>
          <w:p w14:paraId="75027AB8" w14:textId="60B82B60" w:rsidR="001F20C2" w:rsidRPr="004749ED" w:rsidRDefault="00D62DE7" w:rsidP="00877C83">
            <w:pPr>
              <w:pStyle w:val="Tabletext"/>
              <w:rPr>
                <w:highlight w:val="yellow"/>
              </w:rPr>
            </w:pPr>
            <w:r w:rsidRPr="004749ED">
              <w:rPr>
                <w:i/>
                <w:iCs/>
              </w:rPr>
              <w:t>Finalidad 2.7</w:t>
            </w:r>
            <w:r w:rsidRPr="004749ED">
              <w:t>: los servicios de banda ancha lleguen al 96% de la población mundial</w:t>
            </w:r>
          </w:p>
          <w:p w14:paraId="7B2AD0F6" w14:textId="0CC18815" w:rsidR="001F20C2" w:rsidRPr="004749ED" w:rsidRDefault="00866B49" w:rsidP="00877C83">
            <w:pPr>
              <w:pStyle w:val="Tabletext"/>
              <w:rPr>
                <w:rFonts w:cs="Calibri"/>
                <w:highlight w:val="green"/>
              </w:rPr>
            </w:pPr>
            <w:r w:rsidRPr="004749ED">
              <w:rPr>
                <w:i/>
                <w:iCs/>
                <w:lang w:eastAsia="zh-CN"/>
              </w:rPr>
              <w:t>Finalidad 1.6</w:t>
            </w:r>
            <w:r w:rsidRPr="004749ED">
              <w:rPr>
                <w:lang w:eastAsia="zh-CN"/>
              </w:rPr>
              <w:t xml:space="preserve">: más de la mitad de los abonos a la banda ancha del 40% de los países supere los 10 </w:t>
            </w:r>
            <w:proofErr w:type="spellStart"/>
            <w:r w:rsidRPr="004749ED">
              <w:rPr>
                <w:lang w:eastAsia="zh-CN"/>
              </w:rPr>
              <w:t>Mbits</w:t>
            </w:r>
            <w:proofErr w:type="spellEnd"/>
          </w:p>
        </w:tc>
      </w:tr>
      <w:bookmarkEnd w:id="78"/>
      <w:tr w:rsidR="001F20C2" w:rsidRPr="004749ED" w14:paraId="6F56CC3A" w14:textId="77777777" w:rsidTr="00CC21A2">
        <w:tc>
          <w:tcPr>
            <w:tcW w:w="704" w:type="dxa"/>
            <w:vMerge/>
            <w:vAlign w:val="center"/>
          </w:tcPr>
          <w:p w14:paraId="63DC448B" w14:textId="77777777" w:rsidR="001F20C2" w:rsidRPr="004749ED" w:rsidRDefault="001F20C2" w:rsidP="00877C83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3" w:type="dxa"/>
          </w:tcPr>
          <w:p w14:paraId="143E6842" w14:textId="35E14D10" w:rsidR="001F20C2" w:rsidRPr="004749ED" w:rsidRDefault="001F20C2" w:rsidP="00877C83">
            <w:pPr>
              <w:pStyle w:val="Tabletext"/>
            </w:pPr>
            <w:bookmarkStart w:id="85" w:name="lt_pId157"/>
            <w:r w:rsidRPr="004749ED">
              <w:t xml:space="preserve">1.2: </w:t>
            </w:r>
            <w:r w:rsidR="00D62DE7" w:rsidRPr="004749ED">
              <w:t>Servicios de banda ancha asequibles para todos</w:t>
            </w:r>
            <w:bookmarkEnd w:id="85"/>
          </w:p>
        </w:tc>
        <w:tc>
          <w:tcPr>
            <w:tcW w:w="2977" w:type="dxa"/>
          </w:tcPr>
          <w:p w14:paraId="393264B3" w14:textId="5E088790" w:rsidR="001F20C2" w:rsidRPr="004749ED" w:rsidRDefault="00D62DE7" w:rsidP="00877C83">
            <w:pPr>
              <w:pStyle w:val="Tabletext"/>
              <w:tabs>
                <w:tab w:val="left" w:pos="292"/>
              </w:tabs>
              <w:ind w:left="292" w:hanging="292"/>
            </w:pPr>
            <w:bookmarkStart w:id="86" w:name="lt_pId158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r w:rsidR="00946196" w:rsidRPr="004749ED">
              <w:rPr>
                <w:lang w:eastAsia="en-GB"/>
              </w:rPr>
              <w:t>Costo de los servicios de banda ancha de nivel básico en los países en desarrollo como porcentaje del Ingreso Nacional Bruto (INB) mensual per cápita</w:t>
            </w:r>
            <w:r w:rsidR="001F20C2" w:rsidRPr="004749ED">
              <w:t>.</w:t>
            </w:r>
            <w:bookmarkEnd w:id="86"/>
          </w:p>
        </w:tc>
        <w:tc>
          <w:tcPr>
            <w:tcW w:w="3612" w:type="dxa"/>
          </w:tcPr>
          <w:p w14:paraId="5D4DEDC2" w14:textId="20233415" w:rsidR="001F20C2" w:rsidRPr="004749ED" w:rsidRDefault="00D62DE7" w:rsidP="00877C83">
            <w:pPr>
              <w:pStyle w:val="Tabletext"/>
              <w:rPr>
                <w:i/>
                <w:iCs/>
                <w:highlight w:val="green"/>
              </w:rPr>
            </w:pPr>
            <w:r w:rsidRPr="004749ED">
              <w:rPr>
                <w:i/>
                <w:iCs/>
              </w:rPr>
              <w:t>Finalidad 2.6</w:t>
            </w:r>
            <w:r w:rsidRPr="004749ED">
              <w:t>: el precio de los servicios de banda ancha no supere el 3% de la renta mensual media en los países en desarrollo</w:t>
            </w:r>
          </w:p>
          <w:p w14:paraId="11A7174D" w14:textId="41D80903" w:rsidR="001F20C2" w:rsidRPr="004749ED" w:rsidRDefault="00866B49" w:rsidP="00877C83">
            <w:pPr>
              <w:pStyle w:val="Tabletext"/>
              <w:rPr>
                <w:highlight w:val="green"/>
              </w:rPr>
            </w:pPr>
            <w:bookmarkStart w:id="87" w:name="lt_pId160"/>
            <w:r w:rsidRPr="004749ED">
              <w:rPr>
                <w:i/>
                <w:iCs/>
                <w:lang w:eastAsia="zh-CN"/>
              </w:rPr>
              <w:t>Finalidad 1.3</w:t>
            </w:r>
            <w:r w:rsidR="001F20C2" w:rsidRPr="004749ED">
              <w:t xml:space="preserve">: </w:t>
            </w:r>
            <w:bookmarkEnd w:id="87"/>
            <w:r w:rsidRPr="004749ED">
              <w:rPr>
                <w:lang w:eastAsia="zh-CN"/>
              </w:rPr>
              <w:t xml:space="preserve">el acceso a Internet </w:t>
            </w:r>
            <w:r w:rsidRPr="004749ED">
              <w:t>sea</w:t>
            </w:r>
            <w:r w:rsidRPr="004749ED">
              <w:rPr>
                <w:lang w:eastAsia="zh-CN"/>
              </w:rPr>
              <w:t xml:space="preserve"> un 25% más asequible (año de referencia: 2017)</w:t>
            </w:r>
            <w:r w:rsidRPr="004749ED">
              <w:rPr>
                <w:rFonts w:cs="Calibri"/>
                <w:b/>
                <w:color w:val="800000"/>
              </w:rPr>
              <w:t xml:space="preserve"> </w:t>
            </w:r>
          </w:p>
          <w:p w14:paraId="5235A70F" w14:textId="3E3F48EA" w:rsidR="001F20C2" w:rsidRPr="004749ED" w:rsidRDefault="00D62DE7" w:rsidP="00877C83">
            <w:pPr>
              <w:pStyle w:val="Tabletext"/>
            </w:pPr>
            <w:r w:rsidRPr="004749ED">
              <w:rPr>
                <w:i/>
                <w:iCs/>
              </w:rPr>
              <w:t>Finalidad 2.5</w:t>
            </w:r>
            <w:r w:rsidRPr="004749ED">
              <w:t>: la brecha de la asequibilidad entre los países desarrollados y en desarrollo se haya reducido un 25% (año de referencia: 2017)</w:t>
            </w:r>
          </w:p>
        </w:tc>
      </w:tr>
      <w:tr w:rsidR="001F20C2" w:rsidRPr="004749ED" w14:paraId="394C627A" w14:textId="77777777" w:rsidTr="00CC21A2">
        <w:tc>
          <w:tcPr>
            <w:tcW w:w="704" w:type="dxa"/>
            <w:vMerge/>
            <w:vAlign w:val="center"/>
          </w:tcPr>
          <w:p w14:paraId="6FE5CED8" w14:textId="77777777" w:rsidR="001F20C2" w:rsidRPr="004749ED" w:rsidRDefault="001F20C2" w:rsidP="00877C83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3" w:type="dxa"/>
          </w:tcPr>
          <w:p w14:paraId="5E3D2562" w14:textId="727DB0A2" w:rsidR="001F20C2" w:rsidRPr="004749ED" w:rsidRDefault="001F20C2" w:rsidP="00877C83">
            <w:pPr>
              <w:pStyle w:val="Tabletext"/>
            </w:pPr>
            <w:bookmarkStart w:id="88" w:name="lt_pId162"/>
            <w:r w:rsidRPr="004749ED">
              <w:t xml:space="preserve">1.3: </w:t>
            </w:r>
            <w:r w:rsidR="00D62DE7" w:rsidRPr="004749ED">
              <w:t>Acceso de banda ancha a todos los hogares</w:t>
            </w:r>
            <w:bookmarkEnd w:id="88"/>
          </w:p>
        </w:tc>
        <w:tc>
          <w:tcPr>
            <w:tcW w:w="2977" w:type="dxa"/>
          </w:tcPr>
          <w:p w14:paraId="6AD0169D" w14:textId="556B509C" w:rsidR="001F20C2" w:rsidRPr="004749ED" w:rsidRDefault="00D62DE7" w:rsidP="00877C83">
            <w:pPr>
              <w:pStyle w:val="Tabletext"/>
              <w:tabs>
                <w:tab w:val="left" w:pos="292"/>
              </w:tabs>
              <w:ind w:left="292" w:hanging="292"/>
            </w:pPr>
            <w:bookmarkStart w:id="89" w:name="lt_pId163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r w:rsidR="00946196" w:rsidRPr="004749ED">
              <w:rPr>
                <w:lang w:eastAsia="en-GB"/>
              </w:rPr>
              <w:t>Porcentaje de hogares con acceso a Internet (por nivel de desarrollo; urbano/rural)</w:t>
            </w:r>
            <w:bookmarkEnd w:id="89"/>
          </w:p>
        </w:tc>
        <w:tc>
          <w:tcPr>
            <w:tcW w:w="3612" w:type="dxa"/>
          </w:tcPr>
          <w:p w14:paraId="4C006218" w14:textId="4D5B7E08" w:rsidR="001F20C2" w:rsidRPr="004749ED" w:rsidRDefault="00866B49" w:rsidP="00877C83">
            <w:pPr>
              <w:pStyle w:val="Tabletext"/>
              <w:rPr>
                <w:highlight w:val="green"/>
              </w:rPr>
            </w:pPr>
            <w:bookmarkStart w:id="90" w:name="lt_pId164"/>
            <w:r w:rsidRPr="004749ED">
              <w:rPr>
                <w:i/>
                <w:iCs/>
              </w:rPr>
              <w:t xml:space="preserve">Finalidad </w:t>
            </w:r>
            <w:r w:rsidR="001F20C2" w:rsidRPr="004749ED">
              <w:rPr>
                <w:i/>
                <w:iCs/>
              </w:rPr>
              <w:t>1.1</w:t>
            </w:r>
            <w:r w:rsidR="001F20C2" w:rsidRPr="004749ED">
              <w:t xml:space="preserve">: </w:t>
            </w:r>
            <w:bookmarkEnd w:id="90"/>
            <w:r w:rsidRPr="004749ED">
              <w:rPr>
                <w:lang w:eastAsia="zh-CN"/>
              </w:rPr>
              <w:t xml:space="preserve">el 65% de los hogares </w:t>
            </w:r>
            <w:r w:rsidRPr="004749ED">
              <w:t>del</w:t>
            </w:r>
            <w:r w:rsidRPr="004749ED">
              <w:rPr>
                <w:lang w:eastAsia="zh-CN"/>
              </w:rPr>
              <w:t xml:space="preserve"> mundo tenga acceso a Internet</w:t>
            </w:r>
          </w:p>
          <w:p w14:paraId="1AE05812" w14:textId="77777777" w:rsidR="00D62DE7" w:rsidRPr="004749ED" w:rsidRDefault="00D62DE7" w:rsidP="00877C83">
            <w:pPr>
              <w:pStyle w:val="Tabletext"/>
            </w:pPr>
            <w:r w:rsidRPr="004749ED">
              <w:rPr>
                <w:i/>
                <w:iCs/>
              </w:rPr>
              <w:t>Finalidad 2.1</w:t>
            </w:r>
            <w:r w:rsidRPr="004749ED">
              <w:t>: el 60% de los hogares de los países en desarrollo tenga acceso a Internet</w:t>
            </w:r>
          </w:p>
          <w:p w14:paraId="7723F3C9" w14:textId="2B9F5C5E" w:rsidR="001F20C2" w:rsidRPr="004749ED" w:rsidRDefault="00D62DE7" w:rsidP="00877C83">
            <w:pPr>
              <w:pStyle w:val="Tabletext"/>
            </w:pPr>
            <w:r w:rsidRPr="004749ED">
              <w:rPr>
                <w:i/>
                <w:iCs/>
              </w:rPr>
              <w:t>Finalidad 2.2</w:t>
            </w:r>
            <w:r w:rsidRPr="004749ED">
              <w:t>: el 30% de los hogares de los países menos adelantados tenga acceso a Internet</w:t>
            </w:r>
          </w:p>
        </w:tc>
      </w:tr>
      <w:tr w:rsidR="001F20C2" w:rsidRPr="004749ED" w14:paraId="30452115" w14:textId="77777777" w:rsidTr="00CC21A2">
        <w:tc>
          <w:tcPr>
            <w:tcW w:w="704" w:type="dxa"/>
            <w:vMerge w:val="restart"/>
            <w:textDirection w:val="btLr"/>
            <w:vAlign w:val="center"/>
          </w:tcPr>
          <w:p w14:paraId="426AB0EC" w14:textId="514D7FD0" w:rsidR="001F20C2" w:rsidRPr="004749ED" w:rsidRDefault="00946196" w:rsidP="00877C83">
            <w:pPr>
              <w:pStyle w:val="Tabletext"/>
              <w:jc w:val="center"/>
              <w:rPr>
                <w:b/>
                <w:bCs/>
                <w:sz w:val="20"/>
                <w:szCs w:val="20"/>
              </w:rPr>
            </w:pPr>
            <w:bookmarkStart w:id="91" w:name="lt_pId167"/>
            <w:r w:rsidRPr="004749ED">
              <w:rPr>
                <w:b/>
                <w:bCs/>
                <w:sz w:val="20"/>
                <w:szCs w:val="20"/>
              </w:rPr>
              <w:t xml:space="preserve">Transformación digital sostenible </w:t>
            </w:r>
            <w:bookmarkEnd w:id="91"/>
          </w:p>
        </w:tc>
        <w:tc>
          <w:tcPr>
            <w:tcW w:w="2483" w:type="dxa"/>
          </w:tcPr>
          <w:p w14:paraId="121215F8" w14:textId="2DE9B8C4" w:rsidR="001F20C2" w:rsidRPr="004749ED" w:rsidRDefault="001F20C2" w:rsidP="00877C83">
            <w:pPr>
              <w:pStyle w:val="Tabletext"/>
            </w:pPr>
            <w:bookmarkStart w:id="92" w:name="lt_pId168"/>
            <w:r w:rsidRPr="004749ED">
              <w:t xml:space="preserve">2.1: </w:t>
            </w:r>
            <w:r w:rsidR="00D62DE7" w:rsidRPr="004749ED">
              <w:t>Utilización universal de Internet por todas las personas</w:t>
            </w:r>
            <w:bookmarkEnd w:id="92"/>
          </w:p>
        </w:tc>
        <w:tc>
          <w:tcPr>
            <w:tcW w:w="2977" w:type="dxa"/>
          </w:tcPr>
          <w:p w14:paraId="5AE18277" w14:textId="28FD4D80" w:rsidR="001F20C2" w:rsidRPr="004749ED" w:rsidRDefault="00D62DE7" w:rsidP="00877C83">
            <w:pPr>
              <w:pStyle w:val="Tabletext"/>
              <w:tabs>
                <w:tab w:val="left" w:pos="292"/>
              </w:tabs>
              <w:ind w:left="292" w:hanging="292"/>
            </w:pPr>
            <w:bookmarkStart w:id="93" w:name="lt_pId169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r w:rsidR="00946196" w:rsidRPr="004749ED">
              <w:rPr>
                <w:lang w:eastAsia="en-GB"/>
              </w:rPr>
              <w:t>Porcentaje de personas que utilizan Internet (desglosado por zonas urbanas/rurales; agregado por regiones, nivel de desarrollo)</w:t>
            </w:r>
            <w:bookmarkEnd w:id="93"/>
          </w:p>
        </w:tc>
        <w:tc>
          <w:tcPr>
            <w:tcW w:w="3612" w:type="dxa"/>
          </w:tcPr>
          <w:p w14:paraId="1856F1FD" w14:textId="025873CC" w:rsidR="001F20C2" w:rsidRPr="004749ED" w:rsidRDefault="00866B49" w:rsidP="00877C83">
            <w:pPr>
              <w:pStyle w:val="Tabletext"/>
              <w:rPr>
                <w:highlight w:val="green"/>
              </w:rPr>
            </w:pPr>
            <w:r w:rsidRPr="004749ED">
              <w:rPr>
                <w:i/>
                <w:iCs/>
              </w:rPr>
              <w:t>Finalidad 1.2</w:t>
            </w:r>
            <w:r w:rsidRPr="004749ED">
              <w:t xml:space="preserve">: </w:t>
            </w:r>
            <w:r w:rsidRPr="004749ED">
              <w:rPr>
                <w:lang w:eastAsia="zh-CN"/>
              </w:rPr>
              <w:t xml:space="preserve">el 70% de las personas físicas del mundo utilice </w:t>
            </w:r>
            <w:r w:rsidRPr="004749ED">
              <w:t>Internet</w:t>
            </w:r>
          </w:p>
          <w:p w14:paraId="54E7AFFA" w14:textId="77777777" w:rsidR="00D62DE7" w:rsidRPr="004749ED" w:rsidRDefault="00D62DE7" w:rsidP="00877C83">
            <w:pPr>
              <w:pStyle w:val="Tabletext"/>
            </w:pPr>
            <w:r w:rsidRPr="004749ED">
              <w:rPr>
                <w:i/>
                <w:iCs/>
              </w:rPr>
              <w:t>Finalidad 2.3</w:t>
            </w:r>
            <w:r w:rsidRPr="004749ED">
              <w:t>: el 60% de los habitantes de los países en desarrollo utilice Internet</w:t>
            </w:r>
          </w:p>
          <w:p w14:paraId="1D4D0EFF" w14:textId="5756E7C7" w:rsidR="001F20C2" w:rsidRPr="004749ED" w:rsidRDefault="00D62DE7" w:rsidP="00877C83">
            <w:pPr>
              <w:pStyle w:val="Tabletext"/>
            </w:pPr>
            <w:r w:rsidRPr="004749ED">
              <w:rPr>
                <w:i/>
                <w:iCs/>
              </w:rPr>
              <w:t>Finalidad 2.4</w:t>
            </w:r>
            <w:r w:rsidRPr="004749ED">
              <w:t>: el 30% de los habitantes de los países menos adelantados utilice Internet</w:t>
            </w:r>
          </w:p>
        </w:tc>
      </w:tr>
      <w:tr w:rsidR="001F20C2" w:rsidRPr="004749ED" w14:paraId="19CB5AB0" w14:textId="77777777" w:rsidTr="00CC21A2">
        <w:tc>
          <w:tcPr>
            <w:tcW w:w="704" w:type="dxa"/>
            <w:vMerge/>
          </w:tcPr>
          <w:p w14:paraId="6712F14D" w14:textId="77777777" w:rsidR="001F20C2" w:rsidRPr="004749ED" w:rsidRDefault="001F20C2" w:rsidP="00877C8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83" w:type="dxa"/>
          </w:tcPr>
          <w:p w14:paraId="5CC00C89" w14:textId="6351D8D9" w:rsidR="001F20C2" w:rsidRPr="004749ED" w:rsidRDefault="001F20C2" w:rsidP="00877C83">
            <w:pPr>
              <w:pStyle w:val="Tabletext"/>
            </w:pPr>
            <w:bookmarkStart w:id="94" w:name="lt_pId173"/>
            <w:r w:rsidRPr="004749ED">
              <w:t xml:space="preserve">2.2: </w:t>
            </w:r>
            <w:r w:rsidR="00D62DE7" w:rsidRPr="004749ED">
              <w:t xml:space="preserve">Reducción de todas las brechas digitales (en particular, las de género, </w:t>
            </w:r>
            <w:r w:rsidR="00D62DE7" w:rsidRPr="004749ED">
              <w:lastRenderedPageBreak/>
              <w:t>edad, zonas urbanas/rurales)</w:t>
            </w:r>
            <w:bookmarkEnd w:id="94"/>
          </w:p>
        </w:tc>
        <w:tc>
          <w:tcPr>
            <w:tcW w:w="2977" w:type="dxa"/>
          </w:tcPr>
          <w:p w14:paraId="4EADBD62" w14:textId="4143F23B" w:rsidR="001F20C2" w:rsidRPr="004749ED" w:rsidRDefault="00D62DE7" w:rsidP="00877C83">
            <w:pPr>
              <w:pStyle w:val="Tabletext"/>
              <w:tabs>
                <w:tab w:val="left" w:pos="292"/>
              </w:tabs>
              <w:ind w:left="292" w:hanging="292"/>
            </w:pPr>
            <w:bookmarkStart w:id="95" w:name="lt_pId174"/>
            <w:r w:rsidRPr="004749ED">
              <w:rPr>
                <w:lang w:eastAsia="en-GB"/>
              </w:rPr>
              <w:lastRenderedPageBreak/>
              <w:t>–</w:t>
            </w:r>
            <w:r w:rsidRPr="004749ED">
              <w:rPr>
                <w:lang w:eastAsia="en-GB"/>
              </w:rPr>
              <w:tab/>
            </w:r>
            <w:r w:rsidR="00946196" w:rsidRPr="004749ED">
              <w:t xml:space="preserve">Porcentaje de personas que utilizan Internet </w:t>
            </w:r>
            <w:r w:rsidR="00946196" w:rsidRPr="004749ED">
              <w:lastRenderedPageBreak/>
              <w:t>(desglosado por edad, sexo, accesibilidad)</w:t>
            </w:r>
            <w:bookmarkEnd w:id="95"/>
          </w:p>
        </w:tc>
        <w:tc>
          <w:tcPr>
            <w:tcW w:w="3612" w:type="dxa"/>
          </w:tcPr>
          <w:p w14:paraId="7A473BBA" w14:textId="17610D03" w:rsidR="001F20C2" w:rsidRPr="004749ED" w:rsidRDefault="00D62DE7" w:rsidP="00877C83">
            <w:pPr>
              <w:pStyle w:val="Tabletext"/>
              <w:rPr>
                <w:highlight w:val="green"/>
              </w:rPr>
            </w:pPr>
            <w:r w:rsidRPr="004749ED">
              <w:rPr>
                <w:i/>
                <w:iCs/>
              </w:rPr>
              <w:lastRenderedPageBreak/>
              <w:t>Finalidad 2.8</w:t>
            </w:r>
            <w:r w:rsidRPr="004749ED">
              <w:t xml:space="preserve">: se haya alcanzado la igualdad de género en la utilización </w:t>
            </w:r>
            <w:r w:rsidRPr="004749ED">
              <w:lastRenderedPageBreak/>
              <w:t>de Internet y la propiedad de teléfonos móviles</w:t>
            </w:r>
          </w:p>
        </w:tc>
      </w:tr>
      <w:tr w:rsidR="001F20C2" w:rsidRPr="004749ED" w14:paraId="61C6872B" w14:textId="77777777" w:rsidTr="00CC21A2">
        <w:tc>
          <w:tcPr>
            <w:tcW w:w="704" w:type="dxa"/>
            <w:vMerge/>
          </w:tcPr>
          <w:p w14:paraId="2962DF31" w14:textId="77777777" w:rsidR="001F20C2" w:rsidRPr="004749ED" w:rsidRDefault="001F20C2" w:rsidP="00877C8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83" w:type="dxa"/>
          </w:tcPr>
          <w:p w14:paraId="511918B1" w14:textId="33306D84" w:rsidR="001F20C2" w:rsidRPr="004749ED" w:rsidRDefault="001F20C2" w:rsidP="00877C83">
            <w:pPr>
              <w:pStyle w:val="Tabletext"/>
            </w:pPr>
            <w:bookmarkStart w:id="96" w:name="lt_pId176"/>
            <w:r w:rsidRPr="004749ED">
              <w:t xml:space="preserve">2.3: </w:t>
            </w:r>
            <w:r w:rsidR="00D62DE7" w:rsidRPr="004749ED">
              <w:t>Utilización universal de Internet por todas las empresas</w:t>
            </w:r>
            <w:bookmarkEnd w:id="96"/>
          </w:p>
        </w:tc>
        <w:tc>
          <w:tcPr>
            <w:tcW w:w="2977" w:type="dxa"/>
          </w:tcPr>
          <w:p w14:paraId="4AD5197D" w14:textId="110EA076" w:rsidR="001F20C2" w:rsidRPr="004749ED" w:rsidRDefault="00D62DE7" w:rsidP="00877C83">
            <w:pPr>
              <w:pStyle w:val="Tabletext"/>
              <w:tabs>
                <w:tab w:val="left" w:pos="292"/>
              </w:tabs>
              <w:ind w:left="292" w:hanging="292"/>
            </w:pPr>
            <w:bookmarkStart w:id="97" w:name="lt_pId177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r w:rsidR="00946196" w:rsidRPr="004749ED">
              <w:rPr>
                <w:lang w:eastAsia="en-GB"/>
              </w:rPr>
              <w:t>Porcentaje de empresas que utilizan Internet, total y por tamaño</w:t>
            </w:r>
            <w:bookmarkEnd w:id="97"/>
          </w:p>
        </w:tc>
        <w:tc>
          <w:tcPr>
            <w:tcW w:w="3612" w:type="dxa"/>
          </w:tcPr>
          <w:p w14:paraId="6C3FAC6B" w14:textId="788C9C71" w:rsidR="001F20C2" w:rsidRPr="004749ED" w:rsidRDefault="001F20C2" w:rsidP="00877C83">
            <w:pPr>
              <w:pStyle w:val="Tabletext"/>
              <w:rPr>
                <w:i/>
                <w:iCs/>
              </w:rPr>
            </w:pPr>
            <w:bookmarkStart w:id="98" w:name="lt_pId178"/>
            <w:r w:rsidRPr="004749ED">
              <w:rPr>
                <w:i/>
                <w:iCs/>
              </w:rPr>
              <w:t>(</w:t>
            </w:r>
            <w:r w:rsidR="00946196" w:rsidRPr="004749ED">
              <w:rPr>
                <w:i/>
                <w:iCs/>
              </w:rPr>
              <w:t xml:space="preserve">Se </w:t>
            </w:r>
            <w:r w:rsidR="00735479" w:rsidRPr="004749ED">
              <w:rPr>
                <w:i/>
                <w:iCs/>
              </w:rPr>
              <w:t>inspira en</w:t>
            </w:r>
            <w:r w:rsidR="00946196" w:rsidRPr="004749ED">
              <w:rPr>
                <w:i/>
                <w:iCs/>
              </w:rPr>
              <w:t xml:space="preserve"> </w:t>
            </w:r>
            <w:r w:rsidR="005077F3" w:rsidRPr="004749ED">
              <w:rPr>
                <w:i/>
                <w:iCs/>
              </w:rPr>
              <w:t>el objetivo</w:t>
            </w:r>
            <w:r w:rsidR="00946196" w:rsidRPr="004749ED">
              <w:rPr>
                <w:i/>
                <w:iCs/>
              </w:rPr>
              <w:t xml:space="preserve"> pertinente de </w:t>
            </w:r>
            <w:r w:rsidR="00735479" w:rsidRPr="004749ED">
              <w:rPr>
                <w:i/>
                <w:iCs/>
              </w:rPr>
              <w:t>la</w:t>
            </w:r>
            <w:r w:rsidR="00735479" w:rsidRPr="004749ED">
              <w:t xml:space="preserve"> </w:t>
            </w:r>
            <w:r w:rsidR="00735479" w:rsidRPr="004749ED">
              <w:rPr>
                <w:i/>
                <w:iCs/>
              </w:rPr>
              <w:t>Comisión de Banda Ancha para el Desarrollo Sostenible (</w:t>
            </w:r>
            <w:r w:rsidRPr="004749ED">
              <w:rPr>
                <w:i/>
                <w:iCs/>
              </w:rPr>
              <w:t>BBCOM</w:t>
            </w:r>
            <w:r w:rsidR="00735479" w:rsidRPr="004749ED">
              <w:rPr>
                <w:i/>
                <w:iCs/>
              </w:rPr>
              <w:t>)</w:t>
            </w:r>
            <w:r w:rsidR="00946196" w:rsidRPr="004749ED">
              <w:rPr>
                <w:i/>
                <w:iCs/>
              </w:rPr>
              <w:t xml:space="preserve"> y </w:t>
            </w:r>
            <w:r w:rsidR="00735479" w:rsidRPr="004749ED">
              <w:rPr>
                <w:i/>
                <w:iCs/>
              </w:rPr>
              <w:t xml:space="preserve">se basa </w:t>
            </w:r>
            <w:r w:rsidR="00946196" w:rsidRPr="004749ED">
              <w:rPr>
                <w:i/>
                <w:iCs/>
              </w:rPr>
              <w:t xml:space="preserve">en </w:t>
            </w:r>
            <w:r w:rsidR="00735479" w:rsidRPr="004749ED">
              <w:rPr>
                <w:i/>
                <w:iCs/>
              </w:rPr>
              <w:t xml:space="preserve">los datos disponibles </w:t>
            </w:r>
            <w:r w:rsidR="00946196" w:rsidRPr="004749ED">
              <w:rPr>
                <w:i/>
                <w:iCs/>
              </w:rPr>
              <w:t>de la</w:t>
            </w:r>
            <w:r w:rsidRPr="004749ED">
              <w:rPr>
                <w:i/>
                <w:iCs/>
              </w:rPr>
              <w:t xml:space="preserve"> UNCTAD)</w:t>
            </w:r>
            <w:bookmarkEnd w:id="98"/>
          </w:p>
        </w:tc>
      </w:tr>
      <w:tr w:rsidR="001F20C2" w:rsidRPr="004749ED" w14:paraId="63994458" w14:textId="77777777" w:rsidTr="00CC21A2">
        <w:tc>
          <w:tcPr>
            <w:tcW w:w="704" w:type="dxa"/>
            <w:vMerge/>
          </w:tcPr>
          <w:p w14:paraId="183C7808" w14:textId="77777777" w:rsidR="001F20C2" w:rsidRPr="004749ED" w:rsidRDefault="001F20C2" w:rsidP="00877C8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83" w:type="dxa"/>
          </w:tcPr>
          <w:p w14:paraId="62D58499" w14:textId="294B6A5F" w:rsidR="001F20C2" w:rsidRPr="004749ED" w:rsidRDefault="001F20C2" w:rsidP="00877C83">
            <w:pPr>
              <w:pStyle w:val="Tabletext"/>
            </w:pPr>
            <w:bookmarkStart w:id="99" w:name="lt_pId179"/>
            <w:r w:rsidRPr="004749ED">
              <w:t xml:space="preserve">2.4: </w:t>
            </w:r>
            <w:r w:rsidR="00D62DE7" w:rsidRPr="004749ED">
              <w:t>Acceso universal a Internet para todas las escuelas</w:t>
            </w:r>
            <w:bookmarkEnd w:id="99"/>
          </w:p>
        </w:tc>
        <w:tc>
          <w:tcPr>
            <w:tcW w:w="2977" w:type="dxa"/>
          </w:tcPr>
          <w:p w14:paraId="344CDC8A" w14:textId="45C22B59" w:rsidR="001F20C2" w:rsidRPr="004749ED" w:rsidRDefault="00D62DE7" w:rsidP="00877C83">
            <w:pPr>
              <w:pStyle w:val="Tabletext"/>
              <w:tabs>
                <w:tab w:val="left" w:pos="292"/>
              </w:tabs>
              <w:ind w:left="292" w:hanging="292"/>
            </w:pPr>
            <w:bookmarkStart w:id="100" w:name="lt_pId180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r w:rsidR="00946196" w:rsidRPr="004749ED">
              <w:rPr>
                <w:lang w:eastAsia="en-GB"/>
              </w:rPr>
              <w:t>Porcentaje de escuelas con acceso a Internet</w:t>
            </w:r>
            <w:bookmarkEnd w:id="100"/>
          </w:p>
        </w:tc>
        <w:tc>
          <w:tcPr>
            <w:tcW w:w="3612" w:type="dxa"/>
          </w:tcPr>
          <w:p w14:paraId="03B576C0" w14:textId="7492E5DA" w:rsidR="001F20C2" w:rsidRPr="004749ED" w:rsidRDefault="001F20C2" w:rsidP="00877C83">
            <w:pPr>
              <w:pStyle w:val="Tabletext"/>
              <w:rPr>
                <w:i/>
                <w:iCs/>
              </w:rPr>
            </w:pPr>
            <w:bookmarkStart w:id="101" w:name="lt_pId181"/>
            <w:r w:rsidRPr="004749ED">
              <w:rPr>
                <w:i/>
                <w:iCs/>
              </w:rPr>
              <w:t>(</w:t>
            </w:r>
            <w:r w:rsidR="00CC21A2" w:rsidRPr="004749ED">
              <w:rPr>
                <w:i/>
                <w:iCs/>
              </w:rPr>
              <w:t xml:space="preserve">Medido por la </w:t>
            </w:r>
            <w:r w:rsidRPr="004749ED">
              <w:rPr>
                <w:i/>
                <w:iCs/>
              </w:rPr>
              <w:t xml:space="preserve">UNESCO (UIS), </w:t>
            </w:r>
            <w:r w:rsidR="00E35C4D" w:rsidRPr="004749ED">
              <w:rPr>
                <w:i/>
                <w:iCs/>
              </w:rPr>
              <w:t xml:space="preserve">como parte del indicador </w:t>
            </w:r>
            <w:r w:rsidR="00CC21A2" w:rsidRPr="004749ED">
              <w:rPr>
                <w:i/>
                <w:iCs/>
              </w:rPr>
              <w:t>4.a.1</w:t>
            </w:r>
            <w:r w:rsidR="00E35C4D" w:rsidRPr="004749ED">
              <w:rPr>
                <w:i/>
                <w:iCs/>
              </w:rPr>
              <w:t xml:space="preserve"> del ODS 4</w:t>
            </w:r>
            <w:r w:rsidRPr="004749ED">
              <w:rPr>
                <w:i/>
                <w:iCs/>
              </w:rPr>
              <w:t>)</w:t>
            </w:r>
            <w:bookmarkEnd w:id="101"/>
          </w:p>
        </w:tc>
      </w:tr>
      <w:tr w:rsidR="001F20C2" w:rsidRPr="004749ED" w14:paraId="6D227159" w14:textId="77777777" w:rsidTr="00CC21A2">
        <w:tc>
          <w:tcPr>
            <w:tcW w:w="704" w:type="dxa"/>
            <w:vMerge/>
          </w:tcPr>
          <w:p w14:paraId="09DFBE56" w14:textId="77777777" w:rsidR="001F20C2" w:rsidRPr="004749ED" w:rsidRDefault="001F20C2" w:rsidP="00877C8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83" w:type="dxa"/>
          </w:tcPr>
          <w:p w14:paraId="67959EF7" w14:textId="1E3E8957" w:rsidR="001F20C2" w:rsidRPr="004749ED" w:rsidRDefault="001F20C2" w:rsidP="00877C83">
            <w:pPr>
              <w:pStyle w:val="Tabletext"/>
            </w:pPr>
            <w:bookmarkStart w:id="102" w:name="lt_pId182"/>
            <w:r w:rsidRPr="004749ED">
              <w:t xml:space="preserve">2.5: </w:t>
            </w:r>
            <w:r w:rsidR="00D62DE7" w:rsidRPr="004749ED">
              <w:t>Que la mayor parte de la población disponga de competencias digitales</w:t>
            </w:r>
            <w:bookmarkEnd w:id="102"/>
          </w:p>
        </w:tc>
        <w:tc>
          <w:tcPr>
            <w:tcW w:w="2977" w:type="dxa"/>
          </w:tcPr>
          <w:p w14:paraId="72004CA2" w14:textId="14175835" w:rsidR="001F20C2" w:rsidRPr="004749ED" w:rsidRDefault="00D62DE7" w:rsidP="00877C83">
            <w:pPr>
              <w:pStyle w:val="Tabletext"/>
              <w:tabs>
                <w:tab w:val="left" w:pos="292"/>
              </w:tabs>
              <w:ind w:left="292" w:hanging="292"/>
              <w:rPr>
                <w:rFonts w:cs="Calibri"/>
                <w:highlight w:val="cyan"/>
              </w:rPr>
            </w:pPr>
            <w:bookmarkStart w:id="103" w:name="lt_pId183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bookmarkEnd w:id="103"/>
            <w:r w:rsidR="00866B49" w:rsidRPr="004749ED">
              <w:t>Proporción de jóvenes y adultos con competencias en tecnología de la información y las comunicaciones (TIC), desglosada por tipo de competencia técnica</w:t>
            </w:r>
          </w:p>
        </w:tc>
        <w:tc>
          <w:tcPr>
            <w:tcW w:w="3612" w:type="dxa"/>
          </w:tcPr>
          <w:p w14:paraId="1088DA11" w14:textId="49E1BA29" w:rsidR="001F20C2" w:rsidRPr="004749ED" w:rsidRDefault="00D62DE7" w:rsidP="00877C83">
            <w:pPr>
              <w:pStyle w:val="Tabletext"/>
              <w:rPr>
                <w:highlight w:val="green"/>
              </w:rPr>
            </w:pPr>
            <w:r w:rsidRPr="004749ED">
              <w:rPr>
                <w:i/>
                <w:iCs/>
              </w:rPr>
              <w:t>Finalidad 2.10</w:t>
            </w:r>
            <w:r w:rsidRPr="004749ED">
              <w:t>: la proporción de jóvenes/adultos con competencias en materia de telecomunicaciones/TIC haya aumentado un 40%</w:t>
            </w:r>
          </w:p>
        </w:tc>
      </w:tr>
      <w:tr w:rsidR="001F20C2" w:rsidRPr="004749ED" w14:paraId="3D376564" w14:textId="77777777" w:rsidTr="00CC21A2">
        <w:tc>
          <w:tcPr>
            <w:tcW w:w="704" w:type="dxa"/>
            <w:vMerge/>
          </w:tcPr>
          <w:p w14:paraId="5D6365DB" w14:textId="77777777" w:rsidR="001F20C2" w:rsidRPr="004749ED" w:rsidRDefault="001F20C2" w:rsidP="00877C8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83" w:type="dxa"/>
          </w:tcPr>
          <w:p w14:paraId="49476C95" w14:textId="1B4ABCC0" w:rsidR="001F20C2" w:rsidRPr="004749ED" w:rsidRDefault="001F20C2" w:rsidP="00877C83">
            <w:pPr>
              <w:pStyle w:val="Tabletext"/>
            </w:pPr>
            <w:bookmarkStart w:id="104" w:name="lt_pId185"/>
            <w:r w:rsidRPr="004749ED">
              <w:t xml:space="preserve">2.6: </w:t>
            </w:r>
            <w:r w:rsidR="00D62DE7" w:rsidRPr="004749ED">
              <w:t>Que la mayor parte de la población interactúe con servicios gubernamentales en línea</w:t>
            </w:r>
            <w:bookmarkEnd w:id="104"/>
          </w:p>
        </w:tc>
        <w:tc>
          <w:tcPr>
            <w:tcW w:w="2977" w:type="dxa"/>
          </w:tcPr>
          <w:p w14:paraId="541D6ACB" w14:textId="20F34D01" w:rsidR="001F20C2" w:rsidRPr="004749ED" w:rsidRDefault="00D62DE7" w:rsidP="00877C83">
            <w:pPr>
              <w:pStyle w:val="Tabletext"/>
              <w:tabs>
                <w:tab w:val="left" w:pos="292"/>
              </w:tabs>
              <w:ind w:left="292" w:hanging="292"/>
              <w:rPr>
                <w:rFonts w:cs="Calibri"/>
                <w:highlight w:val="cyan"/>
              </w:rPr>
            </w:pPr>
            <w:bookmarkStart w:id="105" w:name="lt_pId186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bookmarkEnd w:id="105"/>
            <w:r w:rsidR="00866B49" w:rsidRPr="004749ED">
              <w:t>% de la población utilice servicios gubernamentales en línea</w:t>
            </w:r>
          </w:p>
        </w:tc>
        <w:tc>
          <w:tcPr>
            <w:tcW w:w="3612" w:type="dxa"/>
          </w:tcPr>
          <w:p w14:paraId="0796BF59" w14:textId="151A7F36" w:rsidR="001F20C2" w:rsidRPr="004749ED" w:rsidRDefault="00D62DE7" w:rsidP="00877C83">
            <w:pPr>
              <w:pStyle w:val="Tabletext"/>
              <w:rPr>
                <w:highlight w:val="green"/>
              </w:rPr>
            </w:pPr>
            <w:r w:rsidRPr="004749ED">
              <w:rPr>
                <w:i/>
                <w:iCs/>
              </w:rPr>
              <w:t>Finalidad 1.7</w:t>
            </w:r>
            <w:r w:rsidRPr="004749ED">
              <w:t>: el 40% de la población utilice servicios gubernamentales en línea</w:t>
            </w:r>
          </w:p>
        </w:tc>
      </w:tr>
      <w:tr w:rsidR="001F20C2" w:rsidRPr="004749ED" w14:paraId="2ABEFCA0" w14:textId="77777777" w:rsidTr="00CC21A2">
        <w:tc>
          <w:tcPr>
            <w:tcW w:w="704" w:type="dxa"/>
            <w:vMerge/>
          </w:tcPr>
          <w:p w14:paraId="11397FAD" w14:textId="77777777" w:rsidR="001F20C2" w:rsidRPr="004749ED" w:rsidRDefault="001F20C2" w:rsidP="00877C83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83" w:type="dxa"/>
          </w:tcPr>
          <w:p w14:paraId="65E3DB39" w14:textId="4F81B3EB" w:rsidR="001F20C2" w:rsidRPr="004749ED" w:rsidRDefault="001F20C2" w:rsidP="00877C83">
            <w:pPr>
              <w:pStyle w:val="Tabletext"/>
            </w:pPr>
            <w:bookmarkStart w:id="106" w:name="lt_pId188"/>
            <w:r w:rsidRPr="004749ED">
              <w:t xml:space="preserve">2.7: </w:t>
            </w:r>
            <w:r w:rsidR="00D62DE7" w:rsidRPr="004749ED">
              <w:t>Mejora significativa de la contribución de las</w:t>
            </w:r>
            <w:r w:rsidR="00877C83" w:rsidRPr="004749ED">
              <w:t> </w:t>
            </w:r>
            <w:r w:rsidR="00D62DE7" w:rsidRPr="004749ED">
              <w:t>TIC a la acción climática</w:t>
            </w:r>
            <w:bookmarkEnd w:id="106"/>
          </w:p>
        </w:tc>
        <w:tc>
          <w:tcPr>
            <w:tcW w:w="2977" w:type="dxa"/>
          </w:tcPr>
          <w:p w14:paraId="715E0F91" w14:textId="6B8D11FF" w:rsidR="001F20C2" w:rsidRPr="004749ED" w:rsidRDefault="00D62DE7" w:rsidP="00877C83">
            <w:pPr>
              <w:pStyle w:val="Tabletext"/>
              <w:tabs>
                <w:tab w:val="left" w:pos="292"/>
              </w:tabs>
              <w:ind w:left="292" w:hanging="292"/>
              <w:rPr>
                <w:highlight w:val="cyan"/>
              </w:rPr>
            </w:pPr>
            <w:bookmarkStart w:id="107" w:name="lt_pId189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r w:rsidR="00866B49" w:rsidRPr="004749ED">
              <w:t>tasa mundial de reciclaje de residuos electrónicos</w:t>
            </w:r>
            <w:bookmarkEnd w:id="107"/>
          </w:p>
          <w:p w14:paraId="4088232A" w14:textId="2435493C" w:rsidR="001F20C2" w:rsidRPr="004749ED" w:rsidRDefault="00D62DE7" w:rsidP="00877C83">
            <w:pPr>
              <w:pStyle w:val="Tabletext"/>
              <w:tabs>
                <w:tab w:val="left" w:pos="292"/>
              </w:tabs>
              <w:ind w:left="292" w:hanging="292"/>
            </w:pPr>
            <w:bookmarkStart w:id="108" w:name="lt_pId190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bookmarkEnd w:id="108"/>
            <w:r w:rsidR="00866B49" w:rsidRPr="004749ED">
              <w:t>reducción neta de las emisiones de gases de efecto invernadero propiciada por las telecomunicaciones/TIC</w:t>
            </w:r>
          </w:p>
          <w:p w14:paraId="41B9D4E7" w14:textId="06277C20" w:rsidR="001F20C2" w:rsidRPr="004749ED" w:rsidRDefault="00D62DE7" w:rsidP="00877C83">
            <w:pPr>
              <w:pStyle w:val="Tabletext"/>
              <w:tabs>
                <w:tab w:val="left" w:pos="292"/>
              </w:tabs>
              <w:ind w:left="292" w:hanging="292"/>
            </w:pPr>
            <w:bookmarkStart w:id="109" w:name="lt_pId191"/>
            <w:r w:rsidRPr="004749ED">
              <w:rPr>
                <w:lang w:eastAsia="en-GB"/>
              </w:rPr>
              <w:t>–</w:t>
            </w:r>
            <w:r w:rsidRPr="004749ED">
              <w:rPr>
                <w:lang w:eastAsia="en-GB"/>
              </w:rPr>
              <w:tab/>
            </w:r>
            <w:r w:rsidR="00CC21A2" w:rsidRPr="004749ED">
              <w:rPr>
                <w:lang w:eastAsia="en-GB"/>
              </w:rPr>
              <w:t>Huella de carbono total de las TIC (desglosada por tipo de servicio/proveedor)</w:t>
            </w:r>
            <w:bookmarkEnd w:id="109"/>
          </w:p>
        </w:tc>
        <w:tc>
          <w:tcPr>
            <w:tcW w:w="3612" w:type="dxa"/>
          </w:tcPr>
          <w:p w14:paraId="1129892C" w14:textId="2F298DBF" w:rsidR="001F20C2" w:rsidRPr="004749ED" w:rsidRDefault="00D62DE7" w:rsidP="00877C83">
            <w:pPr>
              <w:pStyle w:val="Tabletext"/>
              <w:rPr>
                <w:highlight w:val="green"/>
              </w:rPr>
            </w:pPr>
            <w:r w:rsidRPr="004749ED">
              <w:rPr>
                <w:i/>
                <w:iCs/>
              </w:rPr>
              <w:t>Finalidad 3.2</w:t>
            </w:r>
            <w:r w:rsidRPr="004749ED">
              <w:t>: se haya aumentado en un 30% la tasa mundial de reciclaje de residuos electrónicos</w:t>
            </w:r>
          </w:p>
          <w:p w14:paraId="01801C01" w14:textId="541C4A8A" w:rsidR="001F20C2" w:rsidRPr="004749ED" w:rsidRDefault="00D62DE7" w:rsidP="00877C83">
            <w:pPr>
              <w:pStyle w:val="Tabletext"/>
            </w:pPr>
            <w:r w:rsidRPr="004749ED">
              <w:rPr>
                <w:i/>
                <w:iCs/>
              </w:rPr>
              <w:t>Finalidad 3.4</w:t>
            </w:r>
            <w:r w:rsidRPr="004749ED">
              <w:t>: la reducción neta de las emisiones de gases de efecto invernadero propiciada por las telecomunicaciones/TIC haya aumentado un 30% en comparación con el año de referencia, es decir, 2015</w:t>
            </w:r>
          </w:p>
        </w:tc>
      </w:tr>
    </w:tbl>
    <w:p w14:paraId="7BEE4AAF" w14:textId="3A27416C" w:rsidR="001F20C2" w:rsidRPr="004749ED" w:rsidRDefault="00CC21A2" w:rsidP="00CA696A">
      <w:bookmarkStart w:id="110" w:name="lt_pId194"/>
      <w:r w:rsidRPr="004749ED">
        <w:t>Las finalidades actuales que se recogerán en las realizaciones de las prioridades temáticas son las siguientes:</w:t>
      </w:r>
      <w:bookmarkEnd w:id="110"/>
    </w:p>
    <w:p w14:paraId="090E3D81" w14:textId="081A1FD3" w:rsidR="00866B49" w:rsidRPr="004749ED" w:rsidRDefault="00866B49" w:rsidP="000117FD">
      <w:pPr>
        <w:pStyle w:val="enumlev1"/>
      </w:pPr>
      <w:r w:rsidRPr="004749ED">
        <w:rPr>
          <w:sz w:val="22"/>
          <w:szCs w:val="22"/>
          <w:lang w:eastAsia="en-GB"/>
        </w:rPr>
        <w:t>–</w:t>
      </w:r>
      <w:r w:rsidRPr="004749ED">
        <w:rPr>
          <w:sz w:val="22"/>
          <w:szCs w:val="22"/>
          <w:lang w:eastAsia="en-GB"/>
        </w:rPr>
        <w:tab/>
      </w:r>
      <w:r w:rsidRPr="004749ED">
        <w:t>Finalidad 1.4: todos los países hayan adoptado una agenda/estrategia digital</w:t>
      </w:r>
    </w:p>
    <w:p w14:paraId="38BC040C" w14:textId="0565CDCE" w:rsidR="001F20C2" w:rsidRPr="004749ED" w:rsidRDefault="00866B49" w:rsidP="000117FD">
      <w:pPr>
        <w:pStyle w:val="enumlev1"/>
      </w:pPr>
      <w:r w:rsidRPr="004749ED">
        <w:rPr>
          <w:sz w:val="22"/>
          <w:szCs w:val="22"/>
          <w:lang w:eastAsia="en-GB"/>
        </w:rPr>
        <w:t>–</w:t>
      </w:r>
      <w:r w:rsidRPr="004749ED">
        <w:rPr>
          <w:sz w:val="22"/>
          <w:szCs w:val="22"/>
          <w:lang w:eastAsia="en-GB"/>
        </w:rPr>
        <w:tab/>
      </w:r>
      <w:r w:rsidRPr="004749ED">
        <w:t>Finalidad 1.5: los abonos a la banda ancha hayan aumentado un 50%</w:t>
      </w:r>
    </w:p>
    <w:p w14:paraId="1FF40811" w14:textId="3DA45750" w:rsidR="001F20C2" w:rsidRPr="004749ED" w:rsidRDefault="00866B49" w:rsidP="000117FD">
      <w:pPr>
        <w:pStyle w:val="enumlev1"/>
        <w:rPr>
          <w:highlight w:val="green"/>
        </w:rPr>
      </w:pPr>
      <w:r w:rsidRPr="004749ED">
        <w:rPr>
          <w:sz w:val="22"/>
          <w:szCs w:val="22"/>
          <w:lang w:eastAsia="en-GB"/>
        </w:rPr>
        <w:t>–</w:t>
      </w:r>
      <w:r w:rsidRPr="004749ED">
        <w:rPr>
          <w:sz w:val="22"/>
          <w:szCs w:val="22"/>
          <w:lang w:eastAsia="en-GB"/>
        </w:rPr>
        <w:tab/>
      </w:r>
      <w:r w:rsidRPr="004749ED">
        <w:t>Finalidad 2.9: todos los países hayan creado entornos propicios que permitan a las personas con discapacidad acceder a las telecomunicaciones/TIC</w:t>
      </w:r>
    </w:p>
    <w:p w14:paraId="6FE6477E" w14:textId="1F393270" w:rsidR="001F20C2" w:rsidRPr="004749ED" w:rsidRDefault="00866B49" w:rsidP="000117FD">
      <w:pPr>
        <w:pStyle w:val="enumlev1"/>
      </w:pPr>
      <w:r w:rsidRPr="004749ED">
        <w:rPr>
          <w:sz w:val="22"/>
          <w:szCs w:val="22"/>
          <w:lang w:eastAsia="en-GB"/>
        </w:rPr>
        <w:t>–</w:t>
      </w:r>
      <w:r w:rsidRPr="004749ED">
        <w:rPr>
          <w:sz w:val="22"/>
          <w:szCs w:val="22"/>
          <w:lang w:eastAsia="en-GB"/>
        </w:rPr>
        <w:tab/>
      </w:r>
      <w:r w:rsidRPr="004749ED">
        <w:t>Finalidad 3.1: la preparación en términos de ciberseguridad de los países haya mejorado, con competencias clave: creación de estrategias, equipos de intervención en caso de emergencia/incidente informático y legislación conexa</w:t>
      </w:r>
    </w:p>
    <w:p w14:paraId="7051AC60" w14:textId="330F45D5" w:rsidR="001F20C2" w:rsidRPr="004749ED" w:rsidRDefault="00866B49" w:rsidP="000117FD">
      <w:pPr>
        <w:pStyle w:val="enumlev1"/>
      </w:pPr>
      <w:r w:rsidRPr="004749ED">
        <w:rPr>
          <w:sz w:val="22"/>
          <w:szCs w:val="22"/>
          <w:lang w:eastAsia="en-GB"/>
        </w:rPr>
        <w:lastRenderedPageBreak/>
        <w:t>–</w:t>
      </w:r>
      <w:r w:rsidRPr="004749ED">
        <w:rPr>
          <w:sz w:val="22"/>
          <w:szCs w:val="22"/>
          <w:lang w:eastAsia="en-GB"/>
        </w:rPr>
        <w:tab/>
      </w:r>
      <w:r w:rsidRPr="004749ED">
        <w:t>Finalidad 3.3: se haya duplicado el porcentaje de países dotados de una legislación en materia de residuos electrónicos</w:t>
      </w:r>
    </w:p>
    <w:p w14:paraId="084EC59B" w14:textId="11AF9126" w:rsidR="001F20C2" w:rsidRPr="004749ED" w:rsidRDefault="00866B49" w:rsidP="000117FD">
      <w:pPr>
        <w:pStyle w:val="enumlev1"/>
      </w:pPr>
      <w:r w:rsidRPr="004749ED">
        <w:rPr>
          <w:sz w:val="22"/>
          <w:szCs w:val="22"/>
          <w:lang w:eastAsia="en-GB"/>
        </w:rPr>
        <w:t>–</w:t>
      </w:r>
      <w:r w:rsidRPr="004749ED">
        <w:rPr>
          <w:sz w:val="22"/>
          <w:szCs w:val="22"/>
          <w:lang w:eastAsia="en-GB"/>
        </w:rPr>
        <w:tab/>
      </w:r>
      <w:r w:rsidRPr="004749ED">
        <w:t>Finalidad 3.5: todos los países hayan integrado un plan nacional de telecomunicaciones de emergencia en sus estrategias nacionales y locales de reducción del riesgo de catástrofes</w:t>
      </w:r>
    </w:p>
    <w:p w14:paraId="50FF7FFC" w14:textId="216D57AF" w:rsidR="001F20C2" w:rsidRPr="004749ED" w:rsidRDefault="00CC21A2" w:rsidP="004D6ECA">
      <w:bookmarkStart w:id="111" w:name="lt_pId201"/>
      <w:r w:rsidRPr="004749ED">
        <w:t xml:space="preserve">Las finalidades 4.1 y 5.1 </w:t>
      </w:r>
      <w:r w:rsidR="004D46D8" w:rsidRPr="004749ED">
        <w:t xml:space="preserve">actuales </w:t>
      </w:r>
      <w:r w:rsidRPr="004749ED">
        <w:t xml:space="preserve">representan metas que </w:t>
      </w:r>
      <w:r w:rsidR="009548CD" w:rsidRPr="004749ED">
        <w:t>constituyen medios para alcanzar un fin, y no un fin en sí mismas</w:t>
      </w:r>
      <w:r w:rsidRPr="004749ED">
        <w:t xml:space="preserve">, y su medición ha resultado ser sumamente difícil (en la actualidad se miden mediante indicadores </w:t>
      </w:r>
      <w:r w:rsidR="009548CD" w:rsidRPr="004749ED">
        <w:t>sustitutos</w:t>
      </w:r>
      <w:r w:rsidRPr="004749ED">
        <w:t>).</w:t>
      </w:r>
      <w:bookmarkEnd w:id="111"/>
    </w:p>
    <w:p w14:paraId="74DDB49F" w14:textId="55EE9CC8" w:rsidR="001F20C2" w:rsidRPr="004749ED" w:rsidRDefault="005C73F2" w:rsidP="004D6ECA">
      <w:pPr>
        <w:pStyle w:val="Heading2"/>
      </w:pPr>
      <w:r w:rsidRPr="004749ED">
        <w:t>4</w:t>
      </w:r>
      <w:r w:rsidR="001F20C2" w:rsidRPr="004749ED">
        <w:t>.2</w:t>
      </w:r>
      <w:bookmarkStart w:id="112" w:name="lt_pId203"/>
      <w:r w:rsidRPr="004749ED">
        <w:tab/>
      </w:r>
      <w:r w:rsidR="009548CD" w:rsidRPr="004749ED">
        <w:t>Prioridades temáticas y realizaciones</w:t>
      </w:r>
      <w:bookmarkEnd w:id="112"/>
    </w:p>
    <w:p w14:paraId="78671BF0" w14:textId="4808880D" w:rsidR="001F20C2" w:rsidRPr="004749ED" w:rsidRDefault="009548CD" w:rsidP="004D6ECA">
      <w:pPr>
        <w:rPr>
          <w:b/>
        </w:rPr>
      </w:pPr>
      <w:bookmarkStart w:id="113" w:name="lt_pId204"/>
      <w:r w:rsidRPr="004749ED">
        <w:rPr>
          <w:b/>
        </w:rPr>
        <w:t>Prioridades temáticas</w:t>
      </w:r>
      <w:bookmarkEnd w:id="113"/>
    </w:p>
    <w:p w14:paraId="26A7C0D9" w14:textId="1CCB2AC0" w:rsidR="001F20C2" w:rsidRPr="004749ED" w:rsidRDefault="009548CD" w:rsidP="004D6ECA">
      <w:bookmarkStart w:id="114" w:name="lt_pId205"/>
      <w:r w:rsidRPr="004749ED">
        <w:t xml:space="preserve">En </w:t>
      </w:r>
      <w:r w:rsidR="004D46D8" w:rsidRPr="004749ED">
        <w:t>atención</w:t>
      </w:r>
      <w:r w:rsidRPr="004749ED">
        <w:t xml:space="preserve"> a las orientaciones de los miembros en relación con el aprovechamiento de las sinergias, la simplificación y </w:t>
      </w:r>
      <w:r w:rsidR="00353121" w:rsidRPr="004749ED">
        <w:t>la concreción d</w:t>
      </w:r>
      <w:r w:rsidRPr="004749ED">
        <w:t>el Plan Estratégico, se han introducido prioridades temáticas que muestran los principales</w:t>
      </w:r>
      <w:r w:rsidR="004D46D8" w:rsidRPr="004749ED">
        <w:t xml:space="preserve"> </w:t>
      </w:r>
      <w:bookmarkStart w:id="115" w:name="lt_pId206"/>
      <w:bookmarkEnd w:id="114"/>
      <w:r w:rsidR="002C617C" w:rsidRPr="004749ED">
        <w:t xml:space="preserve">métodos de trabajo que permiten a la Unión cumplir sus objetivos y prioridades de manera más eficaz y eficiente. </w:t>
      </w:r>
      <w:r w:rsidR="00353121" w:rsidRPr="004749ED">
        <w:t>Estas prioridades temáticas condensan los objetivos sectoriales e intersectoriales en un grupo de prioridades que reflejan las esferas transversales y sectoriales, al tiempo que eliminan los solapamientos existentes en la anterior lista de objetivos sectoriales e intersectoriales.</w:t>
      </w:r>
      <w:bookmarkEnd w:id="115"/>
    </w:p>
    <w:p w14:paraId="0C9E05A6" w14:textId="7781E93D" w:rsidR="001F20C2" w:rsidRPr="004749ED" w:rsidRDefault="00353121" w:rsidP="006227CC">
      <w:bookmarkStart w:id="116" w:name="lt_pId207"/>
      <w:r w:rsidRPr="004749ED">
        <w:t xml:space="preserve">Para la elaboración de las prioridades temáticas, se mantuvieron los debates pertinentes en los grupos consultivos sectoriales. De este modo, se elaboraron las prioridades temáticas, basadas en los objetivos sectoriales e intersectoriales del Plan Estratégico 2020-2023, que se cotejaron directamente con las prioridades temáticas. También se llevó a cabo un ejercicio de evaluación comparativa de entidades homólogas de las Naciones Unidas. Se comprobó que otras organizaciones contaban con esferas prioritarias unificadas para alcanzar los objetivos de la organización. </w:t>
      </w:r>
      <w:r w:rsidR="00695E89" w:rsidRPr="004749ED">
        <w:t>S</w:t>
      </w:r>
      <w:r w:rsidRPr="004749ED">
        <w:t xml:space="preserve">e celebraron </w:t>
      </w:r>
      <w:r w:rsidR="00695E89" w:rsidRPr="004749ED">
        <w:t xml:space="preserve">a continuación </w:t>
      </w:r>
      <w:r w:rsidRPr="004749ED">
        <w:t xml:space="preserve">amplias consultas en toda la Secretaría y con los Sectores con </w:t>
      </w:r>
      <w:r w:rsidR="00695E89" w:rsidRPr="004749ED">
        <w:t>miras a</w:t>
      </w:r>
      <w:r w:rsidRPr="004749ED">
        <w:t xml:space="preserve"> asegurar que las prioridades temáticas reflejaran con exactitud sus principales esferas de trabajo y las sinergias intersectoriales, y evitaran la duplicación</w:t>
      </w:r>
      <w:bookmarkStart w:id="117" w:name="lt_pId211"/>
      <w:bookmarkEnd w:id="116"/>
      <w:r w:rsidR="001F20C2" w:rsidRPr="004749ED">
        <w:t>.</w:t>
      </w:r>
      <w:bookmarkEnd w:id="117"/>
    </w:p>
    <w:p w14:paraId="254B695A" w14:textId="3CFCA8BB" w:rsidR="001F20C2" w:rsidRPr="004749ED" w:rsidRDefault="00353121" w:rsidP="006227CC">
      <w:pPr>
        <w:pStyle w:val="Headingb"/>
      </w:pPr>
      <w:bookmarkStart w:id="118" w:name="lt_pId212"/>
      <w:r w:rsidRPr="004749ED">
        <w:t>Realizaciones</w:t>
      </w:r>
      <w:bookmarkEnd w:id="118"/>
    </w:p>
    <w:p w14:paraId="59157670" w14:textId="506D767E" w:rsidR="001F20C2" w:rsidRPr="004749ED" w:rsidRDefault="00353121" w:rsidP="006227CC">
      <w:bookmarkStart w:id="119" w:name="lt_pId213"/>
      <w:r w:rsidRPr="004749ED">
        <w:t xml:space="preserve">En respuesta a las orientaciones de los miembros en </w:t>
      </w:r>
      <w:r w:rsidR="00E204EF" w:rsidRPr="004749ED">
        <w:t>lo tocante a</w:t>
      </w:r>
      <w:r w:rsidRPr="004749ED">
        <w:t xml:space="preserve"> la simplificación del marco estratégico, el logro de una mayor concreción y la mejora del marco de resultados de la UIT, </w:t>
      </w:r>
      <w:r w:rsidR="00E204EF" w:rsidRPr="004749ED">
        <w:t xml:space="preserve">en </w:t>
      </w:r>
      <w:r w:rsidRPr="004749ED">
        <w:t xml:space="preserve">el proyecto de Plan Estratégico 2024-2027 </w:t>
      </w:r>
      <w:r w:rsidR="00E204EF" w:rsidRPr="004749ED">
        <w:t xml:space="preserve">se han consolidado </w:t>
      </w:r>
      <w:r w:rsidRPr="004749ED">
        <w:t xml:space="preserve">las realizaciones previstas de la labor de la UIT en el marco de cada prioridad temática. Los avances logrados con respecto a estas realizaciones se medirán en el marco de resultados utilizando indicadores de resultados SMART. Estas realizaciones constituyen el fundamento de </w:t>
      </w:r>
      <w:r w:rsidR="00E204EF" w:rsidRPr="004749ED">
        <w:t>la incidencia</w:t>
      </w:r>
      <w:r w:rsidRPr="004749ED">
        <w:t xml:space="preserve"> de la Unión que, si se logran colectivamente, permitirán a la UIT alcanzar sus </w:t>
      </w:r>
      <w:r w:rsidR="00E204EF" w:rsidRPr="004749ED">
        <w:t xml:space="preserve">metas </w:t>
      </w:r>
      <w:r w:rsidRPr="004749ED">
        <w:t>estratégic</w:t>
      </w:r>
      <w:r w:rsidR="00E204EF" w:rsidRPr="004749ED">
        <w:t>as</w:t>
      </w:r>
      <w:bookmarkStart w:id="120" w:name="lt_pId215"/>
      <w:bookmarkEnd w:id="119"/>
      <w:r w:rsidR="001F20C2" w:rsidRPr="004749ED">
        <w:t>.</w:t>
      </w:r>
      <w:bookmarkEnd w:id="120"/>
    </w:p>
    <w:p w14:paraId="276D913D" w14:textId="3F2066C5" w:rsidR="001F20C2" w:rsidRPr="004749ED" w:rsidRDefault="00353121" w:rsidP="006227CC">
      <w:bookmarkStart w:id="121" w:name="lt_pId216"/>
      <w:r w:rsidRPr="004749ED">
        <w:t xml:space="preserve">Para actualizar las realizaciones, se </w:t>
      </w:r>
      <w:r w:rsidR="00E204EF" w:rsidRPr="004749ED">
        <w:t>cotejaron</w:t>
      </w:r>
      <w:r w:rsidRPr="004749ED">
        <w:t xml:space="preserve"> las realizaciones del antiguo Plan Estratégico </w:t>
      </w:r>
      <w:r w:rsidR="00E204EF" w:rsidRPr="004749ED">
        <w:t>con</w:t>
      </w:r>
      <w:r w:rsidRPr="004749ED">
        <w:t xml:space="preserve"> las prioridades temáticas y se repitió el ejercicio en las Oficinas y en la Secretaría General. Varias realizaciones del Plan Estratégico anterior eran más detalladas, por lo que </w:t>
      </w:r>
      <w:r w:rsidR="00E204EF" w:rsidRPr="004749ED">
        <w:t>sirvieron de base para la creación de</w:t>
      </w:r>
      <w:r w:rsidRPr="004749ED">
        <w:t xml:space="preserve"> indicadores de realización. Las Oficinas y la Secretaría General están perfeccionando actualmente los indicadores de realización que se incorporarán al proyecto de Plan Estratégico tras la aprobación del marco</w:t>
      </w:r>
      <w:bookmarkStart w:id="122" w:name="lt_pId218"/>
      <w:bookmarkEnd w:id="121"/>
      <w:r w:rsidR="001F20C2" w:rsidRPr="004749ED">
        <w:t>.</w:t>
      </w:r>
      <w:bookmarkEnd w:id="122"/>
    </w:p>
    <w:p w14:paraId="31698FE0" w14:textId="0661232D" w:rsidR="001F20C2" w:rsidRPr="004749ED" w:rsidRDefault="005C73F2" w:rsidP="006227CC">
      <w:pPr>
        <w:pStyle w:val="Heading2"/>
      </w:pPr>
      <w:r w:rsidRPr="004749ED">
        <w:lastRenderedPageBreak/>
        <w:t>4</w:t>
      </w:r>
      <w:r w:rsidR="001F20C2" w:rsidRPr="004749ED">
        <w:t>.3</w:t>
      </w:r>
      <w:bookmarkStart w:id="123" w:name="lt_pId220"/>
      <w:r w:rsidRPr="004749ED">
        <w:tab/>
      </w:r>
      <w:r w:rsidR="00353121" w:rsidRPr="004749ED">
        <w:t>Ofertas de productos y servicios y productos</w:t>
      </w:r>
      <w:bookmarkEnd w:id="123"/>
    </w:p>
    <w:p w14:paraId="39C15F7D" w14:textId="578F2633" w:rsidR="001F20C2" w:rsidRPr="004749ED" w:rsidRDefault="00353121" w:rsidP="006227CC">
      <w:pPr>
        <w:pStyle w:val="Headingb"/>
      </w:pPr>
      <w:bookmarkStart w:id="124" w:name="lt_pId221"/>
      <w:r w:rsidRPr="004749ED">
        <w:t>Ofertas de productos y servicios</w:t>
      </w:r>
      <w:bookmarkEnd w:id="124"/>
    </w:p>
    <w:p w14:paraId="4A791374" w14:textId="21B56715" w:rsidR="001F20C2" w:rsidRPr="004749ED" w:rsidRDefault="00353121" w:rsidP="006227CC">
      <w:bookmarkStart w:id="125" w:name="lt_pId222"/>
      <w:r w:rsidRPr="004749ED">
        <w:t>Para resaltar la propuesta de valor combinada de la UIT y poner de relieve los vínculos existentes en toda</w:t>
      </w:r>
      <w:r w:rsidR="00B02808" w:rsidRPr="004749ED">
        <w:t xml:space="preserve"> su</w:t>
      </w:r>
      <w:r w:rsidRPr="004749ED">
        <w:t xml:space="preserve"> gama de productos y servicios, </w:t>
      </w:r>
      <w:r w:rsidR="00B02808" w:rsidRPr="004749ED">
        <w:t xml:space="preserve">en </w:t>
      </w:r>
      <w:r w:rsidRPr="004749ED">
        <w:t xml:space="preserve">el proyecto de Plan Estratégico 2024-2027 </w:t>
      </w:r>
      <w:r w:rsidR="00B02808" w:rsidRPr="004749ED">
        <w:t xml:space="preserve">se </w:t>
      </w:r>
      <w:r w:rsidRPr="004749ED">
        <w:t>ha</w:t>
      </w:r>
      <w:r w:rsidR="00B02808" w:rsidRPr="004749ED">
        <w:t>n</w:t>
      </w:r>
      <w:r w:rsidRPr="004749ED">
        <w:t xml:space="preserve"> consolidado las ofertas o "actividades" de los Sectores y de la Secretaría General en ofertas de productos y servicios transversales de la UIT. Al mismo tiempo, para que los Sectores y la Secretaría General puedan adaptar los productos y servicios y la asignación de recursos a sus mandatos </w:t>
      </w:r>
      <w:r w:rsidR="00B02808" w:rsidRPr="004749ED">
        <w:t>respectivos</w:t>
      </w:r>
      <w:r w:rsidRPr="004749ED">
        <w:t>, se incluirá en los Planes Operacionales información detallada sobre la forma en que los Sectores y la Secretaría General realizan sus ofertas</w:t>
      </w:r>
      <w:bookmarkStart w:id="126" w:name="lt_pId223"/>
      <w:bookmarkEnd w:id="125"/>
      <w:r w:rsidR="001F20C2" w:rsidRPr="004749ED">
        <w:t>.</w:t>
      </w:r>
      <w:bookmarkEnd w:id="126"/>
    </w:p>
    <w:p w14:paraId="21EC2933" w14:textId="5E4545D3" w:rsidR="001F20C2" w:rsidRPr="004749ED" w:rsidRDefault="00353121" w:rsidP="006227CC">
      <w:bookmarkStart w:id="127" w:name="lt_pId224"/>
      <w:r w:rsidRPr="004749ED">
        <w:t xml:space="preserve">Para </w:t>
      </w:r>
      <w:r w:rsidR="00B02808" w:rsidRPr="004749ED">
        <w:t xml:space="preserve">la creación de </w:t>
      </w:r>
      <w:r w:rsidRPr="004749ED">
        <w:t xml:space="preserve">estos productos y servicios globales, se agruparon y reformularon las actividades </w:t>
      </w:r>
      <w:r w:rsidR="00B02808" w:rsidRPr="004749ED">
        <w:t>actuales</w:t>
      </w:r>
      <w:r w:rsidRPr="004749ED">
        <w:t xml:space="preserve"> de los Sectores, resaltando las esferas de trabajo comunes y </w:t>
      </w:r>
      <w:r w:rsidR="00053148" w:rsidRPr="004749ED">
        <w:t>señalando</w:t>
      </w:r>
      <w:r w:rsidRPr="004749ED">
        <w:t xml:space="preserve"> al mismo tiempo la especificidad de las ofertas actuales de los Sectores y de la Secretaría General</w:t>
      </w:r>
      <w:r w:rsidR="001F20C2" w:rsidRPr="004749ED">
        <w:t>.</w:t>
      </w:r>
      <w:bookmarkEnd w:id="127"/>
    </w:p>
    <w:p w14:paraId="7BF55E1E" w14:textId="0C73F231" w:rsidR="001F20C2" w:rsidRPr="004749ED" w:rsidRDefault="00353121" w:rsidP="006227CC">
      <w:pPr>
        <w:pStyle w:val="Headingb"/>
      </w:pPr>
      <w:r w:rsidRPr="004749ED">
        <w:t>Productos</w:t>
      </w:r>
    </w:p>
    <w:p w14:paraId="0F28A7E0" w14:textId="75C48E6C" w:rsidR="001F20C2" w:rsidRPr="004749ED" w:rsidRDefault="00353121" w:rsidP="006227CC">
      <w:bookmarkStart w:id="128" w:name="lt_pId226"/>
      <w:r w:rsidRPr="004749ED">
        <w:t>Los productos</w:t>
      </w:r>
      <w:r w:rsidR="00B02808" w:rsidRPr="004749ED">
        <w:t>, que</w:t>
      </w:r>
      <w:r w:rsidRPr="004749ED">
        <w:t xml:space="preserve"> se definirán en los Planes Operacionales</w:t>
      </w:r>
      <w:r w:rsidR="00B02808" w:rsidRPr="004749ED">
        <w:t>, permitirán evaluar</w:t>
      </w:r>
      <w:r w:rsidRPr="004749ED">
        <w:t xml:space="preserve"> los resultados y productos tangibles que </w:t>
      </w:r>
      <w:r w:rsidR="00D95AA3" w:rsidRPr="004749ED">
        <w:t xml:space="preserve">resulten </w:t>
      </w:r>
      <w:r w:rsidRPr="004749ED">
        <w:t xml:space="preserve">de ofertas específicas y se medirán mediante indicadores de producto. </w:t>
      </w:r>
      <w:r w:rsidR="00D95AA3" w:rsidRPr="004749ED">
        <w:t xml:space="preserve">En consecuencia, </w:t>
      </w:r>
      <w:r w:rsidRPr="004749ED">
        <w:t xml:space="preserve">los productos ya no se incluirán en el proyecto de Plan Estratégico, por lo que los Sectores dispondrán de </w:t>
      </w:r>
      <w:r w:rsidR="00D95AA3" w:rsidRPr="004749ED">
        <w:t xml:space="preserve">la </w:t>
      </w:r>
      <w:r w:rsidRPr="004749ED">
        <w:t xml:space="preserve">flexibilidad </w:t>
      </w:r>
      <w:r w:rsidR="00D95AA3" w:rsidRPr="004749ED">
        <w:t xml:space="preserve">necesaria </w:t>
      </w:r>
      <w:r w:rsidRPr="004749ED">
        <w:t xml:space="preserve">para definir sus propias ofertas de productos y servicios y medirlas </w:t>
      </w:r>
      <w:r w:rsidR="00D95AA3" w:rsidRPr="004749ED">
        <w:t>en consecuencia</w:t>
      </w:r>
      <w:bookmarkStart w:id="129" w:name="lt_pId228"/>
      <w:bookmarkEnd w:id="128"/>
      <w:r w:rsidR="001F20C2" w:rsidRPr="004749ED">
        <w:t>.</w:t>
      </w:r>
      <w:bookmarkEnd w:id="129"/>
    </w:p>
    <w:p w14:paraId="25BD0356" w14:textId="43E1D56A" w:rsidR="001F20C2" w:rsidRPr="004749ED" w:rsidRDefault="005C73F2" w:rsidP="005C73F2">
      <w:pPr>
        <w:pStyle w:val="Heading2"/>
      </w:pPr>
      <w:r w:rsidRPr="004749ED">
        <w:t>4</w:t>
      </w:r>
      <w:r w:rsidR="001F20C2" w:rsidRPr="004749ED">
        <w:t>.4</w:t>
      </w:r>
      <w:bookmarkStart w:id="130" w:name="lt_pId230"/>
      <w:r w:rsidRPr="004749ED">
        <w:tab/>
      </w:r>
      <w:r w:rsidR="00353121" w:rsidRPr="004749ED">
        <w:t>Factores habilitadores</w:t>
      </w:r>
      <w:bookmarkEnd w:id="130"/>
    </w:p>
    <w:p w14:paraId="5F35AE3E" w14:textId="34C3C055" w:rsidR="001F20C2" w:rsidRPr="004749ED" w:rsidRDefault="00D95AA3" w:rsidP="005C73F2">
      <w:bookmarkStart w:id="131" w:name="lt_pId231"/>
      <w:r w:rsidRPr="004749ED">
        <w:t xml:space="preserve">Atendiendo </w:t>
      </w:r>
      <w:r w:rsidR="00353121" w:rsidRPr="004749ED">
        <w:t>a las orientaciones de los miembros sobre el aprovechamiento de las esferas transversales y el refuerzo de las sinergias, se han creado factores h</w:t>
      </w:r>
      <w:r w:rsidRPr="004749ED">
        <w:t>abilitadores para toda la UIT. E</w:t>
      </w:r>
      <w:r w:rsidR="00353121" w:rsidRPr="004749ED">
        <w:t xml:space="preserve">stos se han compilado de tal forma que </w:t>
      </w:r>
      <w:r w:rsidRPr="004749ED">
        <w:t>plasmen</w:t>
      </w:r>
      <w:r w:rsidR="00353121" w:rsidRPr="004749ED">
        <w:t xml:space="preserve"> formas de trabajo coherentes en toda la UIT que permitan aprovechar las fortalezas existentes y superar las carencias, así como agilizar la oferta de los productos y servicios de la UIT y el cumplimiento de las prioridades temáticas y </w:t>
      </w:r>
      <w:r w:rsidRPr="004749ED">
        <w:t xml:space="preserve">las metas </w:t>
      </w:r>
      <w:r w:rsidR="00353121" w:rsidRPr="004749ED">
        <w:t>estratégic</w:t>
      </w:r>
      <w:r w:rsidRPr="004749ED">
        <w:t>a</w:t>
      </w:r>
      <w:r w:rsidR="00353121" w:rsidRPr="004749ED">
        <w:t xml:space="preserve">s. Para responder a las peticiones de los miembros de que se destaque el papel regional de la UIT, se han ampliado </w:t>
      </w:r>
      <w:r w:rsidRPr="004749ED">
        <w:t xml:space="preserve">también </w:t>
      </w:r>
      <w:r w:rsidR="00353121" w:rsidRPr="004749ED">
        <w:t>los factores habilitadores</w:t>
      </w:r>
      <w:r w:rsidR="003A712D" w:rsidRPr="004749ED">
        <w:t>, entre los cuales figura</w:t>
      </w:r>
      <w:r w:rsidR="00353121" w:rsidRPr="004749ED">
        <w:t xml:space="preserve"> uno que se centra en la presencia regional. Al mismo tiempo, para lograr que se reconozca la continua contribución de los Sectores y la Secretaría General, se han trasladado a los Planes Operacionales los </w:t>
      </w:r>
      <w:r w:rsidR="003A712D" w:rsidRPr="004749ED">
        <w:t>detalles</w:t>
      </w:r>
      <w:r w:rsidR="00353121" w:rsidRPr="004749ED">
        <w:t xml:space="preserve"> relativos a la incorporación de estos factores </w:t>
      </w:r>
      <w:r w:rsidR="003A712D" w:rsidRPr="004749ED">
        <w:t xml:space="preserve">habilitadores </w:t>
      </w:r>
      <w:r w:rsidR="00353121" w:rsidRPr="004749ED">
        <w:t>en su trabajo y a la asignación de recursos</w:t>
      </w:r>
      <w:bookmarkStart w:id="132" w:name="lt_pId234"/>
      <w:bookmarkEnd w:id="131"/>
      <w:r w:rsidR="001F20C2" w:rsidRPr="004749ED">
        <w:t>.</w:t>
      </w:r>
      <w:bookmarkEnd w:id="132"/>
    </w:p>
    <w:p w14:paraId="296A5C9D" w14:textId="24A672BE" w:rsidR="001F20C2" w:rsidRPr="004749ED" w:rsidRDefault="00353121" w:rsidP="005C73F2">
      <w:bookmarkStart w:id="133" w:name="lt_pId235"/>
      <w:r w:rsidRPr="004749ED">
        <w:t xml:space="preserve">Para crear estos factores, se recopilaron los factores </w:t>
      </w:r>
      <w:r w:rsidR="003A712D" w:rsidRPr="004749ED">
        <w:t xml:space="preserve">habilitadores </w:t>
      </w:r>
      <w:r w:rsidRPr="004749ED">
        <w:t>de los Sectores y de la Secretaría General y se agruparon en categorías generales para toda la UIT que eran a la vez mutuamente excluyentes y colectivamente exhaustivas. Estos nuevos factores habilitadores se revisaron y finalizaron mediante amplias consultas y contribuciones en toda la Secretaría</w:t>
      </w:r>
      <w:bookmarkStart w:id="134" w:name="lt_pId236"/>
      <w:bookmarkEnd w:id="133"/>
      <w:r w:rsidR="001F20C2" w:rsidRPr="004749ED">
        <w:t>.</w:t>
      </w:r>
      <w:bookmarkEnd w:id="134"/>
    </w:p>
    <w:bookmarkEnd w:id="11"/>
    <w:bookmarkEnd w:id="12"/>
    <w:bookmarkEnd w:id="13"/>
    <w:bookmarkEnd w:id="14"/>
    <w:p w14:paraId="1FCCF22B" w14:textId="77777777" w:rsidR="006227CC" w:rsidRPr="004749ED" w:rsidRDefault="006227CC" w:rsidP="00411C49">
      <w:pPr>
        <w:pStyle w:val="Reasons"/>
      </w:pPr>
    </w:p>
    <w:p w14:paraId="1473268D" w14:textId="77777777" w:rsidR="006227CC" w:rsidRPr="004749ED" w:rsidRDefault="006227CC">
      <w:pPr>
        <w:jc w:val="center"/>
      </w:pPr>
      <w:r w:rsidRPr="004749ED">
        <w:t>______________</w:t>
      </w:r>
    </w:p>
    <w:sectPr w:rsidR="006227CC" w:rsidRPr="004749ED" w:rsidSect="006710F6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58C37" w14:textId="77777777" w:rsidR="00C20AD4" w:rsidRDefault="00C20AD4">
      <w:r>
        <w:separator/>
      </w:r>
    </w:p>
  </w:endnote>
  <w:endnote w:type="continuationSeparator" w:id="0">
    <w:p w14:paraId="1BF5C1E4" w14:textId="77777777" w:rsidR="00C20AD4" w:rsidRDefault="00C2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713F" w14:textId="65BAB439" w:rsidR="00A11374" w:rsidRPr="00411DA2" w:rsidRDefault="00A11374" w:rsidP="00A11374">
    <w:pPr>
      <w:pStyle w:val="Footer"/>
      <w:rPr>
        <w:lang w:val="en-GB"/>
      </w:rPr>
    </w:pPr>
    <w:r w:rsidRPr="00C74D6D">
      <w:rPr>
        <w:color w:val="F2F2F2" w:themeColor="background1" w:themeShade="F2"/>
        <w:lang w:val="en-GB"/>
      </w:rPr>
      <w:fldChar w:fldCharType="begin"/>
    </w:r>
    <w:r w:rsidRPr="00C74D6D">
      <w:rPr>
        <w:color w:val="F2F2F2" w:themeColor="background1" w:themeShade="F2"/>
        <w:lang w:val="en-GB"/>
      </w:rPr>
      <w:instrText xml:space="preserve"> FILENAME \p  \* MERGEFORMAT </w:instrText>
    </w:r>
    <w:r w:rsidRPr="00C74D6D">
      <w:rPr>
        <w:color w:val="F2F2F2" w:themeColor="background1" w:themeShade="F2"/>
        <w:lang w:val="en-GB"/>
      </w:rPr>
      <w:fldChar w:fldCharType="separate"/>
    </w:r>
    <w:r w:rsidR="00ED4D42" w:rsidRPr="00C74D6D">
      <w:rPr>
        <w:color w:val="F2F2F2" w:themeColor="background1" w:themeShade="F2"/>
        <w:lang w:val="en-GB"/>
      </w:rPr>
      <w:t>P:\ESP\SG\CONSEIL\CWG-SFP\CWG-SFP3\000\003S.docx</w:t>
    </w:r>
    <w:r w:rsidRPr="00C74D6D">
      <w:rPr>
        <w:color w:val="F2F2F2" w:themeColor="background1" w:themeShade="F2"/>
        <w:lang w:val="en-GB"/>
      </w:rPr>
      <w:fldChar w:fldCharType="end"/>
    </w:r>
    <w:r w:rsidRPr="00C74D6D">
      <w:rPr>
        <w:color w:val="F2F2F2" w:themeColor="background1" w:themeShade="F2"/>
        <w:lang w:val="en-GB"/>
      </w:rPr>
      <w:t xml:space="preserve"> (500721)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9E8" w14:textId="3C383530" w:rsidR="00B02808" w:rsidRDefault="00B0280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33427" w14:textId="77777777" w:rsidR="00C20AD4" w:rsidRDefault="00C20AD4">
      <w:r>
        <w:t>____________________</w:t>
      </w:r>
    </w:p>
  </w:footnote>
  <w:footnote w:type="continuationSeparator" w:id="0">
    <w:p w14:paraId="05C7B95F" w14:textId="77777777" w:rsidR="00C20AD4" w:rsidRDefault="00C20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9720" w14:textId="0C9F92A7" w:rsidR="00B02808" w:rsidRPr="00C879BA" w:rsidRDefault="00B02808" w:rsidP="00C2727F">
    <w:pPr>
      <w:pStyle w:val="Header"/>
      <w:rPr>
        <w:szCs w:val="18"/>
      </w:rPr>
    </w:pPr>
    <w:r w:rsidRPr="00C879BA">
      <w:rPr>
        <w:rFonts w:eastAsia="Calibri" w:cs="Arial"/>
        <w:szCs w:val="18"/>
        <w:lang w:val="en-GB"/>
      </w:rPr>
      <w:fldChar w:fldCharType="begin"/>
    </w:r>
    <w:r w:rsidRPr="00C879BA">
      <w:rPr>
        <w:rFonts w:eastAsia="Calibri" w:cs="Arial"/>
        <w:szCs w:val="18"/>
        <w:lang w:val="en-GB"/>
      </w:rPr>
      <w:instrText xml:space="preserve"> PAGE   \* MERGEFORMAT </w:instrText>
    </w:r>
    <w:r w:rsidRPr="00C879BA">
      <w:rPr>
        <w:rFonts w:eastAsia="Calibri" w:cs="Arial"/>
        <w:szCs w:val="18"/>
        <w:lang w:val="en-GB"/>
      </w:rPr>
      <w:fldChar w:fldCharType="separate"/>
    </w:r>
    <w:r w:rsidR="00E35C4D">
      <w:rPr>
        <w:rFonts w:eastAsia="Calibri" w:cs="Arial"/>
        <w:noProof/>
        <w:szCs w:val="18"/>
        <w:lang w:val="en-GB"/>
      </w:rPr>
      <w:t>12</w:t>
    </w:r>
    <w:r w:rsidRPr="00C879BA">
      <w:rPr>
        <w:rFonts w:eastAsia="Calibri" w:cs="Arial"/>
        <w:noProof/>
        <w:szCs w:val="18"/>
        <w:lang w:val="en-GB"/>
      </w:rPr>
      <w:fldChar w:fldCharType="end"/>
    </w:r>
    <w:r w:rsidRPr="00C879BA">
      <w:rPr>
        <w:rFonts w:eastAsia="Calibri" w:cs="Arial"/>
        <w:noProof/>
        <w:szCs w:val="18"/>
        <w:lang w:val="en-GB"/>
      </w:rPr>
      <w:br/>
      <w:t>CWG-SFP-3/</w:t>
    </w:r>
    <w:r>
      <w:rPr>
        <w:rFonts w:eastAsia="Calibri" w:cs="Arial"/>
        <w:noProof/>
        <w:szCs w:val="18"/>
        <w:lang w:val="en-GB"/>
      </w:rPr>
      <w:t>3</w:t>
    </w:r>
    <w:r w:rsidRPr="00C879BA">
      <w:rPr>
        <w:rFonts w:eastAsia="Calibri" w:cs="Arial"/>
        <w:noProof/>
        <w:szCs w:val="18"/>
        <w:lang w:val="en-GB"/>
      </w:rPr>
      <w:t>-</w:t>
    </w:r>
    <w:r w:rsidRPr="00C879BA">
      <w:rPr>
        <w:szCs w:val="18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73FC"/>
    <w:multiLevelType w:val="hybridMultilevel"/>
    <w:tmpl w:val="B41E5E18"/>
    <w:lvl w:ilvl="0" w:tplc="81F06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0960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0AB9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8CE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0D0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863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632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69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BCD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37B01"/>
    <w:multiLevelType w:val="hybridMultilevel"/>
    <w:tmpl w:val="5816DFF0"/>
    <w:lvl w:ilvl="0" w:tplc="B2B2E492">
      <w:start w:val="1"/>
      <w:numFmt w:val="decimal"/>
      <w:lvlText w:val="%1."/>
      <w:lvlJc w:val="left"/>
      <w:pPr>
        <w:ind w:left="720" w:hanging="360"/>
      </w:pPr>
    </w:lvl>
    <w:lvl w:ilvl="1" w:tplc="6DA49996" w:tentative="1">
      <w:start w:val="1"/>
      <w:numFmt w:val="lowerLetter"/>
      <w:lvlText w:val="%2."/>
      <w:lvlJc w:val="left"/>
      <w:pPr>
        <w:ind w:left="1440" w:hanging="360"/>
      </w:pPr>
    </w:lvl>
    <w:lvl w:ilvl="2" w:tplc="B6F08634" w:tentative="1">
      <w:start w:val="1"/>
      <w:numFmt w:val="lowerRoman"/>
      <w:lvlText w:val="%3."/>
      <w:lvlJc w:val="right"/>
      <w:pPr>
        <w:ind w:left="2160" w:hanging="180"/>
      </w:pPr>
    </w:lvl>
    <w:lvl w:ilvl="3" w:tplc="08F043FE" w:tentative="1">
      <w:start w:val="1"/>
      <w:numFmt w:val="decimal"/>
      <w:lvlText w:val="%4."/>
      <w:lvlJc w:val="left"/>
      <w:pPr>
        <w:ind w:left="2880" w:hanging="360"/>
      </w:pPr>
    </w:lvl>
    <w:lvl w:ilvl="4" w:tplc="C7CEB8CC" w:tentative="1">
      <w:start w:val="1"/>
      <w:numFmt w:val="lowerLetter"/>
      <w:lvlText w:val="%5."/>
      <w:lvlJc w:val="left"/>
      <w:pPr>
        <w:ind w:left="3600" w:hanging="360"/>
      </w:pPr>
    </w:lvl>
    <w:lvl w:ilvl="5" w:tplc="E20EAF10" w:tentative="1">
      <w:start w:val="1"/>
      <w:numFmt w:val="lowerRoman"/>
      <w:lvlText w:val="%6."/>
      <w:lvlJc w:val="right"/>
      <w:pPr>
        <w:ind w:left="4320" w:hanging="180"/>
      </w:pPr>
    </w:lvl>
    <w:lvl w:ilvl="6" w:tplc="8D127D26" w:tentative="1">
      <w:start w:val="1"/>
      <w:numFmt w:val="decimal"/>
      <w:lvlText w:val="%7."/>
      <w:lvlJc w:val="left"/>
      <w:pPr>
        <w:ind w:left="5040" w:hanging="360"/>
      </w:pPr>
    </w:lvl>
    <w:lvl w:ilvl="7" w:tplc="B9240E50" w:tentative="1">
      <w:start w:val="1"/>
      <w:numFmt w:val="lowerLetter"/>
      <w:lvlText w:val="%8."/>
      <w:lvlJc w:val="left"/>
      <w:pPr>
        <w:ind w:left="5760" w:hanging="360"/>
      </w:pPr>
    </w:lvl>
    <w:lvl w:ilvl="8" w:tplc="5B3CA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A6755"/>
    <w:multiLevelType w:val="hybridMultilevel"/>
    <w:tmpl w:val="0046B8DC"/>
    <w:lvl w:ilvl="0" w:tplc="3E4094A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C784C86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6E8964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F06AE3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506EC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B12E8C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924E0A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CF2F1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BB80CB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0921B5"/>
    <w:multiLevelType w:val="hybridMultilevel"/>
    <w:tmpl w:val="40440052"/>
    <w:lvl w:ilvl="0" w:tplc="D326D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AEE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F6E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E456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CC3C9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C8F7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E72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038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745E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94F2F"/>
    <w:multiLevelType w:val="hybridMultilevel"/>
    <w:tmpl w:val="0A6AEDE2"/>
    <w:lvl w:ilvl="0" w:tplc="6BEA802A">
      <w:start w:val="1"/>
      <w:numFmt w:val="decimal"/>
      <w:pStyle w:val="Numberedpara"/>
      <w:lvlText w:val="%1."/>
      <w:lvlJc w:val="left"/>
      <w:pPr>
        <w:ind w:left="720" w:hanging="360"/>
      </w:pPr>
    </w:lvl>
    <w:lvl w:ilvl="1" w:tplc="3C84025E" w:tentative="1">
      <w:start w:val="1"/>
      <w:numFmt w:val="lowerLetter"/>
      <w:lvlText w:val="%2."/>
      <w:lvlJc w:val="left"/>
      <w:pPr>
        <w:ind w:left="1440" w:hanging="360"/>
      </w:pPr>
    </w:lvl>
    <w:lvl w:ilvl="2" w:tplc="3E98D952" w:tentative="1">
      <w:start w:val="1"/>
      <w:numFmt w:val="lowerRoman"/>
      <w:lvlText w:val="%3."/>
      <w:lvlJc w:val="right"/>
      <w:pPr>
        <w:ind w:left="2160" w:hanging="180"/>
      </w:pPr>
    </w:lvl>
    <w:lvl w:ilvl="3" w:tplc="AF0618AA" w:tentative="1">
      <w:start w:val="1"/>
      <w:numFmt w:val="decimal"/>
      <w:lvlText w:val="%4."/>
      <w:lvlJc w:val="left"/>
      <w:pPr>
        <w:ind w:left="2880" w:hanging="360"/>
      </w:pPr>
    </w:lvl>
    <w:lvl w:ilvl="4" w:tplc="AABEB6BC" w:tentative="1">
      <w:start w:val="1"/>
      <w:numFmt w:val="lowerLetter"/>
      <w:lvlText w:val="%5."/>
      <w:lvlJc w:val="left"/>
      <w:pPr>
        <w:ind w:left="3600" w:hanging="360"/>
      </w:pPr>
    </w:lvl>
    <w:lvl w:ilvl="5" w:tplc="DA9C392C" w:tentative="1">
      <w:start w:val="1"/>
      <w:numFmt w:val="lowerRoman"/>
      <w:lvlText w:val="%6."/>
      <w:lvlJc w:val="right"/>
      <w:pPr>
        <w:ind w:left="4320" w:hanging="180"/>
      </w:pPr>
    </w:lvl>
    <w:lvl w:ilvl="6" w:tplc="DAA69506" w:tentative="1">
      <w:start w:val="1"/>
      <w:numFmt w:val="decimal"/>
      <w:lvlText w:val="%7."/>
      <w:lvlJc w:val="left"/>
      <w:pPr>
        <w:ind w:left="5040" w:hanging="360"/>
      </w:pPr>
    </w:lvl>
    <w:lvl w:ilvl="7" w:tplc="71BCB9F2" w:tentative="1">
      <w:start w:val="1"/>
      <w:numFmt w:val="lowerLetter"/>
      <w:lvlText w:val="%8."/>
      <w:lvlJc w:val="left"/>
      <w:pPr>
        <w:ind w:left="5760" w:hanging="360"/>
      </w:pPr>
    </w:lvl>
    <w:lvl w:ilvl="8" w:tplc="03A89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80139"/>
    <w:multiLevelType w:val="hybridMultilevel"/>
    <w:tmpl w:val="13120D7C"/>
    <w:lvl w:ilvl="0" w:tplc="34E21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4C25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C47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020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23B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661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231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78E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4AE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022E6"/>
    <w:multiLevelType w:val="hybridMultilevel"/>
    <w:tmpl w:val="063478D4"/>
    <w:lvl w:ilvl="0" w:tplc="0AACD65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A0DAA"/>
    <w:multiLevelType w:val="hybridMultilevel"/>
    <w:tmpl w:val="A8065DDA"/>
    <w:lvl w:ilvl="0" w:tplc="8EF6D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val="en-US"/>
      </w:rPr>
    </w:lvl>
    <w:lvl w:ilvl="1" w:tplc="AA8EAF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4C8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C62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00A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80F9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62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E48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C03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0732D"/>
    <w:multiLevelType w:val="hybridMultilevel"/>
    <w:tmpl w:val="D81C2C38"/>
    <w:lvl w:ilvl="0" w:tplc="2B84B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3A7340" w:tentative="1">
      <w:start w:val="1"/>
      <w:numFmt w:val="lowerLetter"/>
      <w:lvlText w:val="%2."/>
      <w:lvlJc w:val="left"/>
      <w:pPr>
        <w:ind w:left="1440" w:hanging="360"/>
      </w:pPr>
    </w:lvl>
    <w:lvl w:ilvl="2" w:tplc="D250DC38" w:tentative="1">
      <w:start w:val="1"/>
      <w:numFmt w:val="lowerRoman"/>
      <w:lvlText w:val="%3."/>
      <w:lvlJc w:val="right"/>
      <w:pPr>
        <w:ind w:left="2160" w:hanging="180"/>
      </w:pPr>
    </w:lvl>
    <w:lvl w:ilvl="3" w:tplc="01A0A2D8" w:tentative="1">
      <w:start w:val="1"/>
      <w:numFmt w:val="decimal"/>
      <w:lvlText w:val="%4."/>
      <w:lvlJc w:val="left"/>
      <w:pPr>
        <w:ind w:left="2880" w:hanging="360"/>
      </w:pPr>
    </w:lvl>
    <w:lvl w:ilvl="4" w:tplc="C39E1078" w:tentative="1">
      <w:start w:val="1"/>
      <w:numFmt w:val="lowerLetter"/>
      <w:lvlText w:val="%5."/>
      <w:lvlJc w:val="left"/>
      <w:pPr>
        <w:ind w:left="3600" w:hanging="360"/>
      </w:pPr>
    </w:lvl>
    <w:lvl w:ilvl="5" w:tplc="216EF5C0" w:tentative="1">
      <w:start w:val="1"/>
      <w:numFmt w:val="lowerRoman"/>
      <w:lvlText w:val="%6."/>
      <w:lvlJc w:val="right"/>
      <w:pPr>
        <w:ind w:left="4320" w:hanging="180"/>
      </w:pPr>
    </w:lvl>
    <w:lvl w:ilvl="6" w:tplc="4BD805D6" w:tentative="1">
      <w:start w:val="1"/>
      <w:numFmt w:val="decimal"/>
      <w:lvlText w:val="%7."/>
      <w:lvlJc w:val="left"/>
      <w:pPr>
        <w:ind w:left="5040" w:hanging="360"/>
      </w:pPr>
    </w:lvl>
    <w:lvl w:ilvl="7" w:tplc="4E1020D8" w:tentative="1">
      <w:start w:val="1"/>
      <w:numFmt w:val="lowerLetter"/>
      <w:lvlText w:val="%8."/>
      <w:lvlJc w:val="left"/>
      <w:pPr>
        <w:ind w:left="5760" w:hanging="360"/>
      </w:pPr>
    </w:lvl>
    <w:lvl w:ilvl="8" w:tplc="7D9A003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40"/>
    <w:rsid w:val="000007D1"/>
    <w:rsid w:val="000117FD"/>
    <w:rsid w:val="00017CC9"/>
    <w:rsid w:val="00021C36"/>
    <w:rsid w:val="00025530"/>
    <w:rsid w:val="00046667"/>
    <w:rsid w:val="00053148"/>
    <w:rsid w:val="00057FD9"/>
    <w:rsid w:val="00061791"/>
    <w:rsid w:val="000809B2"/>
    <w:rsid w:val="00091AD5"/>
    <w:rsid w:val="00093EEB"/>
    <w:rsid w:val="000B0D00"/>
    <w:rsid w:val="000B7C15"/>
    <w:rsid w:val="000C65D6"/>
    <w:rsid w:val="000D1D0F"/>
    <w:rsid w:val="000E01D3"/>
    <w:rsid w:val="000F5290"/>
    <w:rsid w:val="0010165C"/>
    <w:rsid w:val="0011040B"/>
    <w:rsid w:val="001204D7"/>
    <w:rsid w:val="00133F3B"/>
    <w:rsid w:val="00137369"/>
    <w:rsid w:val="00146BFB"/>
    <w:rsid w:val="001651F1"/>
    <w:rsid w:val="00165742"/>
    <w:rsid w:val="001A3401"/>
    <w:rsid w:val="001A6CB4"/>
    <w:rsid w:val="001B501C"/>
    <w:rsid w:val="001C414B"/>
    <w:rsid w:val="001D18F4"/>
    <w:rsid w:val="001E0DA7"/>
    <w:rsid w:val="001F14A2"/>
    <w:rsid w:val="001F1F77"/>
    <w:rsid w:val="001F20C2"/>
    <w:rsid w:val="001F5745"/>
    <w:rsid w:val="00204DD0"/>
    <w:rsid w:val="00207F9D"/>
    <w:rsid w:val="00211C01"/>
    <w:rsid w:val="00215079"/>
    <w:rsid w:val="00227EBF"/>
    <w:rsid w:val="002306CB"/>
    <w:rsid w:val="00234048"/>
    <w:rsid w:val="00241708"/>
    <w:rsid w:val="00251858"/>
    <w:rsid w:val="0025541C"/>
    <w:rsid w:val="0026031F"/>
    <w:rsid w:val="00262562"/>
    <w:rsid w:val="002630AF"/>
    <w:rsid w:val="00265A7F"/>
    <w:rsid w:val="002801AA"/>
    <w:rsid w:val="00284AC6"/>
    <w:rsid w:val="0029347E"/>
    <w:rsid w:val="002A1C56"/>
    <w:rsid w:val="002B3869"/>
    <w:rsid w:val="002C4676"/>
    <w:rsid w:val="002C617C"/>
    <w:rsid w:val="002C70B0"/>
    <w:rsid w:val="002D44DA"/>
    <w:rsid w:val="002E201F"/>
    <w:rsid w:val="002F2B19"/>
    <w:rsid w:val="002F3CC4"/>
    <w:rsid w:val="003043AA"/>
    <w:rsid w:val="00304ED3"/>
    <w:rsid w:val="00320EA1"/>
    <w:rsid w:val="003233FC"/>
    <w:rsid w:val="00333FFB"/>
    <w:rsid w:val="0033506B"/>
    <w:rsid w:val="00353121"/>
    <w:rsid w:val="0038073E"/>
    <w:rsid w:val="003862E2"/>
    <w:rsid w:val="00386ECD"/>
    <w:rsid w:val="003A29EF"/>
    <w:rsid w:val="003A584C"/>
    <w:rsid w:val="003A712D"/>
    <w:rsid w:val="003B04AC"/>
    <w:rsid w:val="003B238F"/>
    <w:rsid w:val="003B54FC"/>
    <w:rsid w:val="003C22BC"/>
    <w:rsid w:val="003C2F14"/>
    <w:rsid w:val="003D608B"/>
    <w:rsid w:val="003E0A2E"/>
    <w:rsid w:val="003F0515"/>
    <w:rsid w:val="003F3079"/>
    <w:rsid w:val="00411DA2"/>
    <w:rsid w:val="00433478"/>
    <w:rsid w:val="00436748"/>
    <w:rsid w:val="00440C38"/>
    <w:rsid w:val="00441FF7"/>
    <w:rsid w:val="00466094"/>
    <w:rsid w:val="00470B64"/>
    <w:rsid w:val="004749ED"/>
    <w:rsid w:val="004779C6"/>
    <w:rsid w:val="0049515C"/>
    <w:rsid w:val="004B581E"/>
    <w:rsid w:val="004C6F1B"/>
    <w:rsid w:val="004D4078"/>
    <w:rsid w:val="004D46D8"/>
    <w:rsid w:val="004D6ECA"/>
    <w:rsid w:val="005064F1"/>
    <w:rsid w:val="005077F3"/>
    <w:rsid w:val="00513630"/>
    <w:rsid w:val="00517CFB"/>
    <w:rsid w:val="00534A90"/>
    <w:rsid w:val="00543752"/>
    <w:rsid w:val="00554645"/>
    <w:rsid w:val="00560125"/>
    <w:rsid w:val="00564158"/>
    <w:rsid w:val="005770AD"/>
    <w:rsid w:val="00584DE9"/>
    <w:rsid w:val="00585553"/>
    <w:rsid w:val="005A1840"/>
    <w:rsid w:val="005A2765"/>
    <w:rsid w:val="005B2E97"/>
    <w:rsid w:val="005B2FFA"/>
    <w:rsid w:val="005B34D9"/>
    <w:rsid w:val="005B5211"/>
    <w:rsid w:val="005C2CB8"/>
    <w:rsid w:val="005C73F2"/>
    <w:rsid w:val="005D0CCF"/>
    <w:rsid w:val="005D1060"/>
    <w:rsid w:val="005F3BCB"/>
    <w:rsid w:val="005F410F"/>
    <w:rsid w:val="005F7BBF"/>
    <w:rsid w:val="006002E8"/>
    <w:rsid w:val="0060149A"/>
    <w:rsid w:val="00601924"/>
    <w:rsid w:val="00610D55"/>
    <w:rsid w:val="006227CC"/>
    <w:rsid w:val="006447EA"/>
    <w:rsid w:val="00644CF0"/>
    <w:rsid w:val="00644E08"/>
    <w:rsid w:val="0064731F"/>
    <w:rsid w:val="00654F5C"/>
    <w:rsid w:val="00664572"/>
    <w:rsid w:val="006710F6"/>
    <w:rsid w:val="0068078F"/>
    <w:rsid w:val="00695E89"/>
    <w:rsid w:val="006A1967"/>
    <w:rsid w:val="006B13C1"/>
    <w:rsid w:val="006C1B56"/>
    <w:rsid w:val="006C6FEC"/>
    <w:rsid w:val="006D4761"/>
    <w:rsid w:val="006E60E7"/>
    <w:rsid w:val="006F4E9E"/>
    <w:rsid w:val="007171F5"/>
    <w:rsid w:val="00717356"/>
    <w:rsid w:val="00721300"/>
    <w:rsid w:val="00726872"/>
    <w:rsid w:val="00735479"/>
    <w:rsid w:val="00735AAA"/>
    <w:rsid w:val="00751F14"/>
    <w:rsid w:val="007530DD"/>
    <w:rsid w:val="00753C14"/>
    <w:rsid w:val="00760F1C"/>
    <w:rsid w:val="007657F0"/>
    <w:rsid w:val="0077252D"/>
    <w:rsid w:val="00780048"/>
    <w:rsid w:val="00780B35"/>
    <w:rsid w:val="007810AA"/>
    <w:rsid w:val="00784346"/>
    <w:rsid w:val="00786B3C"/>
    <w:rsid w:val="007955DA"/>
    <w:rsid w:val="007B2C5E"/>
    <w:rsid w:val="007D4753"/>
    <w:rsid w:val="007E5DD3"/>
    <w:rsid w:val="007F350B"/>
    <w:rsid w:val="00804A3D"/>
    <w:rsid w:val="00813FBD"/>
    <w:rsid w:val="00820BE4"/>
    <w:rsid w:val="008345F1"/>
    <w:rsid w:val="008375B5"/>
    <w:rsid w:val="008440F8"/>
    <w:rsid w:val="008451E8"/>
    <w:rsid w:val="0086656F"/>
    <w:rsid w:val="00866B49"/>
    <w:rsid w:val="00875A32"/>
    <w:rsid w:val="00877C83"/>
    <w:rsid w:val="008D33D7"/>
    <w:rsid w:val="008D41EE"/>
    <w:rsid w:val="008D7956"/>
    <w:rsid w:val="008F3A3C"/>
    <w:rsid w:val="00913B9C"/>
    <w:rsid w:val="009447DC"/>
    <w:rsid w:val="00946196"/>
    <w:rsid w:val="00952AA0"/>
    <w:rsid w:val="009548CD"/>
    <w:rsid w:val="00956E77"/>
    <w:rsid w:val="009852E9"/>
    <w:rsid w:val="00994C56"/>
    <w:rsid w:val="009A63AB"/>
    <w:rsid w:val="009B196A"/>
    <w:rsid w:val="009E1F5F"/>
    <w:rsid w:val="009F0561"/>
    <w:rsid w:val="009F2B06"/>
    <w:rsid w:val="009F4811"/>
    <w:rsid w:val="009F7496"/>
    <w:rsid w:val="00A01AB1"/>
    <w:rsid w:val="00A11374"/>
    <w:rsid w:val="00A12343"/>
    <w:rsid w:val="00A13E46"/>
    <w:rsid w:val="00A331A7"/>
    <w:rsid w:val="00A37853"/>
    <w:rsid w:val="00A40970"/>
    <w:rsid w:val="00A507B3"/>
    <w:rsid w:val="00A56E79"/>
    <w:rsid w:val="00A65BD6"/>
    <w:rsid w:val="00A81D40"/>
    <w:rsid w:val="00A83F83"/>
    <w:rsid w:val="00AA390C"/>
    <w:rsid w:val="00AC44A1"/>
    <w:rsid w:val="00AD5343"/>
    <w:rsid w:val="00AF4903"/>
    <w:rsid w:val="00B01723"/>
    <w:rsid w:val="00B0200A"/>
    <w:rsid w:val="00B02808"/>
    <w:rsid w:val="00B24475"/>
    <w:rsid w:val="00B50B33"/>
    <w:rsid w:val="00B574DB"/>
    <w:rsid w:val="00B61238"/>
    <w:rsid w:val="00B7616C"/>
    <w:rsid w:val="00B826C2"/>
    <w:rsid w:val="00B8298E"/>
    <w:rsid w:val="00BC2581"/>
    <w:rsid w:val="00BD0723"/>
    <w:rsid w:val="00BD2518"/>
    <w:rsid w:val="00BF1D1C"/>
    <w:rsid w:val="00C20AD4"/>
    <w:rsid w:val="00C20C59"/>
    <w:rsid w:val="00C2111C"/>
    <w:rsid w:val="00C25374"/>
    <w:rsid w:val="00C2727F"/>
    <w:rsid w:val="00C36837"/>
    <w:rsid w:val="00C41736"/>
    <w:rsid w:val="00C51679"/>
    <w:rsid w:val="00C55B1F"/>
    <w:rsid w:val="00C55C17"/>
    <w:rsid w:val="00C56F5B"/>
    <w:rsid w:val="00C74D6D"/>
    <w:rsid w:val="00C80253"/>
    <w:rsid w:val="00C879BA"/>
    <w:rsid w:val="00CA696A"/>
    <w:rsid w:val="00CB1141"/>
    <w:rsid w:val="00CB2322"/>
    <w:rsid w:val="00CC117A"/>
    <w:rsid w:val="00CC21A2"/>
    <w:rsid w:val="00CC542F"/>
    <w:rsid w:val="00CE4723"/>
    <w:rsid w:val="00CE72A0"/>
    <w:rsid w:val="00CF0675"/>
    <w:rsid w:val="00CF1A67"/>
    <w:rsid w:val="00D05033"/>
    <w:rsid w:val="00D21291"/>
    <w:rsid w:val="00D22EC9"/>
    <w:rsid w:val="00D2750E"/>
    <w:rsid w:val="00D33E57"/>
    <w:rsid w:val="00D34EF5"/>
    <w:rsid w:val="00D57B3B"/>
    <w:rsid w:val="00D62446"/>
    <w:rsid w:val="00D62DE7"/>
    <w:rsid w:val="00D767CA"/>
    <w:rsid w:val="00D95AA3"/>
    <w:rsid w:val="00DA4EA2"/>
    <w:rsid w:val="00DA733E"/>
    <w:rsid w:val="00DB73ED"/>
    <w:rsid w:val="00DC3D3E"/>
    <w:rsid w:val="00DC440B"/>
    <w:rsid w:val="00DC6DB2"/>
    <w:rsid w:val="00DE2681"/>
    <w:rsid w:val="00DE2C90"/>
    <w:rsid w:val="00DE3B24"/>
    <w:rsid w:val="00DE7066"/>
    <w:rsid w:val="00DF7E1C"/>
    <w:rsid w:val="00E00CA8"/>
    <w:rsid w:val="00E06947"/>
    <w:rsid w:val="00E12D05"/>
    <w:rsid w:val="00E204EF"/>
    <w:rsid w:val="00E21649"/>
    <w:rsid w:val="00E3592D"/>
    <w:rsid w:val="00E35C4D"/>
    <w:rsid w:val="00E37B27"/>
    <w:rsid w:val="00E440CC"/>
    <w:rsid w:val="00E81598"/>
    <w:rsid w:val="00E829E5"/>
    <w:rsid w:val="00E83E1F"/>
    <w:rsid w:val="00E84697"/>
    <w:rsid w:val="00E92DE8"/>
    <w:rsid w:val="00EA12F4"/>
    <w:rsid w:val="00EA145B"/>
    <w:rsid w:val="00EA19F4"/>
    <w:rsid w:val="00EA5260"/>
    <w:rsid w:val="00EB1212"/>
    <w:rsid w:val="00EC093B"/>
    <w:rsid w:val="00ED4D42"/>
    <w:rsid w:val="00ED59D4"/>
    <w:rsid w:val="00ED65AB"/>
    <w:rsid w:val="00EE5E24"/>
    <w:rsid w:val="00EF7192"/>
    <w:rsid w:val="00F025C3"/>
    <w:rsid w:val="00F12850"/>
    <w:rsid w:val="00F13AF9"/>
    <w:rsid w:val="00F26B6F"/>
    <w:rsid w:val="00F32933"/>
    <w:rsid w:val="00F33BF4"/>
    <w:rsid w:val="00F36240"/>
    <w:rsid w:val="00F40DF6"/>
    <w:rsid w:val="00F7105E"/>
    <w:rsid w:val="00F75F57"/>
    <w:rsid w:val="00F77A41"/>
    <w:rsid w:val="00F82FEE"/>
    <w:rsid w:val="00FA0A18"/>
    <w:rsid w:val="00FB7FA5"/>
    <w:rsid w:val="00FC7836"/>
    <w:rsid w:val="00FD1C6C"/>
    <w:rsid w:val="00FD57D3"/>
    <w:rsid w:val="00FD78C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3B97F02"/>
  <w15:docId w15:val="{07356043-492D-474F-ACDB-46EC8C40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440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1840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E37B2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textAlignment w:val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rsid w:val="00E37B27"/>
    <w:rPr>
      <w:rFonts w:ascii="Calibri" w:hAnsi="Calibri"/>
      <w:b/>
      <w:sz w:val="28"/>
      <w:lang w:val="es-ES_tradnl" w:eastAsia="en-US"/>
    </w:rPr>
  </w:style>
  <w:style w:type="paragraph" w:customStyle="1" w:styleId="Numberedpara">
    <w:name w:val="Numbered para"/>
    <w:basedOn w:val="Normal"/>
    <w:qFormat/>
    <w:rsid w:val="00E37B27"/>
    <w:pPr>
      <w:numPr>
        <w:numId w:val="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 w:line="259" w:lineRule="auto"/>
      <w:ind w:left="0" w:firstLine="0"/>
      <w:jc w:val="both"/>
      <w:textAlignment w:val="auto"/>
    </w:pPr>
    <w:rPr>
      <w:rFonts w:asciiTheme="minorHAnsi" w:eastAsiaTheme="minorHAnsi" w:hAnsiTheme="minorHAnsi" w:cstheme="majorBidi"/>
      <w:sz w:val="22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37B27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E37B27"/>
    <w:rPr>
      <w:rFonts w:ascii="Times New Roman" w:eastAsia="SimSun" w:hAnsi="Times New Roman"/>
      <w:lang w:eastAsia="ja-JP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  <w:rsid w:val="00C879BA"/>
    <w:rPr>
      <w:rFonts w:ascii="Calibri" w:hAnsi="Calibri"/>
      <w:sz w:val="18"/>
      <w:lang w:val="es-ES_tradnl" w:eastAsia="en-US"/>
    </w:rPr>
  </w:style>
  <w:style w:type="paragraph" w:styleId="Revision">
    <w:name w:val="Revision"/>
    <w:hidden/>
    <w:uiPriority w:val="99"/>
    <w:semiHidden/>
    <w:rsid w:val="001651F1"/>
    <w:rPr>
      <w:rFonts w:ascii="Calibri" w:hAnsi="Calibri"/>
      <w:sz w:val="24"/>
      <w:lang w:val="es-ES_tradnl" w:eastAsia="en-US"/>
    </w:rPr>
  </w:style>
  <w:style w:type="table" w:styleId="TableGrid">
    <w:name w:val="Table Grid"/>
    <w:basedOn w:val="TableNormal"/>
    <w:uiPriority w:val="39"/>
    <w:rsid w:val="001F20C2"/>
    <w:rPr>
      <w:rFonts w:asciiTheme="minorHAnsi" w:eastAsia="SimSun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4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CWGSFP1-C-0012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WGSFP1-INF-000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WGSFP1-C-001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71-S.pdf" TargetMode="Externa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8909-5227-428E-9ED5-63EC0ACB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5144</Words>
  <Characters>28533</Characters>
  <Application>Microsoft Office Word</Application>
  <DocSecurity>4</DocSecurity>
  <Lines>237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33610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información sobre la contribución de la secretaría al proyecto de Plan Estratégico de la UIT 2024-2027</dc:title>
  <dc:subject>Council Working Group for Strategic and Financial Plans 2024-2027</dc:subject>
  <dc:creator>Spanish83</dc:creator>
  <cp:keywords>CWG-SFP</cp:keywords>
  <dc:description/>
  <cp:lastModifiedBy>Xue, Kun</cp:lastModifiedBy>
  <cp:revision>2</cp:revision>
  <cp:lastPrinted>2022-01-28T08:06:00Z</cp:lastPrinted>
  <dcterms:created xsi:type="dcterms:W3CDTF">2022-02-11T15:38:00Z</dcterms:created>
  <dcterms:modified xsi:type="dcterms:W3CDTF">2022-02-11T15:38:00Z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