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6079C5" w14:paraId="6E1BE2D1" w14:textId="77777777" w:rsidTr="002E4D50">
        <w:trPr>
          <w:cantSplit/>
        </w:trPr>
        <w:tc>
          <w:tcPr>
            <w:tcW w:w="6096" w:type="dxa"/>
            <w:vAlign w:val="center"/>
          </w:tcPr>
          <w:p w14:paraId="51954631" w14:textId="7F6D08B7" w:rsidR="006079C5" w:rsidRPr="00D613F6" w:rsidRDefault="006079C5" w:rsidP="002E4D50">
            <w:pPr>
              <w:rPr>
                <w:b/>
                <w:position w:val="6"/>
                <w:sz w:val="26"/>
                <w:szCs w:val="26"/>
              </w:rPr>
            </w:pPr>
            <w:r w:rsidRPr="000F2E67">
              <w:rPr>
                <w:b/>
                <w:position w:val="6"/>
                <w:sz w:val="30"/>
                <w:szCs w:val="30"/>
              </w:rPr>
              <w:t xml:space="preserve">Council Working Group </w:t>
            </w:r>
            <w:r>
              <w:rPr>
                <w:b/>
                <w:position w:val="6"/>
                <w:sz w:val="30"/>
                <w:szCs w:val="30"/>
              </w:rPr>
              <w:t>for</w:t>
            </w:r>
            <w:r>
              <w:rPr>
                <w:b/>
                <w:position w:val="6"/>
                <w:sz w:val="30"/>
                <w:szCs w:val="30"/>
              </w:rPr>
              <w:br/>
              <w:t>Strategic and Financial Plans 2024-2027</w:t>
            </w:r>
            <w:r>
              <w:rPr>
                <w:b/>
                <w:position w:val="6"/>
                <w:sz w:val="30"/>
                <w:szCs w:val="30"/>
              </w:rPr>
              <w:br/>
            </w:r>
            <w:r>
              <w:rPr>
                <w:rFonts w:cstheme="minorHAnsi"/>
                <w:b/>
                <w:spacing w:val="-2"/>
                <w:sz w:val="24"/>
                <w:szCs w:val="24"/>
              </w:rPr>
              <w:t>Second</w:t>
            </w:r>
            <w:r w:rsidRPr="00857FF1">
              <w:rPr>
                <w:rFonts w:cstheme="minorHAnsi"/>
                <w:b/>
                <w:spacing w:val="-2"/>
                <w:sz w:val="24"/>
                <w:szCs w:val="24"/>
              </w:rPr>
              <w:t xml:space="preserve"> meeting </w:t>
            </w:r>
            <w:r w:rsidRPr="00857FF1">
              <w:rPr>
                <w:rFonts w:eastAsia="Calibri" w:cstheme="minorHAnsi"/>
                <w:b/>
                <w:color w:val="000000"/>
                <w:spacing w:val="-2"/>
                <w:sz w:val="24"/>
                <w:szCs w:val="24"/>
              </w:rPr>
              <w:t>–</w:t>
            </w:r>
            <w:r w:rsidR="008B1926">
              <w:rPr>
                <w:rFonts w:eastAsia="Calibri" w:cstheme="minorHAnsi"/>
                <w:b/>
                <w:color w:val="000000"/>
                <w:spacing w:val="-2"/>
                <w:sz w:val="24"/>
                <w:szCs w:val="24"/>
              </w:rPr>
              <w:t xml:space="preserve"> </w:t>
            </w:r>
            <w:r>
              <w:rPr>
                <w:rFonts w:cstheme="minorHAnsi"/>
                <w:b/>
                <w:spacing w:val="-2"/>
                <w:sz w:val="24"/>
                <w:szCs w:val="24"/>
              </w:rPr>
              <w:t>13</w:t>
            </w:r>
            <w:r w:rsidRPr="00857FF1">
              <w:rPr>
                <w:rFonts w:cstheme="minorHAnsi"/>
                <w:b/>
                <w:spacing w:val="-2"/>
                <w:sz w:val="24"/>
                <w:szCs w:val="24"/>
              </w:rPr>
              <w:t xml:space="preserve"> and </w:t>
            </w:r>
            <w:r>
              <w:rPr>
                <w:rFonts w:cstheme="minorHAnsi"/>
                <w:b/>
                <w:spacing w:val="-2"/>
                <w:sz w:val="24"/>
                <w:szCs w:val="24"/>
              </w:rPr>
              <w:t>14</w:t>
            </w:r>
            <w:r w:rsidRPr="00857FF1">
              <w:rPr>
                <w:rFonts w:cstheme="minorHAnsi"/>
                <w:b/>
                <w:spacing w:val="-2"/>
                <w:sz w:val="24"/>
                <w:szCs w:val="24"/>
              </w:rPr>
              <w:t xml:space="preserve"> January 2022</w:t>
            </w:r>
          </w:p>
        </w:tc>
        <w:tc>
          <w:tcPr>
            <w:tcW w:w="4218" w:type="dxa"/>
          </w:tcPr>
          <w:p w14:paraId="66B2A2C9" w14:textId="77777777" w:rsidR="006079C5" w:rsidRPr="00D613F6" w:rsidRDefault="006079C5" w:rsidP="002E4D50">
            <w:pPr>
              <w:spacing w:line="240" w:lineRule="atLeast"/>
            </w:pPr>
            <w:bookmarkStart w:id="0" w:name="ditulogo"/>
            <w:bookmarkEnd w:id="0"/>
            <w:r>
              <w:rPr>
                <w:noProof/>
              </w:rPr>
              <w:drawing>
                <wp:inline distT="0" distB="0" distL="0" distR="0" wp14:anchorId="784D1FFB" wp14:editId="41D0CB7B">
                  <wp:extent cx="682321" cy="720000"/>
                  <wp:effectExtent l="0" t="0" r="3810" b="444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6079C5" w:rsidRPr="00617BE4" w14:paraId="1349D4F6" w14:textId="77777777" w:rsidTr="002E4D50">
        <w:trPr>
          <w:cantSplit/>
        </w:trPr>
        <w:tc>
          <w:tcPr>
            <w:tcW w:w="6096" w:type="dxa"/>
            <w:tcBorders>
              <w:top w:val="single" w:sz="12" w:space="0" w:color="auto"/>
            </w:tcBorders>
          </w:tcPr>
          <w:p w14:paraId="3ED9580C" w14:textId="77777777" w:rsidR="006079C5" w:rsidRPr="00D613F6" w:rsidRDefault="006079C5" w:rsidP="002E4D50">
            <w:pPr>
              <w:snapToGrid w:val="0"/>
              <w:spacing w:after="0" w:line="240" w:lineRule="auto"/>
              <w:rPr>
                <w:b/>
                <w:smallCaps/>
              </w:rPr>
            </w:pPr>
          </w:p>
        </w:tc>
        <w:tc>
          <w:tcPr>
            <w:tcW w:w="4218" w:type="dxa"/>
            <w:tcBorders>
              <w:top w:val="single" w:sz="12" w:space="0" w:color="auto"/>
            </w:tcBorders>
          </w:tcPr>
          <w:p w14:paraId="3313A265" w14:textId="77777777" w:rsidR="006079C5" w:rsidRPr="00D613F6" w:rsidRDefault="006079C5" w:rsidP="002E4D50">
            <w:pPr>
              <w:snapToGrid w:val="0"/>
              <w:spacing w:after="0" w:line="240" w:lineRule="auto"/>
              <w:ind w:left="209"/>
              <w:rPr>
                <w:rFonts w:ascii="Verdana" w:hAnsi="Verdana"/>
              </w:rPr>
            </w:pPr>
          </w:p>
        </w:tc>
      </w:tr>
      <w:tr w:rsidR="006079C5" w:rsidRPr="008B1926" w14:paraId="530E17FF" w14:textId="77777777" w:rsidTr="002E4D50">
        <w:trPr>
          <w:cantSplit/>
          <w:trHeight w:val="23"/>
        </w:trPr>
        <w:tc>
          <w:tcPr>
            <w:tcW w:w="6096" w:type="dxa"/>
            <w:vMerge w:val="restart"/>
          </w:tcPr>
          <w:p w14:paraId="127B93CC" w14:textId="77777777" w:rsidR="006079C5" w:rsidRPr="00D613F6" w:rsidRDefault="006079C5" w:rsidP="002E4D50">
            <w:pPr>
              <w:snapToGrid w:val="0"/>
              <w:spacing w:after="0" w:line="240" w:lineRule="auto"/>
              <w:rPr>
                <w:b/>
              </w:rPr>
            </w:pPr>
            <w:bookmarkStart w:id="1" w:name="dmeeting" w:colFirst="0" w:colLast="0"/>
            <w:bookmarkStart w:id="2" w:name="dnum" w:colFirst="1" w:colLast="1"/>
          </w:p>
        </w:tc>
        <w:tc>
          <w:tcPr>
            <w:tcW w:w="4218" w:type="dxa"/>
          </w:tcPr>
          <w:p w14:paraId="29E1B5F4" w14:textId="16ACD6AA" w:rsidR="006079C5" w:rsidRPr="00C933E9" w:rsidRDefault="006079C5" w:rsidP="002E4D50">
            <w:pPr>
              <w:snapToGrid w:val="0"/>
              <w:spacing w:after="0" w:line="240" w:lineRule="auto"/>
              <w:ind w:left="57"/>
              <w:rPr>
                <w:rFonts w:cstheme="minorHAnsi"/>
                <w:b/>
                <w:spacing w:val="-4"/>
                <w:sz w:val="24"/>
                <w:szCs w:val="24"/>
                <w:lang w:val="it-IT"/>
              </w:rPr>
            </w:pPr>
            <w:r w:rsidRPr="00C933E9">
              <w:rPr>
                <w:rFonts w:cstheme="minorHAnsi"/>
                <w:b/>
                <w:spacing w:val="-4"/>
                <w:sz w:val="24"/>
                <w:szCs w:val="24"/>
                <w:lang w:val="it-IT"/>
              </w:rPr>
              <w:t>Document CWG-SFP-2/</w:t>
            </w:r>
            <w:r w:rsidR="00C70384" w:rsidRPr="00C933E9">
              <w:rPr>
                <w:rFonts w:cstheme="minorHAnsi"/>
                <w:b/>
                <w:spacing w:val="-4"/>
                <w:sz w:val="24"/>
                <w:szCs w:val="24"/>
                <w:lang w:val="it-IT"/>
              </w:rPr>
              <w:t>INF-1</w:t>
            </w:r>
            <w:r w:rsidRPr="00C933E9">
              <w:rPr>
                <w:rFonts w:cstheme="minorHAnsi"/>
                <w:b/>
                <w:spacing w:val="-4"/>
                <w:sz w:val="24"/>
                <w:szCs w:val="24"/>
                <w:lang w:val="it-IT"/>
              </w:rPr>
              <w:t>-E</w:t>
            </w:r>
          </w:p>
        </w:tc>
      </w:tr>
      <w:tr w:rsidR="006079C5" w:rsidRPr="00E544AC" w14:paraId="484BB848" w14:textId="77777777" w:rsidTr="002E4D50">
        <w:trPr>
          <w:cantSplit/>
          <w:trHeight w:val="23"/>
        </w:trPr>
        <w:tc>
          <w:tcPr>
            <w:tcW w:w="6096" w:type="dxa"/>
            <w:vMerge/>
          </w:tcPr>
          <w:p w14:paraId="5EBB80FB" w14:textId="77777777" w:rsidR="006079C5" w:rsidRPr="00F276AC" w:rsidRDefault="006079C5" w:rsidP="002E4D50">
            <w:pPr>
              <w:snapToGrid w:val="0"/>
              <w:spacing w:after="0" w:line="240" w:lineRule="auto"/>
              <w:rPr>
                <w:b/>
                <w:lang w:val="it-IT"/>
              </w:rPr>
            </w:pPr>
            <w:bookmarkStart w:id="3" w:name="ddate" w:colFirst="1" w:colLast="1"/>
            <w:bookmarkEnd w:id="1"/>
            <w:bookmarkEnd w:id="2"/>
          </w:p>
        </w:tc>
        <w:tc>
          <w:tcPr>
            <w:tcW w:w="4218" w:type="dxa"/>
          </w:tcPr>
          <w:p w14:paraId="5A4FF3E0" w14:textId="77777777" w:rsidR="006079C5" w:rsidRPr="00C933E9" w:rsidRDefault="006079C5" w:rsidP="002E4D50">
            <w:pPr>
              <w:snapToGrid w:val="0"/>
              <w:spacing w:after="0" w:line="240" w:lineRule="auto"/>
              <w:ind w:left="57"/>
              <w:rPr>
                <w:rFonts w:cstheme="minorHAnsi"/>
                <w:b/>
                <w:sz w:val="24"/>
                <w:szCs w:val="24"/>
              </w:rPr>
            </w:pPr>
            <w:r w:rsidRPr="00C933E9">
              <w:rPr>
                <w:rFonts w:cstheme="minorHAnsi"/>
                <w:b/>
                <w:sz w:val="24"/>
                <w:szCs w:val="24"/>
              </w:rPr>
              <w:t>9 December 2021</w:t>
            </w:r>
          </w:p>
        </w:tc>
      </w:tr>
      <w:tr w:rsidR="006079C5" w:rsidRPr="00E544AC" w14:paraId="655D0F19" w14:textId="77777777" w:rsidTr="002E4D50">
        <w:trPr>
          <w:cantSplit/>
          <w:trHeight w:val="80"/>
        </w:trPr>
        <w:tc>
          <w:tcPr>
            <w:tcW w:w="6096" w:type="dxa"/>
            <w:vMerge/>
          </w:tcPr>
          <w:p w14:paraId="1BE98F2E" w14:textId="77777777" w:rsidR="006079C5" w:rsidRPr="00E544AC" w:rsidRDefault="006079C5" w:rsidP="002E4D50">
            <w:pPr>
              <w:snapToGrid w:val="0"/>
              <w:spacing w:after="0" w:line="240" w:lineRule="auto"/>
              <w:rPr>
                <w:b/>
              </w:rPr>
            </w:pPr>
            <w:bookmarkStart w:id="4" w:name="dorlang" w:colFirst="1" w:colLast="1"/>
            <w:bookmarkEnd w:id="3"/>
          </w:p>
        </w:tc>
        <w:tc>
          <w:tcPr>
            <w:tcW w:w="4218" w:type="dxa"/>
          </w:tcPr>
          <w:p w14:paraId="6A269633" w14:textId="77777777" w:rsidR="006079C5" w:rsidRPr="00CA20F2" w:rsidRDefault="006079C5" w:rsidP="002E4D50">
            <w:pPr>
              <w:snapToGrid w:val="0"/>
              <w:spacing w:after="0" w:line="240" w:lineRule="auto"/>
              <w:ind w:left="57"/>
              <w:rPr>
                <w:rFonts w:cstheme="minorHAnsi"/>
                <w:b/>
                <w:sz w:val="24"/>
                <w:szCs w:val="24"/>
              </w:rPr>
            </w:pPr>
            <w:r>
              <w:rPr>
                <w:rFonts w:cstheme="minorHAnsi"/>
                <w:b/>
                <w:sz w:val="24"/>
                <w:szCs w:val="24"/>
              </w:rPr>
              <w:t xml:space="preserve">Original: </w:t>
            </w:r>
            <w:r w:rsidRPr="00CA20F2">
              <w:rPr>
                <w:rFonts w:cstheme="minorHAnsi"/>
                <w:b/>
                <w:sz w:val="24"/>
                <w:szCs w:val="24"/>
              </w:rPr>
              <w:t>English</w:t>
            </w:r>
          </w:p>
        </w:tc>
      </w:tr>
      <w:bookmarkEnd w:id="4"/>
      <w:tr w:rsidR="006079C5" w:rsidRPr="00E544AC" w14:paraId="630D8158" w14:textId="77777777" w:rsidTr="002E4D50">
        <w:trPr>
          <w:cantSplit/>
          <w:trHeight w:val="80"/>
        </w:trPr>
        <w:tc>
          <w:tcPr>
            <w:tcW w:w="10314" w:type="dxa"/>
            <w:gridSpan w:val="2"/>
          </w:tcPr>
          <w:p w14:paraId="3E19137D" w14:textId="718FF5FA" w:rsidR="006079C5" w:rsidRPr="008B1926" w:rsidRDefault="00B616D6" w:rsidP="008B1926">
            <w:pPr>
              <w:pStyle w:val="Source"/>
              <w:framePr w:hSpace="0" w:wrap="auto" w:hAnchor="text" w:yAlign="inline"/>
            </w:pPr>
            <w:r w:rsidRPr="008B1926">
              <w:t>Note</w:t>
            </w:r>
            <w:r w:rsidR="006079C5" w:rsidRPr="008B1926">
              <w:t xml:space="preserve"> by the Secretariat</w:t>
            </w:r>
          </w:p>
        </w:tc>
      </w:tr>
      <w:tr w:rsidR="006079C5" w:rsidRPr="00E544AC" w14:paraId="4E9A7BB0" w14:textId="77777777" w:rsidTr="002E4D50">
        <w:trPr>
          <w:cantSplit/>
          <w:trHeight w:val="80"/>
        </w:trPr>
        <w:tc>
          <w:tcPr>
            <w:tcW w:w="10314" w:type="dxa"/>
            <w:gridSpan w:val="2"/>
          </w:tcPr>
          <w:p w14:paraId="1827EC21" w14:textId="18496FDD" w:rsidR="006079C5" w:rsidRPr="000F2E67" w:rsidRDefault="00B616D6" w:rsidP="008B1926">
            <w:pPr>
              <w:pStyle w:val="Title1"/>
              <w:framePr w:hSpace="0" w:wrap="auto" w:hAnchor="text" w:yAlign="inline"/>
            </w:pPr>
            <w:bookmarkStart w:id="5" w:name="_Hlk90022760"/>
            <w:r>
              <w:t xml:space="preserve">Information Document </w:t>
            </w:r>
            <w:r w:rsidR="001B6DCD">
              <w:t>on</w:t>
            </w:r>
            <w:r w:rsidR="001B6DCD">
              <w:br/>
            </w:r>
            <w:r w:rsidR="006079C5">
              <w:t xml:space="preserve">Secretariat’s input to </w:t>
            </w:r>
            <w:r w:rsidR="001B6DCD">
              <w:t xml:space="preserve">the </w:t>
            </w:r>
            <w:r w:rsidR="006079C5">
              <w:t xml:space="preserve">Draft </w:t>
            </w:r>
            <w:r w:rsidR="001B6DCD">
              <w:t>ITU Strategic Plan 2024-2027</w:t>
            </w:r>
            <w:bookmarkEnd w:id="5"/>
          </w:p>
        </w:tc>
      </w:tr>
      <w:tr w:rsidR="006079C5" w:rsidRPr="00E544AC" w14:paraId="560DB40A" w14:textId="77777777" w:rsidTr="002E4D50">
        <w:trPr>
          <w:cantSplit/>
          <w:trHeight w:val="80"/>
        </w:trPr>
        <w:tc>
          <w:tcPr>
            <w:tcW w:w="10314" w:type="dxa"/>
            <w:gridSpan w:val="2"/>
          </w:tcPr>
          <w:p w14:paraId="1787F6A4" w14:textId="77777777" w:rsidR="006079C5" w:rsidRDefault="006079C5" w:rsidP="008B1926">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6079C5" w:rsidRPr="001F57C2" w14:paraId="2FA13A00" w14:textId="77777777" w:rsidTr="002E4D50">
        <w:trPr>
          <w:trHeight w:val="3372"/>
        </w:trPr>
        <w:tc>
          <w:tcPr>
            <w:tcW w:w="9355" w:type="dxa"/>
            <w:tcBorders>
              <w:top w:val="single" w:sz="12" w:space="0" w:color="auto"/>
              <w:left w:val="single" w:sz="12" w:space="0" w:color="auto"/>
              <w:bottom w:val="single" w:sz="12" w:space="0" w:color="auto"/>
              <w:right w:val="single" w:sz="12" w:space="0" w:color="auto"/>
            </w:tcBorders>
          </w:tcPr>
          <w:p w14:paraId="66C0C1E4" w14:textId="77777777" w:rsidR="006079C5" w:rsidRPr="0036762C" w:rsidRDefault="006079C5" w:rsidP="002E4D50">
            <w:pPr>
              <w:snapToGrid w:val="0"/>
              <w:spacing w:line="240" w:lineRule="auto"/>
              <w:ind w:left="869" w:hanging="869"/>
              <w:rPr>
                <w:b/>
                <w:bCs/>
                <w:szCs w:val="24"/>
              </w:rPr>
            </w:pPr>
            <w:r w:rsidRPr="0036762C">
              <w:rPr>
                <w:b/>
                <w:bCs/>
                <w:szCs w:val="24"/>
              </w:rPr>
              <w:t>Summary</w:t>
            </w:r>
          </w:p>
          <w:p w14:paraId="0BDB3501" w14:textId="1F65AA5F" w:rsidR="006079C5" w:rsidRPr="0036762C" w:rsidRDefault="00075662" w:rsidP="002E4D50">
            <w:pPr>
              <w:snapToGrid w:val="0"/>
              <w:spacing w:line="240" w:lineRule="auto"/>
              <w:ind w:right="64"/>
              <w:jc w:val="both"/>
              <w:rPr>
                <w:szCs w:val="24"/>
              </w:rPr>
            </w:pPr>
            <w:r w:rsidRPr="00075662">
              <w:rPr>
                <w:szCs w:val="24"/>
              </w:rPr>
              <w:t>This information document accompanies the Secretariat</w:t>
            </w:r>
            <w:r w:rsidR="00057118">
              <w:rPr>
                <w:szCs w:val="24"/>
              </w:rPr>
              <w:t>’</w:t>
            </w:r>
            <w:r w:rsidRPr="00075662">
              <w:rPr>
                <w:szCs w:val="24"/>
              </w:rPr>
              <w:t>s input for the draft Strategic Plan for the Union for 2024-2027. Its objective is to facilitate membership’s review of the draft Strategic Plan by providing additional background information on (1) the process through which the Secretariat</w:t>
            </w:r>
            <w:r w:rsidR="00057118">
              <w:rPr>
                <w:szCs w:val="24"/>
              </w:rPr>
              <w:t>’</w:t>
            </w:r>
            <w:r w:rsidRPr="00075662">
              <w:rPr>
                <w:szCs w:val="24"/>
              </w:rPr>
              <w:t xml:space="preserve">s input draft Strategic </w:t>
            </w:r>
            <w:r w:rsidR="00DD3D6B">
              <w:rPr>
                <w:szCs w:val="24"/>
              </w:rPr>
              <w:t>p</w:t>
            </w:r>
            <w:r w:rsidRPr="00075662">
              <w:rPr>
                <w:szCs w:val="24"/>
              </w:rPr>
              <w:t xml:space="preserve">lan has been developed, following the guidance provided by the CWG-SFP, (2) the key principles followed in the development of the draft plan, and (3) the rationale underlying the content of selected </w:t>
            </w:r>
            <w:r w:rsidR="00DD3D6B">
              <w:rPr>
                <w:szCs w:val="24"/>
              </w:rPr>
              <w:t>s</w:t>
            </w:r>
            <w:r w:rsidRPr="00075662">
              <w:rPr>
                <w:szCs w:val="24"/>
              </w:rPr>
              <w:t xml:space="preserve">trategic </w:t>
            </w:r>
            <w:r w:rsidR="00DD3D6B">
              <w:rPr>
                <w:szCs w:val="24"/>
              </w:rPr>
              <w:t>p</w:t>
            </w:r>
            <w:r w:rsidRPr="00075662">
              <w:rPr>
                <w:szCs w:val="24"/>
              </w:rPr>
              <w:t>lan components and results indicators.</w:t>
            </w:r>
          </w:p>
          <w:p w14:paraId="738D0D6D" w14:textId="77777777" w:rsidR="006079C5" w:rsidRPr="0036762C" w:rsidRDefault="006079C5" w:rsidP="002E4D50">
            <w:pPr>
              <w:snapToGrid w:val="0"/>
              <w:spacing w:line="240" w:lineRule="auto"/>
              <w:ind w:left="862" w:hanging="868"/>
              <w:jc w:val="both"/>
              <w:rPr>
                <w:b/>
                <w:bCs/>
                <w:szCs w:val="24"/>
              </w:rPr>
            </w:pPr>
            <w:r w:rsidRPr="0036762C">
              <w:rPr>
                <w:b/>
                <w:bCs/>
                <w:szCs w:val="24"/>
              </w:rPr>
              <w:t>Action required</w:t>
            </w:r>
          </w:p>
          <w:p w14:paraId="0548F2EE" w14:textId="1A00C473" w:rsidR="006079C5" w:rsidRDefault="006079C5" w:rsidP="002E4D50">
            <w:pPr>
              <w:snapToGrid w:val="0"/>
              <w:spacing w:line="240" w:lineRule="auto"/>
              <w:ind w:right="64"/>
              <w:jc w:val="both"/>
              <w:rPr>
                <w:szCs w:val="24"/>
              </w:rPr>
            </w:pPr>
            <w:r>
              <w:rPr>
                <w:szCs w:val="24"/>
              </w:rPr>
              <w:t xml:space="preserve">The </w:t>
            </w:r>
            <w:r w:rsidR="006B6D1A">
              <w:rPr>
                <w:szCs w:val="24"/>
              </w:rPr>
              <w:t xml:space="preserve">document is </w:t>
            </w:r>
            <w:r w:rsidR="006B6D1A" w:rsidRPr="006B6D1A">
              <w:rPr>
                <w:b/>
                <w:bCs/>
                <w:szCs w:val="24"/>
              </w:rPr>
              <w:t>for information only</w:t>
            </w:r>
            <w:r>
              <w:rPr>
                <w:szCs w:val="24"/>
              </w:rPr>
              <w:t>.</w:t>
            </w:r>
          </w:p>
          <w:p w14:paraId="5A9C5054" w14:textId="77777777" w:rsidR="006079C5" w:rsidRPr="0036762C" w:rsidRDefault="006079C5" w:rsidP="002E4D50">
            <w:pPr>
              <w:snapToGrid w:val="0"/>
              <w:spacing w:line="240" w:lineRule="auto"/>
              <w:ind w:right="64"/>
              <w:jc w:val="both"/>
              <w:rPr>
                <w:szCs w:val="24"/>
              </w:rPr>
            </w:pPr>
            <w:r>
              <w:rPr>
                <w:szCs w:val="24"/>
              </w:rPr>
              <w:t>________________</w:t>
            </w:r>
          </w:p>
          <w:p w14:paraId="39C28560" w14:textId="77777777" w:rsidR="006079C5" w:rsidRPr="0036762C" w:rsidRDefault="006079C5" w:rsidP="002E4D50">
            <w:pPr>
              <w:snapToGrid w:val="0"/>
              <w:spacing w:line="240" w:lineRule="auto"/>
              <w:ind w:left="862" w:hanging="868"/>
              <w:jc w:val="both"/>
              <w:rPr>
                <w:b/>
                <w:bCs/>
                <w:szCs w:val="24"/>
              </w:rPr>
            </w:pPr>
            <w:r w:rsidRPr="0036762C">
              <w:rPr>
                <w:b/>
                <w:bCs/>
                <w:szCs w:val="24"/>
              </w:rPr>
              <w:t>References</w:t>
            </w:r>
          </w:p>
          <w:p w14:paraId="76838C10" w14:textId="2846EA45" w:rsidR="006079C5" w:rsidRPr="0036762C" w:rsidRDefault="00462C10" w:rsidP="002E4D50">
            <w:pPr>
              <w:snapToGrid w:val="0"/>
              <w:spacing w:line="240" w:lineRule="auto"/>
              <w:ind w:right="64"/>
              <w:jc w:val="both"/>
              <w:rPr>
                <w:szCs w:val="24"/>
              </w:rPr>
            </w:pPr>
            <w:hyperlink r:id="rId12" w:history="1">
              <w:r w:rsidR="006079C5" w:rsidRPr="00500824">
                <w:rPr>
                  <w:rStyle w:val="Hyperlink"/>
                  <w:szCs w:val="24"/>
                </w:rPr>
                <w:t>Resolution 71 (rev. Dubai, 2018)</w:t>
              </w:r>
            </w:hyperlink>
          </w:p>
        </w:tc>
      </w:tr>
    </w:tbl>
    <w:p w14:paraId="573AD2F6" w14:textId="77777777" w:rsidR="006079C5" w:rsidRDefault="006079C5" w:rsidP="006079C5">
      <w:pPr>
        <w:rPr>
          <w:rFonts w:cstheme="majorBidi"/>
          <w:sz w:val="24"/>
          <w:szCs w:val="24"/>
        </w:rPr>
      </w:pPr>
    </w:p>
    <w:p w14:paraId="06BC13B8" w14:textId="77777777" w:rsidR="006079C5" w:rsidRDefault="006079C5" w:rsidP="006079C5">
      <w:pPr>
        <w:spacing w:after="0" w:line="240" w:lineRule="auto"/>
        <w:rPr>
          <w:rFonts w:cstheme="majorBidi"/>
          <w:sz w:val="24"/>
          <w:szCs w:val="24"/>
        </w:rPr>
      </w:pPr>
      <w:r>
        <w:rPr>
          <w:rFonts w:cstheme="majorBidi"/>
          <w:sz w:val="24"/>
          <w:szCs w:val="24"/>
        </w:rPr>
        <w:br w:type="page"/>
      </w:r>
    </w:p>
    <w:p w14:paraId="627036DD" w14:textId="0F231FC8" w:rsidR="00A16985" w:rsidRDefault="002B2E6C" w:rsidP="00BD2614">
      <w:pPr>
        <w:pStyle w:val="Heading1"/>
        <w:numPr>
          <w:ilvl w:val="0"/>
          <w:numId w:val="5"/>
        </w:numPr>
        <w:spacing w:before="120" w:after="120"/>
        <w:ind w:left="357" w:hanging="357"/>
      </w:pPr>
      <w:r>
        <w:lastRenderedPageBreak/>
        <w:t xml:space="preserve">Summary of the </w:t>
      </w:r>
      <w:r w:rsidR="00E72D45">
        <w:t>draft Strategic Plan development</w:t>
      </w:r>
      <w:r w:rsidR="008E2F6D">
        <w:t xml:space="preserve"> </w:t>
      </w:r>
      <w:r>
        <w:t xml:space="preserve">process </w:t>
      </w:r>
      <w:r w:rsidR="00B95194">
        <w:t>to date</w:t>
      </w:r>
    </w:p>
    <w:p w14:paraId="5F07F9CC" w14:textId="3F595BC8" w:rsidR="00CF69DE" w:rsidRPr="002B19D9" w:rsidRDefault="00E5685D" w:rsidP="00327495">
      <w:pPr>
        <w:jc w:val="both"/>
        <w:rPr>
          <w:lang w:val="en-US"/>
        </w:rPr>
      </w:pPr>
      <w:r w:rsidRPr="004E12F1">
        <w:rPr>
          <w:lang w:val="en-US"/>
        </w:rPr>
        <w:t xml:space="preserve">The ITU </w:t>
      </w:r>
      <w:r w:rsidR="00ED0525">
        <w:rPr>
          <w:lang w:val="en-US"/>
        </w:rPr>
        <w:t>S</w:t>
      </w:r>
      <w:r w:rsidRPr="004E12F1">
        <w:rPr>
          <w:lang w:val="en-US"/>
        </w:rPr>
        <w:t>ecretariat’s input to the strategic planning process aims to implement</w:t>
      </w:r>
      <w:r w:rsidRPr="004E12F1" w:rsidDel="00E5685D">
        <w:rPr>
          <w:lang w:val="en-US"/>
        </w:rPr>
        <w:t xml:space="preserve"> </w:t>
      </w:r>
      <w:r w:rsidR="4F7ED369" w:rsidRPr="004E12F1">
        <w:rPr>
          <w:lang w:val="en-US"/>
        </w:rPr>
        <w:t>guidance from the membership</w:t>
      </w:r>
      <w:r w:rsidR="00204353">
        <w:rPr>
          <w:lang w:val="en-US"/>
        </w:rPr>
        <w:t xml:space="preserve"> </w:t>
      </w:r>
      <w:r w:rsidR="003B3F1F">
        <w:rPr>
          <w:lang w:val="en-US"/>
        </w:rPr>
        <w:t xml:space="preserve">provided </w:t>
      </w:r>
      <w:r w:rsidR="00066C46">
        <w:rPr>
          <w:lang w:val="en-US"/>
        </w:rPr>
        <w:t xml:space="preserve">in </w:t>
      </w:r>
      <w:r w:rsidR="0050169B" w:rsidRPr="0050169B">
        <w:rPr>
          <w:lang w:val="en-US"/>
        </w:rPr>
        <w:t xml:space="preserve">the </w:t>
      </w:r>
      <w:r w:rsidR="00B12347" w:rsidRPr="008676AB">
        <w:rPr>
          <w:lang w:val="en-US"/>
        </w:rPr>
        <w:t>f</w:t>
      </w:r>
      <w:r w:rsidR="00B12347" w:rsidRPr="00954C24">
        <w:rPr>
          <w:lang w:val="en-US"/>
        </w:rPr>
        <w:t>irst CWG-</w:t>
      </w:r>
      <w:r w:rsidR="00B12347" w:rsidRPr="00327495">
        <w:rPr>
          <w:lang w:val="en-US"/>
        </w:rPr>
        <w:t>SFP</w:t>
      </w:r>
      <w:r w:rsidR="00B12347" w:rsidRPr="00B12347">
        <w:rPr>
          <w:lang w:val="en-US"/>
        </w:rPr>
        <w:t xml:space="preserve"> </w:t>
      </w:r>
      <w:r w:rsidR="00B12347" w:rsidRPr="008676AB">
        <w:rPr>
          <w:lang w:val="en-US"/>
        </w:rPr>
        <w:t>meeting</w:t>
      </w:r>
      <w:r w:rsidR="00B12347" w:rsidRPr="393D38D5">
        <w:rPr>
          <w:lang w:val="en-US"/>
        </w:rPr>
        <w:t xml:space="preserve"> </w:t>
      </w:r>
      <w:r w:rsidR="004377DB">
        <w:rPr>
          <w:lang w:val="en-US"/>
        </w:rPr>
        <w:t>in September 2021</w:t>
      </w:r>
      <w:r w:rsidR="00EA17BE">
        <w:rPr>
          <w:lang w:val="en-US"/>
        </w:rPr>
        <w:t>.</w:t>
      </w:r>
      <w:r w:rsidR="0050169B">
        <w:rPr>
          <w:lang w:val="en-US"/>
        </w:rPr>
        <w:t xml:space="preserve"> </w:t>
      </w:r>
      <w:r w:rsidR="001B46D7">
        <w:rPr>
          <w:lang w:val="en-US"/>
        </w:rPr>
        <w:t xml:space="preserve">This process included key milestones </w:t>
      </w:r>
      <w:r w:rsidR="00CF4B5C">
        <w:rPr>
          <w:lang w:val="en-US"/>
        </w:rPr>
        <w:t xml:space="preserve">covered </w:t>
      </w:r>
      <w:r w:rsidR="001B46D7">
        <w:rPr>
          <w:lang w:val="en-US"/>
        </w:rPr>
        <w:t xml:space="preserve">in the figure below. </w:t>
      </w:r>
    </w:p>
    <w:p w14:paraId="78485BC8" w14:textId="6E702352" w:rsidR="00CF69DE" w:rsidRDefault="00CF69DE" w:rsidP="00327495">
      <w:pPr>
        <w:jc w:val="both"/>
        <w:rPr>
          <w:lang w:val="en-US"/>
        </w:rPr>
      </w:pPr>
      <w:r>
        <w:rPr>
          <w:noProof/>
        </w:rPr>
        <w:drawing>
          <wp:inline distT="0" distB="0" distL="0" distR="0" wp14:anchorId="1A0D5DCA" wp14:editId="2B562F93">
            <wp:extent cx="6238527" cy="2170706"/>
            <wp:effectExtent l="0" t="0" r="0" b="127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rotWithShape="1">
                    <a:blip r:embed="rId13"/>
                    <a:srcRect l="1117" t="29718" r="6841"/>
                    <a:stretch/>
                  </pic:blipFill>
                  <pic:spPr bwMode="auto">
                    <a:xfrm>
                      <a:off x="0" y="0"/>
                      <a:ext cx="6278977" cy="2184781"/>
                    </a:xfrm>
                    <a:prstGeom prst="rect">
                      <a:avLst/>
                    </a:prstGeom>
                    <a:ln>
                      <a:noFill/>
                    </a:ln>
                    <a:extLst>
                      <a:ext uri="{53640926-AAD7-44D8-BBD7-CCE9431645EC}">
                        <a14:shadowObscured xmlns:a14="http://schemas.microsoft.com/office/drawing/2010/main"/>
                      </a:ext>
                    </a:extLst>
                  </pic:spPr>
                </pic:pic>
              </a:graphicData>
            </a:graphic>
          </wp:inline>
        </w:drawing>
      </w:r>
    </w:p>
    <w:p w14:paraId="05F5BA18" w14:textId="678533FA" w:rsidR="00A16985" w:rsidRPr="004E12F1" w:rsidRDefault="0058499C" w:rsidP="00327495">
      <w:pPr>
        <w:jc w:val="both"/>
        <w:rPr>
          <w:lang w:val="en-US"/>
        </w:rPr>
      </w:pPr>
      <w:r>
        <w:rPr>
          <w:lang w:val="en-US"/>
        </w:rPr>
        <w:t>To support the CWG-SFP</w:t>
      </w:r>
      <w:r w:rsidR="00E72D45">
        <w:rPr>
          <w:lang w:val="en-US"/>
        </w:rPr>
        <w:t xml:space="preserve"> in developing the draft Strategic Plan</w:t>
      </w:r>
      <w:r>
        <w:rPr>
          <w:lang w:val="en-US"/>
        </w:rPr>
        <w:t xml:space="preserve">, the </w:t>
      </w:r>
      <w:r w:rsidR="00C1172E">
        <w:rPr>
          <w:lang w:val="en-US"/>
        </w:rPr>
        <w:t>S</w:t>
      </w:r>
      <w:r w:rsidR="007C702A">
        <w:rPr>
          <w:lang w:val="en-US"/>
        </w:rPr>
        <w:t>ecretariat</w:t>
      </w:r>
      <w:r w:rsidR="00716409">
        <w:rPr>
          <w:lang w:val="en-US"/>
        </w:rPr>
        <w:t xml:space="preserve"> reviewed several </w:t>
      </w:r>
      <w:r w:rsidR="00716409" w:rsidRPr="00F03ECE">
        <w:rPr>
          <w:lang w:val="en-US"/>
        </w:rPr>
        <w:t>documents</w:t>
      </w:r>
      <w:r w:rsidR="00213B58">
        <w:rPr>
          <w:lang w:val="en-US"/>
        </w:rPr>
        <w:t xml:space="preserve"> and</w:t>
      </w:r>
      <w:r w:rsidR="4F7ED369" w:rsidRPr="004E12F1">
        <w:rPr>
          <w:lang w:val="en-US"/>
        </w:rPr>
        <w:t xml:space="preserve"> implemented</w:t>
      </w:r>
      <w:r w:rsidR="4C56A6DB" w:rsidRPr="004E12F1">
        <w:rPr>
          <w:lang w:val="en-US"/>
        </w:rPr>
        <w:t xml:space="preserve"> several initiatives to </w:t>
      </w:r>
      <w:r w:rsidR="004B544F">
        <w:rPr>
          <w:lang w:val="en-US"/>
        </w:rPr>
        <w:t xml:space="preserve">provide </w:t>
      </w:r>
      <w:r w:rsidR="4C56A6DB" w:rsidRPr="004E12F1">
        <w:rPr>
          <w:lang w:val="en-US"/>
        </w:rPr>
        <w:t>opportunitie</w:t>
      </w:r>
      <w:r w:rsidR="2C701769" w:rsidRPr="004E12F1">
        <w:rPr>
          <w:lang w:val="en-US"/>
        </w:rPr>
        <w:t>s</w:t>
      </w:r>
      <w:r w:rsidR="4C56A6DB" w:rsidRPr="004E12F1">
        <w:rPr>
          <w:lang w:val="en-US"/>
        </w:rPr>
        <w:t xml:space="preserve"> for stakeholders to contribute to </w:t>
      </w:r>
      <w:r w:rsidR="00F5179A" w:rsidRPr="004E12F1">
        <w:rPr>
          <w:lang w:val="en-US"/>
        </w:rPr>
        <w:t>ITU’s standard strategic planning processes</w:t>
      </w:r>
      <w:r w:rsidR="00F01E00" w:rsidRPr="004E12F1">
        <w:rPr>
          <w:lang w:val="en-US"/>
        </w:rPr>
        <w:t>.</w:t>
      </w:r>
      <w:r w:rsidR="00F57549" w:rsidRPr="004E12F1">
        <w:rPr>
          <w:lang w:val="en-US"/>
        </w:rPr>
        <w:t xml:space="preserve"> </w:t>
      </w:r>
      <w:r w:rsidR="00CC7F81" w:rsidRPr="004E12F1">
        <w:rPr>
          <w:lang w:val="en-US"/>
        </w:rPr>
        <w:t xml:space="preserve">These included </w:t>
      </w:r>
      <w:r w:rsidR="00A16985" w:rsidRPr="004E12F1">
        <w:rPr>
          <w:lang w:val="en-US"/>
        </w:rPr>
        <w:t xml:space="preserve">extensive consultations </w:t>
      </w:r>
      <w:r w:rsidR="00F62D8E" w:rsidRPr="004E12F1">
        <w:rPr>
          <w:lang w:val="en-US"/>
        </w:rPr>
        <w:t>with the membership</w:t>
      </w:r>
      <w:r w:rsidR="00162348">
        <w:rPr>
          <w:lang w:val="en-US"/>
        </w:rPr>
        <w:t>, as well as</w:t>
      </w:r>
      <w:r w:rsidR="00457169">
        <w:rPr>
          <w:lang w:val="en-US"/>
        </w:rPr>
        <w:t xml:space="preserve"> dialogues with</w:t>
      </w:r>
      <w:r w:rsidR="00A07E1A">
        <w:rPr>
          <w:lang w:val="en-US"/>
        </w:rPr>
        <w:t>in</w:t>
      </w:r>
      <w:r w:rsidR="00457169">
        <w:rPr>
          <w:lang w:val="en-US"/>
        </w:rPr>
        <w:t xml:space="preserve"> </w:t>
      </w:r>
      <w:r w:rsidR="00BB34A9" w:rsidRPr="004E12F1">
        <w:rPr>
          <w:lang w:val="en-US"/>
        </w:rPr>
        <w:t xml:space="preserve">the </w:t>
      </w:r>
      <w:r w:rsidR="00F62D8E" w:rsidRPr="004E12F1">
        <w:rPr>
          <w:lang w:val="en-US"/>
        </w:rPr>
        <w:t>ITU</w:t>
      </w:r>
      <w:r w:rsidR="00BB34A9" w:rsidRPr="004E12F1">
        <w:rPr>
          <w:lang w:val="en-US"/>
        </w:rPr>
        <w:t xml:space="preserve"> </w:t>
      </w:r>
      <w:r w:rsidR="55F0F259" w:rsidRPr="004E12F1">
        <w:rPr>
          <w:lang w:val="en-US"/>
        </w:rPr>
        <w:t xml:space="preserve">General </w:t>
      </w:r>
      <w:r w:rsidR="79E2FD85" w:rsidRPr="004E12F1">
        <w:rPr>
          <w:lang w:val="en-US"/>
        </w:rPr>
        <w:t>Secretariat</w:t>
      </w:r>
      <w:r w:rsidR="2A0DD963" w:rsidRPr="004E12F1">
        <w:rPr>
          <w:lang w:val="en-US"/>
        </w:rPr>
        <w:t xml:space="preserve"> and </w:t>
      </w:r>
      <w:r w:rsidR="00AB1B0C">
        <w:rPr>
          <w:lang w:val="en-US"/>
        </w:rPr>
        <w:t>with</w:t>
      </w:r>
      <w:r w:rsidR="2A0DD963" w:rsidRPr="004E12F1">
        <w:rPr>
          <w:lang w:val="en-US"/>
        </w:rPr>
        <w:t xml:space="preserve"> </w:t>
      </w:r>
      <w:r w:rsidR="00A07E1A">
        <w:rPr>
          <w:lang w:val="en-US"/>
        </w:rPr>
        <w:t xml:space="preserve">the </w:t>
      </w:r>
      <w:r w:rsidR="003A59F6">
        <w:rPr>
          <w:lang w:val="en-US"/>
        </w:rPr>
        <w:t>Bureaux</w:t>
      </w:r>
      <w:r w:rsidR="00A16985" w:rsidRPr="004E12F1">
        <w:rPr>
          <w:lang w:val="en-US"/>
        </w:rPr>
        <w:t xml:space="preserve"> to gather perspectives</w:t>
      </w:r>
      <w:r w:rsidR="008D7068" w:rsidRPr="004E12F1">
        <w:rPr>
          <w:lang w:val="en-US"/>
        </w:rPr>
        <w:t xml:space="preserve"> on the Strategic Plan</w:t>
      </w:r>
      <w:r w:rsidR="00A16985" w:rsidRPr="004E12F1">
        <w:rPr>
          <w:lang w:val="en-US"/>
        </w:rPr>
        <w:t xml:space="preserve"> and </w:t>
      </w:r>
      <w:r w:rsidR="0EF63F1C" w:rsidRPr="004E12F1">
        <w:rPr>
          <w:lang w:val="en-US"/>
        </w:rPr>
        <w:t xml:space="preserve">obtain guidance on </w:t>
      </w:r>
      <w:r w:rsidR="004D07F2" w:rsidRPr="004E12F1">
        <w:rPr>
          <w:lang w:val="en-US"/>
        </w:rPr>
        <w:t xml:space="preserve">how to incorporate </w:t>
      </w:r>
      <w:r w:rsidR="002D7083" w:rsidRPr="004E12F1">
        <w:rPr>
          <w:lang w:val="en-US"/>
        </w:rPr>
        <w:t xml:space="preserve">inputs </w:t>
      </w:r>
      <w:r w:rsidR="00E93496" w:rsidRPr="004E12F1" w:rsidDel="002D7083">
        <w:rPr>
          <w:lang w:val="en-US"/>
        </w:rPr>
        <w:t xml:space="preserve">most </w:t>
      </w:r>
      <w:r w:rsidR="002D7083" w:rsidRPr="004E12F1">
        <w:rPr>
          <w:lang w:val="en-US"/>
        </w:rPr>
        <w:t>effectivel</w:t>
      </w:r>
      <w:r w:rsidR="00E93496" w:rsidRPr="004E12F1">
        <w:rPr>
          <w:lang w:val="en-US"/>
        </w:rPr>
        <w:t>y</w:t>
      </w:r>
      <w:r w:rsidR="00A16985" w:rsidRPr="004E12F1">
        <w:rPr>
          <w:lang w:val="en-US"/>
        </w:rPr>
        <w:t>.</w:t>
      </w:r>
      <w:r w:rsidR="0050169B">
        <w:rPr>
          <w:lang w:val="en-US"/>
        </w:rPr>
        <w:t xml:space="preserve"> </w:t>
      </w:r>
      <w:r w:rsidR="00A16985" w:rsidRPr="004E12F1">
        <w:rPr>
          <w:lang w:val="en-US"/>
        </w:rPr>
        <w:t>The</w:t>
      </w:r>
      <w:r w:rsidR="00A413FC">
        <w:rPr>
          <w:lang w:val="en-US"/>
        </w:rPr>
        <w:t xml:space="preserve">se </w:t>
      </w:r>
      <w:r w:rsidR="00C735F3">
        <w:rPr>
          <w:lang w:val="en-US"/>
        </w:rPr>
        <w:t>initiatives</w:t>
      </w:r>
      <w:r w:rsidR="00A413FC">
        <w:rPr>
          <w:lang w:val="en-US"/>
        </w:rPr>
        <w:t xml:space="preserve"> </w:t>
      </w:r>
      <w:r w:rsidR="00A16985" w:rsidRPr="004E12F1">
        <w:rPr>
          <w:lang w:val="en-US"/>
        </w:rPr>
        <w:t>included:</w:t>
      </w:r>
    </w:p>
    <w:p w14:paraId="19B1B3DC" w14:textId="2B561811" w:rsidR="00FE4141" w:rsidRPr="00551000" w:rsidRDefault="004443D9" w:rsidP="00A16985">
      <w:pPr>
        <w:rPr>
          <w:u w:val="single"/>
          <w:lang w:val="en-US"/>
        </w:rPr>
      </w:pPr>
      <w:r>
        <w:rPr>
          <w:u w:val="single"/>
          <w:lang w:val="en-US"/>
        </w:rPr>
        <w:t>Consultation</w:t>
      </w:r>
      <w:r w:rsidR="00146692">
        <w:rPr>
          <w:u w:val="single"/>
          <w:lang w:val="en-US"/>
        </w:rPr>
        <w:t>s</w:t>
      </w:r>
      <w:r w:rsidR="002D40E4">
        <w:rPr>
          <w:u w:val="single"/>
          <w:lang w:val="en-US"/>
        </w:rPr>
        <w:t xml:space="preserve"> with the membership</w:t>
      </w:r>
    </w:p>
    <w:p w14:paraId="41D335B1" w14:textId="73EF8CE2" w:rsidR="00551000" w:rsidRPr="00A52CCB" w:rsidRDefault="00551000" w:rsidP="00A52CCB">
      <w:pPr>
        <w:pStyle w:val="ListParagraph"/>
        <w:numPr>
          <w:ilvl w:val="0"/>
          <w:numId w:val="6"/>
        </w:numPr>
        <w:jc w:val="both"/>
        <w:rPr>
          <w:rFonts w:eastAsiaTheme="minorEastAsia"/>
          <w:lang w:val="en-US"/>
        </w:rPr>
      </w:pPr>
      <w:r w:rsidRPr="393D38D5">
        <w:rPr>
          <w:b/>
          <w:bCs/>
          <w:lang w:val="en-US"/>
        </w:rPr>
        <w:t>The Informal Consultation</w:t>
      </w:r>
      <w:r w:rsidR="00194615">
        <w:rPr>
          <w:lang w:val="en-US"/>
        </w:rPr>
        <w:t xml:space="preserve">, </w:t>
      </w:r>
      <w:r w:rsidR="00196C93">
        <w:rPr>
          <w:lang w:val="en-US"/>
        </w:rPr>
        <w:t xml:space="preserve">launched by the </w:t>
      </w:r>
      <w:r w:rsidR="00196C93" w:rsidRPr="00A52CCB">
        <w:rPr>
          <w:lang w:val="en-US"/>
        </w:rPr>
        <w:t>CWG-SFP Chair</w:t>
      </w:r>
      <w:r w:rsidR="00196C93" w:rsidRPr="393D38D5">
        <w:rPr>
          <w:b/>
          <w:bCs/>
          <w:lang w:val="en-US"/>
        </w:rPr>
        <w:t xml:space="preserve"> </w:t>
      </w:r>
      <w:r w:rsidRPr="393D38D5">
        <w:rPr>
          <w:lang w:val="en-US"/>
        </w:rPr>
        <w:t>in</w:t>
      </w:r>
      <w:r w:rsidR="009B53EF">
        <w:rPr>
          <w:lang w:val="en-US"/>
        </w:rPr>
        <w:t xml:space="preserve"> </w:t>
      </w:r>
      <w:r w:rsidRPr="393D38D5">
        <w:rPr>
          <w:lang w:val="en-US"/>
        </w:rPr>
        <w:t xml:space="preserve">August 2021. </w:t>
      </w:r>
      <w:r w:rsidRPr="00FA2A4F">
        <w:rPr>
          <w:lang w:val="en-US"/>
        </w:rPr>
        <w:t>The consultation gathered feedback</w:t>
      </w:r>
      <w:r w:rsidR="00FA2A4F" w:rsidRPr="00FA2A4F">
        <w:rPr>
          <w:lang w:val="en-US"/>
        </w:rPr>
        <w:t xml:space="preserve"> from</w:t>
      </w:r>
      <w:r w:rsidR="00CD59EE">
        <w:rPr>
          <w:lang w:val="en-US"/>
        </w:rPr>
        <w:t xml:space="preserve"> the membership </w:t>
      </w:r>
      <w:r w:rsidRPr="00FA2A4F">
        <w:rPr>
          <w:lang w:val="en-US"/>
        </w:rPr>
        <w:t xml:space="preserve">on how to improve the </w:t>
      </w:r>
      <w:r w:rsidR="00E11DC2">
        <w:rPr>
          <w:lang w:val="en-US"/>
        </w:rPr>
        <w:t>S</w:t>
      </w:r>
      <w:r w:rsidRPr="00FA2A4F">
        <w:rPr>
          <w:lang w:val="en-US"/>
        </w:rPr>
        <w:t xml:space="preserve">trategic </w:t>
      </w:r>
      <w:r w:rsidR="00E11DC2">
        <w:rPr>
          <w:lang w:val="en-US"/>
        </w:rPr>
        <w:t>P</w:t>
      </w:r>
      <w:r w:rsidRPr="00FA2A4F">
        <w:rPr>
          <w:lang w:val="en-US"/>
        </w:rPr>
        <w:t>lan</w:t>
      </w:r>
      <w:r w:rsidR="00024D67">
        <w:rPr>
          <w:lang w:val="en-US"/>
        </w:rPr>
        <w:t xml:space="preserve">. The feedback has been summarized in </w:t>
      </w:r>
      <w:r w:rsidR="002C5D1E">
        <w:rPr>
          <w:lang w:val="en-US"/>
        </w:rPr>
        <w:t xml:space="preserve">the </w:t>
      </w:r>
      <w:hyperlink r:id="rId14" w:history="1">
        <w:r w:rsidR="002C5D1E" w:rsidRPr="0044012A">
          <w:rPr>
            <w:rStyle w:val="Hyperlink"/>
            <w:lang w:val="en-US"/>
          </w:rPr>
          <w:t>CWG-SFP-1/11-E</w:t>
        </w:r>
        <w:r w:rsidR="0044012A" w:rsidRPr="0044012A">
          <w:rPr>
            <w:rStyle w:val="Hyperlink"/>
            <w:lang w:val="en-US"/>
          </w:rPr>
          <w:t xml:space="preserve"> document</w:t>
        </w:r>
      </w:hyperlink>
      <w:r w:rsidR="002C5D1E" w:rsidRPr="0044012A">
        <w:rPr>
          <w:lang w:val="en-US"/>
        </w:rPr>
        <w:t xml:space="preserve"> </w:t>
      </w:r>
      <w:hyperlink r:id="rId15" w:history="1">
        <w:r w:rsidR="000C652F" w:rsidRPr="0044012A">
          <w:rPr>
            <w:lang w:val="en-US"/>
          </w:rPr>
          <w:t xml:space="preserve">for CWG-SFP </w:t>
        </w:r>
        <w:r w:rsidR="00F16425" w:rsidRPr="0044012A">
          <w:rPr>
            <w:lang w:val="en-US"/>
          </w:rPr>
          <w:t>consideration</w:t>
        </w:r>
        <w:r w:rsidR="00024D67" w:rsidRPr="0044012A">
          <w:rPr>
            <w:lang w:val="en-US"/>
          </w:rPr>
          <w:t>.</w:t>
        </w:r>
      </w:hyperlink>
    </w:p>
    <w:p w14:paraId="7C4AE232" w14:textId="5A9B06CF" w:rsidR="00BD6D48" w:rsidRPr="002F5507" w:rsidRDefault="00436364" w:rsidP="00A52CCB">
      <w:pPr>
        <w:pStyle w:val="ListParagraph"/>
        <w:numPr>
          <w:ilvl w:val="0"/>
          <w:numId w:val="6"/>
        </w:numPr>
        <w:jc w:val="both"/>
        <w:rPr>
          <w:rFonts w:eastAsiaTheme="minorEastAsia"/>
          <w:lang w:val="en-US"/>
        </w:rPr>
      </w:pPr>
      <w:r w:rsidRPr="00436364">
        <w:rPr>
          <w:b/>
          <w:bCs/>
          <w:lang w:val="en-US"/>
        </w:rPr>
        <w:t xml:space="preserve">Study Groups’ Survey </w:t>
      </w:r>
      <w:r w:rsidRPr="006918DD">
        <w:rPr>
          <w:b/>
          <w:bCs/>
          <w:lang w:val="en-US"/>
        </w:rPr>
        <w:t xml:space="preserve">on the ITU Strategy </w:t>
      </w:r>
      <w:r w:rsidR="006918DD" w:rsidRPr="00A52CCB">
        <w:rPr>
          <w:b/>
          <w:lang w:val="en-US"/>
        </w:rPr>
        <w:t>2024-27</w:t>
      </w:r>
      <w:r w:rsidR="006918DD">
        <w:rPr>
          <w:b/>
          <w:bCs/>
          <w:lang w:val="en-US"/>
        </w:rPr>
        <w:t xml:space="preserve">, </w:t>
      </w:r>
      <w:r w:rsidR="006918DD">
        <w:rPr>
          <w:lang w:val="en-US"/>
        </w:rPr>
        <w:t xml:space="preserve">published in September 2021. </w:t>
      </w:r>
      <w:r w:rsidR="00C36113">
        <w:rPr>
          <w:lang w:val="en-US"/>
        </w:rPr>
        <w:t>All 19 ITU Study Group Chairpersons were surveyed</w:t>
      </w:r>
      <w:r w:rsidR="007C646A">
        <w:rPr>
          <w:lang w:val="en-US"/>
        </w:rPr>
        <w:t xml:space="preserve"> on </w:t>
      </w:r>
      <w:r w:rsidR="00A45FD2">
        <w:rPr>
          <w:lang w:val="en-US"/>
        </w:rPr>
        <w:t xml:space="preserve">their perception of </w:t>
      </w:r>
      <w:r w:rsidR="007C646A">
        <w:rPr>
          <w:lang w:val="en-US"/>
        </w:rPr>
        <w:t xml:space="preserve">ITU’s challenges, trends </w:t>
      </w:r>
      <w:r w:rsidR="00C976DE">
        <w:rPr>
          <w:lang w:val="en-US"/>
        </w:rPr>
        <w:t xml:space="preserve">in the telecommunication/ICT landscape </w:t>
      </w:r>
      <w:r w:rsidR="007C646A">
        <w:rPr>
          <w:lang w:val="en-US"/>
        </w:rPr>
        <w:t xml:space="preserve">and suggested improvements to the new Strategic Plan. The results were </w:t>
      </w:r>
      <w:r w:rsidR="00746F43">
        <w:rPr>
          <w:lang w:val="en-US"/>
        </w:rPr>
        <w:t xml:space="preserve">consolidated in </w:t>
      </w:r>
      <w:r w:rsidR="002C5D1E">
        <w:rPr>
          <w:lang w:val="en-US"/>
        </w:rPr>
        <w:t xml:space="preserve">the </w:t>
      </w:r>
      <w:hyperlink r:id="rId16" w:history="1">
        <w:r w:rsidR="002C5D1E" w:rsidRPr="000F2A28">
          <w:rPr>
            <w:rStyle w:val="Hyperlink"/>
          </w:rPr>
          <w:t xml:space="preserve">CWG-SFP-1/INF-6-E </w:t>
        </w:r>
        <w:r w:rsidR="00E76859" w:rsidRPr="000F2A28">
          <w:rPr>
            <w:rStyle w:val="Hyperlink"/>
          </w:rPr>
          <w:t>document</w:t>
        </w:r>
      </w:hyperlink>
      <w:r w:rsidR="00E76859">
        <w:rPr>
          <w:lang w:val="en-US"/>
        </w:rPr>
        <w:t xml:space="preserve"> for CWG-SFP consideration.</w:t>
      </w:r>
    </w:p>
    <w:p w14:paraId="40E05BA7" w14:textId="4B472DEB" w:rsidR="008F0181" w:rsidRDefault="00551000" w:rsidP="00A52CCB">
      <w:pPr>
        <w:pStyle w:val="ListParagraph"/>
        <w:numPr>
          <w:ilvl w:val="0"/>
          <w:numId w:val="6"/>
        </w:numPr>
        <w:jc w:val="both"/>
        <w:rPr>
          <w:lang w:val="en-US"/>
        </w:rPr>
      </w:pPr>
      <w:r w:rsidRPr="393D38D5">
        <w:rPr>
          <w:b/>
          <w:bCs/>
          <w:lang w:val="en-US"/>
        </w:rPr>
        <w:t xml:space="preserve">The </w:t>
      </w:r>
      <w:r w:rsidR="00760827">
        <w:rPr>
          <w:b/>
          <w:bCs/>
          <w:lang w:val="en-US"/>
        </w:rPr>
        <w:t xml:space="preserve">CWG-SFP </w:t>
      </w:r>
      <w:r w:rsidRPr="393D38D5">
        <w:rPr>
          <w:b/>
          <w:bCs/>
          <w:lang w:val="en-US"/>
        </w:rPr>
        <w:t xml:space="preserve">Virtual Consultation </w:t>
      </w:r>
      <w:r w:rsidRPr="393D38D5">
        <w:rPr>
          <w:lang w:val="en-US"/>
        </w:rPr>
        <w:t xml:space="preserve">in November 2021. </w:t>
      </w:r>
      <w:r w:rsidR="00760827">
        <w:rPr>
          <w:lang w:val="en-US"/>
        </w:rPr>
        <w:t>During</w:t>
      </w:r>
      <w:r w:rsidR="00760827" w:rsidRPr="00FA2A4F">
        <w:rPr>
          <w:lang w:val="en-US"/>
        </w:rPr>
        <w:t xml:space="preserve"> </w:t>
      </w:r>
      <w:r w:rsidRPr="00FA2A4F">
        <w:rPr>
          <w:lang w:val="en-US"/>
        </w:rPr>
        <w:t>th</w:t>
      </w:r>
      <w:r w:rsidR="001404F6">
        <w:rPr>
          <w:lang w:val="en-US"/>
        </w:rPr>
        <w:t>is</w:t>
      </w:r>
      <w:r w:rsidRPr="00FA2A4F">
        <w:rPr>
          <w:lang w:val="en-US"/>
        </w:rPr>
        <w:t xml:space="preserve"> consultation, </w:t>
      </w:r>
      <w:r w:rsidR="008F0181">
        <w:rPr>
          <w:lang w:val="en-US"/>
        </w:rPr>
        <w:t xml:space="preserve">suggested adjustments to ITU’s strategic framework and selected </w:t>
      </w:r>
      <w:r w:rsidR="00E11DC2">
        <w:rPr>
          <w:lang w:val="en-US"/>
        </w:rPr>
        <w:t>S</w:t>
      </w:r>
      <w:r w:rsidR="008F0181">
        <w:rPr>
          <w:lang w:val="en-US"/>
        </w:rPr>
        <w:t xml:space="preserve">trategic </w:t>
      </w:r>
      <w:r w:rsidR="00E11DC2">
        <w:rPr>
          <w:lang w:val="en-US"/>
        </w:rPr>
        <w:t>P</w:t>
      </w:r>
      <w:r w:rsidR="008F0181">
        <w:rPr>
          <w:lang w:val="en-US"/>
        </w:rPr>
        <w:t>lan components were presented to</w:t>
      </w:r>
      <w:r w:rsidR="00790A1A">
        <w:rPr>
          <w:lang w:val="en-US"/>
        </w:rPr>
        <w:t xml:space="preserve"> the membership, </w:t>
      </w:r>
      <w:r w:rsidR="008F0181">
        <w:rPr>
          <w:lang w:val="en-US"/>
        </w:rPr>
        <w:t xml:space="preserve">who could provide </w:t>
      </w:r>
      <w:r w:rsidR="00053469">
        <w:rPr>
          <w:lang w:val="en-US"/>
        </w:rPr>
        <w:t xml:space="preserve">oral </w:t>
      </w:r>
      <w:r w:rsidR="008F0181">
        <w:rPr>
          <w:lang w:val="en-US"/>
        </w:rPr>
        <w:t xml:space="preserve">feedback </w:t>
      </w:r>
      <w:r w:rsidR="00C062E5">
        <w:rPr>
          <w:lang w:val="en-US"/>
        </w:rPr>
        <w:t xml:space="preserve">during </w:t>
      </w:r>
      <w:r w:rsidRPr="00FA2A4F">
        <w:rPr>
          <w:lang w:val="en-US"/>
        </w:rPr>
        <w:t>the consultation</w:t>
      </w:r>
      <w:r w:rsidR="00C062E5">
        <w:rPr>
          <w:lang w:val="en-US"/>
        </w:rPr>
        <w:t xml:space="preserve"> and </w:t>
      </w:r>
      <w:r w:rsidR="00053469">
        <w:rPr>
          <w:lang w:val="en-US"/>
        </w:rPr>
        <w:t>written feedback afterwards.</w:t>
      </w:r>
    </w:p>
    <w:p w14:paraId="02BDFB96" w14:textId="04B9669E" w:rsidR="003C68C4" w:rsidRPr="003C68C4" w:rsidRDefault="00722714" w:rsidP="00A52CCB">
      <w:pPr>
        <w:pStyle w:val="ListParagraph"/>
        <w:numPr>
          <w:ilvl w:val="0"/>
          <w:numId w:val="6"/>
        </w:numPr>
        <w:jc w:val="both"/>
        <w:rPr>
          <w:lang w:val="en-US"/>
        </w:rPr>
      </w:pPr>
      <w:r>
        <w:rPr>
          <w:b/>
          <w:lang w:val="en-US"/>
        </w:rPr>
        <w:t>Presentation</w:t>
      </w:r>
      <w:r w:rsidR="000336C5">
        <w:rPr>
          <w:b/>
          <w:lang w:val="en-US"/>
        </w:rPr>
        <w:t>s</w:t>
      </w:r>
      <w:r>
        <w:rPr>
          <w:b/>
          <w:lang w:val="en-US"/>
        </w:rPr>
        <w:t xml:space="preserve"> and </w:t>
      </w:r>
      <w:r w:rsidR="009D7061">
        <w:rPr>
          <w:b/>
          <w:lang w:val="en-US"/>
        </w:rPr>
        <w:t>o</w:t>
      </w:r>
      <w:r w:rsidR="00B11FFF" w:rsidRPr="00A52CCB">
        <w:rPr>
          <w:b/>
          <w:lang w:val="en-US"/>
        </w:rPr>
        <w:t xml:space="preserve">ngoing </w:t>
      </w:r>
      <w:r w:rsidR="00B11FFF" w:rsidRPr="00A52CCB">
        <w:rPr>
          <w:b/>
          <w:bCs/>
          <w:lang w:val="en-US"/>
        </w:rPr>
        <w:t>c</w:t>
      </w:r>
      <w:r w:rsidR="003C68C4">
        <w:rPr>
          <w:b/>
          <w:bCs/>
          <w:lang w:val="en-US"/>
        </w:rPr>
        <w:t>onsultations with Sector Advisory Groups</w:t>
      </w:r>
      <w:r w:rsidR="00B11FFF">
        <w:rPr>
          <w:b/>
          <w:bCs/>
          <w:lang w:val="en-US"/>
        </w:rPr>
        <w:t xml:space="preserve"> </w:t>
      </w:r>
      <w:r w:rsidR="007072C3">
        <w:rPr>
          <w:lang w:val="en-US"/>
        </w:rPr>
        <w:t xml:space="preserve">are taking place since the </w:t>
      </w:r>
      <w:r w:rsidR="00BB3535">
        <w:rPr>
          <w:lang w:val="en-US"/>
        </w:rPr>
        <w:t xml:space="preserve">initiation </w:t>
      </w:r>
      <w:r w:rsidR="007072C3">
        <w:rPr>
          <w:lang w:val="en-US"/>
        </w:rPr>
        <w:t>of the strategic planning process</w:t>
      </w:r>
      <w:r w:rsidR="00B81805">
        <w:rPr>
          <w:lang w:val="en-US"/>
        </w:rPr>
        <w:t xml:space="preserve">, including </w:t>
      </w:r>
      <w:r w:rsidR="00B93512">
        <w:rPr>
          <w:lang w:val="en-US"/>
        </w:rPr>
        <w:t xml:space="preserve">the </w:t>
      </w:r>
      <w:r w:rsidR="00B81805" w:rsidRPr="00BF32D2">
        <w:rPr>
          <w:lang w:val="en-US"/>
        </w:rPr>
        <w:t xml:space="preserve">participation of the Chair of the CWG-SFP in the </w:t>
      </w:r>
      <w:r w:rsidR="001A3358" w:rsidRPr="00BF32D2">
        <w:rPr>
          <w:lang w:val="en-US"/>
        </w:rPr>
        <w:t xml:space="preserve">relevant </w:t>
      </w:r>
      <w:r w:rsidR="00B81805" w:rsidRPr="00BF32D2">
        <w:rPr>
          <w:lang w:val="en-US"/>
        </w:rPr>
        <w:t>TDAG and TSAG meetings</w:t>
      </w:r>
      <w:r w:rsidR="00B81805">
        <w:rPr>
          <w:lang w:val="en-US"/>
        </w:rPr>
        <w:t>,</w:t>
      </w:r>
      <w:r w:rsidR="00B11FFF">
        <w:rPr>
          <w:lang w:val="en-US"/>
        </w:rPr>
        <w:t xml:space="preserve"> an</w:t>
      </w:r>
      <w:r w:rsidR="007213F4">
        <w:rPr>
          <w:lang w:val="en-US"/>
        </w:rPr>
        <w:t xml:space="preserve">d will continue until </w:t>
      </w:r>
      <w:r w:rsidR="006F6077">
        <w:rPr>
          <w:lang w:val="en-US"/>
        </w:rPr>
        <w:t>the</w:t>
      </w:r>
      <w:r w:rsidR="00B11FFF">
        <w:rPr>
          <w:lang w:val="en-US"/>
        </w:rPr>
        <w:t xml:space="preserve"> 2022</w:t>
      </w:r>
      <w:r w:rsidR="006F6077">
        <w:rPr>
          <w:lang w:val="en-US"/>
        </w:rPr>
        <w:t xml:space="preserve"> Session of the Council</w:t>
      </w:r>
      <w:r w:rsidR="00093DE7">
        <w:rPr>
          <w:lang w:val="en-US"/>
        </w:rPr>
        <w:t xml:space="preserve"> with all Sectors</w:t>
      </w:r>
      <w:r w:rsidR="003C68C4">
        <w:rPr>
          <w:lang w:val="en-US"/>
        </w:rPr>
        <w:t xml:space="preserve">. These consultations </w:t>
      </w:r>
      <w:r w:rsidR="00CD718A">
        <w:rPr>
          <w:lang w:val="en-US"/>
        </w:rPr>
        <w:t xml:space="preserve">will </w:t>
      </w:r>
      <w:r w:rsidR="00942CFD">
        <w:rPr>
          <w:lang w:val="en-US"/>
        </w:rPr>
        <w:t>aim to facilitate</w:t>
      </w:r>
      <w:r w:rsidR="003C68C4">
        <w:rPr>
          <w:lang w:val="en-US"/>
        </w:rPr>
        <w:t xml:space="preserve"> </w:t>
      </w:r>
      <w:r w:rsidR="00011D7B">
        <w:rPr>
          <w:lang w:val="en-US"/>
        </w:rPr>
        <w:t xml:space="preserve">the </w:t>
      </w:r>
      <w:r w:rsidR="003C68C4">
        <w:rPr>
          <w:lang w:val="en-US"/>
        </w:rPr>
        <w:t>gather</w:t>
      </w:r>
      <w:r w:rsidR="00942CFD">
        <w:rPr>
          <w:lang w:val="en-US"/>
        </w:rPr>
        <w:t xml:space="preserve">ing </w:t>
      </w:r>
      <w:r w:rsidR="003A70FE">
        <w:rPr>
          <w:lang w:val="en-US"/>
        </w:rPr>
        <w:t xml:space="preserve">of </w:t>
      </w:r>
      <w:r w:rsidR="003C68C4">
        <w:rPr>
          <w:lang w:val="en-US"/>
        </w:rPr>
        <w:t xml:space="preserve">inputs from </w:t>
      </w:r>
      <w:r w:rsidR="003A70FE">
        <w:rPr>
          <w:lang w:val="en-US"/>
        </w:rPr>
        <w:t xml:space="preserve">all </w:t>
      </w:r>
      <w:r w:rsidR="001D7BA3">
        <w:rPr>
          <w:lang w:val="en-US"/>
        </w:rPr>
        <w:t>three</w:t>
      </w:r>
      <w:r w:rsidR="003A70FE">
        <w:rPr>
          <w:lang w:val="en-US"/>
        </w:rPr>
        <w:t xml:space="preserve"> </w:t>
      </w:r>
      <w:r w:rsidR="00465B9F">
        <w:rPr>
          <w:lang w:val="en-US"/>
        </w:rPr>
        <w:t>Sector advisory groups</w:t>
      </w:r>
      <w:r w:rsidR="003C68C4">
        <w:rPr>
          <w:lang w:val="en-US"/>
        </w:rPr>
        <w:t>.</w:t>
      </w:r>
    </w:p>
    <w:p w14:paraId="78AB63DE" w14:textId="7CC78164" w:rsidR="00FE4141" w:rsidRPr="00551000" w:rsidRDefault="00FE4141" w:rsidP="00A16985">
      <w:pPr>
        <w:rPr>
          <w:u w:val="single"/>
          <w:lang w:val="en-US"/>
        </w:rPr>
      </w:pPr>
      <w:r w:rsidRPr="00551000">
        <w:rPr>
          <w:u w:val="single"/>
          <w:lang w:val="en-US"/>
        </w:rPr>
        <w:t xml:space="preserve">Internal </w:t>
      </w:r>
      <w:r w:rsidR="00F516EF">
        <w:rPr>
          <w:u w:val="single"/>
          <w:lang w:val="en-US"/>
        </w:rPr>
        <w:t>coordination</w:t>
      </w:r>
      <w:r w:rsidR="00457169">
        <w:rPr>
          <w:u w:val="single"/>
          <w:lang w:val="en-US"/>
        </w:rPr>
        <w:t xml:space="preserve"> </w:t>
      </w:r>
      <w:r w:rsidR="002D40E4">
        <w:rPr>
          <w:u w:val="single"/>
          <w:lang w:val="en-US"/>
        </w:rPr>
        <w:t xml:space="preserve">within the </w:t>
      </w:r>
      <w:r w:rsidR="00B11FFF">
        <w:rPr>
          <w:u w:val="single"/>
          <w:lang w:val="en-US"/>
        </w:rPr>
        <w:t>S</w:t>
      </w:r>
      <w:r w:rsidR="002D40E4">
        <w:rPr>
          <w:u w:val="single"/>
          <w:lang w:val="en-US"/>
        </w:rPr>
        <w:t xml:space="preserve">ecretariat </w:t>
      </w:r>
    </w:p>
    <w:p w14:paraId="70FDFCFD" w14:textId="77777777" w:rsidR="008D7544" w:rsidRDefault="00AE0B6C" w:rsidP="008D7544">
      <w:pPr>
        <w:pStyle w:val="ListParagraph"/>
        <w:numPr>
          <w:ilvl w:val="0"/>
          <w:numId w:val="12"/>
        </w:numPr>
        <w:jc w:val="both"/>
        <w:rPr>
          <w:lang w:val="en-US"/>
        </w:rPr>
      </w:pPr>
      <w:r w:rsidRPr="00AE0B6C">
        <w:rPr>
          <w:lang w:val="en-US"/>
        </w:rPr>
        <w:t xml:space="preserve">The </w:t>
      </w:r>
      <w:r w:rsidR="00146C91">
        <w:rPr>
          <w:b/>
          <w:bCs/>
          <w:lang w:val="en-US"/>
        </w:rPr>
        <w:t>Strategic Planning Working Group</w:t>
      </w:r>
      <w:r w:rsidR="00CA10B7">
        <w:rPr>
          <w:b/>
          <w:bCs/>
          <w:lang w:val="en-US"/>
        </w:rPr>
        <w:t xml:space="preserve"> (SP-WG</w:t>
      </w:r>
      <w:r w:rsidR="00146C91">
        <w:rPr>
          <w:b/>
          <w:bCs/>
          <w:lang w:val="en-US"/>
        </w:rPr>
        <w:t xml:space="preserve">) </w:t>
      </w:r>
      <w:r w:rsidRPr="00B15856">
        <w:rPr>
          <w:lang w:val="en-US"/>
        </w:rPr>
        <w:t xml:space="preserve">was </w:t>
      </w:r>
      <w:r w:rsidR="00B15856" w:rsidRPr="00B15856">
        <w:rPr>
          <w:lang w:val="en-US"/>
        </w:rPr>
        <w:t>established</w:t>
      </w:r>
      <w:r w:rsidR="00B15856">
        <w:rPr>
          <w:lang w:val="en-US"/>
        </w:rPr>
        <w:t xml:space="preserve"> by the ITU Coordination Committee</w:t>
      </w:r>
      <w:r w:rsidR="00895866">
        <w:rPr>
          <w:lang w:val="en-US"/>
        </w:rPr>
        <w:t xml:space="preserve"> (</w:t>
      </w:r>
      <w:proofErr w:type="gramStart"/>
      <w:r w:rsidR="00895866">
        <w:rPr>
          <w:lang w:val="en-US"/>
        </w:rPr>
        <w:t>i.e.</w:t>
      </w:r>
      <w:proofErr w:type="gramEnd"/>
      <w:r w:rsidR="00895866">
        <w:rPr>
          <w:lang w:val="en-US"/>
        </w:rPr>
        <w:t xml:space="preserve"> the 5 Elected Officials)</w:t>
      </w:r>
      <w:r w:rsidR="00B15856">
        <w:rPr>
          <w:lang w:val="en-US"/>
        </w:rPr>
        <w:t xml:space="preserve"> </w:t>
      </w:r>
      <w:r w:rsidR="00895866">
        <w:rPr>
          <w:lang w:val="en-US"/>
        </w:rPr>
        <w:t xml:space="preserve">in order </w:t>
      </w:r>
      <w:r w:rsidR="00B15856">
        <w:rPr>
          <w:lang w:val="en-US"/>
        </w:rPr>
        <w:t xml:space="preserve">to </w:t>
      </w:r>
      <w:r w:rsidR="00504F6F">
        <w:rPr>
          <w:lang w:val="en-US"/>
        </w:rPr>
        <w:t xml:space="preserve">prepare the Secretariat’s inputs </w:t>
      </w:r>
      <w:r w:rsidR="00895866">
        <w:rPr>
          <w:lang w:val="en-US"/>
        </w:rPr>
        <w:t xml:space="preserve">to the process </w:t>
      </w:r>
      <w:r w:rsidR="00504F6F">
        <w:rPr>
          <w:lang w:val="en-US"/>
        </w:rPr>
        <w:t>and support the work of the CWG-SFP.</w:t>
      </w:r>
      <w:r w:rsidR="00B15856">
        <w:rPr>
          <w:lang w:val="en-US"/>
        </w:rPr>
        <w:t xml:space="preserve"> </w:t>
      </w:r>
      <w:r w:rsidR="00146C91">
        <w:rPr>
          <w:lang w:val="en-US"/>
        </w:rPr>
        <w:t>The SP-WG</w:t>
      </w:r>
      <w:r w:rsidR="00895866">
        <w:rPr>
          <w:lang w:val="en-US"/>
        </w:rPr>
        <w:t xml:space="preserve"> is</w:t>
      </w:r>
      <w:r w:rsidR="00146C91">
        <w:rPr>
          <w:lang w:val="en-US"/>
        </w:rPr>
        <w:t xml:space="preserve"> chaired by the Director of </w:t>
      </w:r>
      <w:r w:rsidR="0019062A">
        <w:rPr>
          <w:lang w:val="en-US"/>
        </w:rPr>
        <w:t>BR, Mr. Mario Maniewicz</w:t>
      </w:r>
      <w:r w:rsidR="00146C91">
        <w:rPr>
          <w:lang w:val="en-US"/>
        </w:rPr>
        <w:t>.</w:t>
      </w:r>
    </w:p>
    <w:p w14:paraId="3DFDF9E0" w14:textId="3234694C" w:rsidR="009B4082" w:rsidRPr="00F276AC" w:rsidRDefault="00FC21AD" w:rsidP="00F276AC">
      <w:pPr>
        <w:pStyle w:val="ListParagraph"/>
        <w:numPr>
          <w:ilvl w:val="0"/>
          <w:numId w:val="12"/>
        </w:numPr>
        <w:jc w:val="both"/>
        <w:rPr>
          <w:lang w:val="en-US"/>
        </w:rPr>
      </w:pPr>
      <w:r w:rsidRPr="00F276AC">
        <w:rPr>
          <w:b/>
          <w:bCs/>
          <w:lang w:val="en-US"/>
        </w:rPr>
        <w:t xml:space="preserve">Coordination </w:t>
      </w:r>
      <w:r w:rsidR="009A0882" w:rsidRPr="00F276AC">
        <w:rPr>
          <w:b/>
          <w:bCs/>
          <w:lang w:val="en-US"/>
        </w:rPr>
        <w:t xml:space="preserve">and consultations </w:t>
      </w:r>
      <w:r w:rsidRPr="00F276AC">
        <w:rPr>
          <w:b/>
          <w:bCs/>
          <w:lang w:val="en-US"/>
        </w:rPr>
        <w:t>with the</w:t>
      </w:r>
      <w:r w:rsidR="009A0882" w:rsidRPr="00F276AC">
        <w:rPr>
          <w:b/>
          <w:bCs/>
          <w:lang w:val="en-US"/>
        </w:rPr>
        <w:t xml:space="preserve"> </w:t>
      </w:r>
      <w:r w:rsidR="009716D3" w:rsidRPr="00F276AC">
        <w:rPr>
          <w:b/>
          <w:bCs/>
          <w:lang w:val="en-US"/>
        </w:rPr>
        <w:t>three</w:t>
      </w:r>
      <w:r w:rsidRPr="00F276AC">
        <w:rPr>
          <w:b/>
          <w:bCs/>
          <w:lang w:val="en-US"/>
        </w:rPr>
        <w:t xml:space="preserve"> </w:t>
      </w:r>
      <w:r w:rsidR="004B6371" w:rsidRPr="00F276AC">
        <w:rPr>
          <w:b/>
          <w:bCs/>
          <w:lang w:val="en-US"/>
        </w:rPr>
        <w:t>Bureau</w:t>
      </w:r>
      <w:r w:rsidRPr="00F276AC">
        <w:rPr>
          <w:b/>
          <w:bCs/>
          <w:lang w:val="en-US"/>
        </w:rPr>
        <w:t>x</w:t>
      </w:r>
      <w:r w:rsidR="004B6371" w:rsidRPr="00F276AC">
        <w:rPr>
          <w:b/>
          <w:bCs/>
          <w:lang w:val="en-US"/>
        </w:rPr>
        <w:t xml:space="preserve"> </w:t>
      </w:r>
      <w:r w:rsidR="009A0882" w:rsidRPr="00F276AC">
        <w:rPr>
          <w:b/>
          <w:bCs/>
          <w:lang w:val="en-US"/>
        </w:rPr>
        <w:t xml:space="preserve">and General Secretariat </w:t>
      </w:r>
      <w:r w:rsidR="00C921E6" w:rsidRPr="00F276AC">
        <w:rPr>
          <w:lang w:val="en-US"/>
        </w:rPr>
        <w:t xml:space="preserve">were held </w:t>
      </w:r>
      <w:r w:rsidR="009D3D78" w:rsidRPr="00F276AC">
        <w:rPr>
          <w:lang w:val="en-US"/>
        </w:rPr>
        <w:t xml:space="preserve">throughout the process </w:t>
      </w:r>
      <w:r w:rsidR="00C921E6" w:rsidRPr="00F276AC">
        <w:rPr>
          <w:lang w:val="en-US"/>
        </w:rPr>
        <w:t xml:space="preserve">with the leadership of each </w:t>
      </w:r>
      <w:r w:rsidR="004B6371" w:rsidRPr="00F276AC">
        <w:rPr>
          <w:lang w:val="en-US"/>
        </w:rPr>
        <w:t>Bureau’s Secretariat</w:t>
      </w:r>
      <w:r w:rsidR="00C921E6" w:rsidRPr="00F276AC">
        <w:rPr>
          <w:lang w:val="en-US"/>
        </w:rPr>
        <w:t xml:space="preserve">, </w:t>
      </w:r>
      <w:r w:rsidR="0090339E" w:rsidRPr="00F276AC">
        <w:rPr>
          <w:lang w:val="en-US"/>
        </w:rPr>
        <w:t xml:space="preserve">including </w:t>
      </w:r>
      <w:r w:rsidR="007F6024" w:rsidRPr="00F276AC">
        <w:rPr>
          <w:lang w:val="en-US"/>
        </w:rPr>
        <w:t xml:space="preserve">the </w:t>
      </w:r>
      <w:r w:rsidR="0090339E" w:rsidRPr="00F276AC">
        <w:rPr>
          <w:lang w:val="en-US"/>
        </w:rPr>
        <w:t>Directors</w:t>
      </w:r>
      <w:r w:rsidR="002B19D9" w:rsidRPr="00F276AC">
        <w:rPr>
          <w:lang w:val="en-US"/>
        </w:rPr>
        <w:t xml:space="preserve"> of </w:t>
      </w:r>
      <w:r w:rsidR="002B19D9" w:rsidRPr="00F276AC">
        <w:rPr>
          <w:lang w:val="en-US"/>
        </w:rPr>
        <w:lastRenderedPageBreak/>
        <w:t>the Bureaux</w:t>
      </w:r>
      <w:r w:rsidR="0090339E" w:rsidRPr="00F276AC">
        <w:rPr>
          <w:lang w:val="en-US"/>
        </w:rPr>
        <w:t>,</w:t>
      </w:r>
      <w:r w:rsidR="00FB701C" w:rsidRPr="00F276AC">
        <w:rPr>
          <w:lang w:val="en-US"/>
        </w:rPr>
        <w:t xml:space="preserve"> as well as the Secretary-General and Deputy Secretary-General</w:t>
      </w:r>
      <w:r w:rsidR="0090339E" w:rsidRPr="00F276AC">
        <w:rPr>
          <w:lang w:val="en-US"/>
        </w:rPr>
        <w:t xml:space="preserve"> </w:t>
      </w:r>
      <w:r w:rsidR="009B53EF" w:rsidRPr="00F276AC">
        <w:rPr>
          <w:lang w:val="en-US"/>
        </w:rPr>
        <w:t xml:space="preserve">to gather </w:t>
      </w:r>
      <w:r w:rsidR="00F20E12" w:rsidRPr="00F276AC">
        <w:rPr>
          <w:lang w:val="en-US"/>
        </w:rPr>
        <w:t>Sector</w:t>
      </w:r>
      <w:r w:rsidR="00A16985" w:rsidRPr="00F276AC">
        <w:rPr>
          <w:lang w:val="en-US"/>
        </w:rPr>
        <w:t xml:space="preserve">-specific </w:t>
      </w:r>
      <w:r w:rsidR="004046E5" w:rsidRPr="00F276AC">
        <w:rPr>
          <w:lang w:val="en-US"/>
        </w:rPr>
        <w:t xml:space="preserve">and General Secretariat’s </w:t>
      </w:r>
      <w:r w:rsidR="00A16985" w:rsidRPr="00F276AC">
        <w:rPr>
          <w:lang w:val="en-US"/>
        </w:rPr>
        <w:t xml:space="preserve">feedback </w:t>
      </w:r>
      <w:r w:rsidR="009B53EF" w:rsidRPr="00F276AC">
        <w:rPr>
          <w:lang w:val="en-US"/>
        </w:rPr>
        <w:t xml:space="preserve">on the </w:t>
      </w:r>
      <w:r w:rsidR="004B6371" w:rsidRPr="00F276AC">
        <w:rPr>
          <w:lang w:val="en-US"/>
        </w:rPr>
        <w:t>draft S</w:t>
      </w:r>
      <w:r w:rsidR="009B53EF" w:rsidRPr="00F276AC">
        <w:rPr>
          <w:lang w:val="en-US"/>
        </w:rPr>
        <w:t xml:space="preserve">trategic </w:t>
      </w:r>
      <w:r w:rsidR="004B6371" w:rsidRPr="00F276AC">
        <w:rPr>
          <w:lang w:val="en-US"/>
        </w:rPr>
        <w:t>P</w:t>
      </w:r>
      <w:r w:rsidR="009B53EF" w:rsidRPr="00F276AC">
        <w:rPr>
          <w:lang w:val="en-US"/>
        </w:rPr>
        <w:t>lan and ensure</w:t>
      </w:r>
      <w:r w:rsidR="00A52036" w:rsidRPr="00F276AC">
        <w:rPr>
          <w:lang w:val="en-US"/>
        </w:rPr>
        <w:t xml:space="preserve"> it adequ</w:t>
      </w:r>
      <w:r w:rsidR="0069425A" w:rsidRPr="00F276AC">
        <w:rPr>
          <w:lang w:val="en-US"/>
        </w:rPr>
        <w:t>ate</w:t>
      </w:r>
      <w:r w:rsidR="00A52036" w:rsidRPr="00F276AC">
        <w:rPr>
          <w:lang w:val="en-US"/>
        </w:rPr>
        <w:t xml:space="preserve">ly reflects their </w:t>
      </w:r>
      <w:r w:rsidR="00A16985" w:rsidRPr="00F276AC">
        <w:rPr>
          <w:lang w:val="en-US"/>
        </w:rPr>
        <w:t xml:space="preserve">strategies and </w:t>
      </w:r>
      <w:r w:rsidR="00A52036" w:rsidRPr="00F276AC">
        <w:rPr>
          <w:lang w:val="en-US"/>
        </w:rPr>
        <w:t xml:space="preserve">incorporates </w:t>
      </w:r>
      <w:r w:rsidR="00A16985" w:rsidRPr="00F276AC">
        <w:rPr>
          <w:lang w:val="en-US"/>
        </w:rPr>
        <w:t xml:space="preserve">their </w:t>
      </w:r>
      <w:r w:rsidR="00DA711C" w:rsidRPr="00F276AC">
        <w:rPr>
          <w:lang w:val="en-US"/>
        </w:rPr>
        <w:t>priorities</w:t>
      </w:r>
      <w:r w:rsidR="00A16985" w:rsidRPr="00F276AC">
        <w:rPr>
          <w:lang w:val="en-US"/>
        </w:rPr>
        <w:t xml:space="preserve">, </w:t>
      </w:r>
      <w:r w:rsidR="00DA711C" w:rsidRPr="00F276AC">
        <w:rPr>
          <w:lang w:val="en-US"/>
        </w:rPr>
        <w:t>expected</w:t>
      </w:r>
      <w:r w:rsidR="00A16985" w:rsidRPr="00F276AC">
        <w:rPr>
          <w:lang w:val="en-US"/>
        </w:rPr>
        <w:t xml:space="preserve"> outcomes</w:t>
      </w:r>
      <w:r w:rsidR="00DA711C" w:rsidRPr="00F276AC">
        <w:rPr>
          <w:lang w:val="en-US"/>
        </w:rPr>
        <w:t xml:space="preserve"> of </w:t>
      </w:r>
      <w:r w:rsidR="008236AA" w:rsidRPr="00F276AC">
        <w:rPr>
          <w:lang w:val="en-US"/>
        </w:rPr>
        <w:t xml:space="preserve">the work of </w:t>
      </w:r>
      <w:r w:rsidR="00DA711C" w:rsidRPr="00F276AC">
        <w:rPr>
          <w:lang w:val="en-US"/>
        </w:rPr>
        <w:t xml:space="preserve">their relevant Sector </w:t>
      </w:r>
      <w:r w:rsidR="004046E5" w:rsidRPr="00F276AC">
        <w:rPr>
          <w:lang w:val="en-US"/>
        </w:rPr>
        <w:t xml:space="preserve">and the </w:t>
      </w:r>
      <w:r w:rsidR="00214AD1" w:rsidRPr="00F276AC">
        <w:rPr>
          <w:lang w:val="en-US"/>
        </w:rPr>
        <w:t>General Secretariat</w:t>
      </w:r>
      <w:r w:rsidR="004046E5" w:rsidRPr="00F276AC">
        <w:rPr>
          <w:lang w:val="en-US"/>
        </w:rPr>
        <w:t xml:space="preserve">, </w:t>
      </w:r>
      <w:r w:rsidR="00DA711C" w:rsidRPr="00F276AC">
        <w:rPr>
          <w:lang w:val="en-US"/>
        </w:rPr>
        <w:t xml:space="preserve">and the range of products and services they offer to </w:t>
      </w:r>
      <w:r w:rsidR="004B0A45" w:rsidRPr="00F276AC">
        <w:rPr>
          <w:lang w:val="en-US"/>
        </w:rPr>
        <w:t xml:space="preserve">the </w:t>
      </w:r>
      <w:r w:rsidR="00DA711C" w:rsidRPr="00F276AC">
        <w:rPr>
          <w:lang w:val="en-US"/>
        </w:rPr>
        <w:t>membership</w:t>
      </w:r>
      <w:r w:rsidR="00A16985" w:rsidRPr="00F276AC">
        <w:rPr>
          <w:lang w:val="en-US"/>
        </w:rPr>
        <w:t xml:space="preserve">. </w:t>
      </w:r>
      <w:r w:rsidR="009F7A70" w:rsidRPr="00F276AC">
        <w:rPr>
          <w:lang w:val="en-US"/>
        </w:rPr>
        <w:t>Consultation</w:t>
      </w:r>
      <w:r w:rsidR="00B2467E" w:rsidRPr="00F276AC">
        <w:rPr>
          <w:lang w:val="en-US"/>
        </w:rPr>
        <w:t>s</w:t>
      </w:r>
      <w:r w:rsidR="009F7A70" w:rsidRPr="00F276AC">
        <w:rPr>
          <w:lang w:val="en-US"/>
        </w:rPr>
        <w:t xml:space="preserve"> with the </w:t>
      </w:r>
      <w:r w:rsidR="00440651" w:rsidRPr="00F276AC">
        <w:rPr>
          <w:lang w:val="en-US"/>
        </w:rPr>
        <w:t>ITU</w:t>
      </w:r>
      <w:r w:rsidR="009F7A70" w:rsidRPr="00F276AC">
        <w:rPr>
          <w:lang w:val="en-US"/>
        </w:rPr>
        <w:t xml:space="preserve"> Staff Council also took place.</w:t>
      </w:r>
    </w:p>
    <w:p w14:paraId="04617D96" w14:textId="078B6F48" w:rsidR="00A16985" w:rsidRDefault="00A16985" w:rsidP="00BD2614">
      <w:pPr>
        <w:pStyle w:val="Heading1"/>
        <w:numPr>
          <w:ilvl w:val="0"/>
          <w:numId w:val="5"/>
        </w:numPr>
        <w:spacing w:before="120" w:after="120"/>
        <w:ind w:left="357" w:hanging="357"/>
      </w:pPr>
      <w:r w:rsidRPr="00A16985">
        <w:t xml:space="preserve">Principles </w:t>
      </w:r>
      <w:r w:rsidR="003F4E64">
        <w:t xml:space="preserve">and </w:t>
      </w:r>
      <w:r w:rsidR="00C0101A">
        <w:t>G</w:t>
      </w:r>
      <w:r w:rsidR="003F4E64">
        <w:t>uid</w:t>
      </w:r>
      <w:r w:rsidR="00730747">
        <w:t>elines</w:t>
      </w:r>
      <w:r w:rsidR="003F4E64" w:rsidDel="00730747">
        <w:t xml:space="preserve"> </w:t>
      </w:r>
      <w:r w:rsidR="00AF42BE">
        <w:t>followed</w:t>
      </w:r>
      <w:r w:rsidR="00AF42BE" w:rsidRPr="00A16985">
        <w:t xml:space="preserve"> </w:t>
      </w:r>
      <w:r w:rsidRPr="00A16985">
        <w:t xml:space="preserve">in the development of the </w:t>
      </w:r>
      <w:r w:rsidR="00BD2614">
        <w:rPr>
          <w:lang w:val="en-US"/>
        </w:rPr>
        <w:t>secretariat’s input</w:t>
      </w:r>
    </w:p>
    <w:p w14:paraId="2CA1D35C" w14:textId="39AF01B3" w:rsidR="00D8242E" w:rsidRDefault="00D4311D">
      <w:pPr>
        <w:jc w:val="both"/>
        <w:rPr>
          <w:lang w:val="en-US"/>
        </w:rPr>
      </w:pPr>
      <w:r w:rsidRPr="00D4311D">
        <w:rPr>
          <w:lang w:val="en-US"/>
        </w:rPr>
        <w:t xml:space="preserve">The </w:t>
      </w:r>
      <w:r w:rsidR="00363E4E">
        <w:rPr>
          <w:lang w:val="en-US"/>
        </w:rPr>
        <w:t xml:space="preserve">Secretariat’s input </w:t>
      </w:r>
      <w:r w:rsidR="00FB656D">
        <w:rPr>
          <w:lang w:val="en-US"/>
        </w:rPr>
        <w:t>applies</w:t>
      </w:r>
      <w:r w:rsidR="62C6B503" w:rsidRPr="18F2D6C1">
        <w:rPr>
          <w:lang w:val="en-US"/>
        </w:rPr>
        <w:t xml:space="preserve"> </w:t>
      </w:r>
      <w:r w:rsidR="00E02E8A">
        <w:rPr>
          <w:lang w:val="en-US"/>
        </w:rPr>
        <w:t xml:space="preserve">the </w:t>
      </w:r>
      <w:r w:rsidR="0003694E">
        <w:rPr>
          <w:lang w:val="en-US"/>
        </w:rPr>
        <w:t xml:space="preserve">principles and </w:t>
      </w:r>
      <w:r w:rsidR="00574CC9">
        <w:rPr>
          <w:lang w:val="en-US"/>
        </w:rPr>
        <w:t xml:space="preserve">guidelines </w:t>
      </w:r>
      <w:r w:rsidR="00941F7C">
        <w:rPr>
          <w:lang w:val="en-US"/>
        </w:rPr>
        <w:t>agreed</w:t>
      </w:r>
      <w:r w:rsidR="00825F4D">
        <w:rPr>
          <w:lang w:val="en-US"/>
        </w:rPr>
        <w:t xml:space="preserve"> and provided</w:t>
      </w:r>
      <w:r w:rsidR="002D3B08">
        <w:rPr>
          <w:lang w:val="en-US"/>
        </w:rPr>
        <w:t xml:space="preserve"> by the </w:t>
      </w:r>
      <w:r w:rsidR="00A16985" w:rsidRPr="393D38D5">
        <w:rPr>
          <w:lang w:val="en-US"/>
        </w:rPr>
        <w:t xml:space="preserve">membership </w:t>
      </w:r>
      <w:r w:rsidR="00707437">
        <w:rPr>
          <w:lang w:val="en-US"/>
        </w:rPr>
        <w:t xml:space="preserve">during the </w:t>
      </w:r>
      <w:r w:rsidR="006F07D4">
        <w:rPr>
          <w:lang w:val="en-US"/>
        </w:rPr>
        <w:t xml:space="preserve">first CWG-SFP </w:t>
      </w:r>
      <w:r w:rsidR="00C11AB2">
        <w:rPr>
          <w:lang w:val="en-US"/>
        </w:rPr>
        <w:t>meeting</w:t>
      </w:r>
      <w:r w:rsidR="00BD3B50">
        <w:rPr>
          <w:lang w:val="en-US"/>
        </w:rPr>
        <w:t xml:space="preserve"> (</w:t>
      </w:r>
      <w:hyperlink r:id="rId17" w:history="1">
        <w:r w:rsidR="00DD0447">
          <w:rPr>
            <w:rStyle w:val="Hyperlink"/>
            <w:lang w:val="en-US"/>
          </w:rPr>
          <w:t>Doc. C</w:t>
        </w:r>
        <w:r w:rsidR="00A96762" w:rsidRPr="00F04DD5">
          <w:rPr>
            <w:rStyle w:val="Hyperlink"/>
            <w:lang w:val="en-US"/>
          </w:rPr>
          <w:t>WG</w:t>
        </w:r>
        <w:r w:rsidR="00825F4D" w:rsidRPr="00F04DD5">
          <w:rPr>
            <w:rStyle w:val="Hyperlink"/>
            <w:lang w:val="en-US"/>
          </w:rPr>
          <w:t>-SFP-1/1</w:t>
        </w:r>
        <w:r w:rsidR="00B6363E">
          <w:rPr>
            <w:rStyle w:val="Hyperlink"/>
            <w:lang w:val="en-US"/>
          </w:rPr>
          <w:t>2</w:t>
        </w:r>
      </w:hyperlink>
      <w:r w:rsidR="00BD3B50">
        <w:rPr>
          <w:lang w:val="en-US"/>
        </w:rPr>
        <w:t>)</w:t>
      </w:r>
      <w:r w:rsidR="006A2E83">
        <w:rPr>
          <w:lang w:val="en-US"/>
        </w:rPr>
        <w:t xml:space="preserve">. The </w:t>
      </w:r>
      <w:r w:rsidR="007B24B8">
        <w:rPr>
          <w:lang w:val="en-US"/>
        </w:rPr>
        <w:t>draft plan</w:t>
      </w:r>
      <w:r w:rsidR="00C11AB2">
        <w:rPr>
          <w:lang w:val="en-US"/>
        </w:rPr>
        <w:t xml:space="preserve"> build</w:t>
      </w:r>
      <w:r w:rsidR="007B24B8">
        <w:rPr>
          <w:lang w:val="en-US"/>
        </w:rPr>
        <w:t>s</w:t>
      </w:r>
      <w:r w:rsidR="00C11AB2">
        <w:rPr>
          <w:lang w:val="en-US"/>
        </w:rPr>
        <w:t xml:space="preserve"> on </w:t>
      </w:r>
      <w:r w:rsidR="00A16985" w:rsidRPr="393D38D5">
        <w:rPr>
          <w:lang w:val="en-US"/>
        </w:rPr>
        <w:t>membership</w:t>
      </w:r>
      <w:r w:rsidR="007B59CD">
        <w:rPr>
          <w:lang w:val="en-US"/>
        </w:rPr>
        <w:t>’s inputs and</w:t>
      </w:r>
      <w:r w:rsidR="00A16985" w:rsidRPr="393D38D5">
        <w:rPr>
          <w:lang w:val="en-US"/>
        </w:rPr>
        <w:t xml:space="preserve"> </w:t>
      </w:r>
      <w:r w:rsidR="00C11AB2">
        <w:rPr>
          <w:lang w:val="en-US"/>
        </w:rPr>
        <w:t xml:space="preserve">feedback </w:t>
      </w:r>
      <w:r w:rsidR="338E633B" w:rsidRPr="18F2D6C1">
        <w:rPr>
          <w:lang w:val="en-US"/>
        </w:rPr>
        <w:t>obtained</w:t>
      </w:r>
      <w:r w:rsidR="36E338CE" w:rsidRPr="18F2D6C1">
        <w:rPr>
          <w:lang w:val="en-US"/>
        </w:rPr>
        <w:t xml:space="preserve"> </w:t>
      </w:r>
      <w:r w:rsidR="00C11AB2">
        <w:rPr>
          <w:lang w:val="en-US"/>
        </w:rPr>
        <w:t xml:space="preserve">during the </w:t>
      </w:r>
      <w:r w:rsidR="00A16985" w:rsidRPr="393D38D5">
        <w:rPr>
          <w:lang w:val="en-US"/>
        </w:rPr>
        <w:t>CWG-SFP Chair's Informal Consultation</w:t>
      </w:r>
      <w:r w:rsidR="000E5F99">
        <w:rPr>
          <w:lang w:val="en-US"/>
        </w:rPr>
        <w:t xml:space="preserve">, </w:t>
      </w:r>
      <w:r w:rsidR="00993D55">
        <w:rPr>
          <w:lang w:val="en-US"/>
        </w:rPr>
        <w:t>as well as</w:t>
      </w:r>
      <w:r w:rsidR="00C11AB2">
        <w:rPr>
          <w:lang w:val="en-US"/>
        </w:rPr>
        <w:t xml:space="preserve"> </w:t>
      </w:r>
      <w:r w:rsidR="00A16985" w:rsidRPr="393D38D5">
        <w:rPr>
          <w:lang w:val="en-US"/>
        </w:rPr>
        <w:t xml:space="preserve">the Virtual Consultation </w:t>
      </w:r>
      <w:r w:rsidR="00737CBF">
        <w:rPr>
          <w:lang w:val="en-US"/>
        </w:rPr>
        <w:t xml:space="preserve">of CWG-SFP </w:t>
      </w:r>
      <w:r w:rsidR="00A16985" w:rsidRPr="393D38D5">
        <w:rPr>
          <w:lang w:val="en-US"/>
        </w:rPr>
        <w:t>in November</w:t>
      </w:r>
      <w:r w:rsidR="000665FA">
        <w:rPr>
          <w:lang w:val="en-US"/>
        </w:rPr>
        <w:t xml:space="preserve"> 2021</w:t>
      </w:r>
      <w:r w:rsidR="00A16985" w:rsidRPr="393D38D5">
        <w:rPr>
          <w:lang w:val="en-US"/>
        </w:rPr>
        <w:t>.</w:t>
      </w:r>
    </w:p>
    <w:p w14:paraId="1E48A8A2" w14:textId="70C1B66D" w:rsidR="009247B4" w:rsidRDefault="000B7481" w:rsidP="001359A0">
      <w:pPr>
        <w:jc w:val="both"/>
        <w:rPr>
          <w:lang w:val="en-US"/>
        </w:rPr>
      </w:pPr>
      <w:r>
        <w:rPr>
          <w:lang w:val="en-US"/>
        </w:rPr>
        <w:t>Specifically, g</w:t>
      </w:r>
      <w:r w:rsidR="00870286">
        <w:rPr>
          <w:lang w:val="en-US"/>
        </w:rPr>
        <w:t xml:space="preserve">uidance from the membership to the Secretariat was </w:t>
      </w:r>
      <w:r w:rsidR="00465381">
        <w:rPr>
          <w:lang w:val="en-US"/>
        </w:rPr>
        <w:t xml:space="preserve">consolidated </w:t>
      </w:r>
      <w:r w:rsidR="00F054E1">
        <w:rPr>
          <w:lang w:val="en-US"/>
        </w:rPr>
        <w:t xml:space="preserve">into </w:t>
      </w:r>
      <w:r w:rsidR="00465381">
        <w:rPr>
          <w:lang w:val="en-US"/>
        </w:rPr>
        <w:t xml:space="preserve">the following </w:t>
      </w:r>
      <w:r w:rsidR="00465381" w:rsidRPr="00465381">
        <w:rPr>
          <w:lang w:val="en-US"/>
        </w:rPr>
        <w:t>key principles</w:t>
      </w:r>
      <w:r w:rsidR="009247B4">
        <w:rPr>
          <w:lang w:val="en-US"/>
        </w:rPr>
        <w:t>, which were applied in the development of the 2024-2027 Strategic Plan</w:t>
      </w:r>
      <w:r w:rsidR="00E52B1E">
        <w:rPr>
          <w:lang w:val="en-US"/>
        </w:rPr>
        <w:t xml:space="preserve"> as follows</w:t>
      </w:r>
      <w:r w:rsidR="00AF6036">
        <w:rPr>
          <w:lang w:val="en-US"/>
        </w:rPr>
        <w:t xml:space="preserve"> (</w:t>
      </w:r>
      <w:r w:rsidR="00AF6036">
        <w:t xml:space="preserve">Note that details on the changes to specific components are </w:t>
      </w:r>
      <w:r w:rsidR="0063145D">
        <w:t xml:space="preserve">provided </w:t>
      </w:r>
      <w:r w:rsidR="00AF6036">
        <w:t>in the subsequent section)</w:t>
      </w:r>
      <w:r w:rsidR="006575C8">
        <w:rPr>
          <w:lang w:val="en-US"/>
        </w:rPr>
        <w:t>:</w:t>
      </w:r>
    </w:p>
    <w:tbl>
      <w:tblPr>
        <w:tblStyle w:val="TableGrid"/>
        <w:tblW w:w="9776" w:type="dxa"/>
        <w:tblLook w:val="04A0" w:firstRow="1" w:lastRow="0" w:firstColumn="1" w:lastColumn="0" w:noHBand="0" w:noVBand="1"/>
      </w:tblPr>
      <w:tblGrid>
        <w:gridCol w:w="4531"/>
        <w:gridCol w:w="5245"/>
      </w:tblGrid>
      <w:tr w:rsidR="00FB527A" w:rsidRPr="00A45BB6" w14:paraId="6EC8BBF8" w14:textId="77777777" w:rsidTr="006752B5">
        <w:trPr>
          <w:trHeight w:val="46"/>
        </w:trPr>
        <w:tc>
          <w:tcPr>
            <w:tcW w:w="4531" w:type="dxa"/>
            <w:shd w:val="clear" w:color="auto" w:fill="8EAADB" w:themeFill="accent1" w:themeFillTint="99"/>
            <w:hideMark/>
          </w:tcPr>
          <w:p w14:paraId="47C35775" w14:textId="77777777" w:rsidR="00A45BB6" w:rsidRPr="00A45BB6" w:rsidRDefault="00A45BB6" w:rsidP="00D05B07">
            <w:pPr>
              <w:spacing w:before="0" w:after="0"/>
              <w:rPr>
                <w:b/>
                <w:bCs/>
              </w:rPr>
            </w:pPr>
            <w:r w:rsidRPr="00A45BB6">
              <w:rPr>
                <w:b/>
                <w:bCs/>
              </w:rPr>
              <w:t>CWG-SFP Guidance</w:t>
            </w:r>
          </w:p>
        </w:tc>
        <w:tc>
          <w:tcPr>
            <w:tcW w:w="5245" w:type="dxa"/>
            <w:shd w:val="clear" w:color="auto" w:fill="8EAADB" w:themeFill="accent1" w:themeFillTint="99"/>
            <w:hideMark/>
          </w:tcPr>
          <w:p w14:paraId="2BFEF34E" w14:textId="79B5C059" w:rsidR="00A45BB6" w:rsidRPr="00A45BB6" w:rsidRDefault="00A45BB6" w:rsidP="00D05B07">
            <w:pPr>
              <w:spacing w:before="0" w:after="0"/>
              <w:rPr>
                <w:b/>
                <w:bCs/>
              </w:rPr>
            </w:pPr>
            <w:r w:rsidRPr="00A45BB6">
              <w:rPr>
                <w:b/>
                <w:bCs/>
              </w:rPr>
              <w:t>How</w:t>
            </w:r>
            <w:r w:rsidR="00B03FF4">
              <w:rPr>
                <w:b/>
                <w:bCs/>
              </w:rPr>
              <w:t xml:space="preserve"> </w:t>
            </w:r>
            <w:r w:rsidR="006575C8">
              <w:rPr>
                <w:b/>
                <w:bCs/>
              </w:rPr>
              <w:t xml:space="preserve">guidance was addressed </w:t>
            </w:r>
            <w:r w:rsidR="00BF4C62">
              <w:rPr>
                <w:b/>
                <w:bCs/>
              </w:rPr>
              <w:t xml:space="preserve">in the </w:t>
            </w:r>
            <w:r w:rsidR="006575C8">
              <w:rPr>
                <w:b/>
                <w:bCs/>
              </w:rPr>
              <w:t>S</w:t>
            </w:r>
            <w:r w:rsidR="003D35BC">
              <w:rPr>
                <w:b/>
                <w:bCs/>
              </w:rPr>
              <w:t>ecretariat’s input</w:t>
            </w:r>
          </w:p>
        </w:tc>
      </w:tr>
      <w:tr w:rsidR="00FB527A" w:rsidRPr="00A45BB6" w14:paraId="4241AFF8" w14:textId="77777777" w:rsidTr="006752B5">
        <w:trPr>
          <w:trHeight w:val="2254"/>
        </w:trPr>
        <w:tc>
          <w:tcPr>
            <w:tcW w:w="4531" w:type="dxa"/>
            <w:hideMark/>
          </w:tcPr>
          <w:p w14:paraId="4930C10B" w14:textId="77777777" w:rsidR="00A73961" w:rsidRDefault="00A45BB6" w:rsidP="00A45BB6">
            <w:pPr>
              <w:rPr>
                <w:b/>
                <w:bCs/>
              </w:rPr>
            </w:pPr>
            <w:r w:rsidRPr="00A45BB6">
              <w:t xml:space="preserve">1. </w:t>
            </w:r>
            <w:r w:rsidRPr="00A45BB6">
              <w:rPr>
                <w:b/>
                <w:bCs/>
              </w:rPr>
              <w:t xml:space="preserve">Simplification and clarity </w:t>
            </w:r>
          </w:p>
          <w:p w14:paraId="25E0019F" w14:textId="07ABD27E" w:rsidR="00A45BB6" w:rsidRPr="00A45BB6" w:rsidRDefault="00A45BB6" w:rsidP="00D05B07">
            <w:pPr>
              <w:pStyle w:val="ListParagraph"/>
              <w:numPr>
                <w:ilvl w:val="0"/>
                <w:numId w:val="33"/>
              </w:numPr>
              <w:ind w:left="341" w:hanging="284"/>
            </w:pPr>
            <w:r w:rsidRPr="00A45BB6">
              <w:t>Request the secretariat to provide inputs and assess them at the upcoming virtual consultation, on how to simplify and clarify the strategic framework, reviewing the linkages and the different elements of the draft Strategic and Financial Plans, to better reflect the strategic priorities of the organization</w:t>
            </w:r>
          </w:p>
        </w:tc>
        <w:tc>
          <w:tcPr>
            <w:tcW w:w="5245" w:type="dxa"/>
            <w:hideMark/>
          </w:tcPr>
          <w:p w14:paraId="291E3362" w14:textId="535D859B" w:rsidR="00257C72" w:rsidRDefault="00D35F01" w:rsidP="00D05B07">
            <w:pPr>
              <w:pStyle w:val="ListParagraph"/>
              <w:numPr>
                <w:ilvl w:val="0"/>
                <w:numId w:val="33"/>
              </w:numPr>
              <w:spacing w:after="0"/>
              <w:ind w:left="341" w:hanging="284"/>
              <w:contextualSpacing w:val="0"/>
            </w:pPr>
            <w:r>
              <w:t xml:space="preserve">Refined the </w:t>
            </w:r>
            <w:r w:rsidR="00181864">
              <w:t>strategic</w:t>
            </w:r>
            <w:r w:rsidR="00C060A6">
              <w:t xml:space="preserve"> framework</w:t>
            </w:r>
            <w:r w:rsidR="00E118B3">
              <w:t xml:space="preserve"> </w:t>
            </w:r>
            <w:r w:rsidR="00C060A6">
              <w:t>t</w:t>
            </w:r>
            <w:r>
              <w:t xml:space="preserve">o </w:t>
            </w:r>
            <w:r w:rsidR="005178CD">
              <w:t>enhance</w:t>
            </w:r>
            <w:r>
              <w:t xml:space="preserve"> </w:t>
            </w:r>
            <w:r w:rsidR="00065087">
              <w:t>its</w:t>
            </w:r>
            <w:r w:rsidR="005F0FA2">
              <w:t xml:space="preserve"> </w:t>
            </w:r>
            <w:r w:rsidR="007842B9">
              <w:t>simplicity and clarity</w:t>
            </w:r>
            <w:r w:rsidR="00A06B38">
              <w:t xml:space="preserve">, by </w:t>
            </w:r>
            <w:r w:rsidR="002D59F9">
              <w:t>proposing</w:t>
            </w:r>
            <w:r w:rsidR="00A06B38">
              <w:t xml:space="preserve"> the following changes</w:t>
            </w:r>
            <w:r w:rsidR="002D59F9">
              <w:t xml:space="preserve"> for CWG consideration</w:t>
            </w:r>
            <w:r w:rsidR="00A06B38">
              <w:t>:</w:t>
            </w:r>
          </w:p>
          <w:p w14:paraId="4B88ACB4" w14:textId="11F132F4" w:rsidR="00257C72" w:rsidRDefault="009757EC" w:rsidP="00D05B07">
            <w:pPr>
              <w:pStyle w:val="ListParagraph"/>
              <w:numPr>
                <w:ilvl w:val="0"/>
                <w:numId w:val="31"/>
              </w:numPr>
              <w:ind w:left="1004" w:hanging="284"/>
            </w:pPr>
            <w:r>
              <w:t xml:space="preserve">Simplified </w:t>
            </w:r>
            <w:r w:rsidR="005467F3">
              <w:t xml:space="preserve">and consolidated </w:t>
            </w:r>
            <w:r w:rsidR="00F54E59">
              <w:t>S</w:t>
            </w:r>
            <w:r w:rsidR="00A45BB6" w:rsidRPr="00A45BB6">
              <w:t xml:space="preserve">trategic </w:t>
            </w:r>
            <w:r w:rsidR="00F54E59">
              <w:t>G</w:t>
            </w:r>
            <w:r w:rsidR="00F54E59" w:rsidRPr="00A45BB6">
              <w:t>oal</w:t>
            </w:r>
            <w:r w:rsidR="00F54E59">
              <w:t xml:space="preserve">s </w:t>
            </w:r>
            <w:r w:rsidR="00CA2406">
              <w:t xml:space="preserve">and </w:t>
            </w:r>
            <w:r w:rsidR="00F54E59">
              <w:t>T</w:t>
            </w:r>
            <w:r w:rsidR="00CA2406">
              <w:t>argets</w:t>
            </w:r>
          </w:p>
          <w:p w14:paraId="255C0F8D" w14:textId="6D337632" w:rsidR="00257C72" w:rsidRDefault="002D1C75" w:rsidP="00D05B07">
            <w:pPr>
              <w:pStyle w:val="ListParagraph"/>
              <w:numPr>
                <w:ilvl w:val="0"/>
                <w:numId w:val="31"/>
              </w:numPr>
              <w:ind w:left="1004" w:hanging="284"/>
            </w:pPr>
            <w:r w:rsidDel="007842B9">
              <w:t>Developed</w:t>
            </w:r>
            <w:r w:rsidR="00F13985" w:rsidDel="007842B9">
              <w:t xml:space="preserve"> </w:t>
            </w:r>
            <w:r w:rsidR="00C506FA">
              <w:t>t</w:t>
            </w:r>
            <w:r w:rsidR="00A45BB6" w:rsidRPr="00A45BB6">
              <w:t>hematic priorities</w:t>
            </w:r>
            <w:r w:rsidR="005467F3">
              <w:t xml:space="preserve"> that s</w:t>
            </w:r>
            <w:r w:rsidR="00F13985">
              <w:t xml:space="preserve">ynthesize and replace </w:t>
            </w:r>
            <w:r w:rsidR="00F13985" w:rsidRPr="00F13985">
              <w:t>Sector</w:t>
            </w:r>
            <w:r w:rsidR="00F13985">
              <w:t>/</w:t>
            </w:r>
            <w:r w:rsidR="00F13985" w:rsidRPr="00F13985">
              <w:t>Inter-Sectoral Objectives</w:t>
            </w:r>
          </w:p>
          <w:p w14:paraId="1DAAF33A" w14:textId="5307B4DE" w:rsidR="00A45BB6" w:rsidRPr="00A45BB6" w:rsidRDefault="005467F3" w:rsidP="00D05B07">
            <w:pPr>
              <w:pStyle w:val="ListParagraph"/>
              <w:numPr>
                <w:ilvl w:val="0"/>
                <w:numId w:val="31"/>
              </w:numPr>
              <w:ind w:left="1004" w:hanging="284"/>
            </w:pPr>
            <w:r>
              <w:t xml:space="preserve">Consolidated </w:t>
            </w:r>
            <w:r w:rsidR="00F13985">
              <w:t>Sector</w:t>
            </w:r>
            <w:r>
              <w:t>/</w:t>
            </w:r>
            <w:r w:rsidR="009B1A78" w:rsidRPr="004E12F1">
              <w:rPr>
                <w:lang w:val="en-US"/>
              </w:rPr>
              <w:t xml:space="preserve"> General Secretariat </w:t>
            </w:r>
            <w:r w:rsidR="00906366">
              <w:t xml:space="preserve">Activities </w:t>
            </w:r>
            <w:r w:rsidR="00F13985">
              <w:t xml:space="preserve">and </w:t>
            </w:r>
            <w:r w:rsidR="00906366">
              <w:t xml:space="preserve">Enablers </w:t>
            </w:r>
            <w:r w:rsidR="00F13985">
              <w:t xml:space="preserve">into ITU-wide </w:t>
            </w:r>
            <w:r w:rsidR="00A45BB6" w:rsidRPr="00A45BB6">
              <w:t>product &amp; service offering</w:t>
            </w:r>
            <w:r w:rsidR="00F13985">
              <w:t xml:space="preserve">s and </w:t>
            </w:r>
            <w:r w:rsidR="00906366">
              <w:t>E</w:t>
            </w:r>
            <w:r w:rsidR="00906366" w:rsidRPr="00A45BB6">
              <w:t xml:space="preserve">nablers </w:t>
            </w:r>
          </w:p>
        </w:tc>
      </w:tr>
      <w:tr w:rsidR="00FB527A" w:rsidRPr="00A45BB6" w14:paraId="2675714D" w14:textId="77777777" w:rsidTr="006752B5">
        <w:trPr>
          <w:trHeight w:val="1160"/>
        </w:trPr>
        <w:tc>
          <w:tcPr>
            <w:tcW w:w="4531" w:type="dxa"/>
            <w:hideMark/>
          </w:tcPr>
          <w:p w14:paraId="0D76B3BE" w14:textId="33889EDD" w:rsidR="00A73961" w:rsidRDefault="00A45BB6" w:rsidP="00A45BB6">
            <w:pPr>
              <w:rPr>
                <w:b/>
                <w:bCs/>
              </w:rPr>
            </w:pPr>
            <w:r w:rsidRPr="00D05B07">
              <w:rPr>
                <w:b/>
                <w:bCs/>
              </w:rPr>
              <w:t>2.</w:t>
            </w:r>
            <w:r w:rsidR="00892C60">
              <w:t xml:space="preserve"> </w:t>
            </w:r>
            <w:r w:rsidRPr="00A45BB6">
              <w:rPr>
                <w:b/>
                <w:bCs/>
              </w:rPr>
              <w:t>Focus</w:t>
            </w:r>
          </w:p>
          <w:p w14:paraId="6D0883E6" w14:textId="1CB70AE3" w:rsidR="00F7436B" w:rsidRPr="00A45BB6" w:rsidRDefault="00A45BB6" w:rsidP="00F7436B">
            <w:pPr>
              <w:pStyle w:val="ListParagraph"/>
              <w:numPr>
                <w:ilvl w:val="0"/>
                <w:numId w:val="33"/>
              </w:numPr>
              <w:ind w:left="341" w:hanging="284"/>
              <w:contextualSpacing w:val="0"/>
            </w:pPr>
            <w:r w:rsidRPr="00A45BB6">
              <w:t>Request the secretariat to present inputs on how:</w:t>
            </w:r>
            <w:r w:rsidR="00D05B07">
              <w:t xml:space="preserve"> </w:t>
            </w:r>
            <w:r w:rsidRPr="00A45BB6">
              <w:t xml:space="preserve">i) to keep the </w:t>
            </w:r>
            <w:r w:rsidR="00FB15BF">
              <w:t>S</w:t>
            </w:r>
            <w:r w:rsidRPr="00A45BB6">
              <w:t xml:space="preserve">trategic </w:t>
            </w:r>
            <w:r w:rsidR="00FB15BF">
              <w:t>P</w:t>
            </w:r>
            <w:r w:rsidRPr="00A45BB6">
              <w:t>lan at a high level while recognizing the role and mandate of the ITU Sector</w:t>
            </w:r>
            <w:r w:rsidR="00D05B07">
              <w:t xml:space="preserve"> </w:t>
            </w:r>
            <w:r w:rsidRPr="00A45BB6">
              <w:t>ii) based on the strategic priorities, to identify the main topics/themes of work, considering cross-cutting themes -</w:t>
            </w:r>
            <w:r w:rsidR="00915FAE">
              <w:t xml:space="preserve"> </w:t>
            </w:r>
            <w:r w:rsidRPr="00A45BB6">
              <w:t>where possible, aiming to reinforce synergies across the Sectors</w:t>
            </w:r>
          </w:p>
        </w:tc>
        <w:tc>
          <w:tcPr>
            <w:tcW w:w="5245" w:type="dxa"/>
            <w:hideMark/>
          </w:tcPr>
          <w:p w14:paraId="39CD1BB0" w14:textId="3005ACF7" w:rsidR="00401AE9" w:rsidRDefault="00401AE9" w:rsidP="00D05B07">
            <w:pPr>
              <w:pStyle w:val="ListParagraph"/>
              <w:numPr>
                <w:ilvl w:val="0"/>
                <w:numId w:val="33"/>
              </w:numPr>
              <w:ind w:left="341" w:hanging="284"/>
              <w:contextualSpacing w:val="0"/>
            </w:pPr>
            <w:r>
              <w:t>Drew a sharper dis</w:t>
            </w:r>
            <w:r w:rsidR="007F69E3">
              <w:t>t</w:t>
            </w:r>
            <w:r>
              <w:t>inction between the high-level Strateg</w:t>
            </w:r>
            <w:r w:rsidR="005C001E">
              <w:t>ic Plan</w:t>
            </w:r>
            <w:r>
              <w:t xml:space="preserve"> and </w:t>
            </w:r>
            <w:r w:rsidR="00837ADC">
              <w:t xml:space="preserve">the </w:t>
            </w:r>
            <w:r>
              <w:t>detailed Sector/</w:t>
            </w:r>
            <w:r w:rsidR="009B1A78" w:rsidRPr="00D05B07">
              <w:t xml:space="preserve"> General Secretariat </w:t>
            </w:r>
            <w:r>
              <w:t xml:space="preserve">Operational </w:t>
            </w:r>
            <w:r w:rsidR="00325068">
              <w:t>P</w:t>
            </w:r>
            <w:r>
              <w:t>lans</w:t>
            </w:r>
          </w:p>
          <w:p w14:paraId="7AB90157" w14:textId="3F235A91" w:rsidR="00A45BB6" w:rsidRPr="00A45BB6" w:rsidRDefault="0090682A" w:rsidP="00D05B07">
            <w:pPr>
              <w:pStyle w:val="ListParagraph"/>
              <w:numPr>
                <w:ilvl w:val="0"/>
                <w:numId w:val="33"/>
              </w:numPr>
              <w:ind w:left="341" w:hanging="284"/>
              <w:contextualSpacing w:val="0"/>
            </w:pPr>
            <w:r>
              <w:t xml:space="preserve">Identified and </w:t>
            </w:r>
            <w:r w:rsidRPr="002B588F">
              <w:t>a</w:t>
            </w:r>
            <w:r w:rsidR="00401AE9" w:rsidRPr="002B588F">
              <w:t xml:space="preserve">rticulated main areas of </w:t>
            </w:r>
            <w:r w:rsidR="001C6BF7" w:rsidRPr="002B588F">
              <w:t xml:space="preserve">impact </w:t>
            </w:r>
            <w:r w:rsidR="00401AE9" w:rsidRPr="002B588F">
              <w:t xml:space="preserve">under thematic priorities, </w:t>
            </w:r>
            <w:r w:rsidR="00602BBC" w:rsidRPr="002B588F">
              <w:t xml:space="preserve">to be </w:t>
            </w:r>
            <w:r w:rsidR="00401AE9" w:rsidRPr="00F276AC">
              <w:t>measured through</w:t>
            </w:r>
            <w:r w:rsidR="00A73961" w:rsidRPr="00F276AC">
              <w:t xml:space="preserve"> </w:t>
            </w:r>
            <w:r w:rsidR="00401AE9" w:rsidRPr="00F276AC">
              <w:t>outcome</w:t>
            </w:r>
            <w:r w:rsidR="006F0D63" w:rsidRPr="00F276AC">
              <w:t>s</w:t>
            </w:r>
            <w:r w:rsidR="00DC2086" w:rsidRPr="00F276AC">
              <w:t xml:space="preserve"> that one or several Sectors will contribute to</w:t>
            </w:r>
          </w:p>
        </w:tc>
      </w:tr>
      <w:tr w:rsidR="00FB527A" w:rsidRPr="00A45BB6" w14:paraId="7B693BEC" w14:textId="77777777" w:rsidTr="006752B5">
        <w:trPr>
          <w:trHeight w:val="2030"/>
        </w:trPr>
        <w:tc>
          <w:tcPr>
            <w:tcW w:w="4531" w:type="dxa"/>
            <w:hideMark/>
          </w:tcPr>
          <w:p w14:paraId="35C83C88" w14:textId="7EF83E87" w:rsidR="00D05B07" w:rsidRPr="00D05B07" w:rsidRDefault="00A45BB6" w:rsidP="00D05B07">
            <w:pPr>
              <w:rPr>
                <w:b/>
                <w:bCs/>
              </w:rPr>
            </w:pPr>
            <w:r w:rsidRPr="00D05B07">
              <w:rPr>
                <w:b/>
                <w:bCs/>
              </w:rPr>
              <w:t>3.</w:t>
            </w:r>
            <w:r w:rsidR="00D05B07">
              <w:rPr>
                <w:b/>
                <w:bCs/>
              </w:rPr>
              <w:t xml:space="preserve"> </w:t>
            </w:r>
            <w:r w:rsidRPr="00D05B07">
              <w:rPr>
                <w:b/>
                <w:bCs/>
              </w:rPr>
              <w:t>One ITU</w:t>
            </w:r>
          </w:p>
          <w:p w14:paraId="7287A0E5" w14:textId="77777777" w:rsidR="00D05B07" w:rsidRDefault="00A45BB6" w:rsidP="00D05B07">
            <w:pPr>
              <w:pStyle w:val="ListParagraph"/>
              <w:numPr>
                <w:ilvl w:val="0"/>
                <w:numId w:val="33"/>
              </w:numPr>
              <w:ind w:left="341" w:hanging="284"/>
              <w:contextualSpacing w:val="0"/>
            </w:pPr>
            <w:r w:rsidRPr="00A45BB6">
              <w:t xml:space="preserve">Request the secretariat to further develop inputs to clarify and strengthen the concept of One ITU, and CWG-SFP to </w:t>
            </w:r>
            <w:proofErr w:type="gramStart"/>
            <w:r w:rsidRPr="00A45BB6">
              <w:t>then further consider it</w:t>
            </w:r>
            <w:proofErr w:type="gramEnd"/>
            <w:r w:rsidRPr="00A45BB6">
              <w:t xml:space="preserve"> for the development of the </w:t>
            </w:r>
            <w:r w:rsidR="00FB15BF">
              <w:t>S</w:t>
            </w:r>
            <w:r w:rsidRPr="00A45BB6">
              <w:t xml:space="preserve">trategic </w:t>
            </w:r>
            <w:r w:rsidR="00FB15BF">
              <w:t>P</w:t>
            </w:r>
            <w:r w:rsidRPr="00A45BB6">
              <w:t>lan</w:t>
            </w:r>
          </w:p>
          <w:p w14:paraId="5631393C" w14:textId="77777777" w:rsidR="00D05B07" w:rsidRDefault="00A45BB6" w:rsidP="00D05B07">
            <w:pPr>
              <w:pStyle w:val="ListParagraph"/>
              <w:numPr>
                <w:ilvl w:val="0"/>
                <w:numId w:val="33"/>
              </w:numPr>
              <w:ind w:left="341" w:hanging="284"/>
              <w:contextualSpacing w:val="0"/>
            </w:pPr>
            <w:r w:rsidRPr="00A45BB6">
              <w:t xml:space="preserve">Request the secretariat to leverage cross-sectoral strategic priorities/themes/areas of work and reflect the One ITU concept, while </w:t>
            </w:r>
            <w:r w:rsidRPr="00A45BB6">
              <w:lastRenderedPageBreak/>
              <w:t>recognizing the contribution of the ITU Sectors, being able to articulate the products and services ITU can provide as an organization</w:t>
            </w:r>
          </w:p>
          <w:p w14:paraId="028852D8" w14:textId="6F6D7BBF" w:rsidR="00A45BB6" w:rsidRPr="00A45BB6" w:rsidRDefault="00A45BB6" w:rsidP="00D05B07">
            <w:pPr>
              <w:pStyle w:val="ListParagraph"/>
              <w:numPr>
                <w:ilvl w:val="0"/>
                <w:numId w:val="33"/>
              </w:numPr>
              <w:ind w:left="341" w:hanging="284"/>
              <w:contextualSpacing w:val="0"/>
            </w:pPr>
            <w:r w:rsidRPr="00A45BB6">
              <w:t>Request the secretariat to clarify and consider whether there are possibilities on a more flexible allocation of resources across Sectors</w:t>
            </w:r>
          </w:p>
        </w:tc>
        <w:tc>
          <w:tcPr>
            <w:tcW w:w="5245" w:type="dxa"/>
            <w:hideMark/>
          </w:tcPr>
          <w:p w14:paraId="272E792B" w14:textId="00B65677" w:rsidR="0039490D" w:rsidRDefault="003F1BCF" w:rsidP="00AE11C9">
            <w:pPr>
              <w:pStyle w:val="ListParagraph"/>
              <w:numPr>
                <w:ilvl w:val="0"/>
                <w:numId w:val="33"/>
              </w:numPr>
              <w:ind w:left="341" w:hanging="284"/>
              <w:contextualSpacing w:val="0"/>
            </w:pPr>
            <w:r>
              <w:lastRenderedPageBreak/>
              <w:t xml:space="preserve">Took into consideration the definition of One </w:t>
            </w:r>
            <w:r w:rsidR="0039490D">
              <w:t>ITU</w:t>
            </w:r>
            <w:r>
              <w:t xml:space="preserve">, as per </w:t>
            </w:r>
            <w:r w:rsidR="006D02AF">
              <w:t xml:space="preserve">the </w:t>
            </w:r>
            <w:r w:rsidR="006F0D63">
              <w:t xml:space="preserve">former Strategic Plan: </w:t>
            </w:r>
            <w:r w:rsidR="006F0D63" w:rsidRPr="00AE11C9">
              <w:t>“</w:t>
            </w:r>
            <w:r w:rsidR="0022469F" w:rsidRPr="00AE11C9">
              <w:t>t</w:t>
            </w:r>
            <w:r w:rsidR="0071232A" w:rsidRPr="00AE11C9">
              <w:t>he Sectors shall work cohesively for the implementation of the strategic plan. The secretariat shall support coordinated operational planning, avoiding redundancies and duplication and maximizing synergies across the Sectors, the Bureaux and the General Secretariat.</w:t>
            </w:r>
            <w:r w:rsidR="006F0D63" w:rsidRPr="00AE11C9">
              <w:t>”</w:t>
            </w:r>
          </w:p>
          <w:p w14:paraId="2617B72C" w14:textId="54505CD7" w:rsidR="008D25A0" w:rsidRDefault="008D25A0" w:rsidP="00AE11C9">
            <w:pPr>
              <w:pStyle w:val="ListParagraph"/>
              <w:numPr>
                <w:ilvl w:val="0"/>
                <w:numId w:val="33"/>
              </w:numPr>
              <w:ind w:left="341" w:hanging="284"/>
              <w:contextualSpacing w:val="0"/>
            </w:pPr>
            <w:r>
              <w:lastRenderedPageBreak/>
              <w:t xml:space="preserve">Strengthened concept of One ITU, by </w:t>
            </w:r>
            <w:r w:rsidR="00647F90">
              <w:t>developing a high-level</w:t>
            </w:r>
            <w:r w:rsidR="00AB3314">
              <w:t xml:space="preserve">, </w:t>
            </w:r>
            <w:proofErr w:type="gramStart"/>
            <w:r w:rsidR="00AB3314">
              <w:t>refined</w:t>
            </w:r>
            <w:proofErr w:type="gramEnd"/>
            <w:r w:rsidR="00AB3314">
              <w:t xml:space="preserve"> and focused</w:t>
            </w:r>
            <w:r w:rsidR="00647F90">
              <w:t xml:space="preserve"> Strategic Plan</w:t>
            </w:r>
            <w:r w:rsidR="00AB3314">
              <w:t xml:space="preserve"> </w:t>
            </w:r>
            <w:r>
              <w:t>to reflect ITU-wide</w:t>
            </w:r>
            <w:r w:rsidR="001A2E10">
              <w:t xml:space="preserve"> </w:t>
            </w:r>
            <w:r w:rsidR="00481124">
              <w:t>contribution</w:t>
            </w:r>
            <w:r w:rsidR="00AB3314">
              <w:t>s</w:t>
            </w:r>
            <w:r w:rsidR="00481124">
              <w:t xml:space="preserve"> and </w:t>
            </w:r>
            <w:r w:rsidR="001A2E10">
              <w:t>synergies</w:t>
            </w:r>
            <w:r>
              <w:t xml:space="preserve"> </w:t>
            </w:r>
          </w:p>
          <w:p w14:paraId="436CE6B0" w14:textId="56E97546" w:rsidR="001E08F4" w:rsidRDefault="001A2E10" w:rsidP="00AE11C9">
            <w:pPr>
              <w:pStyle w:val="ListParagraph"/>
              <w:numPr>
                <w:ilvl w:val="0"/>
                <w:numId w:val="33"/>
              </w:numPr>
              <w:ind w:left="341" w:hanging="284"/>
              <w:contextualSpacing w:val="0"/>
            </w:pPr>
            <w:r w:rsidRPr="001A2E10">
              <w:t>Developed</w:t>
            </w:r>
            <w:r>
              <w:t xml:space="preserve"> </w:t>
            </w:r>
            <w:r w:rsidRPr="001A2E10">
              <w:t>thematic priorities that synthesize Sector/Inter-Sectoral</w:t>
            </w:r>
            <w:r>
              <w:t xml:space="preserve"> areas of </w:t>
            </w:r>
            <w:r w:rsidR="00AE7814">
              <w:t xml:space="preserve">impact </w:t>
            </w:r>
            <w:r>
              <w:t xml:space="preserve">and replace </w:t>
            </w:r>
            <w:r w:rsidR="003F6E60">
              <w:t xml:space="preserve">siloed </w:t>
            </w:r>
            <w:r>
              <w:t>objectives</w:t>
            </w:r>
          </w:p>
          <w:p w14:paraId="545D9FAF" w14:textId="5544E202" w:rsidR="001A2E10" w:rsidRDefault="00D63F3C" w:rsidP="00AE11C9">
            <w:pPr>
              <w:pStyle w:val="ListParagraph"/>
              <w:numPr>
                <w:ilvl w:val="0"/>
                <w:numId w:val="33"/>
              </w:numPr>
              <w:ind w:left="341" w:hanging="284"/>
              <w:contextualSpacing w:val="0"/>
            </w:pPr>
            <w:r>
              <w:t xml:space="preserve">Consolidated </w:t>
            </w:r>
            <w:r w:rsidR="001E08F4">
              <w:t xml:space="preserve">ITU-wide </w:t>
            </w:r>
            <w:r w:rsidR="001E08F4" w:rsidRPr="00A45BB6">
              <w:t>product &amp; service offering</w:t>
            </w:r>
            <w:r w:rsidR="001E08F4">
              <w:t xml:space="preserve">s and </w:t>
            </w:r>
            <w:r w:rsidR="00050D72">
              <w:t>E</w:t>
            </w:r>
            <w:r w:rsidR="001E08F4" w:rsidRPr="00A45BB6">
              <w:t>nablers</w:t>
            </w:r>
            <w:r w:rsidR="001E08F4">
              <w:t xml:space="preserve"> to reflect One</w:t>
            </w:r>
            <w:r w:rsidR="00324AFA">
              <w:t xml:space="preserve"> </w:t>
            </w:r>
            <w:r w:rsidR="001E08F4">
              <w:t>ITU ways of working</w:t>
            </w:r>
          </w:p>
          <w:p w14:paraId="42DEE0F7" w14:textId="4E9F4FED" w:rsidR="00A45BB6" w:rsidRPr="00A45BB6" w:rsidRDefault="00910E1A" w:rsidP="00AE11C9">
            <w:pPr>
              <w:pStyle w:val="ListParagraph"/>
              <w:numPr>
                <w:ilvl w:val="0"/>
                <w:numId w:val="33"/>
              </w:numPr>
              <w:ind w:left="341" w:hanging="284"/>
              <w:contextualSpacing w:val="0"/>
            </w:pPr>
            <w:r>
              <w:t xml:space="preserve">Clarified the </w:t>
            </w:r>
            <w:r w:rsidR="008805FF">
              <w:t>distinction between</w:t>
            </w:r>
            <w:r>
              <w:t xml:space="preserve"> </w:t>
            </w:r>
            <w:r w:rsidR="00A758AA">
              <w:t xml:space="preserve">Strategic and Operational Plans, allowing Sectors </w:t>
            </w:r>
            <w:r w:rsidR="007E1A70">
              <w:t xml:space="preserve">and the General Secretariat </w:t>
            </w:r>
            <w:r w:rsidR="00A758AA">
              <w:t xml:space="preserve">to </w:t>
            </w:r>
            <w:r w:rsidR="00A836F6">
              <w:t xml:space="preserve">reflect their </w:t>
            </w:r>
            <w:r w:rsidR="00EF454D">
              <w:t>specific work</w:t>
            </w:r>
            <w:r w:rsidR="00A758AA">
              <w:t xml:space="preserve"> </w:t>
            </w:r>
          </w:p>
        </w:tc>
      </w:tr>
      <w:tr w:rsidR="00FB527A" w:rsidRPr="00A45BB6" w14:paraId="0490774D" w14:textId="77777777" w:rsidTr="006752B5">
        <w:trPr>
          <w:trHeight w:val="1160"/>
        </w:trPr>
        <w:tc>
          <w:tcPr>
            <w:tcW w:w="4531" w:type="dxa"/>
            <w:hideMark/>
          </w:tcPr>
          <w:p w14:paraId="7FB0935F" w14:textId="68D8BD29" w:rsidR="00AE11C9" w:rsidRPr="00E84D34" w:rsidRDefault="00A45BB6" w:rsidP="00AE11C9">
            <w:pPr>
              <w:rPr>
                <w:b/>
                <w:bCs/>
              </w:rPr>
            </w:pPr>
            <w:r w:rsidRPr="00E84D34">
              <w:rPr>
                <w:b/>
                <w:bCs/>
              </w:rPr>
              <w:lastRenderedPageBreak/>
              <w:t>4.</w:t>
            </w:r>
            <w:r w:rsidR="00E84D34" w:rsidRPr="00E84D34">
              <w:rPr>
                <w:b/>
                <w:bCs/>
              </w:rPr>
              <w:t xml:space="preserve"> </w:t>
            </w:r>
            <w:r w:rsidRPr="00E84D34">
              <w:rPr>
                <w:b/>
                <w:bCs/>
              </w:rPr>
              <w:t xml:space="preserve">Vision </w:t>
            </w:r>
            <w:r w:rsidR="0079606F" w:rsidRPr="00E84D34">
              <w:rPr>
                <w:b/>
                <w:bCs/>
              </w:rPr>
              <w:t>and</w:t>
            </w:r>
            <w:r w:rsidRPr="00E84D34">
              <w:rPr>
                <w:b/>
                <w:bCs/>
              </w:rPr>
              <w:t xml:space="preserve"> Mission </w:t>
            </w:r>
          </w:p>
          <w:p w14:paraId="0F2CB590" w14:textId="283E78E4" w:rsidR="00A45BB6" w:rsidRPr="00A45BB6" w:rsidRDefault="00A45BB6" w:rsidP="00AE11C9">
            <w:pPr>
              <w:pStyle w:val="ListParagraph"/>
              <w:numPr>
                <w:ilvl w:val="0"/>
                <w:numId w:val="33"/>
              </w:numPr>
              <w:ind w:left="341" w:hanging="284"/>
              <w:contextualSpacing w:val="0"/>
            </w:pPr>
            <w:r w:rsidRPr="00A45BB6">
              <w:t xml:space="preserve">Request the secretariat to collect further inputs from members of CWG-SFP, in view of potentially adjusting the wording, in line with ITU’s scope and mandate, taking into consideration the persistent digital divide and ITU’s role to expand connectivity worldwide and the use of telecommunications/ICTs for social, </w:t>
            </w:r>
            <w:proofErr w:type="gramStart"/>
            <w:r w:rsidRPr="00A45BB6">
              <w:t>economic</w:t>
            </w:r>
            <w:proofErr w:type="gramEnd"/>
            <w:r w:rsidRPr="00A45BB6">
              <w:t xml:space="preserve"> and environmentally sustainable development</w:t>
            </w:r>
          </w:p>
        </w:tc>
        <w:tc>
          <w:tcPr>
            <w:tcW w:w="5245" w:type="dxa"/>
            <w:hideMark/>
          </w:tcPr>
          <w:p w14:paraId="413E0D49" w14:textId="6BB99EC0" w:rsidR="00A45BB6" w:rsidRPr="00A45BB6" w:rsidRDefault="00A45BB6" w:rsidP="00AE11C9">
            <w:pPr>
              <w:pStyle w:val="ListParagraph"/>
              <w:numPr>
                <w:ilvl w:val="0"/>
                <w:numId w:val="33"/>
              </w:numPr>
              <w:ind w:left="341" w:hanging="284"/>
              <w:contextualSpacing w:val="0"/>
            </w:pPr>
            <w:r w:rsidRPr="00A45BB6">
              <w:t>Provided alternative option</w:t>
            </w:r>
            <w:r w:rsidR="006F0D63">
              <w:t>s</w:t>
            </w:r>
            <w:r w:rsidRPr="00A45BB6">
              <w:t xml:space="preserve"> for</w:t>
            </w:r>
            <w:r w:rsidR="00A758AA">
              <w:t xml:space="preserve"> the</w:t>
            </w:r>
            <w:r w:rsidRPr="00A45BB6">
              <w:t xml:space="preserve"> </w:t>
            </w:r>
            <w:r w:rsidR="00572311">
              <w:t>V</w:t>
            </w:r>
            <w:r w:rsidR="00572311" w:rsidRPr="00A45BB6">
              <w:t>ision</w:t>
            </w:r>
            <w:r w:rsidR="00572311">
              <w:t xml:space="preserve"> </w:t>
            </w:r>
            <w:r w:rsidR="00CF2A25">
              <w:t xml:space="preserve">and </w:t>
            </w:r>
            <w:r w:rsidR="00572311">
              <w:t>M</w:t>
            </w:r>
            <w:r w:rsidR="00CF2A25">
              <w:t>ission</w:t>
            </w:r>
            <w:r w:rsidR="003C126A">
              <w:t xml:space="preserve">, that </w:t>
            </w:r>
            <w:r w:rsidR="000E30F8">
              <w:t>reflects ITU</w:t>
            </w:r>
            <w:r w:rsidR="007D484F">
              <w:t>’s</w:t>
            </w:r>
            <w:r w:rsidR="000E30F8">
              <w:t xml:space="preserve"> mandate and </w:t>
            </w:r>
            <w:r w:rsidR="004A5D10">
              <w:t>simplifies the definition</w:t>
            </w:r>
          </w:p>
        </w:tc>
      </w:tr>
      <w:tr w:rsidR="00FB527A" w:rsidRPr="00A45BB6" w14:paraId="55753BC0" w14:textId="77777777" w:rsidTr="006752B5">
        <w:trPr>
          <w:trHeight w:val="1160"/>
        </w:trPr>
        <w:tc>
          <w:tcPr>
            <w:tcW w:w="4531" w:type="dxa"/>
            <w:hideMark/>
          </w:tcPr>
          <w:p w14:paraId="56F6872C" w14:textId="4A9BE66C" w:rsidR="00A73961" w:rsidRPr="00E84D34" w:rsidRDefault="00A45BB6" w:rsidP="00A45BB6">
            <w:pPr>
              <w:rPr>
                <w:b/>
                <w:bCs/>
              </w:rPr>
            </w:pPr>
            <w:r w:rsidRPr="00E84D34">
              <w:rPr>
                <w:b/>
                <w:bCs/>
              </w:rPr>
              <w:t>5.</w:t>
            </w:r>
            <w:r w:rsidR="00892C60" w:rsidRPr="00E84D34">
              <w:rPr>
                <w:b/>
                <w:bCs/>
              </w:rPr>
              <w:t xml:space="preserve"> </w:t>
            </w:r>
            <w:r w:rsidRPr="00E84D34">
              <w:rPr>
                <w:b/>
                <w:bCs/>
              </w:rPr>
              <w:t xml:space="preserve">Goals </w:t>
            </w:r>
          </w:p>
          <w:p w14:paraId="353D66EB" w14:textId="5C69FB40" w:rsidR="00A45BB6" w:rsidRPr="00A45BB6" w:rsidRDefault="00A45BB6" w:rsidP="00E84D34">
            <w:pPr>
              <w:pStyle w:val="ListParagraph"/>
              <w:numPr>
                <w:ilvl w:val="0"/>
                <w:numId w:val="33"/>
              </w:numPr>
              <w:ind w:left="341" w:hanging="284"/>
              <w:contextualSpacing w:val="0"/>
            </w:pPr>
            <w:r w:rsidRPr="00A45BB6">
              <w:t xml:space="preserve">Taking into consideration </w:t>
            </w:r>
            <w:r w:rsidR="00E242C6">
              <w:t>both</w:t>
            </w:r>
            <w:r w:rsidRPr="00A45BB6">
              <w:t xml:space="preserve"> the results of the Online Consultation and the contributions to the CWG-SFP, to request the secretariat to collect further inputs from members and further analyse the possibility and implications of keeping, </w:t>
            </w:r>
            <w:proofErr w:type="gramStart"/>
            <w:r w:rsidRPr="00A45BB6">
              <w:t>adjusting</w:t>
            </w:r>
            <w:proofErr w:type="gramEnd"/>
            <w:r w:rsidRPr="00A45BB6">
              <w:t xml:space="preserve"> or grouping the current goals</w:t>
            </w:r>
            <w:r w:rsidR="00A746CA">
              <w:t>;</w:t>
            </w:r>
            <w:r w:rsidRPr="00A45BB6">
              <w:t xml:space="preserve"> taking into account the ongoing discussions related to the Vision and Mission, and keeping in mind the Constitution and Convention of the ITU</w:t>
            </w:r>
          </w:p>
        </w:tc>
        <w:tc>
          <w:tcPr>
            <w:tcW w:w="5245" w:type="dxa"/>
            <w:hideMark/>
          </w:tcPr>
          <w:p w14:paraId="0EA77DBB" w14:textId="6D5A2C9D" w:rsidR="00EC4CEA" w:rsidRDefault="001A6DF8" w:rsidP="00E84D34">
            <w:pPr>
              <w:pStyle w:val="ListParagraph"/>
              <w:numPr>
                <w:ilvl w:val="0"/>
                <w:numId w:val="33"/>
              </w:numPr>
              <w:ind w:left="341" w:hanging="284"/>
              <w:contextualSpacing w:val="0"/>
            </w:pPr>
            <w:r>
              <w:t>Proposed c</w:t>
            </w:r>
            <w:r w:rsidR="00A45BB6" w:rsidRPr="00A45BB6">
              <w:t>onsolidat</w:t>
            </w:r>
            <w:r w:rsidR="00A746CA">
              <w:t>ion</w:t>
            </w:r>
            <w:r w:rsidR="00057F4F">
              <w:t xml:space="preserve"> and refine</w:t>
            </w:r>
            <w:r w:rsidR="00A746CA">
              <w:t>ment of</w:t>
            </w:r>
            <w:r w:rsidR="00A45BB6" w:rsidRPr="00A45BB6">
              <w:t xml:space="preserve"> </w:t>
            </w:r>
            <w:r w:rsidR="00B370D6">
              <w:t xml:space="preserve">the </w:t>
            </w:r>
            <w:r w:rsidR="00A45BB6" w:rsidRPr="00A45BB6">
              <w:t>strategic goals</w:t>
            </w:r>
            <w:r w:rsidR="00057F4F">
              <w:t xml:space="preserve"> to bett</w:t>
            </w:r>
            <w:r w:rsidR="007F69E3">
              <w:t>e</w:t>
            </w:r>
            <w:r w:rsidR="00057F4F">
              <w:t xml:space="preserve">r reflect ITU’s </w:t>
            </w:r>
            <w:r w:rsidR="00AA4FB8">
              <w:t xml:space="preserve">Vision and </w:t>
            </w:r>
            <w:r w:rsidR="00572311">
              <w:t>M</w:t>
            </w:r>
            <w:r w:rsidR="00057F4F">
              <w:t>ission</w:t>
            </w:r>
            <w:r w:rsidR="00D916D0">
              <w:t>.</w:t>
            </w:r>
          </w:p>
          <w:p w14:paraId="0FA203B7" w14:textId="22B3CF41" w:rsidR="00A45BB6" w:rsidRPr="00A45BB6" w:rsidRDefault="00D916D0" w:rsidP="00E84D34">
            <w:pPr>
              <w:pStyle w:val="ListParagraph"/>
              <w:numPr>
                <w:ilvl w:val="0"/>
                <w:numId w:val="33"/>
              </w:numPr>
              <w:ind w:left="341" w:hanging="284"/>
              <w:contextualSpacing w:val="0"/>
            </w:pPr>
            <w:r w:rsidRPr="00D916D0">
              <w:t>These were developed to reinforce synergies and create goals that are: i) specific to</w:t>
            </w:r>
            <w:r w:rsidR="00724081">
              <w:t>,</w:t>
            </w:r>
            <w:r w:rsidRPr="00D916D0">
              <w:t xml:space="preserve"> and aligned with</w:t>
            </w:r>
            <w:r w:rsidR="00724081">
              <w:t>,</w:t>
            </w:r>
            <w:r w:rsidRPr="00D916D0">
              <w:t xml:space="preserve"> ITU’s</w:t>
            </w:r>
            <w:r w:rsidR="00B71734">
              <w:t xml:space="preserve"> Vision and Mission</w:t>
            </w:r>
            <w:r w:rsidR="002A0EFA">
              <w:t>,</w:t>
            </w:r>
            <w:r w:rsidRPr="00D916D0">
              <w:t xml:space="preserve"> ii) mutually exclusive and collectively exhaustive</w:t>
            </w:r>
            <w:r w:rsidR="002A0EFA">
              <w:t>,</w:t>
            </w:r>
            <w:r w:rsidRPr="00D916D0">
              <w:t xml:space="preserve"> and iii) focused on ITU’s </w:t>
            </w:r>
            <w:r w:rsidR="00222B1A">
              <w:t>impact</w:t>
            </w:r>
            <w:r w:rsidRPr="00D916D0">
              <w:t>, as opposed to organizational enablers</w:t>
            </w:r>
            <w:r w:rsidR="00C3616C">
              <w:t xml:space="preserve"> </w:t>
            </w:r>
          </w:p>
        </w:tc>
      </w:tr>
      <w:tr w:rsidR="00FB527A" w:rsidRPr="00A45BB6" w14:paraId="2F69C35D" w14:textId="77777777" w:rsidTr="006752B5">
        <w:trPr>
          <w:trHeight w:val="557"/>
        </w:trPr>
        <w:tc>
          <w:tcPr>
            <w:tcW w:w="4531" w:type="dxa"/>
            <w:hideMark/>
          </w:tcPr>
          <w:p w14:paraId="562C3D19" w14:textId="0C8894CA" w:rsidR="00A73961" w:rsidRPr="00E84D34" w:rsidRDefault="00A45BB6" w:rsidP="00A45BB6">
            <w:pPr>
              <w:rPr>
                <w:b/>
                <w:bCs/>
              </w:rPr>
            </w:pPr>
            <w:r w:rsidRPr="00E84D34">
              <w:rPr>
                <w:b/>
                <w:bCs/>
              </w:rPr>
              <w:t>6.</w:t>
            </w:r>
            <w:r w:rsidR="00892C60" w:rsidRPr="00E84D34">
              <w:rPr>
                <w:b/>
                <w:bCs/>
              </w:rPr>
              <w:t xml:space="preserve"> </w:t>
            </w:r>
            <w:r w:rsidRPr="00E84D34">
              <w:rPr>
                <w:b/>
                <w:bCs/>
              </w:rPr>
              <w:t>Targets</w:t>
            </w:r>
          </w:p>
          <w:p w14:paraId="0D821E67" w14:textId="3BB241D7" w:rsidR="00A45BB6" w:rsidRPr="00A45BB6" w:rsidRDefault="00A45BB6" w:rsidP="00E84D34">
            <w:pPr>
              <w:pStyle w:val="ListParagraph"/>
              <w:numPr>
                <w:ilvl w:val="0"/>
                <w:numId w:val="33"/>
              </w:numPr>
              <w:ind w:left="341" w:hanging="284"/>
              <w:contextualSpacing w:val="0"/>
            </w:pPr>
            <w:r w:rsidRPr="00A45BB6">
              <w:t>Request the secretariat to present inputs to review the current set of Targets, according to the lessons learned, in particular:</w:t>
            </w:r>
            <w:r w:rsidR="00A73961">
              <w:t xml:space="preserve"> </w:t>
            </w:r>
            <w:r w:rsidRPr="00A45BB6">
              <w:t>Targets to be SMART (specific, measurable, action-oriented, realistic, time-bound)</w:t>
            </w:r>
            <w:r w:rsidR="00A73961">
              <w:t xml:space="preserve"> and </w:t>
            </w:r>
            <w:r w:rsidRPr="00A45BB6">
              <w:t>account for regional and developmental gaps</w:t>
            </w:r>
          </w:p>
        </w:tc>
        <w:tc>
          <w:tcPr>
            <w:tcW w:w="5245" w:type="dxa"/>
            <w:hideMark/>
          </w:tcPr>
          <w:p w14:paraId="1CDC6927" w14:textId="5BB9A0D3" w:rsidR="00E15227" w:rsidRDefault="00E15227" w:rsidP="00E84D34">
            <w:pPr>
              <w:pStyle w:val="ListParagraph"/>
              <w:numPr>
                <w:ilvl w:val="0"/>
                <w:numId w:val="33"/>
              </w:numPr>
              <w:ind w:left="341" w:hanging="284"/>
              <w:contextualSpacing w:val="0"/>
            </w:pPr>
            <w:r>
              <w:t xml:space="preserve">Revised </w:t>
            </w:r>
            <w:r w:rsidR="00F54E59">
              <w:t>T</w:t>
            </w:r>
            <w:r>
              <w:t xml:space="preserve">argets to reflect ITU’s ambitions </w:t>
            </w:r>
            <w:r w:rsidR="00A45BB6" w:rsidRPr="00A45BB6">
              <w:t xml:space="preserve">for </w:t>
            </w:r>
            <w:r w:rsidR="00B26A78">
              <w:t xml:space="preserve">the </w:t>
            </w:r>
            <w:r w:rsidR="00A45BB6" w:rsidRPr="00A45BB6">
              <w:t>2030</w:t>
            </w:r>
            <w:r w:rsidR="00B26A78">
              <w:t xml:space="preserve"> Agenda</w:t>
            </w:r>
            <w:r w:rsidR="00677834">
              <w:t xml:space="preserve"> and </w:t>
            </w:r>
            <w:r w:rsidR="00EE49EB">
              <w:t xml:space="preserve">contribution </w:t>
            </w:r>
            <w:r w:rsidR="007E6782">
              <w:t>to the implementation of the WSIS Action Lines</w:t>
            </w:r>
          </w:p>
          <w:p w14:paraId="53D50D3D" w14:textId="060C9365" w:rsidR="00A45BB6" w:rsidRPr="00A45BB6" w:rsidRDefault="00E15227" w:rsidP="00E84D34">
            <w:pPr>
              <w:pStyle w:val="ListParagraph"/>
              <w:numPr>
                <w:ilvl w:val="0"/>
                <w:numId w:val="33"/>
              </w:numPr>
              <w:ind w:left="341" w:hanging="284"/>
              <w:contextualSpacing w:val="0"/>
            </w:pPr>
            <w:r>
              <w:t>I</w:t>
            </w:r>
            <w:r w:rsidR="00A45BB6" w:rsidRPr="00A45BB6">
              <w:t xml:space="preserve">ntroduced SMART </w:t>
            </w:r>
            <w:r>
              <w:t xml:space="preserve">target </w:t>
            </w:r>
            <w:r w:rsidR="00A45BB6" w:rsidRPr="00A45BB6">
              <w:t xml:space="preserve">indicators in the </w:t>
            </w:r>
            <w:r>
              <w:t>R</w:t>
            </w:r>
            <w:r w:rsidR="00A45BB6" w:rsidRPr="00A45BB6">
              <w:t xml:space="preserve">esults </w:t>
            </w:r>
            <w:r>
              <w:t>F</w:t>
            </w:r>
            <w:r w:rsidR="00A45BB6" w:rsidRPr="00A45BB6">
              <w:t>ramework</w:t>
            </w:r>
            <w:r>
              <w:t>, and</w:t>
            </w:r>
            <w:r w:rsidR="00A45BB6" w:rsidRPr="00A45BB6">
              <w:t xml:space="preserve"> identified sub-indicators to refine measurement by region</w:t>
            </w:r>
            <w:r w:rsidR="007F69E3">
              <w:t>/</w:t>
            </w:r>
            <w:r w:rsidR="00A45BB6" w:rsidRPr="00A45BB6">
              <w:t>level of development/gender etc.</w:t>
            </w:r>
          </w:p>
        </w:tc>
      </w:tr>
      <w:tr w:rsidR="00FB527A" w:rsidRPr="00A45BB6" w14:paraId="4F65800E" w14:textId="77777777" w:rsidTr="006752B5">
        <w:trPr>
          <w:trHeight w:val="870"/>
        </w:trPr>
        <w:tc>
          <w:tcPr>
            <w:tcW w:w="4531" w:type="dxa"/>
            <w:hideMark/>
          </w:tcPr>
          <w:p w14:paraId="240B0142" w14:textId="324F4AC0" w:rsidR="00A73961" w:rsidRPr="00E84D34" w:rsidRDefault="00A45BB6" w:rsidP="00A45BB6">
            <w:pPr>
              <w:rPr>
                <w:b/>
                <w:bCs/>
              </w:rPr>
            </w:pPr>
            <w:r w:rsidRPr="00E84D34">
              <w:rPr>
                <w:b/>
                <w:bCs/>
              </w:rPr>
              <w:t>7.</w:t>
            </w:r>
            <w:r w:rsidR="00892C60" w:rsidRPr="00E84D34">
              <w:rPr>
                <w:b/>
                <w:bCs/>
              </w:rPr>
              <w:t xml:space="preserve"> </w:t>
            </w:r>
            <w:r w:rsidRPr="00E84D34">
              <w:rPr>
                <w:b/>
                <w:bCs/>
              </w:rPr>
              <w:t xml:space="preserve">Regional </w:t>
            </w:r>
            <w:r w:rsidR="3A5ED4CC" w:rsidRPr="00E84D34">
              <w:rPr>
                <w:b/>
                <w:bCs/>
              </w:rPr>
              <w:t>presen</w:t>
            </w:r>
            <w:r w:rsidR="25C91E55" w:rsidRPr="00E84D34">
              <w:rPr>
                <w:b/>
                <w:bCs/>
              </w:rPr>
              <w:t>c</w:t>
            </w:r>
            <w:r w:rsidR="3A5ED4CC" w:rsidRPr="00E84D34">
              <w:rPr>
                <w:b/>
                <w:bCs/>
              </w:rPr>
              <w:t>e</w:t>
            </w:r>
          </w:p>
          <w:p w14:paraId="63DAC8A8" w14:textId="77777777" w:rsidR="00F7436B" w:rsidRDefault="00A45BB6" w:rsidP="00F7436B">
            <w:pPr>
              <w:pStyle w:val="ListParagraph"/>
              <w:numPr>
                <w:ilvl w:val="0"/>
                <w:numId w:val="33"/>
              </w:numPr>
              <w:ind w:left="341" w:hanging="284"/>
              <w:contextualSpacing w:val="0"/>
            </w:pPr>
            <w:r w:rsidRPr="00A45BB6">
              <w:t xml:space="preserve">Agree that the role of the ITU regional presence should be reflected in the new </w:t>
            </w:r>
            <w:r w:rsidR="00FB15BF">
              <w:t>S</w:t>
            </w:r>
            <w:r w:rsidRPr="00A45BB6">
              <w:t xml:space="preserve">trategic </w:t>
            </w:r>
            <w:r w:rsidR="00FB15BF">
              <w:t>P</w:t>
            </w:r>
            <w:r w:rsidRPr="00A45BB6">
              <w:t>lan</w:t>
            </w:r>
          </w:p>
          <w:p w14:paraId="07789756" w14:textId="2DA9BD95" w:rsidR="00A45BB6" w:rsidRPr="00A45BB6" w:rsidRDefault="00A45BB6" w:rsidP="00F7436B">
            <w:pPr>
              <w:pStyle w:val="ListParagraph"/>
              <w:numPr>
                <w:ilvl w:val="0"/>
                <w:numId w:val="33"/>
              </w:numPr>
              <w:ind w:left="341" w:hanging="284"/>
              <w:contextualSpacing w:val="0"/>
            </w:pPr>
            <w:r w:rsidRPr="00A45BB6">
              <w:lastRenderedPageBreak/>
              <w:t xml:space="preserve">Follow-up on the ongoing discussions among Member States and incorporate conclusions on the role of ITU's regional presence in the new </w:t>
            </w:r>
            <w:r w:rsidR="00FB15BF">
              <w:t>S</w:t>
            </w:r>
            <w:r w:rsidRPr="00A45BB6">
              <w:t xml:space="preserve">trategic </w:t>
            </w:r>
            <w:r w:rsidR="00FB15BF">
              <w:t>P</w:t>
            </w:r>
            <w:r w:rsidRPr="00A45BB6">
              <w:t>lan, keeping in mind the Constitution and Convention of the ITU</w:t>
            </w:r>
          </w:p>
        </w:tc>
        <w:tc>
          <w:tcPr>
            <w:tcW w:w="5245" w:type="dxa"/>
            <w:hideMark/>
          </w:tcPr>
          <w:p w14:paraId="38527BD6" w14:textId="2EACCC2A" w:rsidR="00A45BB6" w:rsidRPr="00A45BB6" w:rsidRDefault="001320E2" w:rsidP="00F7436B">
            <w:pPr>
              <w:pStyle w:val="ListParagraph"/>
              <w:numPr>
                <w:ilvl w:val="0"/>
                <w:numId w:val="33"/>
              </w:numPr>
              <w:ind w:left="341" w:hanging="284"/>
              <w:contextualSpacing w:val="0"/>
            </w:pPr>
            <w:r>
              <w:lastRenderedPageBreak/>
              <w:t>Elevated the importance of ITU</w:t>
            </w:r>
            <w:r w:rsidR="00502ADB">
              <w:t>’s</w:t>
            </w:r>
            <w:r>
              <w:t xml:space="preserve"> r</w:t>
            </w:r>
            <w:r w:rsidR="00E67347">
              <w:t>e</w:t>
            </w:r>
            <w:r>
              <w:t xml:space="preserve">gional presence in the </w:t>
            </w:r>
            <w:r w:rsidR="00502ADB">
              <w:t>S</w:t>
            </w:r>
            <w:r>
              <w:t>trat</w:t>
            </w:r>
            <w:r w:rsidR="007F69E3">
              <w:t>e</w:t>
            </w:r>
            <w:r>
              <w:t xml:space="preserve">gic </w:t>
            </w:r>
            <w:r w:rsidR="00502ADB">
              <w:t>P</w:t>
            </w:r>
            <w:r>
              <w:t xml:space="preserve">lan, by adding </w:t>
            </w:r>
            <w:r w:rsidR="00A45BB6" w:rsidRPr="00A45BB6">
              <w:t xml:space="preserve">regional presence as an </w:t>
            </w:r>
            <w:r w:rsidR="00567CEA">
              <w:t>E</w:t>
            </w:r>
            <w:r w:rsidR="00A45BB6" w:rsidRPr="00A45BB6">
              <w:t>nabler</w:t>
            </w:r>
          </w:p>
        </w:tc>
      </w:tr>
      <w:tr w:rsidR="00FB527A" w:rsidRPr="00A45BB6" w14:paraId="1935C0BC" w14:textId="77777777" w:rsidTr="006752B5">
        <w:trPr>
          <w:trHeight w:val="2030"/>
        </w:trPr>
        <w:tc>
          <w:tcPr>
            <w:tcW w:w="4531" w:type="dxa"/>
            <w:hideMark/>
          </w:tcPr>
          <w:p w14:paraId="628451EA" w14:textId="220ABA06" w:rsidR="00A73961" w:rsidRPr="00E84D34" w:rsidRDefault="00A45BB6" w:rsidP="00A45BB6">
            <w:pPr>
              <w:rPr>
                <w:b/>
                <w:bCs/>
              </w:rPr>
            </w:pPr>
            <w:r w:rsidRPr="00E84D34">
              <w:rPr>
                <w:b/>
                <w:bCs/>
              </w:rPr>
              <w:t>8.</w:t>
            </w:r>
            <w:r w:rsidR="007F69E3" w:rsidRPr="00E84D34">
              <w:rPr>
                <w:b/>
                <w:bCs/>
              </w:rPr>
              <w:t xml:space="preserve"> </w:t>
            </w:r>
            <w:r w:rsidRPr="00E84D34">
              <w:rPr>
                <w:b/>
                <w:bCs/>
              </w:rPr>
              <w:t>Linkage with Financial Plan</w:t>
            </w:r>
          </w:p>
          <w:p w14:paraId="03EE8596" w14:textId="03C00F00" w:rsidR="00A45BB6" w:rsidRPr="00A45BB6" w:rsidRDefault="00A45BB6" w:rsidP="00F7436B">
            <w:pPr>
              <w:pStyle w:val="ListParagraph"/>
              <w:numPr>
                <w:ilvl w:val="0"/>
                <w:numId w:val="36"/>
              </w:numPr>
              <w:ind w:left="284" w:hanging="284"/>
            </w:pPr>
            <w:r w:rsidRPr="00A45BB6">
              <w:t xml:space="preserve">Request the secretariat to </w:t>
            </w:r>
            <w:proofErr w:type="gramStart"/>
            <w:r w:rsidRPr="00A45BB6">
              <w:t>take into account</w:t>
            </w:r>
            <w:proofErr w:type="gramEnd"/>
            <w:r w:rsidRPr="00A45BB6">
              <w:t xml:space="preserve"> the following principles, when designing the linkage of the financial with the strategic plans: a. Direct linkage between the strategic priorities, including cross-cutting themes, and the allocation of financial and human resources b. No elements should remain unfunded</w:t>
            </w:r>
            <w:r w:rsidRPr="00A45BB6">
              <w:br/>
              <w:t xml:space="preserve">(see also request for clarification </w:t>
            </w:r>
            <w:r w:rsidR="009900F0">
              <w:t xml:space="preserve">under point 3 </w:t>
            </w:r>
            <w:r w:rsidRPr="00A45BB6">
              <w:t>on whether there are possibilities for a more flexible allocation of resources across Sectors)</w:t>
            </w:r>
          </w:p>
        </w:tc>
        <w:tc>
          <w:tcPr>
            <w:tcW w:w="5245" w:type="dxa"/>
            <w:hideMark/>
          </w:tcPr>
          <w:p w14:paraId="70877F91" w14:textId="36B58E74" w:rsidR="00A45BB6" w:rsidRPr="00A45BB6" w:rsidRDefault="00C73CEE" w:rsidP="00F7436B">
            <w:pPr>
              <w:pStyle w:val="ListParagraph"/>
              <w:numPr>
                <w:ilvl w:val="0"/>
                <w:numId w:val="33"/>
              </w:numPr>
              <w:ind w:left="341" w:hanging="284"/>
              <w:contextualSpacing w:val="0"/>
            </w:pPr>
            <w:r>
              <w:t>D</w:t>
            </w:r>
            <w:r w:rsidR="00E67347">
              <w:t xml:space="preserve">irect linkage between the Strategic Plan and allocation of resources </w:t>
            </w:r>
            <w:r w:rsidR="001C7F2E">
              <w:t>at the level of thematic prio</w:t>
            </w:r>
            <w:r w:rsidR="00B2505B">
              <w:t>rities</w:t>
            </w:r>
            <w:r w:rsidR="00A52C0A">
              <w:t xml:space="preserve"> </w:t>
            </w:r>
            <w:r w:rsidR="00E669BE">
              <w:t xml:space="preserve">will be reflected in </w:t>
            </w:r>
            <w:r w:rsidR="000177CF">
              <w:t>‘</w:t>
            </w:r>
            <w:r w:rsidR="00B66D2A" w:rsidRPr="00A45BB6">
              <w:t>Appendix A. Allocation of resources</w:t>
            </w:r>
            <w:r w:rsidR="000177CF">
              <w:t>’</w:t>
            </w:r>
            <w:r w:rsidR="00F95591">
              <w:t xml:space="preserve"> of the Strategic Plan</w:t>
            </w:r>
            <w:r w:rsidR="00B2505B">
              <w:t xml:space="preserve">, </w:t>
            </w:r>
            <w:r w:rsidR="00E67347">
              <w:t>ensur</w:t>
            </w:r>
            <w:r w:rsidR="00B2505B">
              <w:t>ing</w:t>
            </w:r>
            <w:r w:rsidR="00E67347">
              <w:t xml:space="preserve"> no </w:t>
            </w:r>
            <w:r w:rsidR="007F69E3">
              <w:t>e</w:t>
            </w:r>
            <w:r w:rsidR="00E67347">
              <w:t>lements</w:t>
            </w:r>
            <w:r w:rsidR="00F70A36">
              <w:t xml:space="preserve"> </w:t>
            </w:r>
            <w:r w:rsidR="00E67347">
              <w:t>remain unfunded</w:t>
            </w:r>
          </w:p>
        </w:tc>
      </w:tr>
      <w:tr w:rsidR="00FB527A" w:rsidRPr="00A45BB6" w14:paraId="2F9C4DE7" w14:textId="77777777" w:rsidTr="006752B5">
        <w:trPr>
          <w:trHeight w:val="870"/>
        </w:trPr>
        <w:tc>
          <w:tcPr>
            <w:tcW w:w="4531" w:type="dxa"/>
            <w:hideMark/>
          </w:tcPr>
          <w:p w14:paraId="143DCC43" w14:textId="28D2DB8C" w:rsidR="00A73961" w:rsidRPr="00E84D34" w:rsidRDefault="00A45BB6" w:rsidP="00A45BB6">
            <w:pPr>
              <w:rPr>
                <w:b/>
                <w:bCs/>
              </w:rPr>
            </w:pPr>
            <w:r w:rsidRPr="00E84D34">
              <w:rPr>
                <w:b/>
                <w:bCs/>
              </w:rPr>
              <w:t>9.</w:t>
            </w:r>
            <w:r w:rsidR="00E12961" w:rsidRPr="00E84D34">
              <w:rPr>
                <w:b/>
                <w:bCs/>
              </w:rPr>
              <w:t xml:space="preserve"> </w:t>
            </w:r>
            <w:r w:rsidRPr="00E84D34">
              <w:rPr>
                <w:b/>
                <w:bCs/>
              </w:rPr>
              <w:t>Developments at the UN level</w:t>
            </w:r>
          </w:p>
          <w:p w14:paraId="36B84361" w14:textId="77777777" w:rsidR="00F7436B" w:rsidRDefault="00A45BB6" w:rsidP="00F7436B">
            <w:pPr>
              <w:pStyle w:val="ListParagraph"/>
              <w:numPr>
                <w:ilvl w:val="0"/>
                <w:numId w:val="36"/>
              </w:numPr>
              <w:ind w:left="284" w:hanging="284"/>
            </w:pPr>
            <w:r w:rsidRPr="00A45BB6">
              <w:t>Request the secretariat to provide updates on the ongoing discussions at the UN level</w:t>
            </w:r>
          </w:p>
          <w:p w14:paraId="3E2FA4DE" w14:textId="19DFB891" w:rsidR="00A45BB6" w:rsidRPr="00A45BB6" w:rsidRDefault="00A45BB6" w:rsidP="00F7436B">
            <w:pPr>
              <w:pStyle w:val="ListParagraph"/>
              <w:numPr>
                <w:ilvl w:val="0"/>
                <w:numId w:val="36"/>
              </w:numPr>
              <w:ind w:left="284" w:hanging="284"/>
            </w:pPr>
            <w:r w:rsidRPr="00A45BB6">
              <w:t>Request the secretariat to submit inputs to better reflect the role of the ITU within the UN system (taking into consideration the 2030 Agenda, and ITU's contribution to the SDGs and the WSIS process)</w:t>
            </w:r>
          </w:p>
        </w:tc>
        <w:tc>
          <w:tcPr>
            <w:tcW w:w="5245" w:type="dxa"/>
            <w:hideMark/>
          </w:tcPr>
          <w:p w14:paraId="4BBA827B" w14:textId="7A1302C5" w:rsidR="00E67347" w:rsidRDefault="00E67347" w:rsidP="00F7436B">
            <w:pPr>
              <w:pStyle w:val="ListParagraph"/>
              <w:numPr>
                <w:ilvl w:val="0"/>
                <w:numId w:val="33"/>
              </w:numPr>
              <w:ind w:left="341" w:hanging="284"/>
              <w:contextualSpacing w:val="0"/>
            </w:pPr>
            <w:r>
              <w:t xml:space="preserve">Reflected ongoing </w:t>
            </w:r>
            <w:r w:rsidR="005D472F">
              <w:t xml:space="preserve">discussions at the </w:t>
            </w:r>
            <w:r>
              <w:t>UN</w:t>
            </w:r>
            <w:r w:rsidR="005D472F">
              <w:t xml:space="preserve"> level </w:t>
            </w:r>
            <w:r>
              <w:t>in the situa</w:t>
            </w:r>
            <w:r w:rsidR="007F69E3">
              <w:t>t</w:t>
            </w:r>
            <w:r>
              <w:t xml:space="preserve">ional analysis </w:t>
            </w:r>
          </w:p>
          <w:p w14:paraId="44D4B7CF" w14:textId="2A174B00" w:rsidR="00A45BB6" w:rsidRPr="00A45BB6" w:rsidRDefault="007B4161" w:rsidP="00F7436B">
            <w:pPr>
              <w:pStyle w:val="ListParagraph"/>
              <w:numPr>
                <w:ilvl w:val="0"/>
                <w:numId w:val="33"/>
              </w:numPr>
              <w:ind w:left="341" w:hanging="284"/>
              <w:contextualSpacing w:val="0"/>
            </w:pPr>
            <w:r>
              <w:t xml:space="preserve">Proposed </w:t>
            </w:r>
            <w:r w:rsidR="001A081D">
              <w:t xml:space="preserve">Targets for </w:t>
            </w:r>
            <w:r w:rsidR="00405852">
              <w:t xml:space="preserve">2030 to demonstrate ITU’s commitment to </w:t>
            </w:r>
            <w:r w:rsidR="00130B42">
              <w:t>the</w:t>
            </w:r>
            <w:r w:rsidR="00405852">
              <w:t xml:space="preserve"> </w:t>
            </w:r>
            <w:r w:rsidR="001A081D">
              <w:t xml:space="preserve">2030 Agenda and the </w:t>
            </w:r>
            <w:r w:rsidR="00405852">
              <w:t>SDG</w:t>
            </w:r>
            <w:r w:rsidR="001A0433">
              <w:t>s</w:t>
            </w:r>
            <w:r w:rsidR="00405852">
              <w:t xml:space="preserve">, and highlight the role of ITU in the UN system </w:t>
            </w:r>
            <w:r w:rsidR="001A081D">
              <w:t>and the implementation of the WSIS Action Lines</w:t>
            </w:r>
          </w:p>
        </w:tc>
      </w:tr>
      <w:tr w:rsidR="00FB527A" w:rsidRPr="00A45BB6" w14:paraId="02860CF4" w14:textId="77777777" w:rsidTr="006752B5">
        <w:trPr>
          <w:trHeight w:val="1160"/>
        </w:trPr>
        <w:tc>
          <w:tcPr>
            <w:tcW w:w="4531" w:type="dxa"/>
            <w:hideMark/>
          </w:tcPr>
          <w:p w14:paraId="0AE8B53D" w14:textId="23E97248" w:rsidR="00A73961" w:rsidRPr="00E84D34" w:rsidRDefault="00A45BB6" w:rsidP="00A45BB6">
            <w:pPr>
              <w:rPr>
                <w:b/>
                <w:bCs/>
              </w:rPr>
            </w:pPr>
            <w:r w:rsidRPr="00E84D34">
              <w:rPr>
                <w:b/>
                <w:bCs/>
              </w:rPr>
              <w:t>10</w:t>
            </w:r>
            <w:r w:rsidR="0031321B" w:rsidRPr="00E84D34">
              <w:rPr>
                <w:b/>
                <w:bCs/>
              </w:rPr>
              <w:t xml:space="preserve">. </w:t>
            </w:r>
            <w:r w:rsidRPr="00E84D34">
              <w:rPr>
                <w:b/>
                <w:bCs/>
              </w:rPr>
              <w:t>ITU Results-framework</w:t>
            </w:r>
          </w:p>
          <w:p w14:paraId="1A655842" w14:textId="3282F594" w:rsidR="00A45BB6" w:rsidRPr="00A45BB6" w:rsidRDefault="00A45BB6" w:rsidP="002B19D9">
            <w:r w:rsidRPr="00A45BB6">
              <w:t xml:space="preserve">- Request the Secretariat to continue to develop the ITU results framework </w:t>
            </w:r>
            <w:proofErr w:type="gramStart"/>
            <w:r w:rsidRPr="00A45BB6">
              <w:t>taking into account</w:t>
            </w:r>
            <w:proofErr w:type="gramEnd"/>
            <w:r w:rsidRPr="00A45BB6">
              <w:t xml:space="preserve"> proposals by the membership and considering the need to support implementation of the strategic, financial and operational plans and budget and increase the capability of the membership to assess progress in the achievement of ITU</w:t>
            </w:r>
            <w:r w:rsidR="002760ED">
              <w:t>’s</w:t>
            </w:r>
            <w:r w:rsidRPr="00A45BB6">
              <w:t xml:space="preserve"> goals</w:t>
            </w:r>
          </w:p>
        </w:tc>
        <w:tc>
          <w:tcPr>
            <w:tcW w:w="5245" w:type="dxa"/>
            <w:hideMark/>
          </w:tcPr>
          <w:p w14:paraId="3CF79E70" w14:textId="1D66A5D9" w:rsidR="00A45BB6" w:rsidRPr="00A45BB6" w:rsidRDefault="00A45BB6" w:rsidP="00F7436B">
            <w:pPr>
              <w:pStyle w:val="ListParagraph"/>
              <w:numPr>
                <w:ilvl w:val="0"/>
                <w:numId w:val="33"/>
              </w:numPr>
              <w:ind w:left="341" w:hanging="284"/>
              <w:contextualSpacing w:val="0"/>
            </w:pPr>
            <w:r w:rsidRPr="00A45BB6">
              <w:t>Refined the results framework to include SMART indicators for targets and thematic priorities</w:t>
            </w:r>
            <w:r w:rsidR="002C1218">
              <w:t>’ outcomes</w:t>
            </w:r>
            <w:r w:rsidR="00405852">
              <w:t>, that enhance the membership’s ab</w:t>
            </w:r>
            <w:r w:rsidR="007F69E3">
              <w:t>i</w:t>
            </w:r>
            <w:r w:rsidR="00405852">
              <w:t>lity to measure ITU’s progress</w:t>
            </w:r>
          </w:p>
        </w:tc>
      </w:tr>
    </w:tbl>
    <w:p w14:paraId="189A9BAF" w14:textId="022419E2" w:rsidR="00F96AC6" w:rsidRPr="00957B38" w:rsidRDefault="00D52BBD" w:rsidP="00F96AC6">
      <w:pPr>
        <w:jc w:val="both"/>
      </w:pPr>
      <w:r>
        <w:rPr>
          <w:lang w:val="en-US"/>
        </w:rPr>
        <w:t>Th</w:t>
      </w:r>
      <w:r w:rsidR="00692B2A">
        <w:rPr>
          <w:lang w:val="en-US"/>
        </w:rPr>
        <w:t xml:space="preserve">erefore, to address </w:t>
      </w:r>
      <w:r>
        <w:rPr>
          <w:lang w:val="en-US"/>
        </w:rPr>
        <w:t xml:space="preserve">the </w:t>
      </w:r>
      <w:proofErr w:type="gramStart"/>
      <w:r w:rsidR="00F96AC6">
        <w:rPr>
          <w:lang w:val="en-US"/>
        </w:rPr>
        <w:t>aforementioned principles</w:t>
      </w:r>
      <w:proofErr w:type="gramEnd"/>
      <w:r w:rsidR="00F96AC6">
        <w:rPr>
          <w:lang w:val="en-US"/>
        </w:rPr>
        <w:t xml:space="preserve"> and guidelines, </w:t>
      </w:r>
      <w:r w:rsidR="00F96AC6" w:rsidRPr="00C21434">
        <w:t xml:space="preserve">ITU’s strategic framework was reviewed and refined. The following figure shows the </w:t>
      </w:r>
      <w:r w:rsidR="00F96AC6">
        <w:t xml:space="preserve">evolution from the former </w:t>
      </w:r>
      <w:r w:rsidR="00F96AC6" w:rsidRPr="00BF32D2">
        <w:t xml:space="preserve">strategic framework </w:t>
      </w:r>
      <w:r w:rsidR="00F96AC6">
        <w:t xml:space="preserve">to </w:t>
      </w:r>
      <w:r w:rsidR="00F96AC6" w:rsidRPr="00BF32D2">
        <w:t xml:space="preserve">the </w:t>
      </w:r>
      <w:r w:rsidR="00F96AC6">
        <w:t>proposed</w:t>
      </w:r>
      <w:r w:rsidR="00F96AC6" w:rsidRPr="00BF32D2">
        <w:t xml:space="preserve"> framework for the draft 2024-2027 Strategic Plan.</w:t>
      </w:r>
    </w:p>
    <w:p w14:paraId="7E5349AF" w14:textId="5EF36FD1" w:rsidR="00F96AC6" w:rsidRPr="007F3AAB" w:rsidRDefault="00F96AC6" w:rsidP="00E56712">
      <w:pPr>
        <w:jc w:val="center"/>
      </w:pPr>
      <w:r>
        <w:rPr>
          <w:noProof/>
        </w:rPr>
        <w:lastRenderedPageBreak/>
        <w:drawing>
          <wp:inline distT="0" distB="0" distL="0" distR="0" wp14:anchorId="5C3EB8DB" wp14:editId="69ADBC5E">
            <wp:extent cx="5969203" cy="2923097"/>
            <wp:effectExtent l="0" t="0" r="0" b="0"/>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pic:nvPicPr>
                  <pic:blipFill>
                    <a:blip r:embed="rId18"/>
                    <a:stretch>
                      <a:fillRect/>
                    </a:stretch>
                  </pic:blipFill>
                  <pic:spPr>
                    <a:xfrm>
                      <a:off x="0" y="0"/>
                      <a:ext cx="5977049" cy="2926939"/>
                    </a:xfrm>
                    <a:prstGeom prst="rect">
                      <a:avLst/>
                    </a:prstGeom>
                  </pic:spPr>
                </pic:pic>
              </a:graphicData>
            </a:graphic>
          </wp:inline>
        </w:drawing>
      </w:r>
    </w:p>
    <w:p w14:paraId="15B6B096" w14:textId="77777777" w:rsidR="00AF42BE" w:rsidRDefault="00AF42BE" w:rsidP="00AF42BE"/>
    <w:p w14:paraId="18293E0B" w14:textId="49206054" w:rsidR="00AF42BE" w:rsidRDefault="00AF42BE" w:rsidP="00AF42BE">
      <w:pPr>
        <w:pStyle w:val="Heading1"/>
        <w:numPr>
          <w:ilvl w:val="0"/>
          <w:numId w:val="5"/>
        </w:numPr>
        <w:spacing w:before="120" w:after="120"/>
        <w:ind w:left="357" w:hanging="357"/>
      </w:pPr>
      <w:r>
        <w:t>Rationale for Components of the Strategic Framework</w:t>
      </w:r>
    </w:p>
    <w:p w14:paraId="268FCCE5" w14:textId="3708D9E0" w:rsidR="00320A46" w:rsidRDefault="00320A46">
      <w:pPr>
        <w:jc w:val="both"/>
      </w:pPr>
      <w:r>
        <w:t>The following section provides additional detail</w:t>
      </w:r>
      <w:r w:rsidR="00617818">
        <w:t>s</w:t>
      </w:r>
      <w:r>
        <w:t xml:space="preserve"> on </w:t>
      </w:r>
      <w:r w:rsidR="00D1233D">
        <w:t xml:space="preserve">the </w:t>
      </w:r>
      <w:r w:rsidR="00CA548C">
        <w:t xml:space="preserve">suggested </w:t>
      </w:r>
      <w:r w:rsidR="005C5E59">
        <w:t xml:space="preserve">adjustments </w:t>
      </w:r>
      <w:r>
        <w:t xml:space="preserve">to </w:t>
      </w:r>
      <w:r w:rsidR="00ED7F60">
        <w:t>specific</w:t>
      </w:r>
      <w:r>
        <w:t xml:space="preserve"> components of the strategic framework</w:t>
      </w:r>
      <w:r w:rsidR="008E5563">
        <w:t xml:space="preserve">, to </w:t>
      </w:r>
      <w:r w:rsidR="00ED7F60">
        <w:t xml:space="preserve">address </w:t>
      </w:r>
      <w:r w:rsidR="00AF5527">
        <w:t xml:space="preserve">the </w:t>
      </w:r>
      <w:r w:rsidR="008E5563">
        <w:t>principles</w:t>
      </w:r>
      <w:r w:rsidR="008E3E08">
        <w:t xml:space="preserve"> and </w:t>
      </w:r>
      <w:r w:rsidR="008E5563">
        <w:t>guidelines</w:t>
      </w:r>
      <w:r w:rsidR="00AF5527">
        <w:t xml:space="preserve"> agreed at the </w:t>
      </w:r>
      <w:r w:rsidR="00CA336B">
        <w:t>first meeting of the CWG-SFP</w:t>
      </w:r>
      <w:r>
        <w:t xml:space="preserve">. Specifically, it explains </w:t>
      </w:r>
      <w:r w:rsidR="00CB14F5" w:rsidRPr="00CB14F5">
        <w:t xml:space="preserve">the approach adopted to ensure </w:t>
      </w:r>
      <w:r w:rsidR="00007106">
        <w:t xml:space="preserve">all </w:t>
      </w:r>
      <w:r w:rsidR="00E51D88">
        <w:t xml:space="preserve">elements </w:t>
      </w:r>
      <w:r w:rsidR="00123444">
        <w:t xml:space="preserve">from the </w:t>
      </w:r>
      <w:r w:rsidR="00433A25">
        <w:t xml:space="preserve">former </w:t>
      </w:r>
      <w:r w:rsidR="00123444">
        <w:t xml:space="preserve">Strategic Plan </w:t>
      </w:r>
      <w:r w:rsidR="002463B2">
        <w:t xml:space="preserve">were considered, </w:t>
      </w:r>
      <w:r w:rsidR="006C78BB" w:rsidRPr="006C78BB">
        <w:t>how the</w:t>
      </w:r>
      <w:r w:rsidR="00E75E61">
        <w:t>ir</w:t>
      </w:r>
      <w:r w:rsidR="006C78BB" w:rsidRPr="006C78BB">
        <w:t xml:space="preserve"> components were reformulated</w:t>
      </w:r>
      <w:r w:rsidR="00304DC4">
        <w:t xml:space="preserve">, </w:t>
      </w:r>
      <w:r w:rsidR="00304DC4" w:rsidRPr="00304DC4">
        <w:t>the approach adopted to ensure adjustments</w:t>
      </w:r>
      <w:r w:rsidR="00CD59EE">
        <w:t xml:space="preserve"> </w:t>
      </w:r>
      <w:r w:rsidR="00FF25A0">
        <w:t>kept</w:t>
      </w:r>
      <w:r w:rsidR="00CD59EE">
        <w:t xml:space="preserve"> </w:t>
      </w:r>
      <w:r w:rsidR="00304DC4" w:rsidRPr="00304DC4">
        <w:t>key elements</w:t>
      </w:r>
      <w:r>
        <w:t xml:space="preserve"> </w:t>
      </w:r>
      <w:r w:rsidR="00D105FB">
        <w:t xml:space="preserve">and </w:t>
      </w:r>
      <w:r>
        <w:t>the rationale for chang</w:t>
      </w:r>
      <w:r w:rsidR="003937BC">
        <w:t>es</w:t>
      </w:r>
      <w:r>
        <w:t>.</w:t>
      </w:r>
      <w:r w:rsidR="00601C3F">
        <w:t xml:space="preserve"> </w:t>
      </w:r>
      <w:r w:rsidR="0051085F" w:rsidRPr="0051085F">
        <w:t xml:space="preserve">The figure below </w:t>
      </w:r>
      <w:r w:rsidR="005C5E59">
        <w:t xml:space="preserve">depicts </w:t>
      </w:r>
      <w:r w:rsidR="0051085F" w:rsidRPr="0051085F">
        <w:t xml:space="preserve">the key components of the proposed Strategic Framework. These include the components in the </w:t>
      </w:r>
      <w:r w:rsidR="00C41341">
        <w:t xml:space="preserve">draft </w:t>
      </w:r>
      <w:r w:rsidR="0051085F" w:rsidRPr="0051085F">
        <w:t>Strategic Plan (</w:t>
      </w:r>
      <w:r w:rsidR="00AA4FB8">
        <w:t>Vision and Mission</w:t>
      </w:r>
      <w:r w:rsidR="0051085F" w:rsidRPr="0051085F">
        <w:t>, Strategic Goals, Thematic Priorities, Products &amp; Service</w:t>
      </w:r>
      <w:r w:rsidR="00653755">
        <w:t xml:space="preserve"> Offerings</w:t>
      </w:r>
      <w:r w:rsidR="0051085F" w:rsidRPr="0051085F">
        <w:t>, Enablers), and the Results Framework (Targets, Outcomes and Outputs)</w:t>
      </w:r>
      <w:r w:rsidR="00C040F6">
        <w:t>, and their corresponding sub-sections in this document (3.1, 3.2, 3.3, 3.4).</w:t>
      </w:r>
    </w:p>
    <w:p w14:paraId="758B0D34" w14:textId="007A1B3B" w:rsidR="007D37BB" w:rsidRDefault="00394CB1" w:rsidP="00C33B7E">
      <w:pPr>
        <w:ind w:left="-284"/>
        <w:jc w:val="both"/>
      </w:pPr>
      <w:r>
        <w:rPr>
          <w:noProof/>
        </w:rPr>
        <w:drawing>
          <wp:inline distT="0" distB="0" distL="0" distR="0" wp14:anchorId="67736692" wp14:editId="1804B190">
            <wp:extent cx="6192520" cy="3458210"/>
            <wp:effectExtent l="0" t="0" r="0" b="889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9"/>
                    <a:stretch>
                      <a:fillRect/>
                    </a:stretch>
                  </pic:blipFill>
                  <pic:spPr>
                    <a:xfrm>
                      <a:off x="0" y="0"/>
                      <a:ext cx="6192520" cy="3458210"/>
                    </a:xfrm>
                    <a:prstGeom prst="rect">
                      <a:avLst/>
                    </a:prstGeom>
                  </pic:spPr>
                </pic:pic>
              </a:graphicData>
            </a:graphic>
          </wp:inline>
        </w:drawing>
      </w:r>
    </w:p>
    <w:p w14:paraId="6FD46275" w14:textId="53C7CB98" w:rsidR="000602DB" w:rsidRDefault="007D37BB" w:rsidP="00F276AC">
      <w:pPr>
        <w:jc w:val="both"/>
      </w:pPr>
      <w:r>
        <w:lastRenderedPageBreak/>
        <w:t xml:space="preserve">The key components of the Strategic Plan are interlinked </w:t>
      </w:r>
      <w:proofErr w:type="gramStart"/>
      <w:r>
        <w:t>in order to</w:t>
      </w:r>
      <w:proofErr w:type="gramEnd"/>
      <w:r>
        <w:t xml:space="preserve"> drive results. </w:t>
      </w:r>
      <w:r w:rsidRPr="00196B00">
        <w:t>Specifically, product &amp; service offerings are deployed so that ITU can deliver work under its thematic priorities</w:t>
      </w:r>
      <w:r>
        <w:t xml:space="preserve">, with the aim to </w:t>
      </w:r>
      <w:r w:rsidRPr="00196B00">
        <w:t xml:space="preserve">achieve outcomes that contribute towards the Union’s </w:t>
      </w:r>
      <w:r>
        <w:t>S</w:t>
      </w:r>
      <w:r w:rsidRPr="00196B00">
        <w:t xml:space="preserve">trategic </w:t>
      </w:r>
      <w:r>
        <w:t>G</w:t>
      </w:r>
      <w:r w:rsidRPr="00196B00">
        <w:t xml:space="preserve">oals and 2030 </w:t>
      </w:r>
      <w:r>
        <w:t>T</w:t>
      </w:r>
      <w:r w:rsidRPr="00196B00">
        <w:t xml:space="preserve">argets. </w:t>
      </w:r>
      <w:r>
        <w:t xml:space="preserve">Enablers simultaneously allow ITU to </w:t>
      </w:r>
      <w:r w:rsidRPr="003A5608">
        <w:t>deliver on its goals and priorities more effectively and efficiently.</w:t>
      </w:r>
    </w:p>
    <w:p w14:paraId="1BDDE634" w14:textId="4E0E62B4" w:rsidR="00F13536" w:rsidRDefault="000602DB" w:rsidP="00F276AC">
      <w:pPr>
        <w:jc w:val="both"/>
      </w:pPr>
      <w:r>
        <w:t>Some</w:t>
      </w:r>
      <w:r w:rsidR="007D37BB" w:rsidRPr="00E471EA">
        <w:t xml:space="preserve"> example</w:t>
      </w:r>
      <w:r w:rsidR="00F13536">
        <w:t>s:</w:t>
      </w:r>
    </w:p>
    <w:p w14:paraId="469EF64F" w14:textId="3221A325" w:rsidR="00C97DF4" w:rsidRDefault="007D37BB" w:rsidP="00923A30">
      <w:pPr>
        <w:pStyle w:val="ListParagraph"/>
        <w:numPr>
          <w:ilvl w:val="0"/>
          <w:numId w:val="33"/>
        </w:numPr>
        <w:ind w:left="426" w:hanging="284"/>
        <w:jc w:val="both"/>
      </w:pPr>
      <w:r w:rsidRPr="00E471EA">
        <w:t xml:space="preserve">ITU </w:t>
      </w:r>
      <w:r w:rsidR="00EB34B3">
        <w:t>regularly updates the</w:t>
      </w:r>
      <w:r w:rsidRPr="00E471EA">
        <w:t xml:space="preserve"> Radio Regulations and Regional Agreements</w:t>
      </w:r>
      <w:r w:rsidR="003B131F">
        <w:t xml:space="preserve">, </w:t>
      </w:r>
      <w:r w:rsidR="006509FF">
        <w:t>develops capacities of telecommuni</w:t>
      </w:r>
      <w:r w:rsidR="00325BD4">
        <w:t>c</w:t>
      </w:r>
      <w:r w:rsidR="006509FF">
        <w:t xml:space="preserve">ation/ICT </w:t>
      </w:r>
      <w:proofErr w:type="gramStart"/>
      <w:r w:rsidR="00325BD4">
        <w:t>professionals</w:t>
      </w:r>
      <w:proofErr w:type="gramEnd"/>
      <w:r w:rsidR="00325BD4">
        <w:t xml:space="preserve"> </w:t>
      </w:r>
      <w:r w:rsidR="006F21EB">
        <w:t xml:space="preserve">and </w:t>
      </w:r>
      <w:r w:rsidR="002319F9">
        <w:t xml:space="preserve">fosters stakeholder dialogue through convening platforms. </w:t>
      </w:r>
      <w:r w:rsidRPr="00E471EA">
        <w:t>Th</w:t>
      </w:r>
      <w:r w:rsidR="002319F9">
        <w:t xml:space="preserve">ese </w:t>
      </w:r>
      <w:r w:rsidRPr="00E471EA">
        <w:t>product &amp; service offering</w:t>
      </w:r>
      <w:r w:rsidR="002319F9">
        <w:t>s</w:t>
      </w:r>
      <w:r w:rsidRPr="00E471EA">
        <w:t xml:space="preserve"> contribute to the spectrum &amp; satellite orbit thematic priority, which is expected to deliver the following outcomes: i) Radio-frequency spectrum and associated satellite orbital resources are efficiently and equitably allocated and used ii) Harmful interferences are avoided. The successful delivery of these outcomes thereby contributes to the achievement of universal connectivity and sustainable digital transformation, facilitated by the organizational </w:t>
      </w:r>
      <w:r w:rsidR="00D64D6A">
        <w:t>e</w:t>
      </w:r>
      <w:r w:rsidRPr="00E471EA">
        <w:t>nablers</w:t>
      </w:r>
      <w:r>
        <w:t>.</w:t>
      </w:r>
    </w:p>
    <w:p w14:paraId="5130F9F0" w14:textId="4DF83941" w:rsidR="00C02CCC" w:rsidRPr="00E47B4E" w:rsidRDefault="00B4752A" w:rsidP="00923A30">
      <w:pPr>
        <w:pStyle w:val="ListParagraph"/>
        <w:numPr>
          <w:ilvl w:val="0"/>
          <w:numId w:val="33"/>
        </w:numPr>
        <w:ind w:left="426" w:hanging="284"/>
        <w:jc w:val="both"/>
        <w:rPr>
          <w:lang w:val="en-US"/>
        </w:rPr>
      </w:pPr>
      <w:r w:rsidRPr="00A623A5">
        <w:rPr>
          <w:noProof/>
          <w:lang w:val="en-US"/>
        </w:rPr>
        <w:t>ITU assembles experts from around the world to develop international standards known as ITU-T Recommendations</w:t>
      </w:r>
      <w:r w:rsidR="002F6A9E">
        <w:rPr>
          <w:noProof/>
          <w:lang w:val="en-US"/>
        </w:rPr>
        <w:t xml:space="preserve">. These product &amp; service </w:t>
      </w:r>
      <w:r w:rsidR="00D724CD">
        <w:rPr>
          <w:noProof/>
          <w:lang w:val="en-US"/>
        </w:rPr>
        <w:t xml:space="preserve">offerings contribute to </w:t>
      </w:r>
      <w:r w:rsidR="00A24A0F">
        <w:rPr>
          <w:noProof/>
          <w:lang w:val="en-US"/>
        </w:rPr>
        <w:t xml:space="preserve">the </w:t>
      </w:r>
      <w:r w:rsidR="00F84F61">
        <w:rPr>
          <w:noProof/>
          <w:lang w:val="en-US"/>
        </w:rPr>
        <w:t>infrastructure and services</w:t>
      </w:r>
      <w:r w:rsidR="00B34CD7">
        <w:rPr>
          <w:noProof/>
          <w:lang w:val="en-US"/>
        </w:rPr>
        <w:t xml:space="preserve"> thematic priority</w:t>
      </w:r>
      <w:r w:rsidR="00F84F61">
        <w:rPr>
          <w:noProof/>
          <w:lang w:val="en-US"/>
        </w:rPr>
        <w:t>,</w:t>
      </w:r>
      <w:r w:rsidR="00C36F6A">
        <w:rPr>
          <w:noProof/>
          <w:lang w:val="en-US"/>
        </w:rPr>
        <w:t xml:space="preserve"> which </w:t>
      </w:r>
      <w:r w:rsidR="0055272B">
        <w:rPr>
          <w:noProof/>
          <w:lang w:val="en-US"/>
        </w:rPr>
        <w:t xml:space="preserve">is expected to deliver </w:t>
      </w:r>
      <w:r w:rsidR="006067F3">
        <w:rPr>
          <w:noProof/>
          <w:lang w:val="en-US"/>
        </w:rPr>
        <w:t>an</w:t>
      </w:r>
      <w:r w:rsidR="0055272B">
        <w:rPr>
          <w:noProof/>
          <w:lang w:val="en-US"/>
        </w:rPr>
        <w:t xml:space="preserve"> </w:t>
      </w:r>
      <w:r w:rsidR="00EA0814">
        <w:rPr>
          <w:noProof/>
          <w:lang w:val="en-US"/>
        </w:rPr>
        <w:t>outcome</w:t>
      </w:r>
      <w:r w:rsidR="006067F3">
        <w:rPr>
          <w:noProof/>
          <w:lang w:val="en-US"/>
        </w:rPr>
        <w:t xml:space="preserve"> on</w:t>
      </w:r>
      <w:r w:rsidR="00EA0814">
        <w:rPr>
          <w:noProof/>
          <w:lang w:val="en-US"/>
        </w:rPr>
        <w:t xml:space="preserve"> </w:t>
      </w:r>
      <w:r w:rsidR="00C02CCC">
        <w:rPr>
          <w:noProof/>
          <w:lang w:val="en-US"/>
        </w:rPr>
        <w:t>e</w:t>
      </w:r>
      <w:r w:rsidR="00C02CCC" w:rsidRPr="00A623A5">
        <w:rPr>
          <w:noProof/>
          <w:lang w:val="en-US"/>
        </w:rPr>
        <w:t>nhanced interoperability and performance of infrastructure and services</w:t>
      </w:r>
      <w:r w:rsidR="00B40A74">
        <w:rPr>
          <w:noProof/>
          <w:lang w:val="en-US"/>
        </w:rPr>
        <w:t xml:space="preserve">. The </w:t>
      </w:r>
      <w:r w:rsidR="003A2252">
        <w:rPr>
          <w:noProof/>
          <w:lang w:val="en-US"/>
        </w:rPr>
        <w:t>long te</w:t>
      </w:r>
      <w:r w:rsidR="002F7C21">
        <w:rPr>
          <w:noProof/>
          <w:lang w:val="en-US"/>
        </w:rPr>
        <w:t>r</w:t>
      </w:r>
      <w:r w:rsidR="003A2252">
        <w:rPr>
          <w:noProof/>
          <w:lang w:val="en-US"/>
        </w:rPr>
        <w:t>m impact</w:t>
      </w:r>
      <w:r w:rsidR="00993168">
        <w:rPr>
          <w:noProof/>
          <w:lang w:val="en-US"/>
        </w:rPr>
        <w:t xml:space="preserve"> of th</w:t>
      </w:r>
      <w:r w:rsidR="005E088B">
        <w:rPr>
          <w:noProof/>
          <w:lang w:val="en-US"/>
        </w:rPr>
        <w:t>is</w:t>
      </w:r>
      <w:r w:rsidR="00993168">
        <w:rPr>
          <w:noProof/>
          <w:lang w:val="en-US"/>
        </w:rPr>
        <w:t xml:space="preserve"> outcome </w:t>
      </w:r>
      <w:r w:rsidR="008C5BCD">
        <w:rPr>
          <w:noProof/>
          <w:lang w:val="en-US"/>
        </w:rPr>
        <w:t xml:space="preserve">thereby </w:t>
      </w:r>
      <w:r w:rsidR="00B21D9C">
        <w:rPr>
          <w:noProof/>
          <w:lang w:val="en-US"/>
        </w:rPr>
        <w:t>contributes</w:t>
      </w:r>
      <w:r w:rsidR="008C5BCD">
        <w:rPr>
          <w:noProof/>
          <w:lang w:val="en-US"/>
        </w:rPr>
        <w:t xml:space="preserve"> </w:t>
      </w:r>
      <w:r w:rsidR="008C5BCD" w:rsidRPr="00E471EA">
        <w:t>to the achievement of universal connectivity</w:t>
      </w:r>
      <w:r w:rsidR="008C5BCD">
        <w:t>.</w:t>
      </w:r>
    </w:p>
    <w:p w14:paraId="4D0ED508" w14:textId="1BFEE01D" w:rsidR="00675415" w:rsidRDefault="002405E4" w:rsidP="00923A30">
      <w:pPr>
        <w:pStyle w:val="ListParagraph"/>
        <w:numPr>
          <w:ilvl w:val="0"/>
          <w:numId w:val="33"/>
        </w:numPr>
        <w:ind w:left="426" w:hanging="284"/>
        <w:jc w:val="both"/>
      </w:pPr>
      <w:r>
        <w:rPr>
          <w:noProof/>
          <w:lang w:val="en-US"/>
        </w:rPr>
        <w:t xml:space="preserve">ITU </w:t>
      </w:r>
      <w:r w:rsidR="007D57F9" w:rsidRPr="00A623A5">
        <w:rPr>
          <w:noProof/>
          <w:lang w:val="en-US"/>
        </w:rPr>
        <w:t>develops capacities of telecommunication/ICT professionals and knowledge resources,</w:t>
      </w:r>
      <w:r w:rsidR="007D57F9">
        <w:rPr>
          <w:noProof/>
          <w:lang w:val="en-US"/>
        </w:rPr>
        <w:t xml:space="preserve"> and</w:t>
      </w:r>
      <w:r w:rsidR="007D57F9" w:rsidRPr="00A623A5">
        <w:rPr>
          <w:noProof/>
          <w:lang w:val="en-US"/>
        </w:rPr>
        <w:t xml:space="preserve"> </w:t>
      </w:r>
      <w:r w:rsidR="007D57F9">
        <w:rPr>
          <w:noProof/>
          <w:lang w:val="en-US"/>
        </w:rPr>
        <w:t xml:space="preserve">works towards </w:t>
      </w:r>
      <w:r w:rsidR="007D57F9" w:rsidRPr="00A623A5">
        <w:rPr>
          <w:noProof/>
          <w:lang w:val="en-US"/>
        </w:rPr>
        <w:t>boost</w:t>
      </w:r>
      <w:r w:rsidR="007D57F9">
        <w:rPr>
          <w:noProof/>
          <w:lang w:val="en-US"/>
        </w:rPr>
        <w:t>ing</w:t>
      </w:r>
      <w:r w:rsidR="007D57F9" w:rsidRPr="00A623A5">
        <w:rPr>
          <w:noProof/>
          <w:lang w:val="en-US"/>
        </w:rPr>
        <w:t xml:space="preserve"> digital literacy and skills of citizens.</w:t>
      </w:r>
      <w:r w:rsidR="007D57F9">
        <w:rPr>
          <w:noProof/>
          <w:lang w:val="en-US"/>
        </w:rPr>
        <w:t xml:space="preserve"> These produc</w:t>
      </w:r>
      <w:r w:rsidR="00B4659A">
        <w:rPr>
          <w:noProof/>
          <w:lang w:val="en-US"/>
        </w:rPr>
        <w:t>t</w:t>
      </w:r>
      <w:r w:rsidR="007D57F9">
        <w:rPr>
          <w:noProof/>
          <w:lang w:val="en-US"/>
        </w:rPr>
        <w:t xml:space="preserve"> &amp; service offerings </w:t>
      </w:r>
      <w:r w:rsidR="00C372AC">
        <w:rPr>
          <w:noProof/>
          <w:lang w:val="en-US"/>
        </w:rPr>
        <w:t xml:space="preserve">contribute to </w:t>
      </w:r>
      <w:r w:rsidR="002328B6">
        <w:rPr>
          <w:noProof/>
          <w:lang w:val="en-US"/>
        </w:rPr>
        <w:t xml:space="preserve">the enabling environment </w:t>
      </w:r>
      <w:r w:rsidR="000107DC">
        <w:rPr>
          <w:noProof/>
          <w:lang w:val="en-US"/>
        </w:rPr>
        <w:t>thematic priority</w:t>
      </w:r>
      <w:r w:rsidR="00934BCF">
        <w:rPr>
          <w:noProof/>
          <w:lang w:val="en-US"/>
        </w:rPr>
        <w:t xml:space="preserve">, which </w:t>
      </w:r>
      <w:r w:rsidR="002170AE">
        <w:rPr>
          <w:noProof/>
          <w:lang w:val="en-US"/>
        </w:rPr>
        <w:t xml:space="preserve">is expected to deliver </w:t>
      </w:r>
      <w:r w:rsidR="00857533">
        <w:rPr>
          <w:noProof/>
          <w:lang w:val="en-US"/>
        </w:rPr>
        <w:t>an</w:t>
      </w:r>
      <w:r w:rsidR="006067F3">
        <w:rPr>
          <w:noProof/>
          <w:lang w:val="en-US"/>
        </w:rPr>
        <w:t xml:space="preserve"> outcome</w:t>
      </w:r>
      <w:r w:rsidR="00857533">
        <w:rPr>
          <w:noProof/>
          <w:lang w:val="en-US"/>
        </w:rPr>
        <w:t xml:space="preserve"> on </w:t>
      </w:r>
      <w:r w:rsidR="00CD4588">
        <w:rPr>
          <w:noProof/>
          <w:lang w:val="en-US"/>
        </w:rPr>
        <w:t>digital skilled users</w:t>
      </w:r>
      <w:r w:rsidR="00826283">
        <w:rPr>
          <w:noProof/>
          <w:lang w:val="en-US"/>
        </w:rPr>
        <w:t xml:space="preserve">. The </w:t>
      </w:r>
      <w:r w:rsidR="005E088B">
        <w:rPr>
          <w:noProof/>
          <w:lang w:val="en-US"/>
        </w:rPr>
        <w:t>long-term impact</w:t>
      </w:r>
      <w:r w:rsidR="00826283">
        <w:rPr>
          <w:noProof/>
          <w:lang w:val="en-US"/>
        </w:rPr>
        <w:t xml:space="preserve"> of </w:t>
      </w:r>
      <w:r w:rsidR="005E088B">
        <w:rPr>
          <w:noProof/>
          <w:lang w:val="en-US"/>
        </w:rPr>
        <w:t xml:space="preserve">this </w:t>
      </w:r>
      <w:r w:rsidR="00826283">
        <w:rPr>
          <w:noProof/>
          <w:lang w:val="en-US"/>
        </w:rPr>
        <w:t xml:space="preserve">outcome thereby </w:t>
      </w:r>
      <w:r w:rsidR="0091060A">
        <w:rPr>
          <w:noProof/>
          <w:lang w:val="en-US"/>
        </w:rPr>
        <w:t xml:space="preserve">contributes </w:t>
      </w:r>
      <w:r w:rsidR="00826283" w:rsidRPr="00E471EA">
        <w:t xml:space="preserve">to the achievement of </w:t>
      </w:r>
      <w:r w:rsidR="00944E39">
        <w:t>sustainable digital transformation</w:t>
      </w:r>
      <w:r w:rsidR="00826283">
        <w:t>.</w:t>
      </w:r>
    </w:p>
    <w:p w14:paraId="1E00DB3C" w14:textId="4B47E748" w:rsidR="00A664D0" w:rsidRDefault="00B92CFF" w:rsidP="00A52CCB">
      <w:pPr>
        <w:pStyle w:val="Heading2"/>
      </w:pPr>
      <w:r>
        <w:t xml:space="preserve">3.1 </w:t>
      </w:r>
      <w:r w:rsidR="00C820C9">
        <w:t xml:space="preserve">Strategic </w:t>
      </w:r>
      <w:r w:rsidR="0091755C">
        <w:t>G</w:t>
      </w:r>
      <w:r w:rsidR="00C820C9">
        <w:t>oals</w:t>
      </w:r>
      <w:r w:rsidR="00F70CC2">
        <w:t xml:space="preserve"> </w:t>
      </w:r>
      <w:r w:rsidR="00515DCE">
        <w:t>and</w:t>
      </w:r>
      <w:r w:rsidR="00F70CC2">
        <w:t xml:space="preserve"> Targets</w:t>
      </w:r>
    </w:p>
    <w:p w14:paraId="650F6DAE" w14:textId="0733F10F" w:rsidR="00F7557F" w:rsidRPr="00A52CCB" w:rsidRDefault="00F7557F" w:rsidP="00F363FF">
      <w:pPr>
        <w:rPr>
          <w:b/>
        </w:rPr>
      </w:pPr>
      <w:r w:rsidRPr="00A52CCB">
        <w:rPr>
          <w:b/>
        </w:rPr>
        <w:t>Strategic goals</w:t>
      </w:r>
    </w:p>
    <w:p w14:paraId="7203C1C2" w14:textId="15E87C30" w:rsidR="004007F4" w:rsidRDefault="00C55C31" w:rsidP="001359A0">
      <w:pPr>
        <w:jc w:val="both"/>
      </w:pPr>
      <w:r>
        <w:t>In r</w:t>
      </w:r>
      <w:r w:rsidR="00F535CA" w:rsidRPr="00F535CA">
        <w:t xml:space="preserve">esponding to membership guidance </w:t>
      </w:r>
      <w:r w:rsidR="00F535CA">
        <w:t>to</w:t>
      </w:r>
      <w:r>
        <w:t xml:space="preserve"> </w:t>
      </w:r>
      <w:r w:rsidR="00F535CA">
        <w:t xml:space="preserve">consider </w:t>
      </w:r>
      <w:r w:rsidR="00F535CA" w:rsidRPr="00F535CA">
        <w:t>adjusting or grouping goals</w:t>
      </w:r>
      <w:r w:rsidR="00487D9E">
        <w:t xml:space="preserve"> as well as </w:t>
      </w:r>
      <w:r w:rsidR="00F535CA" w:rsidRPr="00F535CA">
        <w:t>simplif</w:t>
      </w:r>
      <w:r w:rsidR="00F535CA">
        <w:t xml:space="preserve">y </w:t>
      </w:r>
      <w:r w:rsidR="00F535CA" w:rsidRPr="00F535CA">
        <w:t>and enhanc</w:t>
      </w:r>
      <w:r w:rsidR="002C7664">
        <w:t>e</w:t>
      </w:r>
      <w:r w:rsidR="00F535CA" w:rsidRPr="00F535CA">
        <w:t xml:space="preserve"> the focus of the Strategic Plan, the five </w:t>
      </w:r>
      <w:r w:rsidR="00830045">
        <w:t>S</w:t>
      </w:r>
      <w:r w:rsidR="00F535CA" w:rsidRPr="00F535CA">
        <w:t xml:space="preserve">trategic </w:t>
      </w:r>
      <w:r w:rsidR="00830045">
        <w:t>G</w:t>
      </w:r>
      <w:r w:rsidR="00F535CA" w:rsidRPr="00F535CA">
        <w:t xml:space="preserve">oals in the </w:t>
      </w:r>
      <w:r w:rsidR="00433A25">
        <w:t>former</w:t>
      </w:r>
      <w:r w:rsidR="00433A25" w:rsidRPr="00F535CA">
        <w:t xml:space="preserve"> </w:t>
      </w:r>
      <w:r w:rsidR="00F535CA" w:rsidRPr="00F535CA">
        <w:t xml:space="preserve">plan </w:t>
      </w:r>
      <w:r w:rsidR="006439D1">
        <w:t>are proposed to be</w:t>
      </w:r>
      <w:r w:rsidR="006439D1" w:rsidRPr="00F535CA">
        <w:t xml:space="preserve"> </w:t>
      </w:r>
      <w:r w:rsidR="00F535CA" w:rsidRPr="00F535CA">
        <w:t>consolidated into two: ‘Universal Connectivity’ and ‘Sustainable Digital Transformation</w:t>
      </w:r>
      <w:r w:rsidR="00EE5421">
        <w:t>’</w:t>
      </w:r>
      <w:r w:rsidR="00F535CA" w:rsidRPr="00F535CA">
        <w:t xml:space="preserve">. These were </w:t>
      </w:r>
      <w:r w:rsidR="006439D1">
        <w:t xml:space="preserve">drafted </w:t>
      </w:r>
      <w:r w:rsidR="00F535CA" w:rsidRPr="00F535CA">
        <w:t xml:space="preserve">to </w:t>
      </w:r>
      <w:r w:rsidR="0089460E">
        <w:t xml:space="preserve">reinforce synergies and </w:t>
      </w:r>
      <w:r w:rsidR="00F535CA" w:rsidRPr="00F535CA">
        <w:t xml:space="preserve">create goals that are: i) specific to and aligned with ITU’s </w:t>
      </w:r>
      <w:r w:rsidR="008767D9" w:rsidRPr="008767D9">
        <w:t>Vision and Mission</w:t>
      </w:r>
      <w:r w:rsidR="00830045">
        <w:t>,</w:t>
      </w:r>
      <w:r w:rsidR="008767D9">
        <w:t xml:space="preserve"> </w:t>
      </w:r>
      <w:r w:rsidR="00F535CA" w:rsidRPr="00F535CA">
        <w:t xml:space="preserve">ii) mutually exclusive and collectively exhaustive, </w:t>
      </w:r>
      <w:r w:rsidR="00830045">
        <w:t>and</w:t>
      </w:r>
      <w:r w:rsidR="00F535CA" w:rsidRPr="00F535CA">
        <w:t xml:space="preserve"> iii) focused on ITU’s </w:t>
      </w:r>
      <w:r w:rsidR="00102769">
        <w:t>impact</w:t>
      </w:r>
      <w:r w:rsidR="00F535CA" w:rsidRPr="00F535CA">
        <w:t>, as opposed to organizational enablers</w:t>
      </w:r>
      <w:r w:rsidR="00AF1704">
        <w:t>.</w:t>
      </w:r>
    </w:p>
    <w:p w14:paraId="6B54498F" w14:textId="0DF94E4C" w:rsidR="00983A3F" w:rsidRDefault="005664DA" w:rsidP="00487D9E">
      <w:pPr>
        <w:jc w:val="both"/>
      </w:pPr>
      <w:r>
        <w:t xml:space="preserve">Based on membership guidance, </w:t>
      </w:r>
      <w:r w:rsidR="00B20077">
        <w:t>ITU’s</w:t>
      </w:r>
      <w:r w:rsidR="00963668">
        <w:t xml:space="preserve"> five </w:t>
      </w:r>
      <w:r w:rsidR="002A0EFA">
        <w:t>S</w:t>
      </w:r>
      <w:r w:rsidR="00963668">
        <w:t xml:space="preserve">trategic </w:t>
      </w:r>
      <w:r w:rsidR="002A0EFA">
        <w:t>G</w:t>
      </w:r>
      <w:r w:rsidR="00963668">
        <w:t xml:space="preserve">oals </w:t>
      </w:r>
      <w:r w:rsidR="009161B4">
        <w:t xml:space="preserve">were </w:t>
      </w:r>
      <w:r w:rsidR="00461EDE">
        <w:t xml:space="preserve">evaluated </w:t>
      </w:r>
      <w:r w:rsidR="00700594">
        <w:t>against</w:t>
      </w:r>
      <w:r w:rsidR="005573B5">
        <w:t xml:space="preserve"> criteria</w:t>
      </w:r>
      <w:r w:rsidR="0014341A">
        <w:t xml:space="preserve"> </w:t>
      </w:r>
      <w:r w:rsidR="00F43FA8">
        <w:t xml:space="preserve">to </w:t>
      </w:r>
      <w:r w:rsidR="00C70498">
        <w:t>determin</w:t>
      </w:r>
      <w:r w:rsidR="00F11BB2">
        <w:t>e</w:t>
      </w:r>
      <w:r w:rsidR="00C70498">
        <w:t xml:space="preserve"> if </w:t>
      </w:r>
      <w:r w:rsidR="009B75E7">
        <w:t xml:space="preserve">goals were </w:t>
      </w:r>
      <w:r w:rsidR="00700594">
        <w:t xml:space="preserve">specific to ITU’s </w:t>
      </w:r>
      <w:r w:rsidR="00FF463E">
        <w:t xml:space="preserve">mandate, </w:t>
      </w:r>
      <w:r w:rsidR="00696334">
        <w:t xml:space="preserve">clear, </w:t>
      </w:r>
      <w:proofErr w:type="gramStart"/>
      <w:r w:rsidR="00696334">
        <w:t>measurable</w:t>
      </w:r>
      <w:proofErr w:type="gramEnd"/>
      <w:r w:rsidR="00696334">
        <w:t xml:space="preserve"> and </w:t>
      </w:r>
      <w:r w:rsidR="005573B5">
        <w:t>dist</w:t>
      </w:r>
      <w:r w:rsidR="00F43936">
        <w:t>i</w:t>
      </w:r>
      <w:r w:rsidR="00AC7B5D">
        <w:t>n</w:t>
      </w:r>
      <w:r w:rsidR="00F43936">
        <w:t>ct.</w:t>
      </w:r>
      <w:r w:rsidR="00A717CF">
        <w:t xml:space="preserve"> </w:t>
      </w:r>
      <w:r>
        <w:t>To refine the strategic goals, frameworks of other UN entities were also assessed to draw on best practices. Across entities, this exercise found that s</w:t>
      </w:r>
      <w:r w:rsidRPr="00D84630">
        <w:t xml:space="preserve">trategic goals </w:t>
      </w:r>
      <w:r>
        <w:t xml:space="preserve">were </w:t>
      </w:r>
      <w:r w:rsidRPr="00D84630">
        <w:t>specific to</w:t>
      </w:r>
      <w:r>
        <w:t xml:space="preserve"> organizations’ </w:t>
      </w:r>
      <w:r w:rsidRPr="00D84630">
        <w:t>mandate</w:t>
      </w:r>
      <w:r>
        <w:t xml:space="preserve">s and had </w:t>
      </w:r>
      <w:r w:rsidRPr="00D84630">
        <w:t>limited overlap</w:t>
      </w:r>
      <w:r>
        <w:t xml:space="preserve">s between them. </w:t>
      </w:r>
      <w:r w:rsidR="00794CAC">
        <w:t>W</w:t>
      </w:r>
      <w:r w:rsidR="006D1A34">
        <w:t>hile ‘Growth’, ‘Inclusiveness’ and ‘Sustainability</w:t>
      </w:r>
      <w:r w:rsidR="00794CAC">
        <w:t>’ were specific</w:t>
      </w:r>
      <w:r w:rsidR="008943AC">
        <w:t xml:space="preserve"> and measurable</w:t>
      </w:r>
      <w:r w:rsidR="00794CAC">
        <w:t xml:space="preserve">, </w:t>
      </w:r>
      <w:r w:rsidR="008943AC">
        <w:t xml:space="preserve">they had overlapping </w:t>
      </w:r>
      <w:r w:rsidR="00F82F0D">
        <w:t xml:space="preserve">Targets </w:t>
      </w:r>
      <w:r w:rsidR="008943AC">
        <w:t xml:space="preserve">related to </w:t>
      </w:r>
      <w:r w:rsidR="00A83CF6">
        <w:t>access</w:t>
      </w:r>
      <w:r w:rsidR="008943AC">
        <w:t>,</w:t>
      </w:r>
      <w:r w:rsidR="00A83CF6">
        <w:t xml:space="preserve"> use</w:t>
      </w:r>
      <w:r w:rsidR="008943AC">
        <w:t xml:space="preserve"> and </w:t>
      </w:r>
      <w:r w:rsidR="002A7CBA">
        <w:t>enhanc</w:t>
      </w:r>
      <w:r w:rsidR="008943AC">
        <w:t>ed</w:t>
      </w:r>
      <w:r w:rsidR="002A7CBA">
        <w:t xml:space="preserve"> connectivity. As a result, the</w:t>
      </w:r>
      <w:r w:rsidR="00C70498">
        <w:t>y</w:t>
      </w:r>
      <w:r w:rsidR="00AC7B5D">
        <w:t xml:space="preserve"> </w:t>
      </w:r>
      <w:r w:rsidR="002A7CBA">
        <w:t xml:space="preserve">were </w:t>
      </w:r>
      <w:r w:rsidR="00EF38F2">
        <w:t xml:space="preserve">distilled </w:t>
      </w:r>
      <w:r w:rsidR="00E80937">
        <w:t>into</w:t>
      </w:r>
      <w:r w:rsidR="00B818B6">
        <w:t xml:space="preserve"> </w:t>
      </w:r>
      <w:r w:rsidR="00461EDE">
        <w:t>two</w:t>
      </w:r>
      <w:r w:rsidR="00EF38F2">
        <w:t xml:space="preserve"> </w:t>
      </w:r>
      <w:r w:rsidR="00E80937">
        <w:t>goals</w:t>
      </w:r>
      <w:r w:rsidR="00875AAA">
        <w:t xml:space="preserve"> that incorporated themes from the </w:t>
      </w:r>
      <w:r w:rsidR="00433A25">
        <w:t xml:space="preserve">former </w:t>
      </w:r>
      <w:r w:rsidR="00875AAA">
        <w:t>ones: the first,</w:t>
      </w:r>
      <w:r w:rsidR="000A501B">
        <w:t xml:space="preserve"> </w:t>
      </w:r>
      <w:r w:rsidR="00D5581F">
        <w:t>‘</w:t>
      </w:r>
      <w:r w:rsidR="009A59E6">
        <w:t>Universal Connectivity</w:t>
      </w:r>
      <w:r w:rsidR="00410A5C">
        <w:t>’</w:t>
      </w:r>
      <w:r w:rsidR="00C979D7">
        <w:t>,</w:t>
      </w:r>
      <w:r w:rsidR="009A59E6">
        <w:t xml:space="preserve"> focuses on </w:t>
      </w:r>
      <w:r w:rsidR="00B7542C">
        <w:t xml:space="preserve">fostering universal </w:t>
      </w:r>
      <w:r w:rsidR="00B7542C">
        <w:rPr>
          <w:i/>
          <w:iCs/>
        </w:rPr>
        <w:t>access</w:t>
      </w:r>
      <w:r w:rsidR="00B7542C">
        <w:t xml:space="preserve"> </w:t>
      </w:r>
      <w:r w:rsidR="00D66018" w:rsidRPr="00D66018">
        <w:t xml:space="preserve">to affordable, </w:t>
      </w:r>
      <w:proofErr w:type="gramStart"/>
      <w:r w:rsidR="00D66018" w:rsidRPr="00D66018">
        <w:t>high-quality</w:t>
      </w:r>
      <w:proofErr w:type="gramEnd"/>
      <w:r w:rsidR="00D66018" w:rsidRPr="00D66018">
        <w:t xml:space="preserve"> and secure </w:t>
      </w:r>
      <w:r w:rsidR="00461EDE">
        <w:t>telecommunication</w:t>
      </w:r>
      <w:r w:rsidR="00BA14A7">
        <w:t>s</w:t>
      </w:r>
      <w:r w:rsidR="00461EDE">
        <w:t>/ICTs</w:t>
      </w:r>
      <w:r w:rsidR="00AB7649">
        <w:t>,</w:t>
      </w:r>
      <w:r w:rsidR="006B7877">
        <w:t xml:space="preserve"> and </w:t>
      </w:r>
      <w:r w:rsidR="00AB7649">
        <w:t xml:space="preserve">includes </w:t>
      </w:r>
      <w:r w:rsidR="00DB0AD2">
        <w:t>themes</w:t>
      </w:r>
      <w:r w:rsidR="00AB7649">
        <w:t xml:space="preserve"> f</w:t>
      </w:r>
      <w:r w:rsidR="006B7877">
        <w:t xml:space="preserve">rom ‘Growth’ </w:t>
      </w:r>
      <w:r w:rsidR="006431B1">
        <w:t xml:space="preserve">and ‘Inclusiveness’. </w:t>
      </w:r>
      <w:r w:rsidR="000A501B">
        <w:t>Th</w:t>
      </w:r>
      <w:r w:rsidR="00A543C1">
        <w:t xml:space="preserve">e </w:t>
      </w:r>
      <w:r w:rsidR="000A501B">
        <w:t xml:space="preserve">second, </w:t>
      </w:r>
      <w:r w:rsidR="00410A5C">
        <w:t>‘</w:t>
      </w:r>
      <w:r w:rsidR="006431B1">
        <w:t>Sustainable Digital Transformation</w:t>
      </w:r>
      <w:r w:rsidR="00410A5C">
        <w:t>’</w:t>
      </w:r>
      <w:r w:rsidR="00B54CA8">
        <w:t xml:space="preserve"> </w:t>
      </w:r>
      <w:r w:rsidR="00410A5C">
        <w:t>enables</w:t>
      </w:r>
      <w:r w:rsidR="0029530A">
        <w:t xml:space="preserve"> </w:t>
      </w:r>
      <w:r w:rsidR="0029530A" w:rsidRPr="0029530A">
        <w:t xml:space="preserve">equitable </w:t>
      </w:r>
      <w:r w:rsidR="0029530A" w:rsidRPr="00A52CCB">
        <w:rPr>
          <w:i/>
        </w:rPr>
        <w:t>use</w:t>
      </w:r>
      <w:r w:rsidR="0029530A" w:rsidRPr="0029530A">
        <w:t xml:space="preserve"> of telecommunications/ICTs to empower people and societies for sustainable </w:t>
      </w:r>
      <w:proofErr w:type="gramStart"/>
      <w:r w:rsidR="0029530A" w:rsidRPr="0029530A">
        <w:t>development</w:t>
      </w:r>
      <w:r w:rsidR="00F13730">
        <w:t xml:space="preserve">, </w:t>
      </w:r>
      <w:r w:rsidR="00861331">
        <w:t>and</w:t>
      </w:r>
      <w:proofErr w:type="gramEnd"/>
      <w:r w:rsidR="00861331">
        <w:t xml:space="preserve"> integrates </w:t>
      </w:r>
      <w:r w:rsidR="009A15F6">
        <w:t>‘Sustainabil</w:t>
      </w:r>
      <w:r w:rsidR="00642988">
        <w:t>ity</w:t>
      </w:r>
      <w:r w:rsidR="00F13730">
        <w:t>’</w:t>
      </w:r>
      <w:r w:rsidR="009A15F6">
        <w:t xml:space="preserve"> and ‘</w:t>
      </w:r>
      <w:r w:rsidR="00642988">
        <w:t xml:space="preserve">Growth’. </w:t>
      </w:r>
      <w:r w:rsidR="00E63E64">
        <w:t>Finally,</w:t>
      </w:r>
      <w:r w:rsidR="00B06738">
        <w:t xml:space="preserve"> since</w:t>
      </w:r>
      <w:r w:rsidR="00E63E64">
        <w:t xml:space="preserve"> ‘</w:t>
      </w:r>
      <w:r w:rsidR="0096407A">
        <w:t>Partnership</w:t>
      </w:r>
      <w:r w:rsidR="00E63E64">
        <w:t xml:space="preserve">’ describes ways of working as opposed to </w:t>
      </w:r>
      <w:r w:rsidR="00F36A4A">
        <w:t xml:space="preserve">an </w:t>
      </w:r>
      <w:r w:rsidR="00E63E64">
        <w:t>end-objective,</w:t>
      </w:r>
      <w:r w:rsidR="00B06738">
        <w:t xml:space="preserve"> this was moved from the strategic goa</w:t>
      </w:r>
      <w:r w:rsidR="00BC4B70">
        <w:t xml:space="preserve">ls </w:t>
      </w:r>
      <w:r w:rsidR="00B06738">
        <w:t xml:space="preserve">and </w:t>
      </w:r>
      <w:r w:rsidR="00BC4B70">
        <w:t xml:space="preserve">added </w:t>
      </w:r>
      <w:r w:rsidR="00B06738">
        <w:t xml:space="preserve">as an </w:t>
      </w:r>
      <w:r w:rsidR="006D6C88">
        <w:t>Enabler</w:t>
      </w:r>
      <w:r w:rsidR="00B06738">
        <w:t xml:space="preserve">. </w:t>
      </w:r>
      <w:r w:rsidR="00983A3F">
        <w:t xml:space="preserve">Since ‘Innovation’ is inherent across work in the telecommunication/ICT landscape as well as </w:t>
      </w:r>
      <w:r w:rsidR="002B3CC0">
        <w:t>within</w:t>
      </w:r>
      <w:r w:rsidR="00983A3F">
        <w:t xml:space="preserve"> ITU, this was</w:t>
      </w:r>
      <w:r w:rsidR="00A457D5">
        <w:t xml:space="preserve"> reflected across the thematic priorities and</w:t>
      </w:r>
      <w:r w:rsidR="00983A3F">
        <w:t xml:space="preserve"> included as an </w:t>
      </w:r>
      <w:r w:rsidR="006D6C88">
        <w:t>E</w:t>
      </w:r>
      <w:r w:rsidR="00983A3F">
        <w:t>nabler as well, namely ‘o</w:t>
      </w:r>
      <w:r w:rsidR="00983A3F" w:rsidRPr="00983A3F">
        <w:t>perational efficiency, effectiveness and innovation</w:t>
      </w:r>
      <w:r w:rsidR="00983A3F">
        <w:t>’.</w:t>
      </w:r>
    </w:p>
    <w:p w14:paraId="35D3552A" w14:textId="323CC41A" w:rsidR="00B77F56" w:rsidRDefault="00F7557F" w:rsidP="00C25B52">
      <w:pPr>
        <w:keepNext/>
        <w:rPr>
          <w:b/>
          <w:bCs/>
        </w:rPr>
      </w:pPr>
      <w:r w:rsidRPr="00A52CCB">
        <w:rPr>
          <w:b/>
        </w:rPr>
        <w:lastRenderedPageBreak/>
        <w:t>Targets</w:t>
      </w:r>
    </w:p>
    <w:p w14:paraId="6ADD5A31" w14:textId="6D7A339E" w:rsidR="003E7D47" w:rsidRDefault="005649A4" w:rsidP="003E7D47">
      <w:pPr>
        <w:jc w:val="both"/>
      </w:pPr>
      <w:r>
        <w:t>T</w:t>
      </w:r>
      <w:r w:rsidR="00947536">
        <w:t xml:space="preserve">he </w:t>
      </w:r>
      <w:r w:rsidR="00E24214">
        <w:t xml:space="preserve">draft </w:t>
      </w:r>
      <w:r w:rsidR="00947536">
        <w:t xml:space="preserve">Strategic Plan sets ambitious </w:t>
      </w:r>
      <w:r w:rsidR="00F82F0D">
        <w:t>T</w:t>
      </w:r>
      <w:r w:rsidR="00947536">
        <w:t xml:space="preserve">argets for 2030, that reinforce ITU’s commitment </w:t>
      </w:r>
      <w:r w:rsidR="003E7D47">
        <w:t>to enabling the delivery of the SDGs and WSIS Action Lines</w:t>
      </w:r>
      <w:r w:rsidR="00FF7E44">
        <w:t xml:space="preserve"> and delivering on its </w:t>
      </w:r>
      <w:r w:rsidR="006E643C">
        <w:t>S</w:t>
      </w:r>
      <w:r w:rsidR="00FF7E44">
        <w:t xml:space="preserve">trategic </w:t>
      </w:r>
      <w:r w:rsidR="006E643C">
        <w:t>G</w:t>
      </w:r>
      <w:r w:rsidR="00FF7E44">
        <w:t>oals</w:t>
      </w:r>
      <w:r w:rsidR="003E7D47">
        <w:t xml:space="preserve">. </w:t>
      </w:r>
      <w:r w:rsidR="00583090">
        <w:t xml:space="preserve">These </w:t>
      </w:r>
      <w:r w:rsidR="00C35237">
        <w:t xml:space="preserve">are </w:t>
      </w:r>
      <w:r w:rsidR="00D96465" w:rsidRPr="00D96465">
        <w:t xml:space="preserve">based on refined </w:t>
      </w:r>
      <w:r w:rsidR="00F1522D">
        <w:t>T</w:t>
      </w:r>
      <w:r w:rsidR="00D96465" w:rsidRPr="00D96465">
        <w:t>argets from the former Strategic Plan</w:t>
      </w:r>
      <w:r w:rsidR="00D96465">
        <w:t xml:space="preserve"> to </w:t>
      </w:r>
      <w:r w:rsidR="00FF7E44">
        <w:t xml:space="preserve">assess </w:t>
      </w:r>
      <w:r w:rsidR="00D96465">
        <w:t xml:space="preserve">progress against the </w:t>
      </w:r>
      <w:r w:rsidR="0069023C">
        <w:t>S</w:t>
      </w:r>
      <w:r w:rsidR="00D96465">
        <w:t xml:space="preserve">trategic </w:t>
      </w:r>
      <w:r w:rsidR="0069023C">
        <w:t>G</w:t>
      </w:r>
      <w:r w:rsidR="00D96465">
        <w:t>oals</w:t>
      </w:r>
      <w:r w:rsidR="00D11CF2">
        <w:t xml:space="preserve"> and the ITU Connect 2030 Agenda</w:t>
      </w:r>
      <w:r w:rsidR="009106BD">
        <w:t xml:space="preserve">. </w:t>
      </w:r>
      <w:r w:rsidR="00573BB3">
        <w:t xml:space="preserve">They will be measured using </w:t>
      </w:r>
      <w:r w:rsidR="00583090">
        <w:t xml:space="preserve">SMART </w:t>
      </w:r>
      <w:r w:rsidR="003E7D47">
        <w:t>(specific, measurable, action-oriented, realistic, time-bound)</w:t>
      </w:r>
      <w:r w:rsidR="00583090">
        <w:t xml:space="preserve"> </w:t>
      </w:r>
      <w:r w:rsidR="009106BD">
        <w:t xml:space="preserve">indicators </w:t>
      </w:r>
      <w:r w:rsidR="00583090">
        <w:t xml:space="preserve">in the </w:t>
      </w:r>
      <w:r w:rsidR="003E7D47">
        <w:t>results framework</w:t>
      </w:r>
      <w:r w:rsidR="00573BB3">
        <w:t xml:space="preserve">. </w:t>
      </w:r>
    </w:p>
    <w:p w14:paraId="2CB0ED52" w14:textId="11CE933A" w:rsidR="00702F49" w:rsidRDefault="0019717C" w:rsidP="00CE2809">
      <w:pPr>
        <w:jc w:val="both"/>
      </w:pPr>
      <w:r>
        <w:t>T</w:t>
      </w:r>
      <w:r w:rsidR="005D2DF1">
        <w:t xml:space="preserve">he </w:t>
      </w:r>
      <w:r w:rsidR="00F1522D">
        <w:t>T</w:t>
      </w:r>
      <w:r w:rsidR="005D2DF1">
        <w:t>argets</w:t>
      </w:r>
      <w:r w:rsidR="00573BB3">
        <w:t xml:space="preserve"> from the former Strategic Plan</w:t>
      </w:r>
      <w:r w:rsidR="005D2DF1">
        <w:t xml:space="preserve"> </w:t>
      </w:r>
      <w:r>
        <w:t xml:space="preserve">were </w:t>
      </w:r>
      <w:r w:rsidR="00291C88">
        <w:t xml:space="preserve">reviewed and </w:t>
      </w:r>
      <w:r>
        <w:t xml:space="preserve">considered in drafting the new set of </w:t>
      </w:r>
      <w:r w:rsidR="00291C88">
        <w:t xml:space="preserve">Targets to </w:t>
      </w:r>
      <w:r w:rsidR="005D2DF1">
        <w:t xml:space="preserve">accurately reflect the </w:t>
      </w:r>
      <w:r w:rsidR="007E33E3">
        <w:t xml:space="preserve">proposed </w:t>
      </w:r>
      <w:r w:rsidR="005D2DF1">
        <w:t>new goals.</w:t>
      </w:r>
    </w:p>
    <w:p w14:paraId="7B2CBC2B" w14:textId="6FF463B5" w:rsidR="00291C88" w:rsidRPr="00CC0183" w:rsidRDefault="009345DB" w:rsidP="00CE2809">
      <w:pPr>
        <w:jc w:val="both"/>
      </w:pPr>
      <w:r w:rsidRPr="009345DB">
        <w:t xml:space="preserve">The suggested targets </w:t>
      </w:r>
      <w:r w:rsidR="00410268">
        <w:t xml:space="preserve">for the new </w:t>
      </w:r>
      <w:r w:rsidRPr="009345DB">
        <w:t xml:space="preserve">draft strategic plan, their </w:t>
      </w:r>
      <w:r w:rsidR="00737563">
        <w:t>proposed</w:t>
      </w:r>
      <w:r w:rsidRPr="009345DB">
        <w:t xml:space="preserve"> indic</w:t>
      </w:r>
      <w:r w:rsidR="00730EFF">
        <w:t>a</w:t>
      </w:r>
      <w:r w:rsidRPr="009345DB">
        <w:t xml:space="preserve">tors and how </w:t>
      </w:r>
      <w:proofErr w:type="gramStart"/>
      <w:r w:rsidRPr="009345DB">
        <w:t>these map</w:t>
      </w:r>
      <w:proofErr w:type="gramEnd"/>
      <w:r w:rsidRPr="009345DB">
        <w:t xml:space="preserve"> with the </w:t>
      </w:r>
      <w:r w:rsidR="009279B5">
        <w:t xml:space="preserve">Targets in the </w:t>
      </w:r>
      <w:r w:rsidRPr="009345DB">
        <w:t>2020-</w:t>
      </w:r>
      <w:r w:rsidR="00737563">
        <w:t>202</w:t>
      </w:r>
      <w:r w:rsidRPr="009345DB">
        <w:t xml:space="preserve">3 </w:t>
      </w:r>
      <w:r w:rsidR="009279B5">
        <w:t>Strategic plan</w:t>
      </w:r>
      <w:r w:rsidRPr="009345DB">
        <w:t>, are included in the table below</w:t>
      </w:r>
      <w:r w:rsidR="00737563">
        <w:t>.</w:t>
      </w:r>
    </w:p>
    <w:tbl>
      <w:tblPr>
        <w:tblStyle w:val="TableGrid"/>
        <w:tblW w:w="9776" w:type="dxa"/>
        <w:tblLook w:val="04A0" w:firstRow="1" w:lastRow="0" w:firstColumn="1" w:lastColumn="0" w:noHBand="0" w:noVBand="1"/>
      </w:tblPr>
      <w:tblGrid>
        <w:gridCol w:w="704"/>
        <w:gridCol w:w="2410"/>
        <w:gridCol w:w="2693"/>
        <w:gridCol w:w="3969"/>
      </w:tblGrid>
      <w:tr w:rsidR="0038777B" w:rsidRPr="00823670" w14:paraId="5E6C8397" w14:textId="47B60B45" w:rsidTr="008F28F9">
        <w:tc>
          <w:tcPr>
            <w:tcW w:w="704" w:type="dxa"/>
            <w:shd w:val="clear" w:color="auto" w:fill="4472C4" w:themeFill="accent1"/>
          </w:tcPr>
          <w:p w14:paraId="1B373F49" w14:textId="1572F913" w:rsidR="0038777B" w:rsidRPr="0038777B" w:rsidRDefault="0038777B" w:rsidP="0070731E">
            <w:pPr>
              <w:spacing w:before="0" w:after="0"/>
              <w:rPr>
                <w:sz w:val="20"/>
                <w:szCs w:val="20"/>
              </w:rPr>
            </w:pPr>
            <w:r w:rsidRPr="007F3AAB">
              <w:rPr>
                <w:b/>
                <w:bCs/>
                <w:color w:val="FFFFFF" w:themeColor="background1"/>
                <w:sz w:val="20"/>
                <w:szCs w:val="20"/>
              </w:rPr>
              <w:t>Goals</w:t>
            </w:r>
          </w:p>
        </w:tc>
        <w:tc>
          <w:tcPr>
            <w:tcW w:w="2410" w:type="dxa"/>
            <w:shd w:val="clear" w:color="auto" w:fill="8EAADB" w:themeFill="accent1" w:themeFillTint="99"/>
          </w:tcPr>
          <w:p w14:paraId="31838E31" w14:textId="487F0D56" w:rsidR="0038777B" w:rsidRPr="0038777B" w:rsidRDefault="006C0C99" w:rsidP="0070731E">
            <w:pPr>
              <w:spacing w:before="0" w:after="0"/>
              <w:rPr>
                <w:sz w:val="20"/>
                <w:szCs w:val="20"/>
              </w:rPr>
            </w:pPr>
            <w:r>
              <w:rPr>
                <w:b/>
                <w:sz w:val="20"/>
                <w:szCs w:val="20"/>
              </w:rPr>
              <w:t xml:space="preserve">Suggested </w:t>
            </w:r>
            <w:r w:rsidR="0038777B" w:rsidRPr="007F3AAB">
              <w:rPr>
                <w:b/>
                <w:sz w:val="20"/>
                <w:szCs w:val="20"/>
              </w:rPr>
              <w:t>Targets</w:t>
            </w:r>
          </w:p>
        </w:tc>
        <w:tc>
          <w:tcPr>
            <w:tcW w:w="2693" w:type="dxa"/>
            <w:shd w:val="clear" w:color="auto" w:fill="D9E2F3" w:themeFill="accent1" w:themeFillTint="33"/>
          </w:tcPr>
          <w:p w14:paraId="1EF2A9E5" w14:textId="6E477624" w:rsidR="0038777B" w:rsidRPr="0038777B" w:rsidRDefault="006C0C99" w:rsidP="0070731E">
            <w:pPr>
              <w:spacing w:before="0" w:after="0"/>
              <w:rPr>
                <w:sz w:val="20"/>
                <w:szCs w:val="20"/>
              </w:rPr>
            </w:pPr>
            <w:r>
              <w:rPr>
                <w:b/>
                <w:sz w:val="20"/>
                <w:szCs w:val="20"/>
              </w:rPr>
              <w:t xml:space="preserve">Suggested </w:t>
            </w:r>
            <w:r w:rsidR="0038777B" w:rsidRPr="007F3AAB">
              <w:rPr>
                <w:b/>
                <w:sz w:val="20"/>
                <w:szCs w:val="20"/>
              </w:rPr>
              <w:t>Target indicators</w:t>
            </w:r>
          </w:p>
        </w:tc>
        <w:tc>
          <w:tcPr>
            <w:tcW w:w="3969" w:type="dxa"/>
            <w:shd w:val="clear" w:color="auto" w:fill="D9E2F3" w:themeFill="accent1" w:themeFillTint="33"/>
          </w:tcPr>
          <w:p w14:paraId="2DDB42B7" w14:textId="26759D8E" w:rsidR="0038777B" w:rsidRPr="00823670" w:rsidRDefault="007876AD" w:rsidP="0070731E">
            <w:pPr>
              <w:spacing w:before="0" w:after="0"/>
              <w:rPr>
                <w:b/>
                <w:sz w:val="20"/>
                <w:szCs w:val="20"/>
              </w:rPr>
            </w:pPr>
            <w:r>
              <w:rPr>
                <w:b/>
                <w:sz w:val="20"/>
                <w:szCs w:val="20"/>
              </w:rPr>
              <w:t xml:space="preserve">Mapping with </w:t>
            </w:r>
            <w:r w:rsidR="002C1B2B">
              <w:rPr>
                <w:b/>
                <w:sz w:val="20"/>
                <w:szCs w:val="20"/>
              </w:rPr>
              <w:t xml:space="preserve">the </w:t>
            </w:r>
            <w:r w:rsidR="00FA5FC2">
              <w:rPr>
                <w:b/>
                <w:sz w:val="20"/>
                <w:szCs w:val="20"/>
              </w:rPr>
              <w:t>202</w:t>
            </w:r>
            <w:r w:rsidR="006C0C99">
              <w:rPr>
                <w:b/>
                <w:sz w:val="20"/>
                <w:szCs w:val="20"/>
              </w:rPr>
              <w:t xml:space="preserve">3 </w:t>
            </w:r>
            <w:r>
              <w:rPr>
                <w:b/>
                <w:sz w:val="20"/>
                <w:szCs w:val="20"/>
              </w:rPr>
              <w:t>Targets</w:t>
            </w:r>
          </w:p>
        </w:tc>
      </w:tr>
      <w:tr w:rsidR="0038777B" w:rsidRPr="00823670" w14:paraId="5D9D75F9" w14:textId="10ED0E07" w:rsidTr="008F28F9">
        <w:tc>
          <w:tcPr>
            <w:tcW w:w="704" w:type="dxa"/>
            <w:vMerge w:val="restart"/>
            <w:textDirection w:val="btLr"/>
            <w:vAlign w:val="center"/>
          </w:tcPr>
          <w:p w14:paraId="04012A0D" w14:textId="77777777" w:rsidR="0038777B" w:rsidRPr="0038777B" w:rsidRDefault="0038777B" w:rsidP="0070731E">
            <w:pPr>
              <w:spacing w:before="0" w:after="0"/>
              <w:ind w:left="113" w:right="113"/>
              <w:jc w:val="center"/>
              <w:rPr>
                <w:sz w:val="20"/>
                <w:szCs w:val="20"/>
              </w:rPr>
            </w:pPr>
            <w:r w:rsidRPr="0038777B">
              <w:rPr>
                <w:sz w:val="20"/>
                <w:szCs w:val="20"/>
              </w:rPr>
              <w:t>Universal Connectivity</w:t>
            </w:r>
          </w:p>
        </w:tc>
        <w:tc>
          <w:tcPr>
            <w:tcW w:w="2410" w:type="dxa"/>
          </w:tcPr>
          <w:p w14:paraId="3BB6E14E" w14:textId="77777777" w:rsidR="0038777B" w:rsidRPr="0038777B" w:rsidRDefault="0038777B" w:rsidP="0070731E">
            <w:pPr>
              <w:spacing w:before="0" w:after="0"/>
              <w:rPr>
                <w:sz w:val="20"/>
                <w:szCs w:val="20"/>
              </w:rPr>
            </w:pPr>
            <w:r w:rsidRPr="0038777B">
              <w:rPr>
                <w:sz w:val="20"/>
                <w:szCs w:val="20"/>
              </w:rPr>
              <w:t>1.1: Universal broadband coverage</w:t>
            </w:r>
          </w:p>
        </w:tc>
        <w:tc>
          <w:tcPr>
            <w:tcW w:w="2693" w:type="dxa"/>
          </w:tcPr>
          <w:p w14:paraId="71EE4A18" w14:textId="21C8A37C" w:rsidR="00207A4D" w:rsidRPr="0038777B" w:rsidRDefault="00E75AC7" w:rsidP="0070731E">
            <w:pPr>
              <w:spacing w:before="0" w:after="0"/>
              <w:rPr>
                <w:sz w:val="20"/>
                <w:szCs w:val="20"/>
              </w:rPr>
            </w:pPr>
            <w:r>
              <w:rPr>
                <w:sz w:val="20"/>
                <w:szCs w:val="20"/>
              </w:rPr>
              <w:t xml:space="preserve">- </w:t>
            </w:r>
            <w:r w:rsidR="0038777B" w:rsidRPr="0038777B">
              <w:rPr>
                <w:sz w:val="20"/>
                <w:szCs w:val="20"/>
              </w:rPr>
              <w:t>% of the world population covered by broadband services</w:t>
            </w:r>
            <w:r w:rsidR="002C5A0E">
              <w:rPr>
                <w:sz w:val="20"/>
                <w:szCs w:val="20"/>
              </w:rPr>
              <w:t xml:space="preserve"> (also related to SDG </w:t>
            </w:r>
            <w:r w:rsidR="5EFEC424" w:rsidRPr="3D3DE2B1">
              <w:rPr>
                <w:sz w:val="20"/>
                <w:szCs w:val="20"/>
              </w:rPr>
              <w:t>Target</w:t>
            </w:r>
            <w:r w:rsidR="002C5A0E">
              <w:rPr>
                <w:sz w:val="20"/>
                <w:szCs w:val="20"/>
              </w:rPr>
              <w:t xml:space="preserve"> 9.1.c)</w:t>
            </w:r>
          </w:p>
        </w:tc>
        <w:tc>
          <w:tcPr>
            <w:tcW w:w="3969" w:type="dxa"/>
          </w:tcPr>
          <w:p w14:paraId="591C50F5" w14:textId="77777777" w:rsidR="0038777B" w:rsidRDefault="0089078F" w:rsidP="0089078F">
            <w:pPr>
              <w:spacing w:before="0" w:after="0"/>
              <w:rPr>
                <w:sz w:val="20"/>
                <w:szCs w:val="20"/>
              </w:rPr>
            </w:pPr>
            <w:r w:rsidRPr="008B24CD">
              <w:rPr>
                <w:i/>
                <w:iCs/>
                <w:sz w:val="20"/>
                <w:szCs w:val="20"/>
              </w:rPr>
              <w:t>Target 2.7</w:t>
            </w:r>
            <w:r w:rsidRPr="002B6BF5">
              <w:rPr>
                <w:sz w:val="20"/>
                <w:szCs w:val="20"/>
              </w:rPr>
              <w:t>: 96% of the world population covered by broadband services</w:t>
            </w:r>
          </w:p>
          <w:p w14:paraId="713FECB8" w14:textId="6402892D" w:rsidR="005D50D8" w:rsidRPr="0038777B" w:rsidRDefault="005D50D8" w:rsidP="0089078F">
            <w:pPr>
              <w:spacing w:before="0" w:after="0"/>
              <w:rPr>
                <w:sz w:val="20"/>
                <w:szCs w:val="20"/>
              </w:rPr>
            </w:pPr>
            <w:r w:rsidRPr="005D50D8">
              <w:rPr>
                <w:i/>
                <w:iCs/>
                <w:sz w:val="20"/>
                <w:szCs w:val="20"/>
              </w:rPr>
              <w:t>Target 1.6</w:t>
            </w:r>
            <w:r w:rsidRPr="005D50D8">
              <w:rPr>
                <w:sz w:val="20"/>
                <w:szCs w:val="20"/>
              </w:rPr>
              <w:t>: 40% of countries to have more than half of broadband subscriptions more than 10 Mbit/s</w:t>
            </w:r>
          </w:p>
        </w:tc>
      </w:tr>
      <w:tr w:rsidR="0038777B" w:rsidRPr="00823670" w14:paraId="2BAF674C" w14:textId="75151F01" w:rsidTr="008F28F9">
        <w:tc>
          <w:tcPr>
            <w:tcW w:w="704" w:type="dxa"/>
            <w:vMerge/>
          </w:tcPr>
          <w:p w14:paraId="7CC3CA03" w14:textId="77777777" w:rsidR="0038777B" w:rsidRPr="0038777B" w:rsidRDefault="0038777B" w:rsidP="0070731E">
            <w:pPr>
              <w:spacing w:before="0" w:after="0"/>
              <w:rPr>
                <w:sz w:val="20"/>
                <w:szCs w:val="20"/>
              </w:rPr>
            </w:pPr>
          </w:p>
        </w:tc>
        <w:tc>
          <w:tcPr>
            <w:tcW w:w="2410" w:type="dxa"/>
          </w:tcPr>
          <w:p w14:paraId="7E29DF41" w14:textId="77777777" w:rsidR="0038777B" w:rsidRPr="0038777B" w:rsidRDefault="0038777B" w:rsidP="0070731E">
            <w:pPr>
              <w:spacing w:before="0" w:after="0"/>
              <w:rPr>
                <w:sz w:val="20"/>
                <w:szCs w:val="20"/>
              </w:rPr>
            </w:pPr>
            <w:r w:rsidRPr="0038777B">
              <w:rPr>
                <w:sz w:val="20"/>
                <w:szCs w:val="20"/>
              </w:rPr>
              <w:t>1.2: Broadband services to be affordable for all</w:t>
            </w:r>
          </w:p>
        </w:tc>
        <w:tc>
          <w:tcPr>
            <w:tcW w:w="2693" w:type="dxa"/>
          </w:tcPr>
          <w:p w14:paraId="2766BEB8" w14:textId="4CE702EB" w:rsidR="0038777B" w:rsidRPr="0038777B" w:rsidRDefault="006B5145" w:rsidP="0070731E">
            <w:pPr>
              <w:spacing w:before="0" w:after="0"/>
              <w:rPr>
                <w:sz w:val="20"/>
                <w:szCs w:val="20"/>
              </w:rPr>
            </w:pPr>
            <w:r>
              <w:rPr>
                <w:sz w:val="20"/>
                <w:szCs w:val="20"/>
              </w:rPr>
              <w:t xml:space="preserve">- </w:t>
            </w:r>
            <w:r w:rsidR="001606EB" w:rsidRPr="001606EB">
              <w:rPr>
                <w:sz w:val="20"/>
                <w:szCs w:val="20"/>
              </w:rPr>
              <w:t>Cost of entry-level broadband services in developing countries as % of monthly Gross National Income (GNI) per capita.</w:t>
            </w:r>
          </w:p>
        </w:tc>
        <w:tc>
          <w:tcPr>
            <w:tcW w:w="3969" w:type="dxa"/>
          </w:tcPr>
          <w:p w14:paraId="2138913C" w14:textId="1228761A" w:rsidR="00351BBF" w:rsidRDefault="00351BBF" w:rsidP="0070731E">
            <w:pPr>
              <w:spacing w:before="0" w:after="0"/>
              <w:rPr>
                <w:i/>
                <w:iCs/>
                <w:sz w:val="20"/>
                <w:szCs w:val="20"/>
              </w:rPr>
            </w:pPr>
            <w:r w:rsidRPr="00351BBF">
              <w:rPr>
                <w:i/>
                <w:iCs/>
                <w:sz w:val="20"/>
                <w:szCs w:val="20"/>
              </w:rPr>
              <w:t>Target 2.6</w:t>
            </w:r>
            <w:r w:rsidRPr="0069125B">
              <w:rPr>
                <w:sz w:val="20"/>
                <w:szCs w:val="20"/>
              </w:rPr>
              <w:t>: broadband services should cost no more than 3% of average monthly income in developing countries</w:t>
            </w:r>
          </w:p>
          <w:p w14:paraId="6C0B223D" w14:textId="6700B54F" w:rsidR="005B1BA4" w:rsidRPr="001B1205" w:rsidRDefault="0072379D" w:rsidP="0070731E">
            <w:pPr>
              <w:spacing w:before="0" w:after="0"/>
              <w:rPr>
                <w:sz w:val="20"/>
                <w:szCs w:val="20"/>
              </w:rPr>
            </w:pPr>
            <w:r w:rsidRPr="008B24CD">
              <w:rPr>
                <w:i/>
                <w:iCs/>
                <w:sz w:val="20"/>
                <w:szCs w:val="20"/>
              </w:rPr>
              <w:t>Target 1.3</w:t>
            </w:r>
            <w:r w:rsidRPr="001B1205">
              <w:rPr>
                <w:sz w:val="20"/>
                <w:szCs w:val="20"/>
              </w:rPr>
              <w:t>: Internet access should be 25% more affordable (baseline year 2017)</w:t>
            </w:r>
          </w:p>
          <w:p w14:paraId="46535E7A" w14:textId="5BC2BE31" w:rsidR="003250A1" w:rsidRPr="0038777B" w:rsidRDefault="009A31E0" w:rsidP="0070731E">
            <w:pPr>
              <w:spacing w:before="0" w:after="0"/>
              <w:rPr>
                <w:sz w:val="20"/>
                <w:szCs w:val="20"/>
              </w:rPr>
            </w:pPr>
            <w:r w:rsidRPr="008B24CD">
              <w:rPr>
                <w:i/>
                <w:iCs/>
                <w:sz w:val="20"/>
                <w:szCs w:val="20"/>
              </w:rPr>
              <w:t>Target 2.5</w:t>
            </w:r>
            <w:r w:rsidRPr="001B1205">
              <w:rPr>
                <w:sz w:val="20"/>
                <w:szCs w:val="20"/>
              </w:rPr>
              <w:t>: the affordability gap between developed and developing countries should be reduced by 25% (b</w:t>
            </w:r>
            <w:r w:rsidR="00021D3C">
              <w:rPr>
                <w:sz w:val="20"/>
                <w:szCs w:val="20"/>
              </w:rPr>
              <w:t>aseline year</w:t>
            </w:r>
            <w:r w:rsidRPr="001B1205">
              <w:rPr>
                <w:sz w:val="20"/>
                <w:szCs w:val="20"/>
              </w:rPr>
              <w:t xml:space="preserve"> 2017)</w:t>
            </w:r>
          </w:p>
        </w:tc>
      </w:tr>
      <w:tr w:rsidR="0038777B" w:rsidRPr="00823670" w14:paraId="07958F7D" w14:textId="34F29F50" w:rsidTr="008F28F9">
        <w:tc>
          <w:tcPr>
            <w:tcW w:w="704" w:type="dxa"/>
            <w:vMerge/>
          </w:tcPr>
          <w:p w14:paraId="031A88E8" w14:textId="77777777" w:rsidR="0038777B" w:rsidRPr="0038777B" w:rsidRDefault="0038777B" w:rsidP="0070731E">
            <w:pPr>
              <w:spacing w:before="0" w:after="0"/>
              <w:rPr>
                <w:sz w:val="20"/>
                <w:szCs w:val="20"/>
              </w:rPr>
            </w:pPr>
          </w:p>
        </w:tc>
        <w:tc>
          <w:tcPr>
            <w:tcW w:w="2410" w:type="dxa"/>
          </w:tcPr>
          <w:p w14:paraId="2C02EBE6" w14:textId="77777777" w:rsidR="0038777B" w:rsidRPr="0038777B" w:rsidRDefault="0038777B" w:rsidP="0070731E">
            <w:pPr>
              <w:spacing w:before="0" w:after="0"/>
              <w:rPr>
                <w:sz w:val="20"/>
                <w:szCs w:val="20"/>
              </w:rPr>
            </w:pPr>
            <w:r w:rsidRPr="0038777B">
              <w:rPr>
                <w:sz w:val="20"/>
                <w:szCs w:val="20"/>
              </w:rPr>
              <w:t>1.3: Broadband access to every household</w:t>
            </w:r>
          </w:p>
        </w:tc>
        <w:tc>
          <w:tcPr>
            <w:tcW w:w="2693" w:type="dxa"/>
          </w:tcPr>
          <w:p w14:paraId="07209234" w14:textId="092DF0D4" w:rsidR="0038777B" w:rsidRPr="0038777B" w:rsidRDefault="006B5145" w:rsidP="0070731E">
            <w:pPr>
              <w:spacing w:before="0" w:after="0"/>
              <w:rPr>
                <w:sz w:val="20"/>
                <w:szCs w:val="20"/>
              </w:rPr>
            </w:pPr>
            <w:r>
              <w:rPr>
                <w:sz w:val="20"/>
                <w:szCs w:val="20"/>
              </w:rPr>
              <w:t xml:space="preserve">- </w:t>
            </w:r>
            <w:r w:rsidR="006978F8" w:rsidRPr="006978F8">
              <w:rPr>
                <w:sz w:val="20"/>
                <w:szCs w:val="20"/>
              </w:rPr>
              <w:t>% of households with access to the Internet</w:t>
            </w:r>
            <w:r w:rsidR="00192295">
              <w:rPr>
                <w:sz w:val="20"/>
                <w:szCs w:val="20"/>
              </w:rPr>
              <w:t xml:space="preserve"> (per </w:t>
            </w:r>
            <w:r w:rsidR="0092097E">
              <w:rPr>
                <w:sz w:val="20"/>
                <w:szCs w:val="20"/>
              </w:rPr>
              <w:t>level of development</w:t>
            </w:r>
            <w:r w:rsidR="00AB08FB">
              <w:rPr>
                <w:sz w:val="20"/>
                <w:szCs w:val="20"/>
              </w:rPr>
              <w:t>; urban/rural</w:t>
            </w:r>
            <w:r w:rsidR="005C0630">
              <w:rPr>
                <w:sz w:val="20"/>
                <w:szCs w:val="20"/>
              </w:rPr>
              <w:t>)</w:t>
            </w:r>
          </w:p>
        </w:tc>
        <w:tc>
          <w:tcPr>
            <w:tcW w:w="3969" w:type="dxa"/>
          </w:tcPr>
          <w:p w14:paraId="260AAC2E" w14:textId="2F5267CB" w:rsidR="0038777B" w:rsidRDefault="00620B1A" w:rsidP="004566C1">
            <w:pPr>
              <w:spacing w:before="0" w:after="0"/>
              <w:rPr>
                <w:sz w:val="20"/>
                <w:szCs w:val="20"/>
              </w:rPr>
            </w:pPr>
            <w:r w:rsidRPr="008B24CD">
              <w:rPr>
                <w:i/>
                <w:iCs/>
                <w:sz w:val="20"/>
                <w:szCs w:val="20"/>
              </w:rPr>
              <w:t>Target 1.1</w:t>
            </w:r>
            <w:r w:rsidRPr="00620B1A">
              <w:rPr>
                <w:sz w:val="20"/>
                <w:szCs w:val="20"/>
              </w:rPr>
              <w:t>: 65% of households worldwide with access to the Internet</w:t>
            </w:r>
          </w:p>
          <w:p w14:paraId="31258A20" w14:textId="77777777" w:rsidR="00620B1A" w:rsidRDefault="005C0630" w:rsidP="004566C1">
            <w:pPr>
              <w:spacing w:before="0" w:after="0"/>
              <w:rPr>
                <w:sz w:val="20"/>
                <w:szCs w:val="20"/>
              </w:rPr>
            </w:pPr>
            <w:r w:rsidRPr="002C1B2B">
              <w:rPr>
                <w:i/>
                <w:iCs/>
                <w:sz w:val="20"/>
                <w:szCs w:val="20"/>
              </w:rPr>
              <w:t>Target 2.1</w:t>
            </w:r>
            <w:r w:rsidRPr="005C0630">
              <w:rPr>
                <w:sz w:val="20"/>
                <w:szCs w:val="20"/>
              </w:rPr>
              <w:t>: in the developing world, 60% of households should have access to the Internet</w:t>
            </w:r>
          </w:p>
          <w:p w14:paraId="5AD6A2BE" w14:textId="4B144005" w:rsidR="0038777B" w:rsidRPr="0038777B" w:rsidRDefault="00107D4A" w:rsidP="0070731E">
            <w:pPr>
              <w:spacing w:before="0" w:after="0"/>
              <w:rPr>
                <w:sz w:val="20"/>
                <w:szCs w:val="20"/>
              </w:rPr>
            </w:pPr>
            <w:r w:rsidRPr="002C1B2B">
              <w:rPr>
                <w:i/>
                <w:iCs/>
                <w:sz w:val="20"/>
                <w:szCs w:val="20"/>
              </w:rPr>
              <w:t>Target 2.2</w:t>
            </w:r>
            <w:r w:rsidRPr="00107D4A">
              <w:rPr>
                <w:sz w:val="20"/>
                <w:szCs w:val="20"/>
              </w:rPr>
              <w:t>: in the least developed countries, 30% of households should have access to the Internet</w:t>
            </w:r>
          </w:p>
        </w:tc>
      </w:tr>
      <w:tr w:rsidR="0038777B" w:rsidRPr="00823670" w14:paraId="7BB6617E" w14:textId="772CAD1C" w:rsidTr="008F28F9">
        <w:tc>
          <w:tcPr>
            <w:tcW w:w="704" w:type="dxa"/>
            <w:vMerge w:val="restart"/>
            <w:textDirection w:val="btLr"/>
            <w:vAlign w:val="center"/>
          </w:tcPr>
          <w:p w14:paraId="0FAE638A" w14:textId="77777777" w:rsidR="0038777B" w:rsidRPr="0038777B" w:rsidRDefault="0038777B" w:rsidP="0070731E">
            <w:pPr>
              <w:spacing w:before="0" w:after="0"/>
              <w:ind w:left="113" w:right="113"/>
              <w:jc w:val="center"/>
              <w:rPr>
                <w:sz w:val="20"/>
                <w:szCs w:val="20"/>
              </w:rPr>
            </w:pPr>
            <w:r w:rsidRPr="0038777B">
              <w:rPr>
                <w:sz w:val="20"/>
                <w:szCs w:val="20"/>
              </w:rPr>
              <w:t>Sustainable Digital Transformation</w:t>
            </w:r>
          </w:p>
        </w:tc>
        <w:tc>
          <w:tcPr>
            <w:tcW w:w="2410" w:type="dxa"/>
          </w:tcPr>
          <w:p w14:paraId="302D504B" w14:textId="77777777" w:rsidR="0038777B" w:rsidRPr="0038777B" w:rsidRDefault="0038777B" w:rsidP="0070731E">
            <w:pPr>
              <w:spacing w:before="0" w:after="0"/>
              <w:rPr>
                <w:sz w:val="20"/>
                <w:szCs w:val="20"/>
              </w:rPr>
            </w:pPr>
            <w:r w:rsidRPr="0038777B">
              <w:rPr>
                <w:sz w:val="20"/>
                <w:szCs w:val="20"/>
              </w:rPr>
              <w:t>2.1: Universal usage of Internet by individuals</w:t>
            </w:r>
          </w:p>
        </w:tc>
        <w:tc>
          <w:tcPr>
            <w:tcW w:w="2693" w:type="dxa"/>
          </w:tcPr>
          <w:p w14:paraId="556E18B3" w14:textId="43CBB646" w:rsidR="0038777B" w:rsidRPr="0038777B" w:rsidRDefault="006B5145" w:rsidP="0070731E">
            <w:pPr>
              <w:spacing w:before="0" w:after="0"/>
              <w:rPr>
                <w:sz w:val="20"/>
                <w:szCs w:val="20"/>
              </w:rPr>
            </w:pPr>
            <w:r>
              <w:rPr>
                <w:sz w:val="20"/>
                <w:szCs w:val="20"/>
              </w:rPr>
              <w:t xml:space="preserve">- </w:t>
            </w:r>
            <w:r w:rsidR="00374B82" w:rsidRPr="00374B82">
              <w:rPr>
                <w:sz w:val="20"/>
                <w:szCs w:val="20"/>
              </w:rPr>
              <w:t>% of individuals using the Internet</w:t>
            </w:r>
            <w:r w:rsidR="00374B82">
              <w:rPr>
                <w:sz w:val="20"/>
                <w:szCs w:val="20"/>
              </w:rPr>
              <w:t xml:space="preserve"> (</w:t>
            </w:r>
            <w:r w:rsidR="00905285">
              <w:rPr>
                <w:sz w:val="20"/>
                <w:szCs w:val="20"/>
              </w:rPr>
              <w:t>broken</w:t>
            </w:r>
            <w:r w:rsidR="00374B82">
              <w:rPr>
                <w:sz w:val="20"/>
                <w:szCs w:val="20"/>
              </w:rPr>
              <w:t>-down by</w:t>
            </w:r>
            <w:r w:rsidR="00544A5A">
              <w:rPr>
                <w:sz w:val="20"/>
                <w:szCs w:val="20"/>
              </w:rPr>
              <w:t xml:space="preserve"> urban/ru</w:t>
            </w:r>
            <w:r w:rsidR="007A05A0">
              <w:rPr>
                <w:sz w:val="20"/>
                <w:szCs w:val="20"/>
              </w:rPr>
              <w:t>ral</w:t>
            </w:r>
            <w:r w:rsidR="00905285">
              <w:rPr>
                <w:sz w:val="20"/>
                <w:szCs w:val="20"/>
              </w:rPr>
              <w:t xml:space="preserve">; aggregated </w:t>
            </w:r>
            <w:r w:rsidR="00670621">
              <w:rPr>
                <w:sz w:val="20"/>
                <w:szCs w:val="20"/>
              </w:rPr>
              <w:t xml:space="preserve">by region, </w:t>
            </w:r>
            <w:r w:rsidR="007A05A0">
              <w:rPr>
                <w:sz w:val="20"/>
                <w:szCs w:val="20"/>
              </w:rPr>
              <w:t>level of development</w:t>
            </w:r>
            <w:r w:rsidR="00F81DC2">
              <w:rPr>
                <w:sz w:val="20"/>
                <w:szCs w:val="20"/>
              </w:rPr>
              <w:t>)</w:t>
            </w:r>
          </w:p>
        </w:tc>
        <w:tc>
          <w:tcPr>
            <w:tcW w:w="3969" w:type="dxa"/>
          </w:tcPr>
          <w:p w14:paraId="00E97001" w14:textId="392586B7" w:rsidR="0038777B" w:rsidRDefault="001757F3" w:rsidP="004566C1">
            <w:pPr>
              <w:spacing w:before="0" w:after="0"/>
              <w:rPr>
                <w:sz w:val="20"/>
                <w:szCs w:val="20"/>
              </w:rPr>
            </w:pPr>
            <w:r w:rsidRPr="002C1B2B">
              <w:rPr>
                <w:i/>
                <w:iCs/>
                <w:sz w:val="20"/>
                <w:szCs w:val="20"/>
              </w:rPr>
              <w:t>Target 1.2</w:t>
            </w:r>
            <w:r w:rsidRPr="001757F3">
              <w:rPr>
                <w:sz w:val="20"/>
                <w:szCs w:val="20"/>
              </w:rPr>
              <w:t>: 70% of individuals worldwide will be using the Internet</w:t>
            </w:r>
          </w:p>
          <w:p w14:paraId="092B00E1" w14:textId="77777777" w:rsidR="001757F3" w:rsidRDefault="0037792A" w:rsidP="004566C1">
            <w:pPr>
              <w:spacing w:before="0" w:after="0"/>
              <w:rPr>
                <w:sz w:val="20"/>
                <w:szCs w:val="20"/>
              </w:rPr>
            </w:pPr>
            <w:r w:rsidRPr="0013353B">
              <w:rPr>
                <w:i/>
                <w:iCs/>
                <w:sz w:val="20"/>
                <w:szCs w:val="20"/>
              </w:rPr>
              <w:t>Target 2.3</w:t>
            </w:r>
            <w:r w:rsidRPr="0037792A">
              <w:rPr>
                <w:sz w:val="20"/>
                <w:szCs w:val="20"/>
              </w:rPr>
              <w:t>: in the developing world, 60% of individuals will be using the Internet</w:t>
            </w:r>
          </w:p>
          <w:p w14:paraId="07FA0AB4" w14:textId="41839A79" w:rsidR="0038777B" w:rsidRPr="0038777B" w:rsidRDefault="00FA79C5" w:rsidP="0070731E">
            <w:pPr>
              <w:spacing w:before="0" w:after="0"/>
              <w:rPr>
                <w:sz w:val="20"/>
                <w:szCs w:val="20"/>
              </w:rPr>
            </w:pPr>
            <w:r w:rsidRPr="0013353B">
              <w:rPr>
                <w:i/>
                <w:iCs/>
                <w:sz w:val="20"/>
                <w:szCs w:val="20"/>
              </w:rPr>
              <w:t>Target 2.4</w:t>
            </w:r>
            <w:r w:rsidRPr="00FA79C5">
              <w:rPr>
                <w:sz w:val="20"/>
                <w:szCs w:val="20"/>
              </w:rPr>
              <w:t>: in the least developed countries, 30% of individuals will be using the Internet</w:t>
            </w:r>
          </w:p>
        </w:tc>
      </w:tr>
      <w:tr w:rsidR="0038777B" w:rsidRPr="00823670" w14:paraId="2192883A" w14:textId="75F0766E" w:rsidTr="008F28F9">
        <w:tc>
          <w:tcPr>
            <w:tcW w:w="704" w:type="dxa"/>
            <w:vMerge/>
          </w:tcPr>
          <w:p w14:paraId="1EC71024" w14:textId="77777777" w:rsidR="0038777B" w:rsidRPr="0038777B" w:rsidRDefault="0038777B" w:rsidP="0070731E">
            <w:pPr>
              <w:spacing w:before="0" w:after="0"/>
              <w:rPr>
                <w:sz w:val="20"/>
                <w:szCs w:val="20"/>
              </w:rPr>
            </w:pPr>
          </w:p>
        </w:tc>
        <w:tc>
          <w:tcPr>
            <w:tcW w:w="2410" w:type="dxa"/>
          </w:tcPr>
          <w:p w14:paraId="55C3082C" w14:textId="77777777" w:rsidR="0038777B" w:rsidRPr="0038777B" w:rsidRDefault="0038777B" w:rsidP="0070731E">
            <w:pPr>
              <w:spacing w:before="0" w:after="0"/>
              <w:rPr>
                <w:sz w:val="20"/>
                <w:szCs w:val="20"/>
              </w:rPr>
            </w:pPr>
            <w:r w:rsidRPr="0038777B">
              <w:rPr>
                <w:sz w:val="20"/>
                <w:szCs w:val="20"/>
              </w:rPr>
              <w:t>2.2: All digital gaps to be bridged (</w:t>
            </w:r>
            <w:proofErr w:type="gramStart"/>
            <w:r w:rsidRPr="0038777B">
              <w:rPr>
                <w:sz w:val="20"/>
                <w:szCs w:val="20"/>
              </w:rPr>
              <w:t>in particular gender</w:t>
            </w:r>
            <w:proofErr w:type="gramEnd"/>
            <w:r w:rsidRPr="0038777B">
              <w:rPr>
                <w:sz w:val="20"/>
                <w:szCs w:val="20"/>
              </w:rPr>
              <w:t>, age, urban/rural)</w:t>
            </w:r>
          </w:p>
        </w:tc>
        <w:tc>
          <w:tcPr>
            <w:tcW w:w="2693" w:type="dxa"/>
          </w:tcPr>
          <w:p w14:paraId="361D6AAF" w14:textId="52057E2C" w:rsidR="0038777B" w:rsidRPr="0038777B" w:rsidRDefault="006B5145" w:rsidP="0070731E">
            <w:pPr>
              <w:spacing w:before="0" w:after="0"/>
              <w:rPr>
                <w:sz w:val="20"/>
                <w:szCs w:val="20"/>
              </w:rPr>
            </w:pPr>
            <w:r>
              <w:rPr>
                <w:sz w:val="20"/>
                <w:szCs w:val="20"/>
              </w:rPr>
              <w:t xml:space="preserve">- </w:t>
            </w:r>
            <w:r w:rsidR="00964EFD" w:rsidRPr="00374B82">
              <w:rPr>
                <w:sz w:val="20"/>
                <w:szCs w:val="20"/>
              </w:rPr>
              <w:t>% of individuals using the Internet</w:t>
            </w:r>
            <w:r w:rsidR="00964EFD">
              <w:rPr>
                <w:sz w:val="20"/>
                <w:szCs w:val="20"/>
              </w:rPr>
              <w:t xml:space="preserve"> (broken-down by age</w:t>
            </w:r>
            <w:r w:rsidR="00E2056E">
              <w:rPr>
                <w:sz w:val="20"/>
                <w:szCs w:val="20"/>
              </w:rPr>
              <w:t xml:space="preserve">, </w:t>
            </w:r>
            <w:r w:rsidR="00964EFD">
              <w:rPr>
                <w:sz w:val="20"/>
                <w:szCs w:val="20"/>
              </w:rPr>
              <w:t>gender</w:t>
            </w:r>
            <w:r w:rsidR="00E2056E">
              <w:rPr>
                <w:sz w:val="20"/>
                <w:szCs w:val="20"/>
              </w:rPr>
              <w:t>, accessib</w:t>
            </w:r>
            <w:r w:rsidR="00892C60">
              <w:rPr>
                <w:sz w:val="20"/>
                <w:szCs w:val="20"/>
              </w:rPr>
              <w:t>i</w:t>
            </w:r>
            <w:r w:rsidR="00E2056E">
              <w:rPr>
                <w:sz w:val="20"/>
                <w:szCs w:val="20"/>
              </w:rPr>
              <w:t>lity</w:t>
            </w:r>
            <w:r w:rsidR="00964EFD">
              <w:rPr>
                <w:sz w:val="20"/>
                <w:szCs w:val="20"/>
              </w:rPr>
              <w:t>)</w:t>
            </w:r>
          </w:p>
        </w:tc>
        <w:tc>
          <w:tcPr>
            <w:tcW w:w="3969" w:type="dxa"/>
          </w:tcPr>
          <w:p w14:paraId="24FC4629" w14:textId="007482FE" w:rsidR="0038777B" w:rsidRPr="0038777B" w:rsidRDefault="00E16FE2" w:rsidP="0070731E">
            <w:pPr>
              <w:spacing w:before="0" w:after="0"/>
              <w:rPr>
                <w:sz w:val="20"/>
                <w:szCs w:val="20"/>
              </w:rPr>
            </w:pPr>
            <w:r w:rsidRPr="002C1B2B">
              <w:rPr>
                <w:i/>
                <w:iCs/>
                <w:sz w:val="20"/>
                <w:szCs w:val="20"/>
              </w:rPr>
              <w:t>Target 2.8</w:t>
            </w:r>
            <w:r w:rsidRPr="00E16FE2">
              <w:rPr>
                <w:sz w:val="20"/>
                <w:szCs w:val="20"/>
              </w:rPr>
              <w:t>: gender equality in Internet usage and mobile phone ownership should be achieved</w:t>
            </w:r>
          </w:p>
        </w:tc>
      </w:tr>
      <w:tr w:rsidR="0038777B" w:rsidRPr="00823670" w14:paraId="46C9DF4B" w14:textId="0D92286F" w:rsidTr="008F28F9">
        <w:tc>
          <w:tcPr>
            <w:tcW w:w="704" w:type="dxa"/>
            <w:vMerge/>
          </w:tcPr>
          <w:p w14:paraId="0D80EBF2" w14:textId="77777777" w:rsidR="0038777B" w:rsidRPr="0038777B" w:rsidRDefault="0038777B" w:rsidP="0070731E">
            <w:pPr>
              <w:spacing w:before="0" w:after="0"/>
              <w:rPr>
                <w:sz w:val="20"/>
                <w:szCs w:val="20"/>
              </w:rPr>
            </w:pPr>
          </w:p>
        </w:tc>
        <w:tc>
          <w:tcPr>
            <w:tcW w:w="2410" w:type="dxa"/>
          </w:tcPr>
          <w:p w14:paraId="25E85258" w14:textId="77777777" w:rsidR="0038777B" w:rsidRPr="0038777B" w:rsidRDefault="0038777B" w:rsidP="0070731E">
            <w:pPr>
              <w:spacing w:before="0" w:after="0"/>
              <w:rPr>
                <w:sz w:val="20"/>
                <w:szCs w:val="20"/>
              </w:rPr>
            </w:pPr>
            <w:r w:rsidRPr="0038777B">
              <w:rPr>
                <w:sz w:val="20"/>
                <w:szCs w:val="20"/>
              </w:rPr>
              <w:t>2.3: Universal usage of Internet by businesses</w:t>
            </w:r>
          </w:p>
        </w:tc>
        <w:tc>
          <w:tcPr>
            <w:tcW w:w="2693" w:type="dxa"/>
          </w:tcPr>
          <w:p w14:paraId="5CABD2FB" w14:textId="7CE6C196" w:rsidR="0038777B" w:rsidRPr="0038777B" w:rsidRDefault="005F4B48" w:rsidP="0070731E">
            <w:pPr>
              <w:spacing w:before="0" w:after="0"/>
              <w:rPr>
                <w:sz w:val="20"/>
                <w:szCs w:val="20"/>
              </w:rPr>
            </w:pPr>
            <w:r>
              <w:rPr>
                <w:sz w:val="20"/>
                <w:szCs w:val="20"/>
              </w:rPr>
              <w:t xml:space="preserve">- </w:t>
            </w:r>
            <w:r w:rsidR="00E4471D" w:rsidRPr="00E4471D">
              <w:rPr>
                <w:sz w:val="20"/>
                <w:szCs w:val="20"/>
              </w:rPr>
              <w:t>% of business using the Internet, total and by size</w:t>
            </w:r>
          </w:p>
        </w:tc>
        <w:tc>
          <w:tcPr>
            <w:tcW w:w="3969" w:type="dxa"/>
          </w:tcPr>
          <w:p w14:paraId="3B25F135" w14:textId="45F88908" w:rsidR="0038777B" w:rsidRPr="00981FB8" w:rsidRDefault="00421D16" w:rsidP="0070731E">
            <w:pPr>
              <w:spacing w:before="0" w:after="0"/>
              <w:rPr>
                <w:i/>
                <w:iCs/>
                <w:sz w:val="20"/>
                <w:szCs w:val="20"/>
              </w:rPr>
            </w:pPr>
            <w:r w:rsidRPr="00981FB8">
              <w:rPr>
                <w:i/>
                <w:iCs/>
                <w:sz w:val="20"/>
                <w:szCs w:val="20"/>
              </w:rPr>
              <w:t xml:space="preserve">(Inspired from the </w:t>
            </w:r>
            <w:r w:rsidR="00B61685" w:rsidRPr="00981FB8">
              <w:rPr>
                <w:i/>
                <w:iCs/>
                <w:sz w:val="20"/>
                <w:szCs w:val="20"/>
              </w:rPr>
              <w:t xml:space="preserve">relevant </w:t>
            </w:r>
            <w:r w:rsidRPr="00981FB8">
              <w:rPr>
                <w:i/>
                <w:iCs/>
                <w:sz w:val="20"/>
                <w:szCs w:val="20"/>
              </w:rPr>
              <w:t xml:space="preserve">BBCOM </w:t>
            </w:r>
            <w:r w:rsidR="00A751F4" w:rsidRPr="00981FB8">
              <w:rPr>
                <w:i/>
                <w:iCs/>
                <w:sz w:val="20"/>
                <w:szCs w:val="20"/>
              </w:rPr>
              <w:t>target</w:t>
            </w:r>
            <w:r w:rsidR="00981FB8" w:rsidRPr="00981FB8">
              <w:rPr>
                <w:i/>
                <w:iCs/>
                <w:sz w:val="20"/>
                <w:szCs w:val="20"/>
              </w:rPr>
              <w:t xml:space="preserve"> / based on the availability of data from UNCTAD</w:t>
            </w:r>
            <w:r w:rsidRPr="00981FB8">
              <w:rPr>
                <w:i/>
                <w:iCs/>
                <w:sz w:val="20"/>
                <w:szCs w:val="20"/>
              </w:rPr>
              <w:t>)</w:t>
            </w:r>
          </w:p>
        </w:tc>
      </w:tr>
      <w:tr w:rsidR="0038777B" w:rsidRPr="00823670" w14:paraId="41482FAC" w14:textId="555EDD1F" w:rsidTr="008F28F9">
        <w:tc>
          <w:tcPr>
            <w:tcW w:w="704" w:type="dxa"/>
            <w:vMerge/>
          </w:tcPr>
          <w:p w14:paraId="4988209B" w14:textId="77777777" w:rsidR="0038777B" w:rsidRPr="0038777B" w:rsidRDefault="0038777B" w:rsidP="0070731E">
            <w:pPr>
              <w:spacing w:before="0" w:after="0"/>
              <w:rPr>
                <w:sz w:val="20"/>
                <w:szCs w:val="20"/>
              </w:rPr>
            </w:pPr>
          </w:p>
        </w:tc>
        <w:tc>
          <w:tcPr>
            <w:tcW w:w="2410" w:type="dxa"/>
          </w:tcPr>
          <w:p w14:paraId="0657A46B" w14:textId="77777777" w:rsidR="0038777B" w:rsidRPr="0038777B" w:rsidRDefault="0038777B" w:rsidP="0070731E">
            <w:pPr>
              <w:spacing w:before="0" w:after="0"/>
              <w:rPr>
                <w:sz w:val="20"/>
                <w:szCs w:val="20"/>
              </w:rPr>
            </w:pPr>
            <w:r w:rsidRPr="0038777B">
              <w:rPr>
                <w:sz w:val="20"/>
                <w:szCs w:val="20"/>
              </w:rPr>
              <w:t>2.4: Universal access to the Internet for all schools</w:t>
            </w:r>
          </w:p>
        </w:tc>
        <w:tc>
          <w:tcPr>
            <w:tcW w:w="2693" w:type="dxa"/>
          </w:tcPr>
          <w:p w14:paraId="6B4B42A2" w14:textId="289A905C" w:rsidR="0038777B" w:rsidRPr="0038777B" w:rsidRDefault="005F4B48" w:rsidP="0070731E">
            <w:pPr>
              <w:spacing w:before="0" w:after="0"/>
              <w:rPr>
                <w:sz w:val="20"/>
                <w:szCs w:val="20"/>
              </w:rPr>
            </w:pPr>
            <w:r>
              <w:rPr>
                <w:sz w:val="20"/>
                <w:szCs w:val="20"/>
              </w:rPr>
              <w:t xml:space="preserve">- </w:t>
            </w:r>
            <w:r w:rsidR="000F352E">
              <w:rPr>
                <w:sz w:val="20"/>
                <w:szCs w:val="20"/>
              </w:rPr>
              <w:t>% of schools with Internet access</w:t>
            </w:r>
          </w:p>
        </w:tc>
        <w:tc>
          <w:tcPr>
            <w:tcW w:w="3969" w:type="dxa"/>
          </w:tcPr>
          <w:p w14:paraId="3355C2A2" w14:textId="222AAEAB" w:rsidR="0038777B" w:rsidRPr="00981FB8" w:rsidRDefault="00FC5E6A" w:rsidP="0070731E">
            <w:pPr>
              <w:spacing w:before="0" w:after="0"/>
              <w:rPr>
                <w:i/>
                <w:iCs/>
                <w:sz w:val="20"/>
                <w:szCs w:val="20"/>
              </w:rPr>
            </w:pPr>
            <w:r w:rsidRPr="00981FB8">
              <w:rPr>
                <w:i/>
                <w:iCs/>
                <w:sz w:val="20"/>
                <w:szCs w:val="20"/>
              </w:rPr>
              <w:t>(</w:t>
            </w:r>
            <w:r w:rsidR="00A05EC6">
              <w:rPr>
                <w:i/>
                <w:iCs/>
                <w:sz w:val="20"/>
                <w:szCs w:val="20"/>
              </w:rPr>
              <w:t xml:space="preserve">Measured by </w:t>
            </w:r>
            <w:r w:rsidR="00A05EC6" w:rsidRPr="00A05EC6">
              <w:rPr>
                <w:i/>
                <w:iCs/>
                <w:sz w:val="20"/>
                <w:szCs w:val="20"/>
              </w:rPr>
              <w:t xml:space="preserve">UNESCO (UIS), </w:t>
            </w:r>
            <w:r w:rsidR="00A05EC6">
              <w:rPr>
                <w:i/>
                <w:iCs/>
                <w:sz w:val="20"/>
                <w:szCs w:val="20"/>
              </w:rPr>
              <w:t xml:space="preserve">as </w:t>
            </w:r>
            <w:r w:rsidR="00A05EC6" w:rsidRPr="00A05EC6">
              <w:rPr>
                <w:i/>
                <w:iCs/>
                <w:sz w:val="20"/>
                <w:szCs w:val="20"/>
              </w:rPr>
              <w:t>part of SDG indicator 4.a.1</w:t>
            </w:r>
            <w:r w:rsidR="00A05EC6">
              <w:rPr>
                <w:i/>
                <w:iCs/>
                <w:sz w:val="20"/>
                <w:szCs w:val="20"/>
              </w:rPr>
              <w:t>)</w:t>
            </w:r>
          </w:p>
        </w:tc>
      </w:tr>
      <w:tr w:rsidR="0038777B" w:rsidRPr="00823670" w14:paraId="78C72FB8" w14:textId="0FD9954F" w:rsidTr="008F28F9">
        <w:tc>
          <w:tcPr>
            <w:tcW w:w="704" w:type="dxa"/>
            <w:vMerge/>
          </w:tcPr>
          <w:p w14:paraId="0959A5D7" w14:textId="77777777" w:rsidR="0038777B" w:rsidRPr="0038777B" w:rsidRDefault="0038777B" w:rsidP="0070731E">
            <w:pPr>
              <w:spacing w:before="0" w:after="0"/>
              <w:rPr>
                <w:sz w:val="20"/>
                <w:szCs w:val="20"/>
              </w:rPr>
            </w:pPr>
          </w:p>
        </w:tc>
        <w:tc>
          <w:tcPr>
            <w:tcW w:w="2410" w:type="dxa"/>
          </w:tcPr>
          <w:p w14:paraId="4F3BE01A" w14:textId="77777777" w:rsidR="0038777B" w:rsidRPr="0038777B" w:rsidRDefault="0038777B" w:rsidP="0070731E">
            <w:pPr>
              <w:spacing w:before="0" w:after="0"/>
              <w:rPr>
                <w:sz w:val="20"/>
                <w:szCs w:val="20"/>
              </w:rPr>
            </w:pPr>
            <w:r w:rsidRPr="0038777B">
              <w:rPr>
                <w:sz w:val="20"/>
                <w:szCs w:val="20"/>
              </w:rPr>
              <w:t>2.5: Majority of individuals to have digital skills</w:t>
            </w:r>
          </w:p>
        </w:tc>
        <w:tc>
          <w:tcPr>
            <w:tcW w:w="2693" w:type="dxa"/>
          </w:tcPr>
          <w:p w14:paraId="47112BB9" w14:textId="539E9A29" w:rsidR="0038777B" w:rsidRPr="0038777B" w:rsidRDefault="005F4B48" w:rsidP="0070731E">
            <w:pPr>
              <w:spacing w:before="0" w:after="0"/>
              <w:rPr>
                <w:sz w:val="20"/>
                <w:szCs w:val="20"/>
              </w:rPr>
            </w:pPr>
            <w:r>
              <w:rPr>
                <w:sz w:val="20"/>
                <w:szCs w:val="20"/>
              </w:rPr>
              <w:t xml:space="preserve">- </w:t>
            </w:r>
            <w:r w:rsidR="006E2F8C" w:rsidRPr="006E2F8C">
              <w:rPr>
                <w:sz w:val="20"/>
                <w:szCs w:val="20"/>
              </w:rPr>
              <w:t xml:space="preserve">% of youth and adults with information and communications technology (ICT) skills, by type of skill  </w:t>
            </w:r>
          </w:p>
        </w:tc>
        <w:tc>
          <w:tcPr>
            <w:tcW w:w="3969" w:type="dxa"/>
          </w:tcPr>
          <w:p w14:paraId="2941B7FD" w14:textId="3E12D774" w:rsidR="0038777B" w:rsidRPr="0038777B" w:rsidRDefault="0029264B" w:rsidP="0070731E">
            <w:pPr>
              <w:spacing w:before="0" w:after="0"/>
              <w:rPr>
                <w:sz w:val="20"/>
                <w:szCs w:val="20"/>
              </w:rPr>
            </w:pPr>
            <w:r w:rsidRPr="002C1B2B">
              <w:rPr>
                <w:i/>
                <w:iCs/>
                <w:sz w:val="20"/>
                <w:szCs w:val="20"/>
              </w:rPr>
              <w:t>Target 2.10</w:t>
            </w:r>
            <w:r w:rsidRPr="0029264B">
              <w:rPr>
                <w:sz w:val="20"/>
                <w:szCs w:val="20"/>
              </w:rPr>
              <w:t>: improve by 40% the proportion of youth/adults with telecommunication/ICT skills</w:t>
            </w:r>
          </w:p>
        </w:tc>
      </w:tr>
      <w:tr w:rsidR="0038777B" w:rsidRPr="00823670" w14:paraId="68635418" w14:textId="58414E27" w:rsidTr="008F28F9">
        <w:tc>
          <w:tcPr>
            <w:tcW w:w="704" w:type="dxa"/>
            <w:vMerge/>
          </w:tcPr>
          <w:p w14:paraId="0C7EAC0B" w14:textId="77777777" w:rsidR="0038777B" w:rsidRPr="0038777B" w:rsidRDefault="0038777B" w:rsidP="0070731E">
            <w:pPr>
              <w:spacing w:before="0" w:after="0"/>
              <w:rPr>
                <w:sz w:val="20"/>
                <w:szCs w:val="20"/>
              </w:rPr>
            </w:pPr>
          </w:p>
        </w:tc>
        <w:tc>
          <w:tcPr>
            <w:tcW w:w="2410" w:type="dxa"/>
          </w:tcPr>
          <w:p w14:paraId="729AE1C2" w14:textId="77777777" w:rsidR="0038777B" w:rsidRPr="0038777B" w:rsidRDefault="0038777B" w:rsidP="0070731E">
            <w:pPr>
              <w:spacing w:before="0" w:after="0"/>
              <w:rPr>
                <w:sz w:val="20"/>
                <w:szCs w:val="20"/>
              </w:rPr>
            </w:pPr>
            <w:r w:rsidRPr="0038777B">
              <w:rPr>
                <w:sz w:val="20"/>
                <w:szCs w:val="20"/>
              </w:rPr>
              <w:t>2.6: Majority of individuals to be interacting with government services online</w:t>
            </w:r>
          </w:p>
        </w:tc>
        <w:tc>
          <w:tcPr>
            <w:tcW w:w="2693" w:type="dxa"/>
          </w:tcPr>
          <w:p w14:paraId="3AD3BF6C" w14:textId="693B3F9D" w:rsidR="0038777B" w:rsidRPr="0038777B" w:rsidRDefault="005F4B48" w:rsidP="0070731E">
            <w:pPr>
              <w:spacing w:before="0" w:after="0"/>
              <w:rPr>
                <w:sz w:val="20"/>
                <w:szCs w:val="20"/>
              </w:rPr>
            </w:pPr>
            <w:r>
              <w:rPr>
                <w:sz w:val="20"/>
                <w:szCs w:val="20"/>
              </w:rPr>
              <w:t xml:space="preserve">- </w:t>
            </w:r>
            <w:r w:rsidR="005157CD" w:rsidRPr="005157CD">
              <w:rPr>
                <w:sz w:val="20"/>
                <w:szCs w:val="20"/>
              </w:rPr>
              <w:t>% of population interacting with government services online</w:t>
            </w:r>
          </w:p>
        </w:tc>
        <w:tc>
          <w:tcPr>
            <w:tcW w:w="3969" w:type="dxa"/>
          </w:tcPr>
          <w:p w14:paraId="5C60059C" w14:textId="08D09F05" w:rsidR="0038777B" w:rsidRPr="0038777B" w:rsidRDefault="00270909" w:rsidP="0070731E">
            <w:pPr>
              <w:spacing w:before="0" w:after="0"/>
              <w:rPr>
                <w:sz w:val="20"/>
                <w:szCs w:val="20"/>
              </w:rPr>
            </w:pPr>
            <w:r w:rsidRPr="002C1B2B">
              <w:rPr>
                <w:i/>
                <w:iCs/>
                <w:sz w:val="20"/>
                <w:szCs w:val="20"/>
              </w:rPr>
              <w:t>Targ</w:t>
            </w:r>
            <w:r w:rsidR="00086822" w:rsidRPr="002C1B2B">
              <w:rPr>
                <w:i/>
                <w:iCs/>
                <w:sz w:val="20"/>
                <w:szCs w:val="20"/>
              </w:rPr>
              <w:t>et 1.7</w:t>
            </w:r>
            <w:r w:rsidR="00086822" w:rsidRPr="00086822">
              <w:rPr>
                <w:sz w:val="20"/>
                <w:szCs w:val="20"/>
              </w:rPr>
              <w:t>: 40% of the population should be interacting with government services online</w:t>
            </w:r>
          </w:p>
        </w:tc>
      </w:tr>
      <w:tr w:rsidR="0038777B" w:rsidRPr="00823670" w14:paraId="64CDF921" w14:textId="4807DC0D" w:rsidTr="008F28F9">
        <w:tc>
          <w:tcPr>
            <w:tcW w:w="704" w:type="dxa"/>
            <w:vMerge/>
          </w:tcPr>
          <w:p w14:paraId="459E0FF5" w14:textId="77777777" w:rsidR="0038777B" w:rsidRPr="0038777B" w:rsidRDefault="0038777B" w:rsidP="0070731E">
            <w:pPr>
              <w:spacing w:before="0" w:after="0"/>
              <w:rPr>
                <w:sz w:val="20"/>
                <w:szCs w:val="20"/>
              </w:rPr>
            </w:pPr>
          </w:p>
        </w:tc>
        <w:tc>
          <w:tcPr>
            <w:tcW w:w="2410" w:type="dxa"/>
          </w:tcPr>
          <w:p w14:paraId="5BD711C7" w14:textId="77777777" w:rsidR="0038777B" w:rsidRPr="0038777B" w:rsidRDefault="0038777B" w:rsidP="0070731E">
            <w:pPr>
              <w:spacing w:before="0" w:after="0"/>
              <w:rPr>
                <w:sz w:val="20"/>
                <w:szCs w:val="20"/>
              </w:rPr>
            </w:pPr>
            <w:r w:rsidRPr="0038777B">
              <w:rPr>
                <w:sz w:val="20"/>
                <w:szCs w:val="20"/>
              </w:rPr>
              <w:t>2.7: Significantly improve ICTs contribution to climate action</w:t>
            </w:r>
          </w:p>
        </w:tc>
        <w:tc>
          <w:tcPr>
            <w:tcW w:w="2693" w:type="dxa"/>
          </w:tcPr>
          <w:p w14:paraId="2EC23C5B" w14:textId="3C0B95C8" w:rsidR="0038777B" w:rsidRDefault="005F4B48" w:rsidP="004566C1">
            <w:pPr>
              <w:spacing w:before="0" w:after="0"/>
              <w:rPr>
                <w:sz w:val="20"/>
                <w:szCs w:val="20"/>
              </w:rPr>
            </w:pPr>
            <w:r>
              <w:rPr>
                <w:sz w:val="20"/>
                <w:szCs w:val="20"/>
              </w:rPr>
              <w:t xml:space="preserve">- </w:t>
            </w:r>
            <w:r w:rsidR="00C2282E" w:rsidRPr="00C2282E">
              <w:rPr>
                <w:sz w:val="20"/>
                <w:szCs w:val="20"/>
              </w:rPr>
              <w:t>Global e-waste recycling rate</w:t>
            </w:r>
          </w:p>
          <w:p w14:paraId="3A4CCF5E" w14:textId="2EBFE5AB" w:rsidR="00C2282E" w:rsidRDefault="005F4B48" w:rsidP="004566C1">
            <w:pPr>
              <w:spacing w:before="0" w:after="0"/>
              <w:rPr>
                <w:sz w:val="20"/>
                <w:szCs w:val="20"/>
              </w:rPr>
            </w:pPr>
            <w:r>
              <w:rPr>
                <w:sz w:val="20"/>
                <w:szCs w:val="20"/>
              </w:rPr>
              <w:t xml:space="preserve">- </w:t>
            </w:r>
            <w:r w:rsidR="004032DF" w:rsidRPr="004032DF">
              <w:rPr>
                <w:sz w:val="20"/>
                <w:szCs w:val="20"/>
              </w:rPr>
              <w:t>Net</w:t>
            </w:r>
            <w:r w:rsidR="006D33CF">
              <w:rPr>
                <w:sz w:val="20"/>
                <w:szCs w:val="20"/>
              </w:rPr>
              <w:t xml:space="preserve"> </w:t>
            </w:r>
            <w:r w:rsidR="004032DF" w:rsidRPr="004032DF">
              <w:rPr>
                <w:sz w:val="20"/>
                <w:szCs w:val="20"/>
              </w:rPr>
              <w:t>telecommunication/ICT-enabled Greenhouse Gas abatement</w:t>
            </w:r>
          </w:p>
          <w:p w14:paraId="64D1EF16" w14:textId="6795EB4A" w:rsidR="0038777B" w:rsidRPr="0038777B" w:rsidRDefault="005F4B48" w:rsidP="0070731E">
            <w:pPr>
              <w:spacing w:before="0" w:after="0"/>
              <w:rPr>
                <w:sz w:val="20"/>
                <w:szCs w:val="20"/>
              </w:rPr>
            </w:pPr>
            <w:r>
              <w:rPr>
                <w:sz w:val="20"/>
                <w:szCs w:val="20"/>
              </w:rPr>
              <w:t xml:space="preserve">- </w:t>
            </w:r>
            <w:r w:rsidR="006D33CF">
              <w:rPr>
                <w:sz w:val="20"/>
                <w:szCs w:val="20"/>
              </w:rPr>
              <w:t xml:space="preserve">Total </w:t>
            </w:r>
            <w:r w:rsidR="006D33CF" w:rsidRPr="006D33CF">
              <w:rPr>
                <w:sz w:val="20"/>
                <w:szCs w:val="20"/>
              </w:rPr>
              <w:t xml:space="preserve">ICTs </w:t>
            </w:r>
            <w:r w:rsidR="006D33CF">
              <w:rPr>
                <w:sz w:val="20"/>
                <w:szCs w:val="20"/>
              </w:rPr>
              <w:t xml:space="preserve">Carbon </w:t>
            </w:r>
            <w:r w:rsidR="006D33CF" w:rsidRPr="006D33CF">
              <w:rPr>
                <w:sz w:val="20"/>
                <w:szCs w:val="20"/>
              </w:rPr>
              <w:t>footprint</w:t>
            </w:r>
            <w:r w:rsidR="006D33CF">
              <w:rPr>
                <w:sz w:val="20"/>
                <w:szCs w:val="20"/>
              </w:rPr>
              <w:t xml:space="preserve"> (</w:t>
            </w:r>
            <w:r w:rsidR="0025782D">
              <w:rPr>
                <w:sz w:val="20"/>
                <w:szCs w:val="20"/>
              </w:rPr>
              <w:t>broken-down by type of service/provider)</w:t>
            </w:r>
          </w:p>
        </w:tc>
        <w:tc>
          <w:tcPr>
            <w:tcW w:w="3969" w:type="dxa"/>
          </w:tcPr>
          <w:p w14:paraId="0FE4211A" w14:textId="77777777" w:rsidR="0038777B" w:rsidRDefault="00270909" w:rsidP="004566C1">
            <w:pPr>
              <w:spacing w:before="0" w:after="0"/>
              <w:rPr>
                <w:sz w:val="20"/>
                <w:szCs w:val="20"/>
              </w:rPr>
            </w:pPr>
            <w:r w:rsidRPr="002C1B2B">
              <w:rPr>
                <w:i/>
                <w:iCs/>
                <w:sz w:val="20"/>
                <w:szCs w:val="20"/>
              </w:rPr>
              <w:t>Target 3.2</w:t>
            </w:r>
            <w:r w:rsidRPr="00270909">
              <w:rPr>
                <w:sz w:val="20"/>
                <w:szCs w:val="20"/>
              </w:rPr>
              <w:t>: increase the global e-waste recycling rate to 30%</w:t>
            </w:r>
          </w:p>
          <w:p w14:paraId="7091AFA4" w14:textId="360A73AF" w:rsidR="0038777B" w:rsidRPr="0038777B" w:rsidRDefault="006A39E6" w:rsidP="0070731E">
            <w:pPr>
              <w:spacing w:before="0" w:after="0"/>
              <w:rPr>
                <w:sz w:val="20"/>
                <w:szCs w:val="20"/>
              </w:rPr>
            </w:pPr>
            <w:r w:rsidRPr="002C1B2B">
              <w:rPr>
                <w:i/>
                <w:iCs/>
                <w:sz w:val="20"/>
                <w:szCs w:val="20"/>
              </w:rPr>
              <w:t>Target 3.4</w:t>
            </w:r>
            <w:r w:rsidRPr="006A39E6">
              <w:rPr>
                <w:sz w:val="20"/>
                <w:szCs w:val="20"/>
              </w:rPr>
              <w:t>: net telecommunication/ICT-enabled Greenhouse Gas abatement should have increased by 30% (b</w:t>
            </w:r>
            <w:r>
              <w:rPr>
                <w:sz w:val="20"/>
                <w:szCs w:val="20"/>
              </w:rPr>
              <w:t>aseline</w:t>
            </w:r>
            <w:r w:rsidRPr="006A39E6">
              <w:rPr>
                <w:sz w:val="20"/>
                <w:szCs w:val="20"/>
              </w:rPr>
              <w:t xml:space="preserve"> 2010)</w:t>
            </w:r>
          </w:p>
        </w:tc>
      </w:tr>
    </w:tbl>
    <w:p w14:paraId="13CD121E" w14:textId="31D18CEB" w:rsidR="00C8240E" w:rsidRDefault="00696EF1" w:rsidP="00CE2809">
      <w:pPr>
        <w:jc w:val="both"/>
      </w:pPr>
      <w:r w:rsidRPr="00696EF1">
        <w:t xml:space="preserve">Current Targets that will be reflected </w:t>
      </w:r>
      <w:r w:rsidR="005A362E">
        <w:t>under the</w:t>
      </w:r>
      <w:r w:rsidRPr="00696EF1">
        <w:t xml:space="preserve"> Outcome</w:t>
      </w:r>
      <w:r w:rsidR="005A362E">
        <w:t>s</w:t>
      </w:r>
      <w:r w:rsidRPr="00696EF1">
        <w:t xml:space="preserve"> </w:t>
      </w:r>
      <w:r w:rsidR="00C56AF5">
        <w:t xml:space="preserve">of the </w:t>
      </w:r>
      <w:r w:rsidRPr="00696EF1">
        <w:t>Thematic priorities include:</w:t>
      </w:r>
    </w:p>
    <w:p w14:paraId="59B51C64" w14:textId="5AAD9D67" w:rsidR="001B1D76" w:rsidRDefault="001B1D76" w:rsidP="001B1D76">
      <w:pPr>
        <w:pStyle w:val="ListParagraph"/>
        <w:numPr>
          <w:ilvl w:val="0"/>
          <w:numId w:val="33"/>
        </w:numPr>
        <w:jc w:val="both"/>
      </w:pPr>
      <w:r>
        <w:t>Target 1.4: all countries adopt a digital agenda/strategy</w:t>
      </w:r>
    </w:p>
    <w:p w14:paraId="29CD9583" w14:textId="0907F919" w:rsidR="00445D7F" w:rsidRDefault="00445D7F" w:rsidP="001B1D76">
      <w:pPr>
        <w:pStyle w:val="ListParagraph"/>
        <w:numPr>
          <w:ilvl w:val="0"/>
          <w:numId w:val="33"/>
        </w:numPr>
        <w:jc w:val="both"/>
      </w:pPr>
      <w:r w:rsidRPr="00445D7F">
        <w:t>Target 1.5: Increase the number of broadband subscriptions by 50%</w:t>
      </w:r>
    </w:p>
    <w:p w14:paraId="685A285B" w14:textId="6310450B" w:rsidR="00764FBF" w:rsidRDefault="00764FBF" w:rsidP="001B1D76">
      <w:pPr>
        <w:pStyle w:val="ListParagraph"/>
        <w:numPr>
          <w:ilvl w:val="0"/>
          <w:numId w:val="33"/>
        </w:numPr>
        <w:jc w:val="both"/>
      </w:pPr>
      <w:r w:rsidRPr="00764FBF">
        <w:t>Target 2.9: By 2023, enabling environments ensuring accessible telecommunications/ICTs for persons with disabilities should be established in all countries</w:t>
      </w:r>
    </w:p>
    <w:p w14:paraId="68F1A230" w14:textId="3DE1E1AD" w:rsidR="00C8240E" w:rsidRDefault="00696EF1" w:rsidP="00C8240E">
      <w:pPr>
        <w:pStyle w:val="ListParagraph"/>
        <w:numPr>
          <w:ilvl w:val="0"/>
          <w:numId w:val="33"/>
        </w:numPr>
        <w:jc w:val="both"/>
      </w:pPr>
      <w:r w:rsidRPr="00696EF1">
        <w:t>Target 3.1: improve cybersecurity preparedness of countries, with key capabilities: presence of strategy, national computer incident/emergency response teams and legislation</w:t>
      </w:r>
    </w:p>
    <w:p w14:paraId="002E5E8F" w14:textId="05F6339C" w:rsidR="00CE080C" w:rsidRDefault="00696EF1" w:rsidP="00C8240E">
      <w:pPr>
        <w:pStyle w:val="ListParagraph"/>
        <w:numPr>
          <w:ilvl w:val="0"/>
          <w:numId w:val="33"/>
        </w:numPr>
        <w:jc w:val="both"/>
      </w:pPr>
      <w:r w:rsidRPr="00696EF1">
        <w:t xml:space="preserve">Target 3.3: raise the percentage of countries with an e-waste policy, </w:t>
      </w:r>
      <w:proofErr w:type="gramStart"/>
      <w:r w:rsidRPr="00696EF1">
        <w:t>legislation</w:t>
      </w:r>
      <w:proofErr w:type="gramEnd"/>
      <w:r w:rsidRPr="00696EF1">
        <w:t xml:space="preserve"> or regulation to 50%</w:t>
      </w:r>
    </w:p>
    <w:p w14:paraId="3BDE3E18" w14:textId="58C29740" w:rsidR="00246494" w:rsidRDefault="004C242D" w:rsidP="00C8240E">
      <w:pPr>
        <w:pStyle w:val="ListParagraph"/>
        <w:numPr>
          <w:ilvl w:val="0"/>
          <w:numId w:val="33"/>
        </w:numPr>
        <w:jc w:val="both"/>
      </w:pPr>
      <w:r>
        <w:t xml:space="preserve">Target 3.5: </w:t>
      </w:r>
      <w:r w:rsidRPr="004C242D">
        <w:t>By 2023, all countries should have a National Emergency Telecommunication Plan as part of their national and local disaster risk reduction strategies</w:t>
      </w:r>
    </w:p>
    <w:p w14:paraId="07C14316" w14:textId="476F9669" w:rsidR="00CE080C" w:rsidRDefault="00E66799" w:rsidP="00CE2809">
      <w:pPr>
        <w:jc w:val="both"/>
      </w:pPr>
      <w:r>
        <w:t>C</w:t>
      </w:r>
      <w:r w:rsidR="00696EF1" w:rsidRPr="00696EF1">
        <w:t>urrent Targe</w:t>
      </w:r>
      <w:r w:rsidR="00104B93">
        <w:t>t</w:t>
      </w:r>
      <w:r w:rsidR="00696EF1" w:rsidRPr="00696EF1">
        <w:t>s 4.1</w:t>
      </w:r>
      <w:r w:rsidR="00F804BF">
        <w:t xml:space="preserve"> and </w:t>
      </w:r>
      <w:r w:rsidR="00696EF1" w:rsidRPr="00696EF1">
        <w:t>5.1</w:t>
      </w:r>
      <w:r w:rsidR="000F2FE6">
        <w:t xml:space="preserve"> </w:t>
      </w:r>
      <w:r w:rsidR="00E174FB">
        <w:t xml:space="preserve">represent Goals that are more means </w:t>
      </w:r>
      <w:r w:rsidR="009F6684">
        <w:t xml:space="preserve">rather than ends, and their measurement has been </w:t>
      </w:r>
      <w:proofErr w:type="spellStart"/>
      <w:r w:rsidR="009F6684">
        <w:t>provden</w:t>
      </w:r>
      <w:proofErr w:type="spellEnd"/>
      <w:r w:rsidR="009F6684">
        <w:t xml:space="preserve"> extremely difficult (</w:t>
      </w:r>
      <w:r w:rsidR="00FB5D24">
        <w:t xml:space="preserve">were </w:t>
      </w:r>
      <w:r w:rsidR="009F6684">
        <w:t xml:space="preserve">currently </w:t>
      </w:r>
      <w:r w:rsidR="00FB5D24">
        <w:t>measured by proxies</w:t>
      </w:r>
      <w:r w:rsidR="009F6684">
        <w:t>).</w:t>
      </w:r>
    </w:p>
    <w:p w14:paraId="58C42D4B" w14:textId="15FA9E20" w:rsidR="00950A78" w:rsidRDefault="00B92CFF" w:rsidP="000B5816">
      <w:pPr>
        <w:pStyle w:val="Heading2"/>
        <w:spacing w:before="240"/>
      </w:pPr>
      <w:r>
        <w:t xml:space="preserve">3.2 </w:t>
      </w:r>
      <w:r w:rsidR="00E101E3">
        <w:t xml:space="preserve">Thematic Priorities and </w:t>
      </w:r>
      <w:r w:rsidR="00E94451">
        <w:t>O</w:t>
      </w:r>
      <w:r w:rsidR="00E101E3">
        <w:t>utcomes</w:t>
      </w:r>
    </w:p>
    <w:p w14:paraId="39A85DA0" w14:textId="1F4D7E37" w:rsidR="00F7557F" w:rsidRPr="00A52CCB" w:rsidRDefault="00F7557F" w:rsidP="00F7557F">
      <w:pPr>
        <w:rPr>
          <w:b/>
        </w:rPr>
      </w:pPr>
      <w:r w:rsidRPr="00A52CCB">
        <w:rPr>
          <w:b/>
        </w:rPr>
        <w:t>Thematic Priorities</w:t>
      </w:r>
    </w:p>
    <w:p w14:paraId="378B321E" w14:textId="1CEFB972" w:rsidR="00217CA9" w:rsidRPr="00A52CCB" w:rsidRDefault="00F76CA3" w:rsidP="00487D9E">
      <w:pPr>
        <w:jc w:val="both"/>
        <w:rPr>
          <w:rFonts w:ascii="Calibri" w:hAnsi="Calibri" w:cs="Calibri"/>
        </w:rPr>
      </w:pPr>
      <w:r>
        <w:rPr>
          <w:rFonts w:ascii="Calibri" w:hAnsi="Calibri" w:cs="Calibri"/>
        </w:rPr>
        <w:t xml:space="preserve">In </w:t>
      </w:r>
      <w:r w:rsidR="003B590D" w:rsidRPr="003B590D">
        <w:rPr>
          <w:rFonts w:ascii="Calibri" w:hAnsi="Calibri" w:cs="Calibri"/>
        </w:rPr>
        <w:t>address</w:t>
      </w:r>
      <w:r>
        <w:rPr>
          <w:rFonts w:ascii="Calibri" w:hAnsi="Calibri" w:cs="Calibri"/>
        </w:rPr>
        <w:t>ing</w:t>
      </w:r>
      <w:r w:rsidR="003B590D" w:rsidRPr="003B590D">
        <w:rPr>
          <w:rFonts w:ascii="Calibri" w:hAnsi="Calibri" w:cs="Calibri"/>
        </w:rPr>
        <w:t xml:space="preserve"> membership guidance to </w:t>
      </w:r>
      <w:r w:rsidR="001862FF">
        <w:rPr>
          <w:rFonts w:ascii="Calibri" w:hAnsi="Calibri" w:cs="Calibri"/>
        </w:rPr>
        <w:t xml:space="preserve">leverage synergies, simplify and </w:t>
      </w:r>
      <w:r w:rsidR="003B590D" w:rsidRPr="003B590D">
        <w:rPr>
          <w:rFonts w:ascii="Calibri" w:hAnsi="Calibri" w:cs="Calibri"/>
        </w:rPr>
        <w:t xml:space="preserve">sharpen the focus of the Strategic Plan, </w:t>
      </w:r>
      <w:r w:rsidR="006D52FA">
        <w:rPr>
          <w:rFonts w:ascii="Calibri" w:hAnsi="Calibri" w:cs="Calibri"/>
        </w:rPr>
        <w:t>t</w:t>
      </w:r>
      <w:r w:rsidR="003B590D" w:rsidRPr="003B590D">
        <w:rPr>
          <w:rFonts w:ascii="Calibri" w:hAnsi="Calibri" w:cs="Calibri"/>
        </w:rPr>
        <w:t>hematic priorities were introduced</w:t>
      </w:r>
      <w:r w:rsidR="001862FF">
        <w:rPr>
          <w:rFonts w:ascii="Calibri" w:hAnsi="Calibri" w:cs="Calibri"/>
        </w:rPr>
        <w:t xml:space="preserve"> to </w:t>
      </w:r>
      <w:r w:rsidR="003B590D" w:rsidRPr="003B590D">
        <w:rPr>
          <w:rFonts w:ascii="Calibri" w:hAnsi="Calibri" w:cs="Calibri"/>
        </w:rPr>
        <w:t>showcase key areas of work the Union focuses on, in which results will be achieved to meet strategic goals. The</w:t>
      </w:r>
      <w:r w:rsidR="00D91817">
        <w:rPr>
          <w:rFonts w:ascii="Calibri" w:hAnsi="Calibri" w:cs="Calibri"/>
        </w:rPr>
        <w:t>se thematic priorities</w:t>
      </w:r>
      <w:r w:rsidR="003B590D" w:rsidRPr="003B590D">
        <w:rPr>
          <w:rFonts w:ascii="Calibri" w:hAnsi="Calibri" w:cs="Calibri"/>
        </w:rPr>
        <w:t xml:space="preserve"> distil sectoral and intersectoral objectives into one group of priorities that reflect cross-cutting and sector-specific areas</w:t>
      </w:r>
      <w:r w:rsidR="00773118">
        <w:rPr>
          <w:rFonts w:ascii="Calibri" w:hAnsi="Calibri" w:cs="Calibri"/>
        </w:rPr>
        <w:t>,</w:t>
      </w:r>
      <w:r w:rsidR="000A7B61">
        <w:rPr>
          <w:rFonts w:ascii="Calibri" w:hAnsi="Calibri" w:cs="Calibri"/>
        </w:rPr>
        <w:t xml:space="preserve"> </w:t>
      </w:r>
      <w:r w:rsidR="003B590D" w:rsidRPr="003B590D">
        <w:rPr>
          <w:rFonts w:ascii="Calibri" w:hAnsi="Calibri" w:cs="Calibri"/>
        </w:rPr>
        <w:t xml:space="preserve">while eliminating overlaps present in the </w:t>
      </w:r>
      <w:r w:rsidR="00433A25">
        <w:t>former</w:t>
      </w:r>
      <w:r w:rsidR="00433A25" w:rsidRPr="003B590D">
        <w:rPr>
          <w:rFonts w:ascii="Calibri" w:hAnsi="Calibri" w:cs="Calibri"/>
        </w:rPr>
        <w:t xml:space="preserve"> </w:t>
      </w:r>
      <w:r w:rsidR="003B590D" w:rsidRPr="003B590D">
        <w:rPr>
          <w:rFonts w:ascii="Calibri" w:hAnsi="Calibri" w:cs="Calibri"/>
        </w:rPr>
        <w:t>list of Sector-specific and inter-sectoral objectives.</w:t>
      </w:r>
    </w:p>
    <w:p w14:paraId="765F2E76" w14:textId="233B356C" w:rsidR="00950A0E" w:rsidRPr="0091755C" w:rsidRDefault="00FE196C" w:rsidP="0091755C">
      <w:pPr>
        <w:jc w:val="both"/>
      </w:pPr>
      <w:r>
        <w:t>To create the thematic</w:t>
      </w:r>
      <w:r w:rsidR="0089338B">
        <w:t xml:space="preserve"> priorities</w:t>
      </w:r>
      <w:r w:rsidR="005D0789">
        <w:t xml:space="preserve">, </w:t>
      </w:r>
      <w:r w:rsidR="00326279">
        <w:t xml:space="preserve">the relevant discussions </w:t>
      </w:r>
      <w:r w:rsidR="00645D58">
        <w:t>in the Sector advisory groups were followed</w:t>
      </w:r>
      <w:r w:rsidR="005D0789">
        <w:t>.</w:t>
      </w:r>
      <w:r w:rsidR="00D22EA6">
        <w:t xml:space="preserve"> </w:t>
      </w:r>
      <w:r w:rsidR="00CE6D0D">
        <w:t>T</w:t>
      </w:r>
      <w:r w:rsidR="00A43EBE">
        <w:t xml:space="preserve">hematic priorities were </w:t>
      </w:r>
      <w:r w:rsidR="00CE6D0D">
        <w:t xml:space="preserve">thereby </w:t>
      </w:r>
      <w:r w:rsidR="007E5907">
        <w:t>developed</w:t>
      </w:r>
      <w:r w:rsidR="00CE6D0D">
        <w:t>,</w:t>
      </w:r>
      <w:r w:rsidR="00626E0C">
        <w:t xml:space="preserve"> </w:t>
      </w:r>
      <w:r w:rsidR="008323EB">
        <w:t xml:space="preserve">based on </w:t>
      </w:r>
      <w:r w:rsidR="008F0ECD">
        <w:t xml:space="preserve">existing sectoral and intersectoral objectives from the 2020-2023 </w:t>
      </w:r>
      <w:r w:rsidR="00626E0C">
        <w:t xml:space="preserve">Strategic Plan, </w:t>
      </w:r>
      <w:r w:rsidR="00076970">
        <w:t xml:space="preserve">which </w:t>
      </w:r>
      <w:r w:rsidR="007E5907">
        <w:t>were directly mapped against the thematic priorities.</w:t>
      </w:r>
      <w:r w:rsidR="00A61007">
        <w:t xml:space="preserve"> A benchmarking exercise of peer UN entities was also conducted. This found that other organizations articulated unified focus areas to deliver organizational goals. </w:t>
      </w:r>
      <w:r w:rsidR="0091755C">
        <w:t>T</w:t>
      </w:r>
      <w:r w:rsidR="00950A0E">
        <w:t xml:space="preserve">o develop and </w:t>
      </w:r>
      <w:r w:rsidR="00CB7F96">
        <w:t>finalize the thematic priorities,</w:t>
      </w:r>
      <w:r w:rsidR="00AF777A">
        <w:t xml:space="preserve"> extensive consultations were then held </w:t>
      </w:r>
      <w:r w:rsidR="00076970">
        <w:t xml:space="preserve">across the </w:t>
      </w:r>
      <w:r w:rsidR="009F739B">
        <w:t>Secretariat</w:t>
      </w:r>
      <w:r w:rsidR="00950A0E">
        <w:t>, with the Sectors</w:t>
      </w:r>
      <w:r w:rsidR="009F739B">
        <w:t xml:space="preserve"> </w:t>
      </w:r>
      <w:r w:rsidR="00AF777A">
        <w:t xml:space="preserve">to ensure </w:t>
      </w:r>
      <w:r w:rsidR="00DA34DE">
        <w:t>t</w:t>
      </w:r>
      <w:r w:rsidR="009F739B">
        <w:t xml:space="preserve">he thematic </w:t>
      </w:r>
      <w:r w:rsidR="00DE4235">
        <w:t>priorities</w:t>
      </w:r>
      <w:r w:rsidR="009F739B">
        <w:t xml:space="preserve"> </w:t>
      </w:r>
      <w:r w:rsidR="00950A0E">
        <w:t xml:space="preserve">accurately </w:t>
      </w:r>
      <w:r w:rsidR="00DE4235">
        <w:t xml:space="preserve">reflected </w:t>
      </w:r>
      <w:r w:rsidR="00950A0E">
        <w:t xml:space="preserve">their </w:t>
      </w:r>
      <w:r w:rsidR="008754B6">
        <w:t xml:space="preserve">main </w:t>
      </w:r>
      <w:r w:rsidR="00950A0E">
        <w:t>areas of work</w:t>
      </w:r>
      <w:r w:rsidR="00BF6FAC">
        <w:t xml:space="preserve"> and </w:t>
      </w:r>
      <w:r w:rsidR="00DE4235">
        <w:t>cross-sectoral</w:t>
      </w:r>
      <w:r w:rsidR="00D11255">
        <w:t xml:space="preserve"> </w:t>
      </w:r>
      <w:proofErr w:type="gramStart"/>
      <w:r w:rsidR="00D11255">
        <w:t>synergies</w:t>
      </w:r>
      <w:r w:rsidR="00BF6FAC">
        <w:t>,</w:t>
      </w:r>
      <w:r w:rsidR="00950A0E">
        <w:t xml:space="preserve"> and</w:t>
      </w:r>
      <w:proofErr w:type="gramEnd"/>
      <w:r w:rsidR="00D11255">
        <w:t xml:space="preserve"> avoided duplication.</w:t>
      </w:r>
    </w:p>
    <w:p w14:paraId="6DCF9AD5" w14:textId="41026841" w:rsidR="003E5C33" w:rsidRDefault="003E5C33" w:rsidP="000A6409">
      <w:pPr>
        <w:keepNext/>
        <w:keepLines/>
        <w:rPr>
          <w:b/>
          <w:bCs/>
        </w:rPr>
      </w:pPr>
      <w:r w:rsidRPr="00A52CCB">
        <w:rPr>
          <w:b/>
          <w:bCs/>
        </w:rPr>
        <w:t>Outcomes</w:t>
      </w:r>
    </w:p>
    <w:p w14:paraId="0A29A9DA" w14:textId="4660893E" w:rsidR="00577D11" w:rsidRDefault="003B590D" w:rsidP="000A6409">
      <w:pPr>
        <w:keepNext/>
        <w:keepLines/>
        <w:jc w:val="both"/>
      </w:pPr>
      <w:r w:rsidRPr="003B590D">
        <w:t xml:space="preserve">In </w:t>
      </w:r>
      <w:r>
        <w:t xml:space="preserve">responding to </w:t>
      </w:r>
      <w:r w:rsidRPr="003B590D">
        <w:t>membership guidance to simplify the strategic framework</w:t>
      </w:r>
      <w:r w:rsidR="0088638C">
        <w:t>, sharpen its focus</w:t>
      </w:r>
      <w:r w:rsidR="00A35CA6">
        <w:t xml:space="preserve"> and </w:t>
      </w:r>
      <w:r w:rsidR="00E348B7">
        <w:t>enhance ITU’s results framework</w:t>
      </w:r>
      <w:r w:rsidRPr="003B590D">
        <w:t>,</w:t>
      </w:r>
      <w:r w:rsidR="008E7C93" w:rsidRPr="008E7C93">
        <w:t xml:space="preserve"> the </w:t>
      </w:r>
      <w:r w:rsidR="00D1627F">
        <w:t xml:space="preserve">draft </w:t>
      </w:r>
      <w:r w:rsidR="008E7C93" w:rsidRPr="008E7C93">
        <w:t>2024-2027 Strategic Plan</w:t>
      </w:r>
      <w:r w:rsidR="00CE2D41">
        <w:t xml:space="preserve"> </w:t>
      </w:r>
      <w:r w:rsidR="008E7C93">
        <w:t>consolidate</w:t>
      </w:r>
      <w:r w:rsidR="00CE2D41">
        <w:t>s</w:t>
      </w:r>
      <w:r w:rsidR="008E7C93">
        <w:t xml:space="preserve"> </w:t>
      </w:r>
      <w:r w:rsidR="008E7C93" w:rsidRPr="008E7C93">
        <w:t xml:space="preserve">the expected outcomes of </w:t>
      </w:r>
      <w:r w:rsidR="00093F8A">
        <w:t>ITU’</w:t>
      </w:r>
      <w:r w:rsidR="008E7C93" w:rsidRPr="008E7C93">
        <w:t>s work under each thematic priority</w:t>
      </w:r>
      <w:r w:rsidR="0053524B">
        <w:t xml:space="preserve">. </w:t>
      </w:r>
      <w:r w:rsidR="008E7C93">
        <w:t>Progress against t</w:t>
      </w:r>
      <w:r w:rsidR="00E348B7">
        <w:t>hese</w:t>
      </w:r>
      <w:r w:rsidR="00796271">
        <w:t xml:space="preserve"> outcomes</w:t>
      </w:r>
      <w:r w:rsidR="00E348B7">
        <w:t xml:space="preserve"> </w:t>
      </w:r>
      <w:r w:rsidR="00CE2D41">
        <w:t xml:space="preserve">will </w:t>
      </w:r>
      <w:r w:rsidR="00892E50">
        <w:t xml:space="preserve">then </w:t>
      </w:r>
      <w:r w:rsidR="00E348B7">
        <w:t xml:space="preserve">be measured in the results framework </w:t>
      </w:r>
      <w:r w:rsidRPr="003B590D">
        <w:t>using SMART outcome indicators. The</w:t>
      </w:r>
      <w:r w:rsidR="00150FA9">
        <w:t>se</w:t>
      </w:r>
      <w:r w:rsidR="0053524B">
        <w:t xml:space="preserve"> outcomes</w:t>
      </w:r>
      <w:r w:rsidRPr="003B590D">
        <w:t xml:space="preserve"> </w:t>
      </w:r>
      <w:r w:rsidR="005A19D9">
        <w:t xml:space="preserve">serve as the </w:t>
      </w:r>
      <w:r w:rsidRPr="003B590D">
        <w:t xml:space="preserve">building blocks of the Union’s impact that, if collectively achieved, </w:t>
      </w:r>
      <w:r w:rsidR="00CE2D41">
        <w:t>will</w:t>
      </w:r>
      <w:r w:rsidRPr="003B590D">
        <w:t xml:space="preserve"> </w:t>
      </w:r>
      <w:r w:rsidR="005A19D9">
        <w:t>enable</w:t>
      </w:r>
      <w:r w:rsidR="007259C8">
        <w:t xml:space="preserve"> </w:t>
      </w:r>
      <w:r w:rsidRPr="003B590D">
        <w:t xml:space="preserve">ITU </w:t>
      </w:r>
      <w:r w:rsidR="005A19D9">
        <w:t xml:space="preserve">to achieve </w:t>
      </w:r>
      <w:r w:rsidRPr="003B590D">
        <w:t xml:space="preserve">its </w:t>
      </w:r>
      <w:r w:rsidR="00636121">
        <w:t>S</w:t>
      </w:r>
      <w:r w:rsidRPr="003B590D">
        <w:t xml:space="preserve">trategic </w:t>
      </w:r>
      <w:r w:rsidR="00636121">
        <w:t>G</w:t>
      </w:r>
      <w:r w:rsidR="00433A25">
        <w:t>oals.</w:t>
      </w:r>
    </w:p>
    <w:p w14:paraId="078CDA3A" w14:textId="33A9FD11" w:rsidR="00DE4235" w:rsidRPr="00A52CCB" w:rsidRDefault="008428EC" w:rsidP="00487D9E">
      <w:pPr>
        <w:jc w:val="both"/>
      </w:pPr>
      <w:r>
        <w:t xml:space="preserve">To </w:t>
      </w:r>
      <w:r w:rsidR="00567CE6">
        <w:t>develop</w:t>
      </w:r>
      <w:r w:rsidR="00B21F06">
        <w:t xml:space="preserve"> the updated </w:t>
      </w:r>
      <w:r w:rsidR="00A65D01">
        <w:t>outcomes</w:t>
      </w:r>
      <w:r w:rsidR="004C7D15">
        <w:t xml:space="preserve">, </w:t>
      </w:r>
      <w:r>
        <w:t>outcomes</w:t>
      </w:r>
      <w:r w:rsidR="00B21F06">
        <w:t xml:space="preserve"> in the former Strategic Plan</w:t>
      </w:r>
      <w:r>
        <w:t xml:space="preserve"> were mapped to thematic </w:t>
      </w:r>
      <w:r w:rsidR="00A65D01">
        <w:t>priori</w:t>
      </w:r>
      <w:r w:rsidR="003B3367">
        <w:t>ties</w:t>
      </w:r>
      <w:r w:rsidR="00C406EF">
        <w:t xml:space="preserve"> </w:t>
      </w:r>
      <w:r w:rsidR="008032C4">
        <w:t xml:space="preserve">and </w:t>
      </w:r>
      <w:r w:rsidR="003474FE">
        <w:t xml:space="preserve">iterated </w:t>
      </w:r>
      <w:r w:rsidR="00930787">
        <w:t>with</w:t>
      </w:r>
      <w:r w:rsidR="009F5459">
        <w:t>in</w:t>
      </w:r>
      <w:r w:rsidR="00930787">
        <w:t xml:space="preserve"> the </w:t>
      </w:r>
      <w:r w:rsidR="006163B1">
        <w:t xml:space="preserve">Bureaux </w:t>
      </w:r>
      <w:r w:rsidR="00892E50">
        <w:t xml:space="preserve">and </w:t>
      </w:r>
      <w:r w:rsidR="009B1A78" w:rsidRPr="004E12F1">
        <w:rPr>
          <w:lang w:val="en-US"/>
        </w:rPr>
        <w:t>General Secretariat</w:t>
      </w:r>
      <w:r w:rsidR="003474FE">
        <w:t xml:space="preserve">. </w:t>
      </w:r>
      <w:r w:rsidR="00B91BC6">
        <w:t xml:space="preserve">Since </w:t>
      </w:r>
      <w:r w:rsidR="003474FE">
        <w:t>several outcomes in the former Strategic Plan</w:t>
      </w:r>
      <w:r w:rsidR="00B91BC6">
        <w:t xml:space="preserve"> </w:t>
      </w:r>
      <w:r w:rsidR="00B91BC6">
        <w:lastRenderedPageBreak/>
        <w:t xml:space="preserve">were </w:t>
      </w:r>
      <w:r w:rsidR="005316D3">
        <w:t>more granular</w:t>
      </w:r>
      <w:r w:rsidR="00B91BC6">
        <w:t>, these were used to create outcome indicator</w:t>
      </w:r>
      <w:r w:rsidR="005316D3">
        <w:t xml:space="preserve">s. </w:t>
      </w:r>
      <w:r w:rsidR="001F3932">
        <w:t xml:space="preserve">The outcome indicators are currently being refined </w:t>
      </w:r>
      <w:r w:rsidR="00B940A3">
        <w:t>by the Bureaux</w:t>
      </w:r>
      <w:r w:rsidR="00140391">
        <w:t xml:space="preserve"> and the General Secretariat </w:t>
      </w:r>
      <w:r w:rsidR="00C5590D">
        <w:t xml:space="preserve">and will be incorporated in the draft </w:t>
      </w:r>
      <w:r w:rsidR="00FB15BF">
        <w:t>S</w:t>
      </w:r>
      <w:r w:rsidR="00C5590D">
        <w:t xml:space="preserve">trategic </w:t>
      </w:r>
      <w:r w:rsidR="00FB15BF">
        <w:t>P</w:t>
      </w:r>
      <w:r w:rsidR="00C5590D">
        <w:t xml:space="preserve">lan </w:t>
      </w:r>
      <w:r w:rsidR="00C5590D" w:rsidRPr="00C5590D">
        <w:t xml:space="preserve">after the endorsement of the </w:t>
      </w:r>
      <w:r w:rsidR="00C5590D">
        <w:t>framework</w:t>
      </w:r>
      <w:r w:rsidR="00FD063D">
        <w:t>.</w:t>
      </w:r>
    </w:p>
    <w:p w14:paraId="115C73C3" w14:textId="5E2049FE" w:rsidR="00303EA4" w:rsidRPr="007D0CDD" w:rsidRDefault="00B92CFF" w:rsidP="000B5816">
      <w:pPr>
        <w:pStyle w:val="Heading2"/>
        <w:spacing w:before="240"/>
      </w:pPr>
      <w:r>
        <w:t xml:space="preserve">3.3 </w:t>
      </w:r>
      <w:r w:rsidR="002D2D7C">
        <w:t>Product &amp; Service Offerings and O</w:t>
      </w:r>
      <w:r w:rsidR="00515DCE">
        <w:t>utputs</w:t>
      </w:r>
    </w:p>
    <w:p w14:paraId="174550CC" w14:textId="12F4D837" w:rsidR="00521FAA" w:rsidRPr="00A52CCB" w:rsidRDefault="00521FAA">
      <w:pPr>
        <w:rPr>
          <w:b/>
        </w:rPr>
      </w:pPr>
      <w:r>
        <w:rPr>
          <w:b/>
          <w:bCs/>
        </w:rPr>
        <w:t>Product &amp; Service Offerings</w:t>
      </w:r>
    </w:p>
    <w:p w14:paraId="3F8A0C11" w14:textId="0C535433" w:rsidR="00B22C3C" w:rsidRDefault="00863F9A" w:rsidP="00487D9E">
      <w:pPr>
        <w:jc w:val="both"/>
      </w:pPr>
      <w:r w:rsidRPr="00863F9A">
        <w:t xml:space="preserve">To showcase ITU’s </w:t>
      </w:r>
      <w:r w:rsidR="009A5EB5">
        <w:t xml:space="preserve">combined </w:t>
      </w:r>
      <w:r w:rsidRPr="00863F9A">
        <w:t xml:space="preserve">value proposition and highlight linkages across the full range of its products &amp; services, </w:t>
      </w:r>
      <w:r w:rsidR="00D71D87">
        <w:t xml:space="preserve">the </w:t>
      </w:r>
      <w:r w:rsidR="007A123C">
        <w:t xml:space="preserve">draft </w:t>
      </w:r>
      <w:r w:rsidR="00D71D87">
        <w:t xml:space="preserve">2024-2027 Strategic Plan consolidated </w:t>
      </w:r>
      <w:r w:rsidRPr="00863F9A">
        <w:t xml:space="preserve">Sector and </w:t>
      </w:r>
      <w:r w:rsidR="009B1A78" w:rsidRPr="004E12F1">
        <w:rPr>
          <w:lang w:val="en-US"/>
        </w:rPr>
        <w:t xml:space="preserve">General Secretariat </w:t>
      </w:r>
      <w:r w:rsidRPr="00863F9A">
        <w:t>offerings</w:t>
      </w:r>
      <w:r w:rsidR="00D365BB">
        <w:t>, or ‘activities’</w:t>
      </w:r>
      <w:r w:rsidR="00D71D87">
        <w:t xml:space="preserve"> </w:t>
      </w:r>
      <w:r w:rsidRPr="00863F9A">
        <w:t>in</w:t>
      </w:r>
      <w:r w:rsidR="002939FC">
        <w:t xml:space="preserve">to </w:t>
      </w:r>
      <w:r w:rsidRPr="00863F9A">
        <w:t xml:space="preserve">cross-cutting ITU product &amp; service offerings. </w:t>
      </w:r>
      <w:r w:rsidR="003D364D">
        <w:t xml:space="preserve">Meanwhile, to enable </w:t>
      </w:r>
      <w:r w:rsidRPr="00863F9A">
        <w:t xml:space="preserve">the Sectors and </w:t>
      </w:r>
      <w:r w:rsidR="009B1A78" w:rsidRPr="004E12F1">
        <w:rPr>
          <w:lang w:val="en-US"/>
        </w:rPr>
        <w:t xml:space="preserve">General Secretariat </w:t>
      </w:r>
      <w:r w:rsidRPr="00863F9A">
        <w:t xml:space="preserve">to tailor products &amp; services and resource allocation to their specific mandates, detailed information on how the Sectors and </w:t>
      </w:r>
      <w:r w:rsidR="009B1A78" w:rsidRPr="004E12F1">
        <w:rPr>
          <w:lang w:val="en-US"/>
        </w:rPr>
        <w:t xml:space="preserve">General Secretariat </w:t>
      </w:r>
      <w:r w:rsidRPr="00863F9A">
        <w:t xml:space="preserve">deploy their offerings </w:t>
      </w:r>
      <w:r w:rsidR="00CE2D41">
        <w:t>will</w:t>
      </w:r>
      <w:r w:rsidRPr="00863F9A">
        <w:t xml:space="preserve"> be included in the Operational Plans</w:t>
      </w:r>
      <w:r w:rsidR="0089783F">
        <w:t>.</w:t>
      </w:r>
    </w:p>
    <w:p w14:paraId="4523E023" w14:textId="27D67B33" w:rsidR="00D45F94" w:rsidRDefault="00500E53" w:rsidP="00487D9E">
      <w:pPr>
        <w:jc w:val="both"/>
      </w:pPr>
      <w:r>
        <w:t>T</w:t>
      </w:r>
      <w:r w:rsidR="00EE4CB3">
        <w:t xml:space="preserve">o develop these overarching </w:t>
      </w:r>
      <w:r w:rsidR="00D45F94">
        <w:t>product</w:t>
      </w:r>
      <w:r>
        <w:t>s</w:t>
      </w:r>
      <w:r w:rsidR="00D45F94">
        <w:t xml:space="preserve"> &amp; service</w:t>
      </w:r>
      <w:r w:rsidR="00521FAA">
        <w:t>s</w:t>
      </w:r>
      <w:r w:rsidR="00EE4CB3">
        <w:t xml:space="preserve">, existing Sector activities were </w:t>
      </w:r>
      <w:r w:rsidR="001E09DE">
        <w:t xml:space="preserve">grouped and </w:t>
      </w:r>
      <w:r w:rsidR="00EF0B17">
        <w:t>reformulated to highlight common areas of work</w:t>
      </w:r>
      <w:r w:rsidR="00B22C3C">
        <w:t xml:space="preserve"> </w:t>
      </w:r>
      <w:r w:rsidR="00EF0B17">
        <w:t xml:space="preserve">while reflecting the specificity of existing Sector and </w:t>
      </w:r>
      <w:r w:rsidR="009B1A78" w:rsidRPr="004E12F1">
        <w:rPr>
          <w:lang w:val="en-US"/>
        </w:rPr>
        <w:t xml:space="preserve">General Secretariat </w:t>
      </w:r>
      <w:r w:rsidR="00EF0B17">
        <w:t>offerings.</w:t>
      </w:r>
    </w:p>
    <w:p w14:paraId="099A6A28" w14:textId="53E6203F" w:rsidR="00D45F94" w:rsidRDefault="00521FAA">
      <w:pPr>
        <w:rPr>
          <w:b/>
          <w:bCs/>
        </w:rPr>
      </w:pPr>
      <w:r w:rsidRPr="00A52CCB">
        <w:rPr>
          <w:b/>
        </w:rPr>
        <w:t>Outputs</w:t>
      </w:r>
    </w:p>
    <w:p w14:paraId="71F6DC54" w14:textId="6A4120ED" w:rsidR="00E741E7" w:rsidRPr="007D0CDD" w:rsidRDefault="000C6D1F" w:rsidP="00487D9E">
      <w:pPr>
        <w:jc w:val="both"/>
      </w:pPr>
      <w:r>
        <w:t>O</w:t>
      </w:r>
      <w:r w:rsidR="000C3FE4">
        <w:t xml:space="preserve">utputs </w:t>
      </w:r>
      <w:r w:rsidR="00DF22C9">
        <w:t xml:space="preserve">will be </w:t>
      </w:r>
      <w:r w:rsidR="00FA71D3">
        <w:t xml:space="preserve">defined in the </w:t>
      </w:r>
      <w:r w:rsidR="000C3FE4">
        <w:t>Operational Plan</w:t>
      </w:r>
      <w:r w:rsidR="00FA71D3">
        <w:t>s</w:t>
      </w:r>
      <w:r w:rsidR="00AA7E15">
        <w:t xml:space="preserve">. These </w:t>
      </w:r>
      <w:r w:rsidR="00E60669">
        <w:t xml:space="preserve">would assess </w:t>
      </w:r>
      <w:r w:rsidR="00DC51A0">
        <w:t>the tangible results</w:t>
      </w:r>
      <w:r w:rsidR="005D24B6">
        <w:t xml:space="preserve"> and</w:t>
      </w:r>
      <w:r w:rsidR="00DC51A0">
        <w:t xml:space="preserve"> deliverables</w:t>
      </w:r>
      <w:r w:rsidR="005D24B6">
        <w:t xml:space="preserve"> that are achieved </w:t>
      </w:r>
      <w:proofErr w:type="gramStart"/>
      <w:r w:rsidR="005D24B6">
        <w:t>as a result of</w:t>
      </w:r>
      <w:proofErr w:type="gramEnd"/>
      <w:r w:rsidR="00E60669">
        <w:t xml:space="preserve"> specific </w:t>
      </w:r>
      <w:r w:rsidR="005D24B6">
        <w:t xml:space="preserve">offerings and </w:t>
      </w:r>
      <w:r w:rsidR="006C6AAE">
        <w:t xml:space="preserve">will </w:t>
      </w:r>
      <w:r w:rsidR="00FA71D3">
        <w:t xml:space="preserve">be measured by output indicators. </w:t>
      </w:r>
      <w:r w:rsidR="00684D30">
        <w:t>O</w:t>
      </w:r>
      <w:r w:rsidR="00072E2F">
        <w:t xml:space="preserve">utputs </w:t>
      </w:r>
      <w:r w:rsidR="006C6AAE">
        <w:t xml:space="preserve">will </w:t>
      </w:r>
      <w:r w:rsidR="000C3FE4">
        <w:t xml:space="preserve">therefore no longer be included in </w:t>
      </w:r>
      <w:r w:rsidR="00072E2F">
        <w:t xml:space="preserve">the </w:t>
      </w:r>
      <w:r w:rsidR="009F02C0">
        <w:t xml:space="preserve">draft </w:t>
      </w:r>
      <w:r w:rsidR="00072E2F">
        <w:t>Strategic Plan</w:t>
      </w:r>
      <w:r w:rsidR="003661D8">
        <w:t xml:space="preserve">, </w:t>
      </w:r>
      <w:r w:rsidR="00FB2747">
        <w:t xml:space="preserve">to provide Sectors with the flexibility to define their own </w:t>
      </w:r>
      <w:r w:rsidR="00040DA0">
        <w:t>product &amp; service offerings</w:t>
      </w:r>
      <w:r w:rsidR="00FB2747">
        <w:t xml:space="preserve"> and measure those accordingly.</w:t>
      </w:r>
    </w:p>
    <w:p w14:paraId="438F53B8" w14:textId="18D4919F" w:rsidR="00C6167C" w:rsidRDefault="00B92CFF" w:rsidP="000B5816">
      <w:pPr>
        <w:pStyle w:val="Heading2"/>
        <w:spacing w:before="240"/>
      </w:pPr>
      <w:r>
        <w:t xml:space="preserve">3.4 </w:t>
      </w:r>
      <w:r w:rsidR="00724D37">
        <w:t>Enablers</w:t>
      </w:r>
    </w:p>
    <w:p w14:paraId="781C38F0" w14:textId="5F991649" w:rsidR="002C754F" w:rsidRDefault="00E81277" w:rsidP="00DF43B0">
      <w:pPr>
        <w:jc w:val="both"/>
      </w:pPr>
      <w:r>
        <w:t xml:space="preserve">In </w:t>
      </w:r>
      <w:r w:rsidR="00E41027" w:rsidRPr="00E41027">
        <w:t>address</w:t>
      </w:r>
      <w:r>
        <w:t>ing</w:t>
      </w:r>
      <w:r w:rsidR="00E41027" w:rsidRPr="00E41027">
        <w:t xml:space="preserve"> membership guidance to leverage cross-cutting areas</w:t>
      </w:r>
      <w:r w:rsidR="00FE2976">
        <w:t xml:space="preserve"> and reinforce synergies</w:t>
      </w:r>
      <w:r w:rsidR="00E41027" w:rsidRPr="00E41027">
        <w:t xml:space="preserve">, ITU-wide </w:t>
      </w:r>
      <w:r w:rsidR="007E40A9">
        <w:t>E</w:t>
      </w:r>
      <w:r w:rsidR="00E41027" w:rsidRPr="00E41027">
        <w:t>nablers were developed. These were synthesized to capture consistent ways of working across ITU, that build on existing strengths and address weaknesses</w:t>
      </w:r>
      <w:r>
        <w:t>,</w:t>
      </w:r>
      <w:r w:rsidR="00E41027" w:rsidRPr="00E41027">
        <w:t xml:space="preserve"> to accelerate the delivery of ITU's products &amp; services, thematic </w:t>
      </w:r>
      <w:proofErr w:type="gramStart"/>
      <w:r w:rsidR="00E41027" w:rsidRPr="00E41027">
        <w:t>priorities</w:t>
      </w:r>
      <w:proofErr w:type="gramEnd"/>
      <w:r w:rsidR="00E41027" w:rsidRPr="00E41027">
        <w:t xml:space="preserve"> and strategic goals.</w:t>
      </w:r>
      <w:r w:rsidRPr="00E81277">
        <w:t xml:space="preserve"> </w:t>
      </w:r>
      <w:r>
        <w:t>T</w:t>
      </w:r>
      <w:r w:rsidRPr="00F62497">
        <w:t>o respond to membership requests to highlight ITU's regional rol</w:t>
      </w:r>
      <w:r w:rsidR="00980777">
        <w:t xml:space="preserve">e, </w:t>
      </w:r>
      <w:r w:rsidR="007E40A9">
        <w:t xml:space="preserve">Enablers </w:t>
      </w:r>
      <w:r w:rsidR="00E41027" w:rsidRPr="00E41027">
        <w:t xml:space="preserve">were </w:t>
      </w:r>
      <w:r w:rsidR="00F62497">
        <w:t xml:space="preserve">also </w:t>
      </w:r>
      <w:r w:rsidR="00E41027" w:rsidRPr="00E41027">
        <w:t xml:space="preserve">widened to include one focused on Regional Presence. Meanwhile, to recognize the </w:t>
      </w:r>
      <w:r w:rsidR="00980777">
        <w:t xml:space="preserve">continued </w:t>
      </w:r>
      <w:r w:rsidR="00E41027" w:rsidRPr="00E41027">
        <w:t>contribution of</w:t>
      </w:r>
      <w:r w:rsidR="00980777">
        <w:t xml:space="preserve"> the </w:t>
      </w:r>
      <w:r w:rsidR="00E41027" w:rsidRPr="00E41027">
        <w:t>Sectors</w:t>
      </w:r>
      <w:r w:rsidR="00980777">
        <w:t xml:space="preserve"> and </w:t>
      </w:r>
      <w:r w:rsidR="009B1A78" w:rsidRPr="004E12F1">
        <w:rPr>
          <w:lang w:val="en-US"/>
        </w:rPr>
        <w:t>General Secretariat</w:t>
      </w:r>
      <w:r w:rsidR="00E41027" w:rsidRPr="00E41027">
        <w:t>, details on how</w:t>
      </w:r>
      <w:r w:rsidR="0025380D">
        <w:t xml:space="preserve"> they</w:t>
      </w:r>
      <w:r w:rsidR="003E3F0E">
        <w:t xml:space="preserve"> </w:t>
      </w:r>
      <w:r w:rsidR="00EC6B97">
        <w:t xml:space="preserve">incorporate these </w:t>
      </w:r>
      <w:r w:rsidR="007E40A9">
        <w:t xml:space="preserve">Enablers </w:t>
      </w:r>
      <w:r w:rsidR="00EC6B97">
        <w:t xml:space="preserve">in their work </w:t>
      </w:r>
      <w:r w:rsidR="00E41027" w:rsidRPr="00E41027">
        <w:t>and allocate resources were moved to Operational Plans.</w:t>
      </w:r>
    </w:p>
    <w:p w14:paraId="1AB52F76" w14:textId="5A989AA2" w:rsidR="00ED587D" w:rsidRDefault="00722C66" w:rsidP="00487D9E">
      <w:pPr>
        <w:jc w:val="both"/>
      </w:pPr>
      <w:r>
        <w:t xml:space="preserve">To create these </w:t>
      </w:r>
      <w:r w:rsidR="007E40A9">
        <w:t>Enablers</w:t>
      </w:r>
      <w:r>
        <w:t xml:space="preserve">, </w:t>
      </w:r>
      <w:r w:rsidR="007F3AAB">
        <w:t xml:space="preserve">Bureaux </w:t>
      </w:r>
      <w:r>
        <w:t xml:space="preserve">and </w:t>
      </w:r>
      <w:r w:rsidR="009B1A78" w:rsidRPr="004E12F1">
        <w:rPr>
          <w:lang w:val="en-US"/>
        </w:rPr>
        <w:t xml:space="preserve">General Secretariat </w:t>
      </w:r>
      <w:r w:rsidR="007E40A9">
        <w:t>E</w:t>
      </w:r>
      <w:r>
        <w:t xml:space="preserve">nablers were collated and grouped into overarching ITU-wide categories that were mutually exclusive, while collectively exhaustive. These new </w:t>
      </w:r>
      <w:r w:rsidR="007E40A9">
        <w:t>E</w:t>
      </w:r>
      <w:r>
        <w:t>nablers were then reviewed and finalized through extensive consultations and inputs across the Secretariat.</w:t>
      </w:r>
    </w:p>
    <w:p w14:paraId="1BEDAD0E" w14:textId="77777777" w:rsidR="008B1926" w:rsidRPr="008B1926" w:rsidRDefault="008B1926" w:rsidP="008B1926">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Calibri" w:eastAsia="MS Mincho" w:hAnsi="Calibri" w:cs="Arial"/>
          <w:lang w:val="en-US" w:eastAsia="zh-CN"/>
        </w:rPr>
      </w:pPr>
      <w:r w:rsidRPr="008B1926">
        <w:rPr>
          <w:rFonts w:ascii="Times New Roman" w:eastAsia="Times New Roman" w:hAnsi="Times New Roman" w:cs="Times New Roman"/>
          <w:sz w:val="26"/>
          <w:szCs w:val="26"/>
          <w:lang w:val="ru-RU"/>
        </w:rPr>
        <w:t>______________</w:t>
      </w:r>
    </w:p>
    <w:sectPr w:rsidR="008B1926" w:rsidRPr="008B1926" w:rsidSect="008B1926">
      <w:headerReference w:type="default" r:id="rId20"/>
      <w:footerReference w:type="default" r:id="rId21"/>
      <w:footerReference w:type="first" r:id="rId22"/>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5C13" w14:textId="77777777" w:rsidR="009068DC" w:rsidRDefault="009068DC" w:rsidP="006017B8">
      <w:pPr>
        <w:spacing w:before="0" w:after="0" w:line="240" w:lineRule="auto"/>
      </w:pPr>
      <w:r>
        <w:separator/>
      </w:r>
    </w:p>
  </w:endnote>
  <w:endnote w:type="continuationSeparator" w:id="0">
    <w:p w14:paraId="3E17C4ED" w14:textId="77777777" w:rsidR="009068DC" w:rsidRDefault="009068DC" w:rsidP="006017B8">
      <w:pPr>
        <w:spacing w:before="0" w:after="0" w:line="240" w:lineRule="auto"/>
      </w:pPr>
      <w:r>
        <w:continuationSeparator/>
      </w:r>
    </w:p>
  </w:endnote>
  <w:endnote w:type="continuationNotice" w:id="1">
    <w:p w14:paraId="3326C7C4" w14:textId="77777777" w:rsidR="009068DC" w:rsidRDefault="009068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62723"/>
      <w:docPartObj>
        <w:docPartGallery w:val="Page Numbers (Bottom of Page)"/>
        <w:docPartUnique/>
      </w:docPartObj>
    </w:sdtPr>
    <w:sdtEndPr>
      <w:rPr>
        <w:noProof/>
      </w:rPr>
    </w:sdtEndPr>
    <w:sdtContent>
      <w:p w14:paraId="6B39FBFA" w14:textId="2EE2C4C6" w:rsidR="007F0B37" w:rsidRDefault="00462C10">
        <w:pPr>
          <w:pStyle w:val="Footer"/>
          <w:jc w:val="right"/>
        </w:pPr>
      </w:p>
    </w:sdtContent>
  </w:sdt>
  <w:p w14:paraId="2C493CBD" w14:textId="77777777" w:rsidR="006017B8" w:rsidRDefault="00601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C616" w14:textId="77777777" w:rsidR="008B1926" w:rsidRPr="008B1926" w:rsidRDefault="008B1926" w:rsidP="008B1926">
    <w:pPr>
      <w:jc w:val="center"/>
      <w:rPr>
        <w:rFonts w:ascii="Calibri" w:eastAsia="MS Mincho" w:hAnsi="Calibri" w:cs="Arial"/>
        <w:lang w:eastAsia="zh-CN"/>
      </w:rPr>
    </w:pPr>
    <w:r w:rsidRPr="008B1926">
      <w:rPr>
        <w:rFonts w:ascii="Calibri" w:eastAsia="MS Mincho" w:hAnsi="Calibri" w:cs="Arial"/>
        <w:lang w:eastAsia="zh-CN"/>
      </w:rPr>
      <w:t xml:space="preserve">• </w:t>
    </w:r>
    <w:hyperlink r:id="rId1" w:history="1">
      <w:r w:rsidRPr="008B1926">
        <w:rPr>
          <w:rFonts w:ascii="Calibri" w:eastAsia="MS Mincho" w:hAnsi="Calibri" w:cs="Arial"/>
          <w:color w:val="0000FF"/>
          <w:u w:val="single"/>
          <w:lang w:eastAsia="zh-CN"/>
        </w:rPr>
        <w:t>http://www.itu.int/council</w:t>
      </w:r>
    </w:hyperlink>
    <w:r w:rsidRPr="008B1926">
      <w:rPr>
        <w:rFonts w:ascii="Calibri" w:eastAsia="MS Mincho" w:hAnsi="Calibri" w:cs="Arial"/>
        <w:lang w:eastAsia="zh-CN"/>
      </w:rPr>
      <w:t xml:space="preserve"> •</w:t>
    </w:r>
  </w:p>
  <w:p w14:paraId="44A2BCB1" w14:textId="77777777" w:rsidR="008B1926" w:rsidRDefault="008B1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D84D" w14:textId="77777777" w:rsidR="009068DC" w:rsidRDefault="009068DC" w:rsidP="006017B8">
      <w:pPr>
        <w:spacing w:before="0" w:after="0" w:line="240" w:lineRule="auto"/>
      </w:pPr>
      <w:r>
        <w:separator/>
      </w:r>
    </w:p>
  </w:footnote>
  <w:footnote w:type="continuationSeparator" w:id="0">
    <w:p w14:paraId="6AD6775F" w14:textId="77777777" w:rsidR="009068DC" w:rsidRDefault="009068DC" w:rsidP="006017B8">
      <w:pPr>
        <w:spacing w:before="0" w:after="0" w:line="240" w:lineRule="auto"/>
      </w:pPr>
      <w:r>
        <w:continuationSeparator/>
      </w:r>
    </w:p>
  </w:footnote>
  <w:footnote w:type="continuationNotice" w:id="1">
    <w:p w14:paraId="7CC100DA" w14:textId="77777777" w:rsidR="009068DC" w:rsidRDefault="009068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7274"/>
      <w:docPartObj>
        <w:docPartGallery w:val="Page Numbers (Top of Page)"/>
        <w:docPartUnique/>
      </w:docPartObj>
    </w:sdtPr>
    <w:sdtEndPr>
      <w:rPr>
        <w:noProof/>
        <w:sz w:val="18"/>
        <w:szCs w:val="18"/>
      </w:rPr>
    </w:sdtEndPr>
    <w:sdtContent>
      <w:p w14:paraId="5DCEA922" w14:textId="6F5B38A1" w:rsidR="008B1926" w:rsidRPr="008B1926" w:rsidRDefault="008B1926">
        <w:pPr>
          <w:pStyle w:val="Header"/>
          <w:jc w:val="center"/>
          <w:rPr>
            <w:sz w:val="18"/>
            <w:szCs w:val="18"/>
          </w:rPr>
        </w:pPr>
        <w:r w:rsidRPr="008B1926">
          <w:rPr>
            <w:sz w:val="18"/>
            <w:szCs w:val="18"/>
          </w:rPr>
          <w:fldChar w:fldCharType="begin"/>
        </w:r>
        <w:r w:rsidRPr="008B1926">
          <w:rPr>
            <w:sz w:val="18"/>
            <w:szCs w:val="18"/>
          </w:rPr>
          <w:instrText xml:space="preserve"> PAGE   \* MERGEFORMAT </w:instrText>
        </w:r>
        <w:r w:rsidRPr="008B1926">
          <w:rPr>
            <w:sz w:val="18"/>
            <w:szCs w:val="18"/>
          </w:rPr>
          <w:fldChar w:fldCharType="separate"/>
        </w:r>
        <w:r w:rsidRPr="008B1926">
          <w:rPr>
            <w:noProof/>
            <w:sz w:val="18"/>
            <w:szCs w:val="18"/>
          </w:rPr>
          <w:t>2</w:t>
        </w:r>
        <w:r w:rsidRPr="008B1926">
          <w:rPr>
            <w:noProof/>
            <w:sz w:val="18"/>
            <w:szCs w:val="18"/>
          </w:rPr>
          <w:fldChar w:fldCharType="end"/>
        </w:r>
      </w:p>
    </w:sdtContent>
  </w:sdt>
  <w:p w14:paraId="0AE3A538" w14:textId="7E69571E" w:rsidR="00575722" w:rsidRPr="008B1926" w:rsidRDefault="008B1926" w:rsidP="008B1926">
    <w:pPr>
      <w:pStyle w:val="Header"/>
      <w:jc w:val="center"/>
      <w:rPr>
        <w:sz w:val="18"/>
        <w:szCs w:val="18"/>
      </w:rPr>
    </w:pPr>
    <w:r w:rsidRPr="008B1926">
      <w:rPr>
        <w:rFonts w:ascii="Calibri" w:eastAsia="MS Mincho" w:hAnsi="Calibri" w:cs="Arial"/>
        <w:noProof/>
        <w:sz w:val="18"/>
        <w:szCs w:val="18"/>
        <w:lang w:eastAsia="zh-CN"/>
      </w:rPr>
      <w:t>CWG-SFP-2/</w:t>
    </w:r>
    <w:r>
      <w:rPr>
        <w:rFonts w:ascii="Calibri" w:eastAsia="MS Mincho" w:hAnsi="Calibri" w:cs="Arial"/>
        <w:noProof/>
        <w:sz w:val="18"/>
        <w:szCs w:val="18"/>
        <w:lang w:eastAsia="zh-CN"/>
      </w:rPr>
      <w:t>INF/1</w:t>
    </w:r>
    <w:r w:rsidRPr="008B1926">
      <w:rPr>
        <w:rFonts w:ascii="Calibri" w:eastAsia="MS Mincho" w:hAnsi="Calibri" w:cs="Arial"/>
        <w:noProof/>
        <w:sz w:val="18"/>
        <w:szCs w:val="18"/>
        <w:lang w:eastAsia="zh-CN"/>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9A7"/>
    <w:multiLevelType w:val="hybridMultilevel"/>
    <w:tmpl w:val="3F4A8086"/>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E3730"/>
    <w:multiLevelType w:val="hybridMultilevel"/>
    <w:tmpl w:val="B266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373FC"/>
    <w:multiLevelType w:val="hybridMultilevel"/>
    <w:tmpl w:val="B41E5E18"/>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06A5A"/>
    <w:multiLevelType w:val="hybridMultilevel"/>
    <w:tmpl w:val="929E45A8"/>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C03FE"/>
    <w:multiLevelType w:val="hybridMultilevel"/>
    <w:tmpl w:val="C3844F8E"/>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853AF"/>
    <w:multiLevelType w:val="hybridMultilevel"/>
    <w:tmpl w:val="CFC0A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0A5A02"/>
    <w:multiLevelType w:val="hybridMultilevel"/>
    <w:tmpl w:val="9E9EA24C"/>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2124B"/>
    <w:multiLevelType w:val="hybridMultilevel"/>
    <w:tmpl w:val="C52A60BC"/>
    <w:lvl w:ilvl="0" w:tplc="13EC881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E13F2"/>
    <w:multiLevelType w:val="hybridMultilevel"/>
    <w:tmpl w:val="EC681A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C342CB"/>
    <w:multiLevelType w:val="hybridMultilevel"/>
    <w:tmpl w:val="D47A08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62DD0"/>
    <w:multiLevelType w:val="hybridMultilevel"/>
    <w:tmpl w:val="8506B6D8"/>
    <w:lvl w:ilvl="0" w:tplc="02561A40">
      <w:numFmt w:val="bullet"/>
      <w:lvlText w:val="-"/>
      <w:lvlJc w:val="left"/>
      <w:pPr>
        <w:ind w:left="1794" w:hanging="360"/>
      </w:pPr>
      <w:rPr>
        <w:rFonts w:ascii="Calibri" w:eastAsiaTheme="minorHAnsi" w:hAnsi="Calibri" w:cs="Calibri" w:hint="default"/>
      </w:rPr>
    </w:lvl>
    <w:lvl w:ilvl="1" w:tplc="FFFFFFFF">
      <w:start w:val="1"/>
      <w:numFmt w:val="bullet"/>
      <w:lvlText w:val="o"/>
      <w:lvlJc w:val="left"/>
      <w:pPr>
        <w:ind w:left="2514" w:hanging="360"/>
      </w:pPr>
      <w:rPr>
        <w:rFonts w:ascii="Courier New" w:hAnsi="Courier New" w:cs="Courier New" w:hint="default"/>
      </w:rPr>
    </w:lvl>
    <w:lvl w:ilvl="2" w:tplc="FFFFFFFF" w:tentative="1">
      <w:start w:val="1"/>
      <w:numFmt w:val="bullet"/>
      <w:lvlText w:val=""/>
      <w:lvlJc w:val="left"/>
      <w:pPr>
        <w:ind w:left="3234" w:hanging="360"/>
      </w:pPr>
      <w:rPr>
        <w:rFonts w:ascii="Wingdings" w:hAnsi="Wingdings" w:hint="default"/>
      </w:rPr>
    </w:lvl>
    <w:lvl w:ilvl="3" w:tplc="FFFFFFFF" w:tentative="1">
      <w:start w:val="1"/>
      <w:numFmt w:val="bullet"/>
      <w:lvlText w:val=""/>
      <w:lvlJc w:val="left"/>
      <w:pPr>
        <w:ind w:left="3954" w:hanging="360"/>
      </w:pPr>
      <w:rPr>
        <w:rFonts w:ascii="Symbol" w:hAnsi="Symbol" w:hint="default"/>
      </w:rPr>
    </w:lvl>
    <w:lvl w:ilvl="4" w:tplc="FFFFFFFF" w:tentative="1">
      <w:start w:val="1"/>
      <w:numFmt w:val="bullet"/>
      <w:lvlText w:val="o"/>
      <w:lvlJc w:val="left"/>
      <w:pPr>
        <w:ind w:left="4674" w:hanging="360"/>
      </w:pPr>
      <w:rPr>
        <w:rFonts w:ascii="Courier New" w:hAnsi="Courier New" w:cs="Courier New" w:hint="default"/>
      </w:rPr>
    </w:lvl>
    <w:lvl w:ilvl="5" w:tplc="FFFFFFFF" w:tentative="1">
      <w:start w:val="1"/>
      <w:numFmt w:val="bullet"/>
      <w:lvlText w:val=""/>
      <w:lvlJc w:val="left"/>
      <w:pPr>
        <w:ind w:left="5394" w:hanging="360"/>
      </w:pPr>
      <w:rPr>
        <w:rFonts w:ascii="Wingdings" w:hAnsi="Wingdings" w:hint="default"/>
      </w:rPr>
    </w:lvl>
    <w:lvl w:ilvl="6" w:tplc="FFFFFFFF" w:tentative="1">
      <w:start w:val="1"/>
      <w:numFmt w:val="bullet"/>
      <w:lvlText w:val=""/>
      <w:lvlJc w:val="left"/>
      <w:pPr>
        <w:ind w:left="6114" w:hanging="360"/>
      </w:pPr>
      <w:rPr>
        <w:rFonts w:ascii="Symbol" w:hAnsi="Symbol" w:hint="default"/>
      </w:rPr>
    </w:lvl>
    <w:lvl w:ilvl="7" w:tplc="FFFFFFFF" w:tentative="1">
      <w:start w:val="1"/>
      <w:numFmt w:val="bullet"/>
      <w:lvlText w:val="o"/>
      <w:lvlJc w:val="left"/>
      <w:pPr>
        <w:ind w:left="6834" w:hanging="360"/>
      </w:pPr>
      <w:rPr>
        <w:rFonts w:ascii="Courier New" w:hAnsi="Courier New" w:cs="Courier New" w:hint="default"/>
      </w:rPr>
    </w:lvl>
    <w:lvl w:ilvl="8" w:tplc="FFFFFFFF" w:tentative="1">
      <w:start w:val="1"/>
      <w:numFmt w:val="bullet"/>
      <w:lvlText w:val=""/>
      <w:lvlJc w:val="left"/>
      <w:pPr>
        <w:ind w:left="7554" w:hanging="360"/>
      </w:pPr>
      <w:rPr>
        <w:rFonts w:ascii="Wingdings" w:hAnsi="Wingdings" w:hint="default"/>
      </w:rPr>
    </w:lvl>
  </w:abstractNum>
  <w:abstractNum w:abstractNumId="11" w15:restartNumberingAfterBreak="0">
    <w:nsid w:val="1CFB0460"/>
    <w:multiLevelType w:val="hybridMultilevel"/>
    <w:tmpl w:val="331E860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E402918"/>
    <w:multiLevelType w:val="hybridMultilevel"/>
    <w:tmpl w:val="C78CC374"/>
    <w:lvl w:ilvl="0" w:tplc="9D14B448">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A6755"/>
    <w:multiLevelType w:val="hybridMultilevel"/>
    <w:tmpl w:val="0046B8D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C0921B5"/>
    <w:multiLevelType w:val="hybridMultilevel"/>
    <w:tmpl w:val="4044005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561A4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9B45A3"/>
    <w:multiLevelType w:val="hybridMultilevel"/>
    <w:tmpl w:val="82D0DCEC"/>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251C8"/>
    <w:multiLevelType w:val="hybridMultilevel"/>
    <w:tmpl w:val="4532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80139"/>
    <w:multiLevelType w:val="hybridMultilevel"/>
    <w:tmpl w:val="13120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396214"/>
    <w:multiLevelType w:val="hybridMultilevel"/>
    <w:tmpl w:val="A594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93768"/>
    <w:multiLevelType w:val="hybridMultilevel"/>
    <w:tmpl w:val="A8067DD8"/>
    <w:lvl w:ilvl="0" w:tplc="0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DA0DAA"/>
    <w:multiLevelType w:val="hybridMultilevel"/>
    <w:tmpl w:val="A8065DDA"/>
    <w:lvl w:ilvl="0" w:tplc="C706D8FA">
      <w:numFmt w:val="bullet"/>
      <w:lvlText w:val="-"/>
      <w:lvlJc w:val="left"/>
      <w:pPr>
        <w:ind w:left="720" w:hanging="360"/>
      </w:pPr>
      <w:rPr>
        <w:rFonts w:ascii="Calibri" w:eastAsiaTheme="minorHAnsi" w:hAnsi="Calibri" w:cs="Calibri"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908C9"/>
    <w:multiLevelType w:val="hybridMultilevel"/>
    <w:tmpl w:val="837CA440"/>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F4621"/>
    <w:multiLevelType w:val="hybridMultilevel"/>
    <w:tmpl w:val="67EEB48A"/>
    <w:lvl w:ilvl="0" w:tplc="520CFF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93766"/>
    <w:multiLevelType w:val="hybridMultilevel"/>
    <w:tmpl w:val="026676AE"/>
    <w:lvl w:ilvl="0" w:tplc="13EC88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339F2"/>
    <w:multiLevelType w:val="hybridMultilevel"/>
    <w:tmpl w:val="FD8EB7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D5736C"/>
    <w:multiLevelType w:val="hybridMultilevel"/>
    <w:tmpl w:val="86B08AC0"/>
    <w:lvl w:ilvl="0" w:tplc="08090003">
      <w:start w:val="1"/>
      <w:numFmt w:val="bullet"/>
      <w:lvlText w:val="o"/>
      <w:lvlJc w:val="left"/>
      <w:pPr>
        <w:ind w:left="660" w:hanging="360"/>
      </w:pPr>
      <w:rPr>
        <w:rFonts w:ascii="Courier New" w:hAnsi="Courier New" w:cs="Courier New" w:hint="default"/>
      </w:rPr>
    </w:lvl>
    <w:lvl w:ilvl="1" w:tplc="08090003">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6"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1D38FD"/>
    <w:multiLevelType w:val="hybridMultilevel"/>
    <w:tmpl w:val="68A0640C"/>
    <w:lvl w:ilvl="0" w:tplc="7672762E">
      <w:start w:val="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D31797"/>
    <w:multiLevelType w:val="hybridMultilevel"/>
    <w:tmpl w:val="D2966A9C"/>
    <w:lvl w:ilvl="0" w:tplc="CC56BCA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94E3E"/>
    <w:multiLevelType w:val="hybridMultilevel"/>
    <w:tmpl w:val="BDF4D15C"/>
    <w:lvl w:ilvl="0" w:tplc="40F8E932">
      <w:start w:val="2"/>
      <w:numFmt w:val="bullet"/>
      <w:lvlText w:val="-"/>
      <w:lvlJc w:val="left"/>
      <w:pPr>
        <w:ind w:left="720" w:hanging="360"/>
      </w:pPr>
      <w:rPr>
        <w:rFonts w:ascii="Calibri" w:eastAsiaTheme="minorHAnsi"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C1330"/>
    <w:multiLevelType w:val="hybridMultilevel"/>
    <w:tmpl w:val="A42A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043FF"/>
    <w:multiLevelType w:val="hybridMultilevel"/>
    <w:tmpl w:val="9A6E124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B21D3A"/>
    <w:multiLevelType w:val="hybridMultilevel"/>
    <w:tmpl w:val="DAEA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12175"/>
    <w:multiLevelType w:val="hybridMultilevel"/>
    <w:tmpl w:val="3D2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965369"/>
    <w:multiLevelType w:val="hybridMultilevel"/>
    <w:tmpl w:val="105AB44C"/>
    <w:lvl w:ilvl="0" w:tplc="6F4058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FF2ADA"/>
    <w:multiLevelType w:val="hybridMultilevel"/>
    <w:tmpl w:val="652EE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70732D"/>
    <w:multiLevelType w:val="hybridMultilevel"/>
    <w:tmpl w:val="D81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num>
  <w:num w:numId="3">
    <w:abstractNumId w:val="5"/>
  </w:num>
  <w:num w:numId="4">
    <w:abstractNumId w:val="24"/>
  </w:num>
  <w:num w:numId="5">
    <w:abstractNumId w:val="36"/>
  </w:num>
  <w:num w:numId="6">
    <w:abstractNumId w:val="17"/>
  </w:num>
  <w:num w:numId="7">
    <w:abstractNumId w:val="23"/>
  </w:num>
  <w:num w:numId="8">
    <w:abstractNumId w:val="33"/>
  </w:num>
  <w:num w:numId="9">
    <w:abstractNumId w:val="18"/>
  </w:num>
  <w:num w:numId="10">
    <w:abstractNumId w:val="35"/>
  </w:num>
  <w:num w:numId="11">
    <w:abstractNumId w:val="8"/>
  </w:num>
  <w:num w:numId="12">
    <w:abstractNumId w:val="14"/>
  </w:num>
  <w:num w:numId="13">
    <w:abstractNumId w:val="28"/>
  </w:num>
  <w:num w:numId="14">
    <w:abstractNumId w:val="22"/>
  </w:num>
  <w:num w:numId="15">
    <w:abstractNumId w:val="34"/>
  </w:num>
  <w:num w:numId="16">
    <w:abstractNumId w:val="12"/>
  </w:num>
  <w:num w:numId="17">
    <w:abstractNumId w:val="29"/>
  </w:num>
  <w:num w:numId="18">
    <w:abstractNumId w:val="27"/>
  </w:num>
  <w:num w:numId="19">
    <w:abstractNumId w:val="19"/>
  </w:num>
  <w:num w:numId="20">
    <w:abstractNumId w:val="16"/>
  </w:num>
  <w:num w:numId="21">
    <w:abstractNumId w:val="25"/>
  </w:num>
  <w:num w:numId="22">
    <w:abstractNumId w:val="11"/>
  </w:num>
  <w:num w:numId="23">
    <w:abstractNumId w:val="10"/>
  </w:num>
  <w:num w:numId="24">
    <w:abstractNumId w:val="15"/>
  </w:num>
  <w:num w:numId="25">
    <w:abstractNumId w:val="21"/>
  </w:num>
  <w:num w:numId="26">
    <w:abstractNumId w:val="4"/>
  </w:num>
  <w:num w:numId="27">
    <w:abstractNumId w:val="30"/>
  </w:num>
  <w:num w:numId="28">
    <w:abstractNumId w:val="32"/>
  </w:num>
  <w:num w:numId="29">
    <w:abstractNumId w:val="1"/>
  </w:num>
  <w:num w:numId="30">
    <w:abstractNumId w:val="0"/>
  </w:num>
  <w:num w:numId="31">
    <w:abstractNumId w:val="13"/>
  </w:num>
  <w:num w:numId="32">
    <w:abstractNumId w:val="9"/>
  </w:num>
  <w:num w:numId="33">
    <w:abstractNumId w:val="20"/>
  </w:num>
  <w:num w:numId="34">
    <w:abstractNumId w:val="3"/>
  </w:num>
  <w:num w:numId="35">
    <w:abstractNumId w:val="6"/>
  </w:num>
  <w:num w:numId="36">
    <w:abstractNumId w:val="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bEwNjUzMjAxMTVR0lEKTi0uzszPAykwMqkFAE+7TGQtAAAA"/>
  </w:docVars>
  <w:rsids>
    <w:rsidRoot w:val="00A16985"/>
    <w:rsid w:val="000001BF"/>
    <w:rsid w:val="00000B5F"/>
    <w:rsid w:val="000036A7"/>
    <w:rsid w:val="00004D8A"/>
    <w:rsid w:val="0000535B"/>
    <w:rsid w:val="00005BB1"/>
    <w:rsid w:val="00005C9F"/>
    <w:rsid w:val="00006949"/>
    <w:rsid w:val="00007106"/>
    <w:rsid w:val="00007BB2"/>
    <w:rsid w:val="00010080"/>
    <w:rsid w:val="000107DC"/>
    <w:rsid w:val="000108B1"/>
    <w:rsid w:val="00010902"/>
    <w:rsid w:val="000112FB"/>
    <w:rsid w:val="00011495"/>
    <w:rsid w:val="000117D4"/>
    <w:rsid w:val="00011D7B"/>
    <w:rsid w:val="00011F92"/>
    <w:rsid w:val="00012A0F"/>
    <w:rsid w:val="00012FC7"/>
    <w:rsid w:val="000130B5"/>
    <w:rsid w:val="00013110"/>
    <w:rsid w:val="0001318F"/>
    <w:rsid w:val="000136BA"/>
    <w:rsid w:val="00013D99"/>
    <w:rsid w:val="00014053"/>
    <w:rsid w:val="000142E7"/>
    <w:rsid w:val="000144D1"/>
    <w:rsid w:val="000156FB"/>
    <w:rsid w:val="00017578"/>
    <w:rsid w:val="000177CF"/>
    <w:rsid w:val="00020310"/>
    <w:rsid w:val="000207DE"/>
    <w:rsid w:val="000208DE"/>
    <w:rsid w:val="00020A75"/>
    <w:rsid w:val="00020C3A"/>
    <w:rsid w:val="00020F55"/>
    <w:rsid w:val="00021614"/>
    <w:rsid w:val="00021A27"/>
    <w:rsid w:val="00021D3C"/>
    <w:rsid w:val="00023037"/>
    <w:rsid w:val="000233F4"/>
    <w:rsid w:val="00024380"/>
    <w:rsid w:val="00024834"/>
    <w:rsid w:val="00024D67"/>
    <w:rsid w:val="00026182"/>
    <w:rsid w:val="0002658A"/>
    <w:rsid w:val="000274C8"/>
    <w:rsid w:val="00027504"/>
    <w:rsid w:val="000275E2"/>
    <w:rsid w:val="00027613"/>
    <w:rsid w:val="000306E9"/>
    <w:rsid w:val="00030B66"/>
    <w:rsid w:val="000315CC"/>
    <w:rsid w:val="000336C5"/>
    <w:rsid w:val="00033789"/>
    <w:rsid w:val="00033F71"/>
    <w:rsid w:val="000341B7"/>
    <w:rsid w:val="000343E6"/>
    <w:rsid w:val="000344D8"/>
    <w:rsid w:val="00034A22"/>
    <w:rsid w:val="000350E9"/>
    <w:rsid w:val="0003550B"/>
    <w:rsid w:val="000365CA"/>
    <w:rsid w:val="0003694E"/>
    <w:rsid w:val="00036CA5"/>
    <w:rsid w:val="00036F00"/>
    <w:rsid w:val="0003731B"/>
    <w:rsid w:val="0004028A"/>
    <w:rsid w:val="000402BF"/>
    <w:rsid w:val="00040DA0"/>
    <w:rsid w:val="00040EB3"/>
    <w:rsid w:val="0004111D"/>
    <w:rsid w:val="00041BD3"/>
    <w:rsid w:val="00041DEF"/>
    <w:rsid w:val="00042024"/>
    <w:rsid w:val="000420B4"/>
    <w:rsid w:val="00042C43"/>
    <w:rsid w:val="0004391C"/>
    <w:rsid w:val="00043AE8"/>
    <w:rsid w:val="00043F5F"/>
    <w:rsid w:val="000442E2"/>
    <w:rsid w:val="00044740"/>
    <w:rsid w:val="000447C4"/>
    <w:rsid w:val="00044BF9"/>
    <w:rsid w:val="00045848"/>
    <w:rsid w:val="00045A1D"/>
    <w:rsid w:val="00046224"/>
    <w:rsid w:val="00046542"/>
    <w:rsid w:val="000468E2"/>
    <w:rsid w:val="00046DFE"/>
    <w:rsid w:val="0004759E"/>
    <w:rsid w:val="0004786D"/>
    <w:rsid w:val="00047C57"/>
    <w:rsid w:val="00047C9D"/>
    <w:rsid w:val="00047D62"/>
    <w:rsid w:val="00050D72"/>
    <w:rsid w:val="00051E1E"/>
    <w:rsid w:val="00052A5F"/>
    <w:rsid w:val="00052E8A"/>
    <w:rsid w:val="00052F81"/>
    <w:rsid w:val="0005333B"/>
    <w:rsid w:val="00053469"/>
    <w:rsid w:val="000553FC"/>
    <w:rsid w:val="00055690"/>
    <w:rsid w:val="00056961"/>
    <w:rsid w:val="00057118"/>
    <w:rsid w:val="00057921"/>
    <w:rsid w:val="00057F4F"/>
    <w:rsid w:val="000602DB"/>
    <w:rsid w:val="000605E4"/>
    <w:rsid w:val="000612B3"/>
    <w:rsid w:val="00061522"/>
    <w:rsid w:val="0006152A"/>
    <w:rsid w:val="00061F23"/>
    <w:rsid w:val="0006263E"/>
    <w:rsid w:val="00062E2B"/>
    <w:rsid w:val="0006402C"/>
    <w:rsid w:val="0006415E"/>
    <w:rsid w:val="00064252"/>
    <w:rsid w:val="00064E8C"/>
    <w:rsid w:val="00065087"/>
    <w:rsid w:val="00065603"/>
    <w:rsid w:val="00065FB4"/>
    <w:rsid w:val="000665FA"/>
    <w:rsid w:val="00066C46"/>
    <w:rsid w:val="00066DB4"/>
    <w:rsid w:val="0006756B"/>
    <w:rsid w:val="000706E6"/>
    <w:rsid w:val="000717F8"/>
    <w:rsid w:val="00071A34"/>
    <w:rsid w:val="00072E2F"/>
    <w:rsid w:val="00073226"/>
    <w:rsid w:val="000745B7"/>
    <w:rsid w:val="000755F2"/>
    <w:rsid w:val="00075662"/>
    <w:rsid w:val="00076970"/>
    <w:rsid w:val="00080596"/>
    <w:rsid w:val="0008075D"/>
    <w:rsid w:val="00080C88"/>
    <w:rsid w:val="00081450"/>
    <w:rsid w:val="00081837"/>
    <w:rsid w:val="00081F6F"/>
    <w:rsid w:val="0008290D"/>
    <w:rsid w:val="00082C88"/>
    <w:rsid w:val="00082EB3"/>
    <w:rsid w:val="00083497"/>
    <w:rsid w:val="00083865"/>
    <w:rsid w:val="00083ED1"/>
    <w:rsid w:val="00084342"/>
    <w:rsid w:val="00086822"/>
    <w:rsid w:val="00086F1E"/>
    <w:rsid w:val="0008768D"/>
    <w:rsid w:val="00091150"/>
    <w:rsid w:val="000928FA"/>
    <w:rsid w:val="00092F59"/>
    <w:rsid w:val="00093DE7"/>
    <w:rsid w:val="00093F8A"/>
    <w:rsid w:val="00093FBF"/>
    <w:rsid w:val="000964D1"/>
    <w:rsid w:val="000968D2"/>
    <w:rsid w:val="00096974"/>
    <w:rsid w:val="00097CC8"/>
    <w:rsid w:val="00097E2F"/>
    <w:rsid w:val="000A0161"/>
    <w:rsid w:val="000A0D7A"/>
    <w:rsid w:val="000A1CF2"/>
    <w:rsid w:val="000A272D"/>
    <w:rsid w:val="000A2B59"/>
    <w:rsid w:val="000A35A1"/>
    <w:rsid w:val="000A35BD"/>
    <w:rsid w:val="000A3E41"/>
    <w:rsid w:val="000A4D77"/>
    <w:rsid w:val="000A501B"/>
    <w:rsid w:val="000A51D7"/>
    <w:rsid w:val="000A59FD"/>
    <w:rsid w:val="000A6409"/>
    <w:rsid w:val="000A6749"/>
    <w:rsid w:val="000A680E"/>
    <w:rsid w:val="000A6E0F"/>
    <w:rsid w:val="000A6EBC"/>
    <w:rsid w:val="000A7B61"/>
    <w:rsid w:val="000B01C3"/>
    <w:rsid w:val="000B044F"/>
    <w:rsid w:val="000B1723"/>
    <w:rsid w:val="000B228B"/>
    <w:rsid w:val="000B22BB"/>
    <w:rsid w:val="000B2378"/>
    <w:rsid w:val="000B25C8"/>
    <w:rsid w:val="000B292E"/>
    <w:rsid w:val="000B2EE4"/>
    <w:rsid w:val="000B467E"/>
    <w:rsid w:val="000B468F"/>
    <w:rsid w:val="000B4DE5"/>
    <w:rsid w:val="000B506E"/>
    <w:rsid w:val="000B577B"/>
    <w:rsid w:val="000B5816"/>
    <w:rsid w:val="000B6AC4"/>
    <w:rsid w:val="000B6C68"/>
    <w:rsid w:val="000B6E2A"/>
    <w:rsid w:val="000B7481"/>
    <w:rsid w:val="000B748B"/>
    <w:rsid w:val="000C0552"/>
    <w:rsid w:val="000C115C"/>
    <w:rsid w:val="000C1786"/>
    <w:rsid w:val="000C25DE"/>
    <w:rsid w:val="000C34C5"/>
    <w:rsid w:val="000C3FE4"/>
    <w:rsid w:val="000C46C5"/>
    <w:rsid w:val="000C5621"/>
    <w:rsid w:val="000C6149"/>
    <w:rsid w:val="000C652F"/>
    <w:rsid w:val="000C6D1F"/>
    <w:rsid w:val="000C6F7E"/>
    <w:rsid w:val="000D0D9B"/>
    <w:rsid w:val="000D17A0"/>
    <w:rsid w:val="000D1B30"/>
    <w:rsid w:val="000D2E27"/>
    <w:rsid w:val="000D3B44"/>
    <w:rsid w:val="000D49AC"/>
    <w:rsid w:val="000D77E4"/>
    <w:rsid w:val="000E07AA"/>
    <w:rsid w:val="000E0D93"/>
    <w:rsid w:val="000E1630"/>
    <w:rsid w:val="000E16C3"/>
    <w:rsid w:val="000E1873"/>
    <w:rsid w:val="000E1B98"/>
    <w:rsid w:val="000E283D"/>
    <w:rsid w:val="000E2BB9"/>
    <w:rsid w:val="000E30F8"/>
    <w:rsid w:val="000E4270"/>
    <w:rsid w:val="000E5739"/>
    <w:rsid w:val="000E5A96"/>
    <w:rsid w:val="000E5F99"/>
    <w:rsid w:val="000E75ED"/>
    <w:rsid w:val="000F0321"/>
    <w:rsid w:val="000F0B87"/>
    <w:rsid w:val="000F142B"/>
    <w:rsid w:val="000F15AA"/>
    <w:rsid w:val="000F187E"/>
    <w:rsid w:val="000F1A5D"/>
    <w:rsid w:val="000F1B28"/>
    <w:rsid w:val="000F1D43"/>
    <w:rsid w:val="000F1F58"/>
    <w:rsid w:val="000F2189"/>
    <w:rsid w:val="000F291D"/>
    <w:rsid w:val="000F2A28"/>
    <w:rsid w:val="000F2FE6"/>
    <w:rsid w:val="000F352E"/>
    <w:rsid w:val="000F4DE3"/>
    <w:rsid w:val="000F4DF7"/>
    <w:rsid w:val="000F5428"/>
    <w:rsid w:val="000F564B"/>
    <w:rsid w:val="000F6DFB"/>
    <w:rsid w:val="000F745F"/>
    <w:rsid w:val="000F77A5"/>
    <w:rsid w:val="000F7BEB"/>
    <w:rsid w:val="00100078"/>
    <w:rsid w:val="00100B1D"/>
    <w:rsid w:val="00100FA6"/>
    <w:rsid w:val="0010224B"/>
    <w:rsid w:val="00102393"/>
    <w:rsid w:val="00102769"/>
    <w:rsid w:val="001027B7"/>
    <w:rsid w:val="00102ABD"/>
    <w:rsid w:val="00103B39"/>
    <w:rsid w:val="00103B51"/>
    <w:rsid w:val="0010446A"/>
    <w:rsid w:val="00104B93"/>
    <w:rsid w:val="00105054"/>
    <w:rsid w:val="0010631F"/>
    <w:rsid w:val="001068F9"/>
    <w:rsid w:val="00107D4A"/>
    <w:rsid w:val="00107E6E"/>
    <w:rsid w:val="001108DC"/>
    <w:rsid w:val="00110E05"/>
    <w:rsid w:val="00111477"/>
    <w:rsid w:val="00112EB5"/>
    <w:rsid w:val="0011346C"/>
    <w:rsid w:val="00113CAA"/>
    <w:rsid w:val="00114CC0"/>
    <w:rsid w:val="0011663F"/>
    <w:rsid w:val="00116C13"/>
    <w:rsid w:val="00116E70"/>
    <w:rsid w:val="00117749"/>
    <w:rsid w:val="00120D1A"/>
    <w:rsid w:val="00120F80"/>
    <w:rsid w:val="001211AE"/>
    <w:rsid w:val="00121611"/>
    <w:rsid w:val="00121E9D"/>
    <w:rsid w:val="00122401"/>
    <w:rsid w:val="00122DAE"/>
    <w:rsid w:val="00122EEE"/>
    <w:rsid w:val="00123444"/>
    <w:rsid w:val="00123B1C"/>
    <w:rsid w:val="00124B79"/>
    <w:rsid w:val="001269D4"/>
    <w:rsid w:val="00127E9A"/>
    <w:rsid w:val="0013058A"/>
    <w:rsid w:val="00130B42"/>
    <w:rsid w:val="00131B49"/>
    <w:rsid w:val="00131D99"/>
    <w:rsid w:val="00131F34"/>
    <w:rsid w:val="001320E2"/>
    <w:rsid w:val="00133352"/>
    <w:rsid w:val="0013353B"/>
    <w:rsid w:val="00133F68"/>
    <w:rsid w:val="001343FB"/>
    <w:rsid w:val="001359A0"/>
    <w:rsid w:val="001359CB"/>
    <w:rsid w:val="00135ADE"/>
    <w:rsid w:val="00135FB1"/>
    <w:rsid w:val="001376C9"/>
    <w:rsid w:val="00140391"/>
    <w:rsid w:val="001404F6"/>
    <w:rsid w:val="001412EF"/>
    <w:rsid w:val="00141A3B"/>
    <w:rsid w:val="00141CDB"/>
    <w:rsid w:val="00141E91"/>
    <w:rsid w:val="0014341A"/>
    <w:rsid w:val="001449D1"/>
    <w:rsid w:val="00144B0E"/>
    <w:rsid w:val="00144C5F"/>
    <w:rsid w:val="001457C4"/>
    <w:rsid w:val="001459CC"/>
    <w:rsid w:val="00145B64"/>
    <w:rsid w:val="00145C87"/>
    <w:rsid w:val="00145FAB"/>
    <w:rsid w:val="0014613D"/>
    <w:rsid w:val="00146692"/>
    <w:rsid w:val="00146BED"/>
    <w:rsid w:val="00146C91"/>
    <w:rsid w:val="00146E14"/>
    <w:rsid w:val="00146EAB"/>
    <w:rsid w:val="001473AF"/>
    <w:rsid w:val="00147C52"/>
    <w:rsid w:val="001501AA"/>
    <w:rsid w:val="00150441"/>
    <w:rsid w:val="00150FA9"/>
    <w:rsid w:val="0015166F"/>
    <w:rsid w:val="00151802"/>
    <w:rsid w:val="00153B47"/>
    <w:rsid w:val="00154E64"/>
    <w:rsid w:val="00154EC2"/>
    <w:rsid w:val="0015559C"/>
    <w:rsid w:val="00155CCC"/>
    <w:rsid w:val="00156C8F"/>
    <w:rsid w:val="001575A1"/>
    <w:rsid w:val="001606EB"/>
    <w:rsid w:val="00161BF2"/>
    <w:rsid w:val="001622ED"/>
    <w:rsid w:val="00162348"/>
    <w:rsid w:val="001628C9"/>
    <w:rsid w:val="00162D6C"/>
    <w:rsid w:val="00162F90"/>
    <w:rsid w:val="00163012"/>
    <w:rsid w:val="00163A8A"/>
    <w:rsid w:val="00163F98"/>
    <w:rsid w:val="00165171"/>
    <w:rsid w:val="0016529B"/>
    <w:rsid w:val="0016566E"/>
    <w:rsid w:val="00165AAB"/>
    <w:rsid w:val="00166589"/>
    <w:rsid w:val="00166F7E"/>
    <w:rsid w:val="00167A40"/>
    <w:rsid w:val="00167E18"/>
    <w:rsid w:val="00171399"/>
    <w:rsid w:val="0017180F"/>
    <w:rsid w:val="0017391E"/>
    <w:rsid w:val="00174CEB"/>
    <w:rsid w:val="00174D3B"/>
    <w:rsid w:val="00174F62"/>
    <w:rsid w:val="001757F3"/>
    <w:rsid w:val="001758FD"/>
    <w:rsid w:val="001769E3"/>
    <w:rsid w:val="001772F8"/>
    <w:rsid w:val="00177643"/>
    <w:rsid w:val="001802CD"/>
    <w:rsid w:val="00180351"/>
    <w:rsid w:val="001809B9"/>
    <w:rsid w:val="00180C10"/>
    <w:rsid w:val="00181175"/>
    <w:rsid w:val="001812C3"/>
    <w:rsid w:val="001817CB"/>
    <w:rsid w:val="00181864"/>
    <w:rsid w:val="00181B23"/>
    <w:rsid w:val="00182101"/>
    <w:rsid w:val="00183121"/>
    <w:rsid w:val="00183C72"/>
    <w:rsid w:val="001845A0"/>
    <w:rsid w:val="00184805"/>
    <w:rsid w:val="00186209"/>
    <w:rsid w:val="001862FF"/>
    <w:rsid w:val="00186763"/>
    <w:rsid w:val="0019009F"/>
    <w:rsid w:val="001901F5"/>
    <w:rsid w:val="0019062A"/>
    <w:rsid w:val="001911AC"/>
    <w:rsid w:val="00192295"/>
    <w:rsid w:val="00192527"/>
    <w:rsid w:val="00192BA8"/>
    <w:rsid w:val="00192C74"/>
    <w:rsid w:val="001937D0"/>
    <w:rsid w:val="00194615"/>
    <w:rsid w:val="00194EEF"/>
    <w:rsid w:val="001950FD"/>
    <w:rsid w:val="00195AB2"/>
    <w:rsid w:val="0019641F"/>
    <w:rsid w:val="001965D0"/>
    <w:rsid w:val="001968FB"/>
    <w:rsid w:val="00196B00"/>
    <w:rsid w:val="00196C93"/>
    <w:rsid w:val="0019717C"/>
    <w:rsid w:val="001972E8"/>
    <w:rsid w:val="001979EC"/>
    <w:rsid w:val="00197FC4"/>
    <w:rsid w:val="001A00CD"/>
    <w:rsid w:val="001A0433"/>
    <w:rsid w:val="001A081D"/>
    <w:rsid w:val="001A0B49"/>
    <w:rsid w:val="001A0F5D"/>
    <w:rsid w:val="001A0FDB"/>
    <w:rsid w:val="001A10B5"/>
    <w:rsid w:val="001A1947"/>
    <w:rsid w:val="001A197A"/>
    <w:rsid w:val="001A2087"/>
    <w:rsid w:val="001A2E10"/>
    <w:rsid w:val="001A2F73"/>
    <w:rsid w:val="001A3358"/>
    <w:rsid w:val="001A371B"/>
    <w:rsid w:val="001A4650"/>
    <w:rsid w:val="001A5A3B"/>
    <w:rsid w:val="001A65B6"/>
    <w:rsid w:val="001A6DF8"/>
    <w:rsid w:val="001B086D"/>
    <w:rsid w:val="001B1202"/>
    <w:rsid w:val="001B1205"/>
    <w:rsid w:val="001B1D76"/>
    <w:rsid w:val="001B23CF"/>
    <w:rsid w:val="001B2D7B"/>
    <w:rsid w:val="001B38F3"/>
    <w:rsid w:val="001B46D7"/>
    <w:rsid w:val="001B51D6"/>
    <w:rsid w:val="001B5DC4"/>
    <w:rsid w:val="001B6C05"/>
    <w:rsid w:val="001B6DCD"/>
    <w:rsid w:val="001C0AB7"/>
    <w:rsid w:val="001C0E1B"/>
    <w:rsid w:val="001C18FD"/>
    <w:rsid w:val="001C1BB4"/>
    <w:rsid w:val="001C1F6C"/>
    <w:rsid w:val="001C1FEA"/>
    <w:rsid w:val="001C3824"/>
    <w:rsid w:val="001C394A"/>
    <w:rsid w:val="001C4C1C"/>
    <w:rsid w:val="001C4DD8"/>
    <w:rsid w:val="001C5AE3"/>
    <w:rsid w:val="001C5D6E"/>
    <w:rsid w:val="001C6BF7"/>
    <w:rsid w:val="001C6F77"/>
    <w:rsid w:val="001C735A"/>
    <w:rsid w:val="001C7E40"/>
    <w:rsid w:val="001C7F2E"/>
    <w:rsid w:val="001D0D0B"/>
    <w:rsid w:val="001D0E55"/>
    <w:rsid w:val="001D1525"/>
    <w:rsid w:val="001D213E"/>
    <w:rsid w:val="001D231D"/>
    <w:rsid w:val="001D2420"/>
    <w:rsid w:val="001D2A5A"/>
    <w:rsid w:val="001D3703"/>
    <w:rsid w:val="001D4032"/>
    <w:rsid w:val="001D4CB1"/>
    <w:rsid w:val="001D5303"/>
    <w:rsid w:val="001D604F"/>
    <w:rsid w:val="001D6463"/>
    <w:rsid w:val="001D65E5"/>
    <w:rsid w:val="001D6891"/>
    <w:rsid w:val="001D6D36"/>
    <w:rsid w:val="001D7462"/>
    <w:rsid w:val="001D7BA3"/>
    <w:rsid w:val="001D7DAB"/>
    <w:rsid w:val="001E05C7"/>
    <w:rsid w:val="001E08F4"/>
    <w:rsid w:val="001E09DE"/>
    <w:rsid w:val="001E0A40"/>
    <w:rsid w:val="001E0D09"/>
    <w:rsid w:val="001E1943"/>
    <w:rsid w:val="001E1F8A"/>
    <w:rsid w:val="001E2CFF"/>
    <w:rsid w:val="001E38C3"/>
    <w:rsid w:val="001E3B92"/>
    <w:rsid w:val="001E444C"/>
    <w:rsid w:val="001E45E7"/>
    <w:rsid w:val="001E47A9"/>
    <w:rsid w:val="001E4887"/>
    <w:rsid w:val="001E51B4"/>
    <w:rsid w:val="001E573D"/>
    <w:rsid w:val="001E5E76"/>
    <w:rsid w:val="001E78C2"/>
    <w:rsid w:val="001F00A9"/>
    <w:rsid w:val="001F1259"/>
    <w:rsid w:val="001F37AB"/>
    <w:rsid w:val="001F3932"/>
    <w:rsid w:val="001F67BF"/>
    <w:rsid w:val="001F6B1F"/>
    <w:rsid w:val="001F7328"/>
    <w:rsid w:val="001F7363"/>
    <w:rsid w:val="001F754D"/>
    <w:rsid w:val="001F7F5A"/>
    <w:rsid w:val="00200282"/>
    <w:rsid w:val="0020058B"/>
    <w:rsid w:val="002010C7"/>
    <w:rsid w:val="00201BAA"/>
    <w:rsid w:val="0020225D"/>
    <w:rsid w:val="00202E92"/>
    <w:rsid w:val="0020327A"/>
    <w:rsid w:val="002039DD"/>
    <w:rsid w:val="00203B89"/>
    <w:rsid w:val="00204353"/>
    <w:rsid w:val="00205502"/>
    <w:rsid w:val="00205CCC"/>
    <w:rsid w:val="00205CED"/>
    <w:rsid w:val="0020749F"/>
    <w:rsid w:val="00207A4D"/>
    <w:rsid w:val="0021088D"/>
    <w:rsid w:val="00210AC8"/>
    <w:rsid w:val="00210FDF"/>
    <w:rsid w:val="002110F7"/>
    <w:rsid w:val="0021148E"/>
    <w:rsid w:val="002115EF"/>
    <w:rsid w:val="00211A65"/>
    <w:rsid w:val="00211C19"/>
    <w:rsid w:val="002123E0"/>
    <w:rsid w:val="002130FA"/>
    <w:rsid w:val="00213B58"/>
    <w:rsid w:val="002140DA"/>
    <w:rsid w:val="0021439B"/>
    <w:rsid w:val="002145BC"/>
    <w:rsid w:val="00214AD1"/>
    <w:rsid w:val="00215487"/>
    <w:rsid w:val="00215848"/>
    <w:rsid w:val="00215E47"/>
    <w:rsid w:val="002170AE"/>
    <w:rsid w:val="002176B6"/>
    <w:rsid w:val="00217C74"/>
    <w:rsid w:val="00217CA9"/>
    <w:rsid w:val="00217EDB"/>
    <w:rsid w:val="00221466"/>
    <w:rsid w:val="0022199A"/>
    <w:rsid w:val="00221B92"/>
    <w:rsid w:val="00222B1A"/>
    <w:rsid w:val="002236D6"/>
    <w:rsid w:val="0022469F"/>
    <w:rsid w:val="0022598D"/>
    <w:rsid w:val="00226288"/>
    <w:rsid w:val="002262BD"/>
    <w:rsid w:val="00226524"/>
    <w:rsid w:val="002276CD"/>
    <w:rsid w:val="002300C7"/>
    <w:rsid w:val="00230E72"/>
    <w:rsid w:val="0023143A"/>
    <w:rsid w:val="002319F9"/>
    <w:rsid w:val="002328B6"/>
    <w:rsid w:val="00232E04"/>
    <w:rsid w:val="00233F00"/>
    <w:rsid w:val="00234613"/>
    <w:rsid w:val="002352B5"/>
    <w:rsid w:val="00235401"/>
    <w:rsid w:val="0023584B"/>
    <w:rsid w:val="00235A64"/>
    <w:rsid w:val="00235D07"/>
    <w:rsid w:val="00237BDB"/>
    <w:rsid w:val="002400D5"/>
    <w:rsid w:val="002405E4"/>
    <w:rsid w:val="0024125E"/>
    <w:rsid w:val="0024162F"/>
    <w:rsid w:val="002419CC"/>
    <w:rsid w:val="0024226D"/>
    <w:rsid w:val="00242A13"/>
    <w:rsid w:val="00243B56"/>
    <w:rsid w:val="00245718"/>
    <w:rsid w:val="0024587E"/>
    <w:rsid w:val="00245EE7"/>
    <w:rsid w:val="002461CC"/>
    <w:rsid w:val="002463B2"/>
    <w:rsid w:val="00246421"/>
    <w:rsid w:val="00246494"/>
    <w:rsid w:val="00246624"/>
    <w:rsid w:val="00247991"/>
    <w:rsid w:val="00250011"/>
    <w:rsid w:val="00251DA0"/>
    <w:rsid w:val="0025221E"/>
    <w:rsid w:val="002528AA"/>
    <w:rsid w:val="00253038"/>
    <w:rsid w:val="00253515"/>
    <w:rsid w:val="0025380D"/>
    <w:rsid w:val="0025480A"/>
    <w:rsid w:val="00255281"/>
    <w:rsid w:val="002562D5"/>
    <w:rsid w:val="0025668D"/>
    <w:rsid w:val="002567F6"/>
    <w:rsid w:val="002574FA"/>
    <w:rsid w:val="0025782D"/>
    <w:rsid w:val="00257C72"/>
    <w:rsid w:val="00260759"/>
    <w:rsid w:val="00261367"/>
    <w:rsid w:val="002615C5"/>
    <w:rsid w:val="00262711"/>
    <w:rsid w:val="00262FB2"/>
    <w:rsid w:val="0026380F"/>
    <w:rsid w:val="00263D78"/>
    <w:rsid w:val="0026481F"/>
    <w:rsid w:val="002648CB"/>
    <w:rsid w:val="00265121"/>
    <w:rsid w:val="002666D4"/>
    <w:rsid w:val="00266E33"/>
    <w:rsid w:val="00267C10"/>
    <w:rsid w:val="00270909"/>
    <w:rsid w:val="0027120A"/>
    <w:rsid w:val="00271511"/>
    <w:rsid w:val="00272177"/>
    <w:rsid w:val="00272897"/>
    <w:rsid w:val="0027341D"/>
    <w:rsid w:val="00273B61"/>
    <w:rsid w:val="002743AC"/>
    <w:rsid w:val="002745AA"/>
    <w:rsid w:val="00275D4A"/>
    <w:rsid w:val="00275FF2"/>
    <w:rsid w:val="002760ED"/>
    <w:rsid w:val="00276185"/>
    <w:rsid w:val="0027752F"/>
    <w:rsid w:val="00277626"/>
    <w:rsid w:val="0028032A"/>
    <w:rsid w:val="00282059"/>
    <w:rsid w:val="00282397"/>
    <w:rsid w:val="0028487C"/>
    <w:rsid w:val="00284AD5"/>
    <w:rsid w:val="00285F51"/>
    <w:rsid w:val="002879EC"/>
    <w:rsid w:val="00287DD0"/>
    <w:rsid w:val="00290063"/>
    <w:rsid w:val="0029087B"/>
    <w:rsid w:val="002916CF"/>
    <w:rsid w:val="00291C88"/>
    <w:rsid w:val="00291CF9"/>
    <w:rsid w:val="0029264B"/>
    <w:rsid w:val="0029290C"/>
    <w:rsid w:val="002939FC"/>
    <w:rsid w:val="00294746"/>
    <w:rsid w:val="00294C5D"/>
    <w:rsid w:val="0029530A"/>
    <w:rsid w:val="002975BA"/>
    <w:rsid w:val="00297B60"/>
    <w:rsid w:val="002A0CCF"/>
    <w:rsid w:val="002A0EFA"/>
    <w:rsid w:val="002A126D"/>
    <w:rsid w:val="002A1599"/>
    <w:rsid w:val="002A2294"/>
    <w:rsid w:val="002A33A8"/>
    <w:rsid w:val="002A3896"/>
    <w:rsid w:val="002A3DA5"/>
    <w:rsid w:val="002A4AEA"/>
    <w:rsid w:val="002A59E8"/>
    <w:rsid w:val="002A632E"/>
    <w:rsid w:val="002A66A5"/>
    <w:rsid w:val="002A6936"/>
    <w:rsid w:val="002A6999"/>
    <w:rsid w:val="002A6B7F"/>
    <w:rsid w:val="002A6DA3"/>
    <w:rsid w:val="002A738B"/>
    <w:rsid w:val="002A7C25"/>
    <w:rsid w:val="002A7CBA"/>
    <w:rsid w:val="002B18A7"/>
    <w:rsid w:val="002B19C7"/>
    <w:rsid w:val="002B19D9"/>
    <w:rsid w:val="002B1A55"/>
    <w:rsid w:val="002B1F93"/>
    <w:rsid w:val="002B2DAE"/>
    <w:rsid w:val="002B2E2B"/>
    <w:rsid w:val="002B2E6C"/>
    <w:rsid w:val="002B3B80"/>
    <w:rsid w:val="002B3C14"/>
    <w:rsid w:val="002B3CC0"/>
    <w:rsid w:val="002B4252"/>
    <w:rsid w:val="002B491C"/>
    <w:rsid w:val="002B52D0"/>
    <w:rsid w:val="002B588F"/>
    <w:rsid w:val="002B5978"/>
    <w:rsid w:val="002B61F2"/>
    <w:rsid w:val="002B6BF5"/>
    <w:rsid w:val="002C1218"/>
    <w:rsid w:val="002C1B2B"/>
    <w:rsid w:val="002C2CC9"/>
    <w:rsid w:val="002C2E3C"/>
    <w:rsid w:val="002C2EDD"/>
    <w:rsid w:val="002C4386"/>
    <w:rsid w:val="002C566F"/>
    <w:rsid w:val="002C5734"/>
    <w:rsid w:val="002C5831"/>
    <w:rsid w:val="002C583D"/>
    <w:rsid w:val="002C5A0E"/>
    <w:rsid w:val="002C5D1E"/>
    <w:rsid w:val="002C6122"/>
    <w:rsid w:val="002C6F1D"/>
    <w:rsid w:val="002C754F"/>
    <w:rsid w:val="002C7664"/>
    <w:rsid w:val="002C7BBA"/>
    <w:rsid w:val="002C7CBB"/>
    <w:rsid w:val="002C7D93"/>
    <w:rsid w:val="002D098A"/>
    <w:rsid w:val="002D0E1B"/>
    <w:rsid w:val="002D117E"/>
    <w:rsid w:val="002D1C75"/>
    <w:rsid w:val="002D2145"/>
    <w:rsid w:val="002D234E"/>
    <w:rsid w:val="002D26E1"/>
    <w:rsid w:val="002D2D7C"/>
    <w:rsid w:val="002D32D5"/>
    <w:rsid w:val="002D3B08"/>
    <w:rsid w:val="002D3B1F"/>
    <w:rsid w:val="002D3F87"/>
    <w:rsid w:val="002D40E4"/>
    <w:rsid w:val="002D4619"/>
    <w:rsid w:val="002D47C0"/>
    <w:rsid w:val="002D5614"/>
    <w:rsid w:val="002D59F9"/>
    <w:rsid w:val="002D6280"/>
    <w:rsid w:val="002D6565"/>
    <w:rsid w:val="002D66B9"/>
    <w:rsid w:val="002D7083"/>
    <w:rsid w:val="002D7CCB"/>
    <w:rsid w:val="002E00B0"/>
    <w:rsid w:val="002E0980"/>
    <w:rsid w:val="002E0DC0"/>
    <w:rsid w:val="002E118B"/>
    <w:rsid w:val="002E18BB"/>
    <w:rsid w:val="002E26F3"/>
    <w:rsid w:val="002E2CBF"/>
    <w:rsid w:val="002E3D62"/>
    <w:rsid w:val="002E3F37"/>
    <w:rsid w:val="002E435D"/>
    <w:rsid w:val="002E4474"/>
    <w:rsid w:val="002E47E7"/>
    <w:rsid w:val="002E4D50"/>
    <w:rsid w:val="002E55CF"/>
    <w:rsid w:val="002E5A4F"/>
    <w:rsid w:val="002E603E"/>
    <w:rsid w:val="002E62DB"/>
    <w:rsid w:val="002E76AF"/>
    <w:rsid w:val="002E7704"/>
    <w:rsid w:val="002E7DD2"/>
    <w:rsid w:val="002F0121"/>
    <w:rsid w:val="002F17F9"/>
    <w:rsid w:val="002F1BE5"/>
    <w:rsid w:val="002F1C22"/>
    <w:rsid w:val="002F26DC"/>
    <w:rsid w:val="002F32EE"/>
    <w:rsid w:val="002F4866"/>
    <w:rsid w:val="002F52DC"/>
    <w:rsid w:val="002F5357"/>
    <w:rsid w:val="002F5507"/>
    <w:rsid w:val="002F550E"/>
    <w:rsid w:val="002F592C"/>
    <w:rsid w:val="002F5C2A"/>
    <w:rsid w:val="002F604E"/>
    <w:rsid w:val="002F6A9E"/>
    <w:rsid w:val="002F753D"/>
    <w:rsid w:val="002F7B4D"/>
    <w:rsid w:val="002F7C21"/>
    <w:rsid w:val="002F7D43"/>
    <w:rsid w:val="002F7DDE"/>
    <w:rsid w:val="00300719"/>
    <w:rsid w:val="00302E8F"/>
    <w:rsid w:val="003034D1"/>
    <w:rsid w:val="0030374B"/>
    <w:rsid w:val="00303EA4"/>
    <w:rsid w:val="00303EC1"/>
    <w:rsid w:val="00304DC4"/>
    <w:rsid w:val="00305738"/>
    <w:rsid w:val="00305C18"/>
    <w:rsid w:val="00307A51"/>
    <w:rsid w:val="0031044B"/>
    <w:rsid w:val="00310E95"/>
    <w:rsid w:val="00311A67"/>
    <w:rsid w:val="0031321B"/>
    <w:rsid w:val="003132D1"/>
    <w:rsid w:val="003137AC"/>
    <w:rsid w:val="00314017"/>
    <w:rsid w:val="0031490D"/>
    <w:rsid w:val="003155E8"/>
    <w:rsid w:val="00315803"/>
    <w:rsid w:val="00315B27"/>
    <w:rsid w:val="00316119"/>
    <w:rsid w:val="00316F45"/>
    <w:rsid w:val="003174A8"/>
    <w:rsid w:val="003177AD"/>
    <w:rsid w:val="00317B20"/>
    <w:rsid w:val="0032055E"/>
    <w:rsid w:val="003205C0"/>
    <w:rsid w:val="00320A44"/>
    <w:rsid w:val="00320A46"/>
    <w:rsid w:val="00320E9E"/>
    <w:rsid w:val="0032109F"/>
    <w:rsid w:val="003224DE"/>
    <w:rsid w:val="00322978"/>
    <w:rsid w:val="00323683"/>
    <w:rsid w:val="0032368E"/>
    <w:rsid w:val="00323AEB"/>
    <w:rsid w:val="00323ECE"/>
    <w:rsid w:val="00324641"/>
    <w:rsid w:val="003247C5"/>
    <w:rsid w:val="00324AD2"/>
    <w:rsid w:val="00324AFA"/>
    <w:rsid w:val="00325068"/>
    <w:rsid w:val="003250A1"/>
    <w:rsid w:val="003259BB"/>
    <w:rsid w:val="00325BD4"/>
    <w:rsid w:val="00326279"/>
    <w:rsid w:val="00326845"/>
    <w:rsid w:val="0032712D"/>
    <w:rsid w:val="00327495"/>
    <w:rsid w:val="00327B7C"/>
    <w:rsid w:val="00327BF5"/>
    <w:rsid w:val="0033156D"/>
    <w:rsid w:val="003317CE"/>
    <w:rsid w:val="0033199D"/>
    <w:rsid w:val="00332AB5"/>
    <w:rsid w:val="00333250"/>
    <w:rsid w:val="00333A0F"/>
    <w:rsid w:val="00334370"/>
    <w:rsid w:val="0033552B"/>
    <w:rsid w:val="00335D97"/>
    <w:rsid w:val="003378C1"/>
    <w:rsid w:val="00337AD8"/>
    <w:rsid w:val="00337F32"/>
    <w:rsid w:val="003400C0"/>
    <w:rsid w:val="003414D3"/>
    <w:rsid w:val="00342501"/>
    <w:rsid w:val="003426F4"/>
    <w:rsid w:val="003428A1"/>
    <w:rsid w:val="00343119"/>
    <w:rsid w:val="00343703"/>
    <w:rsid w:val="00343B05"/>
    <w:rsid w:val="00345C45"/>
    <w:rsid w:val="00346222"/>
    <w:rsid w:val="00346745"/>
    <w:rsid w:val="003474FE"/>
    <w:rsid w:val="00351638"/>
    <w:rsid w:val="00351B0F"/>
    <w:rsid w:val="00351BBF"/>
    <w:rsid w:val="00352DBC"/>
    <w:rsid w:val="003531C1"/>
    <w:rsid w:val="003545B8"/>
    <w:rsid w:val="0035477F"/>
    <w:rsid w:val="00354BBB"/>
    <w:rsid w:val="003558B7"/>
    <w:rsid w:val="0035624E"/>
    <w:rsid w:val="00356314"/>
    <w:rsid w:val="00356754"/>
    <w:rsid w:val="00360848"/>
    <w:rsid w:val="00360904"/>
    <w:rsid w:val="00360927"/>
    <w:rsid w:val="00361353"/>
    <w:rsid w:val="00362C0D"/>
    <w:rsid w:val="00362CA3"/>
    <w:rsid w:val="00362FF9"/>
    <w:rsid w:val="0036316E"/>
    <w:rsid w:val="003634B1"/>
    <w:rsid w:val="00363BE6"/>
    <w:rsid w:val="00363E4E"/>
    <w:rsid w:val="00364A6A"/>
    <w:rsid w:val="00364AC6"/>
    <w:rsid w:val="0036530D"/>
    <w:rsid w:val="00365513"/>
    <w:rsid w:val="00365686"/>
    <w:rsid w:val="003661D8"/>
    <w:rsid w:val="00366E44"/>
    <w:rsid w:val="003674FA"/>
    <w:rsid w:val="0036753A"/>
    <w:rsid w:val="0036787A"/>
    <w:rsid w:val="00367FDF"/>
    <w:rsid w:val="003709BE"/>
    <w:rsid w:val="00370B4A"/>
    <w:rsid w:val="00370F2A"/>
    <w:rsid w:val="00371749"/>
    <w:rsid w:val="0037178F"/>
    <w:rsid w:val="00371C7F"/>
    <w:rsid w:val="00371EC9"/>
    <w:rsid w:val="00372958"/>
    <w:rsid w:val="003735BE"/>
    <w:rsid w:val="0037418A"/>
    <w:rsid w:val="003745BA"/>
    <w:rsid w:val="00374711"/>
    <w:rsid w:val="00374B82"/>
    <w:rsid w:val="0037503C"/>
    <w:rsid w:val="003755DA"/>
    <w:rsid w:val="00375ECE"/>
    <w:rsid w:val="00376683"/>
    <w:rsid w:val="003771BE"/>
    <w:rsid w:val="0037792A"/>
    <w:rsid w:val="00377E1B"/>
    <w:rsid w:val="00377FBC"/>
    <w:rsid w:val="003800E5"/>
    <w:rsid w:val="003809F1"/>
    <w:rsid w:val="00381033"/>
    <w:rsid w:val="00381BE3"/>
    <w:rsid w:val="00381FDA"/>
    <w:rsid w:val="003827D5"/>
    <w:rsid w:val="003838A2"/>
    <w:rsid w:val="00383BB0"/>
    <w:rsid w:val="00384869"/>
    <w:rsid w:val="003858DD"/>
    <w:rsid w:val="00385A34"/>
    <w:rsid w:val="00386980"/>
    <w:rsid w:val="00386BCF"/>
    <w:rsid w:val="00387460"/>
    <w:rsid w:val="003874A1"/>
    <w:rsid w:val="0038777B"/>
    <w:rsid w:val="003919F7"/>
    <w:rsid w:val="003937B7"/>
    <w:rsid w:val="003937BC"/>
    <w:rsid w:val="0039490D"/>
    <w:rsid w:val="00394A29"/>
    <w:rsid w:val="00394A94"/>
    <w:rsid w:val="00394AB6"/>
    <w:rsid w:val="00394CB1"/>
    <w:rsid w:val="003956EC"/>
    <w:rsid w:val="003961EC"/>
    <w:rsid w:val="003972D1"/>
    <w:rsid w:val="003A1B25"/>
    <w:rsid w:val="003A1B2D"/>
    <w:rsid w:val="003A1FAF"/>
    <w:rsid w:val="003A219A"/>
    <w:rsid w:val="003A2252"/>
    <w:rsid w:val="003A2286"/>
    <w:rsid w:val="003A24C5"/>
    <w:rsid w:val="003A2BBB"/>
    <w:rsid w:val="003A2BF3"/>
    <w:rsid w:val="003A2E63"/>
    <w:rsid w:val="003A373E"/>
    <w:rsid w:val="003A4C73"/>
    <w:rsid w:val="003A5608"/>
    <w:rsid w:val="003A59F6"/>
    <w:rsid w:val="003A5B6F"/>
    <w:rsid w:val="003A5D58"/>
    <w:rsid w:val="003A70FE"/>
    <w:rsid w:val="003B00F9"/>
    <w:rsid w:val="003B131F"/>
    <w:rsid w:val="003B23E4"/>
    <w:rsid w:val="003B284A"/>
    <w:rsid w:val="003B29F9"/>
    <w:rsid w:val="003B3367"/>
    <w:rsid w:val="003B34CF"/>
    <w:rsid w:val="003B3F1F"/>
    <w:rsid w:val="003B4294"/>
    <w:rsid w:val="003B4929"/>
    <w:rsid w:val="003B50F5"/>
    <w:rsid w:val="003B590D"/>
    <w:rsid w:val="003B5FC0"/>
    <w:rsid w:val="003B61AF"/>
    <w:rsid w:val="003B62B5"/>
    <w:rsid w:val="003B6CB7"/>
    <w:rsid w:val="003C0CAD"/>
    <w:rsid w:val="003C126A"/>
    <w:rsid w:val="003C12D3"/>
    <w:rsid w:val="003C1389"/>
    <w:rsid w:val="003C1FFF"/>
    <w:rsid w:val="003C26C5"/>
    <w:rsid w:val="003C2BB3"/>
    <w:rsid w:val="003C3F43"/>
    <w:rsid w:val="003C5693"/>
    <w:rsid w:val="003C6438"/>
    <w:rsid w:val="003C669E"/>
    <w:rsid w:val="003C68C4"/>
    <w:rsid w:val="003C69A4"/>
    <w:rsid w:val="003C6C93"/>
    <w:rsid w:val="003C6D0C"/>
    <w:rsid w:val="003C7133"/>
    <w:rsid w:val="003D006B"/>
    <w:rsid w:val="003D0515"/>
    <w:rsid w:val="003D088F"/>
    <w:rsid w:val="003D0C1D"/>
    <w:rsid w:val="003D0C9C"/>
    <w:rsid w:val="003D11D4"/>
    <w:rsid w:val="003D1614"/>
    <w:rsid w:val="003D2442"/>
    <w:rsid w:val="003D2F05"/>
    <w:rsid w:val="003D30F3"/>
    <w:rsid w:val="003D35BC"/>
    <w:rsid w:val="003D364D"/>
    <w:rsid w:val="003D4002"/>
    <w:rsid w:val="003D417E"/>
    <w:rsid w:val="003D47DD"/>
    <w:rsid w:val="003D553A"/>
    <w:rsid w:val="003D5C62"/>
    <w:rsid w:val="003D692E"/>
    <w:rsid w:val="003E039A"/>
    <w:rsid w:val="003E0F50"/>
    <w:rsid w:val="003E12CE"/>
    <w:rsid w:val="003E22CD"/>
    <w:rsid w:val="003E30CE"/>
    <w:rsid w:val="003E3F0E"/>
    <w:rsid w:val="003E4050"/>
    <w:rsid w:val="003E40C5"/>
    <w:rsid w:val="003E41D3"/>
    <w:rsid w:val="003E4C4F"/>
    <w:rsid w:val="003E55FE"/>
    <w:rsid w:val="003E5C33"/>
    <w:rsid w:val="003E608C"/>
    <w:rsid w:val="003E6455"/>
    <w:rsid w:val="003E66BA"/>
    <w:rsid w:val="003E670F"/>
    <w:rsid w:val="003E6DC5"/>
    <w:rsid w:val="003E733A"/>
    <w:rsid w:val="003E7D47"/>
    <w:rsid w:val="003F04F0"/>
    <w:rsid w:val="003F1BCF"/>
    <w:rsid w:val="003F1D84"/>
    <w:rsid w:val="003F2660"/>
    <w:rsid w:val="003F278A"/>
    <w:rsid w:val="003F3511"/>
    <w:rsid w:val="003F4E64"/>
    <w:rsid w:val="003F5045"/>
    <w:rsid w:val="003F5A2B"/>
    <w:rsid w:val="003F6637"/>
    <w:rsid w:val="003F6E60"/>
    <w:rsid w:val="003F762A"/>
    <w:rsid w:val="003F799D"/>
    <w:rsid w:val="003F7E7D"/>
    <w:rsid w:val="003F7F38"/>
    <w:rsid w:val="004007F4"/>
    <w:rsid w:val="00400AE3"/>
    <w:rsid w:val="00400CC8"/>
    <w:rsid w:val="00400F08"/>
    <w:rsid w:val="00401AE9"/>
    <w:rsid w:val="00402491"/>
    <w:rsid w:val="00402D2C"/>
    <w:rsid w:val="00402E2E"/>
    <w:rsid w:val="004030D1"/>
    <w:rsid w:val="004032DF"/>
    <w:rsid w:val="004038ED"/>
    <w:rsid w:val="004039F6"/>
    <w:rsid w:val="00403F9D"/>
    <w:rsid w:val="004046DC"/>
    <w:rsid w:val="004046E5"/>
    <w:rsid w:val="00404CC2"/>
    <w:rsid w:val="00404E0E"/>
    <w:rsid w:val="00405852"/>
    <w:rsid w:val="00405BD5"/>
    <w:rsid w:val="00406786"/>
    <w:rsid w:val="004068FD"/>
    <w:rsid w:val="00406F7B"/>
    <w:rsid w:val="00406F88"/>
    <w:rsid w:val="004074E5"/>
    <w:rsid w:val="00410268"/>
    <w:rsid w:val="00410A5C"/>
    <w:rsid w:val="00410DE6"/>
    <w:rsid w:val="004116E7"/>
    <w:rsid w:val="0041186A"/>
    <w:rsid w:val="00411C04"/>
    <w:rsid w:val="00411E24"/>
    <w:rsid w:val="00412F2A"/>
    <w:rsid w:val="004134C7"/>
    <w:rsid w:val="00413FC3"/>
    <w:rsid w:val="004152C1"/>
    <w:rsid w:val="0041549A"/>
    <w:rsid w:val="004154AB"/>
    <w:rsid w:val="00415753"/>
    <w:rsid w:val="004165F2"/>
    <w:rsid w:val="00417843"/>
    <w:rsid w:val="00420B03"/>
    <w:rsid w:val="004214A1"/>
    <w:rsid w:val="00421D16"/>
    <w:rsid w:val="0042325A"/>
    <w:rsid w:val="00423490"/>
    <w:rsid w:val="004247C8"/>
    <w:rsid w:val="00424FF7"/>
    <w:rsid w:val="004251F3"/>
    <w:rsid w:val="0042656B"/>
    <w:rsid w:val="004271C5"/>
    <w:rsid w:val="00430228"/>
    <w:rsid w:val="00430741"/>
    <w:rsid w:val="0043102A"/>
    <w:rsid w:val="004320B6"/>
    <w:rsid w:val="0043216C"/>
    <w:rsid w:val="0043339B"/>
    <w:rsid w:val="00433597"/>
    <w:rsid w:val="00433A25"/>
    <w:rsid w:val="00433AD9"/>
    <w:rsid w:val="00436021"/>
    <w:rsid w:val="00436364"/>
    <w:rsid w:val="00436815"/>
    <w:rsid w:val="00436A77"/>
    <w:rsid w:val="004377DB"/>
    <w:rsid w:val="00437D6B"/>
    <w:rsid w:val="0044012A"/>
    <w:rsid w:val="00440651"/>
    <w:rsid w:val="00440698"/>
    <w:rsid w:val="00440BD4"/>
    <w:rsid w:val="0044205F"/>
    <w:rsid w:val="00442CFD"/>
    <w:rsid w:val="00443B5A"/>
    <w:rsid w:val="00443B6C"/>
    <w:rsid w:val="00444260"/>
    <w:rsid w:val="004443D9"/>
    <w:rsid w:val="00445368"/>
    <w:rsid w:val="00445D7F"/>
    <w:rsid w:val="004477B8"/>
    <w:rsid w:val="004477C2"/>
    <w:rsid w:val="00447F89"/>
    <w:rsid w:val="004500F9"/>
    <w:rsid w:val="00450586"/>
    <w:rsid w:val="00451BC2"/>
    <w:rsid w:val="00452367"/>
    <w:rsid w:val="004527C0"/>
    <w:rsid w:val="0045427E"/>
    <w:rsid w:val="00454A16"/>
    <w:rsid w:val="00455F8A"/>
    <w:rsid w:val="004566C1"/>
    <w:rsid w:val="00457169"/>
    <w:rsid w:val="0046018C"/>
    <w:rsid w:val="00460677"/>
    <w:rsid w:val="00460AB6"/>
    <w:rsid w:val="00461899"/>
    <w:rsid w:val="00461EDE"/>
    <w:rsid w:val="00462C10"/>
    <w:rsid w:val="00463781"/>
    <w:rsid w:val="00464A96"/>
    <w:rsid w:val="00464BE4"/>
    <w:rsid w:val="00465381"/>
    <w:rsid w:val="00465B9F"/>
    <w:rsid w:val="00466469"/>
    <w:rsid w:val="0046698B"/>
    <w:rsid w:val="004669E0"/>
    <w:rsid w:val="00467539"/>
    <w:rsid w:val="004676E3"/>
    <w:rsid w:val="00471A3B"/>
    <w:rsid w:val="00473F15"/>
    <w:rsid w:val="0047469F"/>
    <w:rsid w:val="00474F30"/>
    <w:rsid w:val="00475A44"/>
    <w:rsid w:val="004763CD"/>
    <w:rsid w:val="00476566"/>
    <w:rsid w:val="00476DA4"/>
    <w:rsid w:val="00477B66"/>
    <w:rsid w:val="00477C39"/>
    <w:rsid w:val="00477F92"/>
    <w:rsid w:val="00480159"/>
    <w:rsid w:val="00480625"/>
    <w:rsid w:val="00480A7D"/>
    <w:rsid w:val="00480CA8"/>
    <w:rsid w:val="00481124"/>
    <w:rsid w:val="00481E82"/>
    <w:rsid w:val="004822C4"/>
    <w:rsid w:val="00482C71"/>
    <w:rsid w:val="0048373F"/>
    <w:rsid w:val="00483812"/>
    <w:rsid w:val="00483B68"/>
    <w:rsid w:val="00484450"/>
    <w:rsid w:val="00484691"/>
    <w:rsid w:val="00484D42"/>
    <w:rsid w:val="0048593F"/>
    <w:rsid w:val="0048676E"/>
    <w:rsid w:val="00486D5A"/>
    <w:rsid w:val="0048755B"/>
    <w:rsid w:val="00487CA8"/>
    <w:rsid w:val="00487D9E"/>
    <w:rsid w:val="0049024A"/>
    <w:rsid w:val="00492ADB"/>
    <w:rsid w:val="00492CE4"/>
    <w:rsid w:val="00492F7F"/>
    <w:rsid w:val="00493697"/>
    <w:rsid w:val="00494803"/>
    <w:rsid w:val="00495487"/>
    <w:rsid w:val="00495715"/>
    <w:rsid w:val="004966EB"/>
    <w:rsid w:val="00496B5C"/>
    <w:rsid w:val="00496FE9"/>
    <w:rsid w:val="004978DB"/>
    <w:rsid w:val="004A0805"/>
    <w:rsid w:val="004A1492"/>
    <w:rsid w:val="004A1C0F"/>
    <w:rsid w:val="004A1E89"/>
    <w:rsid w:val="004A23A6"/>
    <w:rsid w:val="004A28B5"/>
    <w:rsid w:val="004A2EF5"/>
    <w:rsid w:val="004A3486"/>
    <w:rsid w:val="004A3F4A"/>
    <w:rsid w:val="004A4476"/>
    <w:rsid w:val="004A470D"/>
    <w:rsid w:val="004A5B7D"/>
    <w:rsid w:val="004A5D10"/>
    <w:rsid w:val="004A6DB6"/>
    <w:rsid w:val="004A780E"/>
    <w:rsid w:val="004A7AA9"/>
    <w:rsid w:val="004B004F"/>
    <w:rsid w:val="004B0A45"/>
    <w:rsid w:val="004B0F4A"/>
    <w:rsid w:val="004B1B1C"/>
    <w:rsid w:val="004B2CB3"/>
    <w:rsid w:val="004B39F7"/>
    <w:rsid w:val="004B3B56"/>
    <w:rsid w:val="004B43CA"/>
    <w:rsid w:val="004B452E"/>
    <w:rsid w:val="004B4FB7"/>
    <w:rsid w:val="004B544F"/>
    <w:rsid w:val="004B6371"/>
    <w:rsid w:val="004B6F19"/>
    <w:rsid w:val="004B7C0C"/>
    <w:rsid w:val="004C0092"/>
    <w:rsid w:val="004C0700"/>
    <w:rsid w:val="004C193F"/>
    <w:rsid w:val="004C242D"/>
    <w:rsid w:val="004C24E4"/>
    <w:rsid w:val="004C3FBC"/>
    <w:rsid w:val="004C4241"/>
    <w:rsid w:val="004C46CC"/>
    <w:rsid w:val="004C4957"/>
    <w:rsid w:val="004C5264"/>
    <w:rsid w:val="004C5402"/>
    <w:rsid w:val="004C5BA3"/>
    <w:rsid w:val="004C6166"/>
    <w:rsid w:val="004C7D15"/>
    <w:rsid w:val="004D07F2"/>
    <w:rsid w:val="004D0B63"/>
    <w:rsid w:val="004D12A3"/>
    <w:rsid w:val="004D1346"/>
    <w:rsid w:val="004D1D78"/>
    <w:rsid w:val="004D3159"/>
    <w:rsid w:val="004D3388"/>
    <w:rsid w:val="004D3819"/>
    <w:rsid w:val="004D44D6"/>
    <w:rsid w:val="004D5239"/>
    <w:rsid w:val="004D5B8D"/>
    <w:rsid w:val="004D6D0F"/>
    <w:rsid w:val="004D6DE0"/>
    <w:rsid w:val="004D6EED"/>
    <w:rsid w:val="004D70F0"/>
    <w:rsid w:val="004D750C"/>
    <w:rsid w:val="004D7581"/>
    <w:rsid w:val="004D7616"/>
    <w:rsid w:val="004E0BB2"/>
    <w:rsid w:val="004E0CE8"/>
    <w:rsid w:val="004E12F1"/>
    <w:rsid w:val="004E1668"/>
    <w:rsid w:val="004E2976"/>
    <w:rsid w:val="004E30F4"/>
    <w:rsid w:val="004E3142"/>
    <w:rsid w:val="004E35FB"/>
    <w:rsid w:val="004E3C9A"/>
    <w:rsid w:val="004E4295"/>
    <w:rsid w:val="004E5147"/>
    <w:rsid w:val="004E58BB"/>
    <w:rsid w:val="004E5A3A"/>
    <w:rsid w:val="004E620C"/>
    <w:rsid w:val="004E65F4"/>
    <w:rsid w:val="004E75EA"/>
    <w:rsid w:val="004F0945"/>
    <w:rsid w:val="004F0C05"/>
    <w:rsid w:val="004F1FC1"/>
    <w:rsid w:val="004F2BAB"/>
    <w:rsid w:val="004F31FE"/>
    <w:rsid w:val="004F393F"/>
    <w:rsid w:val="004F41BC"/>
    <w:rsid w:val="004F42C4"/>
    <w:rsid w:val="004F4ABA"/>
    <w:rsid w:val="004F4E8F"/>
    <w:rsid w:val="004F51F9"/>
    <w:rsid w:val="004F559A"/>
    <w:rsid w:val="004F5BF5"/>
    <w:rsid w:val="004F68B1"/>
    <w:rsid w:val="004F6B32"/>
    <w:rsid w:val="004F72AB"/>
    <w:rsid w:val="004F79E2"/>
    <w:rsid w:val="004F7E21"/>
    <w:rsid w:val="00500824"/>
    <w:rsid w:val="00500E53"/>
    <w:rsid w:val="0050169B"/>
    <w:rsid w:val="00501DF2"/>
    <w:rsid w:val="005027B2"/>
    <w:rsid w:val="00502ADB"/>
    <w:rsid w:val="00502C2C"/>
    <w:rsid w:val="005031BE"/>
    <w:rsid w:val="005039EB"/>
    <w:rsid w:val="00504256"/>
    <w:rsid w:val="005048B3"/>
    <w:rsid w:val="00504F6F"/>
    <w:rsid w:val="00505F5E"/>
    <w:rsid w:val="005072E7"/>
    <w:rsid w:val="005073B1"/>
    <w:rsid w:val="00510040"/>
    <w:rsid w:val="005106C2"/>
    <w:rsid w:val="0051085F"/>
    <w:rsid w:val="005121DA"/>
    <w:rsid w:val="00512CA0"/>
    <w:rsid w:val="00512CC2"/>
    <w:rsid w:val="00514B42"/>
    <w:rsid w:val="00515370"/>
    <w:rsid w:val="005157CD"/>
    <w:rsid w:val="0051583C"/>
    <w:rsid w:val="00515DCE"/>
    <w:rsid w:val="00516B93"/>
    <w:rsid w:val="005171A2"/>
    <w:rsid w:val="005178CD"/>
    <w:rsid w:val="00517902"/>
    <w:rsid w:val="00517A96"/>
    <w:rsid w:val="00521FAA"/>
    <w:rsid w:val="0052242F"/>
    <w:rsid w:val="00522F71"/>
    <w:rsid w:val="005235AD"/>
    <w:rsid w:val="00523EDB"/>
    <w:rsid w:val="00524247"/>
    <w:rsid w:val="00524C80"/>
    <w:rsid w:val="005253BB"/>
    <w:rsid w:val="00525CCA"/>
    <w:rsid w:val="00526347"/>
    <w:rsid w:val="00527A33"/>
    <w:rsid w:val="00527DA2"/>
    <w:rsid w:val="00530130"/>
    <w:rsid w:val="005303E4"/>
    <w:rsid w:val="00530567"/>
    <w:rsid w:val="005307B3"/>
    <w:rsid w:val="00530CD9"/>
    <w:rsid w:val="00531080"/>
    <w:rsid w:val="005315D4"/>
    <w:rsid w:val="005316D3"/>
    <w:rsid w:val="00531912"/>
    <w:rsid w:val="00534218"/>
    <w:rsid w:val="00534D58"/>
    <w:rsid w:val="0053524B"/>
    <w:rsid w:val="005361BC"/>
    <w:rsid w:val="00536581"/>
    <w:rsid w:val="005365B2"/>
    <w:rsid w:val="00536F4F"/>
    <w:rsid w:val="005375C7"/>
    <w:rsid w:val="0054238A"/>
    <w:rsid w:val="005428A3"/>
    <w:rsid w:val="00542EF5"/>
    <w:rsid w:val="00543A89"/>
    <w:rsid w:val="00543B2A"/>
    <w:rsid w:val="00544A5A"/>
    <w:rsid w:val="00544AAA"/>
    <w:rsid w:val="00545993"/>
    <w:rsid w:val="005467F3"/>
    <w:rsid w:val="005474EA"/>
    <w:rsid w:val="00550894"/>
    <w:rsid w:val="00551000"/>
    <w:rsid w:val="00551507"/>
    <w:rsid w:val="0055171F"/>
    <w:rsid w:val="0055272B"/>
    <w:rsid w:val="0055415E"/>
    <w:rsid w:val="00554B60"/>
    <w:rsid w:val="00555375"/>
    <w:rsid w:val="005557AB"/>
    <w:rsid w:val="00556919"/>
    <w:rsid w:val="005573B5"/>
    <w:rsid w:val="0056065E"/>
    <w:rsid w:val="00561CAC"/>
    <w:rsid w:val="00561EF8"/>
    <w:rsid w:val="0056287F"/>
    <w:rsid w:val="00562DD7"/>
    <w:rsid w:val="00563561"/>
    <w:rsid w:val="0056357D"/>
    <w:rsid w:val="00563BC8"/>
    <w:rsid w:val="00564024"/>
    <w:rsid w:val="00564637"/>
    <w:rsid w:val="005649A4"/>
    <w:rsid w:val="00566000"/>
    <w:rsid w:val="005664DA"/>
    <w:rsid w:val="00567CE6"/>
    <w:rsid w:val="00567CEA"/>
    <w:rsid w:val="00567EDE"/>
    <w:rsid w:val="00570E90"/>
    <w:rsid w:val="005719BE"/>
    <w:rsid w:val="005722AA"/>
    <w:rsid w:val="00572311"/>
    <w:rsid w:val="00572DDC"/>
    <w:rsid w:val="00572F70"/>
    <w:rsid w:val="00573BB3"/>
    <w:rsid w:val="00573BC6"/>
    <w:rsid w:val="00573CDB"/>
    <w:rsid w:val="00574B24"/>
    <w:rsid w:val="00574CC9"/>
    <w:rsid w:val="005753BA"/>
    <w:rsid w:val="00575722"/>
    <w:rsid w:val="005771B3"/>
    <w:rsid w:val="00577AC2"/>
    <w:rsid w:val="00577D06"/>
    <w:rsid w:val="00577D11"/>
    <w:rsid w:val="00577D19"/>
    <w:rsid w:val="0058057D"/>
    <w:rsid w:val="00580E6B"/>
    <w:rsid w:val="00581027"/>
    <w:rsid w:val="00582D66"/>
    <w:rsid w:val="00583090"/>
    <w:rsid w:val="0058499C"/>
    <w:rsid w:val="005873A5"/>
    <w:rsid w:val="00587C73"/>
    <w:rsid w:val="00590078"/>
    <w:rsid w:val="00590523"/>
    <w:rsid w:val="00591A21"/>
    <w:rsid w:val="00592408"/>
    <w:rsid w:val="00592634"/>
    <w:rsid w:val="0059286F"/>
    <w:rsid w:val="00592921"/>
    <w:rsid w:val="0059428D"/>
    <w:rsid w:val="00595913"/>
    <w:rsid w:val="00595BB8"/>
    <w:rsid w:val="005965CE"/>
    <w:rsid w:val="0059685E"/>
    <w:rsid w:val="00596F8D"/>
    <w:rsid w:val="00597019"/>
    <w:rsid w:val="005A0A8A"/>
    <w:rsid w:val="005A19D9"/>
    <w:rsid w:val="005A1E50"/>
    <w:rsid w:val="005A2DC2"/>
    <w:rsid w:val="005A362E"/>
    <w:rsid w:val="005A3C97"/>
    <w:rsid w:val="005A3E9A"/>
    <w:rsid w:val="005A3F60"/>
    <w:rsid w:val="005A4668"/>
    <w:rsid w:val="005A506F"/>
    <w:rsid w:val="005A5A80"/>
    <w:rsid w:val="005A5D1C"/>
    <w:rsid w:val="005A6188"/>
    <w:rsid w:val="005A679B"/>
    <w:rsid w:val="005A6852"/>
    <w:rsid w:val="005B0030"/>
    <w:rsid w:val="005B0A84"/>
    <w:rsid w:val="005B0F82"/>
    <w:rsid w:val="005B1BA4"/>
    <w:rsid w:val="005B1BCC"/>
    <w:rsid w:val="005B21DE"/>
    <w:rsid w:val="005B2F59"/>
    <w:rsid w:val="005B4406"/>
    <w:rsid w:val="005B55E4"/>
    <w:rsid w:val="005B5B24"/>
    <w:rsid w:val="005B6661"/>
    <w:rsid w:val="005B6728"/>
    <w:rsid w:val="005B6A70"/>
    <w:rsid w:val="005B7AEB"/>
    <w:rsid w:val="005B7C86"/>
    <w:rsid w:val="005B7E41"/>
    <w:rsid w:val="005C001E"/>
    <w:rsid w:val="005C00AA"/>
    <w:rsid w:val="005C02CB"/>
    <w:rsid w:val="005C0630"/>
    <w:rsid w:val="005C0C97"/>
    <w:rsid w:val="005C1AD9"/>
    <w:rsid w:val="005C1D42"/>
    <w:rsid w:val="005C1FFC"/>
    <w:rsid w:val="005C282D"/>
    <w:rsid w:val="005C4543"/>
    <w:rsid w:val="005C5709"/>
    <w:rsid w:val="005C5B69"/>
    <w:rsid w:val="005C5E59"/>
    <w:rsid w:val="005C60D3"/>
    <w:rsid w:val="005C6894"/>
    <w:rsid w:val="005C6AEE"/>
    <w:rsid w:val="005C71B8"/>
    <w:rsid w:val="005C7D9C"/>
    <w:rsid w:val="005C7E8E"/>
    <w:rsid w:val="005C7F91"/>
    <w:rsid w:val="005D02D2"/>
    <w:rsid w:val="005D0789"/>
    <w:rsid w:val="005D0C0E"/>
    <w:rsid w:val="005D24B6"/>
    <w:rsid w:val="005D2CD0"/>
    <w:rsid w:val="005D2DF1"/>
    <w:rsid w:val="005D472F"/>
    <w:rsid w:val="005D50D8"/>
    <w:rsid w:val="005D6620"/>
    <w:rsid w:val="005D7310"/>
    <w:rsid w:val="005E088B"/>
    <w:rsid w:val="005E0AF0"/>
    <w:rsid w:val="005E0D0F"/>
    <w:rsid w:val="005E2532"/>
    <w:rsid w:val="005E28DA"/>
    <w:rsid w:val="005E490F"/>
    <w:rsid w:val="005E4C98"/>
    <w:rsid w:val="005E4FDB"/>
    <w:rsid w:val="005E55AD"/>
    <w:rsid w:val="005E561F"/>
    <w:rsid w:val="005E7313"/>
    <w:rsid w:val="005F087E"/>
    <w:rsid w:val="005F0CCF"/>
    <w:rsid w:val="005F0E75"/>
    <w:rsid w:val="005F0FA2"/>
    <w:rsid w:val="005F1186"/>
    <w:rsid w:val="005F15FD"/>
    <w:rsid w:val="005F1E68"/>
    <w:rsid w:val="005F1FE4"/>
    <w:rsid w:val="005F2EEE"/>
    <w:rsid w:val="005F339A"/>
    <w:rsid w:val="005F43B0"/>
    <w:rsid w:val="005F464A"/>
    <w:rsid w:val="005F46AC"/>
    <w:rsid w:val="005F4757"/>
    <w:rsid w:val="005F4B48"/>
    <w:rsid w:val="005F572D"/>
    <w:rsid w:val="005F5C07"/>
    <w:rsid w:val="005F6A1E"/>
    <w:rsid w:val="005F6FFE"/>
    <w:rsid w:val="005F7191"/>
    <w:rsid w:val="005F7480"/>
    <w:rsid w:val="00600A94"/>
    <w:rsid w:val="00600DC3"/>
    <w:rsid w:val="006012AC"/>
    <w:rsid w:val="00601716"/>
    <w:rsid w:val="00601773"/>
    <w:rsid w:val="006017B8"/>
    <w:rsid w:val="00601C01"/>
    <w:rsid w:val="00601C3F"/>
    <w:rsid w:val="00602BBC"/>
    <w:rsid w:val="00602D17"/>
    <w:rsid w:val="00602DEF"/>
    <w:rsid w:val="00603037"/>
    <w:rsid w:val="006036AC"/>
    <w:rsid w:val="00603D01"/>
    <w:rsid w:val="00604C29"/>
    <w:rsid w:val="0060616D"/>
    <w:rsid w:val="0060631B"/>
    <w:rsid w:val="006063C8"/>
    <w:rsid w:val="006066C6"/>
    <w:rsid w:val="006067F3"/>
    <w:rsid w:val="00606D8A"/>
    <w:rsid w:val="006079C5"/>
    <w:rsid w:val="006079E5"/>
    <w:rsid w:val="00607D15"/>
    <w:rsid w:val="00610EE1"/>
    <w:rsid w:val="00613052"/>
    <w:rsid w:val="00614948"/>
    <w:rsid w:val="00615BED"/>
    <w:rsid w:val="006160E3"/>
    <w:rsid w:val="006163B1"/>
    <w:rsid w:val="00616415"/>
    <w:rsid w:val="00617199"/>
    <w:rsid w:val="00617818"/>
    <w:rsid w:val="00620B1A"/>
    <w:rsid w:val="006217E4"/>
    <w:rsid w:val="00622095"/>
    <w:rsid w:val="0062260B"/>
    <w:rsid w:val="0062343B"/>
    <w:rsid w:val="006239DE"/>
    <w:rsid w:val="00625F69"/>
    <w:rsid w:val="006262C6"/>
    <w:rsid w:val="006263D4"/>
    <w:rsid w:val="0062650C"/>
    <w:rsid w:val="00626E0C"/>
    <w:rsid w:val="0062735E"/>
    <w:rsid w:val="00627D7B"/>
    <w:rsid w:val="006302EC"/>
    <w:rsid w:val="00630AA0"/>
    <w:rsid w:val="0063145D"/>
    <w:rsid w:val="00632775"/>
    <w:rsid w:val="00632C50"/>
    <w:rsid w:val="00632F0B"/>
    <w:rsid w:val="00633543"/>
    <w:rsid w:val="00633C57"/>
    <w:rsid w:val="00633E26"/>
    <w:rsid w:val="0063417F"/>
    <w:rsid w:val="00634293"/>
    <w:rsid w:val="00635297"/>
    <w:rsid w:val="00636121"/>
    <w:rsid w:val="0063618A"/>
    <w:rsid w:val="00637BC2"/>
    <w:rsid w:val="00640EBA"/>
    <w:rsid w:val="00641B2D"/>
    <w:rsid w:val="00641DA8"/>
    <w:rsid w:val="0064242D"/>
    <w:rsid w:val="00642524"/>
    <w:rsid w:val="00642988"/>
    <w:rsid w:val="00642BE0"/>
    <w:rsid w:val="006431B1"/>
    <w:rsid w:val="00643939"/>
    <w:rsid w:val="006439D1"/>
    <w:rsid w:val="00643C71"/>
    <w:rsid w:val="00644805"/>
    <w:rsid w:val="006454D1"/>
    <w:rsid w:val="00645D58"/>
    <w:rsid w:val="00645F44"/>
    <w:rsid w:val="006467BA"/>
    <w:rsid w:val="00646E40"/>
    <w:rsid w:val="00647F90"/>
    <w:rsid w:val="006506B8"/>
    <w:rsid w:val="006509FF"/>
    <w:rsid w:val="00650DC2"/>
    <w:rsid w:val="00651338"/>
    <w:rsid w:val="00651856"/>
    <w:rsid w:val="00651BB7"/>
    <w:rsid w:val="00651D15"/>
    <w:rsid w:val="0065264F"/>
    <w:rsid w:val="00652BC6"/>
    <w:rsid w:val="00652CEE"/>
    <w:rsid w:val="006531E5"/>
    <w:rsid w:val="00653755"/>
    <w:rsid w:val="00654545"/>
    <w:rsid w:val="00654C0C"/>
    <w:rsid w:val="006553FF"/>
    <w:rsid w:val="00656063"/>
    <w:rsid w:val="006575C8"/>
    <w:rsid w:val="00657C78"/>
    <w:rsid w:val="00657E2F"/>
    <w:rsid w:val="00661818"/>
    <w:rsid w:val="006627F8"/>
    <w:rsid w:val="00663417"/>
    <w:rsid w:val="0066393C"/>
    <w:rsid w:val="0066415C"/>
    <w:rsid w:val="00664642"/>
    <w:rsid w:val="00664F80"/>
    <w:rsid w:val="0066509F"/>
    <w:rsid w:val="00665C1D"/>
    <w:rsid w:val="00665F1B"/>
    <w:rsid w:val="00666383"/>
    <w:rsid w:val="0066643B"/>
    <w:rsid w:val="00667082"/>
    <w:rsid w:val="00667D8E"/>
    <w:rsid w:val="00670621"/>
    <w:rsid w:val="00670968"/>
    <w:rsid w:val="0067140B"/>
    <w:rsid w:val="00671547"/>
    <w:rsid w:val="006715A1"/>
    <w:rsid w:val="006752B5"/>
    <w:rsid w:val="00675415"/>
    <w:rsid w:val="0067585E"/>
    <w:rsid w:val="00676800"/>
    <w:rsid w:val="00677834"/>
    <w:rsid w:val="00677D36"/>
    <w:rsid w:val="00677F29"/>
    <w:rsid w:val="00677F97"/>
    <w:rsid w:val="00677FFC"/>
    <w:rsid w:val="006804A5"/>
    <w:rsid w:val="00680F8E"/>
    <w:rsid w:val="00681944"/>
    <w:rsid w:val="00682799"/>
    <w:rsid w:val="00683883"/>
    <w:rsid w:val="00683DE0"/>
    <w:rsid w:val="00684263"/>
    <w:rsid w:val="0068443F"/>
    <w:rsid w:val="00684D30"/>
    <w:rsid w:val="00684E38"/>
    <w:rsid w:val="006856D5"/>
    <w:rsid w:val="00685731"/>
    <w:rsid w:val="00685C0E"/>
    <w:rsid w:val="006863AE"/>
    <w:rsid w:val="00686961"/>
    <w:rsid w:val="00686AF8"/>
    <w:rsid w:val="00686F99"/>
    <w:rsid w:val="00687597"/>
    <w:rsid w:val="006877CF"/>
    <w:rsid w:val="00687AB4"/>
    <w:rsid w:val="00690199"/>
    <w:rsid w:val="0069023C"/>
    <w:rsid w:val="006904A8"/>
    <w:rsid w:val="0069125B"/>
    <w:rsid w:val="00691372"/>
    <w:rsid w:val="006918DD"/>
    <w:rsid w:val="00691974"/>
    <w:rsid w:val="006921CB"/>
    <w:rsid w:val="006924B1"/>
    <w:rsid w:val="006928CC"/>
    <w:rsid w:val="00692B2A"/>
    <w:rsid w:val="00692DA5"/>
    <w:rsid w:val="00692FD0"/>
    <w:rsid w:val="0069325D"/>
    <w:rsid w:val="00693434"/>
    <w:rsid w:val="0069376B"/>
    <w:rsid w:val="00693933"/>
    <w:rsid w:val="0069425A"/>
    <w:rsid w:val="006944FF"/>
    <w:rsid w:val="006951F9"/>
    <w:rsid w:val="00695982"/>
    <w:rsid w:val="0069610F"/>
    <w:rsid w:val="00696334"/>
    <w:rsid w:val="00696675"/>
    <w:rsid w:val="00696EF1"/>
    <w:rsid w:val="006970FB"/>
    <w:rsid w:val="00697513"/>
    <w:rsid w:val="0069762C"/>
    <w:rsid w:val="006978F8"/>
    <w:rsid w:val="00697A03"/>
    <w:rsid w:val="006A065B"/>
    <w:rsid w:val="006A28F6"/>
    <w:rsid w:val="006A2E83"/>
    <w:rsid w:val="006A3013"/>
    <w:rsid w:val="006A3527"/>
    <w:rsid w:val="006A39E6"/>
    <w:rsid w:val="006A52D8"/>
    <w:rsid w:val="006A571A"/>
    <w:rsid w:val="006A5980"/>
    <w:rsid w:val="006B0F49"/>
    <w:rsid w:val="006B16C1"/>
    <w:rsid w:val="006B2252"/>
    <w:rsid w:val="006B267F"/>
    <w:rsid w:val="006B3463"/>
    <w:rsid w:val="006B3E9C"/>
    <w:rsid w:val="006B48F0"/>
    <w:rsid w:val="006B4DCC"/>
    <w:rsid w:val="006B5145"/>
    <w:rsid w:val="006B586C"/>
    <w:rsid w:val="006B5AEF"/>
    <w:rsid w:val="006B6992"/>
    <w:rsid w:val="006B699F"/>
    <w:rsid w:val="006B6D1A"/>
    <w:rsid w:val="006B7215"/>
    <w:rsid w:val="006B7877"/>
    <w:rsid w:val="006C022D"/>
    <w:rsid w:val="006C022F"/>
    <w:rsid w:val="006C0412"/>
    <w:rsid w:val="006C0442"/>
    <w:rsid w:val="006C07E1"/>
    <w:rsid w:val="006C0955"/>
    <w:rsid w:val="006C0C99"/>
    <w:rsid w:val="006C18FE"/>
    <w:rsid w:val="006C1C7B"/>
    <w:rsid w:val="006C206C"/>
    <w:rsid w:val="006C2785"/>
    <w:rsid w:val="006C28E8"/>
    <w:rsid w:val="006C2E88"/>
    <w:rsid w:val="006C2F41"/>
    <w:rsid w:val="006C3847"/>
    <w:rsid w:val="006C4850"/>
    <w:rsid w:val="006C4C49"/>
    <w:rsid w:val="006C5540"/>
    <w:rsid w:val="006C56D0"/>
    <w:rsid w:val="006C5E78"/>
    <w:rsid w:val="006C6590"/>
    <w:rsid w:val="006C6826"/>
    <w:rsid w:val="006C6AAE"/>
    <w:rsid w:val="006C6BF1"/>
    <w:rsid w:val="006C707B"/>
    <w:rsid w:val="006C7150"/>
    <w:rsid w:val="006C788F"/>
    <w:rsid w:val="006C78BB"/>
    <w:rsid w:val="006D02AF"/>
    <w:rsid w:val="006D0EE5"/>
    <w:rsid w:val="006D1A34"/>
    <w:rsid w:val="006D1CDD"/>
    <w:rsid w:val="006D272B"/>
    <w:rsid w:val="006D27A1"/>
    <w:rsid w:val="006D3114"/>
    <w:rsid w:val="006D33CF"/>
    <w:rsid w:val="006D42EA"/>
    <w:rsid w:val="006D488E"/>
    <w:rsid w:val="006D4F9B"/>
    <w:rsid w:val="006D52FA"/>
    <w:rsid w:val="006D5553"/>
    <w:rsid w:val="006D5DB3"/>
    <w:rsid w:val="006D643D"/>
    <w:rsid w:val="006D6526"/>
    <w:rsid w:val="006D6B1B"/>
    <w:rsid w:val="006D6C88"/>
    <w:rsid w:val="006E036E"/>
    <w:rsid w:val="006E08C7"/>
    <w:rsid w:val="006E09B7"/>
    <w:rsid w:val="006E12DA"/>
    <w:rsid w:val="006E17AA"/>
    <w:rsid w:val="006E252F"/>
    <w:rsid w:val="006E2766"/>
    <w:rsid w:val="006E2F8C"/>
    <w:rsid w:val="006E3190"/>
    <w:rsid w:val="006E32E9"/>
    <w:rsid w:val="006E47A4"/>
    <w:rsid w:val="006E643C"/>
    <w:rsid w:val="006E7E83"/>
    <w:rsid w:val="006F0131"/>
    <w:rsid w:val="006F07D4"/>
    <w:rsid w:val="006F0D63"/>
    <w:rsid w:val="006F1196"/>
    <w:rsid w:val="006F1A1B"/>
    <w:rsid w:val="006F1EEB"/>
    <w:rsid w:val="006F21AB"/>
    <w:rsid w:val="006F21EB"/>
    <w:rsid w:val="006F2F97"/>
    <w:rsid w:val="006F36F4"/>
    <w:rsid w:val="006F3858"/>
    <w:rsid w:val="006F3BA5"/>
    <w:rsid w:val="006F5323"/>
    <w:rsid w:val="006F6077"/>
    <w:rsid w:val="006F74E6"/>
    <w:rsid w:val="006F79AC"/>
    <w:rsid w:val="00700594"/>
    <w:rsid w:val="007022BC"/>
    <w:rsid w:val="007023B6"/>
    <w:rsid w:val="00702F49"/>
    <w:rsid w:val="00702F60"/>
    <w:rsid w:val="00704C40"/>
    <w:rsid w:val="00705789"/>
    <w:rsid w:val="00705EEF"/>
    <w:rsid w:val="007072C3"/>
    <w:rsid w:val="0070731E"/>
    <w:rsid w:val="00707331"/>
    <w:rsid w:val="00707437"/>
    <w:rsid w:val="007075F1"/>
    <w:rsid w:val="00707AC7"/>
    <w:rsid w:val="00710DCF"/>
    <w:rsid w:val="007118EC"/>
    <w:rsid w:val="00711E95"/>
    <w:rsid w:val="0071232A"/>
    <w:rsid w:val="0071475B"/>
    <w:rsid w:val="00715CF5"/>
    <w:rsid w:val="00716409"/>
    <w:rsid w:val="007213F4"/>
    <w:rsid w:val="0072184C"/>
    <w:rsid w:val="007218D1"/>
    <w:rsid w:val="00722573"/>
    <w:rsid w:val="00722714"/>
    <w:rsid w:val="00722756"/>
    <w:rsid w:val="00722AD9"/>
    <w:rsid w:val="00722C66"/>
    <w:rsid w:val="0072379D"/>
    <w:rsid w:val="00723EBC"/>
    <w:rsid w:val="00724081"/>
    <w:rsid w:val="007240CE"/>
    <w:rsid w:val="00724D37"/>
    <w:rsid w:val="007259C8"/>
    <w:rsid w:val="007266AA"/>
    <w:rsid w:val="00726B16"/>
    <w:rsid w:val="00727306"/>
    <w:rsid w:val="0072731E"/>
    <w:rsid w:val="00727AF1"/>
    <w:rsid w:val="00730747"/>
    <w:rsid w:val="0073092D"/>
    <w:rsid w:val="00730EFF"/>
    <w:rsid w:val="00731A47"/>
    <w:rsid w:val="007337B0"/>
    <w:rsid w:val="007347E0"/>
    <w:rsid w:val="00734D00"/>
    <w:rsid w:val="007352FD"/>
    <w:rsid w:val="007354F5"/>
    <w:rsid w:val="00735592"/>
    <w:rsid w:val="00735D78"/>
    <w:rsid w:val="007368CD"/>
    <w:rsid w:val="00737563"/>
    <w:rsid w:val="00737CBF"/>
    <w:rsid w:val="0074016D"/>
    <w:rsid w:val="007410A9"/>
    <w:rsid w:val="00741772"/>
    <w:rsid w:val="00741E64"/>
    <w:rsid w:val="00742B80"/>
    <w:rsid w:val="007449B1"/>
    <w:rsid w:val="00744A8B"/>
    <w:rsid w:val="007451FF"/>
    <w:rsid w:val="0074545F"/>
    <w:rsid w:val="007456D1"/>
    <w:rsid w:val="00746F43"/>
    <w:rsid w:val="0074725D"/>
    <w:rsid w:val="00747898"/>
    <w:rsid w:val="00750403"/>
    <w:rsid w:val="0075169C"/>
    <w:rsid w:val="00751B34"/>
    <w:rsid w:val="00752332"/>
    <w:rsid w:val="00752CE8"/>
    <w:rsid w:val="007540F3"/>
    <w:rsid w:val="007542DD"/>
    <w:rsid w:val="00754720"/>
    <w:rsid w:val="00754F75"/>
    <w:rsid w:val="00754F7C"/>
    <w:rsid w:val="00755A7B"/>
    <w:rsid w:val="00755D72"/>
    <w:rsid w:val="00756F3C"/>
    <w:rsid w:val="00757552"/>
    <w:rsid w:val="007606AA"/>
    <w:rsid w:val="00760827"/>
    <w:rsid w:val="00763544"/>
    <w:rsid w:val="00764ADB"/>
    <w:rsid w:val="00764FBF"/>
    <w:rsid w:val="00765775"/>
    <w:rsid w:val="00765E8E"/>
    <w:rsid w:val="007660A9"/>
    <w:rsid w:val="007667D7"/>
    <w:rsid w:val="0077019D"/>
    <w:rsid w:val="0077203C"/>
    <w:rsid w:val="00773118"/>
    <w:rsid w:val="00773FB9"/>
    <w:rsid w:val="00774B79"/>
    <w:rsid w:val="007755F5"/>
    <w:rsid w:val="00775AEA"/>
    <w:rsid w:val="00775FAD"/>
    <w:rsid w:val="007767D3"/>
    <w:rsid w:val="007776BA"/>
    <w:rsid w:val="00777C86"/>
    <w:rsid w:val="00777E79"/>
    <w:rsid w:val="007823D9"/>
    <w:rsid w:val="00782CE3"/>
    <w:rsid w:val="00782D0E"/>
    <w:rsid w:val="00782FD1"/>
    <w:rsid w:val="00783305"/>
    <w:rsid w:val="007842B9"/>
    <w:rsid w:val="00784962"/>
    <w:rsid w:val="007856FA"/>
    <w:rsid w:val="007859C8"/>
    <w:rsid w:val="007876AD"/>
    <w:rsid w:val="007878BB"/>
    <w:rsid w:val="00787CED"/>
    <w:rsid w:val="00790036"/>
    <w:rsid w:val="007903FB"/>
    <w:rsid w:val="007907BD"/>
    <w:rsid w:val="00790A1A"/>
    <w:rsid w:val="00790E40"/>
    <w:rsid w:val="0079186D"/>
    <w:rsid w:val="00791C95"/>
    <w:rsid w:val="00791F55"/>
    <w:rsid w:val="007924C8"/>
    <w:rsid w:val="007935C6"/>
    <w:rsid w:val="0079429F"/>
    <w:rsid w:val="00794BDD"/>
    <w:rsid w:val="00794CAC"/>
    <w:rsid w:val="00795B7A"/>
    <w:rsid w:val="0079606F"/>
    <w:rsid w:val="00796217"/>
    <w:rsid w:val="00796271"/>
    <w:rsid w:val="007A04C9"/>
    <w:rsid w:val="007A05A0"/>
    <w:rsid w:val="007A123C"/>
    <w:rsid w:val="007A1B76"/>
    <w:rsid w:val="007A2604"/>
    <w:rsid w:val="007A2AD1"/>
    <w:rsid w:val="007A3BB8"/>
    <w:rsid w:val="007A3C01"/>
    <w:rsid w:val="007A405B"/>
    <w:rsid w:val="007A4532"/>
    <w:rsid w:val="007A45B5"/>
    <w:rsid w:val="007A4813"/>
    <w:rsid w:val="007A4A8B"/>
    <w:rsid w:val="007A4EB8"/>
    <w:rsid w:val="007A4F76"/>
    <w:rsid w:val="007A5890"/>
    <w:rsid w:val="007A5D3B"/>
    <w:rsid w:val="007A66C9"/>
    <w:rsid w:val="007A72E0"/>
    <w:rsid w:val="007B091E"/>
    <w:rsid w:val="007B0BF9"/>
    <w:rsid w:val="007B24B8"/>
    <w:rsid w:val="007B38B9"/>
    <w:rsid w:val="007B391B"/>
    <w:rsid w:val="007B3AFE"/>
    <w:rsid w:val="007B4161"/>
    <w:rsid w:val="007B451A"/>
    <w:rsid w:val="007B4A3B"/>
    <w:rsid w:val="007B4A91"/>
    <w:rsid w:val="007B4A9C"/>
    <w:rsid w:val="007B4BC5"/>
    <w:rsid w:val="007B53A0"/>
    <w:rsid w:val="007B5432"/>
    <w:rsid w:val="007B59CD"/>
    <w:rsid w:val="007B6E13"/>
    <w:rsid w:val="007B7111"/>
    <w:rsid w:val="007B7D09"/>
    <w:rsid w:val="007C063C"/>
    <w:rsid w:val="007C0712"/>
    <w:rsid w:val="007C1B62"/>
    <w:rsid w:val="007C2D87"/>
    <w:rsid w:val="007C437C"/>
    <w:rsid w:val="007C469E"/>
    <w:rsid w:val="007C6334"/>
    <w:rsid w:val="007C646A"/>
    <w:rsid w:val="007C6639"/>
    <w:rsid w:val="007C667C"/>
    <w:rsid w:val="007C6FC9"/>
    <w:rsid w:val="007C702A"/>
    <w:rsid w:val="007C7B28"/>
    <w:rsid w:val="007D0971"/>
    <w:rsid w:val="007D0BC6"/>
    <w:rsid w:val="007D0CDD"/>
    <w:rsid w:val="007D181B"/>
    <w:rsid w:val="007D1B77"/>
    <w:rsid w:val="007D248E"/>
    <w:rsid w:val="007D2D07"/>
    <w:rsid w:val="007D33DF"/>
    <w:rsid w:val="007D37BB"/>
    <w:rsid w:val="007D40EA"/>
    <w:rsid w:val="007D413F"/>
    <w:rsid w:val="007D4577"/>
    <w:rsid w:val="007D46FE"/>
    <w:rsid w:val="007D484F"/>
    <w:rsid w:val="007D4D56"/>
    <w:rsid w:val="007D5742"/>
    <w:rsid w:val="007D57F9"/>
    <w:rsid w:val="007E0168"/>
    <w:rsid w:val="007E1905"/>
    <w:rsid w:val="007E1A70"/>
    <w:rsid w:val="007E284B"/>
    <w:rsid w:val="007E2E34"/>
    <w:rsid w:val="007E3242"/>
    <w:rsid w:val="007E3298"/>
    <w:rsid w:val="007E33E3"/>
    <w:rsid w:val="007E40A9"/>
    <w:rsid w:val="007E44DA"/>
    <w:rsid w:val="007E4BE2"/>
    <w:rsid w:val="007E4F36"/>
    <w:rsid w:val="007E5907"/>
    <w:rsid w:val="007E5A15"/>
    <w:rsid w:val="007E6782"/>
    <w:rsid w:val="007E6EC2"/>
    <w:rsid w:val="007E72B2"/>
    <w:rsid w:val="007E7592"/>
    <w:rsid w:val="007F0673"/>
    <w:rsid w:val="007F0B37"/>
    <w:rsid w:val="007F1E3A"/>
    <w:rsid w:val="007F2C5D"/>
    <w:rsid w:val="007F2CC7"/>
    <w:rsid w:val="007F2F8A"/>
    <w:rsid w:val="007F3AAB"/>
    <w:rsid w:val="007F4016"/>
    <w:rsid w:val="007F4412"/>
    <w:rsid w:val="007F472C"/>
    <w:rsid w:val="007F4E04"/>
    <w:rsid w:val="007F526C"/>
    <w:rsid w:val="007F6024"/>
    <w:rsid w:val="007F69E3"/>
    <w:rsid w:val="007F69E4"/>
    <w:rsid w:val="007F6A2D"/>
    <w:rsid w:val="007F6F4A"/>
    <w:rsid w:val="007F7FAA"/>
    <w:rsid w:val="00800999"/>
    <w:rsid w:val="00800DB1"/>
    <w:rsid w:val="008023AE"/>
    <w:rsid w:val="008032C4"/>
    <w:rsid w:val="0080397A"/>
    <w:rsid w:val="008042C4"/>
    <w:rsid w:val="0080433C"/>
    <w:rsid w:val="008044DD"/>
    <w:rsid w:val="0080467A"/>
    <w:rsid w:val="00804BAE"/>
    <w:rsid w:val="00804CD3"/>
    <w:rsid w:val="00805D96"/>
    <w:rsid w:val="008062FA"/>
    <w:rsid w:val="00806C1D"/>
    <w:rsid w:val="00806F02"/>
    <w:rsid w:val="00807015"/>
    <w:rsid w:val="0080710C"/>
    <w:rsid w:val="0080772D"/>
    <w:rsid w:val="00807DDC"/>
    <w:rsid w:val="00810702"/>
    <w:rsid w:val="0081174A"/>
    <w:rsid w:val="00811D53"/>
    <w:rsid w:val="008122BE"/>
    <w:rsid w:val="00812AEF"/>
    <w:rsid w:val="00812FCD"/>
    <w:rsid w:val="008136E7"/>
    <w:rsid w:val="00815F06"/>
    <w:rsid w:val="008164BC"/>
    <w:rsid w:val="00817E8F"/>
    <w:rsid w:val="00817F52"/>
    <w:rsid w:val="0082122C"/>
    <w:rsid w:val="008212A0"/>
    <w:rsid w:val="00821585"/>
    <w:rsid w:val="008215DF"/>
    <w:rsid w:val="00821CE5"/>
    <w:rsid w:val="00823670"/>
    <w:rsid w:val="008236AA"/>
    <w:rsid w:val="008244EC"/>
    <w:rsid w:val="0082588D"/>
    <w:rsid w:val="00825B16"/>
    <w:rsid w:val="00825D28"/>
    <w:rsid w:val="00825F4D"/>
    <w:rsid w:val="00826283"/>
    <w:rsid w:val="00826EDE"/>
    <w:rsid w:val="008272E6"/>
    <w:rsid w:val="0082784A"/>
    <w:rsid w:val="00830045"/>
    <w:rsid w:val="00831031"/>
    <w:rsid w:val="00831849"/>
    <w:rsid w:val="008323EB"/>
    <w:rsid w:val="00832DD6"/>
    <w:rsid w:val="00833D6A"/>
    <w:rsid w:val="00834808"/>
    <w:rsid w:val="00835F0E"/>
    <w:rsid w:val="00836148"/>
    <w:rsid w:val="008373CD"/>
    <w:rsid w:val="008377EB"/>
    <w:rsid w:val="00837ADC"/>
    <w:rsid w:val="008407F9"/>
    <w:rsid w:val="008413D8"/>
    <w:rsid w:val="008415E8"/>
    <w:rsid w:val="00841D4A"/>
    <w:rsid w:val="00841D77"/>
    <w:rsid w:val="00841F41"/>
    <w:rsid w:val="00842447"/>
    <w:rsid w:val="0084275B"/>
    <w:rsid w:val="0084289F"/>
    <w:rsid w:val="008428EC"/>
    <w:rsid w:val="00842DA1"/>
    <w:rsid w:val="008431A2"/>
    <w:rsid w:val="008451A0"/>
    <w:rsid w:val="00845E3F"/>
    <w:rsid w:val="00847F94"/>
    <w:rsid w:val="0085128B"/>
    <w:rsid w:val="008513DF"/>
    <w:rsid w:val="00851D56"/>
    <w:rsid w:val="00853692"/>
    <w:rsid w:val="008543A5"/>
    <w:rsid w:val="008549D9"/>
    <w:rsid w:val="00854DD7"/>
    <w:rsid w:val="008551D8"/>
    <w:rsid w:val="0085673C"/>
    <w:rsid w:val="008574CF"/>
    <w:rsid w:val="00857533"/>
    <w:rsid w:val="00857B85"/>
    <w:rsid w:val="00860574"/>
    <w:rsid w:val="008609E3"/>
    <w:rsid w:val="00860C8C"/>
    <w:rsid w:val="00861331"/>
    <w:rsid w:val="00861E77"/>
    <w:rsid w:val="008622B1"/>
    <w:rsid w:val="00862FF7"/>
    <w:rsid w:val="00863F9A"/>
    <w:rsid w:val="00865369"/>
    <w:rsid w:val="008656DD"/>
    <w:rsid w:val="00865728"/>
    <w:rsid w:val="00866306"/>
    <w:rsid w:val="00866542"/>
    <w:rsid w:val="008674D8"/>
    <w:rsid w:val="008676AB"/>
    <w:rsid w:val="00870286"/>
    <w:rsid w:val="00870458"/>
    <w:rsid w:val="00870494"/>
    <w:rsid w:val="00870714"/>
    <w:rsid w:val="008709D7"/>
    <w:rsid w:val="00871034"/>
    <w:rsid w:val="00871B96"/>
    <w:rsid w:val="00874007"/>
    <w:rsid w:val="008740B6"/>
    <w:rsid w:val="00874945"/>
    <w:rsid w:val="008754B6"/>
    <w:rsid w:val="00875741"/>
    <w:rsid w:val="00875865"/>
    <w:rsid w:val="00875AAA"/>
    <w:rsid w:val="008767D9"/>
    <w:rsid w:val="00877763"/>
    <w:rsid w:val="00880377"/>
    <w:rsid w:val="008805FF"/>
    <w:rsid w:val="0088065B"/>
    <w:rsid w:val="00880C39"/>
    <w:rsid w:val="00880EEE"/>
    <w:rsid w:val="00881935"/>
    <w:rsid w:val="00881C75"/>
    <w:rsid w:val="00882748"/>
    <w:rsid w:val="00882A17"/>
    <w:rsid w:val="00882DEB"/>
    <w:rsid w:val="008833B2"/>
    <w:rsid w:val="00885A8C"/>
    <w:rsid w:val="0088638C"/>
    <w:rsid w:val="00886CC8"/>
    <w:rsid w:val="008870A7"/>
    <w:rsid w:val="008870B5"/>
    <w:rsid w:val="00887AA6"/>
    <w:rsid w:val="0089026F"/>
    <w:rsid w:val="0089078F"/>
    <w:rsid w:val="00890CB5"/>
    <w:rsid w:val="00891215"/>
    <w:rsid w:val="008917CC"/>
    <w:rsid w:val="00892C01"/>
    <w:rsid w:val="00892C60"/>
    <w:rsid w:val="00892E50"/>
    <w:rsid w:val="0089338B"/>
    <w:rsid w:val="00893A66"/>
    <w:rsid w:val="008943AC"/>
    <w:rsid w:val="008943B7"/>
    <w:rsid w:val="0089460E"/>
    <w:rsid w:val="00895866"/>
    <w:rsid w:val="00895AFF"/>
    <w:rsid w:val="0089623E"/>
    <w:rsid w:val="0089783F"/>
    <w:rsid w:val="00897A26"/>
    <w:rsid w:val="00897BC1"/>
    <w:rsid w:val="008A14B4"/>
    <w:rsid w:val="008A17B5"/>
    <w:rsid w:val="008A25C4"/>
    <w:rsid w:val="008A2B92"/>
    <w:rsid w:val="008A2C29"/>
    <w:rsid w:val="008A33CD"/>
    <w:rsid w:val="008A4173"/>
    <w:rsid w:val="008A535D"/>
    <w:rsid w:val="008A6645"/>
    <w:rsid w:val="008B1034"/>
    <w:rsid w:val="008B1926"/>
    <w:rsid w:val="008B1EE6"/>
    <w:rsid w:val="008B1F04"/>
    <w:rsid w:val="008B24CD"/>
    <w:rsid w:val="008B270A"/>
    <w:rsid w:val="008B2B23"/>
    <w:rsid w:val="008B3E73"/>
    <w:rsid w:val="008B53D2"/>
    <w:rsid w:val="008B6E82"/>
    <w:rsid w:val="008B7CD0"/>
    <w:rsid w:val="008B7EDE"/>
    <w:rsid w:val="008C0517"/>
    <w:rsid w:val="008C0D19"/>
    <w:rsid w:val="008C1E48"/>
    <w:rsid w:val="008C2C0E"/>
    <w:rsid w:val="008C2CD0"/>
    <w:rsid w:val="008C3570"/>
    <w:rsid w:val="008C4AE4"/>
    <w:rsid w:val="008C4E99"/>
    <w:rsid w:val="008C4FD8"/>
    <w:rsid w:val="008C5186"/>
    <w:rsid w:val="008C5BCD"/>
    <w:rsid w:val="008C6894"/>
    <w:rsid w:val="008C713B"/>
    <w:rsid w:val="008C7C7F"/>
    <w:rsid w:val="008D0693"/>
    <w:rsid w:val="008D0E83"/>
    <w:rsid w:val="008D13AA"/>
    <w:rsid w:val="008D25A0"/>
    <w:rsid w:val="008D2F89"/>
    <w:rsid w:val="008D35EA"/>
    <w:rsid w:val="008D3732"/>
    <w:rsid w:val="008D4BFB"/>
    <w:rsid w:val="008D4D05"/>
    <w:rsid w:val="008D5570"/>
    <w:rsid w:val="008D5B8C"/>
    <w:rsid w:val="008D61B3"/>
    <w:rsid w:val="008D67AD"/>
    <w:rsid w:val="008D6FF2"/>
    <w:rsid w:val="008D7068"/>
    <w:rsid w:val="008D7544"/>
    <w:rsid w:val="008D7BF3"/>
    <w:rsid w:val="008E06F9"/>
    <w:rsid w:val="008E14BD"/>
    <w:rsid w:val="008E1548"/>
    <w:rsid w:val="008E1EC0"/>
    <w:rsid w:val="008E21D6"/>
    <w:rsid w:val="008E2F6D"/>
    <w:rsid w:val="008E3E08"/>
    <w:rsid w:val="008E40CB"/>
    <w:rsid w:val="008E40E1"/>
    <w:rsid w:val="008E416E"/>
    <w:rsid w:val="008E4455"/>
    <w:rsid w:val="008E51CA"/>
    <w:rsid w:val="008E521B"/>
    <w:rsid w:val="008E5404"/>
    <w:rsid w:val="008E5563"/>
    <w:rsid w:val="008E7801"/>
    <w:rsid w:val="008E7B85"/>
    <w:rsid w:val="008E7C93"/>
    <w:rsid w:val="008F0181"/>
    <w:rsid w:val="008F0E98"/>
    <w:rsid w:val="008F0ECD"/>
    <w:rsid w:val="008F151B"/>
    <w:rsid w:val="008F28F9"/>
    <w:rsid w:val="008F3430"/>
    <w:rsid w:val="008F35F8"/>
    <w:rsid w:val="008F36B4"/>
    <w:rsid w:val="008F46B6"/>
    <w:rsid w:val="008F46E8"/>
    <w:rsid w:val="008F4992"/>
    <w:rsid w:val="008F6548"/>
    <w:rsid w:val="008F789B"/>
    <w:rsid w:val="008F7E34"/>
    <w:rsid w:val="008F7F2C"/>
    <w:rsid w:val="009008BD"/>
    <w:rsid w:val="00900D57"/>
    <w:rsid w:val="00901505"/>
    <w:rsid w:val="009023AD"/>
    <w:rsid w:val="009026BE"/>
    <w:rsid w:val="0090339E"/>
    <w:rsid w:val="00903A8B"/>
    <w:rsid w:val="00904D75"/>
    <w:rsid w:val="00905285"/>
    <w:rsid w:val="009057CF"/>
    <w:rsid w:val="0090618A"/>
    <w:rsid w:val="00906366"/>
    <w:rsid w:val="0090682A"/>
    <w:rsid w:val="0090687A"/>
    <w:rsid w:val="009068DC"/>
    <w:rsid w:val="00906FAF"/>
    <w:rsid w:val="00907A73"/>
    <w:rsid w:val="0091060A"/>
    <w:rsid w:val="009106BD"/>
    <w:rsid w:val="00910E1A"/>
    <w:rsid w:val="0091185C"/>
    <w:rsid w:val="009124D9"/>
    <w:rsid w:val="00912D4C"/>
    <w:rsid w:val="00913472"/>
    <w:rsid w:val="0091361E"/>
    <w:rsid w:val="00914063"/>
    <w:rsid w:val="0091413F"/>
    <w:rsid w:val="009159E8"/>
    <w:rsid w:val="00915FAE"/>
    <w:rsid w:val="009161B4"/>
    <w:rsid w:val="009162C1"/>
    <w:rsid w:val="0091755C"/>
    <w:rsid w:val="00917859"/>
    <w:rsid w:val="009200CE"/>
    <w:rsid w:val="0092097E"/>
    <w:rsid w:val="00920D8B"/>
    <w:rsid w:val="00922DDB"/>
    <w:rsid w:val="00923A30"/>
    <w:rsid w:val="009243DE"/>
    <w:rsid w:val="009247B4"/>
    <w:rsid w:val="00926AEF"/>
    <w:rsid w:val="009279B5"/>
    <w:rsid w:val="00930787"/>
    <w:rsid w:val="00931B44"/>
    <w:rsid w:val="00932A97"/>
    <w:rsid w:val="00933471"/>
    <w:rsid w:val="0093416E"/>
    <w:rsid w:val="009341FE"/>
    <w:rsid w:val="009345DB"/>
    <w:rsid w:val="00934BCF"/>
    <w:rsid w:val="00935CCB"/>
    <w:rsid w:val="009404B1"/>
    <w:rsid w:val="00940A0B"/>
    <w:rsid w:val="00941204"/>
    <w:rsid w:val="00941337"/>
    <w:rsid w:val="00941533"/>
    <w:rsid w:val="00941F7C"/>
    <w:rsid w:val="009423EB"/>
    <w:rsid w:val="009423EE"/>
    <w:rsid w:val="00942525"/>
    <w:rsid w:val="00942760"/>
    <w:rsid w:val="00942CFD"/>
    <w:rsid w:val="00944E39"/>
    <w:rsid w:val="009452D2"/>
    <w:rsid w:val="00946209"/>
    <w:rsid w:val="00946329"/>
    <w:rsid w:val="00946779"/>
    <w:rsid w:val="00946BA1"/>
    <w:rsid w:val="00947039"/>
    <w:rsid w:val="00947536"/>
    <w:rsid w:val="00950A0E"/>
    <w:rsid w:val="00950A78"/>
    <w:rsid w:val="00950ADA"/>
    <w:rsid w:val="00952688"/>
    <w:rsid w:val="00952827"/>
    <w:rsid w:val="00952C96"/>
    <w:rsid w:val="00952D36"/>
    <w:rsid w:val="009535A3"/>
    <w:rsid w:val="00954C24"/>
    <w:rsid w:val="009555E4"/>
    <w:rsid w:val="00955991"/>
    <w:rsid w:val="00956354"/>
    <w:rsid w:val="009569FC"/>
    <w:rsid w:val="009573C2"/>
    <w:rsid w:val="0095778E"/>
    <w:rsid w:val="00957878"/>
    <w:rsid w:val="00957902"/>
    <w:rsid w:val="00957B38"/>
    <w:rsid w:val="00957BC1"/>
    <w:rsid w:val="00960572"/>
    <w:rsid w:val="00960844"/>
    <w:rsid w:val="00961AF9"/>
    <w:rsid w:val="00962454"/>
    <w:rsid w:val="00962671"/>
    <w:rsid w:val="00962BD7"/>
    <w:rsid w:val="00963668"/>
    <w:rsid w:val="00963B6F"/>
    <w:rsid w:val="0096407A"/>
    <w:rsid w:val="00964860"/>
    <w:rsid w:val="00964C1A"/>
    <w:rsid w:val="00964EFD"/>
    <w:rsid w:val="00964F45"/>
    <w:rsid w:val="00966117"/>
    <w:rsid w:val="00967935"/>
    <w:rsid w:val="00967B6B"/>
    <w:rsid w:val="00970044"/>
    <w:rsid w:val="00970178"/>
    <w:rsid w:val="009704CE"/>
    <w:rsid w:val="009704DD"/>
    <w:rsid w:val="009716D3"/>
    <w:rsid w:val="00971828"/>
    <w:rsid w:val="00972754"/>
    <w:rsid w:val="009727D7"/>
    <w:rsid w:val="0097291C"/>
    <w:rsid w:val="00974B21"/>
    <w:rsid w:val="009754F7"/>
    <w:rsid w:val="0097567E"/>
    <w:rsid w:val="009757EC"/>
    <w:rsid w:val="00975976"/>
    <w:rsid w:val="00976D91"/>
    <w:rsid w:val="00977039"/>
    <w:rsid w:val="00977A05"/>
    <w:rsid w:val="00980777"/>
    <w:rsid w:val="00981762"/>
    <w:rsid w:val="00981FB8"/>
    <w:rsid w:val="00982EEA"/>
    <w:rsid w:val="00982FD1"/>
    <w:rsid w:val="00983723"/>
    <w:rsid w:val="00983803"/>
    <w:rsid w:val="009839EA"/>
    <w:rsid w:val="00983A3F"/>
    <w:rsid w:val="00984088"/>
    <w:rsid w:val="00987A3C"/>
    <w:rsid w:val="00987E37"/>
    <w:rsid w:val="009900F0"/>
    <w:rsid w:val="00990781"/>
    <w:rsid w:val="0099104A"/>
    <w:rsid w:val="00991363"/>
    <w:rsid w:val="009929BD"/>
    <w:rsid w:val="00993168"/>
    <w:rsid w:val="0099355E"/>
    <w:rsid w:val="00993968"/>
    <w:rsid w:val="00993D55"/>
    <w:rsid w:val="00993F93"/>
    <w:rsid w:val="00994DD6"/>
    <w:rsid w:val="009958A8"/>
    <w:rsid w:val="00996E46"/>
    <w:rsid w:val="00997022"/>
    <w:rsid w:val="009A0882"/>
    <w:rsid w:val="009A0AB7"/>
    <w:rsid w:val="009A1135"/>
    <w:rsid w:val="009A15F6"/>
    <w:rsid w:val="009A31E0"/>
    <w:rsid w:val="009A3277"/>
    <w:rsid w:val="009A3F32"/>
    <w:rsid w:val="009A3F76"/>
    <w:rsid w:val="009A4035"/>
    <w:rsid w:val="009A4057"/>
    <w:rsid w:val="009A4460"/>
    <w:rsid w:val="009A449E"/>
    <w:rsid w:val="009A49B4"/>
    <w:rsid w:val="009A505E"/>
    <w:rsid w:val="009A59E6"/>
    <w:rsid w:val="009A5B5C"/>
    <w:rsid w:val="009A5EB5"/>
    <w:rsid w:val="009A6039"/>
    <w:rsid w:val="009A6ECA"/>
    <w:rsid w:val="009A6F0D"/>
    <w:rsid w:val="009A7895"/>
    <w:rsid w:val="009B1465"/>
    <w:rsid w:val="009B1A78"/>
    <w:rsid w:val="009B246D"/>
    <w:rsid w:val="009B3811"/>
    <w:rsid w:val="009B3864"/>
    <w:rsid w:val="009B4082"/>
    <w:rsid w:val="009B420F"/>
    <w:rsid w:val="009B44AE"/>
    <w:rsid w:val="009B52F9"/>
    <w:rsid w:val="009B53EF"/>
    <w:rsid w:val="009B600E"/>
    <w:rsid w:val="009B6FCB"/>
    <w:rsid w:val="009B70EF"/>
    <w:rsid w:val="009B71F3"/>
    <w:rsid w:val="009B72FA"/>
    <w:rsid w:val="009B75E7"/>
    <w:rsid w:val="009B7999"/>
    <w:rsid w:val="009B7D14"/>
    <w:rsid w:val="009C0065"/>
    <w:rsid w:val="009C00F4"/>
    <w:rsid w:val="009C2031"/>
    <w:rsid w:val="009C2162"/>
    <w:rsid w:val="009C2574"/>
    <w:rsid w:val="009C33D1"/>
    <w:rsid w:val="009C3598"/>
    <w:rsid w:val="009C372C"/>
    <w:rsid w:val="009C3953"/>
    <w:rsid w:val="009C5771"/>
    <w:rsid w:val="009C5A27"/>
    <w:rsid w:val="009C5B61"/>
    <w:rsid w:val="009C6A44"/>
    <w:rsid w:val="009C76BC"/>
    <w:rsid w:val="009C7E04"/>
    <w:rsid w:val="009D0F0C"/>
    <w:rsid w:val="009D1550"/>
    <w:rsid w:val="009D1815"/>
    <w:rsid w:val="009D1A52"/>
    <w:rsid w:val="009D1E54"/>
    <w:rsid w:val="009D2938"/>
    <w:rsid w:val="009D3D78"/>
    <w:rsid w:val="009D5F69"/>
    <w:rsid w:val="009D646E"/>
    <w:rsid w:val="009D7061"/>
    <w:rsid w:val="009D7D47"/>
    <w:rsid w:val="009D7E24"/>
    <w:rsid w:val="009D7F3B"/>
    <w:rsid w:val="009E1232"/>
    <w:rsid w:val="009E1280"/>
    <w:rsid w:val="009E1619"/>
    <w:rsid w:val="009E28D2"/>
    <w:rsid w:val="009E2E7D"/>
    <w:rsid w:val="009E365F"/>
    <w:rsid w:val="009E3ECE"/>
    <w:rsid w:val="009E4571"/>
    <w:rsid w:val="009E49BA"/>
    <w:rsid w:val="009E4D1C"/>
    <w:rsid w:val="009E5006"/>
    <w:rsid w:val="009E5752"/>
    <w:rsid w:val="009E5A38"/>
    <w:rsid w:val="009E7E0C"/>
    <w:rsid w:val="009F02C0"/>
    <w:rsid w:val="009F043C"/>
    <w:rsid w:val="009F064C"/>
    <w:rsid w:val="009F07F1"/>
    <w:rsid w:val="009F20A4"/>
    <w:rsid w:val="009F23DA"/>
    <w:rsid w:val="009F2492"/>
    <w:rsid w:val="009F298E"/>
    <w:rsid w:val="009F36B7"/>
    <w:rsid w:val="009F3D8C"/>
    <w:rsid w:val="009F4543"/>
    <w:rsid w:val="009F4735"/>
    <w:rsid w:val="009F4C79"/>
    <w:rsid w:val="009F542A"/>
    <w:rsid w:val="009F5459"/>
    <w:rsid w:val="009F6144"/>
    <w:rsid w:val="009F61C1"/>
    <w:rsid w:val="009F62A3"/>
    <w:rsid w:val="009F6495"/>
    <w:rsid w:val="009F6684"/>
    <w:rsid w:val="009F6C72"/>
    <w:rsid w:val="009F709A"/>
    <w:rsid w:val="009F739B"/>
    <w:rsid w:val="009F7A70"/>
    <w:rsid w:val="00A0190A"/>
    <w:rsid w:val="00A01FC2"/>
    <w:rsid w:val="00A02714"/>
    <w:rsid w:val="00A02E31"/>
    <w:rsid w:val="00A03F83"/>
    <w:rsid w:val="00A044F0"/>
    <w:rsid w:val="00A04C67"/>
    <w:rsid w:val="00A0558F"/>
    <w:rsid w:val="00A05EC6"/>
    <w:rsid w:val="00A062B8"/>
    <w:rsid w:val="00A06B38"/>
    <w:rsid w:val="00A07E1A"/>
    <w:rsid w:val="00A10DFB"/>
    <w:rsid w:val="00A121B1"/>
    <w:rsid w:val="00A12912"/>
    <w:rsid w:val="00A12FF6"/>
    <w:rsid w:val="00A1483B"/>
    <w:rsid w:val="00A14D86"/>
    <w:rsid w:val="00A16985"/>
    <w:rsid w:val="00A17428"/>
    <w:rsid w:val="00A17632"/>
    <w:rsid w:val="00A20632"/>
    <w:rsid w:val="00A2179B"/>
    <w:rsid w:val="00A21EB2"/>
    <w:rsid w:val="00A2229B"/>
    <w:rsid w:val="00A22C8F"/>
    <w:rsid w:val="00A2305E"/>
    <w:rsid w:val="00A230F0"/>
    <w:rsid w:val="00A23B86"/>
    <w:rsid w:val="00A23E19"/>
    <w:rsid w:val="00A243B8"/>
    <w:rsid w:val="00A24A0F"/>
    <w:rsid w:val="00A26873"/>
    <w:rsid w:val="00A2754E"/>
    <w:rsid w:val="00A27693"/>
    <w:rsid w:val="00A3078D"/>
    <w:rsid w:val="00A314A9"/>
    <w:rsid w:val="00A315AE"/>
    <w:rsid w:val="00A326E1"/>
    <w:rsid w:val="00A3277C"/>
    <w:rsid w:val="00A32CAD"/>
    <w:rsid w:val="00A34351"/>
    <w:rsid w:val="00A35CA6"/>
    <w:rsid w:val="00A364FB"/>
    <w:rsid w:val="00A40377"/>
    <w:rsid w:val="00A403BD"/>
    <w:rsid w:val="00A413FC"/>
    <w:rsid w:val="00A42AD3"/>
    <w:rsid w:val="00A43EBE"/>
    <w:rsid w:val="00A44014"/>
    <w:rsid w:val="00A44A0C"/>
    <w:rsid w:val="00A45615"/>
    <w:rsid w:val="00A457D5"/>
    <w:rsid w:val="00A45B7C"/>
    <w:rsid w:val="00A45BB6"/>
    <w:rsid w:val="00A45FD2"/>
    <w:rsid w:val="00A47D7D"/>
    <w:rsid w:val="00A47E4C"/>
    <w:rsid w:val="00A51408"/>
    <w:rsid w:val="00A52036"/>
    <w:rsid w:val="00A529EA"/>
    <w:rsid w:val="00A52AF2"/>
    <w:rsid w:val="00A52C0A"/>
    <w:rsid w:val="00A52CCB"/>
    <w:rsid w:val="00A53256"/>
    <w:rsid w:val="00A543C1"/>
    <w:rsid w:val="00A558AC"/>
    <w:rsid w:val="00A559EA"/>
    <w:rsid w:val="00A56277"/>
    <w:rsid w:val="00A566B3"/>
    <w:rsid w:val="00A570DE"/>
    <w:rsid w:val="00A575A8"/>
    <w:rsid w:val="00A60DF9"/>
    <w:rsid w:val="00A61007"/>
    <w:rsid w:val="00A614B0"/>
    <w:rsid w:val="00A6304E"/>
    <w:rsid w:val="00A63101"/>
    <w:rsid w:val="00A63FC5"/>
    <w:rsid w:val="00A643E0"/>
    <w:rsid w:val="00A65845"/>
    <w:rsid w:val="00A65D01"/>
    <w:rsid w:val="00A664D0"/>
    <w:rsid w:val="00A668ED"/>
    <w:rsid w:val="00A70124"/>
    <w:rsid w:val="00A7076A"/>
    <w:rsid w:val="00A709DE"/>
    <w:rsid w:val="00A70EE7"/>
    <w:rsid w:val="00A7139F"/>
    <w:rsid w:val="00A717CF"/>
    <w:rsid w:val="00A71BB1"/>
    <w:rsid w:val="00A71F92"/>
    <w:rsid w:val="00A7238A"/>
    <w:rsid w:val="00A72AC0"/>
    <w:rsid w:val="00A7372C"/>
    <w:rsid w:val="00A737AA"/>
    <w:rsid w:val="00A73961"/>
    <w:rsid w:val="00A746CA"/>
    <w:rsid w:val="00A751F4"/>
    <w:rsid w:val="00A75652"/>
    <w:rsid w:val="00A758AA"/>
    <w:rsid w:val="00A759F1"/>
    <w:rsid w:val="00A76E25"/>
    <w:rsid w:val="00A777B2"/>
    <w:rsid w:val="00A807BE"/>
    <w:rsid w:val="00A82181"/>
    <w:rsid w:val="00A83283"/>
    <w:rsid w:val="00A8357C"/>
    <w:rsid w:val="00A836F6"/>
    <w:rsid w:val="00A83CF6"/>
    <w:rsid w:val="00A83D04"/>
    <w:rsid w:val="00A856AE"/>
    <w:rsid w:val="00A857A1"/>
    <w:rsid w:val="00A85DAF"/>
    <w:rsid w:val="00A861FC"/>
    <w:rsid w:val="00A864E4"/>
    <w:rsid w:val="00A90E98"/>
    <w:rsid w:val="00A917BD"/>
    <w:rsid w:val="00A917FC"/>
    <w:rsid w:val="00A91B14"/>
    <w:rsid w:val="00A921AA"/>
    <w:rsid w:val="00A92CBB"/>
    <w:rsid w:val="00A92E00"/>
    <w:rsid w:val="00A9306E"/>
    <w:rsid w:val="00A93BAD"/>
    <w:rsid w:val="00A93F21"/>
    <w:rsid w:val="00A946EA"/>
    <w:rsid w:val="00A95DFA"/>
    <w:rsid w:val="00A96694"/>
    <w:rsid w:val="00A96762"/>
    <w:rsid w:val="00AA0910"/>
    <w:rsid w:val="00AA0B11"/>
    <w:rsid w:val="00AA0B59"/>
    <w:rsid w:val="00AA0E40"/>
    <w:rsid w:val="00AA1B5F"/>
    <w:rsid w:val="00AA2A7C"/>
    <w:rsid w:val="00AA3C04"/>
    <w:rsid w:val="00AA4D88"/>
    <w:rsid w:val="00AA4FB8"/>
    <w:rsid w:val="00AA5A7E"/>
    <w:rsid w:val="00AA60EB"/>
    <w:rsid w:val="00AA6BF8"/>
    <w:rsid w:val="00AA7E15"/>
    <w:rsid w:val="00AA7E6C"/>
    <w:rsid w:val="00AB08FB"/>
    <w:rsid w:val="00AB1B0C"/>
    <w:rsid w:val="00AB23D4"/>
    <w:rsid w:val="00AB2948"/>
    <w:rsid w:val="00AB3314"/>
    <w:rsid w:val="00AB3B30"/>
    <w:rsid w:val="00AB447D"/>
    <w:rsid w:val="00AB4774"/>
    <w:rsid w:val="00AB5086"/>
    <w:rsid w:val="00AB5218"/>
    <w:rsid w:val="00AB6DA8"/>
    <w:rsid w:val="00AB7649"/>
    <w:rsid w:val="00AC0F3B"/>
    <w:rsid w:val="00AC11D0"/>
    <w:rsid w:val="00AC190B"/>
    <w:rsid w:val="00AC1E8C"/>
    <w:rsid w:val="00AC2358"/>
    <w:rsid w:val="00AC31AC"/>
    <w:rsid w:val="00AC31DA"/>
    <w:rsid w:val="00AC3817"/>
    <w:rsid w:val="00AC3FD1"/>
    <w:rsid w:val="00AC4AC0"/>
    <w:rsid w:val="00AC4E2C"/>
    <w:rsid w:val="00AC4F3F"/>
    <w:rsid w:val="00AC5B53"/>
    <w:rsid w:val="00AC5C7B"/>
    <w:rsid w:val="00AC63FA"/>
    <w:rsid w:val="00AC6829"/>
    <w:rsid w:val="00AC7B5D"/>
    <w:rsid w:val="00AD01DA"/>
    <w:rsid w:val="00AD0CA8"/>
    <w:rsid w:val="00AD1644"/>
    <w:rsid w:val="00AD1E31"/>
    <w:rsid w:val="00AD245A"/>
    <w:rsid w:val="00AD2AEE"/>
    <w:rsid w:val="00AD3567"/>
    <w:rsid w:val="00AD37E3"/>
    <w:rsid w:val="00AD3D17"/>
    <w:rsid w:val="00AD3DBF"/>
    <w:rsid w:val="00AD3F8F"/>
    <w:rsid w:val="00AD4438"/>
    <w:rsid w:val="00AD4B11"/>
    <w:rsid w:val="00AD51FB"/>
    <w:rsid w:val="00AD5911"/>
    <w:rsid w:val="00AD5F77"/>
    <w:rsid w:val="00AD6049"/>
    <w:rsid w:val="00AD6D67"/>
    <w:rsid w:val="00AE0395"/>
    <w:rsid w:val="00AE03E0"/>
    <w:rsid w:val="00AE049B"/>
    <w:rsid w:val="00AE0B6C"/>
    <w:rsid w:val="00AE0C11"/>
    <w:rsid w:val="00AE11C9"/>
    <w:rsid w:val="00AE131E"/>
    <w:rsid w:val="00AE350A"/>
    <w:rsid w:val="00AE4558"/>
    <w:rsid w:val="00AE5126"/>
    <w:rsid w:val="00AE553C"/>
    <w:rsid w:val="00AE5A8B"/>
    <w:rsid w:val="00AE5C55"/>
    <w:rsid w:val="00AE7814"/>
    <w:rsid w:val="00AF0236"/>
    <w:rsid w:val="00AF0E01"/>
    <w:rsid w:val="00AF128B"/>
    <w:rsid w:val="00AF1704"/>
    <w:rsid w:val="00AF1D69"/>
    <w:rsid w:val="00AF1ECD"/>
    <w:rsid w:val="00AF2805"/>
    <w:rsid w:val="00AF3F71"/>
    <w:rsid w:val="00AF42BE"/>
    <w:rsid w:val="00AF43C0"/>
    <w:rsid w:val="00AF480F"/>
    <w:rsid w:val="00AF5527"/>
    <w:rsid w:val="00AF5F4D"/>
    <w:rsid w:val="00AF6036"/>
    <w:rsid w:val="00AF6A61"/>
    <w:rsid w:val="00AF6EE7"/>
    <w:rsid w:val="00AF6EFC"/>
    <w:rsid w:val="00AF71C7"/>
    <w:rsid w:val="00AF777A"/>
    <w:rsid w:val="00AF7A50"/>
    <w:rsid w:val="00B0007F"/>
    <w:rsid w:val="00B0034A"/>
    <w:rsid w:val="00B006A7"/>
    <w:rsid w:val="00B0113E"/>
    <w:rsid w:val="00B01185"/>
    <w:rsid w:val="00B01316"/>
    <w:rsid w:val="00B01437"/>
    <w:rsid w:val="00B014F2"/>
    <w:rsid w:val="00B016D9"/>
    <w:rsid w:val="00B01877"/>
    <w:rsid w:val="00B02787"/>
    <w:rsid w:val="00B03FF4"/>
    <w:rsid w:val="00B04DB1"/>
    <w:rsid w:val="00B053B5"/>
    <w:rsid w:val="00B0573F"/>
    <w:rsid w:val="00B06649"/>
    <w:rsid w:val="00B06738"/>
    <w:rsid w:val="00B072BD"/>
    <w:rsid w:val="00B10C1D"/>
    <w:rsid w:val="00B1156E"/>
    <w:rsid w:val="00B11E6F"/>
    <w:rsid w:val="00B11F6B"/>
    <w:rsid w:val="00B11FFF"/>
    <w:rsid w:val="00B12347"/>
    <w:rsid w:val="00B129E1"/>
    <w:rsid w:val="00B137AE"/>
    <w:rsid w:val="00B13A46"/>
    <w:rsid w:val="00B14C61"/>
    <w:rsid w:val="00B15856"/>
    <w:rsid w:val="00B15B65"/>
    <w:rsid w:val="00B169D6"/>
    <w:rsid w:val="00B16CF5"/>
    <w:rsid w:val="00B16F07"/>
    <w:rsid w:val="00B17E90"/>
    <w:rsid w:val="00B17F7C"/>
    <w:rsid w:val="00B20077"/>
    <w:rsid w:val="00B201E7"/>
    <w:rsid w:val="00B2071A"/>
    <w:rsid w:val="00B216F6"/>
    <w:rsid w:val="00B21D9C"/>
    <w:rsid w:val="00B21F06"/>
    <w:rsid w:val="00B22475"/>
    <w:rsid w:val="00B224B7"/>
    <w:rsid w:val="00B226BF"/>
    <w:rsid w:val="00B226DC"/>
    <w:rsid w:val="00B2285D"/>
    <w:rsid w:val="00B229A5"/>
    <w:rsid w:val="00B22A86"/>
    <w:rsid w:val="00B22C3C"/>
    <w:rsid w:val="00B2467E"/>
    <w:rsid w:val="00B2505B"/>
    <w:rsid w:val="00B26A78"/>
    <w:rsid w:val="00B27358"/>
    <w:rsid w:val="00B30265"/>
    <w:rsid w:val="00B304E7"/>
    <w:rsid w:val="00B3069A"/>
    <w:rsid w:val="00B307D0"/>
    <w:rsid w:val="00B30903"/>
    <w:rsid w:val="00B31D4C"/>
    <w:rsid w:val="00B3304F"/>
    <w:rsid w:val="00B331D7"/>
    <w:rsid w:val="00B333C0"/>
    <w:rsid w:val="00B33DCE"/>
    <w:rsid w:val="00B33F16"/>
    <w:rsid w:val="00B3421D"/>
    <w:rsid w:val="00B346C9"/>
    <w:rsid w:val="00B34A49"/>
    <w:rsid w:val="00B34CD7"/>
    <w:rsid w:val="00B35297"/>
    <w:rsid w:val="00B35BB7"/>
    <w:rsid w:val="00B35BBC"/>
    <w:rsid w:val="00B3646E"/>
    <w:rsid w:val="00B370D6"/>
    <w:rsid w:val="00B3778D"/>
    <w:rsid w:val="00B40A74"/>
    <w:rsid w:val="00B40C14"/>
    <w:rsid w:val="00B40C92"/>
    <w:rsid w:val="00B41863"/>
    <w:rsid w:val="00B41CBA"/>
    <w:rsid w:val="00B41F40"/>
    <w:rsid w:val="00B42E22"/>
    <w:rsid w:val="00B43036"/>
    <w:rsid w:val="00B435F8"/>
    <w:rsid w:val="00B4362B"/>
    <w:rsid w:val="00B43ECD"/>
    <w:rsid w:val="00B43F7F"/>
    <w:rsid w:val="00B440E3"/>
    <w:rsid w:val="00B451AA"/>
    <w:rsid w:val="00B4534B"/>
    <w:rsid w:val="00B4659A"/>
    <w:rsid w:val="00B473C6"/>
    <w:rsid w:val="00B4752A"/>
    <w:rsid w:val="00B47DDE"/>
    <w:rsid w:val="00B47E34"/>
    <w:rsid w:val="00B50616"/>
    <w:rsid w:val="00B50F80"/>
    <w:rsid w:val="00B5114A"/>
    <w:rsid w:val="00B51255"/>
    <w:rsid w:val="00B51C38"/>
    <w:rsid w:val="00B53273"/>
    <w:rsid w:val="00B53C17"/>
    <w:rsid w:val="00B54CA8"/>
    <w:rsid w:val="00B5560C"/>
    <w:rsid w:val="00B56309"/>
    <w:rsid w:val="00B57E47"/>
    <w:rsid w:val="00B6049C"/>
    <w:rsid w:val="00B61685"/>
    <w:rsid w:val="00B616D6"/>
    <w:rsid w:val="00B61A93"/>
    <w:rsid w:val="00B628EC"/>
    <w:rsid w:val="00B629A3"/>
    <w:rsid w:val="00B62C8E"/>
    <w:rsid w:val="00B6363E"/>
    <w:rsid w:val="00B644E2"/>
    <w:rsid w:val="00B64684"/>
    <w:rsid w:val="00B64E1A"/>
    <w:rsid w:val="00B65682"/>
    <w:rsid w:val="00B656D5"/>
    <w:rsid w:val="00B66756"/>
    <w:rsid w:val="00B66D2A"/>
    <w:rsid w:val="00B673AD"/>
    <w:rsid w:val="00B7008D"/>
    <w:rsid w:val="00B703BC"/>
    <w:rsid w:val="00B710CC"/>
    <w:rsid w:val="00B71734"/>
    <w:rsid w:val="00B71B6C"/>
    <w:rsid w:val="00B71CAE"/>
    <w:rsid w:val="00B722FF"/>
    <w:rsid w:val="00B732A5"/>
    <w:rsid w:val="00B73331"/>
    <w:rsid w:val="00B74754"/>
    <w:rsid w:val="00B7479F"/>
    <w:rsid w:val="00B74875"/>
    <w:rsid w:val="00B75201"/>
    <w:rsid w:val="00B7542C"/>
    <w:rsid w:val="00B75BBA"/>
    <w:rsid w:val="00B76947"/>
    <w:rsid w:val="00B76FB5"/>
    <w:rsid w:val="00B77B96"/>
    <w:rsid w:val="00B77F56"/>
    <w:rsid w:val="00B801E6"/>
    <w:rsid w:val="00B805C2"/>
    <w:rsid w:val="00B80BE9"/>
    <w:rsid w:val="00B81805"/>
    <w:rsid w:val="00B818B6"/>
    <w:rsid w:val="00B8251B"/>
    <w:rsid w:val="00B8324C"/>
    <w:rsid w:val="00B8466C"/>
    <w:rsid w:val="00B84E86"/>
    <w:rsid w:val="00B85193"/>
    <w:rsid w:val="00B8690B"/>
    <w:rsid w:val="00B86D94"/>
    <w:rsid w:val="00B91433"/>
    <w:rsid w:val="00B91BC6"/>
    <w:rsid w:val="00B92CFF"/>
    <w:rsid w:val="00B93512"/>
    <w:rsid w:val="00B93B3D"/>
    <w:rsid w:val="00B93C4F"/>
    <w:rsid w:val="00B93D63"/>
    <w:rsid w:val="00B940A3"/>
    <w:rsid w:val="00B941E3"/>
    <w:rsid w:val="00B9468B"/>
    <w:rsid w:val="00B95194"/>
    <w:rsid w:val="00B9559B"/>
    <w:rsid w:val="00B961C9"/>
    <w:rsid w:val="00B96931"/>
    <w:rsid w:val="00B97819"/>
    <w:rsid w:val="00B97C4F"/>
    <w:rsid w:val="00BA0C37"/>
    <w:rsid w:val="00BA1356"/>
    <w:rsid w:val="00BA14A7"/>
    <w:rsid w:val="00BA2816"/>
    <w:rsid w:val="00BA2DD7"/>
    <w:rsid w:val="00BA4493"/>
    <w:rsid w:val="00BA5DB5"/>
    <w:rsid w:val="00BA6646"/>
    <w:rsid w:val="00BA7A0E"/>
    <w:rsid w:val="00BB075D"/>
    <w:rsid w:val="00BB1705"/>
    <w:rsid w:val="00BB28F2"/>
    <w:rsid w:val="00BB2B48"/>
    <w:rsid w:val="00BB2CEB"/>
    <w:rsid w:val="00BB338C"/>
    <w:rsid w:val="00BB3445"/>
    <w:rsid w:val="00BB34A9"/>
    <w:rsid w:val="00BB3535"/>
    <w:rsid w:val="00BB3E71"/>
    <w:rsid w:val="00BB5072"/>
    <w:rsid w:val="00BB649A"/>
    <w:rsid w:val="00BB722D"/>
    <w:rsid w:val="00BC0DBC"/>
    <w:rsid w:val="00BC1BB9"/>
    <w:rsid w:val="00BC2911"/>
    <w:rsid w:val="00BC2F7A"/>
    <w:rsid w:val="00BC41EF"/>
    <w:rsid w:val="00BC4B70"/>
    <w:rsid w:val="00BC51BE"/>
    <w:rsid w:val="00BC592F"/>
    <w:rsid w:val="00BC5BB6"/>
    <w:rsid w:val="00BC67B7"/>
    <w:rsid w:val="00BC71A0"/>
    <w:rsid w:val="00BC747B"/>
    <w:rsid w:val="00BD07A8"/>
    <w:rsid w:val="00BD0912"/>
    <w:rsid w:val="00BD1DA9"/>
    <w:rsid w:val="00BD2614"/>
    <w:rsid w:val="00BD2816"/>
    <w:rsid w:val="00BD2C02"/>
    <w:rsid w:val="00BD2D8E"/>
    <w:rsid w:val="00BD2DE7"/>
    <w:rsid w:val="00BD3B50"/>
    <w:rsid w:val="00BD3C02"/>
    <w:rsid w:val="00BD5AB8"/>
    <w:rsid w:val="00BD6CF1"/>
    <w:rsid w:val="00BD6D48"/>
    <w:rsid w:val="00BD7605"/>
    <w:rsid w:val="00BD7658"/>
    <w:rsid w:val="00BD7E17"/>
    <w:rsid w:val="00BE0490"/>
    <w:rsid w:val="00BE0560"/>
    <w:rsid w:val="00BE1597"/>
    <w:rsid w:val="00BE1DE0"/>
    <w:rsid w:val="00BE1F68"/>
    <w:rsid w:val="00BE37BC"/>
    <w:rsid w:val="00BE381A"/>
    <w:rsid w:val="00BE3A81"/>
    <w:rsid w:val="00BE3C16"/>
    <w:rsid w:val="00BE3DF2"/>
    <w:rsid w:val="00BE4751"/>
    <w:rsid w:val="00BE5870"/>
    <w:rsid w:val="00BE6389"/>
    <w:rsid w:val="00BE6D2A"/>
    <w:rsid w:val="00BE6DAC"/>
    <w:rsid w:val="00BE70CD"/>
    <w:rsid w:val="00BE758F"/>
    <w:rsid w:val="00BE7A44"/>
    <w:rsid w:val="00BF0496"/>
    <w:rsid w:val="00BF0854"/>
    <w:rsid w:val="00BF0CB3"/>
    <w:rsid w:val="00BF1CAD"/>
    <w:rsid w:val="00BF1EA8"/>
    <w:rsid w:val="00BF32D0"/>
    <w:rsid w:val="00BF32D2"/>
    <w:rsid w:val="00BF368D"/>
    <w:rsid w:val="00BF3D74"/>
    <w:rsid w:val="00BF481D"/>
    <w:rsid w:val="00BF489B"/>
    <w:rsid w:val="00BF4C62"/>
    <w:rsid w:val="00BF50BD"/>
    <w:rsid w:val="00BF54EC"/>
    <w:rsid w:val="00BF584C"/>
    <w:rsid w:val="00BF6573"/>
    <w:rsid w:val="00BF6D50"/>
    <w:rsid w:val="00BF6D72"/>
    <w:rsid w:val="00BF6D97"/>
    <w:rsid w:val="00BF6EC7"/>
    <w:rsid w:val="00BF6FAC"/>
    <w:rsid w:val="00BF75C7"/>
    <w:rsid w:val="00BF7B22"/>
    <w:rsid w:val="00C0055F"/>
    <w:rsid w:val="00C008DF"/>
    <w:rsid w:val="00C00FD8"/>
    <w:rsid w:val="00C0101A"/>
    <w:rsid w:val="00C01C44"/>
    <w:rsid w:val="00C020EA"/>
    <w:rsid w:val="00C02A17"/>
    <w:rsid w:val="00C02CCC"/>
    <w:rsid w:val="00C040A8"/>
    <w:rsid w:val="00C040F6"/>
    <w:rsid w:val="00C04DCE"/>
    <w:rsid w:val="00C052FE"/>
    <w:rsid w:val="00C060A6"/>
    <w:rsid w:val="00C062E5"/>
    <w:rsid w:val="00C06545"/>
    <w:rsid w:val="00C102CA"/>
    <w:rsid w:val="00C103B3"/>
    <w:rsid w:val="00C1172E"/>
    <w:rsid w:val="00C11786"/>
    <w:rsid w:val="00C117F9"/>
    <w:rsid w:val="00C11AB2"/>
    <w:rsid w:val="00C1224B"/>
    <w:rsid w:val="00C12834"/>
    <w:rsid w:val="00C1320B"/>
    <w:rsid w:val="00C146F0"/>
    <w:rsid w:val="00C15B25"/>
    <w:rsid w:val="00C1616E"/>
    <w:rsid w:val="00C1703C"/>
    <w:rsid w:val="00C172E3"/>
    <w:rsid w:val="00C20588"/>
    <w:rsid w:val="00C20FAF"/>
    <w:rsid w:val="00C21434"/>
    <w:rsid w:val="00C21A50"/>
    <w:rsid w:val="00C2282E"/>
    <w:rsid w:val="00C24EA2"/>
    <w:rsid w:val="00C25949"/>
    <w:rsid w:val="00C25B52"/>
    <w:rsid w:val="00C25FBC"/>
    <w:rsid w:val="00C2640C"/>
    <w:rsid w:val="00C269DD"/>
    <w:rsid w:val="00C27460"/>
    <w:rsid w:val="00C2756D"/>
    <w:rsid w:val="00C307F2"/>
    <w:rsid w:val="00C31917"/>
    <w:rsid w:val="00C320FE"/>
    <w:rsid w:val="00C327D9"/>
    <w:rsid w:val="00C32B79"/>
    <w:rsid w:val="00C32DB6"/>
    <w:rsid w:val="00C33B7E"/>
    <w:rsid w:val="00C33DA4"/>
    <w:rsid w:val="00C33FE3"/>
    <w:rsid w:val="00C34D79"/>
    <w:rsid w:val="00C35237"/>
    <w:rsid w:val="00C356EE"/>
    <w:rsid w:val="00C35857"/>
    <w:rsid w:val="00C36113"/>
    <w:rsid w:val="00C3616C"/>
    <w:rsid w:val="00C36581"/>
    <w:rsid w:val="00C369E3"/>
    <w:rsid w:val="00C36F6A"/>
    <w:rsid w:val="00C36FD5"/>
    <w:rsid w:val="00C372AC"/>
    <w:rsid w:val="00C406EF"/>
    <w:rsid w:val="00C409CD"/>
    <w:rsid w:val="00C40D53"/>
    <w:rsid w:val="00C41273"/>
    <w:rsid w:val="00C41341"/>
    <w:rsid w:val="00C41EC8"/>
    <w:rsid w:val="00C4454C"/>
    <w:rsid w:val="00C44B71"/>
    <w:rsid w:val="00C45932"/>
    <w:rsid w:val="00C459A5"/>
    <w:rsid w:val="00C45EC8"/>
    <w:rsid w:val="00C46501"/>
    <w:rsid w:val="00C47393"/>
    <w:rsid w:val="00C47784"/>
    <w:rsid w:val="00C506FA"/>
    <w:rsid w:val="00C50F3B"/>
    <w:rsid w:val="00C51261"/>
    <w:rsid w:val="00C516D2"/>
    <w:rsid w:val="00C52257"/>
    <w:rsid w:val="00C53D55"/>
    <w:rsid w:val="00C53EE6"/>
    <w:rsid w:val="00C5590D"/>
    <w:rsid w:val="00C55C31"/>
    <w:rsid w:val="00C56AF5"/>
    <w:rsid w:val="00C56B56"/>
    <w:rsid w:val="00C56DCB"/>
    <w:rsid w:val="00C57EA9"/>
    <w:rsid w:val="00C60F23"/>
    <w:rsid w:val="00C6167C"/>
    <w:rsid w:val="00C61719"/>
    <w:rsid w:val="00C638FA"/>
    <w:rsid w:val="00C642BD"/>
    <w:rsid w:val="00C64FEA"/>
    <w:rsid w:val="00C6525A"/>
    <w:rsid w:val="00C6581A"/>
    <w:rsid w:val="00C658EA"/>
    <w:rsid w:val="00C660EF"/>
    <w:rsid w:val="00C6689A"/>
    <w:rsid w:val="00C66CD9"/>
    <w:rsid w:val="00C70197"/>
    <w:rsid w:val="00C70381"/>
    <w:rsid w:val="00C70384"/>
    <w:rsid w:val="00C70498"/>
    <w:rsid w:val="00C71E56"/>
    <w:rsid w:val="00C72052"/>
    <w:rsid w:val="00C72127"/>
    <w:rsid w:val="00C721DF"/>
    <w:rsid w:val="00C727AE"/>
    <w:rsid w:val="00C728F4"/>
    <w:rsid w:val="00C72B0E"/>
    <w:rsid w:val="00C735F3"/>
    <w:rsid w:val="00C73C1D"/>
    <w:rsid w:val="00C73CEE"/>
    <w:rsid w:val="00C74E93"/>
    <w:rsid w:val="00C7579D"/>
    <w:rsid w:val="00C76DA9"/>
    <w:rsid w:val="00C7724B"/>
    <w:rsid w:val="00C77322"/>
    <w:rsid w:val="00C7758A"/>
    <w:rsid w:val="00C80F30"/>
    <w:rsid w:val="00C80FBD"/>
    <w:rsid w:val="00C820C9"/>
    <w:rsid w:val="00C8240E"/>
    <w:rsid w:val="00C83005"/>
    <w:rsid w:val="00C84808"/>
    <w:rsid w:val="00C853C1"/>
    <w:rsid w:val="00C8567D"/>
    <w:rsid w:val="00C86142"/>
    <w:rsid w:val="00C8698C"/>
    <w:rsid w:val="00C86B9D"/>
    <w:rsid w:val="00C87D5B"/>
    <w:rsid w:val="00C901A9"/>
    <w:rsid w:val="00C9027E"/>
    <w:rsid w:val="00C903BC"/>
    <w:rsid w:val="00C910A2"/>
    <w:rsid w:val="00C912C5"/>
    <w:rsid w:val="00C91582"/>
    <w:rsid w:val="00C91752"/>
    <w:rsid w:val="00C921E6"/>
    <w:rsid w:val="00C92EA8"/>
    <w:rsid w:val="00C933E9"/>
    <w:rsid w:val="00C94B64"/>
    <w:rsid w:val="00C95104"/>
    <w:rsid w:val="00C95983"/>
    <w:rsid w:val="00C95E1F"/>
    <w:rsid w:val="00C9747B"/>
    <w:rsid w:val="00C976DE"/>
    <w:rsid w:val="00C979D7"/>
    <w:rsid w:val="00C97DF4"/>
    <w:rsid w:val="00C97DFD"/>
    <w:rsid w:val="00CA04BB"/>
    <w:rsid w:val="00CA10B7"/>
    <w:rsid w:val="00CA1BCB"/>
    <w:rsid w:val="00CA1E35"/>
    <w:rsid w:val="00CA2406"/>
    <w:rsid w:val="00CA279D"/>
    <w:rsid w:val="00CA2C4F"/>
    <w:rsid w:val="00CA336B"/>
    <w:rsid w:val="00CA471F"/>
    <w:rsid w:val="00CA4722"/>
    <w:rsid w:val="00CA548C"/>
    <w:rsid w:val="00CA6073"/>
    <w:rsid w:val="00CA6C53"/>
    <w:rsid w:val="00CA6FD2"/>
    <w:rsid w:val="00CA77BE"/>
    <w:rsid w:val="00CA7FBC"/>
    <w:rsid w:val="00CB14F5"/>
    <w:rsid w:val="00CB2A21"/>
    <w:rsid w:val="00CB2BCB"/>
    <w:rsid w:val="00CB425B"/>
    <w:rsid w:val="00CB4422"/>
    <w:rsid w:val="00CB513C"/>
    <w:rsid w:val="00CB60A9"/>
    <w:rsid w:val="00CB61A4"/>
    <w:rsid w:val="00CB647E"/>
    <w:rsid w:val="00CB69A1"/>
    <w:rsid w:val="00CB7ADF"/>
    <w:rsid w:val="00CB7F69"/>
    <w:rsid w:val="00CB7F96"/>
    <w:rsid w:val="00CC0169"/>
    <w:rsid w:val="00CC0183"/>
    <w:rsid w:val="00CC04D7"/>
    <w:rsid w:val="00CC08B8"/>
    <w:rsid w:val="00CC0FF9"/>
    <w:rsid w:val="00CC1C50"/>
    <w:rsid w:val="00CC1C7C"/>
    <w:rsid w:val="00CC3318"/>
    <w:rsid w:val="00CC46CB"/>
    <w:rsid w:val="00CC557D"/>
    <w:rsid w:val="00CC6422"/>
    <w:rsid w:val="00CC7F81"/>
    <w:rsid w:val="00CD0344"/>
    <w:rsid w:val="00CD0A5F"/>
    <w:rsid w:val="00CD1A77"/>
    <w:rsid w:val="00CD1E00"/>
    <w:rsid w:val="00CD232A"/>
    <w:rsid w:val="00CD2EEC"/>
    <w:rsid w:val="00CD3030"/>
    <w:rsid w:val="00CD343F"/>
    <w:rsid w:val="00CD4518"/>
    <w:rsid w:val="00CD4588"/>
    <w:rsid w:val="00CD59EE"/>
    <w:rsid w:val="00CD718A"/>
    <w:rsid w:val="00CD7376"/>
    <w:rsid w:val="00CE019D"/>
    <w:rsid w:val="00CE01F5"/>
    <w:rsid w:val="00CE080C"/>
    <w:rsid w:val="00CE2652"/>
    <w:rsid w:val="00CE2797"/>
    <w:rsid w:val="00CE2809"/>
    <w:rsid w:val="00CE2D41"/>
    <w:rsid w:val="00CE3C46"/>
    <w:rsid w:val="00CE3CBB"/>
    <w:rsid w:val="00CE48FD"/>
    <w:rsid w:val="00CE4C5C"/>
    <w:rsid w:val="00CE4E58"/>
    <w:rsid w:val="00CE4EC2"/>
    <w:rsid w:val="00CE555F"/>
    <w:rsid w:val="00CE6D0D"/>
    <w:rsid w:val="00CE7286"/>
    <w:rsid w:val="00CE7A0B"/>
    <w:rsid w:val="00CF02E1"/>
    <w:rsid w:val="00CF15A9"/>
    <w:rsid w:val="00CF2825"/>
    <w:rsid w:val="00CF2A25"/>
    <w:rsid w:val="00CF40AF"/>
    <w:rsid w:val="00CF42EE"/>
    <w:rsid w:val="00CF4B5C"/>
    <w:rsid w:val="00CF53E8"/>
    <w:rsid w:val="00CF69AA"/>
    <w:rsid w:val="00CF69DE"/>
    <w:rsid w:val="00CF74BA"/>
    <w:rsid w:val="00CF7803"/>
    <w:rsid w:val="00CF795B"/>
    <w:rsid w:val="00D0183E"/>
    <w:rsid w:val="00D01C5A"/>
    <w:rsid w:val="00D02410"/>
    <w:rsid w:val="00D036C5"/>
    <w:rsid w:val="00D03CA4"/>
    <w:rsid w:val="00D043CF"/>
    <w:rsid w:val="00D0579E"/>
    <w:rsid w:val="00D05B07"/>
    <w:rsid w:val="00D05F46"/>
    <w:rsid w:val="00D06428"/>
    <w:rsid w:val="00D068C6"/>
    <w:rsid w:val="00D105FB"/>
    <w:rsid w:val="00D11255"/>
    <w:rsid w:val="00D119C3"/>
    <w:rsid w:val="00D11CF2"/>
    <w:rsid w:val="00D1222F"/>
    <w:rsid w:val="00D1233D"/>
    <w:rsid w:val="00D12B1C"/>
    <w:rsid w:val="00D12C6D"/>
    <w:rsid w:val="00D14827"/>
    <w:rsid w:val="00D14AC4"/>
    <w:rsid w:val="00D15450"/>
    <w:rsid w:val="00D15B40"/>
    <w:rsid w:val="00D1627F"/>
    <w:rsid w:val="00D16314"/>
    <w:rsid w:val="00D16EFD"/>
    <w:rsid w:val="00D20333"/>
    <w:rsid w:val="00D2150B"/>
    <w:rsid w:val="00D21E19"/>
    <w:rsid w:val="00D21E88"/>
    <w:rsid w:val="00D2208C"/>
    <w:rsid w:val="00D22685"/>
    <w:rsid w:val="00D22E8B"/>
    <w:rsid w:val="00D22EA6"/>
    <w:rsid w:val="00D22F42"/>
    <w:rsid w:val="00D2457E"/>
    <w:rsid w:val="00D24932"/>
    <w:rsid w:val="00D25AE8"/>
    <w:rsid w:val="00D25C6F"/>
    <w:rsid w:val="00D300B3"/>
    <w:rsid w:val="00D301A0"/>
    <w:rsid w:val="00D30AEF"/>
    <w:rsid w:val="00D32D0A"/>
    <w:rsid w:val="00D330D4"/>
    <w:rsid w:val="00D336EE"/>
    <w:rsid w:val="00D33A1E"/>
    <w:rsid w:val="00D35246"/>
    <w:rsid w:val="00D35B91"/>
    <w:rsid w:val="00D35F01"/>
    <w:rsid w:val="00D365BB"/>
    <w:rsid w:val="00D37AAD"/>
    <w:rsid w:val="00D423C6"/>
    <w:rsid w:val="00D425F6"/>
    <w:rsid w:val="00D42A44"/>
    <w:rsid w:val="00D42AAF"/>
    <w:rsid w:val="00D4311D"/>
    <w:rsid w:val="00D43E7D"/>
    <w:rsid w:val="00D445BE"/>
    <w:rsid w:val="00D453E0"/>
    <w:rsid w:val="00D45752"/>
    <w:rsid w:val="00D45F94"/>
    <w:rsid w:val="00D45FC1"/>
    <w:rsid w:val="00D461E1"/>
    <w:rsid w:val="00D47556"/>
    <w:rsid w:val="00D47C5C"/>
    <w:rsid w:val="00D50AF2"/>
    <w:rsid w:val="00D5146E"/>
    <w:rsid w:val="00D5164C"/>
    <w:rsid w:val="00D51A87"/>
    <w:rsid w:val="00D52A05"/>
    <w:rsid w:val="00D52BBD"/>
    <w:rsid w:val="00D52DEB"/>
    <w:rsid w:val="00D55140"/>
    <w:rsid w:val="00D554EB"/>
    <w:rsid w:val="00D5581F"/>
    <w:rsid w:val="00D5594B"/>
    <w:rsid w:val="00D55D78"/>
    <w:rsid w:val="00D56199"/>
    <w:rsid w:val="00D56C1A"/>
    <w:rsid w:val="00D578A9"/>
    <w:rsid w:val="00D57F59"/>
    <w:rsid w:val="00D60056"/>
    <w:rsid w:val="00D608A5"/>
    <w:rsid w:val="00D60AEA"/>
    <w:rsid w:val="00D60C90"/>
    <w:rsid w:val="00D6266F"/>
    <w:rsid w:val="00D626B7"/>
    <w:rsid w:val="00D62C01"/>
    <w:rsid w:val="00D6336A"/>
    <w:rsid w:val="00D63F3C"/>
    <w:rsid w:val="00D64B9F"/>
    <w:rsid w:val="00D64D6A"/>
    <w:rsid w:val="00D650F3"/>
    <w:rsid w:val="00D66018"/>
    <w:rsid w:val="00D661C5"/>
    <w:rsid w:val="00D663AC"/>
    <w:rsid w:val="00D66C89"/>
    <w:rsid w:val="00D66F04"/>
    <w:rsid w:val="00D678C0"/>
    <w:rsid w:val="00D67A5A"/>
    <w:rsid w:val="00D710B6"/>
    <w:rsid w:val="00D71366"/>
    <w:rsid w:val="00D71D87"/>
    <w:rsid w:val="00D724CD"/>
    <w:rsid w:val="00D72BB7"/>
    <w:rsid w:val="00D737DA"/>
    <w:rsid w:val="00D73D51"/>
    <w:rsid w:val="00D73DC5"/>
    <w:rsid w:val="00D7554F"/>
    <w:rsid w:val="00D75638"/>
    <w:rsid w:val="00D76830"/>
    <w:rsid w:val="00D76C8A"/>
    <w:rsid w:val="00D77739"/>
    <w:rsid w:val="00D77DED"/>
    <w:rsid w:val="00D77E2C"/>
    <w:rsid w:val="00D809A8"/>
    <w:rsid w:val="00D8233C"/>
    <w:rsid w:val="00D8242E"/>
    <w:rsid w:val="00D82DFB"/>
    <w:rsid w:val="00D82EAA"/>
    <w:rsid w:val="00D84630"/>
    <w:rsid w:val="00D846D1"/>
    <w:rsid w:val="00D84CA5"/>
    <w:rsid w:val="00D85C31"/>
    <w:rsid w:val="00D86701"/>
    <w:rsid w:val="00D876CF"/>
    <w:rsid w:val="00D90E04"/>
    <w:rsid w:val="00D916D0"/>
    <w:rsid w:val="00D91817"/>
    <w:rsid w:val="00D921A9"/>
    <w:rsid w:val="00D9221B"/>
    <w:rsid w:val="00D9226C"/>
    <w:rsid w:val="00D9237E"/>
    <w:rsid w:val="00D9265F"/>
    <w:rsid w:val="00D94145"/>
    <w:rsid w:val="00D94B60"/>
    <w:rsid w:val="00D960D3"/>
    <w:rsid w:val="00D96465"/>
    <w:rsid w:val="00DA04A6"/>
    <w:rsid w:val="00DA0C61"/>
    <w:rsid w:val="00DA117B"/>
    <w:rsid w:val="00DA33A3"/>
    <w:rsid w:val="00DA34DE"/>
    <w:rsid w:val="00DA38AA"/>
    <w:rsid w:val="00DA4636"/>
    <w:rsid w:val="00DA674F"/>
    <w:rsid w:val="00DA711C"/>
    <w:rsid w:val="00DA72CC"/>
    <w:rsid w:val="00DB0444"/>
    <w:rsid w:val="00DB0792"/>
    <w:rsid w:val="00DB0AD2"/>
    <w:rsid w:val="00DB0D85"/>
    <w:rsid w:val="00DB0F2B"/>
    <w:rsid w:val="00DB17D4"/>
    <w:rsid w:val="00DB3AF9"/>
    <w:rsid w:val="00DB620B"/>
    <w:rsid w:val="00DB6898"/>
    <w:rsid w:val="00DB7EDF"/>
    <w:rsid w:val="00DC1B89"/>
    <w:rsid w:val="00DC1DBF"/>
    <w:rsid w:val="00DC2086"/>
    <w:rsid w:val="00DC260C"/>
    <w:rsid w:val="00DC34A8"/>
    <w:rsid w:val="00DC358B"/>
    <w:rsid w:val="00DC385C"/>
    <w:rsid w:val="00DC3962"/>
    <w:rsid w:val="00DC51A0"/>
    <w:rsid w:val="00DC5A39"/>
    <w:rsid w:val="00DC5E6D"/>
    <w:rsid w:val="00DC5E9C"/>
    <w:rsid w:val="00DC6397"/>
    <w:rsid w:val="00DC6DB8"/>
    <w:rsid w:val="00DC6FBD"/>
    <w:rsid w:val="00DC7F1A"/>
    <w:rsid w:val="00DD0447"/>
    <w:rsid w:val="00DD0DF4"/>
    <w:rsid w:val="00DD0F51"/>
    <w:rsid w:val="00DD1FCF"/>
    <w:rsid w:val="00DD2D2D"/>
    <w:rsid w:val="00DD2E6D"/>
    <w:rsid w:val="00DD2F31"/>
    <w:rsid w:val="00DD3D18"/>
    <w:rsid w:val="00DD3D6B"/>
    <w:rsid w:val="00DD40E3"/>
    <w:rsid w:val="00DD597B"/>
    <w:rsid w:val="00DD5A7F"/>
    <w:rsid w:val="00DD5F47"/>
    <w:rsid w:val="00DD6357"/>
    <w:rsid w:val="00DE1669"/>
    <w:rsid w:val="00DE19B0"/>
    <w:rsid w:val="00DE1EF0"/>
    <w:rsid w:val="00DE1F8E"/>
    <w:rsid w:val="00DE263E"/>
    <w:rsid w:val="00DE2B1E"/>
    <w:rsid w:val="00DE31F4"/>
    <w:rsid w:val="00DE3475"/>
    <w:rsid w:val="00DE375B"/>
    <w:rsid w:val="00DE4235"/>
    <w:rsid w:val="00DE5233"/>
    <w:rsid w:val="00DE56BC"/>
    <w:rsid w:val="00DE57F1"/>
    <w:rsid w:val="00DE69FB"/>
    <w:rsid w:val="00DE774B"/>
    <w:rsid w:val="00DE77A9"/>
    <w:rsid w:val="00DF1256"/>
    <w:rsid w:val="00DF1E4C"/>
    <w:rsid w:val="00DF22C9"/>
    <w:rsid w:val="00DF2D0F"/>
    <w:rsid w:val="00DF2DFF"/>
    <w:rsid w:val="00DF3144"/>
    <w:rsid w:val="00DF351B"/>
    <w:rsid w:val="00DF43B0"/>
    <w:rsid w:val="00DF5880"/>
    <w:rsid w:val="00DF5D71"/>
    <w:rsid w:val="00DF6CE6"/>
    <w:rsid w:val="00DF756D"/>
    <w:rsid w:val="00DF7ADB"/>
    <w:rsid w:val="00E00479"/>
    <w:rsid w:val="00E00F36"/>
    <w:rsid w:val="00E01A7C"/>
    <w:rsid w:val="00E022BF"/>
    <w:rsid w:val="00E02E8A"/>
    <w:rsid w:val="00E03273"/>
    <w:rsid w:val="00E04E83"/>
    <w:rsid w:val="00E05231"/>
    <w:rsid w:val="00E05682"/>
    <w:rsid w:val="00E05774"/>
    <w:rsid w:val="00E06E38"/>
    <w:rsid w:val="00E079B5"/>
    <w:rsid w:val="00E101B4"/>
    <w:rsid w:val="00E101E3"/>
    <w:rsid w:val="00E118B3"/>
    <w:rsid w:val="00E11DC2"/>
    <w:rsid w:val="00E125B7"/>
    <w:rsid w:val="00E126CA"/>
    <w:rsid w:val="00E12961"/>
    <w:rsid w:val="00E12C3D"/>
    <w:rsid w:val="00E1330C"/>
    <w:rsid w:val="00E13AA2"/>
    <w:rsid w:val="00E14200"/>
    <w:rsid w:val="00E14389"/>
    <w:rsid w:val="00E1465A"/>
    <w:rsid w:val="00E15045"/>
    <w:rsid w:val="00E15227"/>
    <w:rsid w:val="00E1567F"/>
    <w:rsid w:val="00E15E7F"/>
    <w:rsid w:val="00E16150"/>
    <w:rsid w:val="00E16244"/>
    <w:rsid w:val="00E16FE2"/>
    <w:rsid w:val="00E174FB"/>
    <w:rsid w:val="00E1778B"/>
    <w:rsid w:val="00E17933"/>
    <w:rsid w:val="00E1796C"/>
    <w:rsid w:val="00E2056E"/>
    <w:rsid w:val="00E205DE"/>
    <w:rsid w:val="00E20C0A"/>
    <w:rsid w:val="00E21A07"/>
    <w:rsid w:val="00E23128"/>
    <w:rsid w:val="00E23665"/>
    <w:rsid w:val="00E23CA7"/>
    <w:rsid w:val="00E24214"/>
    <w:rsid w:val="00E242C6"/>
    <w:rsid w:val="00E2482E"/>
    <w:rsid w:val="00E24B09"/>
    <w:rsid w:val="00E24D99"/>
    <w:rsid w:val="00E24EB0"/>
    <w:rsid w:val="00E25C1D"/>
    <w:rsid w:val="00E26D8B"/>
    <w:rsid w:val="00E26E52"/>
    <w:rsid w:val="00E2749C"/>
    <w:rsid w:val="00E30037"/>
    <w:rsid w:val="00E307B6"/>
    <w:rsid w:val="00E31D49"/>
    <w:rsid w:val="00E31FA3"/>
    <w:rsid w:val="00E32A0A"/>
    <w:rsid w:val="00E32CF7"/>
    <w:rsid w:val="00E33053"/>
    <w:rsid w:val="00E33385"/>
    <w:rsid w:val="00E348B7"/>
    <w:rsid w:val="00E34D4E"/>
    <w:rsid w:val="00E3615A"/>
    <w:rsid w:val="00E37B32"/>
    <w:rsid w:val="00E4013B"/>
    <w:rsid w:val="00E401CF"/>
    <w:rsid w:val="00E4027C"/>
    <w:rsid w:val="00E409A9"/>
    <w:rsid w:val="00E41027"/>
    <w:rsid w:val="00E41923"/>
    <w:rsid w:val="00E42A10"/>
    <w:rsid w:val="00E433E7"/>
    <w:rsid w:val="00E43FE1"/>
    <w:rsid w:val="00E4471D"/>
    <w:rsid w:val="00E45843"/>
    <w:rsid w:val="00E45C29"/>
    <w:rsid w:val="00E45E5E"/>
    <w:rsid w:val="00E46283"/>
    <w:rsid w:val="00E46B09"/>
    <w:rsid w:val="00E46B43"/>
    <w:rsid w:val="00E471EA"/>
    <w:rsid w:val="00E47692"/>
    <w:rsid w:val="00E4769A"/>
    <w:rsid w:val="00E47B4E"/>
    <w:rsid w:val="00E500A1"/>
    <w:rsid w:val="00E51D88"/>
    <w:rsid w:val="00E51DCA"/>
    <w:rsid w:val="00E5252B"/>
    <w:rsid w:val="00E527BE"/>
    <w:rsid w:val="00E5281E"/>
    <w:rsid w:val="00E52B1E"/>
    <w:rsid w:val="00E52BC5"/>
    <w:rsid w:val="00E52D03"/>
    <w:rsid w:val="00E52E77"/>
    <w:rsid w:val="00E532BF"/>
    <w:rsid w:val="00E53A7B"/>
    <w:rsid w:val="00E53FED"/>
    <w:rsid w:val="00E548A6"/>
    <w:rsid w:val="00E549CA"/>
    <w:rsid w:val="00E5501A"/>
    <w:rsid w:val="00E55512"/>
    <w:rsid w:val="00E56712"/>
    <w:rsid w:val="00E5685D"/>
    <w:rsid w:val="00E56DAB"/>
    <w:rsid w:val="00E56F91"/>
    <w:rsid w:val="00E571EA"/>
    <w:rsid w:val="00E572F2"/>
    <w:rsid w:val="00E577DF"/>
    <w:rsid w:val="00E578F9"/>
    <w:rsid w:val="00E60669"/>
    <w:rsid w:val="00E629F9"/>
    <w:rsid w:val="00E631CE"/>
    <w:rsid w:val="00E633F8"/>
    <w:rsid w:val="00E63613"/>
    <w:rsid w:val="00E63BBD"/>
    <w:rsid w:val="00E63E64"/>
    <w:rsid w:val="00E64549"/>
    <w:rsid w:val="00E64988"/>
    <w:rsid w:val="00E64BF5"/>
    <w:rsid w:val="00E65ADD"/>
    <w:rsid w:val="00E65DD3"/>
    <w:rsid w:val="00E66799"/>
    <w:rsid w:val="00E669BE"/>
    <w:rsid w:val="00E66A6C"/>
    <w:rsid w:val="00E66F8B"/>
    <w:rsid w:val="00E67347"/>
    <w:rsid w:val="00E705B9"/>
    <w:rsid w:val="00E717F3"/>
    <w:rsid w:val="00E71951"/>
    <w:rsid w:val="00E71990"/>
    <w:rsid w:val="00E721AF"/>
    <w:rsid w:val="00E72423"/>
    <w:rsid w:val="00E72BD6"/>
    <w:rsid w:val="00E72CD1"/>
    <w:rsid w:val="00E72D45"/>
    <w:rsid w:val="00E7334F"/>
    <w:rsid w:val="00E741E7"/>
    <w:rsid w:val="00E74BAE"/>
    <w:rsid w:val="00E75AC7"/>
    <w:rsid w:val="00E75E61"/>
    <w:rsid w:val="00E76859"/>
    <w:rsid w:val="00E769F3"/>
    <w:rsid w:val="00E76FA9"/>
    <w:rsid w:val="00E76FDC"/>
    <w:rsid w:val="00E80937"/>
    <w:rsid w:val="00E81072"/>
    <w:rsid w:val="00E8115E"/>
    <w:rsid w:val="00E81277"/>
    <w:rsid w:val="00E82D25"/>
    <w:rsid w:val="00E836BF"/>
    <w:rsid w:val="00E838EC"/>
    <w:rsid w:val="00E83E8F"/>
    <w:rsid w:val="00E840ED"/>
    <w:rsid w:val="00E84D34"/>
    <w:rsid w:val="00E874DE"/>
    <w:rsid w:val="00E87B5F"/>
    <w:rsid w:val="00E908CD"/>
    <w:rsid w:val="00E90CBA"/>
    <w:rsid w:val="00E9105D"/>
    <w:rsid w:val="00E91629"/>
    <w:rsid w:val="00E92152"/>
    <w:rsid w:val="00E9224C"/>
    <w:rsid w:val="00E93496"/>
    <w:rsid w:val="00E93BCA"/>
    <w:rsid w:val="00E93CBC"/>
    <w:rsid w:val="00E94451"/>
    <w:rsid w:val="00E946EF"/>
    <w:rsid w:val="00E9581D"/>
    <w:rsid w:val="00E97170"/>
    <w:rsid w:val="00E97938"/>
    <w:rsid w:val="00E97B6B"/>
    <w:rsid w:val="00EA0814"/>
    <w:rsid w:val="00EA0EA1"/>
    <w:rsid w:val="00EA17A6"/>
    <w:rsid w:val="00EA17BE"/>
    <w:rsid w:val="00EA23D6"/>
    <w:rsid w:val="00EA2971"/>
    <w:rsid w:val="00EA40A3"/>
    <w:rsid w:val="00EA54F0"/>
    <w:rsid w:val="00EA6AB0"/>
    <w:rsid w:val="00EA6D5A"/>
    <w:rsid w:val="00EA7747"/>
    <w:rsid w:val="00EA7F69"/>
    <w:rsid w:val="00EB091D"/>
    <w:rsid w:val="00EB1892"/>
    <w:rsid w:val="00EB18BB"/>
    <w:rsid w:val="00EB1BC7"/>
    <w:rsid w:val="00EB2596"/>
    <w:rsid w:val="00EB34B3"/>
    <w:rsid w:val="00EB4D00"/>
    <w:rsid w:val="00EB59C2"/>
    <w:rsid w:val="00EB5E47"/>
    <w:rsid w:val="00EB6650"/>
    <w:rsid w:val="00EB70D3"/>
    <w:rsid w:val="00EB726E"/>
    <w:rsid w:val="00EB75DA"/>
    <w:rsid w:val="00EB7AC1"/>
    <w:rsid w:val="00EB7E9A"/>
    <w:rsid w:val="00EBD026"/>
    <w:rsid w:val="00EC00D2"/>
    <w:rsid w:val="00EC0D50"/>
    <w:rsid w:val="00EC261A"/>
    <w:rsid w:val="00EC2CBE"/>
    <w:rsid w:val="00EC324D"/>
    <w:rsid w:val="00EC3FAF"/>
    <w:rsid w:val="00EC40A8"/>
    <w:rsid w:val="00EC42C9"/>
    <w:rsid w:val="00EC4516"/>
    <w:rsid w:val="00EC461A"/>
    <w:rsid w:val="00EC4CEA"/>
    <w:rsid w:val="00EC5CC8"/>
    <w:rsid w:val="00EC6ADA"/>
    <w:rsid w:val="00EC6B97"/>
    <w:rsid w:val="00EC7866"/>
    <w:rsid w:val="00EC7A42"/>
    <w:rsid w:val="00ED0525"/>
    <w:rsid w:val="00ED0978"/>
    <w:rsid w:val="00ED1284"/>
    <w:rsid w:val="00ED12FB"/>
    <w:rsid w:val="00ED22C3"/>
    <w:rsid w:val="00ED27C2"/>
    <w:rsid w:val="00ED2EC3"/>
    <w:rsid w:val="00ED372B"/>
    <w:rsid w:val="00ED3E38"/>
    <w:rsid w:val="00ED45B3"/>
    <w:rsid w:val="00ED587D"/>
    <w:rsid w:val="00ED5B50"/>
    <w:rsid w:val="00ED5B92"/>
    <w:rsid w:val="00ED6D88"/>
    <w:rsid w:val="00ED7F60"/>
    <w:rsid w:val="00EE17EF"/>
    <w:rsid w:val="00EE28D1"/>
    <w:rsid w:val="00EE31A8"/>
    <w:rsid w:val="00EE3D02"/>
    <w:rsid w:val="00EE4667"/>
    <w:rsid w:val="00EE46C5"/>
    <w:rsid w:val="00EE49EB"/>
    <w:rsid w:val="00EE4CB3"/>
    <w:rsid w:val="00EE5421"/>
    <w:rsid w:val="00EE584F"/>
    <w:rsid w:val="00EE641E"/>
    <w:rsid w:val="00EE7E06"/>
    <w:rsid w:val="00EF004C"/>
    <w:rsid w:val="00EF0B17"/>
    <w:rsid w:val="00EF1B2B"/>
    <w:rsid w:val="00EF220B"/>
    <w:rsid w:val="00EF2E8C"/>
    <w:rsid w:val="00EF3059"/>
    <w:rsid w:val="00EF30ED"/>
    <w:rsid w:val="00EF3390"/>
    <w:rsid w:val="00EF38F2"/>
    <w:rsid w:val="00EF3C19"/>
    <w:rsid w:val="00EF3F80"/>
    <w:rsid w:val="00EF454D"/>
    <w:rsid w:val="00EF5B09"/>
    <w:rsid w:val="00EF654D"/>
    <w:rsid w:val="00EF6AC0"/>
    <w:rsid w:val="00EF6D85"/>
    <w:rsid w:val="00F0097F"/>
    <w:rsid w:val="00F0183B"/>
    <w:rsid w:val="00F01E00"/>
    <w:rsid w:val="00F02F6D"/>
    <w:rsid w:val="00F03108"/>
    <w:rsid w:val="00F03ECE"/>
    <w:rsid w:val="00F04DD5"/>
    <w:rsid w:val="00F054E1"/>
    <w:rsid w:val="00F056F5"/>
    <w:rsid w:val="00F05838"/>
    <w:rsid w:val="00F064CC"/>
    <w:rsid w:val="00F0678C"/>
    <w:rsid w:val="00F106CA"/>
    <w:rsid w:val="00F10B89"/>
    <w:rsid w:val="00F11BB2"/>
    <w:rsid w:val="00F12540"/>
    <w:rsid w:val="00F12D56"/>
    <w:rsid w:val="00F13536"/>
    <w:rsid w:val="00F13730"/>
    <w:rsid w:val="00F13985"/>
    <w:rsid w:val="00F1522D"/>
    <w:rsid w:val="00F16425"/>
    <w:rsid w:val="00F16A3C"/>
    <w:rsid w:val="00F203F0"/>
    <w:rsid w:val="00F20748"/>
    <w:rsid w:val="00F20E12"/>
    <w:rsid w:val="00F20E7E"/>
    <w:rsid w:val="00F213C6"/>
    <w:rsid w:val="00F213C9"/>
    <w:rsid w:val="00F21B6B"/>
    <w:rsid w:val="00F22FC9"/>
    <w:rsid w:val="00F23BF3"/>
    <w:rsid w:val="00F2485A"/>
    <w:rsid w:val="00F25DAA"/>
    <w:rsid w:val="00F25DE8"/>
    <w:rsid w:val="00F276AC"/>
    <w:rsid w:val="00F27DFF"/>
    <w:rsid w:val="00F304F0"/>
    <w:rsid w:val="00F30F6F"/>
    <w:rsid w:val="00F3156C"/>
    <w:rsid w:val="00F31734"/>
    <w:rsid w:val="00F3338B"/>
    <w:rsid w:val="00F3350D"/>
    <w:rsid w:val="00F33A97"/>
    <w:rsid w:val="00F33B2F"/>
    <w:rsid w:val="00F33EEE"/>
    <w:rsid w:val="00F33F9B"/>
    <w:rsid w:val="00F3443B"/>
    <w:rsid w:val="00F35CE9"/>
    <w:rsid w:val="00F361FC"/>
    <w:rsid w:val="00F363FF"/>
    <w:rsid w:val="00F3643C"/>
    <w:rsid w:val="00F3665D"/>
    <w:rsid w:val="00F36A4A"/>
    <w:rsid w:val="00F3707F"/>
    <w:rsid w:val="00F370AC"/>
    <w:rsid w:val="00F37E10"/>
    <w:rsid w:val="00F41190"/>
    <w:rsid w:val="00F4193E"/>
    <w:rsid w:val="00F426B8"/>
    <w:rsid w:val="00F42A74"/>
    <w:rsid w:val="00F42C48"/>
    <w:rsid w:val="00F42C5E"/>
    <w:rsid w:val="00F43936"/>
    <w:rsid w:val="00F43EE4"/>
    <w:rsid w:val="00F43FA8"/>
    <w:rsid w:val="00F44D11"/>
    <w:rsid w:val="00F4501D"/>
    <w:rsid w:val="00F457C8"/>
    <w:rsid w:val="00F45918"/>
    <w:rsid w:val="00F45F67"/>
    <w:rsid w:val="00F468C6"/>
    <w:rsid w:val="00F474ED"/>
    <w:rsid w:val="00F51325"/>
    <w:rsid w:val="00F516EF"/>
    <w:rsid w:val="00F5179A"/>
    <w:rsid w:val="00F51B04"/>
    <w:rsid w:val="00F51E96"/>
    <w:rsid w:val="00F535C1"/>
    <w:rsid w:val="00F535CA"/>
    <w:rsid w:val="00F543BF"/>
    <w:rsid w:val="00F544E5"/>
    <w:rsid w:val="00F54B49"/>
    <w:rsid w:val="00F54E59"/>
    <w:rsid w:val="00F556DE"/>
    <w:rsid w:val="00F56103"/>
    <w:rsid w:val="00F56C65"/>
    <w:rsid w:val="00F56CE1"/>
    <w:rsid w:val="00F57038"/>
    <w:rsid w:val="00F57549"/>
    <w:rsid w:val="00F57D8F"/>
    <w:rsid w:val="00F6009B"/>
    <w:rsid w:val="00F60178"/>
    <w:rsid w:val="00F60792"/>
    <w:rsid w:val="00F60BB3"/>
    <w:rsid w:val="00F62460"/>
    <w:rsid w:val="00F62497"/>
    <w:rsid w:val="00F62D8E"/>
    <w:rsid w:val="00F62FF8"/>
    <w:rsid w:val="00F6340B"/>
    <w:rsid w:val="00F634A6"/>
    <w:rsid w:val="00F647A2"/>
    <w:rsid w:val="00F649FD"/>
    <w:rsid w:val="00F64DDB"/>
    <w:rsid w:val="00F65198"/>
    <w:rsid w:val="00F654FC"/>
    <w:rsid w:val="00F65954"/>
    <w:rsid w:val="00F70428"/>
    <w:rsid w:val="00F70A36"/>
    <w:rsid w:val="00F70CC2"/>
    <w:rsid w:val="00F717BF"/>
    <w:rsid w:val="00F72C38"/>
    <w:rsid w:val="00F72E66"/>
    <w:rsid w:val="00F733A1"/>
    <w:rsid w:val="00F7436B"/>
    <w:rsid w:val="00F74A50"/>
    <w:rsid w:val="00F74DED"/>
    <w:rsid w:val="00F74E74"/>
    <w:rsid w:val="00F7557F"/>
    <w:rsid w:val="00F76CA3"/>
    <w:rsid w:val="00F76FF2"/>
    <w:rsid w:val="00F77442"/>
    <w:rsid w:val="00F77C05"/>
    <w:rsid w:val="00F77C52"/>
    <w:rsid w:val="00F804BF"/>
    <w:rsid w:val="00F80560"/>
    <w:rsid w:val="00F80BEB"/>
    <w:rsid w:val="00F80D36"/>
    <w:rsid w:val="00F80FCC"/>
    <w:rsid w:val="00F81256"/>
    <w:rsid w:val="00F81A83"/>
    <w:rsid w:val="00F81DC2"/>
    <w:rsid w:val="00F82F0D"/>
    <w:rsid w:val="00F8414E"/>
    <w:rsid w:val="00F84F61"/>
    <w:rsid w:val="00F90259"/>
    <w:rsid w:val="00F9076E"/>
    <w:rsid w:val="00F91018"/>
    <w:rsid w:val="00F93AC3"/>
    <w:rsid w:val="00F940E6"/>
    <w:rsid w:val="00F94175"/>
    <w:rsid w:val="00F94956"/>
    <w:rsid w:val="00F94D53"/>
    <w:rsid w:val="00F94F9F"/>
    <w:rsid w:val="00F95591"/>
    <w:rsid w:val="00F96070"/>
    <w:rsid w:val="00F9617C"/>
    <w:rsid w:val="00F96480"/>
    <w:rsid w:val="00F96AC6"/>
    <w:rsid w:val="00F974ED"/>
    <w:rsid w:val="00F97851"/>
    <w:rsid w:val="00F97FD3"/>
    <w:rsid w:val="00FA0196"/>
    <w:rsid w:val="00FA03AE"/>
    <w:rsid w:val="00FA0F21"/>
    <w:rsid w:val="00FA13BB"/>
    <w:rsid w:val="00FA1B9C"/>
    <w:rsid w:val="00FA1BC9"/>
    <w:rsid w:val="00FA1FA1"/>
    <w:rsid w:val="00FA2A4F"/>
    <w:rsid w:val="00FA2AB0"/>
    <w:rsid w:val="00FA2C51"/>
    <w:rsid w:val="00FA3112"/>
    <w:rsid w:val="00FA333A"/>
    <w:rsid w:val="00FA36C2"/>
    <w:rsid w:val="00FA3958"/>
    <w:rsid w:val="00FA502E"/>
    <w:rsid w:val="00FA5560"/>
    <w:rsid w:val="00FA5FC2"/>
    <w:rsid w:val="00FA667D"/>
    <w:rsid w:val="00FA6A7D"/>
    <w:rsid w:val="00FA71D3"/>
    <w:rsid w:val="00FA78AA"/>
    <w:rsid w:val="00FA79C5"/>
    <w:rsid w:val="00FB10D0"/>
    <w:rsid w:val="00FB15BF"/>
    <w:rsid w:val="00FB1B4D"/>
    <w:rsid w:val="00FB2747"/>
    <w:rsid w:val="00FB2972"/>
    <w:rsid w:val="00FB29DD"/>
    <w:rsid w:val="00FB2F42"/>
    <w:rsid w:val="00FB3760"/>
    <w:rsid w:val="00FB434F"/>
    <w:rsid w:val="00FB4442"/>
    <w:rsid w:val="00FB527A"/>
    <w:rsid w:val="00FB5D24"/>
    <w:rsid w:val="00FB64FC"/>
    <w:rsid w:val="00FB656D"/>
    <w:rsid w:val="00FB6AA6"/>
    <w:rsid w:val="00FB701C"/>
    <w:rsid w:val="00FB71AE"/>
    <w:rsid w:val="00FB7527"/>
    <w:rsid w:val="00FB7DC3"/>
    <w:rsid w:val="00FC06F9"/>
    <w:rsid w:val="00FC0F3F"/>
    <w:rsid w:val="00FC13B0"/>
    <w:rsid w:val="00FC21AD"/>
    <w:rsid w:val="00FC2FBE"/>
    <w:rsid w:val="00FC33B1"/>
    <w:rsid w:val="00FC398C"/>
    <w:rsid w:val="00FC401A"/>
    <w:rsid w:val="00FC45D2"/>
    <w:rsid w:val="00FC5E6A"/>
    <w:rsid w:val="00FC6065"/>
    <w:rsid w:val="00FC677F"/>
    <w:rsid w:val="00FC739E"/>
    <w:rsid w:val="00FC7EE6"/>
    <w:rsid w:val="00FD063D"/>
    <w:rsid w:val="00FD113E"/>
    <w:rsid w:val="00FD1430"/>
    <w:rsid w:val="00FD3E89"/>
    <w:rsid w:val="00FD406D"/>
    <w:rsid w:val="00FD5DFE"/>
    <w:rsid w:val="00FD67EE"/>
    <w:rsid w:val="00FD6931"/>
    <w:rsid w:val="00FD6F97"/>
    <w:rsid w:val="00FD745F"/>
    <w:rsid w:val="00FD7614"/>
    <w:rsid w:val="00FD7829"/>
    <w:rsid w:val="00FE0674"/>
    <w:rsid w:val="00FE0FF9"/>
    <w:rsid w:val="00FE12B1"/>
    <w:rsid w:val="00FE196C"/>
    <w:rsid w:val="00FE1CC4"/>
    <w:rsid w:val="00FE22E3"/>
    <w:rsid w:val="00FE2675"/>
    <w:rsid w:val="00FE2976"/>
    <w:rsid w:val="00FE2C89"/>
    <w:rsid w:val="00FE2C8B"/>
    <w:rsid w:val="00FE3A59"/>
    <w:rsid w:val="00FE4141"/>
    <w:rsid w:val="00FE48A2"/>
    <w:rsid w:val="00FE4CA2"/>
    <w:rsid w:val="00FE588C"/>
    <w:rsid w:val="00FE6691"/>
    <w:rsid w:val="00FE7CB5"/>
    <w:rsid w:val="00FE7FC1"/>
    <w:rsid w:val="00FF04EB"/>
    <w:rsid w:val="00FF16E9"/>
    <w:rsid w:val="00FF25A0"/>
    <w:rsid w:val="00FF325A"/>
    <w:rsid w:val="00FF345C"/>
    <w:rsid w:val="00FF3B9F"/>
    <w:rsid w:val="00FF463E"/>
    <w:rsid w:val="00FF4918"/>
    <w:rsid w:val="00FF4B14"/>
    <w:rsid w:val="00FF565C"/>
    <w:rsid w:val="00FF60F6"/>
    <w:rsid w:val="00FF6166"/>
    <w:rsid w:val="00FF653B"/>
    <w:rsid w:val="00FF759C"/>
    <w:rsid w:val="00FF7E44"/>
    <w:rsid w:val="00FF7EE2"/>
    <w:rsid w:val="0136BB62"/>
    <w:rsid w:val="016262EC"/>
    <w:rsid w:val="01F4FC4B"/>
    <w:rsid w:val="020FF4E9"/>
    <w:rsid w:val="0220DFB1"/>
    <w:rsid w:val="02522960"/>
    <w:rsid w:val="02FF1759"/>
    <w:rsid w:val="03308830"/>
    <w:rsid w:val="0349CEE0"/>
    <w:rsid w:val="036AC253"/>
    <w:rsid w:val="03A20808"/>
    <w:rsid w:val="040E082C"/>
    <w:rsid w:val="04B9DA35"/>
    <w:rsid w:val="04E14CB4"/>
    <w:rsid w:val="04EE252F"/>
    <w:rsid w:val="0629ADD6"/>
    <w:rsid w:val="0668D2F6"/>
    <w:rsid w:val="06B2AC41"/>
    <w:rsid w:val="06B8E128"/>
    <w:rsid w:val="071F9BD8"/>
    <w:rsid w:val="0780F63A"/>
    <w:rsid w:val="08382F00"/>
    <w:rsid w:val="08F6399E"/>
    <w:rsid w:val="09803871"/>
    <w:rsid w:val="098A4302"/>
    <w:rsid w:val="098DCBDC"/>
    <w:rsid w:val="0A4334A4"/>
    <w:rsid w:val="0A47A285"/>
    <w:rsid w:val="0A5CB8A1"/>
    <w:rsid w:val="0AE97BAA"/>
    <w:rsid w:val="0B408251"/>
    <w:rsid w:val="0B5CA67E"/>
    <w:rsid w:val="0B7551A3"/>
    <w:rsid w:val="0BEA6CD7"/>
    <w:rsid w:val="0BF90148"/>
    <w:rsid w:val="0C3DF837"/>
    <w:rsid w:val="0C544C9C"/>
    <w:rsid w:val="0C9BA238"/>
    <w:rsid w:val="0CB6C7BE"/>
    <w:rsid w:val="0DFAFA60"/>
    <w:rsid w:val="0EEB9780"/>
    <w:rsid w:val="0EF1FC8A"/>
    <w:rsid w:val="0EF63F1C"/>
    <w:rsid w:val="0F085F46"/>
    <w:rsid w:val="0F63698F"/>
    <w:rsid w:val="0FD1A82D"/>
    <w:rsid w:val="107838E3"/>
    <w:rsid w:val="11445600"/>
    <w:rsid w:val="1223A4D0"/>
    <w:rsid w:val="128E1D11"/>
    <w:rsid w:val="1347C230"/>
    <w:rsid w:val="138D9427"/>
    <w:rsid w:val="13A6A128"/>
    <w:rsid w:val="147BB14A"/>
    <w:rsid w:val="14EFBDA9"/>
    <w:rsid w:val="1590D3C6"/>
    <w:rsid w:val="15B05517"/>
    <w:rsid w:val="1664184E"/>
    <w:rsid w:val="1690205B"/>
    <w:rsid w:val="16A459D7"/>
    <w:rsid w:val="17F35D08"/>
    <w:rsid w:val="1854A08A"/>
    <w:rsid w:val="1870C9A0"/>
    <w:rsid w:val="189EF2F6"/>
    <w:rsid w:val="18A26772"/>
    <w:rsid w:val="18CF64F4"/>
    <w:rsid w:val="18E4FBB5"/>
    <w:rsid w:val="18F2D6C1"/>
    <w:rsid w:val="19415965"/>
    <w:rsid w:val="198D5ADC"/>
    <w:rsid w:val="19B4DC5D"/>
    <w:rsid w:val="1A8218A9"/>
    <w:rsid w:val="1C45D2E6"/>
    <w:rsid w:val="1C6A1D30"/>
    <w:rsid w:val="1CD122E3"/>
    <w:rsid w:val="1D32B005"/>
    <w:rsid w:val="1D533CC5"/>
    <w:rsid w:val="1D831095"/>
    <w:rsid w:val="1DF51666"/>
    <w:rsid w:val="1E5BFF92"/>
    <w:rsid w:val="1E8C711C"/>
    <w:rsid w:val="1E8E140C"/>
    <w:rsid w:val="1EC22C5E"/>
    <w:rsid w:val="1ECCB4FE"/>
    <w:rsid w:val="1F89F65B"/>
    <w:rsid w:val="1FBA6B00"/>
    <w:rsid w:val="206DDF3D"/>
    <w:rsid w:val="209FFFF9"/>
    <w:rsid w:val="20B469C3"/>
    <w:rsid w:val="21337AC8"/>
    <w:rsid w:val="2147AD8F"/>
    <w:rsid w:val="22371783"/>
    <w:rsid w:val="2237D17A"/>
    <w:rsid w:val="2279DE1A"/>
    <w:rsid w:val="2299B5ED"/>
    <w:rsid w:val="23A4E887"/>
    <w:rsid w:val="240F94A1"/>
    <w:rsid w:val="2410E8AB"/>
    <w:rsid w:val="2488D169"/>
    <w:rsid w:val="24CF23CD"/>
    <w:rsid w:val="255B2517"/>
    <w:rsid w:val="25989981"/>
    <w:rsid w:val="25C91E55"/>
    <w:rsid w:val="2610CBE9"/>
    <w:rsid w:val="26642E08"/>
    <w:rsid w:val="268FC5D7"/>
    <w:rsid w:val="26B7376C"/>
    <w:rsid w:val="27601E33"/>
    <w:rsid w:val="2823CD86"/>
    <w:rsid w:val="2845F5D9"/>
    <w:rsid w:val="28E41A07"/>
    <w:rsid w:val="294CF846"/>
    <w:rsid w:val="2970F508"/>
    <w:rsid w:val="2A0DD963"/>
    <w:rsid w:val="2B5BF3ED"/>
    <w:rsid w:val="2BAEA7E1"/>
    <w:rsid w:val="2C200A25"/>
    <w:rsid w:val="2C31FBBF"/>
    <w:rsid w:val="2C701769"/>
    <w:rsid w:val="2C99FC96"/>
    <w:rsid w:val="2CF8C117"/>
    <w:rsid w:val="2ED33AF4"/>
    <w:rsid w:val="2EEA987D"/>
    <w:rsid w:val="2F4B174F"/>
    <w:rsid w:val="305209BC"/>
    <w:rsid w:val="30782D12"/>
    <w:rsid w:val="30B2F9C2"/>
    <w:rsid w:val="314C4336"/>
    <w:rsid w:val="3162FBBF"/>
    <w:rsid w:val="31A5BF9B"/>
    <w:rsid w:val="32A79637"/>
    <w:rsid w:val="32C1BE0B"/>
    <w:rsid w:val="32F575D0"/>
    <w:rsid w:val="3313493A"/>
    <w:rsid w:val="3384BDEC"/>
    <w:rsid w:val="338E633B"/>
    <w:rsid w:val="33A1B069"/>
    <w:rsid w:val="33AB32E6"/>
    <w:rsid w:val="348F92CB"/>
    <w:rsid w:val="34FEA017"/>
    <w:rsid w:val="36373BE8"/>
    <w:rsid w:val="36C5C327"/>
    <w:rsid w:val="36E338CE"/>
    <w:rsid w:val="37714C48"/>
    <w:rsid w:val="38124D3B"/>
    <w:rsid w:val="3837DC6F"/>
    <w:rsid w:val="392F8CEF"/>
    <w:rsid w:val="39E2E5D2"/>
    <w:rsid w:val="3A1AA695"/>
    <w:rsid w:val="3A5ED4CC"/>
    <w:rsid w:val="3A928A28"/>
    <w:rsid w:val="3A928F53"/>
    <w:rsid w:val="3AB99888"/>
    <w:rsid w:val="3AC539A4"/>
    <w:rsid w:val="3ACA3CAA"/>
    <w:rsid w:val="3B5F43FF"/>
    <w:rsid w:val="3C936F6C"/>
    <w:rsid w:val="3CB865CB"/>
    <w:rsid w:val="3D240BA8"/>
    <w:rsid w:val="3D3DE2B1"/>
    <w:rsid w:val="3D69DC1D"/>
    <w:rsid w:val="3D6E8818"/>
    <w:rsid w:val="3D79620C"/>
    <w:rsid w:val="3DA4F855"/>
    <w:rsid w:val="3E20C77D"/>
    <w:rsid w:val="3F161162"/>
    <w:rsid w:val="3F46F450"/>
    <w:rsid w:val="3F588445"/>
    <w:rsid w:val="3F8581C7"/>
    <w:rsid w:val="4016F789"/>
    <w:rsid w:val="404BDECF"/>
    <w:rsid w:val="40E267D2"/>
    <w:rsid w:val="41472C6D"/>
    <w:rsid w:val="41FB6187"/>
    <w:rsid w:val="4296E3BB"/>
    <w:rsid w:val="430909E4"/>
    <w:rsid w:val="43756D09"/>
    <w:rsid w:val="43C3BE76"/>
    <w:rsid w:val="440C7417"/>
    <w:rsid w:val="449C5642"/>
    <w:rsid w:val="470F4C0B"/>
    <w:rsid w:val="470F6B59"/>
    <w:rsid w:val="4719F12E"/>
    <w:rsid w:val="47D4BD7D"/>
    <w:rsid w:val="481AF0BC"/>
    <w:rsid w:val="481BDDE0"/>
    <w:rsid w:val="4832DCD8"/>
    <w:rsid w:val="485E817D"/>
    <w:rsid w:val="48652FF1"/>
    <w:rsid w:val="48BCC813"/>
    <w:rsid w:val="491C83CE"/>
    <w:rsid w:val="49DBC789"/>
    <w:rsid w:val="4A55110D"/>
    <w:rsid w:val="4AB2343A"/>
    <w:rsid w:val="4B5E6F8D"/>
    <w:rsid w:val="4B6782DC"/>
    <w:rsid w:val="4B9D722F"/>
    <w:rsid w:val="4BAC1B1A"/>
    <w:rsid w:val="4BB59E6D"/>
    <w:rsid w:val="4C56A6DB"/>
    <w:rsid w:val="4DF49101"/>
    <w:rsid w:val="4E791E45"/>
    <w:rsid w:val="4F7450DF"/>
    <w:rsid w:val="4F7ED369"/>
    <w:rsid w:val="5024647F"/>
    <w:rsid w:val="50516201"/>
    <w:rsid w:val="508443B4"/>
    <w:rsid w:val="50A78356"/>
    <w:rsid w:val="514D4450"/>
    <w:rsid w:val="5154CC34"/>
    <w:rsid w:val="523184A8"/>
    <w:rsid w:val="52321E54"/>
    <w:rsid w:val="52AB020E"/>
    <w:rsid w:val="52E4676D"/>
    <w:rsid w:val="5386835B"/>
    <w:rsid w:val="53B04F46"/>
    <w:rsid w:val="5449C67D"/>
    <w:rsid w:val="54D954D3"/>
    <w:rsid w:val="54F7D5A2"/>
    <w:rsid w:val="554A48C2"/>
    <w:rsid w:val="55D520AF"/>
    <w:rsid w:val="55F0F259"/>
    <w:rsid w:val="57241FA6"/>
    <w:rsid w:val="57420D60"/>
    <w:rsid w:val="57497CB7"/>
    <w:rsid w:val="578839D6"/>
    <w:rsid w:val="579ECC0E"/>
    <w:rsid w:val="5808017B"/>
    <w:rsid w:val="58222204"/>
    <w:rsid w:val="58545B6E"/>
    <w:rsid w:val="586650F7"/>
    <w:rsid w:val="587FA740"/>
    <w:rsid w:val="5899A432"/>
    <w:rsid w:val="58E5CA4C"/>
    <w:rsid w:val="5A983C45"/>
    <w:rsid w:val="5BCD7ADB"/>
    <w:rsid w:val="5BF008E5"/>
    <w:rsid w:val="5C817EA7"/>
    <w:rsid w:val="5CA46767"/>
    <w:rsid w:val="5D21691E"/>
    <w:rsid w:val="5D43F2BF"/>
    <w:rsid w:val="5DA8D3F1"/>
    <w:rsid w:val="5DE4A55A"/>
    <w:rsid w:val="5E546DFB"/>
    <w:rsid w:val="5EFA0A21"/>
    <w:rsid w:val="5EFEC424"/>
    <w:rsid w:val="5F80380A"/>
    <w:rsid w:val="5FE58573"/>
    <w:rsid w:val="5FF757C2"/>
    <w:rsid w:val="601B23E6"/>
    <w:rsid w:val="60503803"/>
    <w:rsid w:val="605ECEF7"/>
    <w:rsid w:val="60EA105D"/>
    <w:rsid w:val="61346224"/>
    <w:rsid w:val="61BF5C57"/>
    <w:rsid w:val="62732EB4"/>
    <w:rsid w:val="6292A0DF"/>
    <w:rsid w:val="62C6B503"/>
    <w:rsid w:val="632A6C31"/>
    <w:rsid w:val="632D2856"/>
    <w:rsid w:val="63327791"/>
    <w:rsid w:val="6364C64A"/>
    <w:rsid w:val="63690D90"/>
    <w:rsid w:val="6371B585"/>
    <w:rsid w:val="63CD85D0"/>
    <w:rsid w:val="6430B5A4"/>
    <w:rsid w:val="64A1602A"/>
    <w:rsid w:val="64AB058C"/>
    <w:rsid w:val="6527158C"/>
    <w:rsid w:val="65879DCA"/>
    <w:rsid w:val="65A2A0F4"/>
    <w:rsid w:val="65AE1DE8"/>
    <w:rsid w:val="662E2269"/>
    <w:rsid w:val="665B1FEB"/>
    <w:rsid w:val="6682D3CA"/>
    <w:rsid w:val="67120B4B"/>
    <w:rsid w:val="6795BD1B"/>
    <w:rsid w:val="679B4D66"/>
    <w:rsid w:val="68918710"/>
    <w:rsid w:val="68EBE22F"/>
    <w:rsid w:val="69517377"/>
    <w:rsid w:val="69C8432D"/>
    <w:rsid w:val="6A0ECDB3"/>
    <w:rsid w:val="6AC421DE"/>
    <w:rsid w:val="6B98FD9B"/>
    <w:rsid w:val="6C2A735D"/>
    <w:rsid w:val="6C9C34FD"/>
    <w:rsid w:val="6CA488AA"/>
    <w:rsid w:val="6D0FBD05"/>
    <w:rsid w:val="6E389CD6"/>
    <w:rsid w:val="6F0B93CA"/>
    <w:rsid w:val="6F7D0ADB"/>
    <w:rsid w:val="6F8E6D08"/>
    <w:rsid w:val="6FBA0409"/>
    <w:rsid w:val="704ECE54"/>
    <w:rsid w:val="71228CAF"/>
    <w:rsid w:val="73156A40"/>
    <w:rsid w:val="731F8A6C"/>
    <w:rsid w:val="73767A86"/>
    <w:rsid w:val="73A37808"/>
    <w:rsid w:val="73C86006"/>
    <w:rsid w:val="73EE6344"/>
    <w:rsid w:val="73F45F37"/>
    <w:rsid w:val="74323082"/>
    <w:rsid w:val="748AD1B6"/>
    <w:rsid w:val="75EF435D"/>
    <w:rsid w:val="76328FEC"/>
    <w:rsid w:val="773808AF"/>
    <w:rsid w:val="77ABDCA5"/>
    <w:rsid w:val="78333BEF"/>
    <w:rsid w:val="7901ACF9"/>
    <w:rsid w:val="790D5F52"/>
    <w:rsid w:val="79C401DD"/>
    <w:rsid w:val="79E2FD85"/>
    <w:rsid w:val="7A28A0DA"/>
    <w:rsid w:val="7A7635AD"/>
    <w:rsid w:val="7AF7D9E8"/>
    <w:rsid w:val="7B91994D"/>
    <w:rsid w:val="7BAF378E"/>
    <w:rsid w:val="7C37E053"/>
    <w:rsid w:val="7C845F26"/>
    <w:rsid w:val="7C9722B8"/>
    <w:rsid w:val="7D8DC694"/>
    <w:rsid w:val="7D919995"/>
    <w:rsid w:val="7D9EB330"/>
    <w:rsid w:val="7DAFC4A8"/>
    <w:rsid w:val="7F49D700"/>
    <w:rsid w:val="7F80EEBD"/>
    <w:rsid w:val="7F8715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F957"/>
  <w15:chartTrackingRefBased/>
  <w15:docId w15:val="{88E67B2A-2D42-4F9A-B3EA-8FF176DB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85"/>
    <w:pPr>
      <w:spacing w:before="120" w:after="120"/>
    </w:pPr>
  </w:style>
  <w:style w:type="paragraph" w:styleId="Heading1">
    <w:name w:val="heading 1"/>
    <w:basedOn w:val="Normal"/>
    <w:next w:val="Normal"/>
    <w:link w:val="Heading1Char"/>
    <w:uiPriority w:val="9"/>
    <w:qFormat/>
    <w:rsid w:val="00A16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6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9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69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16985"/>
    <w:pPr>
      <w:ind w:left="720"/>
      <w:contextualSpacing/>
    </w:pPr>
  </w:style>
  <w:style w:type="character" w:styleId="CommentReference">
    <w:name w:val="annotation reference"/>
    <w:basedOn w:val="DefaultParagraphFont"/>
    <w:uiPriority w:val="99"/>
    <w:semiHidden/>
    <w:unhideWhenUsed/>
    <w:rsid w:val="00A16985"/>
    <w:rPr>
      <w:sz w:val="16"/>
      <w:szCs w:val="16"/>
    </w:rPr>
  </w:style>
  <w:style w:type="paragraph" w:styleId="CommentText">
    <w:name w:val="annotation text"/>
    <w:basedOn w:val="Normal"/>
    <w:link w:val="CommentTextChar"/>
    <w:uiPriority w:val="99"/>
    <w:unhideWhenUsed/>
    <w:rsid w:val="00A16985"/>
    <w:pPr>
      <w:spacing w:line="240" w:lineRule="auto"/>
    </w:pPr>
    <w:rPr>
      <w:sz w:val="20"/>
      <w:szCs w:val="20"/>
    </w:rPr>
  </w:style>
  <w:style w:type="character" w:customStyle="1" w:styleId="CommentTextChar">
    <w:name w:val="Comment Text Char"/>
    <w:basedOn w:val="DefaultParagraphFont"/>
    <w:link w:val="CommentText"/>
    <w:uiPriority w:val="99"/>
    <w:rsid w:val="00A16985"/>
    <w:rPr>
      <w:sz w:val="20"/>
      <w:szCs w:val="20"/>
    </w:rPr>
  </w:style>
  <w:style w:type="paragraph" w:styleId="CommentSubject">
    <w:name w:val="annotation subject"/>
    <w:basedOn w:val="CommentText"/>
    <w:next w:val="CommentText"/>
    <w:link w:val="CommentSubjectChar"/>
    <w:uiPriority w:val="99"/>
    <w:semiHidden/>
    <w:unhideWhenUsed/>
    <w:rsid w:val="00A16985"/>
    <w:rPr>
      <w:b/>
      <w:bCs/>
    </w:rPr>
  </w:style>
  <w:style w:type="character" w:customStyle="1" w:styleId="CommentSubjectChar">
    <w:name w:val="Comment Subject Char"/>
    <w:basedOn w:val="CommentTextChar"/>
    <w:link w:val="CommentSubject"/>
    <w:uiPriority w:val="99"/>
    <w:semiHidden/>
    <w:rsid w:val="00A16985"/>
    <w:rPr>
      <w:b/>
      <w:bCs/>
      <w:sz w:val="20"/>
      <w:szCs w:val="20"/>
    </w:rPr>
  </w:style>
  <w:style w:type="paragraph" w:styleId="Revision">
    <w:name w:val="Revision"/>
    <w:hidden/>
    <w:uiPriority w:val="99"/>
    <w:semiHidden/>
    <w:rsid w:val="0017180F"/>
    <w:pPr>
      <w:spacing w:after="0" w:line="240" w:lineRule="auto"/>
    </w:pPr>
  </w:style>
  <w:style w:type="paragraph" w:styleId="Header">
    <w:name w:val="header"/>
    <w:basedOn w:val="Normal"/>
    <w:link w:val="HeaderChar"/>
    <w:uiPriority w:val="99"/>
    <w:unhideWhenUsed/>
    <w:rsid w:val="007F0B3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017B8"/>
  </w:style>
  <w:style w:type="paragraph" w:styleId="Footer">
    <w:name w:val="footer"/>
    <w:basedOn w:val="Normal"/>
    <w:link w:val="FooterChar"/>
    <w:uiPriority w:val="99"/>
    <w:unhideWhenUsed/>
    <w:rsid w:val="007F0B3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017B8"/>
  </w:style>
  <w:style w:type="paragraph" w:styleId="FootnoteText">
    <w:name w:val="footnote text"/>
    <w:basedOn w:val="Normal"/>
    <w:link w:val="FootnoteTextChar"/>
    <w:uiPriority w:val="99"/>
    <w:semiHidden/>
    <w:unhideWhenUsed/>
    <w:rsid w:val="00ED587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D587D"/>
    <w:rPr>
      <w:sz w:val="20"/>
      <w:szCs w:val="20"/>
    </w:rPr>
  </w:style>
  <w:style w:type="character" w:styleId="FootnoteReference">
    <w:name w:val="footnote reference"/>
    <w:basedOn w:val="DefaultParagraphFont"/>
    <w:uiPriority w:val="99"/>
    <w:semiHidden/>
    <w:unhideWhenUsed/>
    <w:rsid w:val="00ED587D"/>
    <w:rPr>
      <w:vertAlign w:val="superscript"/>
    </w:rPr>
  </w:style>
  <w:style w:type="character" w:styleId="Hyperlink">
    <w:name w:val="Hyperlink"/>
    <w:basedOn w:val="DefaultParagraphFont"/>
    <w:uiPriority w:val="99"/>
    <w:unhideWhenUsed/>
    <w:rsid w:val="006D4F9B"/>
    <w:rPr>
      <w:color w:val="0563C1" w:themeColor="hyperlink"/>
      <w:u w:val="single"/>
    </w:rPr>
  </w:style>
  <w:style w:type="character" w:styleId="UnresolvedMention">
    <w:name w:val="Unresolved Mention"/>
    <w:basedOn w:val="DefaultParagraphFont"/>
    <w:uiPriority w:val="99"/>
    <w:semiHidden/>
    <w:unhideWhenUsed/>
    <w:rsid w:val="006D4F9B"/>
    <w:rPr>
      <w:color w:val="605E5C"/>
      <w:shd w:val="clear" w:color="auto" w:fill="E1DFDD"/>
    </w:rPr>
  </w:style>
  <w:style w:type="character" w:styleId="FollowedHyperlink">
    <w:name w:val="FollowedHyperlink"/>
    <w:basedOn w:val="DefaultParagraphFont"/>
    <w:uiPriority w:val="99"/>
    <w:semiHidden/>
    <w:unhideWhenUsed/>
    <w:rsid w:val="002419CC"/>
    <w:rPr>
      <w:color w:val="954F72" w:themeColor="followedHyperlink"/>
      <w:u w:val="single"/>
    </w:rPr>
  </w:style>
  <w:style w:type="table" w:styleId="TableGrid">
    <w:name w:val="Table Grid"/>
    <w:basedOn w:val="TableNormal"/>
    <w:uiPriority w:val="39"/>
    <w:rsid w:val="00A4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D42EA"/>
    <w:rPr>
      <w:color w:val="2B579A"/>
      <w:shd w:val="clear" w:color="auto" w:fill="E1DFDD"/>
    </w:rPr>
  </w:style>
  <w:style w:type="paragraph" w:customStyle="1" w:styleId="Source">
    <w:name w:val="Source"/>
    <w:basedOn w:val="Normal"/>
    <w:next w:val="Title1"/>
    <w:autoRedefine/>
    <w:rsid w:val="008B1926"/>
    <w:pPr>
      <w:framePr w:hSpace="181" w:wrap="around" w:hAnchor="margin" w:y="-674"/>
      <w:spacing w:before="720" w:line="240" w:lineRule="auto"/>
      <w:jc w:val="center"/>
    </w:pPr>
    <w:rPr>
      <w:b/>
      <w:sz w:val="28"/>
      <w:szCs w:val="28"/>
    </w:rPr>
  </w:style>
  <w:style w:type="paragraph" w:customStyle="1" w:styleId="Title1">
    <w:name w:val="Title 1"/>
    <w:basedOn w:val="Source"/>
    <w:next w:val="Normal"/>
    <w:rsid w:val="006079C5"/>
    <w:pPr>
      <w:framePr w:wrap="around"/>
      <w:spacing w:before="240"/>
    </w:pPr>
    <w:rPr>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3267">
      <w:bodyDiv w:val="1"/>
      <w:marLeft w:val="0"/>
      <w:marRight w:val="0"/>
      <w:marTop w:val="0"/>
      <w:marBottom w:val="0"/>
      <w:divBdr>
        <w:top w:val="none" w:sz="0" w:space="0" w:color="auto"/>
        <w:left w:val="none" w:sz="0" w:space="0" w:color="auto"/>
        <w:bottom w:val="none" w:sz="0" w:space="0" w:color="auto"/>
        <w:right w:val="none" w:sz="0" w:space="0" w:color="auto"/>
      </w:divBdr>
    </w:div>
    <w:div w:id="297075083">
      <w:bodyDiv w:val="1"/>
      <w:marLeft w:val="0"/>
      <w:marRight w:val="0"/>
      <w:marTop w:val="0"/>
      <w:marBottom w:val="0"/>
      <w:divBdr>
        <w:top w:val="none" w:sz="0" w:space="0" w:color="auto"/>
        <w:left w:val="none" w:sz="0" w:space="0" w:color="auto"/>
        <w:bottom w:val="none" w:sz="0" w:space="0" w:color="auto"/>
        <w:right w:val="none" w:sz="0" w:space="0" w:color="auto"/>
      </w:divBdr>
    </w:div>
    <w:div w:id="373233089">
      <w:bodyDiv w:val="1"/>
      <w:marLeft w:val="0"/>
      <w:marRight w:val="0"/>
      <w:marTop w:val="0"/>
      <w:marBottom w:val="0"/>
      <w:divBdr>
        <w:top w:val="none" w:sz="0" w:space="0" w:color="auto"/>
        <w:left w:val="none" w:sz="0" w:space="0" w:color="auto"/>
        <w:bottom w:val="none" w:sz="0" w:space="0" w:color="auto"/>
        <w:right w:val="none" w:sz="0" w:space="0" w:color="auto"/>
      </w:divBdr>
    </w:div>
    <w:div w:id="588150768">
      <w:bodyDiv w:val="1"/>
      <w:marLeft w:val="0"/>
      <w:marRight w:val="0"/>
      <w:marTop w:val="0"/>
      <w:marBottom w:val="0"/>
      <w:divBdr>
        <w:top w:val="none" w:sz="0" w:space="0" w:color="auto"/>
        <w:left w:val="none" w:sz="0" w:space="0" w:color="auto"/>
        <w:bottom w:val="none" w:sz="0" w:space="0" w:color="auto"/>
        <w:right w:val="none" w:sz="0" w:space="0" w:color="auto"/>
      </w:divBdr>
      <w:divsChild>
        <w:div w:id="2089492903">
          <w:marLeft w:val="274"/>
          <w:marRight w:val="0"/>
          <w:marTop w:val="0"/>
          <w:marBottom w:val="0"/>
          <w:divBdr>
            <w:top w:val="none" w:sz="0" w:space="0" w:color="auto"/>
            <w:left w:val="none" w:sz="0" w:space="0" w:color="auto"/>
            <w:bottom w:val="none" w:sz="0" w:space="0" w:color="auto"/>
            <w:right w:val="none" w:sz="0" w:space="0" w:color="auto"/>
          </w:divBdr>
        </w:div>
      </w:divsChild>
    </w:div>
    <w:div w:id="659583226">
      <w:bodyDiv w:val="1"/>
      <w:marLeft w:val="0"/>
      <w:marRight w:val="0"/>
      <w:marTop w:val="0"/>
      <w:marBottom w:val="0"/>
      <w:divBdr>
        <w:top w:val="none" w:sz="0" w:space="0" w:color="auto"/>
        <w:left w:val="none" w:sz="0" w:space="0" w:color="auto"/>
        <w:bottom w:val="none" w:sz="0" w:space="0" w:color="auto"/>
        <w:right w:val="none" w:sz="0" w:space="0" w:color="auto"/>
      </w:divBdr>
    </w:div>
    <w:div w:id="1763329851">
      <w:bodyDiv w:val="1"/>
      <w:marLeft w:val="0"/>
      <w:marRight w:val="0"/>
      <w:marTop w:val="0"/>
      <w:marBottom w:val="0"/>
      <w:divBdr>
        <w:top w:val="none" w:sz="0" w:space="0" w:color="auto"/>
        <w:left w:val="none" w:sz="0" w:space="0" w:color="auto"/>
        <w:bottom w:val="none" w:sz="0" w:space="0" w:color="auto"/>
        <w:right w:val="none" w:sz="0" w:space="0" w:color="auto"/>
      </w:divBdr>
    </w:div>
    <w:div w:id="19973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en/council/Documents/basic-texts/RES-071-E.pdf" TargetMode="External"/><Relationship Id="rId17" Type="http://schemas.openxmlformats.org/officeDocument/2006/relationships/hyperlink" Target="https://www.itu.int/md/S21-CWGSFP1-C-0012/en" TargetMode="External"/><Relationship Id="rId2" Type="http://schemas.openxmlformats.org/officeDocument/2006/relationships/customXml" Target="../customXml/item2.xml"/><Relationship Id="rId16" Type="http://schemas.openxmlformats.org/officeDocument/2006/relationships/hyperlink" Target="https://www.itu.int/md/S21-CWGSFP1-INF-00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1-CWGSFP1-C-001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CWGSFP1-C-001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B61A7-78F9-4ACF-BA4D-5F0984BA505F}">
  <ds:schemaRefs>
    <ds:schemaRef ds:uri="a8a026bf-b100-42f1-9dd5-7cbc76b456c8"/>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2ee27016-ed1a-4cf8-bcc9-fa6a27349352"/>
    <ds:schemaRef ds:uri="http://www.w3.org/XML/1998/namespace"/>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789F609-78E2-4FBF-B051-B79E61A00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7C84A-B105-43C0-981D-9B601E137A1B}">
  <ds:schemaRefs>
    <ds:schemaRef ds:uri="http://schemas.openxmlformats.org/officeDocument/2006/bibliography"/>
  </ds:schemaRefs>
</ds:datastoreItem>
</file>

<file path=customXml/itemProps4.xml><?xml version="1.0" encoding="utf-8"?>
<ds:datastoreItem xmlns:ds="http://schemas.openxmlformats.org/officeDocument/2006/customXml" ds:itemID="{A499389E-3762-4D22-967C-4359576F7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26927</CharactersWithSpaces>
  <SharedDoc>false</SharedDoc>
  <HLinks>
    <vt:vector size="30" baseType="variant">
      <vt:variant>
        <vt:i4>327695</vt:i4>
      </vt:variant>
      <vt:variant>
        <vt:i4>12</vt:i4>
      </vt:variant>
      <vt:variant>
        <vt:i4>0</vt:i4>
      </vt:variant>
      <vt:variant>
        <vt:i4>5</vt:i4>
      </vt:variant>
      <vt:variant>
        <vt:lpwstr>https://www.itu.int/md/S21-CWGSFP1-C-0012/en</vt:lpwstr>
      </vt:variant>
      <vt:variant>
        <vt:lpwstr/>
      </vt:variant>
      <vt:variant>
        <vt:i4>2687030</vt:i4>
      </vt:variant>
      <vt:variant>
        <vt:i4>9</vt:i4>
      </vt:variant>
      <vt:variant>
        <vt:i4>0</vt:i4>
      </vt:variant>
      <vt:variant>
        <vt:i4>5</vt:i4>
      </vt:variant>
      <vt:variant>
        <vt:lpwstr>https://www.itu.int/md/S21-CWGSFP1-INF-0006</vt:lpwstr>
      </vt:variant>
      <vt:variant>
        <vt:lpwstr/>
      </vt:variant>
      <vt:variant>
        <vt:i4>4456536</vt:i4>
      </vt:variant>
      <vt:variant>
        <vt:i4>6</vt:i4>
      </vt:variant>
      <vt:variant>
        <vt:i4>0</vt:i4>
      </vt:variant>
      <vt:variant>
        <vt:i4>5</vt:i4>
      </vt:variant>
      <vt:variant>
        <vt:lpwstr>https://www.itu.int/md/S21-CWGSFP1-C-0011</vt:lpwstr>
      </vt:variant>
      <vt:variant>
        <vt:lpwstr/>
      </vt:variant>
      <vt:variant>
        <vt:i4>4456536</vt:i4>
      </vt:variant>
      <vt:variant>
        <vt:i4>3</vt:i4>
      </vt:variant>
      <vt:variant>
        <vt:i4>0</vt:i4>
      </vt:variant>
      <vt:variant>
        <vt:i4>5</vt:i4>
      </vt:variant>
      <vt:variant>
        <vt:lpwstr>https://www.itu.int/md/S21-CWGSFP1-C-0011</vt:lpwstr>
      </vt:variant>
      <vt:variant>
        <vt:lpwstr/>
      </vt:variant>
      <vt:variant>
        <vt:i4>6881374</vt:i4>
      </vt:variant>
      <vt:variant>
        <vt:i4>0</vt:i4>
      </vt:variant>
      <vt:variant>
        <vt:i4>0</vt:i4>
      </vt:variant>
      <vt:variant>
        <vt:i4>5</vt:i4>
      </vt:variant>
      <vt:variant>
        <vt:lpwstr>https://www.itu.int/en/council/planning/Documents/ITU_Strategic_plan_2020-2023.pdf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document on secretariat’s input to the draft ITU Strategic Plan 2024-2027</dc:title>
  <dc:subject>Council Working Group for Strategic and Financial Plans 2024-2027</dc:subject>
  <dc:creator>Charlotte Hoiness</dc:creator>
  <cp:keywords>CWG-SFP</cp:keywords>
  <dc:description/>
  <cp:lastModifiedBy>Xue, Kun</cp:lastModifiedBy>
  <cp:revision>3</cp:revision>
  <dcterms:created xsi:type="dcterms:W3CDTF">2021-12-08T19:20:00Z</dcterms:created>
  <dcterms:modified xsi:type="dcterms:W3CDTF">2021-12-10T09:02:00Z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0x01010023FE96C3E44B9B42930888C51A5BBA72</vt:lpwstr>
  </property>
</Properties>
</file>