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44F74" w14:paraId="509E9351" w14:textId="77777777">
        <w:trPr>
          <w:cantSplit/>
        </w:trPr>
        <w:tc>
          <w:tcPr>
            <w:tcW w:w="6912" w:type="dxa"/>
          </w:tcPr>
          <w:p w14:paraId="3C9F03EA" w14:textId="370230F9" w:rsidR="00093EEB" w:rsidRPr="00044F74" w:rsidRDefault="003A584C" w:rsidP="005A1840">
            <w:pPr>
              <w:spacing w:before="360"/>
              <w:rPr>
                <w:szCs w:val="24"/>
              </w:rPr>
            </w:pPr>
            <w:bookmarkStart w:id="0" w:name="dbluepink" w:colFirst="0" w:colLast="0"/>
            <w:r w:rsidRPr="00044F74">
              <w:rPr>
                <w:b/>
                <w:bCs/>
                <w:sz w:val="30"/>
                <w:szCs w:val="30"/>
              </w:rPr>
              <w:t>Grupo de Trabajo del Consejo sobre los Planes Estratégico y Financiero para 2024-2027</w:t>
            </w:r>
            <w:r w:rsidR="00093EEB" w:rsidRPr="00044F74">
              <w:rPr>
                <w:b/>
                <w:bCs/>
                <w:sz w:val="26"/>
                <w:szCs w:val="26"/>
              </w:rPr>
              <w:br/>
            </w:r>
            <w:r w:rsidR="00467F7B" w:rsidRPr="00044F74">
              <w:rPr>
                <w:b/>
                <w:bCs/>
                <w:szCs w:val="24"/>
              </w:rPr>
              <w:t>Segunda</w:t>
            </w:r>
            <w:r w:rsidRPr="00044F74">
              <w:rPr>
                <w:b/>
                <w:bCs/>
                <w:szCs w:val="24"/>
              </w:rPr>
              <w:t xml:space="preserve"> reunión </w:t>
            </w:r>
            <w:r w:rsidR="005A1840" w:rsidRPr="00044F74">
              <w:rPr>
                <w:b/>
                <w:bCs/>
                <w:szCs w:val="24"/>
              </w:rPr>
              <w:t xml:space="preserve">– </w:t>
            </w:r>
            <w:r w:rsidR="00467F7B" w:rsidRPr="00044F74">
              <w:rPr>
                <w:b/>
                <w:bCs/>
                <w:szCs w:val="24"/>
              </w:rPr>
              <w:t>13 y 14 de enero</w:t>
            </w:r>
            <w:r w:rsidRPr="00044F74">
              <w:rPr>
                <w:b/>
                <w:bCs/>
                <w:szCs w:val="24"/>
              </w:rPr>
              <w:t xml:space="preserve"> de</w:t>
            </w:r>
            <w:r w:rsidR="005A1840" w:rsidRPr="00044F74">
              <w:rPr>
                <w:b/>
                <w:bCs/>
                <w:szCs w:val="24"/>
              </w:rPr>
              <w:t xml:space="preserve"> 202</w:t>
            </w:r>
            <w:r w:rsidR="00467F7B" w:rsidRPr="00044F74">
              <w:rPr>
                <w:b/>
                <w:bCs/>
                <w:szCs w:val="24"/>
              </w:rPr>
              <w:t>2</w:t>
            </w:r>
          </w:p>
        </w:tc>
        <w:tc>
          <w:tcPr>
            <w:tcW w:w="3261" w:type="dxa"/>
          </w:tcPr>
          <w:p w14:paraId="3B65EF6A" w14:textId="77777777" w:rsidR="00093EEB" w:rsidRPr="00044F74" w:rsidRDefault="007955DA" w:rsidP="007955DA">
            <w:pPr>
              <w:spacing w:before="0"/>
              <w:rPr>
                <w:szCs w:val="24"/>
              </w:rPr>
            </w:pPr>
            <w:bookmarkStart w:id="1" w:name="ditulogo"/>
            <w:bookmarkEnd w:id="1"/>
            <w:r w:rsidRPr="00044F74">
              <w:rPr>
                <w:noProof/>
                <w:lang w:eastAsia="zh-CN"/>
              </w:rPr>
              <w:drawing>
                <wp:inline distT="0" distB="0" distL="0" distR="0" wp14:anchorId="2EA8E8B5" wp14:editId="20F437A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44F74" w14:paraId="3722BAF5" w14:textId="77777777">
        <w:trPr>
          <w:cantSplit/>
          <w:trHeight w:val="20"/>
        </w:trPr>
        <w:tc>
          <w:tcPr>
            <w:tcW w:w="10173" w:type="dxa"/>
            <w:gridSpan w:val="2"/>
            <w:tcBorders>
              <w:bottom w:val="single" w:sz="12" w:space="0" w:color="auto"/>
            </w:tcBorders>
          </w:tcPr>
          <w:p w14:paraId="6E867426" w14:textId="77777777" w:rsidR="00093EEB" w:rsidRPr="00044F74" w:rsidRDefault="00093EEB">
            <w:pPr>
              <w:spacing w:before="0"/>
              <w:rPr>
                <w:b/>
                <w:bCs/>
                <w:szCs w:val="24"/>
              </w:rPr>
            </w:pPr>
          </w:p>
        </w:tc>
      </w:tr>
      <w:tr w:rsidR="00093EEB" w:rsidRPr="00044F74" w14:paraId="52A2B439" w14:textId="77777777">
        <w:trPr>
          <w:cantSplit/>
          <w:trHeight w:val="20"/>
        </w:trPr>
        <w:tc>
          <w:tcPr>
            <w:tcW w:w="6912" w:type="dxa"/>
            <w:tcBorders>
              <w:top w:val="single" w:sz="12" w:space="0" w:color="auto"/>
            </w:tcBorders>
          </w:tcPr>
          <w:p w14:paraId="4A6B2B3C" w14:textId="77777777" w:rsidR="00093EEB" w:rsidRPr="00044F74"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0C667BA9" w14:textId="77777777" w:rsidR="00093EEB" w:rsidRPr="00044F74" w:rsidRDefault="00093EEB">
            <w:pPr>
              <w:spacing w:before="0"/>
              <w:rPr>
                <w:b/>
                <w:bCs/>
                <w:szCs w:val="24"/>
              </w:rPr>
            </w:pPr>
          </w:p>
        </w:tc>
      </w:tr>
      <w:tr w:rsidR="00093EEB" w:rsidRPr="00044F74" w14:paraId="23AF1C7F" w14:textId="77777777">
        <w:trPr>
          <w:cantSplit/>
          <w:trHeight w:val="20"/>
        </w:trPr>
        <w:tc>
          <w:tcPr>
            <w:tcW w:w="6912" w:type="dxa"/>
            <w:shd w:val="clear" w:color="auto" w:fill="auto"/>
          </w:tcPr>
          <w:p w14:paraId="46E8C087" w14:textId="77777777" w:rsidR="00093EEB" w:rsidRPr="00044F74"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6A2EE25E" w14:textId="2DD22491" w:rsidR="00093EEB" w:rsidRPr="00044F74" w:rsidRDefault="005A1840" w:rsidP="00C2727F">
            <w:pPr>
              <w:spacing w:before="0"/>
              <w:rPr>
                <w:b/>
                <w:bCs/>
                <w:szCs w:val="24"/>
              </w:rPr>
            </w:pPr>
            <w:r w:rsidRPr="00044F74">
              <w:rPr>
                <w:b/>
                <w:bCs/>
                <w:szCs w:val="24"/>
              </w:rPr>
              <w:t>Documento CWG-SFP-</w:t>
            </w:r>
            <w:r w:rsidR="00467F7B" w:rsidRPr="00044F74">
              <w:rPr>
                <w:b/>
                <w:bCs/>
                <w:szCs w:val="24"/>
              </w:rPr>
              <w:t>2</w:t>
            </w:r>
            <w:r w:rsidRPr="00044F74">
              <w:rPr>
                <w:b/>
                <w:bCs/>
                <w:szCs w:val="24"/>
              </w:rPr>
              <w:t>/</w:t>
            </w:r>
            <w:r w:rsidR="00044F74" w:rsidRPr="00044F74">
              <w:rPr>
                <w:b/>
                <w:bCs/>
                <w:szCs w:val="24"/>
              </w:rPr>
              <w:t>7</w:t>
            </w:r>
            <w:r w:rsidRPr="00044F74">
              <w:rPr>
                <w:b/>
                <w:bCs/>
                <w:szCs w:val="24"/>
              </w:rPr>
              <w:t>-S</w:t>
            </w:r>
          </w:p>
        </w:tc>
      </w:tr>
      <w:tr w:rsidR="00093EEB" w:rsidRPr="00044F74" w14:paraId="0E8E77A1" w14:textId="77777777">
        <w:trPr>
          <w:cantSplit/>
          <w:trHeight w:val="20"/>
        </w:trPr>
        <w:tc>
          <w:tcPr>
            <w:tcW w:w="6912" w:type="dxa"/>
            <w:shd w:val="clear" w:color="auto" w:fill="auto"/>
          </w:tcPr>
          <w:p w14:paraId="0FE500A4" w14:textId="77777777" w:rsidR="00093EEB" w:rsidRPr="00044F74" w:rsidRDefault="00093EEB">
            <w:pPr>
              <w:shd w:val="solid" w:color="FFFFFF" w:fill="FFFFFF"/>
              <w:spacing w:before="0"/>
              <w:rPr>
                <w:smallCaps/>
                <w:szCs w:val="24"/>
              </w:rPr>
            </w:pPr>
            <w:bookmarkStart w:id="4" w:name="ddate" w:colFirst="1" w:colLast="1"/>
            <w:bookmarkEnd w:id="2"/>
            <w:bookmarkEnd w:id="3"/>
          </w:p>
        </w:tc>
        <w:tc>
          <w:tcPr>
            <w:tcW w:w="3261" w:type="dxa"/>
          </w:tcPr>
          <w:p w14:paraId="5F565883" w14:textId="4874E364" w:rsidR="00093EEB" w:rsidRPr="00044F74" w:rsidRDefault="00044F74" w:rsidP="00C2727F">
            <w:pPr>
              <w:spacing w:before="0"/>
              <w:rPr>
                <w:b/>
                <w:bCs/>
                <w:szCs w:val="24"/>
              </w:rPr>
            </w:pPr>
            <w:r w:rsidRPr="00044F74">
              <w:rPr>
                <w:b/>
                <w:bCs/>
                <w:szCs w:val="24"/>
              </w:rPr>
              <w:t>3 de enero 2022</w:t>
            </w:r>
          </w:p>
        </w:tc>
      </w:tr>
      <w:tr w:rsidR="00093EEB" w:rsidRPr="00044F74" w14:paraId="6D7EF81A" w14:textId="77777777">
        <w:trPr>
          <w:cantSplit/>
          <w:trHeight w:val="20"/>
        </w:trPr>
        <w:tc>
          <w:tcPr>
            <w:tcW w:w="6912" w:type="dxa"/>
            <w:shd w:val="clear" w:color="auto" w:fill="auto"/>
          </w:tcPr>
          <w:p w14:paraId="0A900D65" w14:textId="77777777" w:rsidR="00093EEB" w:rsidRPr="00044F74" w:rsidRDefault="00093EEB">
            <w:pPr>
              <w:shd w:val="solid" w:color="FFFFFF" w:fill="FFFFFF"/>
              <w:spacing w:before="0"/>
              <w:rPr>
                <w:smallCaps/>
                <w:szCs w:val="24"/>
              </w:rPr>
            </w:pPr>
            <w:bookmarkStart w:id="5" w:name="dorlang" w:colFirst="1" w:colLast="1"/>
            <w:bookmarkEnd w:id="4"/>
          </w:p>
        </w:tc>
        <w:tc>
          <w:tcPr>
            <w:tcW w:w="3261" w:type="dxa"/>
          </w:tcPr>
          <w:p w14:paraId="535E8E1E" w14:textId="01C24F46" w:rsidR="00093EEB" w:rsidRPr="00044F74" w:rsidRDefault="00093EEB" w:rsidP="00093EEB">
            <w:pPr>
              <w:spacing w:before="0"/>
              <w:rPr>
                <w:b/>
                <w:bCs/>
                <w:szCs w:val="24"/>
              </w:rPr>
            </w:pPr>
            <w:r w:rsidRPr="00044F74">
              <w:rPr>
                <w:b/>
                <w:bCs/>
                <w:szCs w:val="24"/>
              </w:rPr>
              <w:t xml:space="preserve">Original: </w:t>
            </w:r>
            <w:r w:rsidR="00044F74" w:rsidRPr="00044F74">
              <w:rPr>
                <w:b/>
                <w:bCs/>
                <w:szCs w:val="24"/>
              </w:rPr>
              <w:t>inglés</w:t>
            </w:r>
          </w:p>
        </w:tc>
      </w:tr>
      <w:tr w:rsidR="00093EEB" w:rsidRPr="00044F74" w14:paraId="2D243CAD" w14:textId="77777777">
        <w:trPr>
          <w:cantSplit/>
        </w:trPr>
        <w:tc>
          <w:tcPr>
            <w:tcW w:w="10173" w:type="dxa"/>
            <w:gridSpan w:val="2"/>
          </w:tcPr>
          <w:p w14:paraId="3B00EA2B" w14:textId="196515EF" w:rsidR="00093EEB" w:rsidRPr="00044F74" w:rsidRDefault="00044F74">
            <w:pPr>
              <w:pStyle w:val="Source"/>
            </w:pPr>
            <w:bookmarkStart w:id="6" w:name="dsource" w:colFirst="0" w:colLast="0"/>
            <w:bookmarkStart w:id="7" w:name="_Hlk92706050"/>
            <w:bookmarkEnd w:id="0"/>
            <w:bookmarkEnd w:id="5"/>
            <w:r w:rsidRPr="00044F74">
              <w:rPr>
                <w:bCs/>
              </w:rPr>
              <w:t>Contribución de Estados Unidos</w:t>
            </w:r>
          </w:p>
        </w:tc>
      </w:tr>
      <w:tr w:rsidR="00093EEB" w:rsidRPr="00044F74" w14:paraId="2FF2D504" w14:textId="77777777">
        <w:trPr>
          <w:cantSplit/>
        </w:trPr>
        <w:tc>
          <w:tcPr>
            <w:tcW w:w="10173" w:type="dxa"/>
            <w:gridSpan w:val="2"/>
          </w:tcPr>
          <w:p w14:paraId="62389682" w14:textId="277CB7D5" w:rsidR="00093EEB" w:rsidRPr="00044F74" w:rsidRDefault="00044F74" w:rsidP="00AD3B2F">
            <w:pPr>
              <w:pStyle w:val="Title1"/>
            </w:pPr>
            <w:bookmarkStart w:id="8" w:name="lt_pId012"/>
            <w:bookmarkStart w:id="9" w:name="dtitle1" w:colFirst="0" w:colLast="0"/>
            <w:bookmarkEnd w:id="6"/>
            <w:r w:rsidRPr="00044F74">
              <w:rPr>
                <w:bCs/>
              </w:rPr>
              <w:t>Propuestas RELATIVAS AL Anexo 1 DEL</w:t>
            </w:r>
            <w:r w:rsidRPr="00044F74">
              <w:rPr>
                <w:bCs/>
              </w:rPr>
              <w:br/>
              <w:t>plan estratégico de la UIT para 2024-2027</w:t>
            </w:r>
            <w:bookmarkEnd w:id="8"/>
          </w:p>
        </w:tc>
      </w:tr>
    </w:tbl>
    <w:bookmarkEnd w:id="9"/>
    <w:bookmarkEnd w:id="7"/>
    <w:p w14:paraId="1C62AF55" w14:textId="77777777" w:rsidR="00044F74" w:rsidRPr="00044F74" w:rsidRDefault="00044F74" w:rsidP="00044F74">
      <w:pPr>
        <w:pStyle w:val="Headingb"/>
      </w:pPr>
      <w:r w:rsidRPr="00044F74">
        <w:t>Introducción</w:t>
      </w:r>
    </w:p>
    <w:p w14:paraId="10ED048F" w14:textId="3FAC7B31" w:rsidR="00044F74" w:rsidRPr="00044F74" w:rsidRDefault="00044F74" w:rsidP="00044F74">
      <w:r w:rsidRPr="00044F74">
        <w:t xml:space="preserve">Estados Unidos desea formular varias observaciones y propuestas iniciales de alto nivel con respecto a la elaboración del Plan Estratégico de la UIT para 2024-2027. Acogemos con satisfacción que en el primer proyecto de Anexo 1 de la Resolución 71 de dicho Plan Estratégico se tengan en cuenta las importantes observaciones y contribuciones de los </w:t>
      </w:r>
      <w:r w:rsidR="00DE1CE4" w:rsidRPr="00044F74">
        <w:t xml:space="preserve">miembros </w:t>
      </w:r>
      <w:r w:rsidRPr="00044F74">
        <w:t xml:space="preserve">a fin de racionalizar y simplificar el marco estratégico de la UIT y aportar mayor claridad sobre el mismo, y que se mantenga el alto nivel del Plan Estratégico al tiempo que se hace hincapié en las metas y prioridades estratégicas y en los principales productos y servicios de la Unión respecto de los tres Sectores.  </w:t>
      </w:r>
    </w:p>
    <w:p w14:paraId="6FD489A9" w14:textId="19FF64BC" w:rsidR="00044F74" w:rsidRPr="00044F74" w:rsidRDefault="00044F74" w:rsidP="00044F74">
      <w:pPr>
        <w:rPr>
          <w:rFonts w:cs="Calibri"/>
          <w:shd w:val="clear" w:color="auto" w:fill="FFFFFF"/>
        </w:rPr>
      </w:pPr>
      <w:r w:rsidRPr="00044F74">
        <w:t>A nuestro parecer, el nuevo marco proporciona una estructura clara y sucinta para elaborar el plan estratégico de alto nivel de la UIT, y permite llevar a cabo un examen más eficaz de los resultados específicos de cada Sector en relación con los respectivos Planes Operacionales, a fin de disponer de una</w:t>
      </w:r>
      <w:r w:rsidRPr="00044F74">
        <w:rPr>
          <w:rFonts w:cs="Calibri"/>
          <w:shd w:val="clear" w:color="auto" w:fill="FFFFFF"/>
        </w:rPr>
        <w:t xml:space="preserve"> hoja de ruta para la realización de las actividades pertinentes en cada Sector que contribuyen al cumplimiento de las metas y prioridades estratégicas. También convenimos en que los </w:t>
      </w:r>
      <w:r w:rsidR="00DE1CE4" w:rsidRPr="00044F74">
        <w:rPr>
          <w:rFonts w:cs="Calibri"/>
          <w:shd w:val="clear" w:color="auto" w:fill="FFFFFF"/>
        </w:rPr>
        <w:t xml:space="preserve">Factores </w:t>
      </w:r>
      <w:r w:rsidRPr="00044F74">
        <w:rPr>
          <w:rFonts w:cs="Calibri"/>
          <w:shd w:val="clear" w:color="auto" w:fill="FFFFFF"/>
        </w:rPr>
        <w:t>habilitadores constituyen elementos transversales esenciales de la labor de la UIT, al tiempo que difieren de las prioridades temáticas, los resultados o los productos.</w:t>
      </w:r>
    </w:p>
    <w:p w14:paraId="47B1FC93" w14:textId="77777777" w:rsidR="00044F74" w:rsidRPr="00044F74" w:rsidRDefault="00044F74" w:rsidP="00044F74">
      <w:pPr>
        <w:pStyle w:val="Headingb"/>
      </w:pPr>
      <w:r w:rsidRPr="00044F74">
        <w:t>Propuesta</w:t>
      </w:r>
    </w:p>
    <w:p w14:paraId="123367B3" w14:textId="5DBC8FB5" w:rsidR="00044F74" w:rsidRPr="00044F74" w:rsidRDefault="00044F74" w:rsidP="00044F74">
      <w:pPr>
        <w:pStyle w:val="enumlev1"/>
        <w:rPr>
          <w:b/>
          <w:bCs/>
        </w:rPr>
      </w:pPr>
      <w:r w:rsidRPr="00044F74">
        <w:rPr>
          <w:b/>
          <w:bCs/>
        </w:rPr>
        <w:t>1</w:t>
      </w:r>
      <w:r w:rsidRPr="00044F74">
        <w:rPr>
          <w:b/>
          <w:bCs/>
        </w:rPr>
        <w:tab/>
      </w:r>
      <w:proofErr w:type="gramStart"/>
      <w:r w:rsidRPr="00044F74">
        <w:rPr>
          <w:b/>
          <w:bCs/>
        </w:rPr>
        <w:t>Sección</w:t>
      </w:r>
      <w:proofErr w:type="gramEnd"/>
      <w:r w:rsidRPr="00044F74">
        <w:rPr>
          <w:b/>
          <w:bCs/>
        </w:rPr>
        <w:t xml:space="preserve"> 2.2, Visión</w:t>
      </w:r>
      <w:r w:rsidRPr="00DE1CE4">
        <w:t>:</w:t>
      </w:r>
      <w:r w:rsidRPr="00044F74">
        <w:rPr>
          <w:b/>
          <w:bCs/>
        </w:rPr>
        <w:t xml:space="preserve"> </w:t>
      </w:r>
      <w:r w:rsidRPr="00044F74">
        <w:rPr>
          <w:rFonts w:eastAsia="Calibri"/>
        </w:rPr>
        <w:t>Estados Unidos reitera su propuesta de que no se modifique la Declaración de visión, y en consecuencia, apoyamos la Opción 1, consistente en mantener la versión actual. La Declaración de visión está en consonancia con los mandatos de la UIT, de conformidad con la Constitución y el Convenio, y se ajusta a los mismos, y sigue siendo aplicable y pertinente para el per</w:t>
      </w:r>
      <w:r w:rsidR="00DE1CE4">
        <w:rPr>
          <w:rFonts w:eastAsia="Calibri"/>
        </w:rPr>
        <w:t>i</w:t>
      </w:r>
      <w:r w:rsidRPr="00044F74">
        <w:rPr>
          <w:rFonts w:eastAsia="Calibri"/>
        </w:rPr>
        <w:t>odo 2024-2027.</w:t>
      </w:r>
    </w:p>
    <w:p w14:paraId="591DFEC4" w14:textId="57F12C69" w:rsidR="00044F74" w:rsidRPr="00044F74" w:rsidRDefault="00044F74" w:rsidP="00044F74">
      <w:pPr>
        <w:pStyle w:val="enumlev1"/>
        <w:rPr>
          <w:b/>
          <w:bCs/>
          <w:color w:val="000000" w:themeColor="text1"/>
        </w:rPr>
      </w:pPr>
      <w:r w:rsidRPr="00044F74">
        <w:rPr>
          <w:b/>
          <w:bCs/>
          <w:color w:val="000000" w:themeColor="text1"/>
        </w:rPr>
        <w:t>2</w:t>
      </w:r>
      <w:r w:rsidRPr="00044F74">
        <w:rPr>
          <w:b/>
          <w:bCs/>
          <w:color w:val="000000" w:themeColor="text1"/>
        </w:rPr>
        <w:tab/>
      </w:r>
      <w:proofErr w:type="gramStart"/>
      <w:r w:rsidRPr="00044F74">
        <w:rPr>
          <w:b/>
          <w:bCs/>
          <w:color w:val="000000" w:themeColor="text1"/>
        </w:rPr>
        <w:t>Sección</w:t>
      </w:r>
      <w:proofErr w:type="gramEnd"/>
      <w:r w:rsidRPr="00044F74">
        <w:rPr>
          <w:b/>
          <w:bCs/>
          <w:color w:val="000000" w:themeColor="text1"/>
        </w:rPr>
        <w:t xml:space="preserve"> 2.3, Misión</w:t>
      </w:r>
      <w:r w:rsidRPr="00DE1CE4">
        <w:rPr>
          <w:color w:val="000000" w:themeColor="text1"/>
        </w:rPr>
        <w:t>:</w:t>
      </w:r>
      <w:r w:rsidRPr="00044F74">
        <w:rPr>
          <w:b/>
          <w:bCs/>
          <w:color w:val="000000" w:themeColor="text1"/>
        </w:rPr>
        <w:t xml:space="preserve"> </w:t>
      </w:r>
      <w:r w:rsidRPr="00044F74">
        <w:rPr>
          <w:color w:val="000000" w:themeColor="text1"/>
        </w:rPr>
        <w:t>la</w:t>
      </w:r>
      <w:r w:rsidRPr="00044F74">
        <w:rPr>
          <w:b/>
          <w:bCs/>
          <w:color w:val="000000" w:themeColor="text1"/>
        </w:rPr>
        <w:t xml:space="preserve"> </w:t>
      </w:r>
      <w:r w:rsidRPr="00044F74">
        <w:rPr>
          <w:color w:val="000000" w:themeColor="text1"/>
        </w:rPr>
        <w:t>Declaración de misión sigue siendo pertinente para el per</w:t>
      </w:r>
      <w:r w:rsidR="00DE1CE4">
        <w:rPr>
          <w:color w:val="000000" w:themeColor="text1"/>
        </w:rPr>
        <w:t>i</w:t>
      </w:r>
      <w:r w:rsidRPr="00044F74">
        <w:rPr>
          <w:color w:val="000000" w:themeColor="text1"/>
        </w:rPr>
        <w:t>odo 2024</w:t>
      </w:r>
      <w:r w:rsidR="00DE1CE4">
        <w:rPr>
          <w:color w:val="000000" w:themeColor="text1"/>
        </w:rPr>
        <w:noBreakHyphen/>
      </w:r>
      <w:r w:rsidRPr="00044F74">
        <w:rPr>
          <w:color w:val="000000" w:themeColor="text1"/>
        </w:rPr>
        <w:t xml:space="preserve">2027, y está en consonancia con los mandatos de la UIT, </w:t>
      </w:r>
      <w:r w:rsidRPr="00044F74">
        <w:rPr>
          <w:rFonts w:eastAsia="Calibri"/>
          <w:color w:val="000000" w:themeColor="text1"/>
        </w:rPr>
        <w:t>de conformidad con la Constitución y el Convenio</w:t>
      </w:r>
      <w:r w:rsidRPr="00044F74">
        <w:rPr>
          <w:color w:val="000000" w:themeColor="text1"/>
        </w:rPr>
        <w:t xml:space="preserve">, </w:t>
      </w:r>
      <w:r w:rsidRPr="00044F74">
        <w:rPr>
          <w:rFonts w:eastAsia="Calibri"/>
          <w:color w:val="000000" w:themeColor="text1"/>
        </w:rPr>
        <w:t>y se ajusta a los mismos</w:t>
      </w:r>
      <w:r w:rsidRPr="00044F74">
        <w:rPr>
          <w:color w:val="000000" w:themeColor="text1"/>
        </w:rPr>
        <w:t xml:space="preserve">. Por otro lado, consideramos que no se aporta ningún cambio sustancial en la propuesta de abreviar la Declaración de misión, </w:t>
      </w:r>
      <w:proofErr w:type="gramStart"/>
      <w:r w:rsidRPr="00044F74">
        <w:rPr>
          <w:color w:val="000000" w:themeColor="text1"/>
        </w:rPr>
        <w:t>y</w:t>
      </w:r>
      <w:proofErr w:type="gramEnd"/>
      <w:r w:rsidRPr="00044F74">
        <w:rPr>
          <w:color w:val="000000" w:themeColor="text1"/>
        </w:rPr>
        <w:t xml:space="preserve"> en consecuencia, apoyamos la Opción 1, consistente en mantener la versión actual, con arreglo a nuestra propuesta de no modificar dicha Declaración. </w:t>
      </w:r>
    </w:p>
    <w:p w14:paraId="6EC37CA4" w14:textId="5C4014D4" w:rsidR="00044F74" w:rsidRPr="00044F74" w:rsidRDefault="00044F74" w:rsidP="00DE1CE4">
      <w:pPr>
        <w:pStyle w:val="enumlev1"/>
        <w:keepLines/>
        <w:rPr>
          <w:b/>
          <w:bCs/>
          <w:color w:val="000000" w:themeColor="text1"/>
        </w:rPr>
      </w:pPr>
      <w:r w:rsidRPr="00044F74">
        <w:rPr>
          <w:b/>
          <w:bCs/>
          <w:color w:val="000000" w:themeColor="text1"/>
        </w:rPr>
        <w:lastRenderedPageBreak/>
        <w:t>3</w:t>
      </w:r>
      <w:r w:rsidRPr="00044F74">
        <w:rPr>
          <w:b/>
          <w:bCs/>
          <w:color w:val="000000" w:themeColor="text1"/>
        </w:rPr>
        <w:tab/>
      </w:r>
      <w:proofErr w:type="gramStart"/>
      <w:r w:rsidRPr="00044F74">
        <w:rPr>
          <w:b/>
          <w:bCs/>
          <w:color w:val="000000" w:themeColor="text1"/>
        </w:rPr>
        <w:t>Sección</w:t>
      </w:r>
      <w:proofErr w:type="gramEnd"/>
      <w:r w:rsidRPr="00044F74">
        <w:rPr>
          <w:b/>
          <w:bCs/>
          <w:color w:val="000000" w:themeColor="text1"/>
        </w:rPr>
        <w:t xml:space="preserve"> 2.6, Prioridades temáticas</w:t>
      </w:r>
      <w:r w:rsidRPr="00DE1CE4">
        <w:rPr>
          <w:color w:val="000000" w:themeColor="text1"/>
        </w:rPr>
        <w:t>:</w:t>
      </w:r>
      <w:r w:rsidRPr="00044F74">
        <w:rPr>
          <w:b/>
          <w:bCs/>
          <w:color w:val="000000" w:themeColor="text1"/>
        </w:rPr>
        <w:t xml:space="preserve"> </w:t>
      </w:r>
      <w:r w:rsidRPr="00044F74">
        <w:rPr>
          <w:color w:val="000000" w:themeColor="text1"/>
        </w:rPr>
        <w:t xml:space="preserve">habida cuenta de nuestra opinión de que la labor de la UIT en la esfera de la ciberseguridad se ajusta más a una actividad transversal que abarque otras prioridades temáticas, apoyamos la Opción 2, con miras a integrar los resultados en materia de ciberseguridad en el marco de las demás Prioridades temáticas, en particular, Entorno habilitador e Infraestructura y Servicios. </w:t>
      </w:r>
    </w:p>
    <w:p w14:paraId="5C919ECE" w14:textId="12EA1024" w:rsidR="00044F74" w:rsidRPr="00044F74" w:rsidRDefault="00044F74" w:rsidP="00044F74">
      <w:pPr>
        <w:pStyle w:val="enumlev1"/>
        <w:rPr>
          <w:b/>
          <w:bCs/>
        </w:rPr>
      </w:pPr>
      <w:r w:rsidRPr="00044F74">
        <w:rPr>
          <w:b/>
          <w:bCs/>
          <w:color w:val="000000" w:themeColor="text1"/>
        </w:rPr>
        <w:t>4</w:t>
      </w:r>
      <w:r w:rsidRPr="00044F74">
        <w:rPr>
          <w:b/>
          <w:bCs/>
          <w:color w:val="000000" w:themeColor="text1"/>
        </w:rPr>
        <w:tab/>
      </w:r>
      <w:proofErr w:type="gramStart"/>
      <w:r w:rsidRPr="00044F74">
        <w:rPr>
          <w:b/>
          <w:bCs/>
          <w:color w:val="000000" w:themeColor="text1"/>
        </w:rPr>
        <w:t>Sección</w:t>
      </w:r>
      <w:proofErr w:type="gramEnd"/>
      <w:r w:rsidRPr="00044F74">
        <w:rPr>
          <w:b/>
          <w:bCs/>
          <w:color w:val="000000" w:themeColor="text1"/>
        </w:rPr>
        <w:t xml:space="preserve"> 2.7, Productos y Servicios</w:t>
      </w:r>
      <w:r w:rsidRPr="00DE1CE4">
        <w:rPr>
          <w:color w:val="000000" w:themeColor="text1"/>
        </w:rPr>
        <w:t>:</w:t>
      </w:r>
      <w:r w:rsidRPr="00044F74">
        <w:rPr>
          <w:b/>
          <w:bCs/>
          <w:color w:val="000000" w:themeColor="text1"/>
        </w:rPr>
        <w:t xml:space="preserve"> </w:t>
      </w:r>
      <w:r w:rsidRPr="00044F74">
        <w:rPr>
          <w:color w:val="000000" w:themeColor="text1"/>
        </w:rPr>
        <w:t xml:space="preserve">puesto que en los párrafos 38-41 se alude al Reglamento de Radiocomunicaciones de la UIT, con objeto de ser más exhaustivos y específicos en relación con la labor de la UIT proponemos que se sustituya el encabezamiento </w:t>
      </w:r>
      <w:r>
        <w:rPr>
          <w:color w:val="000000" w:themeColor="text1"/>
        </w:rPr>
        <w:t>"</w:t>
      </w:r>
      <w:r w:rsidRPr="00044F74">
        <w:rPr>
          <w:color w:val="000000" w:themeColor="text1"/>
        </w:rPr>
        <w:t>Productos y Servicios</w:t>
      </w:r>
      <w:r>
        <w:rPr>
          <w:color w:val="000000" w:themeColor="text1"/>
        </w:rPr>
        <w:t>"</w:t>
      </w:r>
      <w:r w:rsidRPr="00044F74">
        <w:rPr>
          <w:color w:val="000000" w:themeColor="text1"/>
        </w:rPr>
        <w:t xml:space="preserve"> relativo a dichos párrafos por </w:t>
      </w:r>
      <w:r>
        <w:rPr>
          <w:color w:val="000000" w:themeColor="text1"/>
        </w:rPr>
        <w:t>"</w:t>
      </w:r>
      <w:r w:rsidRPr="00044F74">
        <w:rPr>
          <w:color w:val="000000" w:themeColor="text1"/>
        </w:rPr>
        <w:t>Gestión internacional de frecuencias</w:t>
      </w:r>
      <w:r>
        <w:rPr>
          <w:color w:val="000000" w:themeColor="text1"/>
        </w:rPr>
        <w:t>"</w:t>
      </w:r>
      <w:r w:rsidRPr="00044F74">
        <w:rPr>
          <w:color w:val="000000" w:themeColor="text1"/>
        </w:rPr>
        <w:t xml:space="preserve">, en lugar de </w:t>
      </w:r>
      <w:r>
        <w:rPr>
          <w:color w:val="000000" w:themeColor="text1"/>
        </w:rPr>
        <w:t>"</w:t>
      </w:r>
      <w:r w:rsidRPr="00044F74">
        <w:rPr>
          <w:color w:val="000000" w:themeColor="text1"/>
        </w:rPr>
        <w:t xml:space="preserve">Elaboración y aplicación de </w:t>
      </w:r>
      <w:r w:rsidRPr="00044F74">
        <w:t>reglamentos internacionales</w:t>
      </w:r>
      <w:r>
        <w:t>"</w:t>
      </w:r>
      <w:r w:rsidRPr="00044F74">
        <w:t xml:space="preserve">, de carácter más general y susceptible de inducir a error. Por otro lado, recomendamos que se modifique el texto de esa sección para que refleje con mayor precisión los objetivos y la aplicación del Reglamento de Radiocomunicaciones. </w:t>
      </w:r>
    </w:p>
    <w:p w14:paraId="59862F28" w14:textId="77777777" w:rsidR="00044F74" w:rsidRPr="00044F74" w:rsidRDefault="00044F74" w:rsidP="00044F74">
      <w:r w:rsidRPr="00044F74">
        <w:t>Estados Unidos conviene en que prosigan los debates en el marco del Grupo de Trabajo del Consejo en relación con las prioridades temáticas del proyecto de Plan Estratégico, en particular los resultados de alto nivel para cada prioridad temática y su relación con las metas y los objetivos estratégicos.</w:t>
      </w:r>
    </w:p>
    <w:p w14:paraId="04D98938" w14:textId="77777777" w:rsidR="00044F74" w:rsidRPr="00044F74" w:rsidRDefault="00044F74" w:rsidP="00C14E5C">
      <w:pPr>
        <w:spacing w:before="840"/>
        <w:jc w:val="center"/>
      </w:pPr>
      <w:r w:rsidRPr="00044F74">
        <w:t>______________</w:t>
      </w:r>
    </w:p>
    <w:sectPr w:rsidR="00044F74" w:rsidRPr="00044F74"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1B8D" w14:textId="77777777" w:rsidR="005A1840" w:rsidRDefault="005A1840">
      <w:r>
        <w:separator/>
      </w:r>
    </w:p>
  </w:endnote>
  <w:endnote w:type="continuationSeparator" w:id="0">
    <w:p w14:paraId="4C94E1E8" w14:textId="77777777" w:rsidR="005A1840" w:rsidRDefault="005A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7CB4" w14:textId="3A847956" w:rsidR="00490ECD" w:rsidRPr="00C14E5C" w:rsidRDefault="00DE1CE4" w:rsidP="00490ECD">
    <w:pPr>
      <w:pStyle w:val="Footer"/>
      <w:rPr>
        <w:color w:val="F2F2F2" w:themeColor="background1" w:themeShade="F2"/>
        <w:szCs w:val="16"/>
      </w:rPr>
    </w:pPr>
    <w:r w:rsidRPr="00C14E5C">
      <w:rPr>
        <w:color w:val="F2F2F2" w:themeColor="background1" w:themeShade="F2"/>
      </w:rPr>
      <w:fldChar w:fldCharType="begin"/>
    </w:r>
    <w:r w:rsidRPr="00C14E5C">
      <w:rPr>
        <w:color w:val="F2F2F2" w:themeColor="background1" w:themeShade="F2"/>
      </w:rPr>
      <w:instrText xml:space="preserve"> FILENAME \p  \* MERGEFORMAT </w:instrText>
    </w:r>
    <w:r w:rsidRPr="00C14E5C">
      <w:rPr>
        <w:color w:val="F2F2F2" w:themeColor="background1" w:themeShade="F2"/>
      </w:rPr>
      <w:fldChar w:fldCharType="separate"/>
    </w:r>
    <w:r w:rsidR="00044F74" w:rsidRPr="00C14E5C">
      <w:rPr>
        <w:color w:val="F2F2F2" w:themeColor="background1" w:themeShade="F2"/>
      </w:rPr>
      <w:t>P:\ESP\SG\CONSEIL\CWG-SFP\CWG-SFP2\000\007S.docx</w:t>
    </w:r>
    <w:r w:rsidRPr="00C14E5C">
      <w:rPr>
        <w:color w:val="F2F2F2" w:themeColor="background1" w:themeShade="F2"/>
      </w:rPr>
      <w:fldChar w:fldCharType="end"/>
    </w:r>
    <w:r w:rsidR="00490ECD" w:rsidRPr="00C14E5C">
      <w:rPr>
        <w:color w:val="F2F2F2" w:themeColor="background1" w:themeShade="F2"/>
      </w:rPr>
      <w:t xml:space="preserve"> (5004</w:t>
    </w:r>
    <w:r w:rsidR="00044F74" w:rsidRPr="00C14E5C">
      <w:rPr>
        <w:color w:val="F2F2F2" w:themeColor="background1" w:themeShade="F2"/>
      </w:rPr>
      <w:t>98</w:t>
    </w:r>
    <w:r w:rsidR="00490ECD" w:rsidRPr="00C14E5C">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B1D6" w14:textId="54DB5E13" w:rsidR="002C6935" w:rsidRPr="00C14E5C" w:rsidRDefault="00DE1CE4" w:rsidP="00F76676">
    <w:pPr>
      <w:pStyle w:val="Footer"/>
      <w:rPr>
        <w:color w:val="F2F2F2" w:themeColor="background1" w:themeShade="F2"/>
        <w:szCs w:val="16"/>
      </w:rPr>
    </w:pPr>
    <w:r w:rsidRPr="00C14E5C">
      <w:rPr>
        <w:color w:val="F2F2F2" w:themeColor="background1" w:themeShade="F2"/>
      </w:rPr>
      <w:fldChar w:fldCharType="begin"/>
    </w:r>
    <w:r w:rsidRPr="00C14E5C">
      <w:rPr>
        <w:color w:val="F2F2F2" w:themeColor="background1" w:themeShade="F2"/>
      </w:rPr>
      <w:instrText xml:space="preserve"> FILENAME \p  \* MERGEFORMAT </w:instrText>
    </w:r>
    <w:r w:rsidRPr="00C14E5C">
      <w:rPr>
        <w:color w:val="F2F2F2" w:themeColor="background1" w:themeShade="F2"/>
      </w:rPr>
      <w:fldChar w:fldCharType="separate"/>
    </w:r>
    <w:r w:rsidR="009D06E4" w:rsidRPr="00C14E5C">
      <w:rPr>
        <w:color w:val="F2F2F2" w:themeColor="background1" w:themeShade="F2"/>
      </w:rPr>
      <w:t>P:\ESP\SG\CONSEIL\CWG-SFP\CWG-SFP2\000\006S.docx</w:t>
    </w:r>
    <w:r w:rsidRPr="00C14E5C">
      <w:rPr>
        <w:color w:val="F2F2F2" w:themeColor="background1" w:themeShade="F2"/>
      </w:rPr>
      <w:fldChar w:fldCharType="end"/>
    </w:r>
    <w:r w:rsidR="00F76676" w:rsidRPr="00C14E5C">
      <w:rPr>
        <w:color w:val="F2F2F2" w:themeColor="background1" w:themeShade="F2"/>
      </w:rPr>
      <w:t xml:space="preserve"> (</w:t>
    </w:r>
    <w:r w:rsidR="00C62B4F" w:rsidRPr="00C14E5C">
      <w:rPr>
        <w:color w:val="F2F2F2" w:themeColor="background1" w:themeShade="F2"/>
      </w:rPr>
      <w:t>500422</w:t>
    </w:r>
    <w:r w:rsidR="00F76676" w:rsidRPr="00C14E5C">
      <w:rPr>
        <w:color w:val="F2F2F2" w:themeColor="background1" w:themeShade="F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41C3" w14:textId="77777777" w:rsidR="005A1840" w:rsidRDefault="005A1840">
      <w:r>
        <w:t>____________________</w:t>
      </w:r>
    </w:p>
  </w:footnote>
  <w:footnote w:type="continuationSeparator" w:id="0">
    <w:p w14:paraId="1B921FB8" w14:textId="77777777" w:rsidR="005A1840" w:rsidRDefault="005A1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3C5C"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0C209720" w14:textId="6D8C14B8" w:rsidR="00760F1C" w:rsidRDefault="008E09C2" w:rsidP="00C2727F">
    <w:pPr>
      <w:pStyle w:val="Header"/>
    </w:pPr>
    <w:r>
      <w:t>CWG-SFP-2/</w:t>
    </w:r>
    <w:r w:rsidR="00044F74">
      <w:t>7</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D4FFA"/>
    <w:multiLevelType w:val="hybridMultilevel"/>
    <w:tmpl w:val="22E4E2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40"/>
    <w:rsid w:val="000007D1"/>
    <w:rsid w:val="00044F74"/>
    <w:rsid w:val="00093EEB"/>
    <w:rsid w:val="000B0D00"/>
    <w:rsid w:val="000B7C15"/>
    <w:rsid w:val="000D1D0F"/>
    <w:rsid w:val="000F5290"/>
    <w:rsid w:val="0010165C"/>
    <w:rsid w:val="00105680"/>
    <w:rsid w:val="00146BFB"/>
    <w:rsid w:val="001F14A2"/>
    <w:rsid w:val="002801AA"/>
    <w:rsid w:val="002C4676"/>
    <w:rsid w:val="002C6935"/>
    <w:rsid w:val="002C70B0"/>
    <w:rsid w:val="002F3CC4"/>
    <w:rsid w:val="00306929"/>
    <w:rsid w:val="00347F62"/>
    <w:rsid w:val="00371C1C"/>
    <w:rsid w:val="003862E2"/>
    <w:rsid w:val="003A584C"/>
    <w:rsid w:val="004454F0"/>
    <w:rsid w:val="00467F7B"/>
    <w:rsid w:val="00490ECD"/>
    <w:rsid w:val="00491FE7"/>
    <w:rsid w:val="004B4363"/>
    <w:rsid w:val="00513630"/>
    <w:rsid w:val="00560125"/>
    <w:rsid w:val="005665B3"/>
    <w:rsid w:val="00570CDD"/>
    <w:rsid w:val="00585553"/>
    <w:rsid w:val="005A1840"/>
    <w:rsid w:val="005B34D9"/>
    <w:rsid w:val="005D0CCF"/>
    <w:rsid w:val="005F3BCB"/>
    <w:rsid w:val="005F410F"/>
    <w:rsid w:val="0060149A"/>
    <w:rsid w:val="00601924"/>
    <w:rsid w:val="006447EA"/>
    <w:rsid w:val="0064731F"/>
    <w:rsid w:val="00655FE5"/>
    <w:rsid w:val="00664572"/>
    <w:rsid w:val="006710F6"/>
    <w:rsid w:val="006C1B56"/>
    <w:rsid w:val="006D4761"/>
    <w:rsid w:val="00726872"/>
    <w:rsid w:val="00735EB9"/>
    <w:rsid w:val="00760F1C"/>
    <w:rsid w:val="007657F0"/>
    <w:rsid w:val="0077252D"/>
    <w:rsid w:val="007955DA"/>
    <w:rsid w:val="007D0C68"/>
    <w:rsid w:val="007E5DD3"/>
    <w:rsid w:val="007F350B"/>
    <w:rsid w:val="00820BE4"/>
    <w:rsid w:val="008451E8"/>
    <w:rsid w:val="008E09C2"/>
    <w:rsid w:val="00913B9C"/>
    <w:rsid w:val="00956E77"/>
    <w:rsid w:val="009A65EC"/>
    <w:rsid w:val="009D06E4"/>
    <w:rsid w:val="009F4811"/>
    <w:rsid w:val="00A10267"/>
    <w:rsid w:val="00A136FD"/>
    <w:rsid w:val="00AA390C"/>
    <w:rsid w:val="00AD3B2F"/>
    <w:rsid w:val="00B0200A"/>
    <w:rsid w:val="00B574DB"/>
    <w:rsid w:val="00B826C2"/>
    <w:rsid w:val="00B8298E"/>
    <w:rsid w:val="00BD0723"/>
    <w:rsid w:val="00BD2518"/>
    <w:rsid w:val="00BF1D1C"/>
    <w:rsid w:val="00C14E5C"/>
    <w:rsid w:val="00C20C59"/>
    <w:rsid w:val="00C2727F"/>
    <w:rsid w:val="00C55B1F"/>
    <w:rsid w:val="00C62B4F"/>
    <w:rsid w:val="00C81806"/>
    <w:rsid w:val="00CC6A19"/>
    <w:rsid w:val="00CF0675"/>
    <w:rsid w:val="00CF1A67"/>
    <w:rsid w:val="00D2750E"/>
    <w:rsid w:val="00D62446"/>
    <w:rsid w:val="00DA4EA2"/>
    <w:rsid w:val="00DC3D3E"/>
    <w:rsid w:val="00DC6DB2"/>
    <w:rsid w:val="00DE1CE4"/>
    <w:rsid w:val="00DE2C90"/>
    <w:rsid w:val="00DE3B24"/>
    <w:rsid w:val="00E06947"/>
    <w:rsid w:val="00E1365C"/>
    <w:rsid w:val="00E3592D"/>
    <w:rsid w:val="00E54738"/>
    <w:rsid w:val="00E74B41"/>
    <w:rsid w:val="00E92DE8"/>
    <w:rsid w:val="00EB1212"/>
    <w:rsid w:val="00ED65AB"/>
    <w:rsid w:val="00F12850"/>
    <w:rsid w:val="00F33BF4"/>
    <w:rsid w:val="00F7105E"/>
    <w:rsid w:val="00F75F57"/>
    <w:rsid w:val="00F76676"/>
    <w:rsid w:val="00F82FEE"/>
    <w:rsid w:val="00FD57D3"/>
    <w:rsid w:val="00FF11BD"/>
    <w:rsid w:val="00FF2191"/>
    <w:rsid w:val="00FF42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3B97F02"/>
  <w15:docId w15:val="{07356043-492D-474F-ACDB-46EC8C4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5A1840"/>
    <w:rPr>
      <w:color w:val="605E5C"/>
      <w:shd w:val="clear" w:color="auto" w:fill="E1DFDD"/>
    </w:rPr>
  </w:style>
  <w:style w:type="character" w:customStyle="1" w:styleId="FooterChar">
    <w:name w:val="Footer Char"/>
    <w:basedOn w:val="DefaultParagraphFont"/>
    <w:link w:val="Footer"/>
    <w:uiPriority w:val="99"/>
    <w:rsid w:val="00E74B41"/>
    <w:rPr>
      <w:rFonts w:ascii="Calibri" w:hAnsi="Calibri"/>
      <w:caps/>
      <w:noProof/>
      <w:sz w:val="16"/>
      <w:lang w:val="es-ES_tradnl" w:eastAsia="en-US"/>
    </w:rPr>
  </w:style>
  <w:style w:type="paragraph" w:styleId="Revision">
    <w:name w:val="Revision"/>
    <w:hidden/>
    <w:uiPriority w:val="99"/>
    <w:semiHidden/>
    <w:rsid w:val="004454F0"/>
    <w:rPr>
      <w:rFonts w:ascii="Calibri" w:hAnsi="Calibri"/>
      <w:sz w:val="24"/>
      <w:lang w:val="es-ES_tradnl" w:eastAsia="en-US"/>
    </w:rPr>
  </w:style>
  <w:style w:type="character" w:customStyle="1" w:styleId="FootnoteTextChar">
    <w:name w:val="Footnote Text Char"/>
    <w:basedOn w:val="DefaultParagraphFont"/>
    <w:link w:val="FootnoteText"/>
    <w:rsid w:val="00C62B4F"/>
    <w:rPr>
      <w:rFonts w:ascii="Calibri" w:hAnsi="Calibri"/>
      <w:sz w:val="24"/>
      <w:lang w:val="es-ES_tradnl" w:eastAsia="en-US"/>
    </w:rPr>
  </w:style>
  <w:style w:type="paragraph" w:styleId="ListParagraph">
    <w:name w:val="List Paragraph"/>
    <w:basedOn w:val="Normal"/>
    <w:uiPriority w:val="34"/>
    <w:qFormat/>
    <w:rsid w:val="00044F7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B4ECE-2FFD-418C-B4B6-34A06311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632</Words>
  <Characters>3342</Characters>
  <Application>Microsoft Office Word</Application>
  <DocSecurity>0</DocSecurity>
  <Lines>27</Lines>
  <Paragraphs>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3967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Estados Unidos - Propuestas relativas al anexo 1 del Plan Estratégico de la UIT para 2024-2027</dc:title>
  <dc:subject>Council Working Group for Strategic and Financial Plans 2024-2027</dc:subject>
  <dc:creator>Spanish83</dc:creator>
  <cp:keywords>CWG-SFP</cp:keywords>
  <dc:description/>
  <cp:lastModifiedBy>Xue, Kun</cp:lastModifiedBy>
  <cp:revision>3</cp:revision>
  <cp:lastPrinted>2022-01-07T09:09:00Z</cp:lastPrinted>
  <dcterms:created xsi:type="dcterms:W3CDTF">2022-01-10T10:15:00Z</dcterms:created>
  <dcterms:modified xsi:type="dcterms:W3CDTF">2022-01-10T10:24:00Z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