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90"/>
        <w:tblW w:w="10173" w:type="dxa"/>
        <w:tblLayout w:type="fixed"/>
        <w:tblLook w:val="0000" w:firstRow="0" w:lastRow="0" w:firstColumn="0" w:lastColumn="0" w:noHBand="0" w:noVBand="0"/>
      </w:tblPr>
      <w:tblGrid>
        <w:gridCol w:w="6912"/>
        <w:gridCol w:w="3261"/>
      </w:tblGrid>
      <w:tr w:rsidR="00520F36" w:rsidRPr="002D319A" w14:paraId="25AF84DC" w14:textId="77777777" w:rsidTr="001528B4">
        <w:trPr>
          <w:cantSplit/>
        </w:trPr>
        <w:tc>
          <w:tcPr>
            <w:tcW w:w="6912" w:type="dxa"/>
          </w:tcPr>
          <w:p w14:paraId="6997DA06" w14:textId="4A25179E" w:rsidR="00520F36" w:rsidRPr="002D319A" w:rsidRDefault="00794DCF" w:rsidP="00F31B77">
            <w:pPr>
              <w:spacing w:before="360"/>
            </w:pPr>
            <w:r w:rsidRPr="002D319A">
              <w:rPr>
                <w:b/>
                <w:bCs/>
                <w:sz w:val="30"/>
                <w:szCs w:val="30"/>
              </w:rPr>
              <w:t xml:space="preserve">Groupe de travail du Conseil chargé d'élaborer </w:t>
            </w:r>
            <w:r w:rsidRPr="002D319A">
              <w:rPr>
                <w:b/>
                <w:bCs/>
                <w:sz w:val="30"/>
                <w:szCs w:val="30"/>
              </w:rPr>
              <w:br/>
              <w:t>le Plan stratégique et le Plan financier pour la période 2024-2027</w:t>
            </w:r>
          </w:p>
        </w:tc>
        <w:tc>
          <w:tcPr>
            <w:tcW w:w="3261" w:type="dxa"/>
            <w:vAlign w:val="center"/>
          </w:tcPr>
          <w:p w14:paraId="0193FF23" w14:textId="77777777" w:rsidR="00520F36" w:rsidRPr="002D319A" w:rsidRDefault="009C353C" w:rsidP="001528B4">
            <w:pPr>
              <w:spacing w:before="0"/>
            </w:pPr>
            <w:bookmarkStart w:id="0" w:name="ditulogo"/>
            <w:bookmarkEnd w:id="0"/>
            <w:r w:rsidRPr="002D319A">
              <w:rPr>
                <w:noProof/>
              </w:rPr>
              <w:drawing>
                <wp:inline distT="0" distB="0" distL="0" distR="0" wp14:anchorId="6B8E6912" wp14:editId="5161BDBE">
                  <wp:extent cx="682402" cy="720000"/>
                  <wp:effectExtent l="0" t="0" r="381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0F36" w:rsidRPr="002D319A" w14:paraId="35495D8A" w14:textId="77777777" w:rsidTr="00EF41DD">
        <w:trPr>
          <w:cantSplit/>
          <w:trHeight w:val="20"/>
        </w:trPr>
        <w:tc>
          <w:tcPr>
            <w:tcW w:w="6912" w:type="dxa"/>
            <w:tcBorders>
              <w:bottom w:val="single" w:sz="12" w:space="0" w:color="auto"/>
            </w:tcBorders>
            <w:vAlign w:val="center"/>
          </w:tcPr>
          <w:p w14:paraId="5988A6AA" w14:textId="4DBF935B" w:rsidR="00520F36" w:rsidRPr="001528B4" w:rsidRDefault="00BC184F" w:rsidP="00F31B77">
            <w:pPr>
              <w:spacing w:before="0"/>
              <w:rPr>
                <w:b/>
                <w:bCs/>
                <w:szCs w:val="24"/>
              </w:rPr>
            </w:pPr>
            <w:r w:rsidRPr="001528B4">
              <w:rPr>
                <w:b/>
                <w:bCs/>
                <w:szCs w:val="24"/>
              </w:rPr>
              <w:t>Deuxième</w:t>
            </w:r>
            <w:r w:rsidR="00794DCF" w:rsidRPr="001528B4">
              <w:rPr>
                <w:b/>
                <w:bCs/>
                <w:szCs w:val="24"/>
              </w:rPr>
              <w:t xml:space="preserve"> réunion –</w:t>
            </w:r>
            <w:r w:rsidRPr="001528B4">
              <w:rPr>
                <w:b/>
                <w:bCs/>
                <w:szCs w:val="24"/>
              </w:rPr>
              <w:t xml:space="preserve"> </w:t>
            </w:r>
            <w:r w:rsidR="002D319A" w:rsidRPr="001528B4">
              <w:rPr>
                <w:b/>
                <w:bCs/>
                <w:szCs w:val="24"/>
              </w:rPr>
              <w:t xml:space="preserve">Réunion virtuelle, </w:t>
            </w:r>
            <w:r w:rsidRPr="001528B4">
              <w:rPr>
                <w:b/>
                <w:bCs/>
                <w:szCs w:val="24"/>
              </w:rPr>
              <w:t>13-14 janvier</w:t>
            </w:r>
            <w:r w:rsidR="00794DCF" w:rsidRPr="001528B4">
              <w:rPr>
                <w:b/>
                <w:bCs/>
                <w:szCs w:val="24"/>
              </w:rPr>
              <w:t xml:space="preserve"> 202</w:t>
            </w:r>
            <w:r w:rsidRPr="001528B4">
              <w:rPr>
                <w:b/>
                <w:bCs/>
                <w:szCs w:val="24"/>
              </w:rPr>
              <w:t>2</w:t>
            </w:r>
          </w:p>
        </w:tc>
        <w:tc>
          <w:tcPr>
            <w:tcW w:w="3261" w:type="dxa"/>
            <w:tcBorders>
              <w:bottom w:val="single" w:sz="12" w:space="0" w:color="auto"/>
            </w:tcBorders>
          </w:tcPr>
          <w:p w14:paraId="6A6EBCAE" w14:textId="77777777" w:rsidR="00520F36" w:rsidRPr="002D319A" w:rsidRDefault="00520F36" w:rsidP="00F31B77">
            <w:pPr>
              <w:spacing w:before="0"/>
              <w:rPr>
                <w:b/>
                <w:bCs/>
              </w:rPr>
            </w:pPr>
          </w:p>
        </w:tc>
      </w:tr>
      <w:tr w:rsidR="00520F36" w:rsidRPr="002D319A" w14:paraId="7D111399" w14:textId="77777777">
        <w:trPr>
          <w:cantSplit/>
          <w:trHeight w:val="20"/>
        </w:trPr>
        <w:tc>
          <w:tcPr>
            <w:tcW w:w="6912" w:type="dxa"/>
            <w:tcBorders>
              <w:top w:val="single" w:sz="12" w:space="0" w:color="auto"/>
            </w:tcBorders>
          </w:tcPr>
          <w:p w14:paraId="5A965A69" w14:textId="77777777" w:rsidR="00520F36" w:rsidRPr="002D319A" w:rsidRDefault="00520F36" w:rsidP="00F31B77">
            <w:pPr>
              <w:spacing w:before="0"/>
              <w:rPr>
                <w:smallCaps/>
                <w:sz w:val="22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14:paraId="551761D5" w14:textId="77777777" w:rsidR="00520F36" w:rsidRPr="002D319A" w:rsidRDefault="00520F36" w:rsidP="00F31B77">
            <w:pPr>
              <w:spacing w:before="0"/>
              <w:rPr>
                <w:b/>
                <w:bCs/>
              </w:rPr>
            </w:pPr>
          </w:p>
        </w:tc>
      </w:tr>
      <w:tr w:rsidR="00520F36" w:rsidRPr="002D319A" w14:paraId="0294757B" w14:textId="77777777">
        <w:trPr>
          <w:cantSplit/>
          <w:trHeight w:val="20"/>
        </w:trPr>
        <w:tc>
          <w:tcPr>
            <w:tcW w:w="6912" w:type="dxa"/>
            <w:vMerge w:val="restart"/>
          </w:tcPr>
          <w:p w14:paraId="1329D204" w14:textId="77777777" w:rsidR="00520F36" w:rsidRPr="002D319A" w:rsidRDefault="00520F36" w:rsidP="00F31B77">
            <w:pPr>
              <w:spacing w:before="0"/>
              <w:rPr>
                <w:rFonts w:cs="Times"/>
                <w:b/>
                <w:bCs/>
                <w:szCs w:val="24"/>
              </w:rPr>
            </w:pPr>
            <w:bookmarkStart w:id="1" w:name="dnum" w:colFirst="1" w:colLast="1"/>
            <w:bookmarkStart w:id="2" w:name="dmeeting" w:colFirst="0" w:colLast="0"/>
          </w:p>
        </w:tc>
        <w:tc>
          <w:tcPr>
            <w:tcW w:w="3261" w:type="dxa"/>
          </w:tcPr>
          <w:p w14:paraId="466A99A0" w14:textId="4695D33A" w:rsidR="00520F36" w:rsidRPr="002D319A" w:rsidRDefault="00794DCF" w:rsidP="00F31B77">
            <w:pPr>
              <w:spacing w:before="0"/>
              <w:rPr>
                <w:b/>
                <w:bCs/>
              </w:rPr>
            </w:pPr>
            <w:r w:rsidRPr="002D319A">
              <w:rPr>
                <w:b/>
                <w:bCs/>
              </w:rPr>
              <w:t>Document CWG-SFP-2/</w:t>
            </w:r>
            <w:r w:rsidR="002D319A" w:rsidRPr="002D319A">
              <w:rPr>
                <w:b/>
                <w:bCs/>
              </w:rPr>
              <w:t>7</w:t>
            </w:r>
            <w:r w:rsidRPr="002D319A">
              <w:rPr>
                <w:b/>
                <w:bCs/>
              </w:rPr>
              <w:t>-F</w:t>
            </w:r>
          </w:p>
        </w:tc>
      </w:tr>
      <w:tr w:rsidR="00520F36" w:rsidRPr="002D319A" w14:paraId="1371A94B" w14:textId="77777777">
        <w:trPr>
          <w:cantSplit/>
          <w:trHeight w:val="20"/>
        </w:trPr>
        <w:tc>
          <w:tcPr>
            <w:tcW w:w="6912" w:type="dxa"/>
            <w:vMerge/>
          </w:tcPr>
          <w:p w14:paraId="146BA7CF" w14:textId="77777777" w:rsidR="00520F36" w:rsidRPr="002D319A" w:rsidRDefault="00520F36" w:rsidP="00F31B77">
            <w:pPr>
              <w:shd w:val="solid" w:color="FFFFFF" w:fill="FFFFFF"/>
              <w:spacing w:before="180"/>
              <w:rPr>
                <w:smallCaps/>
              </w:rPr>
            </w:pPr>
            <w:bookmarkStart w:id="3" w:name="ddate" w:colFirst="1" w:colLast="1"/>
            <w:bookmarkEnd w:id="1"/>
            <w:bookmarkEnd w:id="2"/>
          </w:p>
        </w:tc>
        <w:tc>
          <w:tcPr>
            <w:tcW w:w="3261" w:type="dxa"/>
          </w:tcPr>
          <w:p w14:paraId="0111658E" w14:textId="0317A0FB" w:rsidR="00520F36" w:rsidRPr="002D319A" w:rsidRDefault="002D319A" w:rsidP="00F31B77">
            <w:pPr>
              <w:spacing w:before="0"/>
              <w:rPr>
                <w:b/>
                <w:bCs/>
              </w:rPr>
            </w:pPr>
            <w:r w:rsidRPr="002D319A">
              <w:rPr>
                <w:b/>
                <w:bCs/>
              </w:rPr>
              <w:t>3 janvier 2022</w:t>
            </w:r>
          </w:p>
        </w:tc>
      </w:tr>
      <w:tr w:rsidR="00520F36" w:rsidRPr="002D319A" w14:paraId="1EB3BC90" w14:textId="77777777">
        <w:trPr>
          <w:cantSplit/>
          <w:trHeight w:val="20"/>
        </w:trPr>
        <w:tc>
          <w:tcPr>
            <w:tcW w:w="6912" w:type="dxa"/>
            <w:vMerge/>
          </w:tcPr>
          <w:p w14:paraId="0A785846" w14:textId="77777777" w:rsidR="00520F36" w:rsidRPr="002D319A" w:rsidRDefault="00520F36" w:rsidP="00F31B77">
            <w:pPr>
              <w:shd w:val="solid" w:color="FFFFFF" w:fill="FFFFFF"/>
              <w:spacing w:before="180"/>
              <w:rPr>
                <w:smallCaps/>
              </w:rPr>
            </w:pPr>
            <w:bookmarkStart w:id="4" w:name="dorlang" w:colFirst="1" w:colLast="1"/>
            <w:bookmarkEnd w:id="3"/>
          </w:p>
        </w:tc>
        <w:tc>
          <w:tcPr>
            <w:tcW w:w="3261" w:type="dxa"/>
          </w:tcPr>
          <w:p w14:paraId="45DF32FC" w14:textId="77777777" w:rsidR="00520F36" w:rsidRPr="002D319A" w:rsidRDefault="00520F36" w:rsidP="00F31B77">
            <w:pPr>
              <w:spacing w:before="0"/>
              <w:rPr>
                <w:b/>
                <w:bCs/>
              </w:rPr>
            </w:pPr>
            <w:r w:rsidRPr="002D319A">
              <w:rPr>
                <w:b/>
                <w:bCs/>
              </w:rPr>
              <w:t>Original: anglais</w:t>
            </w:r>
          </w:p>
        </w:tc>
      </w:tr>
      <w:tr w:rsidR="00520F36" w:rsidRPr="002D319A" w14:paraId="1E4FDB57" w14:textId="77777777">
        <w:trPr>
          <w:cantSplit/>
        </w:trPr>
        <w:tc>
          <w:tcPr>
            <w:tcW w:w="10173" w:type="dxa"/>
            <w:gridSpan w:val="2"/>
          </w:tcPr>
          <w:p w14:paraId="7055955C" w14:textId="689F8B53" w:rsidR="00794DCF" w:rsidRPr="002D319A" w:rsidRDefault="002D319A" w:rsidP="004E1CBC">
            <w:pPr>
              <w:pStyle w:val="Source"/>
              <w:spacing w:before="600"/>
            </w:pPr>
            <w:bookmarkStart w:id="5" w:name="dsource" w:colFirst="0" w:colLast="0"/>
            <w:bookmarkStart w:id="6" w:name="_Hlk92376793"/>
            <w:bookmarkEnd w:id="4"/>
            <w:r w:rsidRPr="002D319A">
              <w:t>Contribution des États-Unis</w:t>
            </w:r>
          </w:p>
        </w:tc>
      </w:tr>
      <w:tr w:rsidR="00520F36" w:rsidRPr="002D319A" w14:paraId="701262AC" w14:textId="77777777">
        <w:trPr>
          <w:cantSplit/>
        </w:trPr>
        <w:tc>
          <w:tcPr>
            <w:tcW w:w="10173" w:type="dxa"/>
            <w:gridSpan w:val="2"/>
          </w:tcPr>
          <w:p w14:paraId="789E6840" w14:textId="295F83DE" w:rsidR="00520F36" w:rsidRPr="002D319A" w:rsidRDefault="002D319A" w:rsidP="00F31B77">
            <w:pPr>
              <w:pStyle w:val="Title1"/>
              <w:rPr>
                <w:bCs/>
              </w:rPr>
            </w:pPr>
            <w:bookmarkStart w:id="7" w:name="dtitle1" w:colFirst="0" w:colLast="0"/>
            <w:bookmarkEnd w:id="5"/>
            <w:r w:rsidRPr="002D319A">
              <w:rPr>
                <w:bCs/>
              </w:rPr>
              <w:t xml:space="preserve">proposition </w:t>
            </w:r>
            <w:r w:rsidR="00EF20FE">
              <w:rPr>
                <w:bCs/>
              </w:rPr>
              <w:t>concernant</w:t>
            </w:r>
            <w:r w:rsidRPr="002D319A">
              <w:rPr>
                <w:bCs/>
              </w:rPr>
              <w:t xml:space="preserve"> l'annexe 1 du plan stratégique </w:t>
            </w:r>
            <w:r w:rsidR="00854D28">
              <w:rPr>
                <w:bCs/>
              </w:rPr>
              <w:br/>
            </w:r>
            <w:r w:rsidRPr="002D319A">
              <w:rPr>
                <w:bCs/>
              </w:rPr>
              <w:t>de l'UIT pour la période 2024-2027</w:t>
            </w:r>
          </w:p>
        </w:tc>
      </w:tr>
    </w:tbl>
    <w:bookmarkEnd w:id="7"/>
    <w:bookmarkEnd w:id="6"/>
    <w:p w14:paraId="520702F8" w14:textId="77777777" w:rsidR="002D319A" w:rsidRPr="002D319A" w:rsidRDefault="002D319A" w:rsidP="006430A7">
      <w:pPr>
        <w:pStyle w:val="Headingb"/>
      </w:pPr>
      <w:r w:rsidRPr="002D319A">
        <w:t>Introduction</w:t>
      </w:r>
    </w:p>
    <w:p w14:paraId="72397760" w14:textId="2E5302C8" w:rsidR="002D319A" w:rsidRDefault="002D319A" w:rsidP="006430A7">
      <w:r>
        <w:t xml:space="preserve">Les États-Unis </w:t>
      </w:r>
      <w:r w:rsidR="00F144FE">
        <w:t>présentent</w:t>
      </w:r>
      <w:r>
        <w:t xml:space="preserve"> des observations et propositions initiales de haut niveau en vue de l'élaboration du Plan stratégique de l'UIT pour la période 2024-2027. </w:t>
      </w:r>
      <w:r w:rsidR="00CE19EF">
        <w:t xml:space="preserve">Nous </w:t>
      </w:r>
      <w:r w:rsidR="00F144FE">
        <w:t>notons avec satisfaction</w:t>
      </w:r>
      <w:r w:rsidR="00CE19EF">
        <w:t xml:space="preserve"> que ce premier projet d'Annexe 1 de la Résolution 71 contenant le Plan stratégique de l'UIT pour la période 2024-2027 tient compte des observations et contributions importantes </w:t>
      </w:r>
      <w:r w:rsidR="00F144FE">
        <w:t>soumises par l</w:t>
      </w:r>
      <w:r w:rsidR="00CE19EF">
        <w:t xml:space="preserve">es membres </w:t>
      </w:r>
      <w:r w:rsidR="00F144FE">
        <w:t>afin de</w:t>
      </w:r>
      <w:r w:rsidR="00CE19EF">
        <w:t xml:space="preserve"> rationaliser, </w:t>
      </w:r>
      <w:r w:rsidR="00F144FE">
        <w:t xml:space="preserve">de </w:t>
      </w:r>
      <w:r w:rsidR="00CE19EF">
        <w:t>simplifier et</w:t>
      </w:r>
      <w:r w:rsidR="00F144FE">
        <w:t xml:space="preserve"> de</w:t>
      </w:r>
      <w:r w:rsidR="00CE19EF">
        <w:t xml:space="preserve"> clarifier le cadre stratégique de l'UIT</w:t>
      </w:r>
      <w:r w:rsidR="00F144FE">
        <w:t>,</w:t>
      </w:r>
      <w:r w:rsidR="00CE19EF">
        <w:t xml:space="preserve"> et </w:t>
      </w:r>
      <w:r w:rsidR="005174DF">
        <w:t>maintient le Plan stratégique à un haut niveau tout en se concentrant sur les buts et priorités stratégiques de l'Union</w:t>
      </w:r>
      <w:r w:rsidR="00F144FE">
        <w:t>,</w:t>
      </w:r>
      <w:r w:rsidR="005174DF">
        <w:t xml:space="preserve"> ainsi que sur les principales offres de produits et de services dans les trois Secteurs.</w:t>
      </w:r>
    </w:p>
    <w:p w14:paraId="7B4F656A" w14:textId="0A5FDEEE" w:rsidR="002D319A" w:rsidRPr="002D319A" w:rsidRDefault="005174DF" w:rsidP="006430A7">
      <w:pPr>
        <w:rPr>
          <w:rFonts w:cs="Calibri"/>
          <w:shd w:val="clear" w:color="auto" w:fill="FFFFFF"/>
        </w:rPr>
      </w:pPr>
      <w:r>
        <w:t>Nous sommes d'avis que ce nouveau cadre offre une structure claire et succinct</w:t>
      </w:r>
      <w:r w:rsidR="00F144FE">
        <w:t>e</w:t>
      </w:r>
      <w:r>
        <w:t xml:space="preserve"> pour définir le plan stratégique de haut niveau de l'UIT et présente en outre l'avantage de permettre de tenir compte de manière plus dynamique des produits propres à chaque Secteur dans leurs plans opérationnels respectifs, </w:t>
      </w:r>
      <w:r w:rsidR="00EF20FE">
        <w:t>lesquels</w:t>
      </w:r>
      <w:r>
        <w:t xml:space="preserve"> constituent la feuille de route pour la mise en </w:t>
      </w:r>
      <w:r w:rsidR="00371F72">
        <w:t>œuvre</w:t>
      </w:r>
      <w:r w:rsidR="00EF20FE">
        <w:t>,</w:t>
      </w:r>
      <w:r>
        <w:t xml:space="preserve"> </w:t>
      </w:r>
      <w:r w:rsidR="00EF20FE">
        <w:t xml:space="preserve">dans chaque Secteur, </w:t>
      </w:r>
      <w:r>
        <w:t xml:space="preserve">des activités pertinentes </w:t>
      </w:r>
      <w:r w:rsidR="002B615A">
        <w:t>qui contribuent à atteindre les buts et priorités</w:t>
      </w:r>
      <w:r w:rsidR="002B615A" w:rsidRPr="002B615A">
        <w:t xml:space="preserve"> </w:t>
      </w:r>
      <w:r w:rsidR="002B615A">
        <w:t xml:space="preserve">stratégiques. Nous appuyons également la manière dont les catalyseurs servent aussi d'éléments transversaux </w:t>
      </w:r>
      <w:r w:rsidR="00383DB9">
        <w:t xml:space="preserve">dans les travaux de l'UIT qui sont essentiels, mais qui se </w:t>
      </w:r>
      <w:r w:rsidR="00EF20FE">
        <w:t>distinguent</w:t>
      </w:r>
      <w:r w:rsidR="00383DB9">
        <w:t xml:space="preserve"> des priorités thématiques, des résultats ou des produits.</w:t>
      </w:r>
    </w:p>
    <w:p w14:paraId="2FF29177" w14:textId="25987E86" w:rsidR="002D319A" w:rsidRPr="002D319A" w:rsidRDefault="002D319A" w:rsidP="006430A7">
      <w:pPr>
        <w:pStyle w:val="Headingb"/>
        <w:rPr>
          <w:shd w:val="clear" w:color="auto" w:fill="FFFFFF"/>
        </w:rPr>
      </w:pPr>
      <w:r w:rsidRPr="002D319A">
        <w:rPr>
          <w:shd w:val="clear" w:color="auto" w:fill="FFFFFF"/>
        </w:rPr>
        <w:t>Propos</w:t>
      </w:r>
      <w:r w:rsidR="00383DB9">
        <w:rPr>
          <w:shd w:val="clear" w:color="auto" w:fill="FFFFFF"/>
        </w:rPr>
        <w:t>ition</w:t>
      </w:r>
    </w:p>
    <w:p w14:paraId="16B4C197" w14:textId="0FD4207A" w:rsidR="00383DB9" w:rsidRDefault="006430A7" w:rsidP="006430A7">
      <w:pPr>
        <w:pStyle w:val="enumlev1"/>
        <w:rPr>
          <w:b/>
          <w:bCs/>
        </w:rPr>
      </w:pPr>
      <w:r>
        <w:rPr>
          <w:b/>
          <w:bCs/>
        </w:rPr>
        <w:t>1)</w:t>
      </w:r>
      <w:r>
        <w:rPr>
          <w:b/>
          <w:bCs/>
        </w:rPr>
        <w:tab/>
      </w:r>
      <w:r w:rsidR="002D319A" w:rsidRPr="002D319A">
        <w:rPr>
          <w:b/>
          <w:bCs/>
        </w:rPr>
        <w:t>Section 2.2 Vision</w:t>
      </w:r>
      <w:r w:rsidR="002D319A" w:rsidRPr="00854D28">
        <w:t xml:space="preserve">: </w:t>
      </w:r>
      <w:r w:rsidR="00383DB9">
        <w:t xml:space="preserve">Les États-Unis réitèrent leur position selon laquelle la Vision globale devrait </w:t>
      </w:r>
      <w:r w:rsidR="00EF20FE">
        <w:t>rester</w:t>
      </w:r>
      <w:r w:rsidR="00383DB9">
        <w:t xml:space="preserve"> stable dans le temps et appuient donc l'Option</w:t>
      </w:r>
      <w:r w:rsidR="00854D28">
        <w:t xml:space="preserve"> 1</w:t>
      </w:r>
      <w:r w:rsidR="00383DB9">
        <w:t>, à savoir le maintien de la version actuelle. L'énoncé actuel de la Vision est aligné sur les missions de l'UIT définies dans sa Constitution et sa Convention, est conforme à ces missions et reste applicable et pertinent pour la période 2024-2027.</w:t>
      </w:r>
    </w:p>
    <w:p w14:paraId="68E45BEC" w14:textId="6A6D95D3" w:rsidR="002D319A" w:rsidRPr="002D319A" w:rsidRDefault="006430A7" w:rsidP="006430A7">
      <w:pPr>
        <w:pStyle w:val="enumlev1"/>
        <w:rPr>
          <w:b/>
          <w:bCs/>
        </w:rPr>
      </w:pPr>
      <w:r>
        <w:rPr>
          <w:b/>
          <w:bCs/>
        </w:rPr>
        <w:t>2)</w:t>
      </w:r>
      <w:r>
        <w:rPr>
          <w:b/>
          <w:bCs/>
        </w:rPr>
        <w:tab/>
      </w:r>
      <w:r w:rsidR="002D319A" w:rsidRPr="002D319A">
        <w:rPr>
          <w:b/>
          <w:bCs/>
        </w:rPr>
        <w:t>Section 2.3 Mission</w:t>
      </w:r>
      <w:r w:rsidR="002D319A" w:rsidRPr="00854D28">
        <w:t>:</w:t>
      </w:r>
      <w:r w:rsidR="002D319A" w:rsidRPr="002D319A">
        <w:t xml:space="preserve"> </w:t>
      </w:r>
      <w:r w:rsidR="00383DB9">
        <w:t>L'énoncé actuel de la Mission continue d'être pertinent pour la période</w:t>
      </w:r>
      <w:r>
        <w:t> </w:t>
      </w:r>
      <w:r w:rsidR="00383DB9">
        <w:t>2024-2027 et est lui aussi aligné sur les missions de l'UIT définies dans sa Constitution et sa Convention et conforme à ces missions. Nous estimons en outre que la version abrégée proposée pour l'énoncé de la Mission ne présente pas de différence</w:t>
      </w:r>
      <w:r w:rsidR="00EF20FE">
        <w:t>s</w:t>
      </w:r>
      <w:r w:rsidR="00383DB9">
        <w:t xml:space="preserve"> significative</w:t>
      </w:r>
      <w:r w:rsidR="00EF20FE">
        <w:t>s</w:t>
      </w:r>
      <w:r w:rsidR="00383DB9">
        <w:t xml:space="preserve"> et appuyons donc l'Option 1, à savoir le maintien de la version actuelle, </w:t>
      </w:r>
      <w:r w:rsidR="00EF20FE">
        <w:t>conformément</w:t>
      </w:r>
      <w:r w:rsidR="00383DB9">
        <w:t xml:space="preserve"> à notre position selon laquelle l'énoncé de la Mission devrait lui aussi </w:t>
      </w:r>
      <w:r w:rsidR="00EF20FE">
        <w:t>rester</w:t>
      </w:r>
      <w:r w:rsidR="00383DB9">
        <w:t xml:space="preserve"> stable dans le temps.</w:t>
      </w:r>
    </w:p>
    <w:p w14:paraId="5987CF25" w14:textId="6BC73862" w:rsidR="00B954E0" w:rsidRDefault="006430A7" w:rsidP="006430A7">
      <w:pPr>
        <w:pStyle w:val="enumlev1"/>
        <w:rPr>
          <w:b/>
          <w:bCs/>
        </w:rPr>
      </w:pPr>
      <w:r>
        <w:rPr>
          <w:b/>
          <w:bCs/>
        </w:rPr>
        <w:lastRenderedPageBreak/>
        <w:t>3)</w:t>
      </w:r>
      <w:r>
        <w:rPr>
          <w:b/>
          <w:bCs/>
        </w:rPr>
        <w:tab/>
      </w:r>
      <w:r w:rsidR="002D319A" w:rsidRPr="002D319A">
        <w:rPr>
          <w:b/>
          <w:bCs/>
        </w:rPr>
        <w:t xml:space="preserve">Section 2.6 </w:t>
      </w:r>
      <w:r w:rsidR="00383DB9">
        <w:rPr>
          <w:b/>
          <w:bCs/>
        </w:rPr>
        <w:t>Priorités thématiques</w:t>
      </w:r>
      <w:r w:rsidR="002D319A" w:rsidRPr="00854D28">
        <w:t xml:space="preserve">: </w:t>
      </w:r>
      <w:r w:rsidR="00EF20FE">
        <w:t>Conformément à notre position selon laquelle</w:t>
      </w:r>
      <w:r w:rsidR="00B954E0">
        <w:t xml:space="preserve"> les travaux de l'UIT sur la cybersécurité sont mieux pris en compte en tant qu'activité transversale relevant d'autres priorités thématiques, nous appuyons l'Option 2, qui consiste à intégrer les résultats </w:t>
      </w:r>
      <w:r w:rsidR="00EF20FE">
        <w:t>dans le domaine de</w:t>
      </w:r>
      <w:r w:rsidR="00B954E0">
        <w:t xml:space="preserve"> la cybersécurité dans d'autres priorités thématiques telles que "Environnement propice" et "Infrastructure et services".</w:t>
      </w:r>
    </w:p>
    <w:p w14:paraId="7D00336A" w14:textId="07A1AD82" w:rsidR="002D319A" w:rsidRPr="002D319A" w:rsidRDefault="006430A7" w:rsidP="006430A7">
      <w:pPr>
        <w:pStyle w:val="enumlev1"/>
        <w:rPr>
          <w:b/>
          <w:bCs/>
        </w:rPr>
      </w:pPr>
      <w:r>
        <w:rPr>
          <w:b/>
          <w:bCs/>
        </w:rPr>
        <w:t>4)</w:t>
      </w:r>
      <w:r>
        <w:rPr>
          <w:b/>
          <w:bCs/>
        </w:rPr>
        <w:tab/>
      </w:r>
      <w:r w:rsidR="002D319A" w:rsidRPr="00B863D1">
        <w:rPr>
          <w:b/>
          <w:bCs/>
        </w:rPr>
        <w:t>Section 2.</w:t>
      </w:r>
      <w:r w:rsidR="00EF20FE" w:rsidRPr="00B863D1">
        <w:rPr>
          <w:b/>
          <w:bCs/>
        </w:rPr>
        <w:t xml:space="preserve">7 </w:t>
      </w:r>
      <w:r w:rsidR="00B954E0" w:rsidRPr="00B863D1">
        <w:rPr>
          <w:b/>
          <w:bCs/>
        </w:rPr>
        <w:t>Offres de produits</w:t>
      </w:r>
      <w:r w:rsidR="00B954E0">
        <w:rPr>
          <w:b/>
          <w:bCs/>
        </w:rPr>
        <w:t xml:space="preserve"> et services</w:t>
      </w:r>
      <w:r w:rsidR="002D319A" w:rsidRPr="00854D28">
        <w:t xml:space="preserve">: </w:t>
      </w:r>
      <w:r w:rsidR="00EA256D">
        <w:t>Étant donné que les paragraphes</w:t>
      </w:r>
      <w:r w:rsidR="002D319A" w:rsidRPr="002D319A">
        <w:t xml:space="preserve"> 38</w:t>
      </w:r>
      <w:r w:rsidR="00EA256D">
        <w:t xml:space="preserve"> à </w:t>
      </w:r>
      <w:r w:rsidR="002D319A" w:rsidRPr="002D319A">
        <w:t xml:space="preserve">41 </w:t>
      </w:r>
      <w:r w:rsidR="00EA256D">
        <w:t xml:space="preserve">décrivent le Règlement des radiocommunications de l'UIT, nous proposons, afin d'être plus précis et </w:t>
      </w:r>
      <w:r w:rsidR="00EF20FE">
        <w:t>axés sur</w:t>
      </w:r>
      <w:r w:rsidR="00EA256D">
        <w:t xml:space="preserve"> les travaux de l'UIT, de </w:t>
      </w:r>
      <w:r w:rsidR="00237CC9">
        <w:t>remplacer</w:t>
      </w:r>
      <w:r w:rsidR="00EA256D">
        <w:t xml:space="preserve"> </w:t>
      </w:r>
      <w:r w:rsidR="00AB50A1">
        <w:t>le titre</w:t>
      </w:r>
      <w:r w:rsidR="00237CC9">
        <w:t xml:space="preserve"> </w:t>
      </w:r>
      <w:r w:rsidR="00B863D1">
        <w:t xml:space="preserve">général "Élaboration et application des règlements internationaux", qui peut être trompeur, </w:t>
      </w:r>
      <w:r w:rsidR="00AB50A1">
        <w:t>sous lequel les paragraphes susmentionnés sont regroupés</w:t>
      </w:r>
      <w:r w:rsidR="00EA256D">
        <w:t xml:space="preserve"> dans la partie Offres de produits et de services</w:t>
      </w:r>
      <w:r w:rsidR="00237CC9">
        <w:t>, par "Gestion internationale des fréquences". Nous recommandons en outre d'apporter des modifications à la formulation de cette partie pour rendre compte de manière plus précise de l'objet et de l'application du Règlement des radiocommunications.</w:t>
      </w:r>
    </w:p>
    <w:p w14:paraId="0BC15CAD" w14:textId="133635C1" w:rsidR="002D319A" w:rsidRPr="002D319A" w:rsidRDefault="009D2845" w:rsidP="006430A7">
      <w:r>
        <w:t xml:space="preserve">Les États-Unis se félicitent de la poursuite de l'examen, dans le cadre du Groupe de travail du Conseil, des priorités thématiques figurant dans le projet de Plan stratégique, y compris des résultats de haut niveau associés à chaque priorité thématique et de leurs liens avec les buts et </w:t>
      </w:r>
      <w:r w:rsidR="00B863D1">
        <w:t xml:space="preserve">les </w:t>
      </w:r>
      <w:r>
        <w:t>cibles stratégiques.</w:t>
      </w:r>
    </w:p>
    <w:p w14:paraId="140D135F" w14:textId="77777777" w:rsidR="002D319A" w:rsidRPr="002D319A" w:rsidRDefault="002D319A" w:rsidP="00631226">
      <w:pPr>
        <w:spacing w:before="840"/>
        <w:jc w:val="center"/>
        <w:rPr>
          <w:bCs/>
        </w:rPr>
      </w:pPr>
      <w:r w:rsidRPr="002D319A">
        <w:rPr>
          <w:bCs/>
        </w:rPr>
        <w:t>_________________</w:t>
      </w:r>
    </w:p>
    <w:sectPr w:rsidR="002D319A" w:rsidRPr="002D319A" w:rsidSect="005C3890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1907" w:h="16840" w:code="9"/>
      <w:pgMar w:top="1418" w:right="1134" w:bottom="1418" w:left="1134" w:header="720" w:footer="720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10434" w14:textId="77777777" w:rsidR="00794DCF" w:rsidRDefault="00794DCF">
      <w:r>
        <w:separator/>
      </w:r>
    </w:p>
  </w:endnote>
  <w:endnote w:type="continuationSeparator" w:id="0">
    <w:p w14:paraId="27BE4712" w14:textId="77777777" w:rsidR="00794DCF" w:rsidRDefault="00794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29142" w14:textId="45258EBA" w:rsidR="00732045" w:rsidRDefault="00854D28">
    <w:pPr>
      <w:pStyle w:val="Footer"/>
    </w:pPr>
    <w:fldSimple w:instr=" FILENAME \p \* MERGEFORMAT ">
      <w:r w:rsidR="001528B4">
        <w:t>P:\FRA\SG\CONSEIL\CWG-SFP\CWG-SFP2\000\007F.docx</w:t>
      </w:r>
    </w:fldSimple>
    <w:r w:rsidR="00732045">
      <w:tab/>
    </w:r>
    <w:r w:rsidR="002F1B76">
      <w:fldChar w:fldCharType="begin"/>
    </w:r>
    <w:r w:rsidR="00732045">
      <w:instrText xml:space="preserve"> savedate \@ dd.MM.yy </w:instrText>
    </w:r>
    <w:r w:rsidR="002F1B76">
      <w:fldChar w:fldCharType="separate"/>
    </w:r>
    <w:r w:rsidR="00631226">
      <w:t>06.01.22</w:t>
    </w:r>
    <w:r w:rsidR="002F1B76">
      <w:fldChar w:fldCharType="end"/>
    </w:r>
    <w:r w:rsidR="00732045">
      <w:tab/>
    </w:r>
    <w:r w:rsidR="002F1B76">
      <w:fldChar w:fldCharType="begin"/>
    </w:r>
    <w:r w:rsidR="00732045">
      <w:instrText xml:space="preserve"> printdate \@ dd.MM.yy </w:instrText>
    </w:r>
    <w:r w:rsidR="002F1B76">
      <w:fldChar w:fldCharType="separate"/>
    </w:r>
    <w:r w:rsidR="001528B4">
      <w:t>18.07.00</w:t>
    </w:r>
    <w:r w:rsidR="002F1B76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5E5B0" w14:textId="0EB8BDFE" w:rsidR="00732045" w:rsidRPr="00631226" w:rsidRDefault="00631226">
    <w:pPr>
      <w:pStyle w:val="Footer"/>
      <w:rPr>
        <w:color w:val="F2F2F2" w:themeColor="background1" w:themeShade="F2"/>
      </w:rPr>
    </w:pPr>
    <w:r w:rsidRPr="00631226">
      <w:rPr>
        <w:color w:val="F2F2F2" w:themeColor="background1" w:themeShade="F2"/>
      </w:rPr>
      <w:fldChar w:fldCharType="begin"/>
    </w:r>
    <w:r w:rsidRPr="00631226">
      <w:rPr>
        <w:color w:val="F2F2F2" w:themeColor="background1" w:themeShade="F2"/>
      </w:rPr>
      <w:instrText xml:space="preserve"> FILENAME \p  \* MERGEFORMAT </w:instrText>
    </w:r>
    <w:r w:rsidRPr="00631226">
      <w:rPr>
        <w:color w:val="F2F2F2" w:themeColor="background1" w:themeShade="F2"/>
      </w:rPr>
      <w:fldChar w:fldCharType="separate"/>
    </w:r>
    <w:r w:rsidR="001528B4" w:rsidRPr="00631226">
      <w:rPr>
        <w:color w:val="F2F2F2" w:themeColor="background1" w:themeShade="F2"/>
      </w:rPr>
      <w:t>P:\FRA\SG\CONSEIL\CWG-SFP\CWG-SFP2\000\007F.docx</w:t>
    </w:r>
    <w:r w:rsidRPr="00631226">
      <w:rPr>
        <w:color w:val="F2F2F2" w:themeColor="background1" w:themeShade="F2"/>
      </w:rPr>
      <w:fldChar w:fldCharType="end"/>
    </w:r>
    <w:r w:rsidR="00E263EC" w:rsidRPr="00631226">
      <w:rPr>
        <w:color w:val="F2F2F2" w:themeColor="background1" w:themeShade="F2"/>
      </w:rPr>
      <w:t xml:space="preserve"> (500498)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79F3D" w14:textId="0457B2B0" w:rsidR="00732045" w:rsidRPr="001528B4" w:rsidRDefault="001528B4" w:rsidP="001528B4">
    <w:pPr>
      <w:pStyle w:val="Footer"/>
      <w:jc w:val="center"/>
      <w:rPr>
        <w:sz w:val="24"/>
        <w:szCs w:val="24"/>
        <w:lang w:val="en-US"/>
      </w:rPr>
    </w:pPr>
    <w:r w:rsidRPr="001528B4">
      <w:rPr>
        <w:caps w:val="0"/>
        <w:sz w:val="24"/>
        <w:szCs w:val="24"/>
        <w:lang w:val="en-US"/>
      </w:rPr>
      <w:t xml:space="preserve">• </w:t>
    </w:r>
    <w:hyperlink r:id="rId1" w:history="1">
      <w:r w:rsidRPr="001528B4">
        <w:rPr>
          <w:rStyle w:val="Hyperlink"/>
          <w:caps w:val="0"/>
          <w:sz w:val="24"/>
          <w:szCs w:val="24"/>
          <w:lang w:val="en-US"/>
        </w:rPr>
        <w:t>http://www.itu.int/council</w:t>
      </w:r>
    </w:hyperlink>
    <w:r w:rsidRPr="001528B4">
      <w:rPr>
        <w:caps w:val="0"/>
        <w:sz w:val="24"/>
        <w:szCs w:val="24"/>
        <w:lang w:val="en-US"/>
      </w:rPr>
      <w:t xml:space="preserve"> 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EAEFF" w14:textId="77777777" w:rsidR="00794DCF" w:rsidRDefault="00794DCF">
      <w:r>
        <w:t>____________________</w:t>
      </w:r>
    </w:p>
  </w:footnote>
  <w:footnote w:type="continuationSeparator" w:id="0">
    <w:p w14:paraId="19BEF5C7" w14:textId="77777777" w:rsidR="00794DCF" w:rsidRDefault="00794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47CA2" w14:textId="77777777" w:rsidR="00732045" w:rsidRDefault="00732045">
    <w:pPr>
      <w:pStyle w:val="Header"/>
    </w:pPr>
    <w:r>
      <w:t xml:space="preserve">- </w:t>
    </w:r>
    <w:r w:rsidR="00C27A7C">
      <w:fldChar w:fldCharType="begin"/>
    </w:r>
    <w:r w:rsidR="00C27A7C">
      <w:instrText>PAGE</w:instrText>
    </w:r>
    <w:r w:rsidR="00C27A7C">
      <w:fldChar w:fldCharType="separate"/>
    </w:r>
    <w:r>
      <w:rPr>
        <w:noProof/>
      </w:rPr>
      <w:t>2</w:t>
    </w:r>
    <w:r w:rsidR="00C27A7C">
      <w:rPr>
        <w:noProof/>
      </w:rPr>
      <w:fldChar w:fldCharType="end"/>
    </w:r>
    <w:r>
      <w:t xml:space="preserve"> -</w:t>
    </w:r>
  </w:p>
  <w:p w14:paraId="3DEE42B8" w14:textId="77777777" w:rsidR="00732045" w:rsidRDefault="00732045">
    <w:pPr>
      <w:pStyle w:val="Header"/>
    </w:pPr>
    <w:r>
      <w:t>C2001/#-F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0ECB4" w14:textId="6A09C593" w:rsidR="00732045" w:rsidRDefault="00C27A7C" w:rsidP="00475FB3">
    <w:pPr>
      <w:pStyle w:val="Header"/>
    </w:pPr>
    <w:r>
      <w:fldChar w:fldCharType="begin"/>
    </w:r>
    <w:r>
      <w:instrText>PAGE</w:instrText>
    </w:r>
    <w:r>
      <w:fldChar w:fldCharType="separate"/>
    </w:r>
    <w:r w:rsidR="004E1CBC">
      <w:rPr>
        <w:noProof/>
      </w:rPr>
      <w:t>2</w:t>
    </w:r>
    <w:r>
      <w:rPr>
        <w:noProof/>
      </w:rPr>
      <w:fldChar w:fldCharType="end"/>
    </w:r>
  </w:p>
  <w:p w14:paraId="0A457EC0" w14:textId="118E3022" w:rsidR="00732045" w:rsidRDefault="00BC184F" w:rsidP="00106B19">
    <w:pPr>
      <w:pStyle w:val="Header"/>
    </w:pPr>
    <w:r w:rsidRPr="00BC184F">
      <w:rPr>
        <w:bCs/>
      </w:rPr>
      <w:t>CWG-SFP-</w:t>
    </w:r>
    <w:r>
      <w:rPr>
        <w:bCs/>
      </w:rPr>
      <w:t>2</w:t>
    </w:r>
    <w:r w:rsidRPr="00BC184F">
      <w:rPr>
        <w:bCs/>
      </w:rPr>
      <w:t>/</w:t>
    </w:r>
    <w:r w:rsidR="006430A7">
      <w:rPr>
        <w:bCs/>
      </w:rPr>
      <w:t>7</w:t>
    </w:r>
    <w:r w:rsidRPr="00BC184F">
      <w:rPr>
        <w:bCs/>
      </w:rPr>
      <w:t>-F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D4FFA"/>
    <w:multiLevelType w:val="hybridMultilevel"/>
    <w:tmpl w:val="22E4E2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D5B0221"/>
    <w:multiLevelType w:val="hybridMultilevel"/>
    <w:tmpl w:val="3304A0A6"/>
    <w:lvl w:ilvl="0" w:tplc="266C40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fr-FR" w:vendorID="64" w:dllVersion="6" w:nlCheck="1" w:checkStyle="0"/>
  <w:activeWritingStyle w:appName="MSWord" w:lang="en-CA" w:vendorID="64" w:dllVersion="6" w:nlCheck="1" w:checkStyle="1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DCF"/>
    <w:rsid w:val="00090E02"/>
    <w:rsid w:val="000D0D0A"/>
    <w:rsid w:val="00103163"/>
    <w:rsid w:val="00106B19"/>
    <w:rsid w:val="00115D93"/>
    <w:rsid w:val="001247A8"/>
    <w:rsid w:val="001378C0"/>
    <w:rsid w:val="001528B4"/>
    <w:rsid w:val="0018694A"/>
    <w:rsid w:val="001A3287"/>
    <w:rsid w:val="001A6508"/>
    <w:rsid w:val="001D4C31"/>
    <w:rsid w:val="001E4D21"/>
    <w:rsid w:val="00207CD1"/>
    <w:rsid w:val="00237CC9"/>
    <w:rsid w:val="002477A2"/>
    <w:rsid w:val="00263A51"/>
    <w:rsid w:val="00267E02"/>
    <w:rsid w:val="002A5D44"/>
    <w:rsid w:val="002B615A"/>
    <w:rsid w:val="002D319A"/>
    <w:rsid w:val="002E0BC4"/>
    <w:rsid w:val="002E33BD"/>
    <w:rsid w:val="002E70CD"/>
    <w:rsid w:val="002F1B76"/>
    <w:rsid w:val="0033568E"/>
    <w:rsid w:val="00355FF5"/>
    <w:rsid w:val="00361350"/>
    <w:rsid w:val="00371F72"/>
    <w:rsid w:val="00383DB9"/>
    <w:rsid w:val="003C3FAE"/>
    <w:rsid w:val="004038CB"/>
    <w:rsid w:val="0040546F"/>
    <w:rsid w:val="0042404A"/>
    <w:rsid w:val="0044618F"/>
    <w:rsid w:val="0046769A"/>
    <w:rsid w:val="00475FB3"/>
    <w:rsid w:val="004C37A9"/>
    <w:rsid w:val="004D1D50"/>
    <w:rsid w:val="004E1CBC"/>
    <w:rsid w:val="004F259E"/>
    <w:rsid w:val="004F4A2E"/>
    <w:rsid w:val="004F5535"/>
    <w:rsid w:val="00510FCF"/>
    <w:rsid w:val="00511F1D"/>
    <w:rsid w:val="005174DF"/>
    <w:rsid w:val="00520F36"/>
    <w:rsid w:val="00540615"/>
    <w:rsid w:val="00540A6D"/>
    <w:rsid w:val="005544E2"/>
    <w:rsid w:val="00571EEA"/>
    <w:rsid w:val="00575417"/>
    <w:rsid w:val="005768E1"/>
    <w:rsid w:val="005B1938"/>
    <w:rsid w:val="005C3890"/>
    <w:rsid w:val="005F7BFE"/>
    <w:rsid w:val="00600017"/>
    <w:rsid w:val="006235CA"/>
    <w:rsid w:val="00631226"/>
    <w:rsid w:val="006430A7"/>
    <w:rsid w:val="006643AB"/>
    <w:rsid w:val="006A7BA8"/>
    <w:rsid w:val="0071441C"/>
    <w:rsid w:val="007210CD"/>
    <w:rsid w:val="00732045"/>
    <w:rsid w:val="007369DB"/>
    <w:rsid w:val="00794DCF"/>
    <w:rsid w:val="007956C2"/>
    <w:rsid w:val="007A187E"/>
    <w:rsid w:val="007C72C2"/>
    <w:rsid w:val="007D4436"/>
    <w:rsid w:val="007F257A"/>
    <w:rsid w:val="007F3665"/>
    <w:rsid w:val="00800037"/>
    <w:rsid w:val="00806BF4"/>
    <w:rsid w:val="0083391C"/>
    <w:rsid w:val="00854D28"/>
    <w:rsid w:val="00861D73"/>
    <w:rsid w:val="00897553"/>
    <w:rsid w:val="008A4E87"/>
    <w:rsid w:val="008D76E6"/>
    <w:rsid w:val="0092392D"/>
    <w:rsid w:val="0093234A"/>
    <w:rsid w:val="0097363B"/>
    <w:rsid w:val="009C307F"/>
    <w:rsid w:val="009C353C"/>
    <w:rsid w:val="009D2845"/>
    <w:rsid w:val="00A2113E"/>
    <w:rsid w:val="00A23A51"/>
    <w:rsid w:val="00A24607"/>
    <w:rsid w:val="00A25CD3"/>
    <w:rsid w:val="00A709FE"/>
    <w:rsid w:val="00A82767"/>
    <w:rsid w:val="00AA332F"/>
    <w:rsid w:val="00AA7BBB"/>
    <w:rsid w:val="00AB50A1"/>
    <w:rsid w:val="00AB64A8"/>
    <w:rsid w:val="00AC0266"/>
    <w:rsid w:val="00AC0FCD"/>
    <w:rsid w:val="00AD24EC"/>
    <w:rsid w:val="00AE169A"/>
    <w:rsid w:val="00AE5905"/>
    <w:rsid w:val="00B309F9"/>
    <w:rsid w:val="00B32B60"/>
    <w:rsid w:val="00B61619"/>
    <w:rsid w:val="00B863D1"/>
    <w:rsid w:val="00B954E0"/>
    <w:rsid w:val="00BB4545"/>
    <w:rsid w:val="00BC184F"/>
    <w:rsid w:val="00BD5873"/>
    <w:rsid w:val="00BE0600"/>
    <w:rsid w:val="00C04BE3"/>
    <w:rsid w:val="00C25D29"/>
    <w:rsid w:val="00C27A7C"/>
    <w:rsid w:val="00CA08ED"/>
    <w:rsid w:val="00CE19EF"/>
    <w:rsid w:val="00CF183B"/>
    <w:rsid w:val="00D375CD"/>
    <w:rsid w:val="00D43804"/>
    <w:rsid w:val="00D553A2"/>
    <w:rsid w:val="00D774D3"/>
    <w:rsid w:val="00D904E8"/>
    <w:rsid w:val="00DA08C3"/>
    <w:rsid w:val="00DB19C7"/>
    <w:rsid w:val="00DB5A3E"/>
    <w:rsid w:val="00DC22AA"/>
    <w:rsid w:val="00DC2CD2"/>
    <w:rsid w:val="00DF74DD"/>
    <w:rsid w:val="00E25AD0"/>
    <w:rsid w:val="00E263EC"/>
    <w:rsid w:val="00E85FE2"/>
    <w:rsid w:val="00EA256D"/>
    <w:rsid w:val="00EB6350"/>
    <w:rsid w:val="00EF20FE"/>
    <w:rsid w:val="00F144FE"/>
    <w:rsid w:val="00F15B57"/>
    <w:rsid w:val="00F31B77"/>
    <w:rsid w:val="00F427DB"/>
    <w:rsid w:val="00F64677"/>
    <w:rsid w:val="00FA5EB1"/>
    <w:rsid w:val="00FA7439"/>
    <w:rsid w:val="00FC4EC0"/>
    <w:rsid w:val="00FD0FFB"/>
    <w:rsid w:val="00FF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258A5E"/>
  <w15:docId w15:val="{CF5057D0-2BE6-44A5-BFAB-2EBAEA6AE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2045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732045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732045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732045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73204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732045"/>
    <w:pPr>
      <w:outlineLvl w:val="4"/>
    </w:pPr>
  </w:style>
  <w:style w:type="paragraph" w:styleId="Heading6">
    <w:name w:val="heading 6"/>
    <w:basedOn w:val="Heading4"/>
    <w:next w:val="Normal"/>
    <w:qFormat/>
    <w:rsid w:val="00732045"/>
    <w:pPr>
      <w:outlineLvl w:val="5"/>
    </w:pPr>
  </w:style>
  <w:style w:type="paragraph" w:styleId="Heading7">
    <w:name w:val="heading 7"/>
    <w:basedOn w:val="Heading4"/>
    <w:next w:val="Normal"/>
    <w:qFormat/>
    <w:rsid w:val="0073204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73204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73204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5C3890"/>
    <w:pPr>
      <w:ind w:left="1698"/>
    </w:pPr>
  </w:style>
  <w:style w:type="paragraph" w:styleId="Index6">
    <w:name w:val="index 6"/>
    <w:basedOn w:val="Normal"/>
    <w:next w:val="Normal"/>
    <w:rsid w:val="005C3890"/>
    <w:pPr>
      <w:ind w:left="1415"/>
    </w:pPr>
  </w:style>
  <w:style w:type="paragraph" w:styleId="Index5">
    <w:name w:val="index 5"/>
    <w:basedOn w:val="Normal"/>
    <w:next w:val="Normal"/>
    <w:rsid w:val="005C3890"/>
    <w:pPr>
      <w:ind w:left="1132"/>
    </w:pPr>
  </w:style>
  <w:style w:type="paragraph" w:styleId="Index4">
    <w:name w:val="index 4"/>
    <w:basedOn w:val="Normal"/>
    <w:next w:val="Normal"/>
    <w:rsid w:val="005C3890"/>
    <w:pPr>
      <w:ind w:left="849"/>
    </w:pPr>
  </w:style>
  <w:style w:type="paragraph" w:styleId="Index3">
    <w:name w:val="index 3"/>
    <w:basedOn w:val="Normal"/>
    <w:next w:val="Normal"/>
    <w:rsid w:val="005C3890"/>
    <w:pPr>
      <w:ind w:left="566"/>
    </w:pPr>
  </w:style>
  <w:style w:type="paragraph" w:styleId="Index2">
    <w:name w:val="index 2"/>
    <w:basedOn w:val="Normal"/>
    <w:next w:val="Normal"/>
    <w:rsid w:val="005C3890"/>
    <w:pPr>
      <w:ind w:left="283"/>
    </w:pPr>
  </w:style>
  <w:style w:type="paragraph" w:styleId="Index1">
    <w:name w:val="index 1"/>
    <w:basedOn w:val="Normal"/>
    <w:next w:val="Normal"/>
    <w:rsid w:val="005C3890"/>
  </w:style>
  <w:style w:type="character" w:styleId="LineNumber">
    <w:name w:val="line number"/>
    <w:basedOn w:val="DefaultParagraphFont"/>
    <w:rsid w:val="005C3890"/>
  </w:style>
  <w:style w:type="paragraph" w:styleId="IndexHeading">
    <w:name w:val="index heading"/>
    <w:basedOn w:val="Normal"/>
    <w:next w:val="Index1"/>
    <w:rsid w:val="005C3890"/>
  </w:style>
  <w:style w:type="paragraph" w:styleId="Footer">
    <w:name w:val="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732045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732045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732045"/>
    <w:pPr>
      <w:ind w:left="567"/>
    </w:pPr>
  </w:style>
  <w:style w:type="paragraph" w:customStyle="1" w:styleId="enumlev1">
    <w:name w:val="enumlev1"/>
    <w:basedOn w:val="Normal"/>
    <w:rsid w:val="00732045"/>
    <w:pPr>
      <w:spacing w:before="86"/>
      <w:ind w:left="567" w:hanging="567"/>
    </w:pPr>
  </w:style>
  <w:style w:type="paragraph" w:customStyle="1" w:styleId="enumlev2">
    <w:name w:val="enumlev2"/>
    <w:basedOn w:val="enumlev1"/>
    <w:rsid w:val="00732045"/>
    <w:pPr>
      <w:ind w:left="1134"/>
    </w:pPr>
  </w:style>
  <w:style w:type="paragraph" w:customStyle="1" w:styleId="enumlev3">
    <w:name w:val="enumlev3"/>
    <w:basedOn w:val="enumlev2"/>
    <w:rsid w:val="00732045"/>
    <w:pPr>
      <w:ind w:left="1701"/>
    </w:pPr>
  </w:style>
  <w:style w:type="paragraph" w:customStyle="1" w:styleId="Equation">
    <w:name w:val="Equation"/>
    <w:basedOn w:val="Normal"/>
    <w:rsid w:val="005C3890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5C389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Normalaftertitle">
    <w:name w:val="Normal after title"/>
    <w:basedOn w:val="Normal"/>
    <w:next w:val="Normal"/>
    <w:rsid w:val="00732045"/>
    <w:pPr>
      <w:spacing w:before="240"/>
    </w:pPr>
  </w:style>
  <w:style w:type="paragraph" w:customStyle="1" w:styleId="Call">
    <w:name w:val="Call"/>
    <w:basedOn w:val="Normal"/>
    <w:next w:val="Normal"/>
    <w:rsid w:val="0073204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toc0">
    <w:name w:val="toc 0"/>
    <w:basedOn w:val="Normal"/>
    <w:next w:val="TOC1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5C3890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5C3890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rsid w:val="00732045"/>
  </w:style>
  <w:style w:type="paragraph" w:customStyle="1" w:styleId="meeting">
    <w:name w:val="meeting"/>
    <w:basedOn w:val="Head"/>
    <w:next w:val="Head"/>
    <w:rsid w:val="005C389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5C3890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732045"/>
    <w:pPr>
      <w:spacing w:before="840"/>
      <w:jc w:val="center"/>
    </w:pPr>
    <w:rPr>
      <w:b/>
      <w:sz w:val="28"/>
    </w:rPr>
  </w:style>
  <w:style w:type="paragraph" w:customStyle="1" w:styleId="Object">
    <w:name w:val="Object"/>
    <w:basedOn w:val="Subject"/>
    <w:next w:val="Subject"/>
    <w:rsid w:val="005C3890"/>
  </w:style>
  <w:style w:type="paragraph" w:customStyle="1" w:styleId="Data">
    <w:name w:val="Data"/>
    <w:basedOn w:val="Subject"/>
    <w:next w:val="Subject"/>
    <w:rsid w:val="005C3890"/>
  </w:style>
  <w:style w:type="paragraph" w:customStyle="1" w:styleId="Headingb">
    <w:name w:val="Heading_b"/>
    <w:basedOn w:val="Heading3"/>
    <w:next w:val="Normal"/>
    <w:rsid w:val="00732045"/>
    <w:pPr>
      <w:spacing w:before="160"/>
      <w:outlineLvl w:val="0"/>
    </w:pPr>
  </w:style>
  <w:style w:type="paragraph" w:customStyle="1" w:styleId="Title1">
    <w:name w:val="Title 1"/>
    <w:basedOn w:val="Source"/>
    <w:next w:val="Title2"/>
    <w:rsid w:val="00732045"/>
    <w:pPr>
      <w:spacing w:before="240"/>
    </w:pPr>
    <w:rPr>
      <w:b w:val="0"/>
      <w:caps/>
    </w:rPr>
  </w:style>
  <w:style w:type="paragraph" w:customStyle="1" w:styleId="dnum">
    <w:name w:val="dnum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FirstFooter">
    <w:name w:val="FirstFooter"/>
    <w:basedOn w:val="Footer"/>
    <w:rsid w:val="00732045"/>
    <w:rPr>
      <w:caps w:val="0"/>
    </w:rPr>
  </w:style>
  <w:style w:type="paragraph" w:customStyle="1" w:styleId="Note">
    <w:name w:val="Note"/>
    <w:basedOn w:val="Normal"/>
    <w:rsid w:val="005C3890"/>
    <w:pPr>
      <w:spacing w:before="80"/>
    </w:pPr>
  </w:style>
  <w:style w:type="paragraph" w:styleId="TOC9">
    <w:name w:val="toc 9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ddate">
    <w:name w:val="ddate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character" w:styleId="Hyperlink">
    <w:name w:val="Hyperlink"/>
    <w:basedOn w:val="DefaultParagraphFont"/>
    <w:rsid w:val="00732045"/>
    <w:rPr>
      <w:color w:val="0000FF"/>
      <w:u w:val="single"/>
    </w:rPr>
  </w:style>
  <w:style w:type="character" w:styleId="FollowedHyperlink">
    <w:name w:val="FollowedHyperlink"/>
    <w:basedOn w:val="DefaultParagraphFont"/>
    <w:rsid w:val="005C3890"/>
    <w:rPr>
      <w:color w:val="800080"/>
      <w:u w:val="single"/>
    </w:rPr>
  </w:style>
  <w:style w:type="paragraph" w:customStyle="1" w:styleId="AnnexNo">
    <w:name w:val="Annex_No"/>
    <w:basedOn w:val="Normal"/>
    <w:next w:val="Annexref"/>
    <w:rsid w:val="00732045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732045"/>
    <w:pPr>
      <w:jc w:val="center"/>
    </w:pPr>
    <w:rPr>
      <w:sz w:val="28"/>
    </w:rPr>
  </w:style>
  <w:style w:type="paragraph" w:customStyle="1" w:styleId="Annextitle">
    <w:name w:val="Annex_title"/>
    <w:basedOn w:val="Normal"/>
    <w:next w:val="Normal"/>
    <w:rsid w:val="00732045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732045"/>
  </w:style>
  <w:style w:type="paragraph" w:customStyle="1" w:styleId="Appendixref">
    <w:name w:val="Appendix_ref"/>
    <w:basedOn w:val="Annexref"/>
    <w:next w:val="Appendixtitle"/>
    <w:rsid w:val="00732045"/>
  </w:style>
  <w:style w:type="paragraph" w:customStyle="1" w:styleId="Appendixtitle">
    <w:name w:val="Appendix_title"/>
    <w:basedOn w:val="Annextitle"/>
    <w:next w:val="Normal"/>
    <w:rsid w:val="00732045"/>
  </w:style>
  <w:style w:type="paragraph" w:customStyle="1" w:styleId="Artheading">
    <w:name w:val="Art_heading"/>
    <w:basedOn w:val="Normal"/>
    <w:next w:val="Normalafter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732045"/>
  </w:style>
  <w:style w:type="paragraph" w:customStyle="1" w:styleId="Chaptitle">
    <w:name w:val="Chap_title"/>
    <w:basedOn w:val="Arttitle"/>
    <w:next w:val="Normal"/>
    <w:rsid w:val="00732045"/>
  </w:style>
  <w:style w:type="paragraph" w:customStyle="1" w:styleId="Equationlegend">
    <w:name w:val="Equation_legend"/>
    <w:basedOn w:val="NormalIndent"/>
    <w:rsid w:val="005C3890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5C3890"/>
    <w:pPr>
      <w:keepNext/>
      <w:keepLines/>
      <w:spacing w:after="120"/>
      <w:jc w:val="center"/>
    </w:pPr>
  </w:style>
  <w:style w:type="paragraph" w:customStyle="1" w:styleId="Figurelegend">
    <w:name w:val="Figure_legend"/>
    <w:basedOn w:val="Normal"/>
    <w:rsid w:val="00A709FE"/>
    <w:pPr>
      <w:spacing w:before="20" w:after="20"/>
    </w:pPr>
    <w:rPr>
      <w:sz w:val="18"/>
    </w:rPr>
  </w:style>
  <w:style w:type="paragraph" w:customStyle="1" w:styleId="TableNo">
    <w:name w:val="Table_No"/>
    <w:basedOn w:val="Normal"/>
    <w:next w:val="Tabletitle"/>
    <w:rsid w:val="00732045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Figuretitle">
    <w:name w:val="Figure_title"/>
    <w:basedOn w:val="Tabletitle"/>
    <w:next w:val="Normalaftertitle"/>
    <w:rsid w:val="005C3890"/>
    <w:pPr>
      <w:spacing w:before="240" w:after="480"/>
    </w:pPr>
  </w:style>
  <w:style w:type="paragraph" w:customStyle="1" w:styleId="Figurewithouttitle">
    <w:name w:val="Figure_without_title"/>
    <w:basedOn w:val="Figure"/>
    <w:next w:val="Normalaftertitle"/>
    <w:rsid w:val="005C389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732045"/>
    <w:pPr>
      <w:spacing w:before="160"/>
      <w:outlineLvl w:val="0"/>
    </w:pPr>
    <w:rPr>
      <w:b w:val="0"/>
      <w:i/>
    </w:rPr>
  </w:style>
  <w:style w:type="character" w:styleId="PageNumber">
    <w:name w:val="page number"/>
    <w:basedOn w:val="DefaultParagraphFont"/>
    <w:rsid w:val="00732045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5C3890"/>
  </w:style>
  <w:style w:type="paragraph" w:customStyle="1" w:styleId="Partref">
    <w:name w:val="Part_ref"/>
    <w:basedOn w:val="Annexref"/>
    <w:next w:val="Normalaftertitle"/>
    <w:rsid w:val="005C3890"/>
  </w:style>
  <w:style w:type="paragraph" w:customStyle="1" w:styleId="Parttitle">
    <w:name w:val="Part_title"/>
    <w:basedOn w:val="Annextitle"/>
    <w:next w:val="Partref"/>
    <w:rsid w:val="005C3890"/>
  </w:style>
  <w:style w:type="paragraph" w:customStyle="1" w:styleId="RecNo">
    <w:name w:val="Rec_No"/>
    <w:basedOn w:val="Normal"/>
    <w:next w:val="Rectitle"/>
    <w:rsid w:val="00732045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732045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5C3890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5C389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5C3890"/>
  </w:style>
  <w:style w:type="paragraph" w:customStyle="1" w:styleId="QuestionNo">
    <w:name w:val="Question_No"/>
    <w:basedOn w:val="RecNo"/>
    <w:next w:val="Questiontitle"/>
    <w:rsid w:val="005C3890"/>
  </w:style>
  <w:style w:type="paragraph" w:customStyle="1" w:styleId="Questionref">
    <w:name w:val="Question_ref"/>
    <w:basedOn w:val="Recref"/>
    <w:next w:val="Questiondate"/>
    <w:rsid w:val="005C3890"/>
  </w:style>
  <w:style w:type="paragraph" w:customStyle="1" w:styleId="Questiontitle">
    <w:name w:val="Question_title"/>
    <w:basedOn w:val="Rectitle"/>
    <w:next w:val="Questionref"/>
    <w:rsid w:val="005C3890"/>
  </w:style>
  <w:style w:type="paragraph" w:customStyle="1" w:styleId="Reftext">
    <w:name w:val="Ref_text"/>
    <w:basedOn w:val="Normal"/>
    <w:rsid w:val="00732045"/>
    <w:pPr>
      <w:ind w:left="567" w:hanging="567"/>
    </w:pPr>
  </w:style>
  <w:style w:type="paragraph" w:customStyle="1" w:styleId="Reftitle">
    <w:name w:val="Ref_title"/>
    <w:basedOn w:val="Normal"/>
    <w:next w:val="Reftext"/>
    <w:rsid w:val="00732045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5C3890"/>
  </w:style>
  <w:style w:type="paragraph" w:customStyle="1" w:styleId="RepNo">
    <w:name w:val="Rep_No"/>
    <w:basedOn w:val="RecNo"/>
    <w:next w:val="Reptitle"/>
    <w:rsid w:val="005C3890"/>
  </w:style>
  <w:style w:type="paragraph" w:customStyle="1" w:styleId="Repref">
    <w:name w:val="Rep_ref"/>
    <w:basedOn w:val="Recref"/>
    <w:next w:val="Repdate"/>
    <w:rsid w:val="005C3890"/>
  </w:style>
  <w:style w:type="paragraph" w:customStyle="1" w:styleId="Reptitle">
    <w:name w:val="Rep_title"/>
    <w:basedOn w:val="Rectitle"/>
    <w:next w:val="Repref"/>
    <w:rsid w:val="005C3890"/>
  </w:style>
  <w:style w:type="paragraph" w:customStyle="1" w:styleId="Resdate">
    <w:name w:val="Res_date"/>
    <w:basedOn w:val="Recdate"/>
    <w:next w:val="Normalaftertitle"/>
    <w:rsid w:val="005C3890"/>
  </w:style>
  <w:style w:type="paragraph" w:customStyle="1" w:styleId="ResNo">
    <w:name w:val="Res_No"/>
    <w:basedOn w:val="AnnexNo"/>
    <w:next w:val="Restitle"/>
    <w:rsid w:val="00732045"/>
  </w:style>
  <w:style w:type="paragraph" w:customStyle="1" w:styleId="Resref">
    <w:name w:val="Res_ref"/>
    <w:basedOn w:val="Recref"/>
    <w:next w:val="Resdate"/>
    <w:rsid w:val="005C3890"/>
  </w:style>
  <w:style w:type="paragraph" w:customStyle="1" w:styleId="Restitle">
    <w:name w:val="Res_title"/>
    <w:basedOn w:val="Annextitle"/>
    <w:next w:val="Normal"/>
    <w:rsid w:val="00732045"/>
  </w:style>
  <w:style w:type="paragraph" w:customStyle="1" w:styleId="SectionNo">
    <w:name w:val="Section_No"/>
    <w:basedOn w:val="AnnexNo"/>
    <w:next w:val="Sectiontitle"/>
    <w:rsid w:val="005C3890"/>
  </w:style>
  <w:style w:type="paragraph" w:customStyle="1" w:styleId="Sectiontitle">
    <w:name w:val="Section_title"/>
    <w:basedOn w:val="Normal"/>
    <w:next w:val="Normalaftertitle"/>
    <w:rsid w:val="005C3890"/>
    <w:rPr>
      <w:sz w:val="28"/>
    </w:rPr>
  </w:style>
  <w:style w:type="paragraph" w:customStyle="1" w:styleId="SpecialFooter">
    <w:name w:val="Special Footer"/>
    <w:basedOn w:val="Footer"/>
    <w:rsid w:val="005C389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text">
    <w:name w:val="Table_text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head">
    <w:name w:val="Table_head"/>
    <w:basedOn w:val="Tabletext"/>
    <w:rsid w:val="00732045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732045"/>
    <w:pPr>
      <w:spacing w:before="120"/>
    </w:pPr>
  </w:style>
  <w:style w:type="paragraph" w:customStyle="1" w:styleId="Tableref">
    <w:name w:val="Table_ref"/>
    <w:basedOn w:val="Normal"/>
    <w:next w:val="Tabletitle"/>
    <w:rsid w:val="005C3890"/>
    <w:pPr>
      <w:keepNext/>
      <w:spacing w:before="567"/>
      <w:jc w:val="center"/>
    </w:pPr>
  </w:style>
  <w:style w:type="paragraph" w:customStyle="1" w:styleId="Title2">
    <w:name w:val="Title 2"/>
    <w:basedOn w:val="Source"/>
    <w:next w:val="Title3"/>
    <w:rsid w:val="00732045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732045"/>
    <w:rPr>
      <w:caps w:val="0"/>
    </w:rPr>
  </w:style>
  <w:style w:type="paragraph" w:customStyle="1" w:styleId="Title4">
    <w:name w:val="Title 4"/>
    <w:basedOn w:val="Title3"/>
    <w:next w:val="Heading1"/>
    <w:rsid w:val="005C3890"/>
    <w:rPr>
      <w:b/>
    </w:rPr>
  </w:style>
  <w:style w:type="paragraph" w:customStyle="1" w:styleId="FigureNo">
    <w:name w:val="Figure_No"/>
    <w:basedOn w:val="Normal"/>
    <w:next w:val="Figuretitle"/>
    <w:rsid w:val="005C3890"/>
    <w:pPr>
      <w:keepNext/>
      <w:keepLines/>
      <w:spacing w:before="240" w:after="120"/>
      <w:jc w:val="center"/>
    </w:pPr>
    <w:rPr>
      <w:caps/>
    </w:rPr>
  </w:style>
  <w:style w:type="paragraph" w:customStyle="1" w:styleId="firstfooter0">
    <w:name w:val="first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Table">
    <w:name w:val="Table_#"/>
    <w:basedOn w:val="Normal"/>
    <w:next w:val="Normal"/>
    <w:rsid w:val="00520F36"/>
    <w:pPr>
      <w:keepNext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  <w:lang w:val="en-GB"/>
    </w:rPr>
  </w:style>
  <w:style w:type="table" w:styleId="PlainTable4">
    <w:name w:val="Plain Table 4"/>
    <w:basedOn w:val="TableNormal"/>
    <w:uiPriority w:val="44"/>
    <w:rsid w:val="00794DCF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2E33BD"/>
    <w:rPr>
      <w:rFonts w:ascii="Calibri" w:hAnsi="Calibri"/>
      <w:sz w:val="24"/>
      <w:lang w:val="fr-FR" w:eastAsia="en-US"/>
    </w:rPr>
  </w:style>
  <w:style w:type="character" w:styleId="CommentReference">
    <w:name w:val="annotation reference"/>
    <w:basedOn w:val="DefaultParagraphFont"/>
    <w:semiHidden/>
    <w:unhideWhenUsed/>
    <w:rsid w:val="00AE169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E169A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E169A"/>
    <w:rPr>
      <w:rFonts w:ascii="Calibri" w:hAnsi="Calibri"/>
      <w:lang w:val="fr-FR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E16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E169A"/>
    <w:rPr>
      <w:rFonts w:ascii="Calibri" w:hAnsi="Calibri"/>
      <w:b/>
      <w:bCs/>
      <w:lang w:val="fr-FR" w:eastAsia="en-US"/>
    </w:rPr>
  </w:style>
  <w:style w:type="paragraph" w:styleId="ListParagraph">
    <w:name w:val="List Paragraph"/>
    <w:basedOn w:val="Normal"/>
    <w:uiPriority w:val="34"/>
    <w:qFormat/>
    <w:rsid w:val="002D319A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52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blue\dfs\REFINFO\TEMPLATE\ITUOffice2007\POOL\POOL%20F%20-%20ITU\PF_C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96EBB-4C6E-4652-B271-9DEEE53D6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PF_C22.dotx</Template>
  <TotalTime>4</TotalTime>
  <Pages>2</Pages>
  <Words>631</Words>
  <Characters>3552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Secrétariat général - Pool</Manager>
  <Company>Union internationale des télécommunications (UIT)</Company>
  <LinksUpToDate>false</LinksUpToDate>
  <CharactersWithSpaces>4175</CharactersWithSpaces>
  <SharedDoc>false</SharedDoc>
  <HLinks>
    <vt:vector size="6" baseType="variant">
      <vt:variant>
        <vt:i4>3342371</vt:i4>
      </vt:variant>
      <vt:variant>
        <vt:i4>24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Council Working Group for Strategic and Financial Plans 2024-2027</dc:subject>
  <dc:creator>Chanavat, Emilie</dc:creator>
  <cp:keywords>CWG-SFP</cp:keywords>
  <dc:description/>
  <cp:lastModifiedBy>Kun Xue</cp:lastModifiedBy>
  <cp:revision>2</cp:revision>
  <cp:lastPrinted>2000-07-18T08:55:00Z</cp:lastPrinted>
  <dcterms:created xsi:type="dcterms:W3CDTF">2022-01-06T14:58:00Z</dcterms:created>
  <dcterms:modified xsi:type="dcterms:W3CDTF">2022-01-06T14:58:00Z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C17/-F</vt:lpwstr>
  </property>
  <property fmtid="{D5CDD505-2E9C-101B-9397-08002B2CF9AE}" pid="3" name="Docdate">
    <vt:lpwstr>janvier 2017</vt:lpwstr>
  </property>
  <property fmtid="{D5CDD505-2E9C-101B-9397-08002B2CF9AE}" pid="4" name="Docorlang">
    <vt:lpwstr>Original: anglais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