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E777B" w:rsidRPr="00EE777B" w14:paraId="55130833" w14:textId="77777777" w:rsidTr="00C04F4A">
        <w:trPr>
          <w:cantSplit/>
        </w:trPr>
        <w:tc>
          <w:tcPr>
            <w:tcW w:w="6911" w:type="dxa"/>
          </w:tcPr>
          <w:p w14:paraId="13A67C1D" w14:textId="27C90E9D" w:rsidR="00EE777B" w:rsidRPr="00EE777B" w:rsidRDefault="00EE777B" w:rsidP="00EE777B">
            <w:pPr>
              <w:tabs>
                <w:tab w:val="left" w:pos="567"/>
                <w:tab w:val="left" w:pos="1134"/>
                <w:tab w:val="left" w:pos="1701"/>
                <w:tab w:val="left" w:pos="2268"/>
                <w:tab w:val="left" w:pos="2835"/>
              </w:tabs>
              <w:overflowPunct w:val="0"/>
              <w:autoSpaceDE w:val="0"/>
              <w:autoSpaceDN w:val="0"/>
              <w:adjustRightInd w:val="0"/>
              <w:spacing w:before="360" w:after="48" w:line="240" w:lineRule="atLeast"/>
              <w:textAlignment w:val="baseline"/>
              <w:rPr>
                <w:rFonts w:ascii="Calibri" w:eastAsia="Times New Roman" w:hAnsi="Calibri" w:cs="Times New Roman"/>
                <w:position w:val="6"/>
                <w:sz w:val="24"/>
                <w:szCs w:val="20"/>
                <w:lang w:val="en-GB"/>
              </w:rPr>
            </w:pPr>
            <w:r w:rsidRPr="00EE777B">
              <w:rPr>
                <w:rFonts w:ascii="Calibri" w:eastAsia="Times New Roman" w:hAnsi="Calibri" w:cs="Times"/>
                <w:b/>
                <w:sz w:val="30"/>
                <w:szCs w:val="30"/>
                <w:lang w:val="en-GB"/>
              </w:rPr>
              <w:t>Council Working Group for</w:t>
            </w:r>
            <w:r w:rsidRPr="00EE777B">
              <w:rPr>
                <w:rFonts w:ascii="Calibri" w:eastAsia="Times New Roman" w:hAnsi="Calibri" w:cs="Times"/>
                <w:b/>
                <w:sz w:val="30"/>
                <w:szCs w:val="30"/>
                <w:lang w:val="en-GB"/>
              </w:rPr>
              <w:br/>
              <w:t>Strategic and Financial Plans 2024-2027</w:t>
            </w:r>
            <w:r w:rsidRPr="00EE777B">
              <w:rPr>
                <w:rFonts w:ascii="Calibri" w:eastAsia="Times New Roman" w:hAnsi="Calibri" w:cs="Times"/>
                <w:b/>
                <w:sz w:val="30"/>
                <w:szCs w:val="30"/>
                <w:lang w:val="en-GB"/>
              </w:rPr>
              <w:br/>
            </w:r>
            <w:r>
              <w:rPr>
                <w:rFonts w:ascii="Calibri" w:eastAsia="Times New Roman" w:hAnsi="Calibri" w:cs="Times New Roman Bold"/>
                <w:b/>
                <w:sz w:val="24"/>
                <w:szCs w:val="20"/>
                <w:lang w:val="en-GB"/>
              </w:rPr>
              <w:t xml:space="preserve">Second </w:t>
            </w:r>
            <w:r w:rsidRPr="00EE777B">
              <w:rPr>
                <w:rFonts w:ascii="Calibri" w:eastAsia="Times New Roman" w:hAnsi="Calibri" w:cs="Times New Roman Bold"/>
                <w:b/>
                <w:sz w:val="24"/>
                <w:szCs w:val="20"/>
                <w:lang w:val="en-GB"/>
              </w:rPr>
              <w:t xml:space="preserve">meeting </w:t>
            </w:r>
            <w:r w:rsidRPr="00EE777B">
              <w:rPr>
                <w:rFonts w:ascii="Calibri" w:eastAsia="Times New Roman" w:hAnsi="Calibri" w:cs="Calibri"/>
                <w:b/>
                <w:color w:val="000000"/>
                <w:sz w:val="24"/>
                <w:szCs w:val="20"/>
                <w:lang w:val="en-GB"/>
              </w:rPr>
              <w:t>–</w:t>
            </w:r>
            <w:r w:rsidRPr="00EE777B">
              <w:rPr>
                <w:rFonts w:ascii="Calibri" w:eastAsia="Times New Roman" w:hAnsi="Calibri" w:cs="Times New Roman Bold"/>
                <w:b/>
                <w:sz w:val="24"/>
                <w:szCs w:val="20"/>
                <w:lang w:val="en-GB"/>
              </w:rPr>
              <w:t xml:space="preserve"> Virtual, </w:t>
            </w:r>
            <w:r>
              <w:rPr>
                <w:rFonts w:ascii="Calibri" w:eastAsia="Times New Roman" w:hAnsi="Calibri" w:cs="Times New Roman Bold"/>
                <w:b/>
                <w:sz w:val="24"/>
                <w:szCs w:val="20"/>
                <w:lang w:val="en-GB"/>
              </w:rPr>
              <w:t>13-14 January 2022</w:t>
            </w:r>
          </w:p>
        </w:tc>
        <w:tc>
          <w:tcPr>
            <w:tcW w:w="3120" w:type="dxa"/>
          </w:tcPr>
          <w:p w14:paraId="74F423EC" w14:textId="21F7D132" w:rsidR="00EE777B" w:rsidRPr="00EE777B" w:rsidRDefault="00EE777B" w:rsidP="00EE777B">
            <w:pPr>
              <w:tabs>
                <w:tab w:val="left" w:pos="567"/>
                <w:tab w:val="left" w:pos="1134"/>
                <w:tab w:val="left" w:pos="1701"/>
                <w:tab w:val="left" w:pos="2268"/>
                <w:tab w:val="left" w:pos="2835"/>
              </w:tabs>
              <w:overflowPunct w:val="0"/>
              <w:autoSpaceDE w:val="0"/>
              <w:autoSpaceDN w:val="0"/>
              <w:adjustRightInd w:val="0"/>
              <w:spacing w:after="0" w:line="240" w:lineRule="atLeast"/>
              <w:textAlignment w:val="baseline"/>
              <w:rPr>
                <w:rFonts w:ascii="Calibri" w:eastAsia="Times New Roman" w:hAnsi="Calibri" w:cs="Times New Roman"/>
                <w:sz w:val="24"/>
                <w:szCs w:val="20"/>
                <w:lang w:val="en-GB"/>
              </w:rPr>
            </w:pPr>
            <w:bookmarkStart w:id="0" w:name="ditulogo"/>
            <w:bookmarkEnd w:id="0"/>
            <w:r w:rsidRPr="00EE777B">
              <w:rPr>
                <w:rFonts w:ascii="Calibri" w:eastAsia="Times New Roman" w:hAnsi="Calibri" w:cs="Times New Roman"/>
                <w:noProof/>
                <w:sz w:val="24"/>
                <w:szCs w:val="20"/>
                <w:lang w:val="en-GB" w:eastAsia="zh-CN"/>
              </w:rPr>
              <w:drawing>
                <wp:inline distT="0" distB="0" distL="0" distR="0" wp14:anchorId="59AB1737" wp14:editId="65705849">
                  <wp:extent cx="67627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a:ln>
                            <a:noFill/>
                          </a:ln>
                        </pic:spPr>
                      </pic:pic>
                    </a:graphicData>
                  </a:graphic>
                </wp:inline>
              </w:drawing>
            </w:r>
          </w:p>
        </w:tc>
      </w:tr>
      <w:tr w:rsidR="00EE777B" w:rsidRPr="00EE777B" w14:paraId="27514BB6" w14:textId="77777777" w:rsidTr="00C04F4A">
        <w:trPr>
          <w:cantSplit/>
        </w:trPr>
        <w:tc>
          <w:tcPr>
            <w:tcW w:w="6911" w:type="dxa"/>
            <w:tcBorders>
              <w:bottom w:val="single" w:sz="12" w:space="0" w:color="auto"/>
            </w:tcBorders>
          </w:tcPr>
          <w:p w14:paraId="562E62EB" w14:textId="77777777" w:rsidR="00EE777B" w:rsidRPr="00EE777B" w:rsidRDefault="00EE777B" w:rsidP="00B42C33">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imes New Roman"/>
                <w:b/>
                <w:smallCaps/>
                <w:sz w:val="24"/>
                <w:szCs w:val="24"/>
                <w:lang w:val="en-GB"/>
              </w:rPr>
            </w:pPr>
          </w:p>
        </w:tc>
        <w:tc>
          <w:tcPr>
            <w:tcW w:w="3120" w:type="dxa"/>
            <w:tcBorders>
              <w:bottom w:val="single" w:sz="12" w:space="0" w:color="auto"/>
            </w:tcBorders>
          </w:tcPr>
          <w:p w14:paraId="4C95BBC5" w14:textId="77777777" w:rsidR="00EE777B" w:rsidRPr="00EE777B" w:rsidRDefault="00EE777B" w:rsidP="00B42C33">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imes New Roman"/>
                <w:sz w:val="24"/>
                <w:szCs w:val="24"/>
                <w:lang w:val="en-GB"/>
              </w:rPr>
            </w:pPr>
          </w:p>
        </w:tc>
      </w:tr>
      <w:tr w:rsidR="00EE777B" w:rsidRPr="00EE777B" w14:paraId="2901BC69" w14:textId="77777777" w:rsidTr="00C04F4A">
        <w:trPr>
          <w:cantSplit/>
        </w:trPr>
        <w:tc>
          <w:tcPr>
            <w:tcW w:w="6911" w:type="dxa"/>
            <w:tcBorders>
              <w:top w:val="single" w:sz="12" w:space="0" w:color="auto"/>
            </w:tcBorders>
          </w:tcPr>
          <w:p w14:paraId="74D2421B" w14:textId="77777777" w:rsidR="00EE777B" w:rsidRPr="00EE777B" w:rsidRDefault="00EE777B" w:rsidP="00B42C33">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imes New Roman"/>
                <w:b/>
                <w:smallCaps/>
                <w:sz w:val="24"/>
                <w:szCs w:val="24"/>
                <w:lang w:val="en-GB"/>
              </w:rPr>
            </w:pPr>
          </w:p>
        </w:tc>
        <w:tc>
          <w:tcPr>
            <w:tcW w:w="3120" w:type="dxa"/>
            <w:tcBorders>
              <w:top w:val="single" w:sz="12" w:space="0" w:color="auto"/>
            </w:tcBorders>
          </w:tcPr>
          <w:p w14:paraId="413F0077" w14:textId="77777777" w:rsidR="00EE777B" w:rsidRPr="00EE777B" w:rsidRDefault="00EE777B" w:rsidP="00B42C33">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imes New Roman"/>
                <w:sz w:val="24"/>
                <w:szCs w:val="24"/>
                <w:lang w:val="en-GB"/>
              </w:rPr>
            </w:pPr>
          </w:p>
        </w:tc>
      </w:tr>
      <w:tr w:rsidR="00EE777B" w:rsidRPr="00EE777B" w14:paraId="62E17B0B" w14:textId="77777777" w:rsidTr="00C04F4A">
        <w:trPr>
          <w:cantSplit/>
          <w:trHeight w:val="23"/>
        </w:trPr>
        <w:tc>
          <w:tcPr>
            <w:tcW w:w="6911" w:type="dxa"/>
            <w:vMerge w:val="restart"/>
          </w:tcPr>
          <w:p w14:paraId="42A5C031" w14:textId="77777777" w:rsidR="00EE777B" w:rsidRPr="00EE777B" w:rsidRDefault="00EE777B" w:rsidP="00EE777B">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textAlignment w:val="baseline"/>
              <w:rPr>
                <w:rFonts w:ascii="Calibri" w:eastAsia="Times New Roman" w:hAnsi="Calibri" w:cs="Times New Roman"/>
                <w:b/>
                <w:sz w:val="24"/>
                <w:szCs w:val="20"/>
                <w:lang w:val="en-GB"/>
              </w:rPr>
            </w:pPr>
            <w:bookmarkStart w:id="1" w:name="dmeeting" w:colFirst="0" w:colLast="0"/>
            <w:bookmarkStart w:id="2" w:name="dnum" w:colFirst="1" w:colLast="1"/>
          </w:p>
        </w:tc>
        <w:tc>
          <w:tcPr>
            <w:tcW w:w="3120" w:type="dxa"/>
          </w:tcPr>
          <w:p w14:paraId="6BCAEC8B" w14:textId="1FD5F6B8" w:rsidR="00EE777B" w:rsidRPr="00EE777B" w:rsidRDefault="00EE777B" w:rsidP="00EE777B">
            <w:pPr>
              <w:tabs>
                <w:tab w:val="left" w:pos="567"/>
                <w:tab w:val="left" w:pos="851"/>
                <w:tab w:val="left" w:pos="1134"/>
                <w:tab w:val="left" w:pos="1701"/>
                <w:tab w:val="left" w:pos="2268"/>
                <w:tab w:val="left" w:pos="2835"/>
              </w:tabs>
              <w:overflowPunct w:val="0"/>
              <w:autoSpaceDE w:val="0"/>
              <w:autoSpaceDN w:val="0"/>
              <w:adjustRightInd w:val="0"/>
              <w:spacing w:after="0" w:line="240" w:lineRule="atLeast"/>
              <w:textAlignment w:val="baseline"/>
              <w:rPr>
                <w:rFonts w:ascii="Calibri" w:eastAsia="Times New Roman" w:hAnsi="Calibri" w:cs="Times New Roman"/>
                <w:b/>
                <w:sz w:val="24"/>
                <w:szCs w:val="20"/>
                <w:lang w:val="en-GB"/>
              </w:rPr>
            </w:pPr>
            <w:r w:rsidRPr="00EE777B">
              <w:rPr>
                <w:rFonts w:ascii="Calibri" w:eastAsia="Times New Roman" w:hAnsi="Calibri" w:cs="Times New Roman"/>
                <w:b/>
                <w:sz w:val="24"/>
                <w:szCs w:val="20"/>
                <w:lang w:val="en-GB"/>
              </w:rPr>
              <w:t xml:space="preserve">Document </w:t>
            </w:r>
            <w:r w:rsidRPr="00EE777B">
              <w:rPr>
                <w:rFonts w:ascii="Calibri" w:eastAsia="Times New Roman" w:hAnsi="Calibri" w:cs="Times New Roman Bold"/>
                <w:b/>
                <w:spacing w:val="-4"/>
                <w:sz w:val="24"/>
                <w:szCs w:val="20"/>
                <w:lang w:val="en-GB"/>
              </w:rPr>
              <w:t>CWG-SFP-</w:t>
            </w:r>
            <w:r>
              <w:rPr>
                <w:rFonts w:ascii="Calibri" w:eastAsia="Times New Roman" w:hAnsi="Calibri" w:cs="Times New Roman Bold"/>
                <w:b/>
                <w:spacing w:val="-4"/>
                <w:sz w:val="24"/>
                <w:szCs w:val="20"/>
                <w:lang w:val="en-GB"/>
              </w:rPr>
              <w:t>2</w:t>
            </w:r>
            <w:r w:rsidRPr="00EE777B">
              <w:rPr>
                <w:rFonts w:ascii="Calibri" w:eastAsia="Times New Roman" w:hAnsi="Calibri" w:cs="Times New Roman"/>
                <w:b/>
                <w:sz w:val="24"/>
                <w:szCs w:val="20"/>
                <w:lang w:val="en-GB"/>
              </w:rPr>
              <w:t>/</w:t>
            </w:r>
            <w:r w:rsidR="00B42C33">
              <w:rPr>
                <w:rFonts w:ascii="Calibri" w:eastAsia="Times New Roman" w:hAnsi="Calibri" w:cs="Times New Roman"/>
                <w:b/>
                <w:sz w:val="24"/>
                <w:szCs w:val="20"/>
                <w:lang w:val="en-GB"/>
              </w:rPr>
              <w:t>7</w:t>
            </w:r>
          </w:p>
        </w:tc>
      </w:tr>
      <w:tr w:rsidR="00EE777B" w:rsidRPr="00EE777B" w14:paraId="4890306D" w14:textId="77777777" w:rsidTr="00C04F4A">
        <w:trPr>
          <w:cantSplit/>
          <w:trHeight w:val="23"/>
        </w:trPr>
        <w:tc>
          <w:tcPr>
            <w:tcW w:w="6911" w:type="dxa"/>
            <w:vMerge/>
          </w:tcPr>
          <w:p w14:paraId="7F3A3A38" w14:textId="77777777" w:rsidR="00EE777B" w:rsidRPr="00EE777B" w:rsidRDefault="00EE777B" w:rsidP="00EE777B">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textAlignment w:val="baseline"/>
              <w:rPr>
                <w:rFonts w:ascii="Calibri" w:eastAsia="Times New Roman" w:hAnsi="Calibri" w:cs="Times New Roman"/>
                <w:b/>
                <w:sz w:val="24"/>
                <w:szCs w:val="20"/>
                <w:lang w:val="en-GB"/>
              </w:rPr>
            </w:pPr>
            <w:bookmarkStart w:id="3" w:name="ddate" w:colFirst="1" w:colLast="1"/>
            <w:bookmarkEnd w:id="1"/>
            <w:bookmarkEnd w:id="2"/>
          </w:p>
        </w:tc>
        <w:tc>
          <w:tcPr>
            <w:tcW w:w="3120" w:type="dxa"/>
          </w:tcPr>
          <w:p w14:paraId="77D885C1" w14:textId="265913EA" w:rsidR="00EE777B" w:rsidRPr="00EE777B" w:rsidRDefault="007E5CD2" w:rsidP="00EE777B">
            <w:pPr>
              <w:tabs>
                <w:tab w:val="left" w:pos="567"/>
                <w:tab w:val="left" w:pos="993"/>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imes New Roman"/>
                <w:b/>
                <w:sz w:val="24"/>
                <w:szCs w:val="20"/>
                <w:lang w:val="en-GB"/>
              </w:rPr>
            </w:pPr>
            <w:r>
              <w:rPr>
                <w:rFonts w:ascii="Calibri" w:eastAsia="Times New Roman" w:hAnsi="Calibri" w:cs="Times New Roman"/>
                <w:b/>
                <w:sz w:val="24"/>
                <w:szCs w:val="20"/>
                <w:lang w:val="en-GB"/>
              </w:rPr>
              <w:t xml:space="preserve">3 January </w:t>
            </w:r>
            <w:r w:rsidR="00EE777B" w:rsidRPr="00EE777B">
              <w:rPr>
                <w:rFonts w:ascii="Calibri" w:eastAsia="Times New Roman" w:hAnsi="Calibri" w:cs="Times New Roman"/>
                <w:b/>
                <w:sz w:val="24"/>
                <w:szCs w:val="20"/>
                <w:lang w:val="en-GB"/>
              </w:rPr>
              <w:t>202</w:t>
            </w:r>
            <w:r>
              <w:rPr>
                <w:rFonts w:ascii="Calibri" w:eastAsia="Times New Roman" w:hAnsi="Calibri" w:cs="Times New Roman"/>
                <w:b/>
                <w:sz w:val="24"/>
                <w:szCs w:val="20"/>
                <w:lang w:val="en-GB"/>
              </w:rPr>
              <w:t>2</w:t>
            </w:r>
          </w:p>
        </w:tc>
      </w:tr>
      <w:tr w:rsidR="00EE777B" w:rsidRPr="00EE777B" w14:paraId="7DA93D32" w14:textId="77777777" w:rsidTr="00C04F4A">
        <w:trPr>
          <w:cantSplit/>
          <w:trHeight w:val="23"/>
        </w:trPr>
        <w:tc>
          <w:tcPr>
            <w:tcW w:w="6911" w:type="dxa"/>
            <w:vMerge/>
          </w:tcPr>
          <w:p w14:paraId="5E9EB46A" w14:textId="77777777" w:rsidR="00EE777B" w:rsidRPr="00EE777B" w:rsidRDefault="00EE777B" w:rsidP="00EE777B">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textAlignment w:val="baseline"/>
              <w:rPr>
                <w:rFonts w:ascii="Calibri" w:eastAsia="Times New Roman" w:hAnsi="Calibri" w:cs="Times New Roman"/>
                <w:b/>
                <w:sz w:val="24"/>
                <w:szCs w:val="20"/>
                <w:lang w:val="en-GB"/>
              </w:rPr>
            </w:pPr>
            <w:bookmarkStart w:id="4" w:name="dorlang" w:colFirst="1" w:colLast="1"/>
            <w:bookmarkEnd w:id="3"/>
          </w:p>
        </w:tc>
        <w:tc>
          <w:tcPr>
            <w:tcW w:w="3120" w:type="dxa"/>
          </w:tcPr>
          <w:p w14:paraId="097C3927" w14:textId="0585E66B" w:rsidR="00EE777B" w:rsidRPr="00EE777B" w:rsidRDefault="00EE777B" w:rsidP="00EE777B">
            <w:pPr>
              <w:tabs>
                <w:tab w:val="left" w:pos="567"/>
                <w:tab w:val="left" w:pos="993"/>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imes New Roman"/>
                <w:b/>
                <w:sz w:val="24"/>
                <w:szCs w:val="20"/>
                <w:lang w:val="en-GB"/>
              </w:rPr>
            </w:pPr>
            <w:r w:rsidRPr="00EE777B">
              <w:rPr>
                <w:rFonts w:ascii="Calibri" w:eastAsia="Times New Roman" w:hAnsi="Calibri" w:cs="Times New Roman"/>
                <w:b/>
                <w:sz w:val="24"/>
                <w:szCs w:val="20"/>
                <w:lang w:val="en-GB"/>
              </w:rPr>
              <w:t xml:space="preserve">Original: </w:t>
            </w:r>
            <w:r>
              <w:rPr>
                <w:rFonts w:ascii="Calibri" w:eastAsia="Times New Roman" w:hAnsi="Calibri" w:cs="Times New Roman"/>
                <w:b/>
                <w:sz w:val="24"/>
                <w:szCs w:val="20"/>
                <w:lang w:val="en-GB"/>
              </w:rPr>
              <w:t>English</w:t>
            </w:r>
          </w:p>
        </w:tc>
      </w:tr>
      <w:tr w:rsidR="00EE777B" w:rsidRPr="00EE777B" w14:paraId="17E61875" w14:textId="77777777" w:rsidTr="00C04F4A">
        <w:trPr>
          <w:cantSplit/>
        </w:trPr>
        <w:tc>
          <w:tcPr>
            <w:tcW w:w="10031" w:type="dxa"/>
            <w:gridSpan w:val="2"/>
          </w:tcPr>
          <w:p w14:paraId="609D9190" w14:textId="3008601C" w:rsidR="00EE777B" w:rsidRPr="00EE777B" w:rsidRDefault="00EE777B" w:rsidP="00B42C33">
            <w:pPr>
              <w:tabs>
                <w:tab w:val="left" w:pos="567"/>
                <w:tab w:val="left" w:pos="1134"/>
                <w:tab w:val="left" w:pos="1701"/>
                <w:tab w:val="left" w:pos="2268"/>
                <w:tab w:val="left" w:pos="2835"/>
              </w:tabs>
              <w:overflowPunct w:val="0"/>
              <w:autoSpaceDE w:val="0"/>
              <w:autoSpaceDN w:val="0"/>
              <w:adjustRightInd w:val="0"/>
              <w:spacing w:before="720" w:after="0" w:line="240" w:lineRule="auto"/>
              <w:jc w:val="center"/>
              <w:textAlignment w:val="baseline"/>
              <w:rPr>
                <w:rFonts w:ascii="Calibri" w:eastAsia="Times New Roman" w:hAnsi="Calibri" w:cs="Times New Roman"/>
                <w:b/>
                <w:sz w:val="28"/>
                <w:szCs w:val="20"/>
                <w:lang w:val="en-GB"/>
              </w:rPr>
            </w:pPr>
            <w:bookmarkStart w:id="5" w:name="dsource" w:colFirst="0" w:colLast="0"/>
            <w:bookmarkStart w:id="6" w:name="_Hlk82525961"/>
            <w:bookmarkEnd w:id="4"/>
            <w:r w:rsidRPr="00EE777B">
              <w:rPr>
                <w:rFonts w:ascii="Calibri" w:eastAsia="Times New Roman" w:hAnsi="Calibri" w:cs="Times New Roman"/>
                <w:b/>
                <w:bCs/>
                <w:sz w:val="28"/>
                <w:szCs w:val="20"/>
                <w:lang w:val="en-GB"/>
              </w:rPr>
              <w:t xml:space="preserve">Contribution by the </w:t>
            </w:r>
            <w:r>
              <w:rPr>
                <w:rFonts w:ascii="Calibri" w:eastAsia="Times New Roman" w:hAnsi="Calibri" w:cs="Times New Roman"/>
                <w:b/>
                <w:bCs/>
                <w:sz w:val="28"/>
                <w:szCs w:val="20"/>
                <w:lang w:val="en-GB"/>
              </w:rPr>
              <w:t>United States</w:t>
            </w:r>
          </w:p>
        </w:tc>
      </w:tr>
      <w:tr w:rsidR="00EE777B" w:rsidRPr="00EE777B" w14:paraId="7EBDC56D" w14:textId="77777777" w:rsidTr="00C04F4A">
        <w:trPr>
          <w:cantSplit/>
        </w:trPr>
        <w:tc>
          <w:tcPr>
            <w:tcW w:w="10031" w:type="dxa"/>
            <w:gridSpan w:val="2"/>
          </w:tcPr>
          <w:p w14:paraId="7144FD7E" w14:textId="36F0F85B" w:rsidR="00EE777B" w:rsidRPr="00EE777B" w:rsidRDefault="00EE777B" w:rsidP="00EE777B">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ascii="Calibri" w:eastAsia="Times New Roman" w:hAnsi="Calibri" w:cs="Times New Roman"/>
                <w:caps/>
                <w:sz w:val="28"/>
                <w:szCs w:val="20"/>
                <w:lang w:val="en-GB"/>
              </w:rPr>
            </w:pPr>
            <w:bookmarkStart w:id="7" w:name="lt_pId012"/>
            <w:bookmarkStart w:id="8" w:name="dtitle1" w:colFirst="0" w:colLast="0"/>
            <w:bookmarkEnd w:id="5"/>
            <w:r w:rsidRPr="00EE777B">
              <w:rPr>
                <w:rFonts w:ascii="Calibri" w:eastAsia="Times New Roman" w:hAnsi="Calibri" w:cs="Times New Roman"/>
                <w:bCs/>
                <w:caps/>
                <w:sz w:val="28"/>
                <w:szCs w:val="20"/>
                <w:lang w:val="en-GB"/>
              </w:rPr>
              <w:t xml:space="preserve">Proposals for </w:t>
            </w:r>
            <w:r w:rsidR="00FA466B">
              <w:rPr>
                <w:rFonts w:ascii="Calibri" w:eastAsia="Times New Roman" w:hAnsi="Calibri" w:cs="Times New Roman"/>
                <w:bCs/>
                <w:caps/>
                <w:sz w:val="28"/>
                <w:szCs w:val="20"/>
                <w:lang w:val="en-GB"/>
              </w:rPr>
              <w:t xml:space="preserve">Annex 1 of </w:t>
            </w:r>
            <w:r w:rsidRPr="00EE777B">
              <w:rPr>
                <w:rFonts w:ascii="Calibri" w:eastAsia="Times New Roman" w:hAnsi="Calibri" w:cs="Times New Roman"/>
                <w:bCs/>
                <w:caps/>
                <w:sz w:val="28"/>
                <w:szCs w:val="20"/>
                <w:lang w:val="en-GB"/>
              </w:rPr>
              <w:t>the itu strategic plan for 2024–2027</w:t>
            </w:r>
            <w:bookmarkEnd w:id="7"/>
          </w:p>
        </w:tc>
      </w:tr>
    </w:tbl>
    <w:p w14:paraId="52910450" w14:textId="17B18D12" w:rsidR="00EE777B" w:rsidRDefault="00EE777B" w:rsidP="002D70A0">
      <w:pPr>
        <w:keepNext/>
        <w:keepLines/>
        <w:tabs>
          <w:tab w:val="left" w:pos="567"/>
          <w:tab w:val="left" w:pos="1134"/>
          <w:tab w:val="left" w:pos="1701"/>
          <w:tab w:val="left" w:pos="2268"/>
          <w:tab w:val="left" w:pos="2835"/>
        </w:tabs>
        <w:overflowPunct w:val="0"/>
        <w:autoSpaceDE w:val="0"/>
        <w:autoSpaceDN w:val="0"/>
        <w:adjustRightInd w:val="0"/>
        <w:spacing w:before="360" w:line="240" w:lineRule="auto"/>
        <w:ind w:left="567" w:hanging="567"/>
        <w:textAlignment w:val="baseline"/>
        <w:outlineLvl w:val="0"/>
        <w:rPr>
          <w:rFonts w:ascii="Calibri" w:eastAsia="Times New Roman" w:hAnsi="Calibri" w:cs="Times New Roman"/>
          <w:b/>
          <w:sz w:val="24"/>
          <w:szCs w:val="20"/>
          <w:lang w:val="en-GB"/>
        </w:rPr>
      </w:pPr>
      <w:bookmarkStart w:id="9" w:name="dstart"/>
      <w:bookmarkStart w:id="10" w:name="dbreak"/>
      <w:bookmarkEnd w:id="6"/>
      <w:bookmarkEnd w:id="8"/>
      <w:bookmarkEnd w:id="9"/>
      <w:bookmarkEnd w:id="10"/>
      <w:r w:rsidRPr="00EE777B">
        <w:rPr>
          <w:rFonts w:ascii="Calibri" w:eastAsia="Times New Roman" w:hAnsi="Calibri" w:cs="Times New Roman"/>
          <w:b/>
          <w:sz w:val="24"/>
          <w:szCs w:val="20"/>
          <w:lang w:val="en-GB"/>
        </w:rPr>
        <w:t>Introduction</w:t>
      </w:r>
    </w:p>
    <w:p w14:paraId="3681B0BC" w14:textId="58ED4879" w:rsidR="007A360A" w:rsidRPr="00020209" w:rsidRDefault="00802447" w:rsidP="00B42C33">
      <w:pPr>
        <w:spacing w:before="120"/>
        <w:rPr>
          <w:color w:val="000000" w:themeColor="text1"/>
          <w:lang w:val="en-GB"/>
        </w:rPr>
      </w:pPr>
      <w:r w:rsidRPr="00020209">
        <w:rPr>
          <w:color w:val="000000" w:themeColor="text1"/>
          <w:lang w:val="en-GB"/>
        </w:rPr>
        <w:t>The United State</w:t>
      </w:r>
      <w:r w:rsidR="005C539D" w:rsidRPr="00020209">
        <w:rPr>
          <w:color w:val="000000" w:themeColor="text1"/>
          <w:lang w:val="en-GB"/>
        </w:rPr>
        <w:t xml:space="preserve"> offers </w:t>
      </w:r>
      <w:r w:rsidRPr="00020209">
        <w:rPr>
          <w:color w:val="000000" w:themeColor="text1"/>
          <w:lang w:val="en-GB"/>
        </w:rPr>
        <w:t xml:space="preserve">some initial </w:t>
      </w:r>
      <w:r w:rsidR="00B44C6C" w:rsidRPr="00020209">
        <w:rPr>
          <w:color w:val="000000" w:themeColor="text1"/>
          <w:lang w:val="en-GB"/>
        </w:rPr>
        <w:t xml:space="preserve">high-level </w:t>
      </w:r>
      <w:r w:rsidRPr="00020209">
        <w:rPr>
          <w:color w:val="000000" w:themeColor="text1"/>
          <w:lang w:val="en-GB"/>
        </w:rPr>
        <w:t xml:space="preserve">observations and proposals towards the development of the ITU Strategic Plan for 2024-2027.  We appreciate </w:t>
      </w:r>
      <w:r w:rsidR="007A360A" w:rsidRPr="00020209">
        <w:rPr>
          <w:color w:val="000000" w:themeColor="text1"/>
          <w:lang w:val="en-GB"/>
        </w:rPr>
        <w:t xml:space="preserve">that </w:t>
      </w:r>
      <w:r w:rsidRPr="00020209">
        <w:rPr>
          <w:color w:val="000000" w:themeColor="text1"/>
          <w:lang w:val="en-GB"/>
        </w:rPr>
        <w:t>this initial draft</w:t>
      </w:r>
      <w:r w:rsidR="007A360A" w:rsidRPr="00020209">
        <w:rPr>
          <w:color w:val="000000" w:themeColor="text1"/>
          <w:lang w:val="en-GB"/>
        </w:rPr>
        <w:t xml:space="preserve"> of Annex 1 to Resolution 71 </w:t>
      </w:r>
      <w:r w:rsidRPr="00020209">
        <w:rPr>
          <w:color w:val="000000" w:themeColor="text1"/>
          <w:lang w:val="en-GB"/>
        </w:rPr>
        <w:t xml:space="preserve"> </w:t>
      </w:r>
      <w:r w:rsidR="007A360A" w:rsidRPr="00020209">
        <w:rPr>
          <w:color w:val="000000" w:themeColor="text1"/>
          <w:lang w:val="en-GB"/>
        </w:rPr>
        <w:t>of the ITU</w:t>
      </w:r>
      <w:r w:rsidRPr="00020209">
        <w:rPr>
          <w:color w:val="000000" w:themeColor="text1"/>
          <w:lang w:val="en-GB"/>
        </w:rPr>
        <w:t xml:space="preserve"> Strategic Plan 2024-2027 takes into account important feedback and contributions from the membership to streamline, simplify and provide more clarity on the strategic framework for the ITU</w:t>
      </w:r>
      <w:r w:rsidR="007A360A" w:rsidRPr="00020209">
        <w:rPr>
          <w:color w:val="000000" w:themeColor="text1"/>
          <w:lang w:val="en-GB"/>
        </w:rPr>
        <w:t>, and</w:t>
      </w:r>
      <w:r w:rsidRPr="00020209">
        <w:rPr>
          <w:color w:val="000000" w:themeColor="text1"/>
          <w:lang w:val="en-GB"/>
        </w:rPr>
        <w:t xml:space="preserve"> keep</w:t>
      </w:r>
      <w:r w:rsidR="007A360A" w:rsidRPr="00020209">
        <w:rPr>
          <w:color w:val="000000" w:themeColor="text1"/>
          <w:lang w:val="en-GB"/>
        </w:rPr>
        <w:t>s</w:t>
      </w:r>
      <w:r w:rsidRPr="00020209">
        <w:rPr>
          <w:color w:val="000000" w:themeColor="text1"/>
          <w:lang w:val="en-GB"/>
        </w:rPr>
        <w:t xml:space="preserve"> the Strategic Plan at a high level </w:t>
      </w:r>
      <w:r w:rsidR="007A360A" w:rsidRPr="00020209">
        <w:rPr>
          <w:color w:val="000000" w:themeColor="text1"/>
          <w:lang w:val="en-GB"/>
        </w:rPr>
        <w:t xml:space="preserve">while focusing on the strategic goals and priorities and the Union’s main products and offerings across all three Sectors.  </w:t>
      </w:r>
    </w:p>
    <w:p w14:paraId="1A08B957" w14:textId="24E70F53" w:rsidR="009D6F64" w:rsidRPr="00020209" w:rsidRDefault="007A360A" w:rsidP="00802447">
      <w:pPr>
        <w:rPr>
          <w:rFonts w:ascii="Calibri" w:hAnsi="Calibri" w:cs="Calibri"/>
          <w:color w:val="000000" w:themeColor="text1"/>
          <w:shd w:val="clear" w:color="auto" w:fill="FFFFFF"/>
        </w:rPr>
      </w:pPr>
      <w:r w:rsidRPr="00020209">
        <w:rPr>
          <w:color w:val="000000" w:themeColor="text1"/>
          <w:lang w:val="en-GB"/>
        </w:rPr>
        <w:t>We find that this new framework</w:t>
      </w:r>
      <w:r w:rsidR="005C539D" w:rsidRPr="00020209">
        <w:rPr>
          <w:color w:val="000000" w:themeColor="text1"/>
          <w:lang w:val="en-GB"/>
        </w:rPr>
        <w:t xml:space="preserve"> provides a clear and succinct structure for defining the ITU’s high level strategic plan and </w:t>
      </w:r>
      <w:r w:rsidRPr="00020209">
        <w:rPr>
          <w:color w:val="000000" w:themeColor="text1"/>
          <w:lang w:val="en-GB"/>
        </w:rPr>
        <w:t xml:space="preserve">has the added benefit of allowing more dynamic consideration of each Sector’s specific </w:t>
      </w:r>
      <w:r w:rsidR="00AF05E2" w:rsidRPr="00020209">
        <w:rPr>
          <w:color w:val="000000" w:themeColor="text1"/>
          <w:lang w:val="en-GB"/>
        </w:rPr>
        <w:t xml:space="preserve">outputs in the respective Operational Plans, which </w:t>
      </w:r>
      <w:r w:rsidR="00DC45FE">
        <w:rPr>
          <w:rFonts w:ascii="Calibri" w:hAnsi="Calibri" w:cs="Calibri"/>
          <w:color w:val="000000" w:themeColor="text1"/>
          <w:shd w:val="clear" w:color="auto" w:fill="FFFFFF"/>
        </w:rPr>
        <w:t>provides</w:t>
      </w:r>
      <w:r w:rsidR="00AD5A38" w:rsidRPr="00020209">
        <w:rPr>
          <w:rFonts w:ascii="Calibri" w:hAnsi="Calibri" w:cs="Calibri"/>
          <w:color w:val="000000" w:themeColor="text1"/>
          <w:shd w:val="clear" w:color="auto" w:fill="FFFFFF"/>
        </w:rPr>
        <w:t xml:space="preserve"> the road map for the implementation of relevant activities in each Sector</w:t>
      </w:r>
      <w:r w:rsidR="00DC45FE">
        <w:rPr>
          <w:rFonts w:ascii="Calibri" w:hAnsi="Calibri" w:cs="Calibri"/>
          <w:color w:val="000000" w:themeColor="text1"/>
          <w:shd w:val="clear" w:color="auto" w:fill="FFFFFF"/>
        </w:rPr>
        <w:t xml:space="preserve"> that contribute towards the strategic goals and priorities</w:t>
      </w:r>
      <w:r w:rsidR="00AD5A38" w:rsidRPr="00020209">
        <w:rPr>
          <w:rFonts w:ascii="Calibri" w:hAnsi="Calibri" w:cs="Calibri"/>
          <w:color w:val="000000" w:themeColor="text1"/>
          <w:shd w:val="clear" w:color="auto" w:fill="FFFFFF"/>
        </w:rPr>
        <w:t>.  </w:t>
      </w:r>
      <w:r w:rsidR="00E05D7B">
        <w:rPr>
          <w:rFonts w:ascii="Calibri" w:hAnsi="Calibri" w:cs="Calibri"/>
          <w:color w:val="000000" w:themeColor="text1"/>
          <w:shd w:val="clear" w:color="auto" w:fill="FFFFFF"/>
        </w:rPr>
        <w:t>We also support the way in which the Enablers also serve as cross-cutting elements across the ITU’s work which are essential, but which are differentiated from thematic priorities, outcomes or outputs.</w:t>
      </w:r>
    </w:p>
    <w:p w14:paraId="6C83DD43" w14:textId="3351470F" w:rsidR="00AD5A38" w:rsidRPr="00020209" w:rsidRDefault="00AD5A38" w:rsidP="00B42C33">
      <w:pPr>
        <w:spacing w:before="360"/>
        <w:rPr>
          <w:rFonts w:ascii="Calibri" w:hAnsi="Calibri" w:cs="Calibri"/>
          <w:b/>
          <w:bCs/>
          <w:color w:val="000000" w:themeColor="text1"/>
          <w:shd w:val="clear" w:color="auto" w:fill="FFFFFF"/>
        </w:rPr>
      </w:pPr>
      <w:r w:rsidRPr="00020209">
        <w:rPr>
          <w:rFonts w:ascii="Calibri" w:hAnsi="Calibri" w:cs="Calibri"/>
          <w:b/>
          <w:bCs/>
          <w:color w:val="000000" w:themeColor="text1"/>
          <w:shd w:val="clear" w:color="auto" w:fill="FFFFFF"/>
        </w:rPr>
        <w:t>Proposal</w:t>
      </w:r>
    </w:p>
    <w:p w14:paraId="501FD6CD" w14:textId="3F280A27" w:rsidR="00AD5A38" w:rsidRPr="00020209" w:rsidRDefault="005C539D" w:rsidP="005C539D">
      <w:pPr>
        <w:pStyle w:val="ListParagraph"/>
        <w:numPr>
          <w:ilvl w:val="0"/>
          <w:numId w:val="1"/>
        </w:numPr>
        <w:rPr>
          <w:b/>
          <w:bCs/>
          <w:color w:val="000000" w:themeColor="text1"/>
          <w:lang w:val="en-GB"/>
        </w:rPr>
      </w:pPr>
      <w:r w:rsidRPr="00020209">
        <w:rPr>
          <w:b/>
          <w:bCs/>
          <w:color w:val="000000" w:themeColor="text1"/>
          <w:lang w:val="en-GB"/>
        </w:rPr>
        <w:t xml:space="preserve">Section 2.2 Vision: </w:t>
      </w:r>
      <w:r w:rsidR="00BE71B0" w:rsidRPr="00020209">
        <w:rPr>
          <w:rFonts w:ascii="Calibri" w:eastAsia="Calibri" w:hAnsi="Calibri" w:cs="Times New Roman"/>
          <w:color w:val="000000" w:themeColor="text1"/>
        </w:rPr>
        <w:t>T</w:t>
      </w:r>
      <w:r w:rsidRPr="00020209">
        <w:rPr>
          <w:rFonts w:ascii="Calibri" w:eastAsia="Calibri" w:hAnsi="Calibri" w:cs="Times New Roman"/>
          <w:color w:val="000000" w:themeColor="text1"/>
        </w:rPr>
        <w:t>he United States reiterates its view that the overall Vision should remain stable over time</w:t>
      </w:r>
      <w:r w:rsidR="00BE71B0" w:rsidRPr="00020209">
        <w:rPr>
          <w:rFonts w:ascii="Calibri" w:eastAsia="Calibri" w:hAnsi="Calibri" w:cs="Times New Roman"/>
          <w:color w:val="000000" w:themeColor="text1"/>
        </w:rPr>
        <w:t>, so we support Option 1 to keep the current version</w:t>
      </w:r>
      <w:r w:rsidRPr="00020209">
        <w:rPr>
          <w:rFonts w:ascii="Calibri" w:eastAsia="Calibri" w:hAnsi="Calibri" w:cs="Times New Roman"/>
          <w:color w:val="000000" w:themeColor="text1"/>
        </w:rPr>
        <w:t>.  The current Vision statement</w:t>
      </w:r>
      <w:r w:rsidR="00BE71B0" w:rsidRPr="00020209">
        <w:rPr>
          <w:rFonts w:ascii="Calibri" w:eastAsia="Calibri" w:hAnsi="Calibri" w:cs="Times New Roman"/>
          <w:color w:val="000000" w:themeColor="text1"/>
        </w:rPr>
        <w:t xml:space="preserve"> is </w:t>
      </w:r>
      <w:r w:rsidRPr="00020209">
        <w:rPr>
          <w:rFonts w:ascii="Calibri" w:eastAsia="Calibri" w:hAnsi="Calibri" w:cs="Times New Roman"/>
          <w:color w:val="000000" w:themeColor="text1"/>
        </w:rPr>
        <w:t>aligned with and adhere</w:t>
      </w:r>
      <w:r w:rsidR="00BE71B0" w:rsidRPr="00020209">
        <w:rPr>
          <w:rFonts w:ascii="Calibri" w:eastAsia="Calibri" w:hAnsi="Calibri" w:cs="Times New Roman"/>
          <w:color w:val="000000" w:themeColor="text1"/>
        </w:rPr>
        <w:t>s</w:t>
      </w:r>
      <w:r w:rsidRPr="00020209">
        <w:rPr>
          <w:rFonts w:ascii="Calibri" w:eastAsia="Calibri" w:hAnsi="Calibri" w:cs="Times New Roman"/>
          <w:color w:val="000000" w:themeColor="text1"/>
        </w:rPr>
        <w:t xml:space="preserve"> to the mandates of the ITU under its Constitution and Convention, and remains applicable and relevant for the 2024-2027 period</w:t>
      </w:r>
      <w:r w:rsidR="00BE71B0" w:rsidRPr="00020209">
        <w:rPr>
          <w:rFonts w:ascii="Calibri" w:eastAsia="Calibri" w:hAnsi="Calibri" w:cs="Times New Roman"/>
          <w:color w:val="000000" w:themeColor="text1"/>
        </w:rPr>
        <w:t>.</w:t>
      </w:r>
    </w:p>
    <w:p w14:paraId="7E1A3E93" w14:textId="4F43BB91" w:rsidR="00BE71B0" w:rsidRPr="00020209" w:rsidRDefault="00BE71B0" w:rsidP="005C539D">
      <w:pPr>
        <w:pStyle w:val="ListParagraph"/>
        <w:numPr>
          <w:ilvl w:val="0"/>
          <w:numId w:val="1"/>
        </w:numPr>
        <w:rPr>
          <w:b/>
          <w:bCs/>
          <w:color w:val="000000" w:themeColor="text1"/>
          <w:lang w:val="en-GB"/>
        </w:rPr>
      </w:pPr>
      <w:r w:rsidRPr="00020209">
        <w:rPr>
          <w:b/>
          <w:bCs/>
          <w:color w:val="000000" w:themeColor="text1"/>
          <w:lang w:val="en-GB"/>
        </w:rPr>
        <w:t>Section 2.3 Mission:</w:t>
      </w:r>
      <w:r w:rsidRPr="00020209">
        <w:rPr>
          <w:color w:val="000000" w:themeColor="text1"/>
          <w:lang w:val="en-GB"/>
        </w:rPr>
        <w:t xml:space="preserve">  The current Mission statement remains relevant </w:t>
      </w:r>
      <w:r w:rsidR="00DC45FE">
        <w:rPr>
          <w:color w:val="000000" w:themeColor="text1"/>
          <w:lang w:val="en-GB"/>
        </w:rPr>
        <w:t>for</w:t>
      </w:r>
      <w:r w:rsidRPr="00020209">
        <w:rPr>
          <w:color w:val="000000" w:themeColor="text1"/>
          <w:lang w:val="en-GB"/>
        </w:rPr>
        <w:t xml:space="preserve"> the 2024-2027 period, and is also aligned with and adheres to the mandates of the ITU under its Constitution and Convention.  We also find that there is not a significant change in the proposed option to shorten the Mission statement, so we support Option 1 to keep the current version, consistent with our view that the Mission statement should also remain stable over time. </w:t>
      </w:r>
    </w:p>
    <w:p w14:paraId="6DEA0474" w14:textId="572C7618" w:rsidR="00BE71B0" w:rsidRPr="00020209" w:rsidRDefault="00BE71B0" w:rsidP="002D70A0">
      <w:pPr>
        <w:pStyle w:val="ListParagraph"/>
        <w:keepNext/>
        <w:keepLines/>
        <w:numPr>
          <w:ilvl w:val="0"/>
          <w:numId w:val="1"/>
        </w:numPr>
        <w:ind w:left="357" w:hanging="357"/>
        <w:rPr>
          <w:b/>
          <w:bCs/>
          <w:color w:val="000000" w:themeColor="text1"/>
          <w:lang w:val="en-GB"/>
        </w:rPr>
      </w:pPr>
      <w:r w:rsidRPr="00020209">
        <w:rPr>
          <w:b/>
          <w:bCs/>
          <w:color w:val="000000" w:themeColor="text1"/>
          <w:lang w:val="en-GB"/>
        </w:rPr>
        <w:lastRenderedPageBreak/>
        <w:t xml:space="preserve">Section </w:t>
      </w:r>
      <w:r w:rsidR="00B44C6C" w:rsidRPr="00020209">
        <w:rPr>
          <w:b/>
          <w:bCs/>
          <w:color w:val="000000" w:themeColor="text1"/>
          <w:lang w:val="en-GB"/>
        </w:rPr>
        <w:t xml:space="preserve">2.6 Thematic Priorities:  </w:t>
      </w:r>
      <w:r w:rsidR="00B44C6C" w:rsidRPr="00020209">
        <w:rPr>
          <w:color w:val="000000" w:themeColor="text1"/>
          <w:lang w:val="en-GB"/>
        </w:rPr>
        <w:t xml:space="preserve">Consistent with our view that the ITU’s work on cybersecurity is best reflected as a cross-cutting activity across other thematic priorities, we support Option 2, to integrate cybersecurity outcomes under </w:t>
      </w:r>
      <w:r w:rsidR="009D6F64" w:rsidRPr="00020209">
        <w:rPr>
          <w:color w:val="000000" w:themeColor="text1"/>
          <w:lang w:val="en-GB"/>
        </w:rPr>
        <w:t xml:space="preserve">the other Thematic Priorities such as the Enabling Environment and Infrastructure and Services. </w:t>
      </w:r>
    </w:p>
    <w:p w14:paraId="19A3C33F" w14:textId="0B81335D" w:rsidR="00332574" w:rsidRPr="007E5CD2" w:rsidRDefault="009D6F64" w:rsidP="00332574">
      <w:pPr>
        <w:pStyle w:val="ListParagraph"/>
        <w:numPr>
          <w:ilvl w:val="0"/>
          <w:numId w:val="1"/>
        </w:numPr>
        <w:rPr>
          <w:b/>
          <w:bCs/>
          <w:lang w:val="en-GB"/>
        </w:rPr>
      </w:pPr>
      <w:r w:rsidRPr="00020209">
        <w:rPr>
          <w:b/>
          <w:bCs/>
          <w:color w:val="000000" w:themeColor="text1"/>
          <w:lang w:val="en-GB"/>
        </w:rPr>
        <w:t xml:space="preserve">Section 2.7 Products and Services:  </w:t>
      </w:r>
      <w:r w:rsidRPr="00020209">
        <w:rPr>
          <w:color w:val="000000" w:themeColor="text1"/>
          <w:lang w:val="en-GB"/>
        </w:rPr>
        <w:t>Paragraphs 38-41</w:t>
      </w:r>
      <w:r w:rsidR="00385CC6" w:rsidRPr="00020209">
        <w:rPr>
          <w:color w:val="000000" w:themeColor="text1"/>
          <w:lang w:val="en-GB"/>
        </w:rPr>
        <w:t xml:space="preserve"> are descriptive of the ITU Radio Regulations, so to be more accurate and specific of the ITU work, we suggest renaming the Product and Services header for these referenced paragraphs as “International Frequency Management” instead of the generic “Development and application of internation</w:t>
      </w:r>
      <w:r w:rsidR="00385CC6">
        <w:rPr>
          <w:lang w:val="en-GB"/>
        </w:rPr>
        <w:t xml:space="preserve">al regulations” which can be misleading. </w:t>
      </w:r>
      <w:r w:rsidR="00E05D7B">
        <w:rPr>
          <w:lang w:val="en-GB"/>
        </w:rPr>
        <w:t xml:space="preserve"> We further recommend some modification of the language in this section to more accurately reflect the purpose and application of the Radio Regulations. </w:t>
      </w:r>
    </w:p>
    <w:p w14:paraId="1F3E2107" w14:textId="74FEF69C" w:rsidR="00332574" w:rsidRDefault="00332574" w:rsidP="007E5CD2">
      <w:pPr>
        <w:rPr>
          <w:bCs/>
          <w:lang w:val="en-GB"/>
        </w:rPr>
      </w:pPr>
      <w:r w:rsidRPr="007E5CD2">
        <w:rPr>
          <w:bCs/>
          <w:lang w:val="en-GB"/>
        </w:rPr>
        <w:t xml:space="preserve">The United States welcomes further discussion </w:t>
      </w:r>
      <w:r>
        <w:rPr>
          <w:bCs/>
          <w:lang w:val="en-GB"/>
        </w:rPr>
        <w:t xml:space="preserve">within the Council Working Group </w:t>
      </w:r>
      <w:r w:rsidRPr="007E5CD2">
        <w:rPr>
          <w:bCs/>
          <w:lang w:val="en-GB"/>
        </w:rPr>
        <w:t>of the draft Strategic Plan</w:t>
      </w:r>
      <w:r>
        <w:rPr>
          <w:bCs/>
          <w:lang w:val="en-GB"/>
        </w:rPr>
        <w:t xml:space="preserve"> thematic priorities, including the high</w:t>
      </w:r>
      <w:r w:rsidR="007E5CD2">
        <w:rPr>
          <w:bCs/>
          <w:lang w:val="en-GB"/>
        </w:rPr>
        <w:t>-l</w:t>
      </w:r>
      <w:r>
        <w:rPr>
          <w:bCs/>
          <w:lang w:val="en-GB"/>
        </w:rPr>
        <w:t>evel outcomes under each Thematic priority and how those relate to the strategic goals and targets.</w:t>
      </w:r>
    </w:p>
    <w:p w14:paraId="4C26BFB7" w14:textId="16E645EF" w:rsidR="002D70A0" w:rsidRPr="00332574" w:rsidRDefault="002D70A0" w:rsidP="002D70A0">
      <w:pPr>
        <w:spacing w:before="840" w:after="0"/>
        <w:jc w:val="center"/>
        <w:rPr>
          <w:bCs/>
          <w:lang w:val="en-GB"/>
        </w:rPr>
      </w:pPr>
      <w:r>
        <w:rPr>
          <w:bCs/>
          <w:lang w:val="en-GB"/>
        </w:rPr>
        <w:t>_________________</w:t>
      </w:r>
    </w:p>
    <w:sectPr w:rsidR="002D70A0" w:rsidRPr="00332574" w:rsidSect="00B521E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auto"/>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D4FFA"/>
    <w:multiLevelType w:val="hybridMultilevel"/>
    <w:tmpl w:val="22E4E2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7B"/>
    <w:rsid w:val="00020209"/>
    <w:rsid w:val="002D70A0"/>
    <w:rsid w:val="00332574"/>
    <w:rsid w:val="00385CC6"/>
    <w:rsid w:val="003E2146"/>
    <w:rsid w:val="005C539D"/>
    <w:rsid w:val="007A360A"/>
    <w:rsid w:val="007B597F"/>
    <w:rsid w:val="007E5CD2"/>
    <w:rsid w:val="00802447"/>
    <w:rsid w:val="009D6F64"/>
    <w:rsid w:val="00AB0C3D"/>
    <w:rsid w:val="00AD5A38"/>
    <w:rsid w:val="00AF05E2"/>
    <w:rsid w:val="00B42C33"/>
    <w:rsid w:val="00B44C6C"/>
    <w:rsid w:val="00BE71B0"/>
    <w:rsid w:val="00CC37B4"/>
    <w:rsid w:val="00CD68C0"/>
    <w:rsid w:val="00D641D3"/>
    <w:rsid w:val="00DC45FE"/>
    <w:rsid w:val="00E00835"/>
    <w:rsid w:val="00E05D7B"/>
    <w:rsid w:val="00EE777B"/>
    <w:rsid w:val="00FA466B"/>
    <w:rsid w:val="00FD3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D836"/>
  <w15:chartTrackingRefBased/>
  <w15:docId w15:val="{DBF96FA3-99BA-4759-9907-22A786DF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39D"/>
    <w:pPr>
      <w:ind w:left="720"/>
      <w:contextualSpacing/>
    </w:pPr>
  </w:style>
  <w:style w:type="paragraph" w:styleId="BalloonText">
    <w:name w:val="Balloon Text"/>
    <w:basedOn w:val="Normal"/>
    <w:link w:val="BalloonTextChar"/>
    <w:uiPriority w:val="99"/>
    <w:semiHidden/>
    <w:unhideWhenUsed/>
    <w:rsid w:val="0033257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257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USA - Proposals for Annex 1 of the ITU Strategic Plan for 2024-2027</dc:title>
  <dc:subject/>
  <dc:creator>Michele Wu-Bailey</dc:creator>
  <cp:keywords/>
  <dc:description/>
  <cp:lastModifiedBy>Brouard, Ricarda</cp:lastModifiedBy>
  <cp:revision>2</cp:revision>
  <dcterms:created xsi:type="dcterms:W3CDTF">2022-01-05T09:53:00Z</dcterms:created>
  <dcterms:modified xsi:type="dcterms:W3CDTF">2022-01-05T09:53:00Z</dcterms:modified>
</cp:coreProperties>
</file>