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044C7910" w:rsidR="005F153A" w:rsidRPr="002F6797" w:rsidRDefault="000F2E67" w:rsidP="0076620B">
            <w:pPr>
              <w:rPr>
                <w:b/>
                <w:position w:val="6"/>
                <w:sz w:val="30"/>
                <w:szCs w:val="30"/>
              </w:rPr>
            </w:pPr>
            <w:bookmarkStart w:id="0" w:name="dc06"/>
            <w:bookmarkEnd w:id="0"/>
            <w:r w:rsidRPr="000F2E67">
              <w:rPr>
                <w:b/>
                <w:position w:val="6"/>
                <w:sz w:val="30"/>
                <w:szCs w:val="30"/>
              </w:rPr>
              <w:t>Council Working Group on</w:t>
            </w:r>
            <w:r w:rsidR="002F6797">
              <w:rPr>
                <w:b/>
                <w:position w:val="6"/>
                <w:sz w:val="30"/>
                <w:szCs w:val="30"/>
              </w:rPr>
              <w:br/>
              <w:t>Financial and Human Resources</w:t>
            </w:r>
            <w:r w:rsidR="00994E08">
              <w:rPr>
                <w:b/>
                <w:position w:val="6"/>
                <w:sz w:val="30"/>
                <w:szCs w:val="30"/>
              </w:rPr>
              <w:br/>
            </w:r>
            <w:r w:rsidR="002F6797">
              <w:rPr>
                <w:rFonts w:cstheme="minorHAnsi"/>
                <w:b/>
                <w:spacing w:val="-2"/>
                <w:sz w:val="24"/>
                <w:szCs w:val="24"/>
              </w:rPr>
              <w:t>Fifteen</w:t>
            </w:r>
            <w:r w:rsidR="00CA20F2" w:rsidRPr="00857FF1">
              <w:rPr>
                <w:rFonts w:cstheme="minorHAnsi"/>
                <w:b/>
                <w:spacing w:val="-2"/>
                <w:sz w:val="24"/>
                <w:szCs w:val="24"/>
              </w:rPr>
              <w:t>th</w:t>
            </w:r>
            <w:r w:rsidR="001B506B" w:rsidRPr="00857FF1">
              <w:rPr>
                <w:rFonts w:cstheme="minorHAnsi"/>
                <w:b/>
                <w:spacing w:val="-2"/>
                <w:sz w:val="24"/>
                <w:szCs w:val="24"/>
              </w:rPr>
              <w:t xml:space="preserve"> meeting </w:t>
            </w:r>
            <w:r w:rsidR="001B506B" w:rsidRPr="00857FF1">
              <w:rPr>
                <w:rFonts w:eastAsia="Calibri" w:cstheme="minorHAnsi"/>
                <w:b/>
                <w:color w:val="000000"/>
                <w:spacing w:val="-2"/>
                <w:sz w:val="24"/>
                <w:szCs w:val="24"/>
              </w:rPr>
              <w:t>–</w:t>
            </w:r>
            <w:r w:rsidR="008100E1">
              <w:rPr>
                <w:rFonts w:eastAsia="Calibri" w:cstheme="minorHAnsi"/>
                <w:b/>
                <w:color w:val="000000"/>
                <w:spacing w:val="-2"/>
                <w:sz w:val="24"/>
                <w:szCs w:val="24"/>
              </w:rPr>
              <w:t xml:space="preserve"> </w:t>
            </w:r>
            <w:r w:rsidR="00857FF1" w:rsidRPr="00857FF1">
              <w:rPr>
                <w:rFonts w:cstheme="minorHAnsi"/>
                <w:b/>
                <w:spacing w:val="-2"/>
                <w:sz w:val="24"/>
                <w:szCs w:val="24"/>
              </w:rPr>
              <w:t>1</w:t>
            </w:r>
            <w:r w:rsidR="002F6797">
              <w:rPr>
                <w:rFonts w:cstheme="minorHAnsi"/>
                <w:b/>
                <w:spacing w:val="-2"/>
                <w:sz w:val="24"/>
                <w:szCs w:val="24"/>
              </w:rPr>
              <w:t>1</w:t>
            </w:r>
            <w:r w:rsidR="00857FF1" w:rsidRPr="00857FF1">
              <w:rPr>
                <w:rFonts w:cstheme="minorHAnsi"/>
                <w:b/>
                <w:spacing w:val="-2"/>
                <w:sz w:val="24"/>
                <w:szCs w:val="24"/>
              </w:rPr>
              <w:t xml:space="preserve"> and 1</w:t>
            </w:r>
            <w:r w:rsidR="002F6797">
              <w:rPr>
                <w:rFonts w:cstheme="minorHAnsi"/>
                <w:b/>
                <w:spacing w:val="-2"/>
                <w:sz w:val="24"/>
                <w:szCs w:val="24"/>
              </w:rPr>
              <w:t>2</w:t>
            </w:r>
            <w:r w:rsidR="004B6FBE" w:rsidRPr="00857FF1">
              <w:rPr>
                <w:rFonts w:cstheme="minorHAnsi"/>
                <w:b/>
                <w:spacing w:val="-2"/>
                <w:sz w:val="24"/>
                <w:szCs w:val="24"/>
              </w:rPr>
              <w:t xml:space="preserve"> </w:t>
            </w:r>
            <w:r w:rsidR="00857FF1" w:rsidRPr="00857FF1">
              <w:rPr>
                <w:rFonts w:cstheme="minorHAnsi"/>
                <w:b/>
                <w:spacing w:val="-2"/>
                <w:sz w:val="24"/>
                <w:szCs w:val="24"/>
              </w:rPr>
              <w:t>January</w:t>
            </w:r>
            <w:r w:rsidR="0076620B" w:rsidRPr="00857FF1">
              <w:rPr>
                <w:rFonts w:cstheme="minorHAnsi"/>
                <w:b/>
                <w:spacing w:val="-2"/>
                <w:sz w:val="24"/>
                <w:szCs w:val="24"/>
              </w:rPr>
              <w:t xml:space="preserve"> 20</w:t>
            </w:r>
            <w:r w:rsidR="000E334D" w:rsidRPr="00857FF1">
              <w:rPr>
                <w:rFonts w:cstheme="minorHAnsi"/>
                <w:b/>
                <w:spacing w:val="-2"/>
                <w:sz w:val="24"/>
                <w:szCs w:val="24"/>
              </w:rPr>
              <w:t>2</w:t>
            </w:r>
            <w:r w:rsidR="00857FF1" w:rsidRPr="00857FF1">
              <w:rPr>
                <w:rFonts w:cstheme="minorHAnsi"/>
                <w:b/>
                <w:spacing w:val="-2"/>
                <w:sz w:val="24"/>
                <w:szCs w:val="24"/>
              </w:rPr>
              <w:t>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0B4000" w14:paraId="414CFCAF" w14:textId="77777777" w:rsidTr="0036762C">
        <w:trPr>
          <w:cantSplit/>
          <w:trHeight w:val="23"/>
        </w:trPr>
        <w:tc>
          <w:tcPr>
            <w:tcW w:w="6096" w:type="dxa"/>
            <w:vMerge w:val="restart"/>
          </w:tcPr>
          <w:p w14:paraId="293062EA" w14:textId="77777777" w:rsidR="005F153A" w:rsidRPr="00D613F6"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0E6DBD7D" w:rsidR="005F153A" w:rsidRPr="00CA20F2" w:rsidRDefault="005F153A" w:rsidP="0076620B">
            <w:pPr>
              <w:snapToGrid w:val="0"/>
              <w:spacing w:after="0" w:line="240" w:lineRule="auto"/>
              <w:ind w:left="57"/>
              <w:rPr>
                <w:rFonts w:cstheme="minorHAnsi"/>
                <w:b/>
                <w:spacing w:val="-4"/>
                <w:sz w:val="24"/>
                <w:szCs w:val="24"/>
                <w:lang w:val="de-CH"/>
              </w:rPr>
            </w:pPr>
            <w:r w:rsidRPr="00CA20F2">
              <w:rPr>
                <w:rFonts w:cstheme="minorHAnsi"/>
                <w:b/>
                <w:spacing w:val="-4"/>
                <w:sz w:val="24"/>
                <w:szCs w:val="24"/>
                <w:lang w:val="de-CH"/>
              </w:rPr>
              <w:t xml:space="preserve">Document </w:t>
            </w:r>
            <w:r w:rsidR="00F45331" w:rsidRPr="00CA20F2">
              <w:rPr>
                <w:rFonts w:cstheme="minorHAnsi"/>
                <w:b/>
                <w:spacing w:val="-4"/>
                <w:sz w:val="24"/>
                <w:szCs w:val="24"/>
                <w:lang w:val="de-CH"/>
              </w:rPr>
              <w:t>C</w:t>
            </w:r>
            <w:r w:rsidRPr="00CA20F2">
              <w:rPr>
                <w:rFonts w:cstheme="minorHAnsi"/>
                <w:b/>
                <w:spacing w:val="-4"/>
                <w:sz w:val="24"/>
                <w:szCs w:val="24"/>
                <w:lang w:val="de-CH"/>
              </w:rPr>
              <w:t>WG-</w:t>
            </w:r>
            <w:r w:rsidR="002F6797">
              <w:rPr>
                <w:rFonts w:cstheme="minorHAnsi"/>
                <w:b/>
                <w:spacing w:val="-4"/>
                <w:sz w:val="24"/>
                <w:szCs w:val="24"/>
                <w:lang w:val="de-CH"/>
              </w:rPr>
              <w:t>FHR-15</w:t>
            </w:r>
            <w:r w:rsidRPr="00CA20F2">
              <w:rPr>
                <w:rFonts w:cstheme="minorHAnsi"/>
                <w:b/>
                <w:spacing w:val="-4"/>
                <w:sz w:val="24"/>
                <w:szCs w:val="24"/>
                <w:lang w:val="de-CH"/>
              </w:rPr>
              <w:t>/</w:t>
            </w:r>
            <w:r w:rsidR="000B4000">
              <w:rPr>
                <w:rFonts w:cstheme="minorHAnsi"/>
                <w:b/>
                <w:spacing w:val="-4"/>
                <w:sz w:val="24"/>
                <w:szCs w:val="24"/>
                <w:lang w:val="de-CH"/>
              </w:rPr>
              <w:t>21</w:t>
            </w:r>
            <w:r w:rsidR="006B460D" w:rsidRPr="00CA20F2">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35C44CA8" w:rsidR="005F153A" w:rsidRPr="000B4000" w:rsidRDefault="000B4000" w:rsidP="0076620B">
            <w:pPr>
              <w:snapToGrid w:val="0"/>
              <w:spacing w:after="0" w:line="240" w:lineRule="auto"/>
              <w:ind w:left="57"/>
              <w:rPr>
                <w:rFonts w:cstheme="minorHAnsi"/>
                <w:b/>
                <w:sz w:val="24"/>
                <w:szCs w:val="24"/>
              </w:rPr>
            </w:pPr>
            <w:r w:rsidRPr="000B4000">
              <w:rPr>
                <w:rFonts w:cstheme="minorHAnsi"/>
                <w:b/>
                <w:sz w:val="24"/>
                <w:szCs w:val="24"/>
              </w:rPr>
              <w:t>30</w:t>
            </w:r>
            <w:r w:rsidR="00175D3F" w:rsidRPr="000B4000">
              <w:rPr>
                <w:rFonts w:cstheme="minorHAnsi"/>
                <w:b/>
                <w:sz w:val="24"/>
                <w:szCs w:val="24"/>
              </w:rPr>
              <w:t xml:space="preserve"> </w:t>
            </w:r>
            <w:r w:rsidR="00857FF1" w:rsidRPr="000B4000">
              <w:rPr>
                <w:rFonts w:cstheme="minorHAnsi"/>
                <w:b/>
                <w:sz w:val="24"/>
                <w:szCs w:val="24"/>
              </w:rPr>
              <w:t>December</w:t>
            </w:r>
            <w:r w:rsidR="000F2E67" w:rsidRPr="000B4000">
              <w:rPr>
                <w:rFonts w:cstheme="minorHAnsi"/>
                <w:b/>
                <w:sz w:val="24"/>
                <w:szCs w:val="24"/>
              </w:rPr>
              <w:t xml:space="preserve"> 20</w:t>
            </w:r>
            <w:r w:rsidR="000E334D" w:rsidRPr="000B4000">
              <w:rPr>
                <w:rFonts w:cstheme="minorHAnsi"/>
                <w:b/>
                <w:sz w:val="24"/>
                <w:szCs w:val="24"/>
              </w:rPr>
              <w:t>21</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77777777" w:rsidR="005F153A" w:rsidRPr="000B4000" w:rsidRDefault="005F153A" w:rsidP="00CA20F2">
            <w:pPr>
              <w:snapToGrid w:val="0"/>
              <w:spacing w:after="0" w:line="240" w:lineRule="auto"/>
              <w:ind w:left="57"/>
              <w:rPr>
                <w:rFonts w:cstheme="minorHAnsi"/>
                <w:b/>
                <w:sz w:val="24"/>
                <w:szCs w:val="24"/>
              </w:rPr>
            </w:pPr>
            <w:r w:rsidRPr="000B4000">
              <w:rPr>
                <w:rFonts w:cstheme="minorHAnsi"/>
                <w:b/>
                <w:sz w:val="24"/>
                <w:szCs w:val="24"/>
              </w:rPr>
              <w:t>English only</w:t>
            </w:r>
          </w:p>
        </w:tc>
      </w:tr>
      <w:bookmarkEnd w:id="5"/>
      <w:tr w:rsidR="00857FF1" w:rsidRPr="00E544AC" w14:paraId="274ACDD0" w14:textId="77777777" w:rsidTr="00056F6B">
        <w:trPr>
          <w:cantSplit/>
          <w:trHeight w:val="80"/>
        </w:trPr>
        <w:tc>
          <w:tcPr>
            <w:tcW w:w="10314" w:type="dxa"/>
            <w:gridSpan w:val="2"/>
          </w:tcPr>
          <w:p w14:paraId="20E90AAA" w14:textId="05CC9E9E" w:rsidR="00857FF1" w:rsidRPr="000B4000" w:rsidRDefault="000B4000" w:rsidP="000B4000">
            <w:pPr>
              <w:pStyle w:val="Source"/>
              <w:framePr w:hSpace="0" w:wrap="auto" w:hAnchor="text" w:yAlign="inline"/>
            </w:pPr>
            <w:r w:rsidRPr="000B4000">
              <w:t>Contribution by the United States of America</w:t>
            </w:r>
          </w:p>
        </w:tc>
      </w:tr>
      <w:tr w:rsidR="00857FF1" w:rsidRPr="00E544AC" w14:paraId="051AB311" w14:textId="77777777" w:rsidTr="00056F6B">
        <w:trPr>
          <w:cantSplit/>
          <w:trHeight w:val="80"/>
        </w:trPr>
        <w:tc>
          <w:tcPr>
            <w:tcW w:w="10314" w:type="dxa"/>
            <w:gridSpan w:val="2"/>
          </w:tcPr>
          <w:p w14:paraId="7BC664EC" w14:textId="13CFFF5D" w:rsidR="00857FF1" w:rsidRPr="000F2E67" w:rsidRDefault="000B4000" w:rsidP="000B4000">
            <w:pPr>
              <w:pStyle w:val="Title1"/>
              <w:framePr w:hSpace="0" w:wrap="auto" w:hAnchor="text" w:yAlign="inline"/>
            </w:pPr>
            <w:r w:rsidRPr="000B4000">
              <w:t>Possible new approach to financial risk management of construction</w:t>
            </w:r>
          </w:p>
        </w:tc>
      </w:tr>
    </w:tbl>
    <w:p w14:paraId="1E4FC5AA" w14:textId="77777777" w:rsidR="000B4000" w:rsidRPr="000E66CA" w:rsidRDefault="000B4000" w:rsidP="000B4000">
      <w:pPr>
        <w:pStyle w:val="ListParagraph"/>
        <w:numPr>
          <w:ilvl w:val="0"/>
          <w:numId w:val="8"/>
        </w:numPr>
        <w:spacing w:before="360" w:after="120" w:line="240" w:lineRule="auto"/>
        <w:jc w:val="both"/>
        <w:rPr>
          <w:rFonts w:cstheme="minorHAnsi"/>
          <w:b/>
          <w:bCs/>
        </w:rPr>
      </w:pPr>
      <w:r w:rsidRPr="000E66CA">
        <w:rPr>
          <w:rFonts w:cstheme="minorHAnsi"/>
          <w:b/>
          <w:bCs/>
        </w:rPr>
        <w:t>Introduction</w:t>
      </w:r>
    </w:p>
    <w:p w14:paraId="755EC7D2" w14:textId="69237CDA" w:rsidR="000B4000" w:rsidRPr="00DD0AA9" w:rsidRDefault="000B4000" w:rsidP="000B4000">
      <w:pPr>
        <w:spacing w:before="120" w:after="120" w:line="240" w:lineRule="auto"/>
        <w:jc w:val="both"/>
        <w:rPr>
          <w:rFonts w:cstheme="minorHAnsi"/>
        </w:rPr>
      </w:pPr>
      <w:proofErr w:type="gramStart"/>
      <w:r>
        <w:rPr>
          <w:rFonts w:cstheme="minorHAnsi"/>
        </w:rPr>
        <w:t>In order for</w:t>
      </w:r>
      <w:proofErr w:type="gramEnd"/>
      <w:r>
        <w:rPr>
          <w:rFonts w:cstheme="minorHAnsi"/>
        </w:rPr>
        <w:t xml:space="preserve"> a consensus to be established to go forward with the new ITU Headquarters building project</w:t>
      </w:r>
      <w:r w:rsidRPr="008D45E8">
        <w:rPr>
          <w:rFonts w:cstheme="minorHAnsi"/>
        </w:rPr>
        <w:t xml:space="preserve"> </w:t>
      </w:r>
      <w:r>
        <w:rPr>
          <w:rFonts w:cstheme="minorHAnsi"/>
        </w:rPr>
        <w:t xml:space="preserve">in 2018, Council created the Risk Register Fund </w:t>
      </w:r>
      <w:r w:rsidRPr="00DD0AA9">
        <w:rPr>
          <w:rFonts w:cstheme="minorHAnsi"/>
        </w:rPr>
        <w:t>(RRF)</w:t>
      </w:r>
      <w:r>
        <w:rPr>
          <w:rFonts w:cstheme="minorHAnsi"/>
        </w:rPr>
        <w:t xml:space="preserve"> so as an extra contingency in managing financial risk to the Member States of the Union.   </w:t>
      </w:r>
      <w:r w:rsidRPr="00DD0AA9">
        <w:rPr>
          <w:rFonts w:cstheme="minorHAnsi"/>
        </w:rPr>
        <w:t>The risk register is part of an overall risk management strategy to identify the potential impact of future programme execution and to develop recommendations for the effective allocation of contingency funding. The contingency represents approximately 8% (CHF 12.6 million) of the CFC budget 1 to 9 and will have to be used in the case of services not provided and/or unexpected expenditures due to hazards and unforeseen work during the demolition and construction periods.</w:t>
      </w:r>
      <w:r>
        <w:rPr>
          <w:rFonts w:cstheme="minorHAnsi"/>
        </w:rPr>
        <w:t xml:space="preserve">  </w:t>
      </w:r>
      <w:r w:rsidRPr="00DD0AA9">
        <w:rPr>
          <w:rFonts w:cstheme="minorHAnsi"/>
        </w:rPr>
        <w:t>MSAG has been commenting on the insufficient funding of the RRF for</w:t>
      </w:r>
      <w:r>
        <w:rPr>
          <w:rFonts w:cstheme="minorHAnsi"/>
        </w:rPr>
        <w:t xml:space="preserve"> some time, and the current funding level is only C</w:t>
      </w:r>
      <w:r w:rsidR="00D60C4E">
        <w:rPr>
          <w:rFonts w:cstheme="minorHAnsi"/>
        </w:rPr>
        <w:t>H</w:t>
      </w:r>
      <w:r>
        <w:rPr>
          <w:rFonts w:cstheme="minorHAnsi"/>
        </w:rPr>
        <w:t>F 3.6 million.  At the end of</w:t>
      </w:r>
      <w:r w:rsidRPr="00DD0AA9">
        <w:rPr>
          <w:rFonts w:cstheme="minorHAnsi"/>
        </w:rPr>
        <w:t xml:space="preserve"> 2021 </w:t>
      </w:r>
      <w:r>
        <w:rPr>
          <w:rFonts w:cstheme="minorHAnsi"/>
        </w:rPr>
        <w:t xml:space="preserve">it appears that </w:t>
      </w:r>
      <w:r w:rsidRPr="00DD0AA9">
        <w:rPr>
          <w:rFonts w:cstheme="minorHAnsi"/>
        </w:rPr>
        <w:t xml:space="preserve">there will be no </w:t>
      </w:r>
      <w:r>
        <w:rPr>
          <w:rFonts w:cstheme="minorHAnsi"/>
        </w:rPr>
        <w:t xml:space="preserve">additional </w:t>
      </w:r>
      <w:r w:rsidRPr="00DD0AA9">
        <w:rPr>
          <w:rFonts w:cstheme="minorHAnsi"/>
        </w:rPr>
        <w:t>money moved to the RRF.</w:t>
      </w:r>
    </w:p>
    <w:p w14:paraId="5024C4EA" w14:textId="77777777" w:rsidR="000B4000" w:rsidRPr="000E66CA" w:rsidRDefault="000B4000" w:rsidP="000B4000">
      <w:pPr>
        <w:pStyle w:val="ListParagraph"/>
        <w:numPr>
          <w:ilvl w:val="0"/>
          <w:numId w:val="8"/>
        </w:numPr>
        <w:spacing w:before="240" w:after="120" w:line="240" w:lineRule="auto"/>
        <w:jc w:val="both"/>
        <w:rPr>
          <w:rFonts w:cstheme="minorHAnsi"/>
          <w:b/>
          <w:bCs/>
        </w:rPr>
      </w:pPr>
      <w:r w:rsidRPr="000E66CA">
        <w:rPr>
          <w:rFonts w:cstheme="minorHAnsi"/>
          <w:b/>
          <w:bCs/>
        </w:rPr>
        <w:t>Discussion</w:t>
      </w:r>
    </w:p>
    <w:p w14:paraId="2DA32824" w14:textId="77777777" w:rsidR="000B4000" w:rsidRPr="00DD0AA9" w:rsidRDefault="000B4000" w:rsidP="000B4000">
      <w:pPr>
        <w:spacing w:before="120" w:after="120" w:line="240" w:lineRule="auto"/>
        <w:jc w:val="both"/>
        <w:rPr>
          <w:rFonts w:cstheme="minorHAnsi"/>
        </w:rPr>
      </w:pPr>
      <w:r w:rsidRPr="00DD0AA9">
        <w:rPr>
          <w:rFonts w:cstheme="minorHAnsi"/>
        </w:rPr>
        <w:t>The establishment of the RRF was a critical element that enabled the consensus in Council 2018 to proceed with the construction project because it reflected the desire of member states to have a hard limit on their financial exposure for the costs of this project.</w:t>
      </w:r>
      <w:r>
        <w:rPr>
          <w:rFonts w:cstheme="minorHAnsi"/>
        </w:rPr>
        <w:t xml:space="preserve">  The establishment of a reserve fund is one technique to manage risk.</w:t>
      </w:r>
    </w:p>
    <w:p w14:paraId="6747AC77" w14:textId="77777777" w:rsidR="000B4000" w:rsidRPr="00DD0AA9" w:rsidRDefault="000B4000" w:rsidP="000B4000">
      <w:pPr>
        <w:spacing w:before="120" w:after="120" w:line="240" w:lineRule="auto"/>
        <w:jc w:val="both"/>
        <w:rPr>
          <w:rFonts w:cstheme="minorHAnsi"/>
        </w:rPr>
      </w:pPr>
      <w:r>
        <w:rPr>
          <w:rFonts w:cstheme="minorHAnsi"/>
        </w:rPr>
        <w:t>Another</w:t>
      </w:r>
      <w:r w:rsidRPr="00DD0AA9">
        <w:rPr>
          <w:rFonts w:cstheme="minorHAnsi"/>
        </w:rPr>
        <w:t xml:space="preserve"> technique used is to transfer the risk</w:t>
      </w:r>
      <w:r>
        <w:rPr>
          <w:rFonts w:cstheme="minorHAnsi"/>
        </w:rPr>
        <w:t xml:space="preserve"> </w:t>
      </w:r>
      <w:proofErr w:type="gramStart"/>
      <w:r>
        <w:rPr>
          <w:rFonts w:cstheme="minorHAnsi"/>
        </w:rPr>
        <w:t xml:space="preserve">through </w:t>
      </w:r>
      <w:r w:rsidRPr="00DD0AA9">
        <w:rPr>
          <w:rFonts w:cstheme="minorHAnsi"/>
        </w:rPr>
        <w:t>the use of</w:t>
      </w:r>
      <w:proofErr w:type="gramEnd"/>
      <w:r w:rsidRPr="00DD0AA9">
        <w:rPr>
          <w:rFonts w:cstheme="minorHAnsi"/>
        </w:rPr>
        <w:t xml:space="preserve"> an insurance policy, similar to what is achieved through health insurance where the financial risks associated with health care are transferred from the individual to the insurer.  It is customary in large construction projects for the owner (ITU), as well as the contractor, to transfer risks to manage costs by means of insurance. While this approach may not be customary with Geneva-based UN construction projects, responsible parties for those projects also set aside money in advance of construction design and designed to such funding.  </w:t>
      </w:r>
      <w:r>
        <w:rPr>
          <w:rFonts w:cstheme="minorHAnsi"/>
        </w:rPr>
        <w:t>It would be useful</w:t>
      </w:r>
      <w:r w:rsidRPr="00DD0AA9">
        <w:rPr>
          <w:rFonts w:cstheme="minorHAnsi"/>
        </w:rPr>
        <w:t xml:space="preserve"> for ITU to gather more information and consider the use of insurance as a means of transferring risk as an alternative to the RRF.  Such an approach could achieve the objective of managing risk and reduce the size required bank accounts</w:t>
      </w:r>
      <w:r>
        <w:rPr>
          <w:rFonts w:cstheme="minorHAnsi"/>
        </w:rPr>
        <w:t xml:space="preserve"> – collaterally reducing the exposure to negative interest on ITU accounts</w:t>
      </w:r>
      <w:r w:rsidRPr="00DD0AA9">
        <w:rPr>
          <w:rFonts w:cstheme="minorHAnsi"/>
        </w:rPr>
        <w:t>.</w:t>
      </w:r>
    </w:p>
    <w:p w14:paraId="43B044B2" w14:textId="77777777" w:rsidR="000B4000" w:rsidRPr="00DD0AA9" w:rsidRDefault="000B4000" w:rsidP="000B4000">
      <w:pPr>
        <w:spacing w:before="120" w:after="120" w:line="240" w:lineRule="auto"/>
        <w:jc w:val="both"/>
        <w:rPr>
          <w:rFonts w:cstheme="minorHAnsi"/>
        </w:rPr>
      </w:pPr>
      <w:r w:rsidRPr="00DD0AA9">
        <w:rPr>
          <w:rFonts w:cstheme="minorHAnsi"/>
        </w:rPr>
        <w:t xml:space="preserve">There is recognition within the Secretariat and MSAG that the RRF is a supplemental contingency to what is included in the project plan.  It is for this reason that </w:t>
      </w:r>
      <w:r>
        <w:rPr>
          <w:rFonts w:cstheme="minorHAnsi"/>
        </w:rPr>
        <w:t>there is hope</w:t>
      </w:r>
      <w:r w:rsidRPr="00DD0AA9">
        <w:rPr>
          <w:rFonts w:cstheme="minorHAnsi"/>
        </w:rPr>
        <w:t xml:space="preserve"> that the premium for </w:t>
      </w:r>
      <w:r>
        <w:rPr>
          <w:rFonts w:cstheme="minorHAnsi"/>
        </w:rPr>
        <w:t xml:space="preserve">such </w:t>
      </w:r>
      <w:r w:rsidRPr="00DD0AA9">
        <w:rPr>
          <w:rFonts w:cstheme="minorHAnsi"/>
        </w:rPr>
        <w:t>an insurance policy could be reasonably small.</w:t>
      </w:r>
    </w:p>
    <w:p w14:paraId="5C4836FB" w14:textId="77777777" w:rsidR="000B4000" w:rsidRPr="000E66CA" w:rsidRDefault="000B4000" w:rsidP="000B4000">
      <w:pPr>
        <w:pStyle w:val="ListParagraph"/>
        <w:numPr>
          <w:ilvl w:val="0"/>
          <w:numId w:val="8"/>
        </w:numPr>
        <w:tabs>
          <w:tab w:val="left" w:pos="630"/>
        </w:tabs>
        <w:spacing w:before="240" w:after="120" w:line="240" w:lineRule="auto"/>
        <w:jc w:val="both"/>
        <w:rPr>
          <w:rFonts w:cstheme="minorHAnsi"/>
          <w:b/>
          <w:bCs/>
        </w:rPr>
      </w:pPr>
      <w:r w:rsidRPr="000E66CA">
        <w:rPr>
          <w:rFonts w:cstheme="minorHAnsi"/>
          <w:b/>
          <w:bCs/>
        </w:rPr>
        <w:t>Proposal</w:t>
      </w:r>
    </w:p>
    <w:p w14:paraId="59721E9D" w14:textId="77777777" w:rsidR="000B4000" w:rsidRDefault="000B4000" w:rsidP="000B4000">
      <w:pPr>
        <w:tabs>
          <w:tab w:val="left" w:pos="630"/>
        </w:tabs>
        <w:spacing w:before="120" w:after="120" w:line="240" w:lineRule="auto"/>
        <w:jc w:val="both"/>
        <w:rPr>
          <w:rFonts w:cstheme="majorBidi"/>
        </w:rPr>
      </w:pPr>
      <w:r>
        <w:rPr>
          <w:rFonts w:cstheme="minorHAnsi"/>
        </w:rPr>
        <w:t>The United States propose</w:t>
      </w:r>
      <w:r w:rsidRPr="007270CA">
        <w:rPr>
          <w:rFonts w:cstheme="minorHAnsi"/>
        </w:rPr>
        <w:t xml:space="preserve"> that </w:t>
      </w:r>
      <w:r>
        <w:rPr>
          <w:rFonts w:cstheme="minorHAnsi"/>
        </w:rPr>
        <w:t>CWG-FHR request</w:t>
      </w:r>
      <w:r w:rsidRPr="007270CA">
        <w:rPr>
          <w:rFonts w:cstheme="minorHAnsi"/>
        </w:rPr>
        <w:t xml:space="preserve"> </w:t>
      </w:r>
      <w:r w:rsidRPr="00A82624">
        <w:rPr>
          <w:rFonts w:cstheme="minorHAnsi"/>
        </w:rPr>
        <w:t>the ITU Financial Management Group to gather more information</w:t>
      </w:r>
      <w:r>
        <w:rPr>
          <w:rFonts w:cstheme="minorHAnsi"/>
        </w:rPr>
        <w:t xml:space="preserve"> about the possible costs and consider the use of insurance as a means of transferring risk as an alternative to the RRF</w:t>
      </w:r>
      <w:r w:rsidRPr="006C0F4E">
        <w:rPr>
          <w:rFonts w:cstheme="minorHAnsi"/>
        </w:rPr>
        <w:t xml:space="preserve"> and report to Council</w:t>
      </w:r>
      <w:r>
        <w:rPr>
          <w:rFonts w:cstheme="minorHAnsi"/>
        </w:rPr>
        <w:t xml:space="preserve"> 2022.</w:t>
      </w:r>
    </w:p>
    <w:sectPr w:rsidR="000B4000" w:rsidSect="00857FF1">
      <w:headerReference w:type="even" r:id="rId13"/>
      <w:headerReference w:type="default" r:id="rId14"/>
      <w:footerReference w:type="even" r:id="rId15"/>
      <w:footerReference w:type="default" r:id="rId16"/>
      <w:headerReference w:type="first" r:id="rId17"/>
      <w:footerReference w:type="first" r:id="rId18"/>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53F6" w14:textId="77777777" w:rsidR="00655BE6" w:rsidRDefault="00655BE6">
      <w:r>
        <w:separator/>
      </w:r>
    </w:p>
  </w:endnote>
  <w:endnote w:type="continuationSeparator" w:id="0">
    <w:p w14:paraId="04354392" w14:textId="77777777" w:rsidR="00655BE6" w:rsidRDefault="00655BE6">
      <w:r>
        <w:continuationSeparator/>
      </w:r>
    </w:p>
  </w:endnote>
  <w:endnote w:type="continuationNotice" w:id="1">
    <w:p w14:paraId="369D70DE" w14:textId="77777777" w:rsidR="00655BE6" w:rsidRDefault="00655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9F79" w14:textId="77777777" w:rsidR="00F821C5" w:rsidRDefault="00F82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FCF9" w14:textId="77777777" w:rsidR="00F821C5" w:rsidRDefault="00F821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315A" w14:textId="77777777" w:rsidR="00655BE6" w:rsidRDefault="00655BE6">
      <w:r>
        <w:separator/>
      </w:r>
    </w:p>
  </w:footnote>
  <w:footnote w:type="continuationSeparator" w:id="0">
    <w:p w14:paraId="27DC91FF" w14:textId="77777777" w:rsidR="00655BE6" w:rsidRDefault="00655BE6">
      <w:r>
        <w:continuationSeparator/>
      </w:r>
    </w:p>
  </w:footnote>
  <w:footnote w:type="continuationNotice" w:id="1">
    <w:p w14:paraId="5F1F32D7" w14:textId="77777777" w:rsidR="00655BE6" w:rsidRDefault="00655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31A0" w14:textId="77777777" w:rsidR="00F821C5" w:rsidRDefault="00F82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0BE1903D"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t>CWG-</w:t>
    </w:r>
    <w:r w:rsidR="00F821C5">
      <w:rPr>
        <w:noProof/>
      </w:rPr>
      <w:t>FHR</w:t>
    </w:r>
    <w:r w:rsidR="00857FF1">
      <w:rPr>
        <w:noProof/>
      </w:rPr>
      <w:t>-</w:t>
    </w:r>
    <w:r w:rsidR="00F821C5">
      <w:rPr>
        <w:noProof/>
      </w:rPr>
      <w:t>15</w:t>
    </w:r>
    <w:r w:rsidR="00857FF1">
      <w:rPr>
        <w:noProof/>
      </w:rPr>
      <w:t>/x-E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59A9" w14:textId="77777777" w:rsidR="00F821C5" w:rsidRDefault="00F82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7D70F5B"/>
    <w:multiLevelType w:val="hybridMultilevel"/>
    <w:tmpl w:val="1550D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86FC8"/>
    <w:rsid w:val="000929FF"/>
    <w:rsid w:val="00093ACA"/>
    <w:rsid w:val="000A1688"/>
    <w:rsid w:val="000A5071"/>
    <w:rsid w:val="000B4000"/>
    <w:rsid w:val="000B4C95"/>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75D3F"/>
    <w:rsid w:val="001778D9"/>
    <w:rsid w:val="00193826"/>
    <w:rsid w:val="00194AC8"/>
    <w:rsid w:val="001962CD"/>
    <w:rsid w:val="001A1E52"/>
    <w:rsid w:val="001A43BB"/>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6AD"/>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2F6797"/>
    <w:rsid w:val="003010A1"/>
    <w:rsid w:val="00302584"/>
    <w:rsid w:val="00302B27"/>
    <w:rsid w:val="00306388"/>
    <w:rsid w:val="00307AF2"/>
    <w:rsid w:val="00312766"/>
    <w:rsid w:val="00313660"/>
    <w:rsid w:val="003149DC"/>
    <w:rsid w:val="00315C60"/>
    <w:rsid w:val="0031621F"/>
    <w:rsid w:val="00332B82"/>
    <w:rsid w:val="003341A5"/>
    <w:rsid w:val="00335193"/>
    <w:rsid w:val="00342898"/>
    <w:rsid w:val="00344CAA"/>
    <w:rsid w:val="00344DC5"/>
    <w:rsid w:val="0034736F"/>
    <w:rsid w:val="00347E04"/>
    <w:rsid w:val="003573BA"/>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1794"/>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17346"/>
    <w:rsid w:val="006204DB"/>
    <w:rsid w:val="00623E67"/>
    <w:rsid w:val="00624887"/>
    <w:rsid w:val="00626262"/>
    <w:rsid w:val="00630805"/>
    <w:rsid w:val="00635161"/>
    <w:rsid w:val="006367B6"/>
    <w:rsid w:val="006377C7"/>
    <w:rsid w:val="0064055B"/>
    <w:rsid w:val="00642B5B"/>
    <w:rsid w:val="006463AB"/>
    <w:rsid w:val="006477FD"/>
    <w:rsid w:val="00655BE6"/>
    <w:rsid w:val="00656B2D"/>
    <w:rsid w:val="00661E22"/>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059A"/>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00E1"/>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57FF1"/>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1D37"/>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205"/>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1811"/>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5F5E"/>
    <w:rsid w:val="00BB611D"/>
    <w:rsid w:val="00BC1480"/>
    <w:rsid w:val="00BC30E9"/>
    <w:rsid w:val="00BC4228"/>
    <w:rsid w:val="00BD6AF4"/>
    <w:rsid w:val="00BD6DF5"/>
    <w:rsid w:val="00BE175D"/>
    <w:rsid w:val="00BE2648"/>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0AAF"/>
    <w:rsid w:val="00CB5E62"/>
    <w:rsid w:val="00CB6567"/>
    <w:rsid w:val="00CB7672"/>
    <w:rsid w:val="00CB7CCD"/>
    <w:rsid w:val="00CC0448"/>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47CF9"/>
    <w:rsid w:val="00D50491"/>
    <w:rsid w:val="00D5205D"/>
    <w:rsid w:val="00D55BA5"/>
    <w:rsid w:val="00D565B5"/>
    <w:rsid w:val="00D56BEF"/>
    <w:rsid w:val="00D57D04"/>
    <w:rsid w:val="00D60A90"/>
    <w:rsid w:val="00D60C4E"/>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2007F"/>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D3A2F"/>
    <w:rsid w:val="00EE27ED"/>
    <w:rsid w:val="00EE2DD2"/>
    <w:rsid w:val="00EF12AD"/>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1532"/>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21C5"/>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4000"/>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0B40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4000"/>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0B4000"/>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0CBB7ADF-EB5F-4537-943F-279F722AEB45}">
  <ds:schemaRefs>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http://schemas.openxmlformats.org/package/2006/metadata/core-propertie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498</Words>
  <Characters>2546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ITU Normal.dot</vt:lpstr>
    </vt:vector>
  </TitlesOfParts>
  <Company>International Telecommunication Union (ITU)</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USA - Possible new approach to financial risk management of construction</dc:title>
  <dc:subject>Council working Group on Financial and Human Resources</dc:subject>
  <dc:creator>Brouard, Ricarda</dc:creator>
  <cp:keywords>CWG-FHR</cp:keywords>
  <cp:lastModifiedBy>Brouard, Ricarda</cp:lastModifiedBy>
  <cp:revision>3</cp:revision>
  <cp:lastPrinted>2021-08-23T14:13:00Z</cp:lastPrinted>
  <dcterms:created xsi:type="dcterms:W3CDTF">2022-01-04T08:50:00Z</dcterms:created>
  <dcterms:modified xsi:type="dcterms:W3CDTF">2022-01-04T08:51:00Z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