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74BFE" w14:paraId="4EA8A6B7" w14:textId="77777777">
        <w:trPr>
          <w:cantSplit/>
        </w:trPr>
        <w:tc>
          <w:tcPr>
            <w:tcW w:w="6912" w:type="dxa"/>
          </w:tcPr>
          <w:p w14:paraId="4CAF77DB" w14:textId="429E249C" w:rsidR="00093EEB" w:rsidRPr="00774BFE" w:rsidRDefault="00093EEB" w:rsidP="001102E3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774BFE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774BFE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D50A36" w:rsidRPr="00774BFE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7B4A15">
              <w:rPr>
                <w:b/>
                <w:bCs/>
                <w:sz w:val="30"/>
                <w:szCs w:val="30"/>
                <w:lang w:val="es-ES"/>
              </w:rPr>
              <w:br/>
            </w:r>
            <w:r w:rsidR="007B4A15" w:rsidRPr="007B4A15">
              <w:rPr>
                <w:b/>
                <w:bCs/>
                <w:sz w:val="26"/>
                <w:szCs w:val="26"/>
                <w:lang w:val="es-ES"/>
              </w:rPr>
              <w:t>Ginebra, 21-31 de marzo de 2022</w:t>
            </w:r>
            <w:r w:rsidRPr="00774BFE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004"/>
            <w:r w:rsidR="001102E3" w:rsidRPr="00774BFE">
              <w:rPr>
                <w:b/>
                <w:bCs/>
                <w:sz w:val="26"/>
                <w:szCs w:val="26"/>
                <w:lang w:val="es-ES"/>
              </w:rPr>
              <w:t>Sesión final</w:t>
            </w:r>
            <w:r w:rsidR="004160AA" w:rsidRPr="00774BFE">
              <w:rPr>
                <w:b/>
                <w:bCs/>
                <w:sz w:val="26"/>
                <w:szCs w:val="26"/>
                <w:lang w:val="es-ES"/>
              </w:rPr>
              <w:t xml:space="preserve">, Bucarest, 24 </w:t>
            </w:r>
            <w:r w:rsidR="001102E3" w:rsidRPr="00774BFE">
              <w:rPr>
                <w:b/>
                <w:bCs/>
                <w:sz w:val="26"/>
                <w:szCs w:val="26"/>
                <w:lang w:val="es-ES"/>
              </w:rPr>
              <w:t>de septiembre de</w:t>
            </w:r>
            <w:r w:rsidR="004160AA" w:rsidRPr="00774BFE">
              <w:rPr>
                <w:b/>
                <w:bCs/>
                <w:sz w:val="26"/>
                <w:szCs w:val="26"/>
                <w:lang w:val="es-ES"/>
              </w:rPr>
              <w:t xml:space="preserve"> 2022</w:t>
            </w:r>
            <w:bookmarkEnd w:id="2"/>
          </w:p>
        </w:tc>
        <w:tc>
          <w:tcPr>
            <w:tcW w:w="3261" w:type="dxa"/>
          </w:tcPr>
          <w:p w14:paraId="0295FA1C" w14:textId="77777777" w:rsidR="00093EEB" w:rsidRPr="00774BFE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774BFE">
              <w:rPr>
                <w:noProof/>
                <w:lang w:val="es-ES" w:eastAsia="es-ES"/>
              </w:rPr>
              <w:drawing>
                <wp:inline distT="0" distB="0" distL="0" distR="0" wp14:anchorId="60EB29F2" wp14:editId="38B5053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74BFE" w14:paraId="1092E7E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7108A35" w14:textId="77777777" w:rsidR="00093EEB" w:rsidRPr="00774BFE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74BFE" w14:paraId="197CFF1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D82C50" w14:textId="77777777" w:rsidR="00093EEB" w:rsidRPr="00774BF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628E242" w14:textId="77777777" w:rsidR="00093EEB" w:rsidRPr="00774BFE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4A2BFD" w:rsidRPr="00774BFE" w14:paraId="39F64EF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B527AE7" w14:textId="2DABE302" w:rsidR="004A2BFD" w:rsidRPr="00774BFE" w:rsidRDefault="004A2BFD" w:rsidP="004A2BF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1"/>
          </w:p>
        </w:tc>
        <w:tc>
          <w:tcPr>
            <w:tcW w:w="3261" w:type="dxa"/>
          </w:tcPr>
          <w:p w14:paraId="5641EB8C" w14:textId="79ED4A13" w:rsidR="004A2BFD" w:rsidRPr="00B24BF3" w:rsidRDefault="004A2BFD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B24BF3">
              <w:rPr>
                <w:b/>
                <w:bCs/>
                <w:szCs w:val="24"/>
                <w:lang w:val="es-ES"/>
              </w:rPr>
              <w:t>Documento C22/</w:t>
            </w:r>
            <w:r w:rsidR="002F1E7B" w:rsidRPr="00B24BF3">
              <w:rPr>
                <w:b/>
                <w:bCs/>
                <w:szCs w:val="24"/>
                <w:lang w:val="es-ES"/>
              </w:rPr>
              <w:t>108</w:t>
            </w:r>
            <w:r w:rsidRPr="00B24BF3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4A2BFD" w:rsidRPr="00774BFE" w14:paraId="016B1FE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9407CA0" w14:textId="77777777" w:rsidR="004A2BFD" w:rsidRPr="00774BFE" w:rsidRDefault="004A2BFD" w:rsidP="004A2BFD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79F9DB9D" w14:textId="792FAF64" w:rsidR="004A2BFD" w:rsidRPr="00B24BF3" w:rsidRDefault="00F101B3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20</w:t>
            </w:r>
            <w:r w:rsidR="00B24BF3" w:rsidRPr="00B24BF3">
              <w:rPr>
                <w:b/>
                <w:bCs/>
                <w:szCs w:val="24"/>
                <w:lang w:val="es-ES"/>
              </w:rPr>
              <w:t xml:space="preserve"> de octubre de</w:t>
            </w:r>
            <w:r w:rsidR="004A2BFD" w:rsidRPr="00B24BF3">
              <w:rPr>
                <w:b/>
                <w:bCs/>
                <w:szCs w:val="24"/>
                <w:lang w:val="es-ES"/>
              </w:rPr>
              <w:t xml:space="preserve"> 2022</w:t>
            </w:r>
          </w:p>
        </w:tc>
      </w:tr>
      <w:tr w:rsidR="004A2BFD" w:rsidRPr="00774BFE" w14:paraId="605FC87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5B3C327" w14:textId="77777777" w:rsidR="004A2BFD" w:rsidRPr="00774BFE" w:rsidRDefault="004A2BFD" w:rsidP="004A2BFD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C5267AA" w14:textId="7AEC781C" w:rsidR="004A2BFD" w:rsidRPr="00774BFE" w:rsidRDefault="004A2BFD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74BFE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4A2BFD" w:rsidRPr="00774BFE" w14:paraId="00270BF8" w14:textId="77777777">
        <w:trPr>
          <w:cantSplit/>
        </w:trPr>
        <w:tc>
          <w:tcPr>
            <w:tcW w:w="10173" w:type="dxa"/>
            <w:gridSpan w:val="2"/>
          </w:tcPr>
          <w:p w14:paraId="55999647" w14:textId="343F7096" w:rsidR="004A2BFD" w:rsidRPr="00774BFE" w:rsidRDefault="007B4A15" w:rsidP="004A2BFD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7"/>
            <w:r w:rsidRPr="007B4A15">
              <w:rPr>
                <w:lang w:val="es-ES"/>
              </w:rPr>
              <w:t>Nota del Secretario General</w:t>
            </w:r>
          </w:p>
        </w:tc>
      </w:tr>
      <w:tr w:rsidR="004A2BFD" w:rsidRPr="00774BFE" w14:paraId="0C0AE53D" w14:textId="77777777">
        <w:trPr>
          <w:cantSplit/>
        </w:trPr>
        <w:tc>
          <w:tcPr>
            <w:tcW w:w="10173" w:type="dxa"/>
            <w:gridSpan w:val="2"/>
          </w:tcPr>
          <w:p w14:paraId="7502EB54" w14:textId="659E6A6E" w:rsidR="004A2BFD" w:rsidRPr="00774BFE" w:rsidRDefault="007B4A15" w:rsidP="00C56E81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7B4A15">
              <w:rPr>
                <w:lang w:val="es-ES"/>
              </w:rPr>
              <w:t>RESOLUCIONES Y ACUERDOS</w:t>
            </w:r>
          </w:p>
        </w:tc>
      </w:tr>
      <w:bookmarkEnd w:id="9"/>
    </w:tbl>
    <w:p w14:paraId="1909106E" w14:textId="0965DBC6" w:rsidR="00093EEB" w:rsidRDefault="00093EEB">
      <w:pPr>
        <w:rPr>
          <w:lang w:val="es-ES"/>
        </w:rPr>
      </w:pPr>
    </w:p>
    <w:p w14:paraId="0C7D4841" w14:textId="30ABF02D" w:rsidR="007B4A15" w:rsidRDefault="007B4A15" w:rsidP="007B4A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 w:line="256" w:lineRule="auto"/>
        <w:textAlignment w:val="auto"/>
        <w:rPr>
          <w:rFonts w:eastAsia="SimSun" w:cs="Arial"/>
          <w:szCs w:val="24"/>
          <w:lang w:val="es-ES" w:eastAsia="zh-CN"/>
        </w:rPr>
      </w:pPr>
      <w:r w:rsidRPr="007B4A15">
        <w:rPr>
          <w:rFonts w:eastAsia="SimSun" w:cs="Arial"/>
          <w:szCs w:val="24"/>
          <w:lang w:val="es-ES" w:eastAsia="zh-CN"/>
        </w:rPr>
        <w:t>Los textos de las Resoluciones y Acuerdos cuyos títulos figuran a continuación han sido adoptados por el Consejo en su reunión de 20</w:t>
      </w:r>
      <w:r>
        <w:rPr>
          <w:rFonts w:eastAsia="SimSun" w:cs="Arial"/>
          <w:szCs w:val="24"/>
          <w:lang w:val="es-ES" w:eastAsia="zh-CN"/>
        </w:rPr>
        <w:t>22</w:t>
      </w:r>
      <w:r w:rsidRPr="007B4A15">
        <w:rPr>
          <w:rFonts w:eastAsia="SimSun" w:cs="Arial"/>
          <w:szCs w:val="24"/>
          <w:lang w:val="es-ES" w:eastAsia="zh-CN"/>
        </w:rPr>
        <w:t xml:space="preserve"> (</w:t>
      </w:r>
      <w:r>
        <w:rPr>
          <w:rFonts w:eastAsia="SimSun" w:cs="Arial"/>
          <w:szCs w:val="24"/>
          <w:lang w:val="es-ES" w:eastAsia="zh-CN"/>
        </w:rPr>
        <w:t>21</w:t>
      </w:r>
      <w:r w:rsidRPr="007B4A15">
        <w:rPr>
          <w:rFonts w:eastAsia="SimSun" w:cs="Arial"/>
          <w:szCs w:val="24"/>
          <w:lang w:val="es-ES" w:eastAsia="zh-CN"/>
        </w:rPr>
        <w:t>-</w:t>
      </w:r>
      <w:r>
        <w:rPr>
          <w:rFonts w:eastAsia="SimSun" w:cs="Arial"/>
          <w:szCs w:val="24"/>
          <w:lang w:val="es-ES" w:eastAsia="zh-CN"/>
        </w:rPr>
        <w:t>3</w:t>
      </w:r>
      <w:r w:rsidR="007973ED">
        <w:rPr>
          <w:rFonts w:eastAsia="SimSun" w:cs="Arial"/>
          <w:szCs w:val="24"/>
          <w:lang w:val="es-ES" w:eastAsia="zh-CN"/>
        </w:rPr>
        <w:t>0</w:t>
      </w:r>
      <w:r w:rsidRPr="007B4A15">
        <w:rPr>
          <w:rFonts w:eastAsia="SimSun" w:cs="Arial"/>
          <w:szCs w:val="24"/>
          <w:lang w:val="es-ES" w:eastAsia="zh-CN"/>
        </w:rPr>
        <w:t xml:space="preserve"> de </w:t>
      </w:r>
      <w:r>
        <w:rPr>
          <w:rFonts w:eastAsia="SimSun" w:cs="Arial"/>
          <w:szCs w:val="24"/>
          <w:lang w:val="es-ES" w:eastAsia="zh-CN"/>
        </w:rPr>
        <w:t xml:space="preserve">marzo </w:t>
      </w:r>
      <w:r w:rsidRPr="007B4A15">
        <w:rPr>
          <w:rFonts w:eastAsia="SimSun" w:cs="Arial"/>
          <w:szCs w:val="24"/>
          <w:lang w:val="es-ES" w:eastAsia="zh-CN"/>
        </w:rPr>
        <w:t>de 20</w:t>
      </w:r>
      <w:r>
        <w:rPr>
          <w:rFonts w:eastAsia="SimSun" w:cs="Arial"/>
          <w:szCs w:val="24"/>
          <w:lang w:val="es-ES" w:eastAsia="zh-CN"/>
        </w:rPr>
        <w:t>22</w:t>
      </w:r>
      <w:r w:rsidR="007973ED">
        <w:rPr>
          <w:rStyle w:val="FootnoteReference"/>
          <w:rFonts w:eastAsia="SimSun" w:cs="Arial"/>
          <w:szCs w:val="24"/>
          <w:lang w:val="es-ES" w:eastAsia="zh-CN"/>
        </w:rPr>
        <w:footnoteReference w:id="1"/>
      </w:r>
      <w:r w:rsidRPr="007B4A15">
        <w:rPr>
          <w:rFonts w:eastAsia="SimSun" w:cs="Arial"/>
          <w:szCs w:val="24"/>
          <w:lang w:val="es-ES" w:eastAsia="zh-CN"/>
        </w:rPr>
        <w:t xml:space="preserve"> y 2</w:t>
      </w:r>
      <w:r>
        <w:rPr>
          <w:rFonts w:eastAsia="SimSun" w:cs="Arial"/>
          <w:szCs w:val="24"/>
          <w:lang w:val="es-ES" w:eastAsia="zh-CN"/>
        </w:rPr>
        <w:t>4</w:t>
      </w:r>
      <w:r w:rsidRPr="007B4A15">
        <w:rPr>
          <w:rFonts w:eastAsia="SimSun" w:cs="Arial"/>
          <w:szCs w:val="24"/>
          <w:lang w:val="es-ES" w:eastAsia="zh-CN"/>
        </w:rPr>
        <w:t xml:space="preserve"> de septiembre de 20</w:t>
      </w:r>
      <w:r>
        <w:rPr>
          <w:rFonts w:eastAsia="SimSun" w:cs="Arial"/>
          <w:szCs w:val="24"/>
          <w:lang w:val="es-ES" w:eastAsia="zh-CN"/>
        </w:rPr>
        <w:t>22</w:t>
      </w:r>
      <w:r w:rsidRPr="007B4A15">
        <w:rPr>
          <w:rFonts w:eastAsia="SimSun" w:cs="Arial"/>
          <w:szCs w:val="24"/>
          <w:lang w:val="es-ES" w:eastAsia="zh-CN"/>
        </w:rPr>
        <w:t>):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7B4A15" w:rsidRPr="007B4A15" w14:paraId="43D64272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4D374" w14:textId="010D1E61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4"/>
                <w:lang w:val="en-US" w:eastAsia="zh-CN"/>
              </w:rPr>
            </w:pPr>
            <w:r w:rsidRPr="007B4A15">
              <w:rPr>
                <w:rFonts w:eastAsia="SimSun" w:cs="Arial"/>
                <w:b/>
                <w:bCs/>
                <w:sz w:val="22"/>
                <w:szCs w:val="24"/>
                <w:lang w:val="en-US" w:eastAsia="zh-CN"/>
              </w:rPr>
              <w:t>Resoluciones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30F93B" w14:textId="77777777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eastAsia="SimSun" w:cs="Arial"/>
                <w:sz w:val="22"/>
                <w:szCs w:val="22"/>
                <w:lang w:val="en-US" w:eastAsia="zh-CN"/>
              </w:rPr>
            </w:pPr>
            <w:r w:rsidRPr="007B4A15">
              <w:rPr>
                <w:rFonts w:eastAsia="SimSun" w:cs="Arial"/>
                <w:sz w:val="22"/>
                <w:szCs w:val="22"/>
                <w:lang w:val="en-US" w:eastAsia="zh-CN"/>
              </w:rPr>
              <w:t>C22/#</w:t>
            </w:r>
          </w:p>
        </w:tc>
      </w:tr>
      <w:tr w:rsidR="007B4A15" w:rsidRPr="007B4A15" w14:paraId="1150E11A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EC8E" w14:textId="2A34F001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Resolución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1407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 </w:t>
            </w:r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Plan Operacional de la Unión para 2023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E2AE99" w14:textId="160F14E1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1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C22/94</w:t>
              </w:r>
            </w:hyperlink>
          </w:p>
        </w:tc>
      </w:tr>
      <w:tr w:rsidR="007B4A15" w:rsidRPr="007B4A15" w14:paraId="04142211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ACA" w14:textId="23BDD976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Resolución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1408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 </w:t>
            </w:r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Asistencia y ayuda a Ucrania para la reconstrucción de su sector de telecomunicaciones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1FE801" w14:textId="70C8A8F1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2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C22/95</w:t>
              </w:r>
            </w:hyperlink>
          </w:p>
        </w:tc>
      </w:tr>
      <w:tr w:rsidR="007B4A15" w:rsidRPr="007B4A15" w14:paraId="271BCD69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A664" w14:textId="2597952E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Resolución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1409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 </w:t>
            </w:r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Informe de gestión financiera para el ejercicio de 2020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DB175B" w14:textId="3E052163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3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C22/96</w:t>
              </w:r>
            </w:hyperlink>
          </w:p>
        </w:tc>
      </w:tr>
      <w:tr w:rsidR="007B4A15" w:rsidRPr="007B4A15" w14:paraId="473A46C8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F654" w14:textId="6DFF371B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Resolución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 xml:space="preserve">1410 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- </w:t>
            </w:r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Condiciones de empleo de los funcionarios de elección de la UIT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2DF5C4" w14:textId="7B5E493A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eastAsia="SimSun" w:cs="Arial"/>
                <w:b/>
                <w:bCs/>
                <w:color w:val="0000FF"/>
                <w:sz w:val="22"/>
                <w:szCs w:val="22"/>
                <w:u w:val="single"/>
                <w:lang w:val="en-GB" w:eastAsia="zh-CN"/>
              </w:rPr>
            </w:pPr>
            <w:hyperlink r:id="rId14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C22/97</w:t>
              </w:r>
            </w:hyperlink>
          </w:p>
        </w:tc>
      </w:tr>
      <w:tr w:rsidR="00827023" w:rsidRPr="007B4A15" w14:paraId="6B4B1BA9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627" w14:textId="1F467627" w:rsidR="00827023" w:rsidRPr="001C5E6C" w:rsidRDefault="00827023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Resolución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141</w:t>
            </w:r>
            <w:r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1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-</w:t>
            </w:r>
            <w:r w:rsidR="00C95518">
              <w:t xml:space="preserve"> </w:t>
            </w:r>
            <w:r w:rsidR="00C95518" w:rsidRPr="00C95518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Informe de gestión financiera para el ejercicio de 2021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B35C9" w14:textId="0DA7F2F6" w:rsidR="00827023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</w:pPr>
            <w:hyperlink r:id="rId15" w:history="1">
              <w:r w:rsidR="00827023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</w:t>
              </w:r>
              <w:r w:rsidR="00827023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105</w:t>
              </w:r>
            </w:hyperlink>
          </w:p>
        </w:tc>
      </w:tr>
    </w:tbl>
    <w:p w14:paraId="21BA33AF" w14:textId="77777777" w:rsidR="007B4A15" w:rsidRPr="007B4A15" w:rsidRDefault="007B4A15" w:rsidP="007B4A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6" w:lineRule="auto"/>
        <w:textAlignment w:val="auto"/>
        <w:rPr>
          <w:rFonts w:eastAsia="SimSun" w:cs="Arial"/>
          <w:sz w:val="22"/>
          <w:szCs w:val="22"/>
          <w:u w:val="single"/>
          <w:lang w:val="en-GB" w:eastAsia="zh-CN"/>
        </w:rPr>
      </w:pPr>
    </w:p>
    <w:p w14:paraId="7F5D8FEB" w14:textId="77777777" w:rsidR="007B4A15" w:rsidRPr="007B4A15" w:rsidRDefault="007B4A15" w:rsidP="007B4A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6" w:lineRule="auto"/>
        <w:textAlignment w:val="auto"/>
        <w:rPr>
          <w:rFonts w:eastAsia="SimSun" w:cs="Arial"/>
          <w:sz w:val="22"/>
          <w:szCs w:val="24"/>
          <w:lang w:val="en-GB" w:eastAsia="zh-CN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7B4A15" w:rsidRPr="007B4A15" w14:paraId="634BF306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73849" w14:textId="08453208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4"/>
                <w:lang w:val="en-US" w:eastAsia="zh-CN"/>
              </w:rPr>
            </w:pPr>
            <w:r w:rsidRPr="007B4A15">
              <w:rPr>
                <w:rFonts w:eastAsia="SimSun" w:cs="Arial"/>
                <w:b/>
                <w:bCs/>
                <w:sz w:val="22"/>
                <w:szCs w:val="24"/>
                <w:lang w:val="en-US" w:eastAsia="zh-CN"/>
              </w:rPr>
              <w:t>Acuerdos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E7238E" w14:textId="77777777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eastAsia="SimSun" w:cs="Arial"/>
                <w:sz w:val="22"/>
                <w:szCs w:val="22"/>
                <w:lang w:val="en-US" w:eastAsia="zh-CN"/>
              </w:rPr>
            </w:pPr>
            <w:r w:rsidRPr="007B4A15">
              <w:rPr>
                <w:rFonts w:eastAsia="SimSun" w:cs="Arial"/>
                <w:sz w:val="22"/>
                <w:szCs w:val="22"/>
                <w:lang w:val="en-US" w:eastAsia="zh-CN"/>
              </w:rPr>
              <w:t>C22/#</w:t>
            </w:r>
          </w:p>
        </w:tc>
      </w:tr>
      <w:tr w:rsidR="007B4A15" w:rsidRPr="007B4A15" w14:paraId="1867D5B7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15B" w14:textId="597DF305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Acuerdo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626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 </w:t>
            </w:r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Fechas y duración propuestas para las reuniones de 2023, 2024, 2025 y 2026 del Consejo y fechas propuestas para las series de reuniones agrupadas de los Grupos de Trabajo y Grupos de Expertos del Consejo para 2023, 2024 y 2025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21CAA4" w14:textId="057760AC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6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C22/98</w:t>
              </w:r>
            </w:hyperlink>
          </w:p>
        </w:tc>
      </w:tr>
      <w:tr w:rsidR="007B4A15" w:rsidRPr="007B4A15" w14:paraId="787B31B8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2AE" w14:textId="2F2257E1" w:rsidR="007B4A15" w:rsidRPr="007B4A15" w:rsidRDefault="007B4A15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Cs/>
                <w:sz w:val="22"/>
                <w:szCs w:val="22"/>
                <w:lang w:val="es-ES" w:eastAsia="zh-CN"/>
              </w:rPr>
            </w:pPr>
            <w:bookmarkStart w:id="10" w:name="_Hlk115019513"/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Acuerdo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627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 </w:t>
            </w:r>
            <w:bookmarkEnd w:id="10"/>
            <w:r w:rsidR="001C5E6C"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Enmiendas a los Estatutos del Personal aplicables a los funcionarios nombrados - Artículo A 3.4 Ascensos de escalón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6825B4" w14:textId="24FD33A9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7" w:history="1">
              <w:r w:rsidR="007B4A15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C22/99</w:t>
              </w:r>
            </w:hyperlink>
          </w:p>
        </w:tc>
      </w:tr>
      <w:tr w:rsidR="007B4A15" w:rsidRPr="007B4A15" w14:paraId="4FE6268A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D0D" w14:textId="67B9DE5B" w:rsidR="007B4A15" w:rsidRPr="00ED46AF" w:rsidRDefault="00827023" w:rsidP="00ED46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eastAsia="SimSun" w:cs="Arial"/>
                <w:b/>
                <w:sz w:val="22"/>
                <w:szCs w:val="22"/>
                <w:lang w:val="es-ES" w:eastAsia="zh-CN"/>
              </w:rPr>
            </w:pPr>
            <w:r w:rsidRPr="001C5E6C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Acuerdo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Pr="007B4A15"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62</w:t>
            </w:r>
            <w:r>
              <w:rPr>
                <w:rFonts w:eastAsia="SimSun" w:cs="Arial"/>
                <w:b/>
                <w:sz w:val="22"/>
                <w:szCs w:val="22"/>
                <w:lang w:val="es-ES" w:eastAsia="zh-CN"/>
              </w:rPr>
              <w:t>8</w:t>
            </w:r>
            <w:r w:rsidRPr="007B4A15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-</w:t>
            </w:r>
            <w:r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="00ED46AF" w:rsidRPr="00ED46AF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Registro en pérdidas y ganancias de los intereses de mora</w:t>
            </w:r>
            <w:r w:rsidR="00ED46AF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 xml:space="preserve"> </w:t>
            </w:r>
            <w:r w:rsidR="00ED46AF" w:rsidRPr="00ED46AF">
              <w:rPr>
                <w:rFonts w:eastAsia="SimSun" w:cs="Arial"/>
                <w:bCs/>
                <w:sz w:val="22"/>
                <w:szCs w:val="22"/>
                <w:lang w:val="es-ES" w:eastAsia="zh-CN"/>
              </w:rPr>
              <w:t>y las cantidades adeudadas incobrables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118348" w14:textId="7B6BFBD6" w:rsidR="007B4A15" w:rsidRPr="007B4A15" w:rsidRDefault="002B225F" w:rsidP="007B4A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eastAsia="SimSun" w:cs="Arial"/>
                <w:b/>
                <w:bCs/>
                <w:sz w:val="22"/>
                <w:szCs w:val="22"/>
                <w:lang w:val="en-US" w:eastAsia="zh-CN"/>
              </w:rPr>
            </w:pPr>
            <w:hyperlink r:id="rId18" w:history="1">
              <w:r w:rsidR="00827023" w:rsidRPr="007B4A15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C22/</w:t>
              </w:r>
              <w:r w:rsidR="00827023">
                <w:rPr>
                  <w:rFonts w:asciiTheme="minorHAnsi" w:eastAsia="SimSun" w:hAnsiTheme="minorHAnsi" w:cstheme="minorHAnsi"/>
                  <w:b/>
                  <w:bCs/>
                  <w:color w:val="0000FF"/>
                  <w:sz w:val="20"/>
                  <w:u w:val="single"/>
                  <w:lang w:val="en-GB"/>
                </w:rPr>
                <w:t>10</w:t>
              </w:r>
            </w:hyperlink>
            <w:r w:rsidR="00827023">
              <w:rPr>
                <w:rFonts w:asciiTheme="minorHAnsi" w:eastAsia="SimSun" w:hAnsiTheme="minorHAnsi" w:cstheme="minorHAnsi"/>
                <w:b/>
                <w:bCs/>
                <w:color w:val="0000FF"/>
                <w:sz w:val="20"/>
                <w:u w:val="single"/>
                <w:lang w:val="en-GB"/>
              </w:rPr>
              <w:t>6</w:t>
            </w:r>
          </w:p>
        </w:tc>
      </w:tr>
    </w:tbl>
    <w:p w14:paraId="1A1FCD02" w14:textId="48AEBD47" w:rsidR="001B2750" w:rsidRDefault="007B4A15" w:rsidP="007B4A15">
      <w:pPr>
        <w:spacing w:before="840"/>
        <w:jc w:val="center"/>
      </w:pPr>
      <w:r w:rsidRPr="007B4A15">
        <w:rPr>
          <w:rFonts w:eastAsia="SimSun"/>
          <w:lang w:val="en-GB"/>
        </w:rPr>
        <w:t>______________</w:t>
      </w:r>
    </w:p>
    <w:sectPr w:rsidR="001B2750" w:rsidSect="006710F6">
      <w:headerReference w:type="default" r:id="rId19"/>
      <w:footerReference w:type="first" r:id="rId20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F798" w14:textId="77777777" w:rsidR="00D0644E" w:rsidRDefault="00D0644E">
      <w:r>
        <w:separator/>
      </w:r>
    </w:p>
  </w:endnote>
  <w:endnote w:type="continuationSeparator" w:id="0">
    <w:p w14:paraId="1CDC867E" w14:textId="77777777" w:rsidR="00D0644E" w:rsidRDefault="00D0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25CA" w14:textId="77777777" w:rsidR="008A076F" w:rsidRDefault="008A076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1DEB" w14:textId="77777777" w:rsidR="00D0644E" w:rsidRDefault="00D0644E">
      <w:r>
        <w:t>____________________</w:t>
      </w:r>
    </w:p>
  </w:footnote>
  <w:footnote w:type="continuationSeparator" w:id="0">
    <w:p w14:paraId="66A66B61" w14:textId="77777777" w:rsidR="00D0644E" w:rsidRDefault="00D0644E">
      <w:r>
        <w:continuationSeparator/>
      </w:r>
    </w:p>
  </w:footnote>
  <w:footnote w:id="1">
    <w:p w14:paraId="4F29C424" w14:textId="4AA44D77" w:rsidR="007973ED" w:rsidRPr="007973ED" w:rsidRDefault="007973E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7973ED">
        <w:rPr>
          <w:sz w:val="20"/>
        </w:rPr>
        <w:t>La sesión ordinaria del Consejo se celebró con un día menos</w:t>
      </w:r>
      <w:r w:rsidR="002B225F">
        <w:rPr>
          <w:sz w:val="20"/>
        </w:rPr>
        <w:t xml:space="preserve"> que el período previsto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5A93" w14:textId="407D327B" w:rsidR="008A076F" w:rsidRDefault="008A076F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B10A18D" w14:textId="1C62FFB7" w:rsidR="008A076F" w:rsidRDefault="008A076F" w:rsidP="00C2727F">
    <w:pPr>
      <w:pStyle w:val="Header"/>
    </w:pPr>
    <w:r>
      <w:t>C22/100-S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A723"/>
    <w:multiLevelType w:val="hybridMultilevel"/>
    <w:tmpl w:val="628ADF86"/>
    <w:lvl w:ilvl="0" w:tplc="CB2E5DEE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D5C6C19E">
      <w:start w:val="1"/>
      <w:numFmt w:val="lowerLetter"/>
      <w:lvlText w:val="%2."/>
      <w:lvlJc w:val="left"/>
      <w:pPr>
        <w:ind w:left="1440" w:hanging="360"/>
      </w:pPr>
    </w:lvl>
    <w:lvl w:ilvl="2" w:tplc="7250CD24">
      <w:start w:val="1"/>
      <w:numFmt w:val="lowerRoman"/>
      <w:lvlText w:val="%3."/>
      <w:lvlJc w:val="right"/>
      <w:pPr>
        <w:ind w:left="2160" w:hanging="180"/>
      </w:pPr>
    </w:lvl>
    <w:lvl w:ilvl="3" w:tplc="72D4A04A">
      <w:start w:val="1"/>
      <w:numFmt w:val="decimal"/>
      <w:lvlText w:val="%4."/>
      <w:lvlJc w:val="left"/>
      <w:pPr>
        <w:ind w:left="2880" w:hanging="360"/>
      </w:pPr>
    </w:lvl>
    <w:lvl w:ilvl="4" w:tplc="E79AAB42">
      <w:start w:val="1"/>
      <w:numFmt w:val="lowerLetter"/>
      <w:lvlText w:val="%5."/>
      <w:lvlJc w:val="left"/>
      <w:pPr>
        <w:ind w:left="3600" w:hanging="360"/>
      </w:pPr>
    </w:lvl>
    <w:lvl w:ilvl="5" w:tplc="8280EF44">
      <w:start w:val="1"/>
      <w:numFmt w:val="lowerRoman"/>
      <w:lvlText w:val="%6."/>
      <w:lvlJc w:val="right"/>
      <w:pPr>
        <w:ind w:left="4320" w:hanging="180"/>
      </w:pPr>
    </w:lvl>
    <w:lvl w:ilvl="6" w:tplc="CB1EC5E0">
      <w:start w:val="1"/>
      <w:numFmt w:val="decimal"/>
      <w:lvlText w:val="%7."/>
      <w:lvlJc w:val="left"/>
      <w:pPr>
        <w:ind w:left="5040" w:hanging="360"/>
      </w:pPr>
    </w:lvl>
    <w:lvl w:ilvl="7" w:tplc="A5D66DE8">
      <w:start w:val="1"/>
      <w:numFmt w:val="lowerLetter"/>
      <w:lvlText w:val="%8."/>
      <w:lvlJc w:val="left"/>
      <w:pPr>
        <w:ind w:left="5760" w:hanging="360"/>
      </w:pPr>
    </w:lvl>
    <w:lvl w:ilvl="8" w:tplc="B8DC44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E4CAB"/>
    <w:multiLevelType w:val="hybridMultilevel"/>
    <w:tmpl w:val="14881BD2"/>
    <w:lvl w:ilvl="0" w:tplc="7410EE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9CF0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2AA8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D49F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D801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4C83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166C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023E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905C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760280">
    <w:abstractNumId w:val="0"/>
  </w:num>
  <w:num w:numId="2" w16cid:durableId="17970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FD"/>
    <w:rsid w:val="000007D1"/>
    <w:rsid w:val="00054498"/>
    <w:rsid w:val="00093EEB"/>
    <w:rsid w:val="000B0D00"/>
    <w:rsid w:val="000B7B4D"/>
    <w:rsid w:val="000B7C15"/>
    <w:rsid w:val="000D1D0F"/>
    <w:rsid w:val="000F5290"/>
    <w:rsid w:val="0010165C"/>
    <w:rsid w:val="001102E3"/>
    <w:rsid w:val="00146BFB"/>
    <w:rsid w:val="0017731D"/>
    <w:rsid w:val="001B2750"/>
    <w:rsid w:val="001B46E7"/>
    <w:rsid w:val="001C5E6C"/>
    <w:rsid w:val="001D2307"/>
    <w:rsid w:val="001E5F9A"/>
    <w:rsid w:val="001F14A2"/>
    <w:rsid w:val="00230A15"/>
    <w:rsid w:val="002801AA"/>
    <w:rsid w:val="00296814"/>
    <w:rsid w:val="002978F9"/>
    <w:rsid w:val="002B225F"/>
    <w:rsid w:val="002B4C09"/>
    <w:rsid w:val="002C4676"/>
    <w:rsid w:val="002C70B0"/>
    <w:rsid w:val="002F1E7B"/>
    <w:rsid w:val="002F3CC4"/>
    <w:rsid w:val="00351185"/>
    <w:rsid w:val="003A3021"/>
    <w:rsid w:val="003A4E06"/>
    <w:rsid w:val="003E0AC3"/>
    <w:rsid w:val="003E657A"/>
    <w:rsid w:val="004160AA"/>
    <w:rsid w:val="004402E4"/>
    <w:rsid w:val="004A2BFD"/>
    <w:rsid w:val="004B431B"/>
    <w:rsid w:val="00513630"/>
    <w:rsid w:val="00560125"/>
    <w:rsid w:val="005758BA"/>
    <w:rsid w:val="00585553"/>
    <w:rsid w:val="00593495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3E3C"/>
    <w:rsid w:val="006A13B9"/>
    <w:rsid w:val="006A44F4"/>
    <w:rsid w:val="006C1B56"/>
    <w:rsid w:val="006D4761"/>
    <w:rsid w:val="007125D9"/>
    <w:rsid w:val="00713FFC"/>
    <w:rsid w:val="00726872"/>
    <w:rsid w:val="00757106"/>
    <w:rsid w:val="00760F1C"/>
    <w:rsid w:val="007657F0"/>
    <w:rsid w:val="0077252D"/>
    <w:rsid w:val="00774BFE"/>
    <w:rsid w:val="007955DA"/>
    <w:rsid w:val="007973ED"/>
    <w:rsid w:val="007A2A57"/>
    <w:rsid w:val="007B4A15"/>
    <w:rsid w:val="007B7CD8"/>
    <w:rsid w:val="007E5DD3"/>
    <w:rsid w:val="007F350B"/>
    <w:rsid w:val="00820BE4"/>
    <w:rsid w:val="00827023"/>
    <w:rsid w:val="008451E8"/>
    <w:rsid w:val="008872D0"/>
    <w:rsid w:val="008A076F"/>
    <w:rsid w:val="00913B9C"/>
    <w:rsid w:val="00956E77"/>
    <w:rsid w:val="009F4811"/>
    <w:rsid w:val="00A44CDB"/>
    <w:rsid w:val="00A74F79"/>
    <w:rsid w:val="00A91761"/>
    <w:rsid w:val="00A9247A"/>
    <w:rsid w:val="00AA390C"/>
    <w:rsid w:val="00AD4E3A"/>
    <w:rsid w:val="00AD6EEE"/>
    <w:rsid w:val="00B0200A"/>
    <w:rsid w:val="00B24BF3"/>
    <w:rsid w:val="00B574DB"/>
    <w:rsid w:val="00B826C2"/>
    <w:rsid w:val="00B8298E"/>
    <w:rsid w:val="00B83B16"/>
    <w:rsid w:val="00BA4BF0"/>
    <w:rsid w:val="00BD0723"/>
    <w:rsid w:val="00BD2518"/>
    <w:rsid w:val="00BD4848"/>
    <w:rsid w:val="00BD4D06"/>
    <w:rsid w:val="00BF1D1C"/>
    <w:rsid w:val="00BF237B"/>
    <w:rsid w:val="00C20C59"/>
    <w:rsid w:val="00C2727F"/>
    <w:rsid w:val="00C55B1F"/>
    <w:rsid w:val="00C56E81"/>
    <w:rsid w:val="00C95518"/>
    <w:rsid w:val="00CF1A67"/>
    <w:rsid w:val="00D0644E"/>
    <w:rsid w:val="00D25669"/>
    <w:rsid w:val="00D2750E"/>
    <w:rsid w:val="00D50A36"/>
    <w:rsid w:val="00D62446"/>
    <w:rsid w:val="00D865E2"/>
    <w:rsid w:val="00DA4EA2"/>
    <w:rsid w:val="00DB2D55"/>
    <w:rsid w:val="00DC3D3E"/>
    <w:rsid w:val="00DE2C90"/>
    <w:rsid w:val="00DE3B24"/>
    <w:rsid w:val="00DF021E"/>
    <w:rsid w:val="00DF44F1"/>
    <w:rsid w:val="00E06947"/>
    <w:rsid w:val="00E34072"/>
    <w:rsid w:val="00E3592D"/>
    <w:rsid w:val="00E64692"/>
    <w:rsid w:val="00E92DE8"/>
    <w:rsid w:val="00EB1212"/>
    <w:rsid w:val="00ED46AF"/>
    <w:rsid w:val="00ED65AB"/>
    <w:rsid w:val="00ED7490"/>
    <w:rsid w:val="00F101B3"/>
    <w:rsid w:val="00F12850"/>
    <w:rsid w:val="00F33BF4"/>
    <w:rsid w:val="00F7105E"/>
    <w:rsid w:val="00F75EDA"/>
    <w:rsid w:val="00F75F57"/>
    <w:rsid w:val="00F82FEE"/>
    <w:rsid w:val="00FD36A8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78BB0"/>
  <w15:docId w15:val="{91E55237-D560-4315-84E5-366167D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BFD"/>
    <w:rPr>
      <w:color w:val="605E5C"/>
      <w:shd w:val="clear" w:color="auto" w:fill="E1DFDD"/>
    </w:rPr>
  </w:style>
  <w:style w:type="table" w:styleId="TableGrid">
    <w:name w:val="Table Grid"/>
    <w:basedOn w:val="TableNormal"/>
    <w:rsid w:val="00BD4D0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096/es" TargetMode="External"/><Relationship Id="rId18" Type="http://schemas.openxmlformats.org/officeDocument/2006/relationships/hyperlink" Target="https://www.itu.int/md/S22-CL-C-0106/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095/es" TargetMode="External"/><Relationship Id="rId17" Type="http://schemas.openxmlformats.org/officeDocument/2006/relationships/hyperlink" Target="https://www.itu.int/md/S22-CL-C-0099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98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94/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105/es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97/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DCFED-541A-42A7-B3E2-705AA247CEB2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5FDDF151-955A-47E7-A84F-6642F7B5A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D253-0BEF-4940-A0A8-68490953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1</Pages>
  <Words>225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Resoluciones y Acuerdos</vt:lpstr>
    </vt:vector>
  </TitlesOfParts>
  <Manager>Secretaría General - Pool</Manager>
  <Company>Unión Internacional de Telecomunicaciones (UIT)</Company>
  <LinksUpToDate>false</LinksUpToDate>
  <CharactersWithSpaces>1841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</dc:title>
  <dc:subject>Consejo 2022</dc:subject>
  <dc:creator>Spanish</dc:creator>
  <cp:keywords>C2022, C22, Council-22</cp:keywords>
  <dc:description/>
  <cp:lastModifiedBy>Brouard, Ricarda</cp:lastModifiedBy>
  <cp:revision>3</cp:revision>
  <cp:lastPrinted>2006-03-24T09:51:00Z</cp:lastPrinted>
  <dcterms:created xsi:type="dcterms:W3CDTF">2022-12-05T11:15:00Z</dcterms:created>
  <dcterms:modified xsi:type="dcterms:W3CDTF">2022-12-05T11:19:00Z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