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A332D" w14:paraId="0C256667" w14:textId="77777777">
        <w:trPr>
          <w:cantSplit/>
        </w:trPr>
        <w:tc>
          <w:tcPr>
            <w:tcW w:w="6911" w:type="dxa"/>
          </w:tcPr>
          <w:p w14:paraId="5ECBD05E" w14:textId="1744D0DB" w:rsidR="00BC7BC0" w:rsidRPr="001A332D" w:rsidRDefault="000569B4" w:rsidP="003E64C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A332D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="003E64CB" w:rsidRPr="001A332D">
              <w:rPr>
                <w:b/>
                <w:smallCaps/>
                <w:sz w:val="28"/>
                <w:szCs w:val="28"/>
                <w:lang w:val="ru-RU"/>
              </w:rPr>
              <w:t> </w:t>
            </w:r>
            <w:r w:rsidRPr="001A332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442515" w:rsidRPr="001A33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63B54" w:rsidRPr="001A33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1A33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E64CB" w:rsidRPr="001A332D">
              <w:rPr>
                <w:b/>
                <w:bCs/>
                <w:sz w:val="24"/>
                <w:szCs w:val="24"/>
                <w:lang w:val="ru-RU"/>
              </w:rPr>
              <w:t>Заключительное собрание</w:t>
            </w:r>
            <w:r w:rsidR="00FF4F0E" w:rsidRPr="001A332D">
              <w:rPr>
                <w:b/>
                <w:bCs/>
                <w:sz w:val="24"/>
                <w:szCs w:val="24"/>
                <w:lang w:val="ru-RU"/>
              </w:rPr>
              <w:t>, Бухарест</w:t>
            </w:r>
            <w:r w:rsidR="003E64CB" w:rsidRPr="001A332D">
              <w:rPr>
                <w:b/>
                <w:bCs/>
                <w:sz w:val="24"/>
                <w:szCs w:val="24"/>
                <w:lang w:val="ru-RU"/>
              </w:rPr>
              <w:t>, 24 </w:t>
            </w:r>
            <w:r w:rsidR="00FF4F0E" w:rsidRPr="001A332D">
              <w:rPr>
                <w:b/>
                <w:bCs/>
                <w:sz w:val="24"/>
                <w:szCs w:val="24"/>
                <w:lang w:val="ru-RU"/>
              </w:rPr>
              <w:t>сентября 2022</w:t>
            </w:r>
            <w:r w:rsidR="003E64CB" w:rsidRPr="001A332D">
              <w:rPr>
                <w:b/>
                <w:bCs/>
                <w:sz w:val="24"/>
                <w:szCs w:val="24"/>
                <w:lang w:val="ru-RU"/>
              </w:rPr>
              <w:t> </w:t>
            </w:r>
            <w:r w:rsidR="00FF4F0E" w:rsidRPr="001A332D">
              <w:rPr>
                <w:b/>
                <w:bCs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20" w:type="dxa"/>
          </w:tcPr>
          <w:p w14:paraId="4C058E00" w14:textId="77777777" w:rsidR="00BC7BC0" w:rsidRPr="001A332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A332D">
              <w:rPr>
                <w:lang w:val="ru-RU" w:eastAsia="ru-RU"/>
              </w:rPr>
              <w:drawing>
                <wp:inline distT="0" distB="0" distL="0" distR="0" wp14:anchorId="5DDAD2F0" wp14:editId="2EDB1B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A332D" w14:paraId="74EDE9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62D13" w14:textId="77777777" w:rsidR="00BC7BC0" w:rsidRPr="001A33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BF975" w14:textId="77777777" w:rsidR="00BC7BC0" w:rsidRPr="001A33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A332D" w14:paraId="20D8F0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1A1DBB" w14:textId="77777777" w:rsidR="00BC7BC0" w:rsidRPr="001A33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374EA" w14:textId="77777777" w:rsidR="00BC7BC0" w:rsidRPr="001A33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A332D" w14:paraId="45BCCC2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D95009F" w14:textId="2D9C3C53" w:rsidR="00BC7BC0" w:rsidRPr="001A332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A332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A33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0035F" w:rsidRPr="001A332D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A60D79" w:rsidRPr="001A332D">
              <w:rPr>
                <w:b/>
                <w:bCs/>
                <w:caps/>
                <w:szCs w:val="22"/>
                <w:lang w:val="ru-RU"/>
              </w:rPr>
              <w:t>29</w:t>
            </w:r>
          </w:p>
        </w:tc>
        <w:tc>
          <w:tcPr>
            <w:tcW w:w="3120" w:type="dxa"/>
          </w:tcPr>
          <w:p w14:paraId="1845B851" w14:textId="4FCCF228" w:rsidR="00BC7BC0" w:rsidRPr="001A332D" w:rsidRDefault="00017742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A332D">
              <w:rPr>
                <w:b/>
                <w:bCs/>
                <w:szCs w:val="22"/>
                <w:lang w:val="ru-RU"/>
              </w:rPr>
              <w:t>Пересмотр 1</w:t>
            </w:r>
            <w:r w:rsidRPr="001A332D">
              <w:rPr>
                <w:b/>
                <w:bCs/>
                <w:szCs w:val="22"/>
                <w:lang w:val="ru-RU"/>
              </w:rPr>
              <w:br/>
            </w:r>
            <w:r w:rsidR="00BC7BC0" w:rsidRPr="001A332D">
              <w:rPr>
                <w:b/>
                <w:bCs/>
                <w:szCs w:val="22"/>
                <w:lang w:val="ru-RU"/>
              </w:rPr>
              <w:t>Документ</w:t>
            </w:r>
            <w:r w:rsidRPr="001A332D">
              <w:rPr>
                <w:b/>
                <w:bCs/>
                <w:szCs w:val="22"/>
                <w:lang w:val="ru-RU"/>
              </w:rPr>
              <w:t>а</w:t>
            </w:r>
            <w:r w:rsidR="00BC7BC0" w:rsidRPr="001A332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1A332D">
              <w:rPr>
                <w:b/>
                <w:bCs/>
                <w:szCs w:val="22"/>
                <w:lang w:val="ru-RU"/>
              </w:rPr>
              <w:t>2</w:t>
            </w:r>
            <w:r w:rsidR="00863B54" w:rsidRPr="001A332D">
              <w:rPr>
                <w:b/>
                <w:bCs/>
                <w:szCs w:val="22"/>
                <w:lang w:val="ru-RU"/>
              </w:rPr>
              <w:t>2</w:t>
            </w:r>
            <w:r w:rsidR="00BC7BC0" w:rsidRPr="001A332D">
              <w:rPr>
                <w:b/>
                <w:bCs/>
                <w:szCs w:val="22"/>
                <w:lang w:val="ru-RU"/>
              </w:rPr>
              <w:t>/</w:t>
            </w:r>
            <w:r w:rsidR="00171EAE" w:rsidRPr="001A332D">
              <w:rPr>
                <w:b/>
                <w:bCs/>
                <w:szCs w:val="22"/>
                <w:lang w:val="ru-RU"/>
              </w:rPr>
              <w:t>10</w:t>
            </w:r>
            <w:r w:rsidR="00A60D79" w:rsidRPr="001A332D">
              <w:rPr>
                <w:b/>
                <w:bCs/>
                <w:szCs w:val="22"/>
                <w:lang w:val="ru-RU"/>
              </w:rPr>
              <w:t>2</w:t>
            </w:r>
            <w:r w:rsidR="00BC7BC0" w:rsidRPr="001A33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A332D" w14:paraId="1E284D45" w14:textId="77777777">
        <w:trPr>
          <w:cantSplit/>
          <w:trHeight w:val="23"/>
        </w:trPr>
        <w:tc>
          <w:tcPr>
            <w:tcW w:w="6911" w:type="dxa"/>
            <w:vMerge/>
          </w:tcPr>
          <w:p w14:paraId="76EFB326" w14:textId="77777777" w:rsidR="00BC7BC0" w:rsidRPr="001A33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B8BC9A" w14:textId="69515F82" w:rsidR="00BC7BC0" w:rsidRPr="001A332D" w:rsidRDefault="00C52C0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A332D">
              <w:rPr>
                <w:b/>
                <w:bCs/>
                <w:szCs w:val="22"/>
                <w:lang w:val="ru-RU"/>
              </w:rPr>
              <w:t>16</w:t>
            </w:r>
            <w:r w:rsidR="003E64CB" w:rsidRPr="001A332D">
              <w:rPr>
                <w:b/>
                <w:bCs/>
                <w:szCs w:val="22"/>
                <w:lang w:val="ru-RU"/>
              </w:rPr>
              <w:t> </w:t>
            </w:r>
            <w:r w:rsidRPr="001A332D">
              <w:rPr>
                <w:b/>
                <w:bCs/>
                <w:szCs w:val="22"/>
                <w:lang w:val="ru-RU"/>
              </w:rPr>
              <w:t>сентября</w:t>
            </w:r>
            <w:r w:rsidR="000A7399" w:rsidRPr="001A332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A332D">
              <w:rPr>
                <w:b/>
                <w:bCs/>
                <w:szCs w:val="22"/>
                <w:lang w:val="ru-RU"/>
              </w:rPr>
              <w:t>20</w:t>
            </w:r>
            <w:r w:rsidR="00442515" w:rsidRPr="001A332D">
              <w:rPr>
                <w:b/>
                <w:bCs/>
                <w:szCs w:val="22"/>
                <w:lang w:val="ru-RU"/>
              </w:rPr>
              <w:t>2</w:t>
            </w:r>
            <w:r w:rsidR="00863B54" w:rsidRPr="001A332D">
              <w:rPr>
                <w:b/>
                <w:bCs/>
                <w:szCs w:val="22"/>
                <w:lang w:val="ru-RU"/>
              </w:rPr>
              <w:t>2</w:t>
            </w:r>
            <w:r w:rsidR="003E64CB" w:rsidRPr="001A332D">
              <w:rPr>
                <w:b/>
                <w:bCs/>
                <w:szCs w:val="22"/>
                <w:lang w:val="ru-RU"/>
              </w:rPr>
              <w:t> </w:t>
            </w:r>
            <w:r w:rsidR="00BC7BC0" w:rsidRPr="001A332D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1A332D" w14:paraId="4047D93F" w14:textId="77777777">
        <w:trPr>
          <w:cantSplit/>
          <w:trHeight w:val="23"/>
        </w:trPr>
        <w:tc>
          <w:tcPr>
            <w:tcW w:w="6911" w:type="dxa"/>
            <w:vMerge/>
          </w:tcPr>
          <w:p w14:paraId="0B290412" w14:textId="77777777" w:rsidR="00BC7BC0" w:rsidRPr="001A33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8DDC43" w14:textId="77777777" w:rsidR="00BC7BC0" w:rsidRPr="001A33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A33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A332D" w14:paraId="2A8303C3" w14:textId="77777777">
        <w:trPr>
          <w:cantSplit/>
        </w:trPr>
        <w:tc>
          <w:tcPr>
            <w:tcW w:w="10031" w:type="dxa"/>
            <w:gridSpan w:val="2"/>
          </w:tcPr>
          <w:p w14:paraId="1F6616BD" w14:textId="675CA4E4" w:rsidR="00BC7BC0" w:rsidRPr="001A332D" w:rsidRDefault="00BC7BC0" w:rsidP="000A739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1A332D">
              <w:rPr>
                <w:lang w:val="ru-RU"/>
              </w:rPr>
              <w:t>Отчет Генерального секретаря</w:t>
            </w:r>
          </w:p>
        </w:tc>
      </w:tr>
      <w:tr w:rsidR="00BC7BC0" w:rsidRPr="001A332D" w14:paraId="0E7D91E8" w14:textId="77777777">
        <w:trPr>
          <w:cantSplit/>
        </w:trPr>
        <w:tc>
          <w:tcPr>
            <w:tcW w:w="10031" w:type="dxa"/>
            <w:gridSpan w:val="2"/>
          </w:tcPr>
          <w:p w14:paraId="7F342508" w14:textId="434BBA42" w:rsidR="00BC7BC0" w:rsidRPr="001A332D" w:rsidRDefault="00C254B6" w:rsidP="00F338E4">
            <w:pPr>
              <w:pStyle w:val="Title1"/>
              <w:rPr>
                <w:lang w:val="ru-RU"/>
              </w:rPr>
            </w:pPr>
            <w:bookmarkStart w:id="2" w:name="lt_pId013"/>
            <w:bookmarkStart w:id="3" w:name="dtitle3" w:colFirst="0" w:colLast="0"/>
            <w:bookmarkEnd w:id="1"/>
            <w:r w:rsidRPr="001A332D">
              <w:rPr>
                <w:lang w:val="ru-RU"/>
              </w:rPr>
              <w:t>ФИНАНСОВОЕ ПОЛОЖЕНИЕ ПО СОСТОЯНИЮ НА</w:t>
            </w:r>
            <w:r w:rsidR="001D3DC5" w:rsidRPr="001A332D">
              <w:rPr>
                <w:lang w:val="ru-RU"/>
              </w:rPr>
              <w:t xml:space="preserve"> </w:t>
            </w:r>
            <w:r w:rsidR="00650BF0" w:rsidRPr="001A332D">
              <w:rPr>
                <w:lang w:val="ru-RU"/>
              </w:rPr>
              <w:t>15</w:t>
            </w:r>
            <w:r w:rsidR="001D3DC5" w:rsidRPr="001A332D">
              <w:rPr>
                <w:lang w:val="ru-RU"/>
              </w:rPr>
              <w:t xml:space="preserve"> </w:t>
            </w:r>
            <w:r w:rsidR="00650BF0" w:rsidRPr="001A332D">
              <w:rPr>
                <w:lang w:val="ru-RU"/>
              </w:rPr>
              <w:t>СЕНТЯБРЯ</w:t>
            </w:r>
            <w:r w:rsidR="001D3DC5" w:rsidRPr="001A332D">
              <w:rPr>
                <w:lang w:val="ru-RU"/>
              </w:rPr>
              <w:t xml:space="preserve"> 2022</w:t>
            </w:r>
            <w:r w:rsidR="008C34D7" w:rsidRPr="001A332D">
              <w:rPr>
                <w:lang w:val="ru-RU"/>
              </w:rPr>
              <w:t> ГОДА</w:t>
            </w:r>
            <w:r w:rsidR="001D3DC5" w:rsidRPr="001A332D">
              <w:rPr>
                <w:lang w:val="ru-RU"/>
              </w:rPr>
              <w:t xml:space="preserve"> </w:t>
            </w:r>
            <w:bookmarkEnd w:id="2"/>
            <w:r w:rsidRPr="001A332D">
              <w:rPr>
                <w:lang w:val="ru-RU"/>
              </w:rPr>
              <w:t>И</w:t>
            </w:r>
            <w:r w:rsidR="001D3DC5" w:rsidRPr="001A332D">
              <w:rPr>
                <w:lang w:val="ru-RU"/>
              </w:rPr>
              <w:br/>
            </w:r>
            <w:bookmarkStart w:id="4" w:name="lt_pId014"/>
            <w:r w:rsidRPr="001A332D">
              <w:rPr>
                <w:lang w:val="ru-RU"/>
              </w:rPr>
              <w:t>прогноз исполнения бюджета НА ПЕРИОД ДО</w:t>
            </w:r>
            <w:r w:rsidR="001D3DC5" w:rsidRPr="001A332D">
              <w:rPr>
                <w:lang w:val="ru-RU"/>
              </w:rPr>
              <w:t xml:space="preserve"> 31 </w:t>
            </w:r>
            <w:r w:rsidR="008C34D7" w:rsidRPr="001A332D">
              <w:rPr>
                <w:lang w:val="ru-RU"/>
              </w:rPr>
              <w:t>ДЕКАБРЯ</w:t>
            </w:r>
            <w:r w:rsidR="001D3DC5" w:rsidRPr="001A332D">
              <w:rPr>
                <w:lang w:val="ru-RU"/>
              </w:rPr>
              <w:t xml:space="preserve"> 2022</w:t>
            </w:r>
            <w:bookmarkEnd w:id="4"/>
            <w:r w:rsidR="008C34D7" w:rsidRPr="001A332D">
              <w:rPr>
                <w:lang w:val="ru-RU"/>
              </w:rPr>
              <w:t> ГОДА</w:t>
            </w:r>
          </w:p>
        </w:tc>
      </w:tr>
      <w:bookmarkEnd w:id="3"/>
    </w:tbl>
    <w:p w14:paraId="02531746" w14:textId="77777777" w:rsidR="002D2F57" w:rsidRPr="001A332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A332D" w14:paraId="7061A4F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D" w14:textId="77777777" w:rsidR="002D2F57" w:rsidRPr="001A332D" w:rsidRDefault="002D2F57">
            <w:pPr>
              <w:pStyle w:val="Headingb"/>
              <w:rPr>
                <w:szCs w:val="22"/>
                <w:lang w:val="ru-RU"/>
              </w:rPr>
            </w:pPr>
            <w:r w:rsidRPr="001A332D">
              <w:rPr>
                <w:szCs w:val="22"/>
                <w:lang w:val="ru-RU"/>
              </w:rPr>
              <w:t>Резюме</w:t>
            </w:r>
          </w:p>
          <w:p w14:paraId="11C339D6" w14:textId="01CF254F" w:rsidR="0076778F" w:rsidRPr="001A332D" w:rsidRDefault="009872B5" w:rsidP="007E1648">
            <w:pPr>
              <w:rPr>
                <w:lang w:val="ru-RU"/>
              </w:rPr>
            </w:pPr>
            <w:r w:rsidRPr="001A332D">
              <w:rPr>
                <w:lang w:val="ru-RU"/>
              </w:rPr>
              <w:t xml:space="preserve">В настоящем документе представлено </w:t>
            </w:r>
            <w:r w:rsidR="00D32355" w:rsidRPr="001A332D">
              <w:rPr>
                <w:lang w:val="ru-RU"/>
              </w:rPr>
              <w:t xml:space="preserve">финансовое положение </w:t>
            </w:r>
            <w:r w:rsidR="00732B53" w:rsidRPr="001A332D">
              <w:rPr>
                <w:lang w:val="ru-RU"/>
              </w:rPr>
              <w:t>по</w:t>
            </w:r>
            <w:r w:rsidR="00D32355" w:rsidRPr="001A332D">
              <w:rPr>
                <w:lang w:val="ru-RU"/>
              </w:rPr>
              <w:t xml:space="preserve"> бюджет</w:t>
            </w:r>
            <w:r w:rsidR="004F66A9" w:rsidRPr="001A332D">
              <w:rPr>
                <w:lang w:val="ru-RU"/>
              </w:rPr>
              <w:t>у</w:t>
            </w:r>
            <w:r w:rsidR="00D32355" w:rsidRPr="001A332D">
              <w:rPr>
                <w:lang w:val="ru-RU"/>
              </w:rPr>
              <w:t xml:space="preserve"> на</w:t>
            </w:r>
            <w:r w:rsidR="00732B53" w:rsidRPr="001A332D">
              <w:rPr>
                <w:lang w:val="ru-RU"/>
              </w:rPr>
              <w:t> </w:t>
            </w:r>
            <w:r w:rsidR="0076778F" w:rsidRPr="001A332D">
              <w:rPr>
                <w:lang w:val="ru-RU"/>
              </w:rPr>
              <w:t>2022</w:t>
            </w:r>
            <w:r w:rsidR="00E85FF4" w:rsidRPr="001A332D">
              <w:rPr>
                <w:lang w:val="ru-RU"/>
              </w:rPr>
              <w:t> год</w:t>
            </w:r>
            <w:r w:rsidR="00D32355" w:rsidRPr="001A332D">
              <w:rPr>
                <w:lang w:val="ru-RU"/>
              </w:rPr>
              <w:t xml:space="preserve"> по состоянию на </w:t>
            </w:r>
            <w:r w:rsidR="00650BF0" w:rsidRPr="001A332D">
              <w:rPr>
                <w:lang w:val="ru-RU"/>
              </w:rPr>
              <w:t>15</w:t>
            </w:r>
            <w:r w:rsidR="0076778F" w:rsidRPr="001A332D">
              <w:rPr>
                <w:lang w:val="ru-RU"/>
              </w:rPr>
              <w:t xml:space="preserve"> </w:t>
            </w:r>
            <w:r w:rsidR="00650BF0" w:rsidRPr="001A332D">
              <w:rPr>
                <w:lang w:val="ru-RU"/>
              </w:rPr>
              <w:t>сентября</w:t>
            </w:r>
            <w:r w:rsidR="0076778F" w:rsidRPr="001A332D">
              <w:rPr>
                <w:lang w:val="ru-RU"/>
              </w:rPr>
              <w:t xml:space="preserve"> 2022</w:t>
            </w:r>
            <w:r w:rsidR="00E85FF4" w:rsidRPr="001A332D">
              <w:rPr>
                <w:lang w:val="ru-RU"/>
              </w:rPr>
              <w:t> год</w:t>
            </w:r>
            <w:r w:rsidR="008C34D7" w:rsidRPr="001A332D">
              <w:rPr>
                <w:lang w:val="ru-RU"/>
              </w:rPr>
              <w:t>а</w:t>
            </w:r>
            <w:r w:rsidR="0076778F" w:rsidRPr="001A332D">
              <w:rPr>
                <w:lang w:val="ru-RU"/>
              </w:rPr>
              <w:t xml:space="preserve"> </w:t>
            </w:r>
            <w:r w:rsidR="00D32355" w:rsidRPr="001A332D">
              <w:rPr>
                <w:lang w:val="ru-RU"/>
              </w:rPr>
              <w:t xml:space="preserve">и прогноз исполнения бюджета на </w:t>
            </w:r>
            <w:r w:rsidR="0076778F" w:rsidRPr="001A332D">
              <w:rPr>
                <w:lang w:val="ru-RU"/>
              </w:rPr>
              <w:t>2022</w:t>
            </w:r>
            <w:r w:rsidR="00E85FF4" w:rsidRPr="001A332D">
              <w:rPr>
                <w:lang w:val="ru-RU"/>
              </w:rPr>
              <w:t> год</w:t>
            </w:r>
            <w:r w:rsidR="0076778F" w:rsidRPr="001A332D">
              <w:rPr>
                <w:lang w:val="ru-RU"/>
              </w:rPr>
              <w:t xml:space="preserve"> </w:t>
            </w:r>
            <w:r w:rsidR="00D32355" w:rsidRPr="001A332D">
              <w:rPr>
                <w:lang w:val="ru-RU"/>
              </w:rPr>
              <w:t>на период до</w:t>
            </w:r>
            <w:r w:rsidR="0076778F" w:rsidRPr="001A332D">
              <w:rPr>
                <w:lang w:val="ru-RU"/>
              </w:rPr>
              <w:t xml:space="preserve"> 31 </w:t>
            </w:r>
            <w:r w:rsidR="00D32355" w:rsidRPr="001A332D">
              <w:rPr>
                <w:lang w:val="ru-RU"/>
              </w:rPr>
              <w:t>декабря</w:t>
            </w:r>
            <w:r w:rsidR="0076778F" w:rsidRPr="001A332D">
              <w:rPr>
                <w:lang w:val="ru-RU"/>
              </w:rPr>
              <w:t xml:space="preserve"> 2022</w:t>
            </w:r>
            <w:r w:rsidR="00E85FF4" w:rsidRPr="001A332D">
              <w:rPr>
                <w:lang w:val="ru-RU"/>
              </w:rPr>
              <w:t> год</w:t>
            </w:r>
            <w:r w:rsidR="00D32355" w:rsidRPr="001A332D">
              <w:rPr>
                <w:lang w:val="ru-RU"/>
              </w:rPr>
              <w:t>а</w:t>
            </w:r>
            <w:r w:rsidR="0076778F" w:rsidRPr="001A332D">
              <w:rPr>
                <w:lang w:val="ru-RU"/>
              </w:rPr>
              <w:t>.</w:t>
            </w:r>
          </w:p>
          <w:p w14:paraId="098E81DD" w14:textId="6646DA73" w:rsidR="0076778F" w:rsidRPr="001A332D" w:rsidRDefault="004F66A9" w:rsidP="007E1648">
            <w:pPr>
              <w:rPr>
                <w:lang w:val="ru-RU"/>
              </w:rPr>
            </w:pPr>
            <w:r w:rsidRPr="001A332D">
              <w:rPr>
                <w:lang w:val="ru-RU"/>
              </w:rPr>
              <w:t xml:space="preserve">В документе </w:t>
            </w:r>
            <w:r w:rsidR="00994D79" w:rsidRPr="001A332D">
              <w:rPr>
                <w:lang w:val="ru-RU"/>
              </w:rPr>
              <w:t>описаны трудности</w:t>
            </w:r>
            <w:r w:rsidRPr="001A332D">
              <w:rPr>
                <w:lang w:val="ru-RU"/>
              </w:rPr>
              <w:t xml:space="preserve"> исполнения бюджета, обусловленн</w:t>
            </w:r>
            <w:r w:rsidR="00994D79" w:rsidRPr="001A332D">
              <w:rPr>
                <w:lang w:val="ru-RU"/>
              </w:rPr>
              <w:t>ые</w:t>
            </w:r>
            <w:r w:rsidRPr="001A332D">
              <w:rPr>
                <w:lang w:val="ru-RU"/>
              </w:rPr>
              <w:t xml:space="preserve"> более высокими, чем ожидалось, расходами и более низкими</w:t>
            </w:r>
            <w:r w:rsidR="00994D79" w:rsidRPr="001A332D">
              <w:rPr>
                <w:lang w:val="ru-RU"/>
              </w:rPr>
              <w:t>, чем</w:t>
            </w:r>
            <w:r w:rsidRPr="001A332D">
              <w:rPr>
                <w:lang w:val="ru-RU"/>
              </w:rPr>
              <w:t xml:space="preserve"> прогнозир</w:t>
            </w:r>
            <w:r w:rsidR="00994D79" w:rsidRPr="001A332D">
              <w:rPr>
                <w:lang w:val="ru-RU"/>
              </w:rPr>
              <w:t>овалось,</w:t>
            </w:r>
            <w:r w:rsidRPr="001A332D">
              <w:rPr>
                <w:lang w:val="ru-RU"/>
              </w:rPr>
              <w:t xml:space="preserve"> доходами по линии возмещения затрат</w:t>
            </w:r>
            <w:r w:rsidR="008F236F" w:rsidRPr="001A332D">
              <w:rPr>
                <w:lang w:val="ru-RU"/>
              </w:rPr>
              <w:t xml:space="preserve">, в частности от обработки заявок на регистрацию спутниковых сетей и </w:t>
            </w:r>
            <w:r w:rsidR="0076778F" w:rsidRPr="001A332D">
              <w:rPr>
                <w:lang w:val="ru-RU"/>
              </w:rPr>
              <w:t>Telecom.</w:t>
            </w:r>
          </w:p>
          <w:p w14:paraId="63C755F6" w14:textId="2D72D8E5" w:rsidR="00F40D1B" w:rsidRPr="001A332D" w:rsidRDefault="00994D79" w:rsidP="007E1648">
            <w:pPr>
              <w:rPr>
                <w:szCs w:val="22"/>
                <w:lang w:val="ru-RU"/>
              </w:rPr>
            </w:pPr>
            <w:r w:rsidRPr="001A332D">
              <w:rPr>
                <w:lang w:val="ru-RU"/>
              </w:rPr>
              <w:t>В настоящем документе представлены также меры и действия, осуществляемые руководством МСЭ, с тем чтобы обеспечить исполнение бюджета на 2022</w:t>
            </w:r>
            <w:r w:rsidR="00E85FF4" w:rsidRPr="001A332D">
              <w:rPr>
                <w:lang w:val="ru-RU"/>
              </w:rPr>
              <w:t> год</w:t>
            </w:r>
            <w:r w:rsidRPr="001A332D">
              <w:rPr>
                <w:lang w:val="ru-RU"/>
              </w:rPr>
              <w:t xml:space="preserve"> и последующие</w:t>
            </w:r>
            <w:r w:rsidR="004D09BA" w:rsidRPr="001A332D">
              <w:rPr>
                <w:lang w:val="ru-RU"/>
              </w:rPr>
              <w:t xml:space="preserve"> </w:t>
            </w:r>
            <w:r w:rsidR="00E85FF4" w:rsidRPr="001A332D">
              <w:rPr>
                <w:lang w:val="ru-RU"/>
              </w:rPr>
              <w:t>год</w:t>
            </w:r>
            <w:r w:rsidRPr="001A332D">
              <w:rPr>
                <w:lang w:val="ru-RU"/>
              </w:rPr>
              <w:t>ы</w:t>
            </w:r>
            <w:r w:rsidR="000E3B0D" w:rsidRPr="001A332D">
              <w:rPr>
                <w:lang w:val="ru-RU"/>
              </w:rPr>
              <w:t xml:space="preserve"> в рамках имеющихся ресурсов</w:t>
            </w:r>
            <w:r w:rsidR="0076778F" w:rsidRPr="001A332D">
              <w:rPr>
                <w:lang w:val="ru-RU"/>
              </w:rPr>
              <w:t>.</w:t>
            </w:r>
          </w:p>
          <w:p w14:paraId="68C235E4" w14:textId="77777777" w:rsidR="002D2F57" w:rsidRPr="001A332D" w:rsidRDefault="002D2F57" w:rsidP="00E55121">
            <w:pPr>
              <w:pStyle w:val="Headingb"/>
              <w:rPr>
                <w:lang w:val="ru-RU"/>
              </w:rPr>
            </w:pPr>
            <w:r w:rsidRPr="001A332D">
              <w:rPr>
                <w:lang w:val="ru-RU"/>
              </w:rPr>
              <w:t xml:space="preserve">Необходимые </w:t>
            </w:r>
            <w:r w:rsidR="00F5225B" w:rsidRPr="001A332D">
              <w:rPr>
                <w:lang w:val="ru-RU"/>
              </w:rPr>
              <w:t>действия</w:t>
            </w:r>
          </w:p>
          <w:p w14:paraId="2F485567" w14:textId="1A2E8731" w:rsidR="00F40D1B" w:rsidRPr="001A332D" w:rsidRDefault="00276943" w:rsidP="00F40D1B">
            <w:pPr>
              <w:rPr>
                <w:szCs w:val="22"/>
                <w:lang w:val="ru-RU"/>
              </w:rPr>
            </w:pPr>
            <w:r w:rsidRPr="001A332D">
              <w:rPr>
                <w:szCs w:val="22"/>
                <w:lang w:val="ru-RU"/>
              </w:rPr>
              <w:t xml:space="preserve">Настоящий документ представляется Совету для </w:t>
            </w:r>
            <w:r w:rsidRPr="001A332D">
              <w:rPr>
                <w:b/>
                <w:bCs/>
                <w:szCs w:val="22"/>
                <w:lang w:val="ru-RU"/>
              </w:rPr>
              <w:t xml:space="preserve">рассмотрения </w:t>
            </w:r>
            <w:r w:rsidR="000E3B0D" w:rsidRPr="001A332D">
              <w:rPr>
                <w:b/>
                <w:bCs/>
                <w:szCs w:val="22"/>
                <w:lang w:val="ru-RU"/>
              </w:rPr>
              <w:t>и руководства</w:t>
            </w:r>
            <w:r w:rsidRPr="001A332D">
              <w:rPr>
                <w:szCs w:val="22"/>
                <w:lang w:val="ru-RU"/>
              </w:rPr>
              <w:t>.</w:t>
            </w:r>
          </w:p>
          <w:p w14:paraId="27B965E2" w14:textId="77777777" w:rsidR="002D2F57" w:rsidRPr="001A332D" w:rsidRDefault="002D2F57" w:rsidP="00FC5FA0">
            <w:pPr>
              <w:jc w:val="center"/>
              <w:rPr>
                <w:caps/>
                <w:szCs w:val="22"/>
                <w:lang w:val="ru-RU"/>
              </w:rPr>
            </w:pPr>
            <w:r w:rsidRPr="001A332D">
              <w:rPr>
                <w:caps/>
                <w:szCs w:val="22"/>
                <w:lang w:val="ru-RU"/>
              </w:rPr>
              <w:t>____________</w:t>
            </w:r>
          </w:p>
          <w:p w14:paraId="0E8651B7" w14:textId="77777777" w:rsidR="002D2F57" w:rsidRPr="001A332D" w:rsidRDefault="002D2F57">
            <w:pPr>
              <w:pStyle w:val="Headingb"/>
              <w:rPr>
                <w:szCs w:val="22"/>
                <w:lang w:val="ru-RU"/>
              </w:rPr>
            </w:pPr>
            <w:r w:rsidRPr="001A332D">
              <w:rPr>
                <w:szCs w:val="22"/>
                <w:lang w:val="ru-RU"/>
              </w:rPr>
              <w:t>Справочные материалы</w:t>
            </w:r>
          </w:p>
          <w:p w14:paraId="15AAE909" w14:textId="69337AE8" w:rsidR="0076778F" w:rsidRPr="001A332D" w:rsidRDefault="00B93A28" w:rsidP="0076778F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8" w:history="1">
              <w:r w:rsidR="000E3B0D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Резолюция 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1405</w:t>
              </w:r>
              <w:r w:rsidR="000E3B0D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Совета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– </w:t>
              </w:r>
              <w:r w:rsidR="000E3B0D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Бюджет на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2022</w:t>
              </w:r>
              <w:r w:rsidR="00951294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–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2023</w:t>
              </w:r>
            </w:hyperlink>
            <w:r w:rsidR="000E3B0D" w:rsidRPr="001A332D">
              <w:rPr>
                <w:rStyle w:val="Hyperlink"/>
                <w:rFonts w:asciiTheme="minorHAnsi" w:hAnsiTheme="minorHAnsi" w:cstheme="minorHAnsi"/>
                <w:szCs w:val="24"/>
                <w:lang w:val="ru-RU"/>
              </w:rPr>
              <w:t xml:space="preserve"> годы</w:t>
            </w:r>
          </w:p>
          <w:p w14:paraId="58BAB20B" w14:textId="3A0EC16A" w:rsidR="0076778F" w:rsidRPr="001A332D" w:rsidRDefault="00B93A28" w:rsidP="0076778F">
            <w:pPr>
              <w:snapToGrid w:val="0"/>
              <w:spacing w:before="0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9" w:history="1">
              <w:r w:rsidR="00786383" w:rsidRPr="001A332D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/>
                </w:rPr>
                <w:t>Финансовый регламент Союза</w:t>
              </w:r>
            </w:hyperlink>
          </w:p>
          <w:p w14:paraId="0D4D3D8B" w14:textId="174363C7" w:rsidR="0076778F" w:rsidRPr="001A332D" w:rsidRDefault="00B93A28" w:rsidP="0076778F">
            <w:pPr>
              <w:snapToGrid w:val="0"/>
              <w:spacing w:before="0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10" w:history="1">
              <w:r w:rsidR="00951294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Решение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5 (</w:t>
              </w:r>
              <w:r w:rsidR="00951294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Пересм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. </w:t>
              </w:r>
              <w:r w:rsidR="00951294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Дубай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, 201</w:t>
              </w:r>
              <w:r w:rsidR="00951294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8 г.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)</w:t>
              </w:r>
            </w:hyperlink>
          </w:p>
          <w:p w14:paraId="51F99F50" w14:textId="3404D5CF" w:rsidR="00733945" w:rsidRPr="001A332D" w:rsidRDefault="00B93A28" w:rsidP="005B5736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hyperlink r:id="rId11" w:history="1">
              <w:r w:rsidR="00786383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Статья 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4</w:t>
              </w:r>
              <w:r w:rsidR="00786383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Устава</w:t>
              </w:r>
            </w:hyperlink>
            <w:r w:rsidR="0076778F" w:rsidRPr="001A332D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hyperlink r:id="rId12" w:history="1">
              <w:r w:rsidR="00951294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Документ</w:t>
              </w:r>
              <w:r w:rsidR="0076778F" w:rsidRPr="001A332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C16/45</w:t>
              </w:r>
            </w:hyperlink>
          </w:p>
        </w:tc>
      </w:tr>
    </w:tbl>
    <w:p w14:paraId="3BE3AD44" w14:textId="21ECB708" w:rsidR="00171EAE" w:rsidRPr="001A332D" w:rsidRDefault="00171EAE" w:rsidP="00171EAE">
      <w:pPr>
        <w:rPr>
          <w:bCs/>
          <w:sz w:val="26"/>
          <w:lang w:val="ru-RU"/>
        </w:rPr>
      </w:pPr>
      <w:r w:rsidRPr="001A332D">
        <w:rPr>
          <w:lang w:val="ru-RU"/>
        </w:rPr>
        <w:br w:type="page"/>
      </w:r>
    </w:p>
    <w:p w14:paraId="5372B929" w14:textId="455E5E35" w:rsidR="00C64D9C" w:rsidRPr="001A332D" w:rsidRDefault="00786383" w:rsidP="00F338E4">
      <w:pPr>
        <w:pStyle w:val="Title1"/>
        <w:rPr>
          <w:b/>
          <w:bCs/>
          <w:lang w:val="ru-RU"/>
        </w:rPr>
      </w:pPr>
      <w:r w:rsidRPr="001A332D">
        <w:rPr>
          <w:b/>
          <w:bCs/>
          <w:lang w:val="ru-RU"/>
        </w:rPr>
        <w:lastRenderedPageBreak/>
        <w:t xml:space="preserve">ФИНАНСОВОЕ ПОЛОЖЕНИЕ ПО СОСТОЯНИЮ НА </w:t>
      </w:r>
      <w:r w:rsidR="00650BF0" w:rsidRPr="001A332D">
        <w:rPr>
          <w:b/>
          <w:bCs/>
          <w:lang w:val="ru-RU"/>
        </w:rPr>
        <w:t>15</w:t>
      </w:r>
      <w:r w:rsidRPr="001A332D">
        <w:rPr>
          <w:b/>
          <w:bCs/>
          <w:lang w:val="ru-RU"/>
        </w:rPr>
        <w:t xml:space="preserve"> </w:t>
      </w:r>
      <w:r w:rsidR="00650BF0" w:rsidRPr="001A332D">
        <w:rPr>
          <w:b/>
          <w:bCs/>
          <w:lang w:val="ru-RU"/>
        </w:rPr>
        <w:t>СЕНТЯБРЯ</w:t>
      </w:r>
      <w:r w:rsidRPr="001A332D">
        <w:rPr>
          <w:b/>
          <w:bCs/>
          <w:lang w:val="ru-RU"/>
        </w:rPr>
        <w:t xml:space="preserve"> 2022 ГОДА И</w:t>
      </w:r>
      <w:r w:rsidRPr="001A332D">
        <w:rPr>
          <w:b/>
          <w:bCs/>
          <w:lang w:val="ru-RU"/>
        </w:rPr>
        <w:br/>
        <w:t>прогноз исполнения бюджета НА ПЕРИОД ДО 31 ДЕКАБРЯ 2022 ГОДА</w:t>
      </w:r>
    </w:p>
    <w:p w14:paraId="733647D0" w14:textId="0D282F09" w:rsidR="00C64D9C" w:rsidRPr="001A332D" w:rsidRDefault="00C64D9C" w:rsidP="00C64D9C">
      <w:pPr>
        <w:pStyle w:val="Heading1"/>
        <w:rPr>
          <w:lang w:val="ru-RU"/>
        </w:rPr>
      </w:pPr>
      <w:r w:rsidRPr="001A332D">
        <w:rPr>
          <w:lang w:val="ru-RU"/>
        </w:rPr>
        <w:t>1</w:t>
      </w:r>
      <w:r w:rsidRPr="001A332D">
        <w:rPr>
          <w:lang w:val="ru-RU"/>
        </w:rPr>
        <w:tab/>
      </w:r>
      <w:r w:rsidR="00786383" w:rsidRPr="001A332D">
        <w:rPr>
          <w:lang w:val="ru-RU"/>
        </w:rPr>
        <w:t>Введение</w:t>
      </w:r>
    </w:p>
    <w:p w14:paraId="046DE250" w14:textId="5CAB0455" w:rsidR="00C64D9C" w:rsidRPr="001A332D" w:rsidRDefault="009233A8" w:rsidP="00C64D9C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 xml:space="preserve">Цель настоящего документа – информировать Совет о финансовом положении по состоянию на 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15</w:t>
      </w:r>
      <w:r w:rsidRPr="001A332D">
        <w:rPr>
          <w:rFonts w:asciiTheme="minorHAnsi" w:hAnsiTheme="minorHAnsi" w:cstheme="minorHAnsi"/>
          <w:szCs w:val="24"/>
          <w:lang w:val="ru-RU"/>
        </w:rPr>
        <w:t> 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сентября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2022</w:t>
      </w:r>
      <w:r w:rsidR="00E85FF4" w:rsidRPr="001A332D">
        <w:rPr>
          <w:rFonts w:asciiTheme="minorHAnsi" w:hAnsiTheme="minorHAnsi" w:cstheme="minorHAnsi"/>
          <w:szCs w:val="24"/>
          <w:lang w:val="ru-RU"/>
        </w:rPr>
        <w:t> год</w:t>
      </w:r>
      <w:r w:rsidRPr="001A332D">
        <w:rPr>
          <w:rFonts w:asciiTheme="minorHAnsi" w:hAnsiTheme="minorHAnsi" w:cstheme="minorHAnsi"/>
          <w:szCs w:val="24"/>
          <w:lang w:val="ru-RU"/>
        </w:rPr>
        <w:t>а.</w:t>
      </w:r>
    </w:p>
    <w:p w14:paraId="068FD256" w14:textId="0B224D69" w:rsidR="00C64D9C" w:rsidRPr="001A332D" w:rsidRDefault="009233A8" w:rsidP="009233A8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Ожидаемый дефицит доходов по линии возмещения затрат составляет около –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6,9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швейцарских франков, что частично компенсируется некоторой экономией в расходной части, главным образом в</w:t>
      </w:r>
      <w:r w:rsidR="00533789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Генеральном секретариате. </w:t>
      </w:r>
      <w:r w:rsidR="00F61BAF" w:rsidRPr="001A332D">
        <w:rPr>
          <w:rFonts w:asciiTheme="minorHAnsi" w:hAnsiTheme="minorHAnsi" w:cstheme="minorHAnsi"/>
          <w:szCs w:val="24"/>
          <w:lang w:val="ru-RU"/>
        </w:rPr>
        <w:t>В результате</w:t>
      </w:r>
      <w:r w:rsidR="004D09BA" w:rsidRPr="001A332D">
        <w:rPr>
          <w:rFonts w:asciiTheme="minorHAnsi" w:hAnsiTheme="minorHAnsi" w:cstheme="minorHAnsi"/>
          <w:szCs w:val="24"/>
          <w:lang w:val="ru-RU"/>
        </w:rPr>
        <w:t>,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прогнозируем</w:t>
      </w:r>
      <w:r w:rsidR="00F61BAF" w:rsidRPr="001A332D">
        <w:rPr>
          <w:rFonts w:asciiTheme="minorHAnsi" w:hAnsiTheme="minorHAnsi" w:cstheme="minorHAnsi"/>
          <w:szCs w:val="24"/>
          <w:lang w:val="ru-RU"/>
        </w:rPr>
        <w:t>ый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дефицит бюджета </w:t>
      </w:r>
      <w:r w:rsidR="00F61BAF" w:rsidRPr="001A332D">
        <w:rPr>
          <w:rFonts w:asciiTheme="minorHAnsi" w:hAnsiTheme="minorHAnsi" w:cstheme="minorHAnsi"/>
          <w:szCs w:val="24"/>
          <w:lang w:val="ru-RU"/>
        </w:rPr>
        <w:t>составит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–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1</w:t>
      </w:r>
      <w:r w:rsidRPr="001A332D">
        <w:rPr>
          <w:rFonts w:asciiTheme="minorHAnsi" w:hAnsiTheme="minorHAnsi" w:cstheme="minorHAnsi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42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швейцарских франков на конец года.</w:t>
      </w:r>
    </w:p>
    <w:p w14:paraId="5684D45B" w14:textId="4DA229BC" w:rsidR="00C64D9C" w:rsidRPr="001A332D" w:rsidRDefault="00F61BAF" w:rsidP="00C64D9C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Для определения экономии расходов, которая обеспечит отсутствие дефицита в конце года, была создана внутренняя группа под председательством заместителя Генерального секретаря, состоящая из заместителей Директоров каждого Бюро и руководителей FRMD, HRMD, C&amp;P и ISD.</w:t>
      </w:r>
    </w:p>
    <w:p w14:paraId="40D379DB" w14:textId="76D3480B" w:rsidR="00C64D9C" w:rsidRPr="001A332D" w:rsidRDefault="00C64D9C" w:rsidP="00C64D9C">
      <w:pPr>
        <w:pStyle w:val="Heading1"/>
        <w:rPr>
          <w:lang w:val="ru-RU"/>
        </w:rPr>
      </w:pPr>
      <w:r w:rsidRPr="001A332D">
        <w:rPr>
          <w:lang w:val="ru-RU"/>
        </w:rPr>
        <w:t>2</w:t>
      </w:r>
      <w:r w:rsidRPr="001A332D">
        <w:rPr>
          <w:lang w:val="ru-RU"/>
        </w:rPr>
        <w:tab/>
      </w:r>
      <w:r w:rsidR="009D1E73" w:rsidRPr="001A332D">
        <w:rPr>
          <w:lang w:val="ru-RU"/>
        </w:rPr>
        <w:t>Расходы</w:t>
      </w:r>
    </w:p>
    <w:p w14:paraId="0BF69563" w14:textId="742D018B" w:rsidR="00C64D9C" w:rsidRPr="001A332D" w:rsidRDefault="009D1E73" w:rsidP="00C64D9C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Прогнозируемый уровень расходов по бюджету на 2022</w:t>
      </w:r>
      <w:r w:rsidR="00E85FF4" w:rsidRPr="001A332D">
        <w:rPr>
          <w:rFonts w:asciiTheme="minorHAnsi" w:hAnsiTheme="minorHAnsi" w:cstheme="minorHAnsi"/>
          <w:szCs w:val="24"/>
          <w:lang w:val="ru-RU"/>
        </w:rPr>
        <w:t> год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составляет 1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58</w:t>
      </w:r>
      <w:r w:rsidRPr="001A332D">
        <w:rPr>
          <w:rFonts w:asciiTheme="minorHAnsi" w:hAnsiTheme="minorHAnsi" w:cstheme="minorHAnsi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5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швейцарских франков (по сравнению с бюджетом в размере 16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3</w:t>
      </w:r>
      <w:r w:rsidRPr="001A332D">
        <w:rPr>
          <w:rFonts w:asciiTheme="minorHAnsi" w:hAnsiTheme="minorHAnsi" w:cstheme="minorHAnsi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6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швейцарских франков), что приведет к</w:t>
      </w:r>
      <w:r w:rsidR="00533789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>экономии</w:t>
      </w:r>
      <w:r w:rsidR="004D09BA" w:rsidRPr="001A332D">
        <w:rPr>
          <w:rFonts w:asciiTheme="minorHAnsi" w:hAnsiTheme="minorHAnsi" w:cstheme="minorHAnsi"/>
          <w:szCs w:val="24"/>
          <w:lang w:val="ru-RU"/>
        </w:rPr>
        <w:t xml:space="preserve"> в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5</w:t>
      </w:r>
      <w:r w:rsidRPr="001A332D">
        <w:rPr>
          <w:rFonts w:asciiTheme="minorHAnsi" w:hAnsiTheme="minorHAnsi" w:cstheme="minorHAnsi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1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швейцарских франков по</w:t>
      </w:r>
      <w:r w:rsidR="00601192" w:rsidRPr="001A332D">
        <w:rPr>
          <w:rFonts w:asciiTheme="minorHAnsi" w:hAnsiTheme="minorHAnsi" w:cstheme="minorHAnsi"/>
          <w:szCs w:val="24"/>
          <w:lang w:val="ru-RU"/>
        </w:rPr>
        <w:t xml:space="preserve"> сравнению с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утвержденн</w:t>
      </w:r>
      <w:r w:rsidR="00601192" w:rsidRPr="001A332D">
        <w:rPr>
          <w:rFonts w:asciiTheme="minorHAnsi" w:hAnsiTheme="minorHAnsi" w:cstheme="minorHAnsi"/>
          <w:szCs w:val="24"/>
          <w:lang w:val="ru-RU"/>
        </w:rPr>
        <w:t>ым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бюджет</w:t>
      </w:r>
      <w:r w:rsidR="00601192" w:rsidRPr="001A332D">
        <w:rPr>
          <w:rFonts w:asciiTheme="minorHAnsi" w:hAnsiTheme="minorHAnsi" w:cstheme="minorHAnsi"/>
          <w:szCs w:val="24"/>
          <w:lang w:val="ru-RU"/>
        </w:rPr>
        <w:t>ом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, что меньше, чем ожидалось. </w:t>
      </w:r>
      <w:r w:rsidR="00601192" w:rsidRPr="001A332D">
        <w:rPr>
          <w:rFonts w:asciiTheme="minorHAnsi" w:hAnsiTheme="minorHAnsi" w:cstheme="minorHAnsi"/>
          <w:szCs w:val="24"/>
          <w:lang w:val="ru-RU"/>
        </w:rPr>
        <w:t>Указанная сумма включает расходы, связанные с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COVID</w:t>
      </w:r>
      <w:r w:rsidR="00C20610" w:rsidRPr="001A332D">
        <w:rPr>
          <w:rFonts w:asciiTheme="minorHAnsi" w:hAnsiTheme="minorHAnsi" w:cstheme="minorHAnsi"/>
          <w:szCs w:val="24"/>
          <w:lang w:val="ru-RU"/>
        </w:rPr>
        <w:t>-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19, </w:t>
      </w:r>
      <w:r w:rsidR="00601192" w:rsidRPr="001A332D">
        <w:rPr>
          <w:rFonts w:asciiTheme="minorHAnsi" w:hAnsiTheme="minorHAnsi" w:cstheme="minorHAnsi"/>
          <w:szCs w:val="24"/>
          <w:lang w:val="ru-RU"/>
        </w:rPr>
        <w:t>которые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оцениваются в</w:t>
      </w:r>
      <w:r w:rsidR="00533789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>370</w:t>
      </w:r>
      <w:r w:rsidR="00601192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>тыс. швейцарских франков. В этот прогноз включены ассигнования в размере 1,5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="007E1648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>швейцарских франков на ежегодный платеж в ЮНСМИС.</w:t>
      </w:r>
    </w:p>
    <w:p w14:paraId="0DCDADBE" w14:textId="1AB254BE" w:rsidR="00C64D9C" w:rsidRPr="001A332D" w:rsidRDefault="00601192" w:rsidP="00EF4B35">
      <w:pPr>
        <w:spacing w:after="240"/>
        <w:rPr>
          <w:lang w:val="ru-RU"/>
        </w:rPr>
      </w:pPr>
      <w:r w:rsidRPr="001A332D">
        <w:rPr>
          <w:lang w:val="ru-RU"/>
        </w:rPr>
        <w:t>В таблице 1 ниже представлена разбивка прогнозируемых расходов по Секторам до конца 2022</w:t>
      </w:r>
      <w:r w:rsidR="00E85FF4" w:rsidRPr="001A332D">
        <w:rPr>
          <w:lang w:val="ru-RU"/>
        </w:rPr>
        <w:t> год</w:t>
      </w:r>
      <w:r w:rsidRPr="001A332D">
        <w:rPr>
          <w:lang w:val="ru-RU"/>
        </w:rPr>
        <w:t>а.</w:t>
      </w:r>
    </w:p>
    <w:p w14:paraId="268EFD09" w14:textId="4A2D72BB" w:rsidR="00C64D9C" w:rsidRPr="001A332D" w:rsidRDefault="001846B9" w:rsidP="00EF4B35">
      <w:pPr>
        <w:pStyle w:val="Tabletitle"/>
        <w:rPr>
          <w:color w:val="002060"/>
          <w:lang w:val="ru-RU"/>
        </w:rPr>
      </w:pPr>
      <w:r w:rsidRPr="001A332D">
        <w:rPr>
          <w:color w:val="002060"/>
          <w:lang w:val="ru-RU"/>
        </w:rPr>
        <w:t xml:space="preserve">Таблица </w:t>
      </w:r>
      <w:r w:rsidR="00352211" w:rsidRPr="001A332D">
        <w:rPr>
          <w:color w:val="002060"/>
          <w:lang w:val="ru-RU"/>
        </w:rPr>
        <w:t>1</w:t>
      </w:r>
      <w:r w:rsidR="00EF4B35" w:rsidRPr="001A332D">
        <w:rPr>
          <w:color w:val="002060"/>
          <w:lang w:val="ru-RU"/>
        </w:rPr>
        <w:t xml:space="preserve"> – Финансовый отчет по состоянию на </w:t>
      </w:r>
      <w:r w:rsidR="006E0307" w:rsidRPr="001A332D">
        <w:rPr>
          <w:color w:val="002060"/>
          <w:lang w:val="ru-RU"/>
        </w:rPr>
        <w:t>15</w:t>
      </w:r>
      <w:r w:rsidR="00EF4B35" w:rsidRPr="001A332D">
        <w:rPr>
          <w:color w:val="002060"/>
          <w:lang w:val="ru-RU"/>
        </w:rPr>
        <w:t xml:space="preserve"> </w:t>
      </w:r>
      <w:r w:rsidR="006E0307" w:rsidRPr="001A332D">
        <w:rPr>
          <w:color w:val="002060"/>
          <w:lang w:val="ru-RU"/>
        </w:rPr>
        <w:t>сентября</w:t>
      </w:r>
      <w:r w:rsidR="00EF4B35" w:rsidRPr="001A332D">
        <w:rPr>
          <w:color w:val="002060"/>
          <w:lang w:val="ru-RU"/>
        </w:rPr>
        <w:t xml:space="preserve"> 2022</w:t>
      </w:r>
      <w:r w:rsidR="00E85FF4" w:rsidRPr="001A332D">
        <w:rPr>
          <w:color w:val="002060"/>
          <w:lang w:val="ru-RU"/>
        </w:rPr>
        <w:t> год</w:t>
      </w:r>
      <w:r w:rsidR="00EF4B35" w:rsidRPr="001A332D">
        <w:rPr>
          <w:color w:val="002060"/>
          <w:lang w:val="ru-RU"/>
        </w:rPr>
        <w:t>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1760"/>
        <w:gridCol w:w="1482"/>
        <w:gridCol w:w="1641"/>
      </w:tblGrid>
      <w:tr w:rsidR="00D76F83" w:rsidRPr="001A332D" w14:paraId="2B1C7926" w14:textId="77777777" w:rsidTr="00153AB8">
        <w:trPr>
          <w:trHeight w:val="326"/>
          <w:jc w:val="center"/>
        </w:trPr>
        <w:tc>
          <w:tcPr>
            <w:tcW w:w="2467" w:type="pct"/>
            <w:noWrap/>
            <w:hideMark/>
          </w:tcPr>
          <w:p w14:paraId="2F56EE05" w14:textId="6ECD48C6" w:rsidR="00352211" w:rsidRPr="001A332D" w:rsidRDefault="00EF4B35" w:rsidP="00352211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Расходы по </w:t>
            </w:r>
            <w:r w:rsidR="004D09BA" w:rsidRPr="001A332D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С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екторам</w:t>
            </w:r>
          </w:p>
        </w:tc>
        <w:tc>
          <w:tcPr>
            <w:tcW w:w="2533" w:type="pct"/>
            <w:gridSpan w:val="3"/>
            <w:noWrap/>
            <w:hideMark/>
          </w:tcPr>
          <w:p w14:paraId="34F608FD" w14:textId="05684655" w:rsidR="00352211" w:rsidRPr="001A332D" w:rsidRDefault="0034174B" w:rsidP="00F46BE6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="Helv" w:hAnsi="Helv"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9B504C" wp14:editId="6866F8A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33020</wp:posOffset>
                      </wp:positionV>
                      <wp:extent cx="1047750" cy="2428875"/>
                      <wp:effectExtent l="0" t="0" r="19050" b="28575"/>
                      <wp:wrapNone/>
                      <wp:docPr id="4" name="Rectangle: Rounded Corner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28875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E4A82" id="Rectangle: Rounded Corners 4" o:spid="_x0000_s1026" style="position:absolute;margin-left:156.1pt;margin-top:2.6pt;width:82.5pt;height:19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" filled="f" strokecolor="#0070c0" strokeweight="1pt"/>
                  </w:pict>
                </mc:Fallback>
              </mc:AlternateContent>
            </w:r>
            <w:r w:rsidR="00D76F83" w:rsidRPr="001A332D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F30A75" w:rsidRPr="001A332D" w14:paraId="50AB6062" w14:textId="77777777" w:rsidTr="005073A9">
        <w:trPr>
          <w:trHeight w:val="240"/>
          <w:jc w:val="center"/>
        </w:trPr>
        <w:tc>
          <w:tcPr>
            <w:tcW w:w="2467" w:type="pct"/>
            <w:noWrap/>
            <w:hideMark/>
          </w:tcPr>
          <w:p w14:paraId="5252C705" w14:textId="77777777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noWrap/>
            <w:hideMark/>
          </w:tcPr>
          <w:p w14:paraId="4CA9F8A9" w14:textId="77777777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769" w:type="pct"/>
            <w:noWrap/>
            <w:hideMark/>
          </w:tcPr>
          <w:p w14:paraId="2FB5502D" w14:textId="2AF8045F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851" w:type="pct"/>
            <w:noWrap/>
            <w:hideMark/>
          </w:tcPr>
          <w:p w14:paraId="59D18D96" w14:textId="1B1880AC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  <w:r w:rsidR="00B34D1D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B34D1D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  <w:r w:rsidR="00EF4B35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="00D76F83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–</w:t>
            </w:r>
            <w:r w:rsidR="00EF4B35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</w:tr>
      <w:tr w:rsidR="00153AB8" w:rsidRPr="001A332D" w14:paraId="79CD7ECC" w14:textId="77777777" w:rsidTr="005073A9">
        <w:trPr>
          <w:trHeight w:val="255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599D6757" w14:textId="77777777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hideMark/>
          </w:tcPr>
          <w:p w14:paraId="06926959" w14:textId="71278F4C" w:rsidR="00352211" w:rsidRPr="001A332D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Обновленный</w:t>
            </w: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br/>
              <w:t>бюджет</w:t>
            </w:r>
          </w:p>
        </w:tc>
        <w:tc>
          <w:tcPr>
            <w:tcW w:w="769" w:type="pct"/>
            <w:noWrap/>
            <w:hideMark/>
          </w:tcPr>
          <w:p w14:paraId="39E02EA9" w14:textId="062F74B6" w:rsidR="00352211" w:rsidRPr="001A332D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Прогноз </w:t>
            </w:r>
            <w:r w:rsidR="004D09BA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br/>
              <w:t>на</w:t>
            </w:r>
          </w:p>
        </w:tc>
        <w:tc>
          <w:tcPr>
            <w:tcW w:w="851" w:type="pct"/>
            <w:noWrap/>
            <w:hideMark/>
          </w:tcPr>
          <w:p w14:paraId="686ACD21" w14:textId="5982C917" w:rsidR="00352211" w:rsidRPr="001A332D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153AB8" w:rsidRPr="001A332D" w14:paraId="47BBCE14" w14:textId="77777777" w:rsidTr="005073A9">
        <w:trPr>
          <w:trHeight w:val="255"/>
          <w:jc w:val="center"/>
        </w:trPr>
        <w:tc>
          <w:tcPr>
            <w:tcW w:w="246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5B8648BA" w14:textId="34591457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49A0E1B5" w14:textId="2FA22DC3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EF4B35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hideMark/>
          </w:tcPr>
          <w:p w14:paraId="3BFFCA4D" w14:textId="748B5404" w:rsidR="00352211" w:rsidRPr="001A332D" w:rsidRDefault="00EF4B3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конец</w:t>
            </w:r>
            <w:r w:rsidR="00352211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 2022</w:t>
            </w: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hideMark/>
          </w:tcPr>
          <w:p w14:paraId="5F00B4E0" w14:textId="17A86088" w:rsidR="00352211" w:rsidRPr="001A332D" w:rsidRDefault="00352211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EF4B35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</w:tr>
      <w:tr w:rsidR="00153AB8" w:rsidRPr="001A332D" w14:paraId="0B95697F" w14:textId="77777777" w:rsidTr="005073A9">
        <w:trPr>
          <w:trHeight w:val="240"/>
          <w:jc w:val="center"/>
        </w:trPr>
        <w:tc>
          <w:tcPr>
            <w:tcW w:w="246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0F09C39B" w14:textId="7B5B13A4" w:rsidR="00352211" w:rsidRPr="001A332D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1 – </w:t>
            </w:r>
            <w:r w:rsidR="00491AA5" w:rsidRPr="001A332D">
              <w:rPr>
                <w:sz w:val="18"/>
                <w:szCs w:val="18"/>
                <w:lang w:val="ru-RU"/>
              </w:rPr>
              <w:t>Генеральный</w:t>
            </w:r>
            <w:r w:rsidR="00491AA5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секретариат</w:t>
            </w:r>
          </w:p>
        </w:tc>
        <w:tc>
          <w:tcPr>
            <w:tcW w:w="913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04A1B773" w14:textId="520D3847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91</w:t>
            </w:r>
            <w:r w:rsidR="00D76F83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980</w:t>
            </w:r>
          </w:p>
        </w:tc>
        <w:tc>
          <w:tcPr>
            <w:tcW w:w="76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B077BB6" w14:textId="141C6903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87 879</w:t>
            </w:r>
          </w:p>
        </w:tc>
        <w:tc>
          <w:tcPr>
            <w:tcW w:w="851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7921D326" w14:textId="7E9CFD1E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4 101</w:t>
            </w:r>
          </w:p>
        </w:tc>
      </w:tr>
      <w:tr w:rsidR="00153AB8" w:rsidRPr="001A332D" w14:paraId="15828CCF" w14:textId="77777777" w:rsidTr="005073A9">
        <w:trPr>
          <w:trHeight w:val="240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57EF703A" w14:textId="775F0CBE" w:rsidR="00352211" w:rsidRPr="001A332D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2 – </w:t>
            </w:r>
            <w:r w:rsidR="00491AA5" w:rsidRPr="001A332D">
              <w:rPr>
                <w:sz w:val="18"/>
                <w:szCs w:val="18"/>
                <w:lang w:val="ru-RU"/>
              </w:rPr>
              <w:t>Сектор</w:t>
            </w:r>
            <w:r w:rsidR="00491AA5" w:rsidRPr="001A33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491AA5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радиосвязи</w:t>
            </w: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17B14A33" w14:textId="10D093DF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28</w:t>
            </w:r>
            <w:r w:rsidR="00D76F83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883</w:t>
            </w:r>
          </w:p>
        </w:tc>
        <w:tc>
          <w:tcPr>
            <w:tcW w:w="769" w:type="pct"/>
            <w:noWrap/>
            <w:vAlign w:val="bottom"/>
            <w:hideMark/>
          </w:tcPr>
          <w:p w14:paraId="077833F0" w14:textId="1D4E73D0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28 784</w:t>
            </w:r>
          </w:p>
        </w:tc>
        <w:tc>
          <w:tcPr>
            <w:tcW w:w="851" w:type="pct"/>
            <w:noWrap/>
            <w:vAlign w:val="bottom"/>
            <w:hideMark/>
          </w:tcPr>
          <w:p w14:paraId="296D3483" w14:textId="3B36BEE0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99</w:t>
            </w:r>
          </w:p>
        </w:tc>
      </w:tr>
      <w:tr w:rsidR="00153AB8" w:rsidRPr="001A332D" w14:paraId="05A50044" w14:textId="77777777" w:rsidTr="005073A9">
        <w:trPr>
          <w:trHeight w:val="240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00D80C27" w14:textId="0372CAEF" w:rsidR="00352211" w:rsidRPr="001A332D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3 – </w:t>
            </w:r>
            <w:r w:rsidR="00491AA5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Сектор стандартизации электросвязи</w:t>
            </w: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B56D642" w14:textId="6B7A9694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13</w:t>
            </w:r>
            <w:r w:rsidR="00D76F83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894</w:t>
            </w:r>
          </w:p>
        </w:tc>
        <w:tc>
          <w:tcPr>
            <w:tcW w:w="769" w:type="pct"/>
            <w:noWrap/>
            <w:vAlign w:val="bottom"/>
            <w:hideMark/>
          </w:tcPr>
          <w:p w14:paraId="4D66949E" w14:textId="3BB68FD8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13 476</w:t>
            </w:r>
          </w:p>
        </w:tc>
        <w:tc>
          <w:tcPr>
            <w:tcW w:w="851" w:type="pct"/>
            <w:noWrap/>
            <w:vAlign w:val="bottom"/>
            <w:hideMark/>
          </w:tcPr>
          <w:p w14:paraId="73605354" w14:textId="3E457DCD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419</w:t>
            </w:r>
          </w:p>
        </w:tc>
      </w:tr>
      <w:tr w:rsidR="00153AB8" w:rsidRPr="001A332D" w14:paraId="3C77DBE9" w14:textId="77777777" w:rsidTr="005073A9">
        <w:trPr>
          <w:trHeight w:val="240"/>
          <w:jc w:val="center"/>
        </w:trPr>
        <w:tc>
          <w:tcPr>
            <w:tcW w:w="2467" w:type="pct"/>
            <w:tcBorders>
              <w:right w:val="dashSmallGap" w:sz="12" w:space="0" w:color="0070C0"/>
            </w:tcBorders>
            <w:noWrap/>
            <w:hideMark/>
          </w:tcPr>
          <w:p w14:paraId="08DF446C" w14:textId="34AAE473" w:rsidR="00352211" w:rsidRPr="001A332D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4 – </w:t>
            </w:r>
            <w:r w:rsidR="00786383" w:rsidRPr="001A332D">
              <w:rPr>
                <w:sz w:val="18"/>
                <w:szCs w:val="18"/>
                <w:lang w:val="ru-RU"/>
              </w:rPr>
              <w:t xml:space="preserve">Сектор развития </w:t>
            </w:r>
            <w:r w:rsidR="00786383" w:rsidRPr="001A332D">
              <w:rPr>
                <w:lang w:val="ru-RU"/>
              </w:rPr>
              <w:t>электросвязи</w:t>
            </w:r>
          </w:p>
        </w:tc>
        <w:tc>
          <w:tcPr>
            <w:tcW w:w="913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8509C8D" w14:textId="45B4603D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</w:t>
            </w:r>
            <w:r w:rsidR="006E0307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8</w:t>
            </w:r>
            <w:r w:rsidR="00D76F83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="006E0307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484</w:t>
            </w:r>
          </w:p>
        </w:tc>
        <w:tc>
          <w:tcPr>
            <w:tcW w:w="769" w:type="pct"/>
            <w:noWrap/>
            <w:vAlign w:val="bottom"/>
            <w:hideMark/>
          </w:tcPr>
          <w:p w14:paraId="4792CBB4" w14:textId="093E4437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28 016</w:t>
            </w:r>
          </w:p>
        </w:tc>
        <w:tc>
          <w:tcPr>
            <w:tcW w:w="851" w:type="pct"/>
            <w:noWrap/>
            <w:vAlign w:val="bottom"/>
            <w:hideMark/>
          </w:tcPr>
          <w:p w14:paraId="659D833E" w14:textId="0AF806EE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468</w:t>
            </w:r>
          </w:p>
        </w:tc>
      </w:tr>
      <w:tr w:rsidR="00153AB8" w:rsidRPr="001A332D" w14:paraId="03EDDD74" w14:textId="77777777" w:rsidTr="005073A9">
        <w:trPr>
          <w:trHeight w:val="240"/>
          <w:jc w:val="center"/>
        </w:trPr>
        <w:tc>
          <w:tcPr>
            <w:tcW w:w="246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61E5150E" w14:textId="1FCA7469" w:rsidR="00352211" w:rsidRPr="001A332D" w:rsidRDefault="00352211" w:rsidP="00381E02">
            <w:pPr>
              <w:pStyle w:val="Tabletext"/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5 – </w:t>
            </w:r>
            <w:r w:rsidR="00491AA5"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Кризисное управление при COVID-19</w:t>
            </w:r>
          </w:p>
        </w:tc>
        <w:tc>
          <w:tcPr>
            <w:tcW w:w="913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2C659593" w14:textId="77777777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420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5027F9EC" w14:textId="77777777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370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8ABC48D" w14:textId="682E89B0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2060"/>
                <w:sz w:val="18"/>
                <w:szCs w:val="18"/>
                <w:lang w:val="ru-RU"/>
              </w:rPr>
              <w:t>50</w:t>
            </w:r>
          </w:p>
        </w:tc>
      </w:tr>
      <w:tr w:rsidR="00153AB8" w:rsidRPr="001A332D" w14:paraId="0DA001FF" w14:textId="77777777" w:rsidTr="005073A9">
        <w:trPr>
          <w:trHeight w:val="240"/>
          <w:jc w:val="center"/>
        </w:trPr>
        <w:tc>
          <w:tcPr>
            <w:tcW w:w="246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3863A080" w14:textId="5706A8F4" w:rsidR="00352211" w:rsidRPr="001A332D" w:rsidRDefault="00EF4B35" w:rsidP="00352211">
            <w:pPr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ВСЕГО</w:t>
            </w:r>
            <w:r w:rsidR="00335048"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335048" w:rsidRPr="001A332D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913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61112D0F" w14:textId="4BDC769A" w:rsidR="00352211" w:rsidRPr="001A332D" w:rsidRDefault="006E0307" w:rsidP="006E0307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163</w:t>
            </w:r>
            <w:r w:rsidR="00BB64FD"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661</w:t>
            </w:r>
          </w:p>
        </w:tc>
        <w:tc>
          <w:tcPr>
            <w:tcW w:w="76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AFA9221" w14:textId="0343EEEE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158 525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29C4FB98" w14:textId="7334C901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5 136</w:t>
            </w:r>
          </w:p>
        </w:tc>
      </w:tr>
      <w:tr w:rsidR="00153AB8" w:rsidRPr="001A332D" w14:paraId="09CF5B6D" w14:textId="77777777" w:rsidTr="005073A9">
        <w:trPr>
          <w:trHeight w:val="300"/>
          <w:jc w:val="center"/>
        </w:trPr>
        <w:tc>
          <w:tcPr>
            <w:tcW w:w="246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E795BDE" w14:textId="2F6DDF2F" w:rsidR="00352211" w:rsidRPr="001A332D" w:rsidRDefault="009405E4" w:rsidP="00352211">
            <w:pPr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ВСЕГО</w:t>
            </w:r>
            <w:r w:rsidR="00335048"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35048"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Д</w:t>
            </w:r>
            <w:r w:rsidR="00335048" w:rsidRPr="001A332D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ОХОДЫ</w:t>
            </w:r>
          </w:p>
        </w:tc>
        <w:tc>
          <w:tcPr>
            <w:tcW w:w="913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20C63163" w14:textId="2A9C842F" w:rsidR="00352211" w:rsidRPr="001A332D" w:rsidRDefault="006E0307" w:rsidP="006E0307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163</w:t>
            </w:r>
            <w:r w:rsidR="00BB64FD"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661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E615F5B" w14:textId="45C8F268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157 103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8940F56" w14:textId="6037DC5F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–6 558</w:t>
            </w:r>
          </w:p>
        </w:tc>
      </w:tr>
      <w:tr w:rsidR="00153AB8" w:rsidRPr="001A332D" w14:paraId="25C148A8" w14:textId="77777777" w:rsidTr="005073A9">
        <w:trPr>
          <w:trHeight w:val="240"/>
          <w:jc w:val="center"/>
        </w:trPr>
        <w:tc>
          <w:tcPr>
            <w:tcW w:w="2467" w:type="pct"/>
            <w:tcBorders>
              <w:top w:val="single" w:sz="4" w:space="0" w:color="auto"/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72F32795" w14:textId="635613F6" w:rsidR="00352211" w:rsidRPr="001A332D" w:rsidRDefault="00335048" w:rsidP="00352211">
            <w:pPr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913" w:type="pct"/>
            <w:tcBorders>
              <w:top w:val="single" w:sz="4" w:space="0" w:color="auto"/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754267CD" w14:textId="77777777" w:rsidR="00352211" w:rsidRPr="001A332D" w:rsidRDefault="00352211" w:rsidP="00FE0C08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F951A3D" w14:textId="69EF80A9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–1 422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61C45E3" w14:textId="26FBC59C" w:rsidR="00352211" w:rsidRPr="001A332D" w:rsidRDefault="00BB64FD" w:rsidP="00BB64FD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–1 422</w:t>
            </w:r>
          </w:p>
        </w:tc>
      </w:tr>
    </w:tbl>
    <w:p w14:paraId="568DFFC9" w14:textId="45F330B3" w:rsidR="00C64D9C" w:rsidRPr="001A332D" w:rsidRDefault="00C64D9C" w:rsidP="00C20610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14:paraId="209AA0BB" w14:textId="77777777" w:rsidR="00C64D9C" w:rsidRPr="001A332D" w:rsidRDefault="00C64D9C" w:rsidP="00D73391">
      <w:pPr>
        <w:pBdr>
          <w:bar w:val="dotted" w:sz="6" w:color="00B0F0"/>
        </w:pBd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br w:type="page"/>
      </w:r>
    </w:p>
    <w:p w14:paraId="6714F02F" w14:textId="1C217468" w:rsidR="00C64D9C" w:rsidRPr="001A332D" w:rsidRDefault="00C64D9C" w:rsidP="00C64D9C">
      <w:pPr>
        <w:pStyle w:val="Heading1"/>
        <w:rPr>
          <w:lang w:val="ru-RU"/>
        </w:rPr>
      </w:pPr>
      <w:r w:rsidRPr="001A332D">
        <w:rPr>
          <w:lang w:val="ru-RU"/>
        </w:rPr>
        <w:lastRenderedPageBreak/>
        <w:t>3</w:t>
      </w:r>
      <w:r w:rsidRPr="001A332D">
        <w:rPr>
          <w:lang w:val="ru-RU"/>
        </w:rPr>
        <w:tab/>
      </w:r>
      <w:r w:rsidR="00601192" w:rsidRPr="001A332D">
        <w:rPr>
          <w:lang w:val="ru-RU"/>
        </w:rPr>
        <w:t>Доходы</w:t>
      </w:r>
    </w:p>
    <w:p w14:paraId="294F3B81" w14:textId="176D0A0E" w:rsidR="00C64D9C" w:rsidRPr="001A332D" w:rsidRDefault="00C80D41" w:rsidP="00C64D9C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Прогнозируемый уровень доходов бюджета на 2022 год составляет 157,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1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(по сравнению с</w:t>
      </w:r>
      <w:r w:rsidR="00533789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>бюджетом в размере 16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3</w:t>
      </w:r>
      <w:r w:rsidRPr="001A332D">
        <w:rPr>
          <w:rFonts w:asciiTheme="minorHAnsi" w:hAnsiTheme="minorHAnsi" w:cstheme="minorHAnsi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szCs w:val="24"/>
          <w:lang w:val="ru-RU"/>
        </w:rPr>
        <w:t>6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>), что на 6,</w:t>
      </w:r>
      <w:r w:rsidR="00A009D1" w:rsidRPr="001A332D">
        <w:rPr>
          <w:rFonts w:asciiTheme="minorHAnsi" w:hAnsiTheme="minorHAnsi" w:cstheme="minorHAnsi"/>
          <w:szCs w:val="24"/>
          <w:lang w:val="ru-RU"/>
        </w:rPr>
        <w:t>5</w:t>
      </w:r>
      <w:r w:rsidR="00F37B6C" w:rsidRPr="001A332D">
        <w:rPr>
          <w:rFonts w:asciiTheme="minorHAnsi" w:hAnsiTheme="minorHAnsi" w:cstheme="minorHAnsi"/>
          <w:szCs w:val="24"/>
          <w:lang w:val="ru-RU"/>
        </w:rPr>
        <w:t> млн.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швейцарских франков меньше утвержденного бюджета.</w:t>
      </w:r>
    </w:p>
    <w:p w14:paraId="5FAA8413" w14:textId="3DE7C3EC" w:rsidR="00C64D9C" w:rsidRPr="00B93A28" w:rsidRDefault="00CD229D" w:rsidP="00B7655D">
      <w:pPr>
        <w:spacing w:after="240"/>
        <w:rPr>
          <w:rFonts w:asciiTheme="minorHAnsi" w:hAnsiTheme="minorHAnsi" w:cstheme="minorHAnsi"/>
          <w:szCs w:val="24"/>
          <w:lang w:val="ru-RU"/>
        </w:rPr>
      </w:pPr>
      <w:r w:rsidRPr="001A332D">
        <w:rPr>
          <w:lang w:val="ru-RU"/>
        </w:rPr>
        <w:t>В таблице 2 ниже представлена разбивка прогнозируемых доходов по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источникам</w:t>
      </w:r>
      <w:r w:rsidR="00C64D9C" w:rsidRPr="001A332D">
        <w:rPr>
          <w:rFonts w:asciiTheme="minorHAnsi" w:hAnsiTheme="minorHAnsi" w:cstheme="minorHAnsi"/>
          <w:szCs w:val="24"/>
          <w:lang w:val="ru-RU"/>
        </w:rPr>
        <w:t>.</w:t>
      </w:r>
    </w:p>
    <w:p w14:paraId="39EBB37D" w14:textId="4EBD2835" w:rsidR="0039531C" w:rsidRPr="001A332D" w:rsidRDefault="00B7655D" w:rsidP="00B7655D">
      <w:pPr>
        <w:pStyle w:val="Tabletitle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1A332D">
        <w:rPr>
          <w:color w:val="002060"/>
          <w:lang w:val="ru-RU"/>
        </w:rPr>
        <w:t>Таблица</w:t>
      </w:r>
      <w:r w:rsidR="0039531C" w:rsidRPr="001A332D">
        <w:rPr>
          <w:color w:val="002060"/>
          <w:lang w:val="ru-RU"/>
        </w:rPr>
        <w:t xml:space="preserve"> 2</w:t>
      </w:r>
      <w:r w:rsidRPr="001A332D">
        <w:rPr>
          <w:color w:val="002060"/>
          <w:lang w:val="ru-RU"/>
        </w:rPr>
        <w:t xml:space="preserve"> – Финансовый отчет по состоянию на </w:t>
      </w:r>
      <w:r w:rsidR="00794036" w:rsidRPr="001A332D">
        <w:rPr>
          <w:color w:val="002060"/>
          <w:lang w:val="ru-RU"/>
        </w:rPr>
        <w:t>15</w:t>
      </w:r>
      <w:r w:rsidR="0039531C" w:rsidRPr="001A332D">
        <w:rPr>
          <w:color w:val="002060"/>
          <w:lang w:val="ru-RU"/>
        </w:rPr>
        <w:t xml:space="preserve"> </w:t>
      </w:r>
      <w:r w:rsidR="00794036" w:rsidRPr="001A332D">
        <w:rPr>
          <w:color w:val="002060"/>
          <w:lang w:val="ru-RU"/>
        </w:rPr>
        <w:t>сентября</w:t>
      </w:r>
      <w:r w:rsidR="0039531C" w:rsidRPr="001A332D">
        <w:rPr>
          <w:color w:val="002060"/>
          <w:lang w:val="ru-RU"/>
        </w:rPr>
        <w:t xml:space="preserve"> 2022</w:t>
      </w:r>
      <w:r w:rsidRPr="001A332D">
        <w:rPr>
          <w:color w:val="002060"/>
          <w:lang w:val="ru-RU"/>
        </w:rPr>
        <w:t> года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841"/>
        <w:gridCol w:w="1419"/>
        <w:gridCol w:w="1700"/>
      </w:tblGrid>
      <w:tr w:rsidR="00AC1776" w:rsidRPr="001A332D" w14:paraId="446FD0E2" w14:textId="77777777" w:rsidTr="000A19CC">
        <w:trPr>
          <w:trHeight w:val="240"/>
          <w:jc w:val="center"/>
        </w:trPr>
        <w:tc>
          <w:tcPr>
            <w:tcW w:w="2427" w:type="pct"/>
            <w:noWrap/>
          </w:tcPr>
          <w:p w14:paraId="3A752088" w14:textId="6C6965AF" w:rsidR="00AC1776" w:rsidRPr="001A332D" w:rsidRDefault="009405E4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Доходы по источникам</w:t>
            </w:r>
          </w:p>
        </w:tc>
        <w:tc>
          <w:tcPr>
            <w:tcW w:w="2573" w:type="pct"/>
            <w:gridSpan w:val="3"/>
            <w:noWrap/>
          </w:tcPr>
          <w:p w14:paraId="5D19DE3E" w14:textId="5A6E2638" w:rsidR="00AC1776" w:rsidRPr="001A332D" w:rsidRDefault="005C6535" w:rsidP="00153AB8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="Helv" w:hAnsi="Helv"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6F51B4" wp14:editId="22C7E470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36195</wp:posOffset>
                      </wp:positionV>
                      <wp:extent cx="1083945" cy="3143250"/>
                      <wp:effectExtent l="0" t="0" r="20955" b="19050"/>
                      <wp:wrapNone/>
                      <wp:docPr id="38" name="Rectangle: Rounded Corner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3143250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5125E" id="Rectangle: Rounded Corners 38" o:spid="_x0000_s1026" style="position:absolute;margin-left:156.95pt;margin-top:2.85pt;width:85.35pt;height:24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" filled="f" strokecolor="#0070c0" strokeweight="1pt"/>
                  </w:pict>
                </mc:Fallback>
              </mc:AlternateContent>
            </w:r>
            <w:r w:rsidR="00AC1776" w:rsidRPr="001A332D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AC1776" w:rsidRPr="001A332D" w14:paraId="53F38733" w14:textId="77777777" w:rsidTr="005073A9">
        <w:trPr>
          <w:trHeight w:val="240"/>
          <w:jc w:val="center"/>
        </w:trPr>
        <w:tc>
          <w:tcPr>
            <w:tcW w:w="2427" w:type="pct"/>
            <w:noWrap/>
            <w:hideMark/>
          </w:tcPr>
          <w:p w14:paraId="65C464B4" w14:textId="77777777" w:rsidR="0039531C" w:rsidRPr="001A332D" w:rsidRDefault="0039531C" w:rsidP="00153AB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55" w:type="pct"/>
            <w:noWrap/>
            <w:hideMark/>
          </w:tcPr>
          <w:p w14:paraId="3A584713" w14:textId="35A76C8A" w:rsidR="0039531C" w:rsidRPr="001A332D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736" w:type="pct"/>
            <w:noWrap/>
            <w:hideMark/>
          </w:tcPr>
          <w:p w14:paraId="67AB889B" w14:textId="342BF866" w:rsidR="0039531C" w:rsidRPr="001A332D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882" w:type="pct"/>
            <w:noWrap/>
            <w:hideMark/>
          </w:tcPr>
          <w:p w14:paraId="3AA480F2" w14:textId="1F5F24FB" w:rsidR="0039531C" w:rsidRPr="001A332D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  <w:r w:rsidR="00B34D1D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B34D1D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  <w:r w:rsidR="00B34D1D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="00BD1A48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–</w:t>
            </w:r>
            <w:r w:rsidR="00B34D1D"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</w:tr>
      <w:tr w:rsidR="00AC1776" w:rsidRPr="001A332D" w14:paraId="17B2F1CA" w14:textId="77777777" w:rsidTr="005073A9">
        <w:trPr>
          <w:trHeight w:val="255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40968DB6" w14:textId="77777777" w:rsidR="0039531C" w:rsidRPr="001A332D" w:rsidRDefault="0039531C" w:rsidP="00153AB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hideMark/>
          </w:tcPr>
          <w:p w14:paraId="6AC76551" w14:textId="2541B251" w:rsidR="0039531C" w:rsidRPr="001A332D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736" w:type="pct"/>
            <w:noWrap/>
            <w:hideMark/>
          </w:tcPr>
          <w:p w14:paraId="7E86CB55" w14:textId="45B634D0" w:rsidR="0039531C" w:rsidRPr="001A332D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882" w:type="pct"/>
            <w:noWrap/>
            <w:hideMark/>
          </w:tcPr>
          <w:p w14:paraId="14338646" w14:textId="4AEC50EC" w:rsidR="0039531C" w:rsidRPr="001A332D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39531C" w:rsidRPr="001A332D" w14:paraId="58008E35" w14:textId="77777777" w:rsidTr="007620FE">
        <w:trPr>
          <w:trHeight w:val="255"/>
          <w:jc w:val="center"/>
        </w:trPr>
        <w:tc>
          <w:tcPr>
            <w:tcW w:w="242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6F29B5D" w14:textId="3C9B1532" w:rsidR="0039531C" w:rsidRPr="001A332D" w:rsidRDefault="0039531C" w:rsidP="00153AB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55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643F157A" w14:textId="0E613287" w:rsidR="0039531C" w:rsidRPr="001A332D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491AA5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hideMark/>
          </w:tcPr>
          <w:p w14:paraId="6327C93A" w14:textId="2C51347A" w:rsidR="0039531C" w:rsidRPr="001A332D" w:rsidRDefault="00491AA5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конец </w:t>
            </w:r>
            <w:r w:rsidR="0039531C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hideMark/>
          </w:tcPr>
          <w:p w14:paraId="085FA318" w14:textId="735D6D7C" w:rsidR="0039531C" w:rsidRPr="001A332D" w:rsidRDefault="0039531C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491AA5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</w:tr>
      <w:tr w:rsidR="00335048" w:rsidRPr="001A332D" w14:paraId="12A54C47" w14:textId="77777777" w:rsidTr="007620FE">
        <w:trPr>
          <w:trHeight w:val="240"/>
          <w:jc w:val="center"/>
        </w:trPr>
        <w:tc>
          <w:tcPr>
            <w:tcW w:w="242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4AA338B9" w14:textId="53606DE7" w:rsidR="00335048" w:rsidRPr="001A332D" w:rsidRDefault="00335048" w:rsidP="00FE0C08">
            <w:pPr>
              <w:pStyle w:val="Tabletext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A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Начисленные взносы</w:t>
            </w:r>
          </w:p>
        </w:tc>
        <w:tc>
          <w:tcPr>
            <w:tcW w:w="95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72C3FA67" w14:textId="336C61C1" w:rsidR="00335048" w:rsidRPr="001A332D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125 710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36A4285" w14:textId="6D099690" w:rsidR="00335048" w:rsidRPr="001A332D" w:rsidRDefault="00335048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125 665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7E86C0F4" w14:textId="49CE9E4F" w:rsidR="00335048" w:rsidRPr="001A332D" w:rsidRDefault="00335048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–45</w:t>
            </w:r>
          </w:p>
        </w:tc>
      </w:tr>
      <w:tr w:rsidR="00335048" w:rsidRPr="001A332D" w14:paraId="46E9DF02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2CBA29BB" w14:textId="02B38378" w:rsidR="00335048" w:rsidRPr="001A332D" w:rsidRDefault="00335048" w:rsidP="00FE0C08">
            <w:pPr>
              <w:pStyle w:val="Tabletext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B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Возмещение затрат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CDFC31F" w14:textId="31BF515B" w:rsidR="00335048" w:rsidRPr="001A332D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33 500</w:t>
            </w:r>
          </w:p>
        </w:tc>
        <w:tc>
          <w:tcPr>
            <w:tcW w:w="736" w:type="pct"/>
            <w:noWrap/>
            <w:vAlign w:val="bottom"/>
            <w:hideMark/>
          </w:tcPr>
          <w:p w14:paraId="2F4D7473" w14:textId="0C62E96D" w:rsidR="00335048" w:rsidRPr="001A332D" w:rsidRDefault="0086373A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26 587</w:t>
            </w:r>
          </w:p>
        </w:tc>
        <w:tc>
          <w:tcPr>
            <w:tcW w:w="882" w:type="pct"/>
            <w:noWrap/>
            <w:vAlign w:val="bottom"/>
            <w:hideMark/>
          </w:tcPr>
          <w:p w14:paraId="497920BD" w14:textId="5DECFA8D" w:rsidR="00335048" w:rsidRPr="001A332D" w:rsidRDefault="0086373A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–6 913</w:t>
            </w:r>
          </w:p>
        </w:tc>
      </w:tr>
      <w:tr w:rsidR="00335048" w:rsidRPr="001A332D" w14:paraId="1E364B99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0E5566E6" w14:textId="6798898C" w:rsidR="00335048" w:rsidRPr="001A332D" w:rsidRDefault="00335048" w:rsidP="00FE0C08">
            <w:pPr>
              <w:pStyle w:val="Tabletext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C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Доходы в виде процентов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D594BE9" w14:textId="77777777" w:rsidR="00335048" w:rsidRPr="001A332D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300</w:t>
            </w:r>
          </w:p>
        </w:tc>
        <w:tc>
          <w:tcPr>
            <w:tcW w:w="736" w:type="pct"/>
            <w:noWrap/>
            <w:vAlign w:val="bottom"/>
            <w:hideMark/>
          </w:tcPr>
          <w:p w14:paraId="65C218FC" w14:textId="77777777" w:rsidR="00335048" w:rsidRPr="001A332D" w:rsidRDefault="00335048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600</w:t>
            </w:r>
          </w:p>
        </w:tc>
        <w:tc>
          <w:tcPr>
            <w:tcW w:w="882" w:type="pct"/>
            <w:noWrap/>
            <w:vAlign w:val="bottom"/>
            <w:hideMark/>
          </w:tcPr>
          <w:p w14:paraId="624578C0" w14:textId="77777777" w:rsidR="00335048" w:rsidRPr="001A332D" w:rsidRDefault="00335048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300</w:t>
            </w:r>
          </w:p>
        </w:tc>
      </w:tr>
      <w:tr w:rsidR="00335048" w:rsidRPr="001A332D" w14:paraId="137B18C8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40608F4F" w14:textId="29111FD6" w:rsidR="00335048" w:rsidRPr="001A332D" w:rsidRDefault="00335048" w:rsidP="00FE0C08">
            <w:pPr>
              <w:pStyle w:val="Tabletext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D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Прочие доходы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53669022" w14:textId="77777777" w:rsidR="00335048" w:rsidRPr="001A332D" w:rsidRDefault="00335048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200</w:t>
            </w:r>
          </w:p>
        </w:tc>
        <w:tc>
          <w:tcPr>
            <w:tcW w:w="736" w:type="pct"/>
            <w:noWrap/>
            <w:vAlign w:val="bottom"/>
            <w:hideMark/>
          </w:tcPr>
          <w:p w14:paraId="20B4384D" w14:textId="77777777" w:rsidR="00335048" w:rsidRPr="001A332D" w:rsidRDefault="00335048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300</w:t>
            </w:r>
          </w:p>
        </w:tc>
        <w:tc>
          <w:tcPr>
            <w:tcW w:w="882" w:type="pct"/>
            <w:noWrap/>
            <w:vAlign w:val="bottom"/>
            <w:hideMark/>
          </w:tcPr>
          <w:p w14:paraId="3CE0B48B" w14:textId="77777777" w:rsidR="00335048" w:rsidRPr="001A332D" w:rsidRDefault="00335048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100</w:t>
            </w:r>
          </w:p>
        </w:tc>
      </w:tr>
      <w:tr w:rsidR="00F1289E" w:rsidRPr="001A332D" w14:paraId="6E2B6F73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noWrap/>
            <w:hideMark/>
          </w:tcPr>
          <w:p w14:paraId="7CB09020" w14:textId="07E782B4" w:rsidR="00F1289E" w:rsidRPr="001A332D" w:rsidRDefault="00F1289E" w:rsidP="00FE0C08">
            <w:pPr>
              <w:pStyle w:val="Tabletext"/>
              <w:ind w:left="284" w:hanging="284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E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Снятие средств с Резервного счета/Зачисление средств на Резервный счет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1C962738" w14:textId="21EE019F" w:rsidR="00F1289E" w:rsidRPr="001A332D" w:rsidRDefault="00F1289E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3 109</w:t>
            </w:r>
          </w:p>
        </w:tc>
        <w:tc>
          <w:tcPr>
            <w:tcW w:w="736" w:type="pct"/>
            <w:noWrap/>
            <w:vAlign w:val="bottom"/>
            <w:hideMark/>
          </w:tcPr>
          <w:p w14:paraId="476B521B" w14:textId="7CBEACCE" w:rsidR="00F1289E" w:rsidRPr="001A332D" w:rsidRDefault="00F1289E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3 109</w:t>
            </w:r>
          </w:p>
        </w:tc>
        <w:tc>
          <w:tcPr>
            <w:tcW w:w="882" w:type="pct"/>
            <w:noWrap/>
            <w:vAlign w:val="bottom"/>
            <w:hideMark/>
          </w:tcPr>
          <w:p w14:paraId="7B39A993" w14:textId="77777777" w:rsidR="00F1289E" w:rsidRPr="001A332D" w:rsidRDefault="00F1289E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</w:tr>
      <w:tr w:rsidR="00F1289E" w:rsidRPr="001A332D" w14:paraId="1B69DFEC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hideMark/>
          </w:tcPr>
          <w:p w14:paraId="3AF13387" w14:textId="265AB892" w:rsidR="00F1289E" w:rsidRPr="001A332D" w:rsidRDefault="00F1289E" w:rsidP="00FE0C08">
            <w:pPr>
              <w:pStyle w:val="Tabletext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F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ИКТ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52529942" w14:textId="7474668E" w:rsidR="00F1289E" w:rsidRPr="001A332D" w:rsidRDefault="00F1289E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–500</w:t>
            </w:r>
          </w:p>
        </w:tc>
        <w:tc>
          <w:tcPr>
            <w:tcW w:w="736" w:type="pct"/>
            <w:noWrap/>
            <w:vAlign w:val="bottom"/>
            <w:hideMark/>
          </w:tcPr>
          <w:p w14:paraId="45CE634D" w14:textId="7665549C" w:rsidR="00F1289E" w:rsidRPr="001A332D" w:rsidRDefault="00F1289E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–500</w:t>
            </w:r>
          </w:p>
        </w:tc>
        <w:tc>
          <w:tcPr>
            <w:tcW w:w="882" w:type="pct"/>
            <w:noWrap/>
            <w:vAlign w:val="bottom"/>
            <w:hideMark/>
          </w:tcPr>
          <w:p w14:paraId="19C45126" w14:textId="77777777" w:rsidR="00F1289E" w:rsidRPr="001A332D" w:rsidRDefault="00F1289E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</w:tr>
      <w:tr w:rsidR="00F1289E" w:rsidRPr="001A332D" w14:paraId="1B72FD45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hideMark/>
          </w:tcPr>
          <w:p w14:paraId="742BAD63" w14:textId="171314E3" w:rsidR="00F1289E" w:rsidRPr="001A332D" w:rsidRDefault="00F1289E" w:rsidP="00FE0C08">
            <w:pPr>
              <w:pStyle w:val="Tabletext"/>
              <w:rPr>
                <w:lang w:val="ru-RU"/>
              </w:rPr>
            </w:pPr>
            <w:r w:rsidRPr="001A332D">
              <w:rPr>
                <w:rFonts w:cs="Calibri"/>
                <w:sz w:val="18"/>
                <w:szCs w:val="18"/>
                <w:lang w:val="ru-RU" w:eastAsia="en-GB"/>
              </w:rPr>
              <w:t>G</w:t>
            </w:r>
            <w:r w:rsidRPr="001A332D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зданий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4AA79551" w14:textId="0351555C" w:rsidR="00F1289E" w:rsidRPr="001A332D" w:rsidRDefault="00F1289E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–750</w:t>
            </w:r>
          </w:p>
        </w:tc>
        <w:tc>
          <w:tcPr>
            <w:tcW w:w="736" w:type="pct"/>
            <w:noWrap/>
            <w:vAlign w:val="bottom"/>
            <w:hideMark/>
          </w:tcPr>
          <w:p w14:paraId="1A182310" w14:textId="4E26F7E6" w:rsidR="00F1289E" w:rsidRPr="001A332D" w:rsidRDefault="00F1289E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–750</w:t>
            </w:r>
          </w:p>
        </w:tc>
        <w:tc>
          <w:tcPr>
            <w:tcW w:w="882" w:type="pct"/>
            <w:noWrap/>
            <w:vAlign w:val="bottom"/>
            <w:hideMark/>
          </w:tcPr>
          <w:p w14:paraId="2B05E01A" w14:textId="77777777" w:rsidR="00F1289E" w:rsidRPr="001A332D" w:rsidRDefault="00F1289E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</w:tr>
      <w:tr w:rsidR="00AC1776" w:rsidRPr="001A332D" w14:paraId="22D591FE" w14:textId="77777777" w:rsidTr="007620FE">
        <w:trPr>
          <w:trHeight w:val="240"/>
          <w:jc w:val="center"/>
        </w:trPr>
        <w:tc>
          <w:tcPr>
            <w:tcW w:w="2427" w:type="pct"/>
            <w:tcBorders>
              <w:right w:val="dashSmallGap" w:sz="12" w:space="0" w:color="0070C0"/>
            </w:tcBorders>
            <w:hideMark/>
          </w:tcPr>
          <w:p w14:paraId="099CA041" w14:textId="4EFCACE1" w:rsidR="0039531C" w:rsidRPr="001A332D" w:rsidRDefault="0039531C" w:rsidP="00FE0C08">
            <w:pPr>
              <w:pStyle w:val="Tabletex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H</w:t>
            </w:r>
            <w:r w:rsidR="00BD1A48" w:rsidRPr="001A332D">
              <w:rPr>
                <w:sz w:val="18"/>
                <w:szCs w:val="18"/>
                <w:lang w:val="ru-RU"/>
              </w:rPr>
              <w:tab/>
            </w:r>
            <w:r w:rsidR="00F1289E" w:rsidRPr="001A332D">
              <w:rPr>
                <w:sz w:val="18"/>
                <w:szCs w:val="18"/>
                <w:lang w:val="ru-RU"/>
              </w:rPr>
              <w:t>Экономия при исполнении бюджета</w:t>
            </w:r>
          </w:p>
        </w:tc>
        <w:tc>
          <w:tcPr>
            <w:tcW w:w="95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58BC9A4E" w14:textId="04AD2448" w:rsidR="0039531C" w:rsidRPr="001A332D" w:rsidRDefault="0039531C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2</w:t>
            </w:r>
            <w:r w:rsidR="00BD1A48" w:rsidRPr="001A332D">
              <w:rPr>
                <w:color w:val="000000" w:themeColor="text1"/>
                <w:lang w:val="ru-RU"/>
              </w:rPr>
              <w:t> </w:t>
            </w:r>
            <w:r w:rsidRPr="001A332D">
              <w:rPr>
                <w:color w:val="000000" w:themeColor="text1"/>
                <w:lang w:val="ru-RU"/>
              </w:rPr>
              <w:t>032</w:t>
            </w:r>
          </w:p>
        </w:tc>
        <w:tc>
          <w:tcPr>
            <w:tcW w:w="736" w:type="pct"/>
            <w:noWrap/>
            <w:vAlign w:val="bottom"/>
            <w:hideMark/>
          </w:tcPr>
          <w:p w14:paraId="5678811F" w14:textId="4B5EDE69" w:rsidR="0039531C" w:rsidRPr="001A332D" w:rsidRDefault="0039531C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2</w:t>
            </w:r>
            <w:r w:rsidR="00BD1A48" w:rsidRPr="001A332D">
              <w:rPr>
                <w:color w:val="002060"/>
                <w:lang w:val="ru-RU"/>
              </w:rPr>
              <w:t> </w:t>
            </w:r>
            <w:r w:rsidRPr="001A332D">
              <w:rPr>
                <w:color w:val="002060"/>
                <w:lang w:val="ru-RU"/>
              </w:rPr>
              <w:t>032</w:t>
            </w:r>
          </w:p>
        </w:tc>
        <w:tc>
          <w:tcPr>
            <w:tcW w:w="882" w:type="pct"/>
            <w:noWrap/>
            <w:vAlign w:val="bottom"/>
            <w:hideMark/>
          </w:tcPr>
          <w:p w14:paraId="67FE537B" w14:textId="77777777" w:rsidR="0039531C" w:rsidRPr="001A332D" w:rsidRDefault="0039531C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</w:tr>
      <w:tr w:rsidR="00AC1776" w:rsidRPr="001A332D" w14:paraId="7BEDD69E" w14:textId="77777777" w:rsidTr="007620FE">
        <w:trPr>
          <w:trHeight w:val="240"/>
          <w:jc w:val="center"/>
        </w:trPr>
        <w:tc>
          <w:tcPr>
            <w:tcW w:w="2427" w:type="pct"/>
            <w:tcBorders>
              <w:bottom w:val="single" w:sz="4" w:space="0" w:color="auto"/>
              <w:right w:val="dashSmallGap" w:sz="12" w:space="0" w:color="0070C0"/>
            </w:tcBorders>
            <w:hideMark/>
          </w:tcPr>
          <w:p w14:paraId="627B6395" w14:textId="7492F563" w:rsidR="0039531C" w:rsidRPr="001A332D" w:rsidRDefault="0039531C" w:rsidP="00FE0C08">
            <w:pPr>
              <w:pStyle w:val="Tabletex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I</w:t>
            </w:r>
            <w:r w:rsidR="00BD1A48" w:rsidRPr="001A332D">
              <w:rPr>
                <w:sz w:val="18"/>
                <w:szCs w:val="18"/>
                <w:lang w:val="ru-RU"/>
              </w:rPr>
              <w:tab/>
            </w:r>
            <w:r w:rsidR="00F1289E" w:rsidRPr="001A332D">
              <w:rPr>
                <w:sz w:val="18"/>
                <w:szCs w:val="18"/>
                <w:lang w:val="ru-RU"/>
              </w:rPr>
              <w:t>Зональное отделение в Нью-Дели − вклад Индии</w:t>
            </w:r>
          </w:p>
        </w:tc>
        <w:tc>
          <w:tcPr>
            <w:tcW w:w="955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32A83D65" w14:textId="0E1C774A" w:rsidR="0039531C" w:rsidRPr="001A332D" w:rsidRDefault="0086373A" w:rsidP="00FE0C08">
            <w:pPr>
              <w:pStyle w:val="Tabletext"/>
              <w:jc w:val="right"/>
              <w:rPr>
                <w:color w:val="000000" w:themeColor="text1"/>
                <w:lang w:val="ru-RU"/>
              </w:rPr>
            </w:pPr>
            <w:r w:rsidRPr="001A332D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B48259A" w14:textId="1ED24564" w:rsidR="0039531C" w:rsidRPr="001A332D" w:rsidRDefault="0086373A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60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9D783F4" w14:textId="77777777" w:rsidR="0039531C" w:rsidRPr="001A332D" w:rsidRDefault="0039531C" w:rsidP="0086373A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</w:tr>
      <w:tr w:rsidR="00AC1776" w:rsidRPr="001A332D" w14:paraId="4C897477" w14:textId="77777777" w:rsidTr="007620FE">
        <w:trPr>
          <w:trHeight w:val="240"/>
          <w:jc w:val="center"/>
        </w:trPr>
        <w:tc>
          <w:tcPr>
            <w:tcW w:w="242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6884B510" w14:textId="2DD28A08" w:rsidR="0039531C" w:rsidRPr="001A332D" w:rsidRDefault="00491AA5" w:rsidP="009D27B7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5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46230B97" w14:textId="3DA19596" w:rsidR="0039531C" w:rsidRPr="001A332D" w:rsidRDefault="0086373A" w:rsidP="0086373A">
            <w:pPr>
              <w:pStyle w:val="Tabletext"/>
              <w:jc w:val="right"/>
              <w:rPr>
                <w:b/>
                <w:bCs/>
                <w:color w:val="000000" w:themeColor="text1"/>
                <w:lang w:val="ru-RU"/>
              </w:rPr>
            </w:pPr>
            <w:r w:rsidRPr="001A332D">
              <w:rPr>
                <w:b/>
                <w:bCs/>
                <w:color w:val="000000" w:themeColor="text1"/>
                <w:lang w:val="ru-RU"/>
              </w:rPr>
              <w:t>163 661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9808575" w14:textId="0D3AE717" w:rsidR="0039531C" w:rsidRPr="001A332D" w:rsidRDefault="0086373A" w:rsidP="0086373A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1A332D">
              <w:rPr>
                <w:b/>
                <w:bCs/>
                <w:color w:val="002060"/>
                <w:lang w:val="ru-RU"/>
              </w:rPr>
              <w:t>157 103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28CBF08" w14:textId="116BE95C" w:rsidR="0039531C" w:rsidRPr="001A332D" w:rsidRDefault="0086373A" w:rsidP="0086373A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1A332D">
              <w:rPr>
                <w:b/>
                <w:bCs/>
                <w:color w:val="002060"/>
                <w:lang w:val="ru-RU"/>
              </w:rPr>
              <w:t>–6 558</w:t>
            </w:r>
          </w:p>
        </w:tc>
      </w:tr>
    </w:tbl>
    <w:p w14:paraId="031FCAC6" w14:textId="28D97229" w:rsidR="00C64D9C" w:rsidRPr="001A332D" w:rsidRDefault="00EC0D15" w:rsidP="00153AB8">
      <w:pPr>
        <w:spacing w:before="240" w:after="240"/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Недостаточный уровень доходов связан с доходами по линии возмещения затрат, как показано в таблице </w:t>
      </w:r>
      <w:r w:rsidR="00C64D9C" w:rsidRPr="001A332D">
        <w:rPr>
          <w:rFonts w:asciiTheme="minorHAnsi" w:hAnsiTheme="minorHAnsi" w:cstheme="minorHAnsi"/>
          <w:szCs w:val="24"/>
          <w:lang w:val="ru-RU"/>
        </w:rPr>
        <w:t xml:space="preserve">3 </w:t>
      </w:r>
      <w:r w:rsidRPr="001A332D">
        <w:rPr>
          <w:rFonts w:asciiTheme="minorHAnsi" w:hAnsiTheme="minorHAnsi" w:cstheme="minorHAnsi"/>
          <w:szCs w:val="24"/>
          <w:lang w:val="ru-RU"/>
        </w:rPr>
        <w:t>ниже</w:t>
      </w:r>
      <w:r w:rsidR="00C64D9C" w:rsidRPr="001A332D">
        <w:rPr>
          <w:rFonts w:asciiTheme="minorHAnsi" w:hAnsiTheme="minorHAnsi" w:cstheme="minorHAnsi"/>
          <w:szCs w:val="24"/>
          <w:lang w:val="ru-RU"/>
        </w:rPr>
        <w:t>.</w:t>
      </w:r>
    </w:p>
    <w:p w14:paraId="2754E15C" w14:textId="1F4E4445" w:rsidR="00A21B64" w:rsidRPr="001A332D" w:rsidRDefault="00F80A8C" w:rsidP="00A21B64">
      <w:pPr>
        <w:pStyle w:val="Tabletitle"/>
        <w:rPr>
          <w:rFonts w:asciiTheme="minorHAnsi" w:hAnsiTheme="minorHAnsi" w:cstheme="minorHAnsi"/>
          <w:szCs w:val="24"/>
          <w:lang w:val="ru-RU"/>
        </w:rPr>
      </w:pPr>
      <w:r w:rsidRPr="001A332D">
        <w:rPr>
          <w:color w:val="002060"/>
          <w:lang w:val="ru-RU"/>
        </w:rPr>
        <w:t xml:space="preserve">Таблица </w:t>
      </w:r>
      <w:r w:rsidR="00A21B64" w:rsidRPr="001A332D">
        <w:rPr>
          <w:color w:val="002060"/>
          <w:lang w:val="ru-RU"/>
        </w:rPr>
        <w:t xml:space="preserve">3 </w:t>
      </w:r>
      <w:r w:rsidRPr="001A332D">
        <w:rPr>
          <w:color w:val="002060"/>
          <w:lang w:val="ru-RU"/>
        </w:rPr>
        <w:t>–</w:t>
      </w:r>
      <w:r w:rsidR="00A21B64" w:rsidRPr="001A332D">
        <w:rPr>
          <w:color w:val="002060"/>
          <w:lang w:val="ru-RU"/>
        </w:rPr>
        <w:t xml:space="preserve"> </w:t>
      </w:r>
      <w:r w:rsidR="00834F2C" w:rsidRPr="001A332D">
        <w:rPr>
          <w:color w:val="002060"/>
          <w:lang w:val="ru-RU"/>
        </w:rPr>
        <w:t xml:space="preserve">Доходы по линии возмещения затрат по состоянию на </w:t>
      </w:r>
      <w:r w:rsidR="00794036" w:rsidRPr="001A332D">
        <w:rPr>
          <w:color w:val="002060"/>
          <w:lang w:val="ru-RU"/>
        </w:rPr>
        <w:t>15</w:t>
      </w:r>
      <w:r w:rsidR="00A21B64" w:rsidRPr="001A332D">
        <w:rPr>
          <w:color w:val="002060"/>
          <w:lang w:val="ru-RU"/>
        </w:rPr>
        <w:t xml:space="preserve"> </w:t>
      </w:r>
      <w:r w:rsidR="00794036" w:rsidRPr="001A332D">
        <w:rPr>
          <w:color w:val="002060"/>
          <w:lang w:val="ru-RU"/>
        </w:rPr>
        <w:t>сентября</w:t>
      </w:r>
      <w:r w:rsidR="00A21B64" w:rsidRPr="001A332D">
        <w:rPr>
          <w:color w:val="002060"/>
          <w:lang w:val="ru-RU"/>
        </w:rPr>
        <w:t xml:space="preserve"> 2022</w:t>
      </w:r>
      <w:r w:rsidRPr="001A332D">
        <w:rPr>
          <w:color w:val="002060"/>
          <w:lang w:val="ru-RU"/>
        </w:rPr>
        <w:t> года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1744"/>
        <w:gridCol w:w="1419"/>
        <w:gridCol w:w="1700"/>
      </w:tblGrid>
      <w:tr w:rsidR="00B34D1D" w:rsidRPr="001A332D" w14:paraId="6BEFC774" w14:textId="77777777" w:rsidTr="000A19CC">
        <w:trPr>
          <w:trHeight w:val="271"/>
          <w:jc w:val="center"/>
        </w:trPr>
        <w:tc>
          <w:tcPr>
            <w:tcW w:w="2477" w:type="pct"/>
            <w:noWrap/>
            <w:hideMark/>
          </w:tcPr>
          <w:p w14:paraId="661A2EA6" w14:textId="77777777" w:rsidR="00B34D1D" w:rsidRPr="001A332D" w:rsidRDefault="00B34D1D" w:rsidP="00153AB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523" w:type="pct"/>
            <w:gridSpan w:val="3"/>
            <w:noWrap/>
            <w:hideMark/>
          </w:tcPr>
          <w:p w14:paraId="157C8EDE" w14:textId="551174FF" w:rsidR="00B34D1D" w:rsidRPr="001A332D" w:rsidRDefault="00FF1091" w:rsidP="00153AB8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="Helv" w:hAnsi="Helv"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28736B" wp14:editId="390146C8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73025</wp:posOffset>
                      </wp:positionV>
                      <wp:extent cx="1085850" cy="2124075"/>
                      <wp:effectExtent l="0" t="0" r="19050" b="28575"/>
                      <wp:wrapNone/>
                      <wp:docPr id="39" name="Rectangle: Rounded Corner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124075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2C07A" id="Rectangle: Rounded Corners 39" o:spid="_x0000_s1026" style="position:absolute;margin-left:152.1pt;margin-top:5.75pt;width:85.5pt;height:16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" filled="f" strokecolor="#0070c0" strokeweight="1pt"/>
                  </w:pict>
                </mc:Fallback>
              </mc:AlternateContent>
            </w:r>
            <w:r w:rsidR="00B34D1D" w:rsidRPr="001A332D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B34D1D" w:rsidRPr="001A332D" w14:paraId="59D04C80" w14:textId="77777777" w:rsidTr="007620FE">
        <w:trPr>
          <w:trHeight w:val="240"/>
          <w:jc w:val="center"/>
        </w:trPr>
        <w:tc>
          <w:tcPr>
            <w:tcW w:w="2477" w:type="pct"/>
            <w:noWrap/>
            <w:hideMark/>
          </w:tcPr>
          <w:p w14:paraId="42C8BDA2" w14:textId="77777777" w:rsidR="00B34D1D" w:rsidRPr="001A332D" w:rsidRDefault="00B34D1D" w:rsidP="00153AB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05" w:type="pct"/>
            <w:noWrap/>
            <w:hideMark/>
          </w:tcPr>
          <w:p w14:paraId="2A1FCC3D" w14:textId="1D1534DF" w:rsidR="00B34D1D" w:rsidRPr="001A332D" w:rsidRDefault="00B34D1D" w:rsidP="00153AB8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736" w:type="pct"/>
            <w:noWrap/>
            <w:hideMark/>
          </w:tcPr>
          <w:p w14:paraId="20EB1894" w14:textId="1FE7BE59" w:rsidR="00B34D1D" w:rsidRPr="001A332D" w:rsidRDefault="00B34D1D" w:rsidP="00153AB8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882" w:type="pct"/>
            <w:noWrap/>
            <w:hideMark/>
          </w:tcPr>
          <w:p w14:paraId="761AA620" w14:textId="20A0D4D3" w:rsidR="00B34D1D" w:rsidRPr="001A332D" w:rsidRDefault="00B34D1D" w:rsidP="00153AB8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18"/>
                <w:szCs w:val="18"/>
                <w:lang w:val="ru-RU"/>
              </w:rPr>
              <w:t>c = b – a</w:t>
            </w:r>
          </w:p>
        </w:tc>
      </w:tr>
      <w:tr w:rsidR="00B34D1D" w:rsidRPr="001A332D" w14:paraId="2E1B44D8" w14:textId="77777777" w:rsidTr="00F338E4">
        <w:trPr>
          <w:trHeight w:val="255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2713C370" w14:textId="77777777" w:rsidR="00B34D1D" w:rsidRPr="001A332D" w:rsidRDefault="00B34D1D" w:rsidP="00153AB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hideMark/>
          </w:tcPr>
          <w:p w14:paraId="3C3D599C" w14:textId="4DE55EE0" w:rsidR="00B34D1D" w:rsidRPr="001A332D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736" w:type="pct"/>
            <w:noWrap/>
            <w:hideMark/>
          </w:tcPr>
          <w:p w14:paraId="18A378CF" w14:textId="69856C98" w:rsidR="00B34D1D" w:rsidRPr="001A332D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882" w:type="pct"/>
            <w:noWrap/>
            <w:hideMark/>
          </w:tcPr>
          <w:p w14:paraId="525E6D72" w14:textId="4AA8D194" w:rsidR="00B34D1D" w:rsidRPr="001A332D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B34D1D" w:rsidRPr="001A332D" w14:paraId="0AA41B28" w14:textId="77777777" w:rsidTr="00F338E4">
        <w:trPr>
          <w:trHeight w:val="255"/>
          <w:jc w:val="center"/>
        </w:trPr>
        <w:tc>
          <w:tcPr>
            <w:tcW w:w="247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672CD4A1" w14:textId="3EADF9AC" w:rsidR="00B34D1D" w:rsidRPr="001A332D" w:rsidRDefault="00B34D1D" w:rsidP="00153AB8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5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3DE60D3D" w14:textId="55ACA28D" w:rsidR="00B34D1D" w:rsidRPr="001A332D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 г.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hideMark/>
          </w:tcPr>
          <w:p w14:paraId="3D96B474" w14:textId="143E999E" w:rsidR="00B34D1D" w:rsidRPr="001A332D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конец 2022 г.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hideMark/>
          </w:tcPr>
          <w:p w14:paraId="59959111" w14:textId="148819F3" w:rsidR="00B34D1D" w:rsidRPr="001A332D" w:rsidRDefault="00B34D1D" w:rsidP="00153AB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 г.</w:t>
            </w:r>
          </w:p>
        </w:tc>
      </w:tr>
      <w:tr w:rsidR="00B34D1D" w:rsidRPr="001A332D" w14:paraId="0E8C004E" w14:textId="77777777" w:rsidTr="00F338E4">
        <w:trPr>
          <w:trHeight w:val="240"/>
          <w:jc w:val="center"/>
        </w:trPr>
        <w:tc>
          <w:tcPr>
            <w:tcW w:w="247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44913DB2" w14:textId="75BA3AE2" w:rsidR="00B34D1D" w:rsidRPr="001A332D" w:rsidRDefault="00B34D1D" w:rsidP="00A67526">
            <w:pPr>
              <w:pStyle w:val="Tabletext"/>
              <w:ind w:left="284" w:hanging="284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381E02" w:rsidRPr="001A332D">
              <w:rPr>
                <w:lang w:val="ru-RU"/>
              </w:rPr>
              <w:t xml:space="preserve"> – </w:t>
            </w:r>
            <w:r w:rsidR="00F1289E" w:rsidRPr="001A332D">
              <w:rPr>
                <w:rFonts w:cs="Calibri"/>
                <w:sz w:val="18"/>
                <w:szCs w:val="18"/>
                <w:lang w:val="ru-RU" w:eastAsia="en-GB"/>
              </w:rPr>
              <w:t>Доходы по линии вспомогательных затрат по</w:t>
            </w:r>
            <w:r w:rsidR="00EC0D15" w:rsidRPr="001A332D">
              <w:rPr>
                <w:rFonts w:cs="Calibri"/>
                <w:sz w:val="18"/>
                <w:szCs w:val="18"/>
                <w:lang w:val="ru-RU" w:eastAsia="en-GB"/>
              </w:rPr>
              <w:t> </w:t>
            </w:r>
            <w:r w:rsidR="00F1289E" w:rsidRPr="001A332D">
              <w:rPr>
                <w:rFonts w:cs="Calibri"/>
                <w:sz w:val="18"/>
                <w:szCs w:val="18"/>
                <w:lang w:val="ru-RU" w:eastAsia="en-GB"/>
              </w:rPr>
              <w:t>проектам</w:t>
            </w:r>
          </w:p>
        </w:tc>
        <w:tc>
          <w:tcPr>
            <w:tcW w:w="90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12F8A65E" w14:textId="62785DC6" w:rsidR="00B34D1D" w:rsidRPr="001A332D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1 000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81314C6" w14:textId="68E01E91" w:rsidR="00B34D1D" w:rsidRPr="001A332D" w:rsidRDefault="00794036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787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3F10EBB6" w14:textId="22462A58" w:rsidR="00B34D1D" w:rsidRPr="001A332D" w:rsidRDefault="00794036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–213</w:t>
            </w:r>
          </w:p>
        </w:tc>
      </w:tr>
      <w:tr w:rsidR="00B34D1D" w:rsidRPr="001A332D" w14:paraId="5CC4119A" w14:textId="77777777" w:rsidTr="007620FE">
        <w:trPr>
          <w:trHeight w:val="240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6C51708B" w14:textId="2402AE1C" w:rsidR="00B34D1D" w:rsidRPr="001A332D" w:rsidRDefault="00B34D1D" w:rsidP="00B34D1D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2</w:t>
            </w:r>
            <w:r w:rsidR="00381E02" w:rsidRPr="001A332D">
              <w:rPr>
                <w:lang w:val="ru-RU"/>
              </w:rPr>
              <w:t xml:space="preserve"> – </w:t>
            </w:r>
            <w:r w:rsidR="00F1289E" w:rsidRPr="001A332D">
              <w:rPr>
                <w:rFonts w:cs="Calibri"/>
                <w:sz w:val="18"/>
                <w:szCs w:val="18"/>
                <w:lang w:val="ru-RU" w:eastAsia="en-GB"/>
              </w:rPr>
              <w:t>Продажа публикаций</w:t>
            </w: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0B577B30" w14:textId="5ADD9DB8" w:rsidR="00B34D1D" w:rsidRPr="001A332D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15 500</w:t>
            </w:r>
          </w:p>
        </w:tc>
        <w:tc>
          <w:tcPr>
            <w:tcW w:w="736" w:type="pct"/>
            <w:noWrap/>
            <w:vAlign w:val="bottom"/>
            <w:hideMark/>
          </w:tcPr>
          <w:p w14:paraId="361D8920" w14:textId="115745C8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15 500</w:t>
            </w:r>
          </w:p>
        </w:tc>
        <w:tc>
          <w:tcPr>
            <w:tcW w:w="882" w:type="pct"/>
            <w:noWrap/>
            <w:vAlign w:val="bottom"/>
            <w:hideMark/>
          </w:tcPr>
          <w:p w14:paraId="26225C4E" w14:textId="1246589B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</w:tr>
      <w:tr w:rsidR="00B34D1D" w:rsidRPr="001A332D" w14:paraId="7A00A1BF" w14:textId="77777777" w:rsidTr="007620FE">
        <w:trPr>
          <w:trHeight w:val="240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276A265F" w14:textId="1E06FDC6" w:rsidR="00B34D1D" w:rsidRPr="001A332D" w:rsidRDefault="00B34D1D" w:rsidP="00B34D1D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3</w:t>
            </w:r>
            <w:r w:rsidR="00381E02" w:rsidRPr="001A332D">
              <w:rPr>
                <w:lang w:val="ru-RU"/>
              </w:rPr>
              <w:t xml:space="preserve"> – </w:t>
            </w:r>
            <w:r w:rsidRPr="001A332D">
              <w:rPr>
                <w:lang w:val="ru-RU"/>
              </w:rPr>
              <w:t>UIFN</w:t>
            </w: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2E4EC110" w14:textId="77777777" w:rsidR="00B34D1D" w:rsidRPr="001A332D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736" w:type="pct"/>
            <w:noWrap/>
            <w:vAlign w:val="bottom"/>
            <w:hideMark/>
          </w:tcPr>
          <w:p w14:paraId="1E515649" w14:textId="0028516F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300</w:t>
            </w:r>
          </w:p>
        </w:tc>
        <w:tc>
          <w:tcPr>
            <w:tcW w:w="882" w:type="pct"/>
            <w:noWrap/>
            <w:vAlign w:val="bottom"/>
            <w:hideMark/>
          </w:tcPr>
          <w:p w14:paraId="3167EF55" w14:textId="4D8F99C0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–200</w:t>
            </w:r>
          </w:p>
        </w:tc>
      </w:tr>
      <w:tr w:rsidR="00B34D1D" w:rsidRPr="001A332D" w14:paraId="44C179A6" w14:textId="77777777" w:rsidTr="00F338E4">
        <w:trPr>
          <w:trHeight w:val="240"/>
          <w:jc w:val="center"/>
        </w:trPr>
        <w:tc>
          <w:tcPr>
            <w:tcW w:w="2477" w:type="pct"/>
            <w:tcBorders>
              <w:right w:val="dashSmallGap" w:sz="12" w:space="0" w:color="0070C0"/>
            </w:tcBorders>
            <w:noWrap/>
            <w:hideMark/>
          </w:tcPr>
          <w:p w14:paraId="3907EAF0" w14:textId="44820AE7" w:rsidR="00B34D1D" w:rsidRPr="001A332D" w:rsidRDefault="00B34D1D" w:rsidP="00B34D1D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4</w:t>
            </w:r>
            <w:r w:rsidR="00381E02" w:rsidRPr="001A332D">
              <w:rPr>
                <w:lang w:val="ru-RU"/>
              </w:rPr>
              <w:t xml:space="preserve"> – </w:t>
            </w:r>
            <w:r w:rsidRPr="001A332D">
              <w:rPr>
                <w:lang w:val="ru-RU"/>
              </w:rPr>
              <w:t>Telecom</w:t>
            </w:r>
          </w:p>
        </w:tc>
        <w:tc>
          <w:tcPr>
            <w:tcW w:w="905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7FCCC95B" w14:textId="591D0129" w:rsidR="00B34D1D" w:rsidRPr="001A332D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1 500</w:t>
            </w:r>
          </w:p>
        </w:tc>
        <w:tc>
          <w:tcPr>
            <w:tcW w:w="736" w:type="pct"/>
            <w:noWrap/>
            <w:vAlign w:val="bottom"/>
            <w:hideMark/>
          </w:tcPr>
          <w:p w14:paraId="6E55B5E5" w14:textId="129F05C8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0</w:t>
            </w:r>
          </w:p>
        </w:tc>
        <w:tc>
          <w:tcPr>
            <w:tcW w:w="882" w:type="pct"/>
            <w:noWrap/>
            <w:vAlign w:val="bottom"/>
            <w:hideMark/>
          </w:tcPr>
          <w:p w14:paraId="69300C8C" w14:textId="622979C5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–1 500</w:t>
            </w:r>
          </w:p>
        </w:tc>
      </w:tr>
      <w:tr w:rsidR="00B34D1D" w:rsidRPr="001A332D" w14:paraId="02B615E7" w14:textId="77777777" w:rsidTr="00F338E4">
        <w:trPr>
          <w:trHeight w:val="240"/>
          <w:jc w:val="center"/>
        </w:trPr>
        <w:tc>
          <w:tcPr>
            <w:tcW w:w="2477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1722CA0" w14:textId="66E86657" w:rsidR="00B34D1D" w:rsidRPr="001A332D" w:rsidRDefault="00B34D1D" w:rsidP="00B34D1D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5</w:t>
            </w:r>
            <w:r w:rsidR="00381E02" w:rsidRPr="001A332D">
              <w:rPr>
                <w:lang w:val="ru-RU"/>
              </w:rPr>
              <w:t xml:space="preserve"> – </w:t>
            </w:r>
            <w:r w:rsidRPr="001A332D">
              <w:rPr>
                <w:lang w:val="ru-RU"/>
              </w:rPr>
              <w:t>SNF</w:t>
            </w:r>
          </w:p>
        </w:tc>
        <w:tc>
          <w:tcPr>
            <w:tcW w:w="905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5426D881" w14:textId="16FBF510" w:rsidR="00B34D1D" w:rsidRPr="001A332D" w:rsidRDefault="00B34D1D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15 000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14CB9A8" w14:textId="0AE7F230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10 000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77B5858" w14:textId="426D28A5" w:rsidR="00B34D1D" w:rsidRPr="001A332D" w:rsidRDefault="00B34D1D" w:rsidP="00794036">
            <w:pPr>
              <w:pStyle w:val="Tabletext"/>
              <w:jc w:val="right"/>
              <w:rPr>
                <w:color w:val="002060"/>
                <w:lang w:val="ru-RU"/>
              </w:rPr>
            </w:pPr>
            <w:r w:rsidRPr="001A332D">
              <w:rPr>
                <w:color w:val="002060"/>
                <w:lang w:val="ru-RU"/>
              </w:rPr>
              <w:t>–5 000</w:t>
            </w:r>
          </w:p>
        </w:tc>
      </w:tr>
      <w:tr w:rsidR="00B34D1D" w:rsidRPr="001A332D" w14:paraId="137F0C1A" w14:textId="77777777" w:rsidTr="00F338E4">
        <w:trPr>
          <w:trHeight w:val="240"/>
          <w:jc w:val="center"/>
        </w:trPr>
        <w:tc>
          <w:tcPr>
            <w:tcW w:w="2477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01899D4F" w14:textId="1B82DB36" w:rsidR="00B34D1D" w:rsidRPr="001A332D" w:rsidRDefault="00B34D1D" w:rsidP="00B34D1D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05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17648611" w14:textId="1FFCAF0F" w:rsidR="00B34D1D" w:rsidRPr="001A332D" w:rsidRDefault="00B34D1D" w:rsidP="00FE0C08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33 500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0677EDA8" w14:textId="041318D7" w:rsidR="00B34D1D" w:rsidRPr="001A332D" w:rsidRDefault="00794036" w:rsidP="00794036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1A332D">
              <w:rPr>
                <w:b/>
                <w:bCs/>
                <w:color w:val="002060"/>
                <w:lang w:val="ru-RU"/>
              </w:rPr>
              <w:t>26 587</w:t>
            </w:r>
          </w:p>
        </w:tc>
        <w:tc>
          <w:tcPr>
            <w:tcW w:w="88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1E4FCD7" w14:textId="5AB2E9CA" w:rsidR="00B34D1D" w:rsidRPr="001A332D" w:rsidRDefault="00794036" w:rsidP="00794036">
            <w:pPr>
              <w:pStyle w:val="Tabletext"/>
              <w:jc w:val="right"/>
              <w:rPr>
                <w:b/>
                <w:bCs/>
                <w:color w:val="002060"/>
                <w:lang w:val="ru-RU"/>
              </w:rPr>
            </w:pPr>
            <w:r w:rsidRPr="001A332D">
              <w:rPr>
                <w:b/>
                <w:bCs/>
                <w:color w:val="002060"/>
                <w:lang w:val="ru-RU"/>
              </w:rPr>
              <w:t>–6 913</w:t>
            </w:r>
          </w:p>
        </w:tc>
      </w:tr>
    </w:tbl>
    <w:p w14:paraId="61FBB685" w14:textId="77777777" w:rsidR="005B5736" w:rsidRPr="001A332D" w:rsidRDefault="00EC0D15" w:rsidP="005B5736">
      <w:pPr>
        <w:spacing w:before="240"/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 xml:space="preserve">В таблице 4 ниже представлено сравнение доходов по линии возмещения затрат между финансовым планом, бюджетом, фактическими суммами и прогнозом. В таблице показано расхождение между </w:t>
      </w:r>
      <w:r w:rsidR="00BC234E" w:rsidRPr="001A332D">
        <w:rPr>
          <w:rFonts w:asciiTheme="minorHAnsi" w:hAnsiTheme="minorHAnsi" w:cstheme="minorHAnsi"/>
          <w:szCs w:val="24"/>
          <w:lang w:val="ru-RU"/>
        </w:rPr>
        <w:t>предусмотренной в бюджете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суммой и фактическим</w:t>
      </w:r>
      <w:r w:rsidR="00BC234E" w:rsidRPr="001A332D">
        <w:rPr>
          <w:rFonts w:asciiTheme="minorHAnsi" w:hAnsiTheme="minorHAnsi" w:cstheme="minorHAnsi"/>
          <w:szCs w:val="24"/>
          <w:lang w:val="ru-RU"/>
        </w:rPr>
        <w:t>и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доход</w:t>
      </w:r>
      <w:r w:rsidR="00BC234E" w:rsidRPr="001A332D">
        <w:rPr>
          <w:rFonts w:asciiTheme="minorHAnsi" w:hAnsiTheme="minorHAnsi" w:cstheme="minorHAnsi"/>
          <w:szCs w:val="24"/>
          <w:lang w:val="ru-RU"/>
        </w:rPr>
        <w:t>ами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по </w:t>
      </w:r>
      <w:r w:rsidR="00BC234E" w:rsidRPr="001A332D">
        <w:rPr>
          <w:rFonts w:asciiTheme="minorHAnsi" w:hAnsiTheme="minorHAnsi" w:cstheme="minorHAnsi"/>
          <w:szCs w:val="24"/>
          <w:lang w:val="ru-RU"/>
        </w:rPr>
        <w:t>линии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возмещения затрат. Значения на 2023</w:t>
      </w:r>
      <w:r w:rsidR="00E85FF4" w:rsidRPr="001A332D">
        <w:rPr>
          <w:rFonts w:asciiTheme="minorHAnsi" w:hAnsiTheme="minorHAnsi" w:cstheme="minorHAnsi"/>
          <w:szCs w:val="24"/>
          <w:lang w:val="ru-RU"/>
        </w:rPr>
        <w:t> год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представляют собой линейный прогноз, </w:t>
      </w:r>
      <w:r w:rsidR="00BC234E" w:rsidRPr="001A332D">
        <w:rPr>
          <w:rFonts w:asciiTheme="minorHAnsi" w:hAnsiTheme="minorHAnsi" w:cstheme="minorHAnsi"/>
          <w:szCs w:val="24"/>
          <w:lang w:val="ru-RU"/>
        </w:rPr>
        <w:t>выведенный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на основе данных </w:t>
      </w:r>
      <w:r w:rsidR="00A67526" w:rsidRPr="001A332D">
        <w:rPr>
          <w:rFonts w:asciiTheme="minorHAnsi" w:hAnsiTheme="minorHAnsi" w:cstheme="minorHAnsi"/>
          <w:szCs w:val="24"/>
          <w:lang w:val="ru-RU"/>
        </w:rPr>
        <w:t>за</w:t>
      </w:r>
      <w:r w:rsidR="00533789" w:rsidRPr="001A332D">
        <w:rPr>
          <w:rFonts w:asciiTheme="minorHAnsi" w:hAnsiTheme="minorHAnsi" w:cstheme="minorHAnsi"/>
          <w:szCs w:val="24"/>
          <w:lang w:val="ru-RU"/>
        </w:rPr>
        <w:t> </w:t>
      </w:r>
      <w:r w:rsidR="00A67526" w:rsidRPr="001A332D">
        <w:rPr>
          <w:rFonts w:asciiTheme="minorHAnsi" w:hAnsiTheme="minorHAnsi" w:cstheme="minorHAnsi"/>
          <w:szCs w:val="24"/>
          <w:lang w:val="ru-RU"/>
        </w:rPr>
        <w:t xml:space="preserve">период </w:t>
      </w:r>
      <w:r w:rsidRPr="001A332D">
        <w:rPr>
          <w:rFonts w:asciiTheme="minorHAnsi" w:hAnsiTheme="minorHAnsi" w:cstheme="minorHAnsi"/>
          <w:szCs w:val="24"/>
          <w:lang w:val="ru-RU"/>
        </w:rPr>
        <w:t>с 2020 по 2022</w:t>
      </w:r>
      <w:r w:rsidR="00E85FF4" w:rsidRPr="001A332D">
        <w:rPr>
          <w:rFonts w:asciiTheme="minorHAnsi" w:hAnsiTheme="minorHAnsi" w:cstheme="minorHAnsi"/>
          <w:szCs w:val="24"/>
          <w:lang w:val="ru-RU"/>
        </w:rPr>
        <w:t> год</w:t>
      </w:r>
      <w:r w:rsidRPr="001A332D">
        <w:rPr>
          <w:rFonts w:asciiTheme="minorHAnsi" w:hAnsiTheme="minorHAnsi" w:cstheme="minorHAnsi"/>
          <w:szCs w:val="24"/>
          <w:lang w:val="ru-RU"/>
        </w:rPr>
        <w:t>.</w:t>
      </w:r>
    </w:p>
    <w:p w14:paraId="668B696F" w14:textId="3F13499C" w:rsidR="001846B9" w:rsidRPr="001A332D" w:rsidRDefault="001846B9" w:rsidP="005B5736">
      <w:pPr>
        <w:spacing w:before="240"/>
        <w:rPr>
          <w:rFonts w:asciiTheme="minorHAnsi" w:hAnsiTheme="minorHAnsi" w:cstheme="minorHAnsi"/>
          <w:sz w:val="16"/>
          <w:szCs w:val="16"/>
          <w:lang w:val="ru-RU"/>
        </w:rPr>
      </w:pPr>
      <w:r w:rsidRPr="001A332D">
        <w:rPr>
          <w:rFonts w:asciiTheme="minorHAnsi" w:hAnsiTheme="minorHAnsi" w:cstheme="minorHAnsi"/>
          <w:sz w:val="16"/>
          <w:szCs w:val="16"/>
          <w:lang w:val="ru-RU"/>
        </w:rPr>
        <w:br w:type="page"/>
      </w:r>
    </w:p>
    <w:p w14:paraId="053FD43D" w14:textId="4D39738D" w:rsidR="0039531C" w:rsidRPr="001A332D" w:rsidRDefault="001846B9" w:rsidP="001846B9">
      <w:pPr>
        <w:pStyle w:val="Tabletitle"/>
        <w:rPr>
          <w:color w:val="002060"/>
          <w:lang w:val="ru-RU"/>
        </w:rPr>
      </w:pPr>
      <w:r w:rsidRPr="001A332D">
        <w:rPr>
          <w:color w:val="002060"/>
          <w:lang w:val="ru-RU"/>
        </w:rPr>
        <w:lastRenderedPageBreak/>
        <w:t xml:space="preserve">Таблица 4 – </w:t>
      </w:r>
      <w:r w:rsidR="00834F2C" w:rsidRPr="001A332D">
        <w:rPr>
          <w:color w:val="002060"/>
          <w:lang w:val="ru-RU"/>
        </w:rPr>
        <w:t xml:space="preserve">Доходы по линии возмещения затрат за период </w:t>
      </w:r>
      <w:r w:rsidRPr="001A332D">
        <w:rPr>
          <w:color w:val="002060"/>
          <w:lang w:val="ru-RU"/>
        </w:rPr>
        <w:t>2020–2023 год</w:t>
      </w:r>
      <w:r w:rsidR="00834F2C" w:rsidRPr="001A332D">
        <w:rPr>
          <w:color w:val="002060"/>
          <w:lang w:val="ru-RU"/>
        </w:rPr>
        <w:t>ов</w:t>
      </w:r>
    </w:p>
    <w:p w14:paraId="39899F44" w14:textId="5068FB46" w:rsidR="00B34D1D" w:rsidRPr="001A332D" w:rsidRDefault="00834F2C" w:rsidP="001846B9">
      <w:pPr>
        <w:pStyle w:val="Tabletitle"/>
        <w:rPr>
          <w:rFonts w:asciiTheme="minorHAnsi" w:hAnsiTheme="minorHAnsi" w:cstheme="minorHAnsi"/>
          <w:szCs w:val="24"/>
          <w:lang w:val="ru-RU"/>
        </w:rPr>
      </w:pPr>
      <w:r w:rsidRPr="001A332D">
        <w:rPr>
          <w:color w:val="002060"/>
          <w:lang w:val="ru-RU"/>
        </w:rPr>
        <w:t>Сравнение финансового плана, бюджета</w:t>
      </w:r>
      <w:r w:rsidR="00A67526" w:rsidRPr="001A332D">
        <w:rPr>
          <w:color w:val="002060"/>
          <w:lang w:val="ru-RU"/>
        </w:rPr>
        <w:t>,</w:t>
      </w:r>
      <w:r w:rsidRPr="001A332D">
        <w:rPr>
          <w:color w:val="002060"/>
          <w:lang w:val="ru-RU"/>
        </w:rPr>
        <w:t xml:space="preserve"> фактических сумм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819"/>
        <w:gridCol w:w="933"/>
        <w:gridCol w:w="948"/>
        <w:gridCol w:w="948"/>
        <w:gridCol w:w="1137"/>
      </w:tblGrid>
      <w:tr w:rsidR="0039531C" w:rsidRPr="001A332D" w14:paraId="50006F6E" w14:textId="77777777" w:rsidTr="00256422">
        <w:trPr>
          <w:jc w:val="center"/>
        </w:trPr>
        <w:tc>
          <w:tcPr>
            <w:tcW w:w="1480" w:type="pct"/>
            <w:noWrap/>
            <w:hideMark/>
          </w:tcPr>
          <w:p w14:paraId="622AF5B5" w14:textId="77777777" w:rsidR="0039531C" w:rsidRPr="001A332D" w:rsidRDefault="0039531C" w:rsidP="001846B9">
            <w:pPr>
              <w:pStyle w:val="Tabletext"/>
              <w:rPr>
                <w:lang w:val="ru-RU"/>
              </w:rPr>
            </w:pPr>
          </w:p>
        </w:tc>
        <w:tc>
          <w:tcPr>
            <w:tcW w:w="1461" w:type="pct"/>
            <w:noWrap/>
            <w:hideMark/>
          </w:tcPr>
          <w:p w14:paraId="252116B2" w14:textId="1A96CD04" w:rsidR="0039531C" w:rsidRPr="001A332D" w:rsidRDefault="0039531C" w:rsidP="001846B9">
            <w:pPr>
              <w:pStyle w:val="Tabletext"/>
              <w:rPr>
                <w:lang w:val="ru-RU"/>
              </w:rPr>
            </w:pPr>
          </w:p>
        </w:tc>
        <w:tc>
          <w:tcPr>
            <w:tcW w:w="2058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017065DD" w14:textId="29A413AE" w:rsidR="0039531C" w:rsidRPr="001A332D" w:rsidRDefault="00D8431B" w:rsidP="001846B9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тыс. шв. фр.</w:t>
            </w:r>
          </w:p>
        </w:tc>
      </w:tr>
      <w:tr w:rsidR="00E83DC3" w:rsidRPr="001A332D" w14:paraId="4E26CAED" w14:textId="77777777" w:rsidTr="00256422">
        <w:trPr>
          <w:jc w:val="center"/>
        </w:trPr>
        <w:tc>
          <w:tcPr>
            <w:tcW w:w="1480" w:type="pct"/>
            <w:noWrap/>
            <w:hideMark/>
          </w:tcPr>
          <w:p w14:paraId="3BBFA5E1" w14:textId="77777777" w:rsidR="0039531C" w:rsidRPr="001A332D" w:rsidRDefault="0039531C" w:rsidP="001846B9">
            <w:pPr>
              <w:pStyle w:val="Tabletex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461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2A7" w14:textId="77777777" w:rsidR="0039531C" w:rsidRPr="001A332D" w:rsidRDefault="0039531C" w:rsidP="001846B9">
            <w:pPr>
              <w:pStyle w:val="Tabletext"/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0194E" w14:textId="6C2AD3B6" w:rsidR="0039531C" w:rsidRPr="001A332D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t>2020</w:t>
            </w:r>
            <w:r w:rsidR="001846B9" w:rsidRPr="001A332D">
              <w:rPr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C0F7" w14:textId="179A7DB6" w:rsidR="0039531C" w:rsidRPr="001A332D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t>2021</w:t>
            </w:r>
            <w:r w:rsidR="001846B9" w:rsidRPr="001A332D">
              <w:rPr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B8B2" w14:textId="50E6D32B" w:rsidR="0039531C" w:rsidRPr="001A332D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t>2022</w:t>
            </w:r>
            <w:r w:rsidR="001846B9" w:rsidRPr="001A332D">
              <w:rPr>
                <w:lang w:val="ru-RU"/>
              </w:rPr>
              <w:t> 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44CE6" w14:textId="780437DE" w:rsidR="0039531C" w:rsidRPr="001A332D" w:rsidRDefault="0039531C" w:rsidP="001846B9">
            <w:pPr>
              <w:pStyle w:val="Tabletext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t>2023</w:t>
            </w:r>
            <w:r w:rsidR="001846B9" w:rsidRPr="001A332D">
              <w:rPr>
                <w:lang w:val="ru-RU"/>
              </w:rPr>
              <w:t> г.</w:t>
            </w:r>
          </w:p>
        </w:tc>
      </w:tr>
      <w:tr w:rsidR="00E83DC3" w:rsidRPr="001A332D" w14:paraId="16B20010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43C8DA" w14:textId="1E786023" w:rsidR="0039531C" w:rsidRPr="001A332D" w:rsidRDefault="00335048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 xml:space="preserve">Заявки на регистрацию спутниковых сетей </w:t>
            </w:r>
            <w:r w:rsidR="0039531C" w:rsidRPr="001A332D">
              <w:rPr>
                <w:b/>
                <w:bCs/>
                <w:lang w:val="ru-RU"/>
              </w:rPr>
              <w:t>(SNF)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D3C78" w14:textId="58F0C854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2020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5A94D" w14:textId="1CDA440C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2021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BCC36C" w14:textId="51452C85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2022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A1AE8C" w14:textId="5EFB1BCA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2023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</w:tr>
      <w:tr w:rsidR="001846B9" w:rsidRPr="001A332D" w14:paraId="09A66003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A"/>
            <w:noWrap/>
            <w:hideMark/>
          </w:tcPr>
          <w:p w14:paraId="45B91910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035DF1" w14:textId="7CEDE223" w:rsidR="0039531C" w:rsidRPr="001A332D" w:rsidRDefault="00335048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137CC4E" w14:textId="38B9B39C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4A59971" w14:textId="04285AD0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FFC3402" w14:textId="331EC873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963EDCA" w14:textId="11950E63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8B725F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</w:tr>
      <w:tr w:rsidR="001846B9" w:rsidRPr="001A332D" w14:paraId="5865DFC3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A"/>
            <w:noWrap/>
            <w:hideMark/>
          </w:tcPr>
          <w:p w14:paraId="4EBE0FDB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32A4F" w14:textId="2F417BE1" w:rsidR="0039531C" w:rsidRPr="001A332D" w:rsidRDefault="00F1289E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92B0C2B" w14:textId="000ED311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37E7DA7" w14:textId="1E23BE74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6A733B4" w14:textId="401279B2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7775789" w14:textId="00F4FBD4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18</w:t>
            </w:r>
            <w:r w:rsidR="008B725F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</w:tr>
      <w:tr w:rsidR="001846B9" w:rsidRPr="001A332D" w14:paraId="7AAEFACE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A"/>
            <w:noWrap/>
            <w:hideMark/>
          </w:tcPr>
          <w:p w14:paraId="57461022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5CF74" w14:textId="3CC39819" w:rsidR="0039531C" w:rsidRPr="001A332D" w:rsidRDefault="00F1289E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 xml:space="preserve">Фактические </w:t>
            </w:r>
            <w:r w:rsidR="005A7AB8" w:rsidRPr="001A332D">
              <w:rPr>
                <w:lang w:val="ru-RU"/>
              </w:rPr>
              <w:t>суммы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C546C95" w14:textId="0C3C17CF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13</w:t>
            </w:r>
            <w:r w:rsidR="00B67D71" w:rsidRPr="001A332D">
              <w:rPr>
                <w:color w:val="FF0000"/>
                <w:lang w:val="ru-RU"/>
              </w:rPr>
              <w:t> </w:t>
            </w:r>
            <w:r w:rsidRPr="001A332D">
              <w:rPr>
                <w:color w:val="FF0000"/>
                <w:lang w:val="ru-RU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DD668FE" w14:textId="1B1F6764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11</w:t>
            </w:r>
            <w:r w:rsidR="00B67D71" w:rsidRPr="001A332D">
              <w:rPr>
                <w:color w:val="FF0000"/>
                <w:lang w:val="ru-RU"/>
              </w:rPr>
              <w:t> </w:t>
            </w:r>
            <w:r w:rsidRPr="001A332D">
              <w:rPr>
                <w:color w:val="FF0000"/>
                <w:lang w:val="ru-RU"/>
              </w:rPr>
              <w:t>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586C273" w14:textId="63ADA518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10</w:t>
            </w:r>
            <w:r w:rsidR="00B67D71" w:rsidRPr="001A332D">
              <w:rPr>
                <w:color w:val="FF0000"/>
                <w:lang w:val="ru-RU"/>
              </w:rPr>
              <w:t> </w:t>
            </w:r>
            <w:r w:rsidRPr="001A332D">
              <w:rPr>
                <w:color w:val="FF0000"/>
                <w:lang w:val="ru-RU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DDE7804" w14:textId="74247C72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8</w:t>
            </w:r>
            <w:r w:rsidR="008B725F" w:rsidRPr="001A332D">
              <w:rPr>
                <w:color w:val="FF0000"/>
                <w:lang w:val="ru-RU"/>
              </w:rPr>
              <w:t> </w:t>
            </w:r>
            <w:r w:rsidRPr="001A332D">
              <w:rPr>
                <w:color w:val="FF0000"/>
                <w:lang w:val="ru-RU"/>
              </w:rPr>
              <w:t>000</w:t>
            </w:r>
          </w:p>
        </w:tc>
      </w:tr>
      <w:tr w:rsidR="00F42B0B" w:rsidRPr="001A332D" w14:paraId="14E5740D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0B6"/>
            <w:noWrap/>
            <w:hideMark/>
          </w:tcPr>
          <w:p w14:paraId="25D8AA5F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hideMark/>
          </w:tcPr>
          <w:p w14:paraId="040CC9F8" w14:textId="77D0A409" w:rsidR="0039531C" w:rsidRPr="001A332D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Расхождение с</w:t>
            </w:r>
            <w:r w:rsidR="00A67526" w:rsidRPr="001A332D">
              <w:rPr>
                <w:b/>
                <w:bCs/>
                <w:lang w:val="ru-RU"/>
              </w:rPr>
              <w:t> </w:t>
            </w:r>
            <w:r w:rsidRPr="001A332D">
              <w:rPr>
                <w:b/>
                <w:bCs/>
                <w:lang w:val="ru-RU"/>
              </w:rPr>
              <w:t>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vAlign w:val="bottom"/>
            <w:hideMark/>
          </w:tcPr>
          <w:p w14:paraId="79ACDF32" w14:textId="04A509D7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900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vAlign w:val="bottom"/>
            <w:hideMark/>
          </w:tcPr>
          <w:p w14:paraId="77FB7287" w14:textId="5BF6BA20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4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300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6"/>
            <w:noWrap/>
            <w:vAlign w:val="bottom"/>
            <w:hideMark/>
          </w:tcPr>
          <w:p w14:paraId="04659E81" w14:textId="310FA1E7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5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97E7F46" w14:textId="5500AD2A" w:rsidR="0039531C" w:rsidRPr="001A332D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10</w:t>
            </w:r>
            <w:r w:rsidR="008B725F"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000</w:t>
            </w:r>
          </w:p>
        </w:tc>
      </w:tr>
      <w:tr w:rsidR="00412B76" w:rsidRPr="001A332D" w14:paraId="0B9F02E2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5C9A57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99E926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924639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9CD672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DB8FCF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28BB1C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8B725F" w:rsidRPr="001A332D" w14:paraId="1E3374A2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233ECF30" w14:textId="38E74907" w:rsidR="008B725F" w:rsidRPr="001A332D" w:rsidRDefault="008B725F" w:rsidP="00F42B0B">
            <w:pPr>
              <w:pStyle w:val="Tabletext"/>
              <w:rPr>
                <w:lang w:val="ru-RU"/>
              </w:rPr>
            </w:pPr>
            <w:r w:rsidRPr="001A332D">
              <w:rPr>
                <w:b/>
                <w:bCs/>
                <w:lang w:val="ru-RU"/>
              </w:rPr>
              <w:t>Доходы от публикаций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3B9F17B0" w14:textId="25A3312D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2020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615C9E11" w14:textId="73EEB056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2021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3928D7EE" w14:textId="26745C69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2022 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6EF0928F" w14:textId="2052179C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2023 г.</w:t>
            </w:r>
          </w:p>
        </w:tc>
      </w:tr>
      <w:tr w:rsidR="001846B9" w:rsidRPr="001A332D" w14:paraId="40DC5238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noWrap/>
            <w:hideMark/>
          </w:tcPr>
          <w:p w14:paraId="370E27EB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351E3DA2" w14:textId="7A490541" w:rsidR="0039531C" w:rsidRPr="001A332D" w:rsidRDefault="00335048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42F52D4" w14:textId="717A991F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19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06898D33" w14:textId="4E968315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19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5FA8C81" w14:textId="613059CE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19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7ED2CCB" w14:textId="17C9C202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19</w:t>
            </w:r>
            <w:r w:rsidR="008B725F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</w:tr>
      <w:tr w:rsidR="001846B9" w:rsidRPr="001A332D" w14:paraId="0CD6CDA5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noWrap/>
            <w:hideMark/>
          </w:tcPr>
          <w:p w14:paraId="5F4B0C74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5D299D5F" w14:textId="1C397A87" w:rsidR="0039531C" w:rsidRPr="001A332D" w:rsidRDefault="00F1289E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2087408C" w14:textId="61D21730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19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7FC3F812" w14:textId="7DB3FAAB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19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1C10DA1B" w14:textId="49F100DA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D8BF22F" w14:textId="3E5C7873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15</w:t>
            </w:r>
            <w:r w:rsidR="008B725F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</w:tr>
      <w:tr w:rsidR="001846B9" w:rsidRPr="001A332D" w14:paraId="245EE0E9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noWrap/>
            <w:hideMark/>
          </w:tcPr>
          <w:p w14:paraId="279BDAE1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2128BC76" w14:textId="7E4225FC" w:rsidR="0039531C" w:rsidRPr="001A332D" w:rsidRDefault="00A67526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Фактические</w:t>
            </w:r>
            <w:r w:rsidR="005A7AB8" w:rsidRPr="001A332D">
              <w:rPr>
                <w:lang w:val="ru-RU"/>
              </w:rPr>
              <w:t xml:space="preserve"> </w:t>
            </w:r>
            <w:r w:rsidR="005A7AB8" w:rsidRPr="001A332D">
              <w:rPr>
                <w:lang w:val="ru-RU"/>
              </w:rPr>
              <w:t>суммы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2D2C2B9" w14:textId="351BD823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17</w:t>
            </w:r>
            <w:r w:rsidR="00B67D71" w:rsidRPr="001A332D">
              <w:rPr>
                <w:color w:val="FF0000"/>
                <w:lang w:val="ru-RU"/>
              </w:rPr>
              <w:t> </w:t>
            </w:r>
            <w:r w:rsidRPr="001A332D">
              <w:rPr>
                <w:color w:val="FF0000"/>
                <w:lang w:val="ru-RU"/>
              </w:rPr>
              <w:t>116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A851476" w14:textId="062F9094" w:rsidR="0039531C" w:rsidRPr="001A332D" w:rsidRDefault="0039531C" w:rsidP="00FE0C08">
            <w:pPr>
              <w:pStyle w:val="Tabletext"/>
              <w:jc w:val="right"/>
              <w:rPr>
                <w:color w:val="00B050"/>
                <w:lang w:val="ru-RU"/>
              </w:rPr>
            </w:pPr>
            <w:r w:rsidRPr="001A332D">
              <w:rPr>
                <w:color w:val="00B050"/>
                <w:lang w:val="ru-RU"/>
              </w:rPr>
              <w:t>19</w:t>
            </w:r>
            <w:r w:rsidR="00B67D71" w:rsidRPr="001A332D">
              <w:rPr>
                <w:color w:val="00B050"/>
                <w:lang w:val="ru-RU"/>
              </w:rPr>
              <w:t> </w:t>
            </w:r>
            <w:r w:rsidRPr="001A332D">
              <w:rPr>
                <w:color w:val="00B050"/>
                <w:lang w:val="ru-RU"/>
              </w:rPr>
              <w:t>409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E6EEA3A" w14:textId="0AC4C0BC" w:rsidR="0039531C" w:rsidRPr="001A332D" w:rsidRDefault="0039531C" w:rsidP="00FE0C08">
            <w:pPr>
              <w:pStyle w:val="Tabletext"/>
              <w:jc w:val="right"/>
              <w:rPr>
                <w:color w:val="00B050"/>
                <w:lang w:val="ru-RU"/>
              </w:rPr>
            </w:pPr>
            <w:r w:rsidRPr="001A332D">
              <w:rPr>
                <w:color w:val="00B050"/>
                <w:lang w:val="ru-RU"/>
              </w:rPr>
              <w:t>15</w:t>
            </w:r>
            <w:r w:rsidR="00B67D71" w:rsidRPr="001A332D">
              <w:rPr>
                <w:color w:val="00B050"/>
                <w:lang w:val="ru-RU"/>
              </w:rPr>
              <w:t> </w:t>
            </w:r>
            <w:r w:rsidRPr="001A332D">
              <w:rPr>
                <w:color w:val="00B050"/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01C9A79" w14:textId="2D31D14A" w:rsidR="0039531C" w:rsidRPr="001A332D" w:rsidRDefault="0039531C" w:rsidP="00FE0C08">
            <w:pPr>
              <w:pStyle w:val="Tabletext"/>
              <w:jc w:val="right"/>
              <w:rPr>
                <w:color w:val="00B050"/>
                <w:lang w:val="ru-RU"/>
              </w:rPr>
            </w:pPr>
            <w:r w:rsidRPr="001A332D">
              <w:rPr>
                <w:color w:val="00B050"/>
                <w:lang w:val="ru-RU"/>
              </w:rPr>
              <w:t>15</w:t>
            </w:r>
            <w:r w:rsidR="008B725F" w:rsidRPr="001A332D">
              <w:rPr>
                <w:color w:val="00B050"/>
                <w:lang w:val="ru-RU"/>
              </w:rPr>
              <w:t> </w:t>
            </w:r>
            <w:r w:rsidRPr="001A332D">
              <w:rPr>
                <w:color w:val="00B050"/>
                <w:lang w:val="ru-RU"/>
              </w:rPr>
              <w:t>726</w:t>
            </w:r>
          </w:p>
        </w:tc>
      </w:tr>
      <w:tr w:rsidR="00F42B0B" w:rsidRPr="001A332D" w14:paraId="4493745E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D6EE"/>
            <w:noWrap/>
            <w:hideMark/>
          </w:tcPr>
          <w:p w14:paraId="66E71306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hideMark/>
          </w:tcPr>
          <w:p w14:paraId="49D1B8DA" w14:textId="2D991CF9" w:rsidR="0039531C" w:rsidRPr="001A332D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vAlign w:val="bottom"/>
            <w:hideMark/>
          </w:tcPr>
          <w:p w14:paraId="0DAD5DB6" w14:textId="352348ED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884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vAlign w:val="bottom"/>
            <w:hideMark/>
          </w:tcPr>
          <w:p w14:paraId="4EF0D2C7" w14:textId="77777777" w:rsidR="0039531C" w:rsidRPr="001A332D" w:rsidRDefault="0039531C" w:rsidP="00FE0C08">
            <w:pPr>
              <w:pStyle w:val="Tabletext"/>
              <w:jc w:val="right"/>
              <w:rPr>
                <w:b/>
                <w:bCs/>
                <w:color w:val="00B050"/>
                <w:lang w:val="ru-RU"/>
              </w:rPr>
            </w:pPr>
            <w:r w:rsidRPr="001A332D">
              <w:rPr>
                <w:b/>
                <w:bCs/>
                <w:color w:val="00B050"/>
                <w:lang w:val="ru-RU"/>
              </w:rPr>
              <w:t>409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EE"/>
            <w:noWrap/>
            <w:vAlign w:val="bottom"/>
            <w:hideMark/>
          </w:tcPr>
          <w:p w14:paraId="07D2F6F6" w14:textId="77777777" w:rsidR="0039531C" w:rsidRPr="001A332D" w:rsidRDefault="0039531C" w:rsidP="00FE0C08">
            <w:pPr>
              <w:pStyle w:val="Tabletext"/>
              <w:jc w:val="right"/>
              <w:rPr>
                <w:b/>
                <w:bCs/>
                <w:color w:val="00B050"/>
                <w:lang w:val="ru-RU"/>
              </w:rPr>
            </w:pPr>
            <w:r w:rsidRPr="001A332D">
              <w:rPr>
                <w:b/>
                <w:bCs/>
                <w:color w:val="00B050"/>
                <w:lang w:val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358E69A" w14:textId="497C88E7" w:rsidR="0039531C" w:rsidRPr="001A332D" w:rsidRDefault="0039531C" w:rsidP="00FE0C08">
            <w:pPr>
              <w:pStyle w:val="Tabletext"/>
              <w:jc w:val="right"/>
              <w:rPr>
                <w:b/>
                <w:bCs/>
                <w:color w:val="00B050"/>
                <w:lang w:val="ru-RU"/>
              </w:rPr>
            </w:pPr>
            <w:r w:rsidRPr="001A332D">
              <w:rPr>
                <w:b/>
                <w:bCs/>
                <w:color w:val="00B050"/>
                <w:lang w:val="ru-RU"/>
              </w:rPr>
              <w:t>226</w:t>
            </w:r>
          </w:p>
        </w:tc>
      </w:tr>
      <w:tr w:rsidR="00412B76" w:rsidRPr="001A332D" w14:paraId="7C9FF83C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A32D30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0959C8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C65B93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B3CB13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828C57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4EC9C9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412B76" w:rsidRPr="001A332D" w14:paraId="4A1383EB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733157D9" w14:textId="621DDC03" w:rsidR="0039531C" w:rsidRPr="001A332D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Доходы по линии вспомогательных затрат по</w:t>
            </w:r>
            <w:r w:rsidR="00A67526" w:rsidRPr="001A332D">
              <w:rPr>
                <w:b/>
                <w:bCs/>
                <w:lang w:val="ru-RU"/>
              </w:rPr>
              <w:t> </w:t>
            </w:r>
            <w:r w:rsidRPr="001A332D">
              <w:rPr>
                <w:b/>
                <w:bCs/>
                <w:lang w:val="ru-RU"/>
              </w:rPr>
              <w:t>проектам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47040AC1" w14:textId="588F58B6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2020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011D6FC0" w14:textId="29EDE717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2021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6154BFDC" w14:textId="1C94DB2F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2022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0B515416" w14:textId="5B4BD2DA" w:rsidR="0039531C" w:rsidRPr="001A332D" w:rsidRDefault="0039531C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2023</w:t>
            </w:r>
            <w:r w:rsidR="001846B9" w:rsidRPr="001A332D">
              <w:rPr>
                <w:b/>
                <w:bCs/>
                <w:i/>
                <w:iCs/>
                <w:lang w:val="ru-RU"/>
              </w:rPr>
              <w:t> г.</w:t>
            </w:r>
          </w:p>
        </w:tc>
      </w:tr>
      <w:tr w:rsidR="001846B9" w:rsidRPr="001A332D" w14:paraId="3012AC32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noWrap/>
            <w:hideMark/>
          </w:tcPr>
          <w:p w14:paraId="69B8A37D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6B64D96F" w14:textId="7740F3BD" w:rsidR="0039531C" w:rsidRPr="001A332D" w:rsidRDefault="00335048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6F66E2A" w14:textId="0725826F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6ECF809" w14:textId="1C93697D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BF41C47" w14:textId="3EFBD16D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375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EEDB3AB" w14:textId="3288D805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8B725F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375</w:t>
            </w:r>
          </w:p>
        </w:tc>
      </w:tr>
      <w:tr w:rsidR="001846B9" w:rsidRPr="001A332D" w14:paraId="10984C17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noWrap/>
            <w:hideMark/>
          </w:tcPr>
          <w:p w14:paraId="5764C46B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4FD016EF" w14:textId="77140631" w:rsidR="0039531C" w:rsidRPr="001A332D" w:rsidRDefault="00F1289E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D0CB566" w14:textId="13DE5B92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B97FD71" w14:textId="43E7E889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375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0E2CDC3" w14:textId="083BAC0A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7FC9977" w14:textId="4D6ED1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8B725F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000</w:t>
            </w:r>
          </w:p>
        </w:tc>
      </w:tr>
      <w:tr w:rsidR="001846B9" w:rsidRPr="001A332D" w14:paraId="2AB6DDDA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noWrap/>
            <w:hideMark/>
          </w:tcPr>
          <w:p w14:paraId="3DABCA60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14:paraId="027F8B50" w14:textId="17650028" w:rsidR="0039531C" w:rsidRPr="001A332D" w:rsidRDefault="00A67526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Фактические</w:t>
            </w:r>
            <w:r w:rsidR="005A7AB8" w:rsidRPr="001A332D">
              <w:rPr>
                <w:lang w:val="ru-RU"/>
              </w:rPr>
              <w:t xml:space="preserve"> </w:t>
            </w:r>
            <w:r w:rsidR="005A7AB8" w:rsidRPr="001A332D">
              <w:rPr>
                <w:lang w:val="ru-RU"/>
              </w:rPr>
              <w:t>суммы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21025A5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236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08123E0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724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54A3FBD" w14:textId="7DD6CDAE" w:rsidR="0039531C" w:rsidRPr="001A332D" w:rsidRDefault="00D86E9A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787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C7BF6C6" w14:textId="1E06B997" w:rsidR="0039531C" w:rsidRPr="001A332D" w:rsidRDefault="00D86E9A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1,133</w:t>
            </w:r>
          </w:p>
        </w:tc>
      </w:tr>
      <w:tr w:rsidR="00F42B0B" w:rsidRPr="001A332D" w14:paraId="129C16DB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AAF"/>
            <w:noWrap/>
            <w:hideMark/>
          </w:tcPr>
          <w:p w14:paraId="4469B874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hideMark/>
          </w:tcPr>
          <w:p w14:paraId="26D62630" w14:textId="284B4079" w:rsidR="0039531C" w:rsidRPr="001A332D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vAlign w:val="bottom"/>
            <w:hideMark/>
          </w:tcPr>
          <w:p w14:paraId="0083D66F" w14:textId="244FB22D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139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vAlign w:val="bottom"/>
            <w:hideMark/>
          </w:tcPr>
          <w:p w14:paraId="5CC60F61" w14:textId="7C0D732A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651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F"/>
            <w:noWrap/>
            <w:vAlign w:val="bottom"/>
            <w:hideMark/>
          </w:tcPr>
          <w:p w14:paraId="3548D8C7" w14:textId="076B5D79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D86E9A" w:rsidRPr="001A332D">
              <w:rPr>
                <w:b/>
                <w:bCs/>
                <w:color w:val="FF0000"/>
                <w:lang w:val="ru-RU"/>
              </w:rPr>
              <w:t>213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6B115BF" w14:textId="143E6D57" w:rsidR="0039531C" w:rsidRPr="001A332D" w:rsidRDefault="00D86E9A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133</w:t>
            </w:r>
          </w:p>
        </w:tc>
      </w:tr>
      <w:tr w:rsidR="00412B76" w:rsidRPr="001A332D" w14:paraId="7A99DED4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357E33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3758FA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5D23B9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302CD2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347277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183AF0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8B725F" w:rsidRPr="001A332D" w14:paraId="54FE7C04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F26E7E3" w14:textId="67A3B56B" w:rsidR="008B725F" w:rsidRPr="001A332D" w:rsidRDefault="008B725F" w:rsidP="00F42B0B">
            <w:pPr>
              <w:pStyle w:val="Tabletext"/>
              <w:rPr>
                <w:lang w:val="ru-RU"/>
              </w:rPr>
            </w:pPr>
            <w:r w:rsidRPr="001A332D">
              <w:rPr>
                <w:b/>
                <w:bCs/>
                <w:lang w:val="ru-RU"/>
              </w:rPr>
              <w:t>UIFN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29ABD21" w14:textId="0800493B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2020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5566C10" w14:textId="7F7DD92A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2021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F7C69D1" w14:textId="37546925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2022 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2F4661E" w14:textId="4AAE531D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2023 г.</w:t>
            </w:r>
          </w:p>
        </w:tc>
      </w:tr>
      <w:tr w:rsidR="001846B9" w:rsidRPr="001A332D" w14:paraId="2BAD2DF7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1E88D9B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18D3938" w14:textId="7D6F28DB" w:rsidR="0039531C" w:rsidRPr="001A332D" w:rsidRDefault="00335048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1D8DEE0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7EB26CC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33C177C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35DAC71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</w:tr>
      <w:tr w:rsidR="001846B9" w:rsidRPr="001A332D" w14:paraId="3E91CCEE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DC92F14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A1FDDA5" w14:textId="387C5C8A" w:rsidR="0039531C" w:rsidRPr="001A332D" w:rsidRDefault="00F1289E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386D271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644082C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AFA78FF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6008F99" w14:textId="77777777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500</w:t>
            </w:r>
          </w:p>
        </w:tc>
      </w:tr>
      <w:tr w:rsidR="001846B9" w:rsidRPr="001A332D" w14:paraId="628BA445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A6F92F6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565D2AB" w14:textId="26C765F1" w:rsidR="0039531C" w:rsidRPr="001A332D" w:rsidRDefault="00A67526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Фактические</w:t>
            </w:r>
            <w:r w:rsidR="005A7AB8" w:rsidRPr="001A332D">
              <w:rPr>
                <w:lang w:val="ru-RU"/>
              </w:rPr>
              <w:t xml:space="preserve"> </w:t>
            </w:r>
            <w:r w:rsidR="005A7AB8" w:rsidRPr="001A332D">
              <w:rPr>
                <w:lang w:val="ru-RU"/>
              </w:rPr>
              <w:t>суммы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E4FA1CB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254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FEC103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313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B3F68E1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300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AA762F1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335</w:t>
            </w:r>
          </w:p>
        </w:tc>
      </w:tr>
      <w:tr w:rsidR="001846B9" w:rsidRPr="001A332D" w14:paraId="1AAF3ABC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hideMark/>
          </w:tcPr>
          <w:p w14:paraId="2229DA69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14:paraId="3AACC4D6" w14:textId="7FB35666" w:rsidR="0039531C" w:rsidRPr="001A332D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10825A7" w14:textId="7098A696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246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0993E54" w14:textId="3066BCCA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187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1F8DB02" w14:textId="79C18A10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2F6A1F0" w14:textId="000C9B34" w:rsidR="0039531C" w:rsidRPr="001A332D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165</w:t>
            </w:r>
          </w:p>
        </w:tc>
      </w:tr>
      <w:tr w:rsidR="00412B76" w:rsidRPr="001A332D" w14:paraId="4EE92C37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1E7F78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0CF25E" w14:textId="77777777" w:rsidR="00412B76" w:rsidRPr="001A332D" w:rsidRDefault="00412B76" w:rsidP="00F42B0B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BAB679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F70DE1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DC6D58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5BA581" w14:textId="77777777" w:rsidR="00412B76" w:rsidRPr="001A332D" w:rsidRDefault="00412B76" w:rsidP="00176337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8B725F" w:rsidRPr="001A332D" w14:paraId="4211BBE1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78099A" w14:textId="3B579F51" w:rsidR="008B725F" w:rsidRPr="001A332D" w:rsidRDefault="008B725F" w:rsidP="00F42B0B">
            <w:pPr>
              <w:pStyle w:val="Tabletext"/>
              <w:rPr>
                <w:lang w:val="ru-RU"/>
              </w:rPr>
            </w:pPr>
            <w:r w:rsidRPr="001A332D">
              <w:rPr>
                <w:b/>
                <w:bCs/>
                <w:lang w:val="ru-RU"/>
              </w:rPr>
              <w:t>Telecom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152A3E" w14:textId="146B0ECC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2020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02696F" w14:textId="346C2A56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2021 г.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3AA27" w14:textId="521909C0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2022 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F38A69" w14:textId="290EB356" w:rsidR="008B725F" w:rsidRPr="001A332D" w:rsidRDefault="008B725F" w:rsidP="00E83DC3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1A332D">
              <w:rPr>
                <w:b/>
                <w:bCs/>
                <w:i/>
                <w:iCs/>
                <w:lang w:val="ru-RU"/>
              </w:rPr>
              <w:t>2023 г.</w:t>
            </w:r>
          </w:p>
        </w:tc>
      </w:tr>
      <w:tr w:rsidR="001846B9" w:rsidRPr="001A332D" w14:paraId="565A2914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61897F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E4900C" w14:textId="2992A2F8" w:rsidR="0039531C" w:rsidRPr="001A332D" w:rsidRDefault="00335048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Финансовый план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6FE12" w14:textId="4935B965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DA69F" w14:textId="49992782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DF070" w14:textId="3409F9C8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2DC7E2" w14:textId="7EB70695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5240F9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</w:tr>
      <w:tr w:rsidR="001846B9" w:rsidRPr="001A332D" w14:paraId="05E87BE9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E6C765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7C5372" w14:textId="3F3F3A84" w:rsidR="0039531C" w:rsidRPr="001A332D" w:rsidRDefault="00F1289E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9A0985" w14:textId="559D5822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6BE345" w14:textId="27AD8CF4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AB180" w14:textId="0B57066A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B67D71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78307A" w14:textId="4B0799F4" w:rsidR="0039531C" w:rsidRPr="001A332D" w:rsidRDefault="0039531C" w:rsidP="00FE0C08">
            <w:pPr>
              <w:pStyle w:val="Tabletext"/>
              <w:jc w:val="right"/>
              <w:rPr>
                <w:lang w:val="ru-RU"/>
              </w:rPr>
            </w:pPr>
            <w:r w:rsidRPr="001A332D">
              <w:rPr>
                <w:lang w:val="ru-RU"/>
              </w:rPr>
              <w:t>1</w:t>
            </w:r>
            <w:r w:rsidR="005240F9" w:rsidRPr="001A332D">
              <w:rPr>
                <w:lang w:val="ru-RU"/>
              </w:rPr>
              <w:t> </w:t>
            </w:r>
            <w:r w:rsidRPr="001A332D">
              <w:rPr>
                <w:lang w:val="ru-RU"/>
              </w:rPr>
              <w:t>500</w:t>
            </w:r>
          </w:p>
        </w:tc>
      </w:tr>
      <w:tr w:rsidR="001846B9" w:rsidRPr="001A332D" w14:paraId="2B6F339C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E646FA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3DBA8B" w14:textId="4361397E" w:rsidR="0039531C" w:rsidRPr="001A332D" w:rsidRDefault="00A67526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Фактические</w:t>
            </w:r>
            <w:r w:rsidR="005A7AB8" w:rsidRPr="001A332D">
              <w:rPr>
                <w:lang w:val="ru-RU"/>
              </w:rPr>
              <w:t xml:space="preserve"> </w:t>
            </w:r>
            <w:r w:rsidR="005A7AB8" w:rsidRPr="001A332D">
              <w:rPr>
                <w:lang w:val="ru-RU"/>
              </w:rPr>
              <w:t>суммы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A122E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84495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BC1BF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684B061" w14:textId="77777777" w:rsidR="0039531C" w:rsidRPr="001A332D" w:rsidRDefault="0039531C" w:rsidP="00FE0C08">
            <w:pPr>
              <w:pStyle w:val="Tabletext"/>
              <w:jc w:val="right"/>
              <w:rPr>
                <w:color w:val="FF0000"/>
                <w:lang w:val="ru-RU"/>
              </w:rPr>
            </w:pPr>
            <w:r w:rsidRPr="001A332D">
              <w:rPr>
                <w:color w:val="FF0000"/>
                <w:lang w:val="ru-RU"/>
              </w:rPr>
              <w:t>0</w:t>
            </w:r>
          </w:p>
        </w:tc>
      </w:tr>
      <w:tr w:rsidR="001846B9" w:rsidRPr="001A332D" w14:paraId="5CFD7657" w14:textId="77777777" w:rsidTr="00256422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41BAE41" w14:textId="77777777" w:rsidR="0039531C" w:rsidRPr="001A332D" w:rsidRDefault="0039531C" w:rsidP="00F42B0B">
            <w:pPr>
              <w:pStyle w:val="Tabletext"/>
              <w:rPr>
                <w:lang w:val="ru-RU"/>
              </w:rPr>
            </w:pPr>
            <w:r w:rsidRPr="001A332D">
              <w:rPr>
                <w:lang w:val="ru-RU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4F8D180" w14:textId="7B7A00FB" w:rsidR="0039531C" w:rsidRPr="001A332D" w:rsidRDefault="00432DEB" w:rsidP="00F42B0B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89E5D5" w14:textId="294DA276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42D70C" w14:textId="191A75A5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40C9D1" w14:textId="11C4D11F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500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088B2455" w14:textId="59825C42" w:rsidR="0039531C" w:rsidRPr="001A332D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</w:t>
            </w:r>
            <w:r w:rsidR="005240F9"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500</w:t>
            </w:r>
          </w:p>
        </w:tc>
      </w:tr>
      <w:tr w:rsidR="005240F9" w:rsidRPr="001A332D" w14:paraId="21078801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05B608" w14:textId="77777777" w:rsidR="005240F9" w:rsidRPr="001A332D" w:rsidRDefault="005240F9" w:rsidP="00176337">
            <w:pPr>
              <w:pStyle w:val="Tabletext"/>
              <w:spacing w:before="0" w:after="0" w:line="200" w:lineRule="exact"/>
              <w:rPr>
                <w:b/>
                <w:bCs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2527D2" w14:textId="77777777" w:rsidR="005240F9" w:rsidRPr="001A332D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759819" w14:textId="77777777" w:rsidR="005240F9" w:rsidRPr="001A332D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158FE2F" w14:textId="77777777" w:rsidR="005240F9" w:rsidRPr="001A332D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1BF15E" w14:textId="77777777" w:rsidR="005240F9" w:rsidRPr="001A332D" w:rsidRDefault="005240F9" w:rsidP="00FE0C08">
            <w:pPr>
              <w:pStyle w:val="Tabletext"/>
              <w:spacing w:before="0" w:after="0" w:line="200" w:lineRule="exact"/>
              <w:jc w:val="right"/>
              <w:rPr>
                <w:b/>
                <w:bCs/>
                <w:lang w:val="ru-RU"/>
              </w:rPr>
            </w:pPr>
          </w:p>
        </w:tc>
      </w:tr>
      <w:tr w:rsidR="005240F9" w:rsidRPr="001A332D" w14:paraId="690B4CEC" w14:textId="77777777" w:rsidTr="00256422">
        <w:trPr>
          <w:jc w:val="center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D5E0786" w14:textId="323CE9FF" w:rsidR="0039531C" w:rsidRPr="001A332D" w:rsidRDefault="00432DEB" w:rsidP="001846B9">
            <w:pPr>
              <w:pStyle w:val="Tabletext"/>
              <w:rPr>
                <w:b/>
                <w:bCs/>
                <w:lang w:val="ru-RU"/>
              </w:rPr>
            </w:pPr>
            <w:r w:rsidRPr="001A332D">
              <w:rPr>
                <w:b/>
                <w:bCs/>
                <w:lang w:val="ru-RU"/>
              </w:rPr>
              <w:t>Общее годовое расхождение с бюджетом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537CE3" w14:textId="3947FCFC" w:rsidR="0039531C" w:rsidRPr="001A332D" w:rsidRDefault="00E83DC3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6,669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EB0F2B" w14:textId="33B19CF7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6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39531C" w:rsidRPr="001A332D">
              <w:rPr>
                <w:b/>
                <w:bCs/>
                <w:color w:val="FF0000"/>
                <w:lang w:val="ru-RU"/>
              </w:rPr>
              <w:t>229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0B1C474" w14:textId="3755080C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221BA0" w:rsidRPr="001A332D">
              <w:rPr>
                <w:b/>
                <w:bCs/>
                <w:color w:val="FF0000"/>
                <w:lang w:val="ru-RU"/>
              </w:rPr>
              <w:t>6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221BA0" w:rsidRPr="001A332D">
              <w:rPr>
                <w:b/>
                <w:bCs/>
                <w:color w:val="FF0000"/>
                <w:lang w:val="ru-RU"/>
              </w:rPr>
              <w:t>913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6ECA7C31" w14:textId="275B9CF5" w:rsidR="0039531C" w:rsidRPr="001A332D" w:rsidRDefault="00B67D71" w:rsidP="00FE0C08">
            <w:pPr>
              <w:pStyle w:val="Tabletext"/>
              <w:jc w:val="right"/>
              <w:rPr>
                <w:b/>
                <w:bCs/>
                <w:color w:val="FF0000"/>
                <w:lang w:val="ru-RU"/>
              </w:rPr>
            </w:pPr>
            <w:r w:rsidRPr="001A332D">
              <w:rPr>
                <w:b/>
                <w:bCs/>
                <w:color w:val="FF0000"/>
                <w:lang w:val="ru-RU"/>
              </w:rPr>
              <w:t>–</w:t>
            </w:r>
            <w:r w:rsidR="0039531C" w:rsidRPr="001A332D">
              <w:rPr>
                <w:b/>
                <w:bCs/>
                <w:color w:val="FF0000"/>
                <w:lang w:val="ru-RU"/>
              </w:rPr>
              <w:t>11</w:t>
            </w:r>
            <w:r w:rsidRPr="001A332D">
              <w:rPr>
                <w:b/>
                <w:bCs/>
                <w:color w:val="FF0000"/>
                <w:lang w:val="ru-RU"/>
              </w:rPr>
              <w:t> </w:t>
            </w:r>
            <w:r w:rsidR="00221BA0" w:rsidRPr="001A332D">
              <w:rPr>
                <w:b/>
                <w:bCs/>
                <w:color w:val="FF0000"/>
                <w:lang w:val="ru-RU"/>
              </w:rPr>
              <w:t>306</w:t>
            </w:r>
          </w:p>
        </w:tc>
      </w:tr>
    </w:tbl>
    <w:p w14:paraId="771A0B36" w14:textId="747A1988" w:rsidR="00C64D9C" w:rsidRPr="001A332D" w:rsidRDefault="00BC234E" w:rsidP="00701A27">
      <w:pPr>
        <w:keepNext/>
        <w:spacing w:after="240"/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lastRenderedPageBreak/>
        <w:t xml:space="preserve">На диаграмме 1 ниже представлено в графической форме сравнение доходов по линии возмещения затрат между финансовым планом, бюджетом и фактическими </w:t>
      </w:r>
      <w:r w:rsidR="00176337" w:rsidRPr="001A332D">
        <w:rPr>
          <w:rFonts w:asciiTheme="minorHAnsi" w:hAnsiTheme="minorHAnsi" w:cstheme="minorHAnsi"/>
          <w:szCs w:val="24"/>
          <w:lang w:val="ru-RU"/>
        </w:rPr>
        <w:t>суммами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и прогнозом (линейный прогноз на 2023 г.) за период с 2020 по 2023</w:t>
      </w:r>
      <w:r w:rsidR="00E85FF4" w:rsidRPr="001A332D">
        <w:rPr>
          <w:rFonts w:asciiTheme="minorHAnsi" w:hAnsiTheme="minorHAnsi" w:cstheme="minorHAnsi"/>
          <w:szCs w:val="24"/>
          <w:lang w:val="ru-RU"/>
        </w:rPr>
        <w:t> год</w:t>
      </w:r>
      <w:r w:rsidRPr="001A332D">
        <w:rPr>
          <w:rFonts w:asciiTheme="minorHAnsi" w:hAnsiTheme="minorHAnsi" w:cstheme="minorHAnsi"/>
          <w:szCs w:val="24"/>
          <w:lang w:val="ru-RU"/>
        </w:rPr>
        <w:t>.</w:t>
      </w:r>
    </w:p>
    <w:p w14:paraId="05D9E7BA" w14:textId="5BA8DE5A" w:rsidR="00C64D9C" w:rsidRPr="001A332D" w:rsidRDefault="00A3197C" w:rsidP="00701A27">
      <w:pPr>
        <w:pStyle w:val="Tabletitle"/>
        <w:rPr>
          <w:color w:val="002060"/>
          <w:lang w:val="ru-RU"/>
        </w:rPr>
      </w:pPr>
      <w:r w:rsidRPr="001A332D">
        <w:rPr>
          <w:color w:val="002060"/>
          <w:lang w:val="ru-RU"/>
        </w:rPr>
        <w:t>Диаграмма</w:t>
      </w:r>
      <w:r w:rsidR="00C64D9C" w:rsidRPr="001A332D">
        <w:rPr>
          <w:color w:val="002060"/>
          <w:lang w:val="ru-RU"/>
        </w:rPr>
        <w:t xml:space="preserve"> 1 </w:t>
      </w:r>
      <w:r w:rsidR="00432DEB" w:rsidRPr="001A332D">
        <w:rPr>
          <w:color w:val="002060"/>
          <w:lang w:val="ru-RU"/>
        </w:rPr>
        <w:t>–</w:t>
      </w:r>
      <w:r w:rsidR="00C64D9C" w:rsidRPr="001A332D">
        <w:rPr>
          <w:color w:val="002060"/>
          <w:lang w:val="ru-RU"/>
        </w:rPr>
        <w:t xml:space="preserve"> </w:t>
      </w:r>
      <w:r w:rsidR="00432DEB" w:rsidRPr="001A332D">
        <w:rPr>
          <w:color w:val="002060"/>
          <w:lang w:val="ru-RU"/>
        </w:rPr>
        <w:t>Доходы по линии возмещения затрат за</w:t>
      </w:r>
      <w:r w:rsidR="00C64D9C" w:rsidRPr="001A332D">
        <w:rPr>
          <w:color w:val="002060"/>
          <w:lang w:val="ru-RU"/>
        </w:rPr>
        <w:t xml:space="preserve"> </w:t>
      </w:r>
      <w:r w:rsidR="00834F2C" w:rsidRPr="001A332D">
        <w:rPr>
          <w:color w:val="002060"/>
          <w:lang w:val="ru-RU"/>
        </w:rPr>
        <w:t xml:space="preserve">период </w:t>
      </w:r>
      <w:r w:rsidR="00C64D9C" w:rsidRPr="001A332D">
        <w:rPr>
          <w:color w:val="002060"/>
          <w:lang w:val="ru-RU"/>
        </w:rPr>
        <w:t>2020</w:t>
      </w:r>
      <w:r w:rsidR="00834F2C" w:rsidRPr="001A332D">
        <w:rPr>
          <w:color w:val="002060"/>
          <w:lang w:val="ru-RU"/>
        </w:rPr>
        <w:t>–</w:t>
      </w:r>
      <w:r w:rsidR="00C64D9C" w:rsidRPr="001A332D">
        <w:rPr>
          <w:color w:val="002060"/>
          <w:lang w:val="ru-RU"/>
        </w:rPr>
        <w:t>2023</w:t>
      </w:r>
      <w:r w:rsidR="00D772B4" w:rsidRPr="001A332D">
        <w:rPr>
          <w:color w:val="002060"/>
          <w:lang w:val="ru-RU"/>
        </w:rPr>
        <w:t> год</w:t>
      </w:r>
      <w:r w:rsidR="00834F2C" w:rsidRPr="001A332D">
        <w:rPr>
          <w:color w:val="002060"/>
          <w:lang w:val="ru-RU"/>
        </w:rPr>
        <w:t>ов</w:t>
      </w:r>
    </w:p>
    <w:p w14:paraId="139B7F2C" w14:textId="200EBA2A" w:rsidR="00C64D9C" w:rsidRPr="001A332D" w:rsidRDefault="00834F2C" w:rsidP="00701A27">
      <w:pPr>
        <w:pStyle w:val="Tabletitle"/>
        <w:rPr>
          <w:color w:val="002060"/>
          <w:lang w:val="ru-RU"/>
        </w:rPr>
      </w:pPr>
      <w:r w:rsidRPr="001A332D">
        <w:rPr>
          <w:color w:val="002060"/>
          <w:lang w:val="ru-RU"/>
        </w:rPr>
        <w:t>Сравнение ф</w:t>
      </w:r>
      <w:r w:rsidR="00335048" w:rsidRPr="001A332D">
        <w:rPr>
          <w:color w:val="002060"/>
          <w:lang w:val="ru-RU"/>
        </w:rPr>
        <w:t>инансов</w:t>
      </w:r>
      <w:r w:rsidRPr="001A332D">
        <w:rPr>
          <w:color w:val="002060"/>
          <w:lang w:val="ru-RU"/>
        </w:rPr>
        <w:t>ого</w:t>
      </w:r>
      <w:r w:rsidR="00335048" w:rsidRPr="001A332D">
        <w:rPr>
          <w:color w:val="002060"/>
          <w:lang w:val="ru-RU"/>
        </w:rPr>
        <w:t xml:space="preserve"> план</w:t>
      </w:r>
      <w:r w:rsidRPr="001A332D">
        <w:rPr>
          <w:color w:val="002060"/>
          <w:lang w:val="ru-RU"/>
        </w:rPr>
        <w:t>а</w:t>
      </w:r>
      <w:r w:rsidR="00C64D9C" w:rsidRPr="001A332D">
        <w:rPr>
          <w:color w:val="002060"/>
          <w:lang w:val="ru-RU"/>
        </w:rPr>
        <w:t xml:space="preserve">, </w:t>
      </w:r>
      <w:r w:rsidRPr="001A332D">
        <w:rPr>
          <w:color w:val="002060"/>
          <w:lang w:val="ru-RU"/>
        </w:rPr>
        <w:t>бюджета</w:t>
      </w:r>
      <w:r w:rsidR="00C64D9C" w:rsidRPr="001A332D">
        <w:rPr>
          <w:color w:val="002060"/>
          <w:lang w:val="ru-RU"/>
        </w:rPr>
        <w:t xml:space="preserve">, </w:t>
      </w:r>
      <w:r w:rsidRPr="001A332D">
        <w:rPr>
          <w:color w:val="002060"/>
          <w:lang w:val="ru-RU"/>
        </w:rPr>
        <w:t>фактических сумм и прогноза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4741"/>
      </w:tblGrid>
      <w:tr w:rsidR="00242B15" w:rsidRPr="001A332D" w14:paraId="6095E8D1" w14:textId="77777777" w:rsidTr="00242B15">
        <w:trPr>
          <w:trHeight w:val="2518"/>
          <w:jc w:val="center"/>
        </w:trPr>
        <w:tc>
          <w:tcPr>
            <w:tcW w:w="4642" w:type="dxa"/>
          </w:tcPr>
          <w:p w14:paraId="0E2D2E7A" w14:textId="5B223940" w:rsidR="00242B15" w:rsidRPr="001A332D" w:rsidRDefault="00242B15" w:rsidP="00242B15">
            <w:pPr>
              <w:spacing w:before="0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drawing>
                <wp:inline distT="0" distB="0" distL="0" distR="0" wp14:anchorId="3D67FA31" wp14:editId="081592A6">
                  <wp:extent cx="3143885" cy="1729931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516" cy="1739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</w:tcPr>
          <w:p w14:paraId="765CC8F2" w14:textId="4B094F83" w:rsidR="00242B15" w:rsidRPr="001A332D" w:rsidRDefault="00242B15" w:rsidP="00242B15">
            <w:pPr>
              <w:spacing w:before="0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drawing>
                <wp:inline distT="0" distB="0" distL="0" distR="0" wp14:anchorId="0AA66A90" wp14:editId="09A7A5A2">
                  <wp:extent cx="3063897" cy="173355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048" cy="174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B15" w:rsidRPr="001A332D" w14:paraId="3B74E94E" w14:textId="77777777" w:rsidTr="00242B15">
        <w:trPr>
          <w:trHeight w:val="2614"/>
          <w:jc w:val="center"/>
        </w:trPr>
        <w:tc>
          <w:tcPr>
            <w:tcW w:w="4642" w:type="dxa"/>
          </w:tcPr>
          <w:p w14:paraId="72119255" w14:textId="3BC6119B" w:rsidR="00242B15" w:rsidRPr="001A332D" w:rsidRDefault="00242B15" w:rsidP="00242B15">
            <w:pPr>
              <w:spacing w:before="0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drawing>
                <wp:inline distT="0" distB="0" distL="0" distR="0" wp14:anchorId="187740EC" wp14:editId="5A4A917D">
                  <wp:extent cx="3163220" cy="1782445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805" cy="1803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</w:tcPr>
          <w:p w14:paraId="2727C31D" w14:textId="1CEBC93C" w:rsidR="00242B15" w:rsidRPr="001A332D" w:rsidRDefault="00242B15" w:rsidP="00242B15">
            <w:pPr>
              <w:spacing w:before="0"/>
              <w:jc w:val="center"/>
              <w:rPr>
                <w:lang w:val="ru-RU"/>
              </w:rPr>
            </w:pPr>
            <w:r w:rsidRPr="001A332D">
              <w:rPr>
                <w:lang w:val="ru-RU"/>
              </w:rPr>
              <w:drawing>
                <wp:inline distT="0" distB="0" distL="0" distR="0" wp14:anchorId="32EA735A" wp14:editId="751D81EE">
                  <wp:extent cx="3003550" cy="1782982"/>
                  <wp:effectExtent l="0" t="0" r="635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792" cy="1797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890BB" w14:textId="3A439CB0" w:rsidR="00002491" w:rsidRPr="001A332D" w:rsidRDefault="00002491" w:rsidP="00002491">
      <w:pPr>
        <w:jc w:val="center"/>
        <w:rPr>
          <w:lang w:val="ru-RU"/>
        </w:rPr>
      </w:pPr>
    </w:p>
    <w:p w14:paraId="7CE9A907" w14:textId="7CDEA271" w:rsidR="00C64D9C" w:rsidRPr="001A332D" w:rsidRDefault="00C64D9C" w:rsidP="00C64D9C">
      <w:pPr>
        <w:pStyle w:val="Heading1"/>
        <w:rPr>
          <w:lang w:val="ru-RU"/>
        </w:rPr>
      </w:pPr>
      <w:r w:rsidRPr="001A332D">
        <w:rPr>
          <w:lang w:val="ru-RU"/>
        </w:rPr>
        <w:t>4</w:t>
      </w:r>
      <w:r w:rsidRPr="001A332D">
        <w:rPr>
          <w:lang w:val="ru-RU"/>
        </w:rPr>
        <w:tab/>
      </w:r>
      <w:r w:rsidR="002853C9" w:rsidRPr="001A332D">
        <w:rPr>
          <w:lang w:val="ru-RU"/>
        </w:rPr>
        <w:t xml:space="preserve">Запланированный уровень доходов на </w:t>
      </w:r>
      <w:r w:rsidRPr="001A332D">
        <w:rPr>
          <w:lang w:val="ru-RU"/>
        </w:rPr>
        <w:t>2022</w:t>
      </w:r>
      <w:r w:rsidR="00E85FF4" w:rsidRPr="001A332D">
        <w:rPr>
          <w:lang w:val="ru-RU"/>
        </w:rPr>
        <w:t> год</w:t>
      </w:r>
    </w:p>
    <w:p w14:paraId="2B0661B6" w14:textId="2C4EC726" w:rsidR="00C64D9C" w:rsidRPr="001A332D" w:rsidRDefault="00540059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В любом бюджете суммы, указанные в </w:t>
      </w:r>
      <w:r w:rsidR="00781667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его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расходной части, гарантируются суммами, указанными в</w:t>
      </w:r>
      <w:r w:rsidR="00533789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его доходной части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. </w:t>
      </w:r>
      <w:r w:rsidR="00781667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Если предусмотренные в бюджете доходы не реализуются полностью, бюджет расходов должен быть уменьшен пропорционально.</w:t>
      </w:r>
    </w:p>
    <w:p w14:paraId="2EDF59D0" w14:textId="561EEF96" w:rsidR="00C64D9C" w:rsidRPr="001A332D" w:rsidRDefault="00E85FF4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Прогнозируемый дефицит доходов п</w:t>
      </w:r>
      <w:r w:rsidR="00781667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о состоянию на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650BF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15</w:t>
      </w:r>
      <w:r w:rsidR="00781667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="00650BF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сентября</w:t>
      </w:r>
      <w:r w:rsidR="00781667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2022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год</w:t>
      </w:r>
      <w:r w:rsidR="00781667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а</w:t>
      </w:r>
      <w:r w:rsidR="00F37B6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составляет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091A7F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–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6</w:t>
      </w:r>
      <w:r w:rsidR="00F37B6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558</w:t>
      </w:r>
      <w:r w:rsidR="00F37B6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млн. швейцарских франков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.</w:t>
      </w:r>
    </w:p>
    <w:p w14:paraId="49853A1B" w14:textId="49A406C5" w:rsidR="00C64D9C" w:rsidRPr="001A332D" w:rsidRDefault="00E85FF4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Прогнозируемый уровень доходов на 2022 год по состоянию на </w:t>
      </w:r>
      <w:r w:rsidR="00650BF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15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="00650BF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сентября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2022 года составляет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95</w:t>
      </w:r>
      <w:r w:rsidR="00E90D44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,</w:t>
      </w:r>
      <w:r w:rsidR="00650BF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99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процента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.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Это означает, что </w:t>
      </w:r>
      <w:r w:rsidR="0033161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только 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95</w:t>
      </w:r>
      <w:r w:rsidR="0033161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,</w:t>
      </w:r>
      <w:r w:rsidR="0039533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99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="0033161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процента предусмотренных в бюджете расходов могут быть покрыты за счет имеющихся доходов, так как результат исполнения бюджета должен сохранят</w:t>
      </w:r>
      <w:r w:rsidR="0057766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ь</w:t>
      </w:r>
      <w:r w:rsidR="0033161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ся положительным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.</w:t>
      </w:r>
    </w:p>
    <w:p w14:paraId="17130AD5" w14:textId="10E12E52" w:rsidR="00C64D9C" w:rsidRPr="001A332D" w:rsidRDefault="00577660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Ввиду того, что доход</w:t>
      </w:r>
      <w:r w:rsidR="000405DA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ы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явля</w:t>
      </w:r>
      <w:r w:rsidR="000405DA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ю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тся </w:t>
      </w:r>
      <w:r w:rsidR="000405DA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общими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для Союза, этот уровень применяется единообразно по</w:t>
      </w:r>
      <w:r w:rsidR="00533789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всему Союзу, в таблице 1</w:t>
      </w:r>
      <w:r w:rsidRPr="001A332D">
        <w:rPr>
          <w:rFonts w:asciiTheme="minorHAnsi" w:hAnsiTheme="minorHAnsi" w:cstheme="minorHAnsi"/>
          <w:i/>
          <w:iCs/>
          <w:color w:val="000000" w:themeColor="text1"/>
          <w:szCs w:val="24"/>
          <w:lang w:val="ru-RU"/>
        </w:rPr>
        <w:t>bis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показаны пределы/целевые показатели (столбец a) по Секторам для исполнения бюджета на 2022 год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и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указаны 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(столбец c)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сокращения, которые необходимо будет произвести до конц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а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2022 года, </w:t>
      </w:r>
      <w:r w:rsidR="001E7FF8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с тем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чтобы 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обеспечить соответствие этим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ограничения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м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/целевы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м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показател</w:t>
      </w:r>
      <w:r w:rsidR="007E1A4B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ям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и оставаться в рамках бюджета.</w:t>
      </w:r>
    </w:p>
    <w:p w14:paraId="14056143" w14:textId="553F9C1E" w:rsidR="00345C6D" w:rsidRPr="001A332D" w:rsidRDefault="00345C6D" w:rsidP="00701A27">
      <w:pPr>
        <w:overflowPunct/>
        <w:autoSpaceDE/>
        <w:autoSpaceDN/>
        <w:adjustRightInd/>
        <w:snapToGrid w:val="0"/>
        <w:spacing w:after="240"/>
        <w:textAlignment w:val="auto"/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Во избежание</w:t>
      </w:r>
      <w:r w:rsidR="00907E48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применения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подхода </w:t>
      </w:r>
      <w:r w:rsidR="003D4C0E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на основе принципа пропорциональности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(введение пропорционального сокращения бюджета по всем </w:t>
      </w:r>
      <w:r w:rsidR="001A2D19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позициям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) экономия будет определ</w:t>
      </w:r>
      <w:r w:rsidR="001A2D19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яться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на основе ресурсов, </w:t>
      </w:r>
      <w:r w:rsidR="001E7FF8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требуемых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для реализации основных и обязательных видов деятельности,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которые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необходимы 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МСЭ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для выполн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ения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сво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ей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мисси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и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и поддерж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ки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своих членов. Другие виды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lastRenderedPageBreak/>
        <w:t xml:space="preserve">деятельности будут 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распределены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в порядке 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значимости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для член</w:t>
      </w:r>
      <w:r w:rsidR="001A2D19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ов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, и </w:t>
      </w:r>
      <w:r w:rsidR="001E7FF8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ресурсы 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для них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будут выдел</w:t>
      </w:r>
      <w:r w:rsidR="001A2D19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яться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8E10C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при условии наличия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.</w:t>
      </w:r>
    </w:p>
    <w:p w14:paraId="6001E8EA" w14:textId="72B8333D" w:rsidR="00C6245A" w:rsidRPr="001A332D" w:rsidRDefault="002D7367" w:rsidP="00701A27">
      <w:pPr>
        <w:pStyle w:val="Tabletitle"/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color w:val="002060"/>
          <w:lang w:val="ru-RU"/>
        </w:rPr>
        <w:t>Таблица</w:t>
      </w:r>
      <w:r w:rsidR="00701A27" w:rsidRPr="001A332D">
        <w:rPr>
          <w:color w:val="002060"/>
          <w:lang w:val="ru-RU"/>
        </w:rPr>
        <w:t xml:space="preserve"> 1</w:t>
      </w:r>
      <w:r w:rsidR="00701A27" w:rsidRPr="001A332D">
        <w:rPr>
          <w:i/>
          <w:iCs/>
          <w:color w:val="002060"/>
          <w:lang w:val="ru-RU"/>
        </w:rPr>
        <w:t>bis</w:t>
      </w:r>
      <w:r w:rsidR="00701A27" w:rsidRPr="001A332D">
        <w:rPr>
          <w:color w:val="002060"/>
          <w:lang w:val="ru-RU"/>
        </w:rPr>
        <w:t xml:space="preserve"> – </w:t>
      </w:r>
      <w:r w:rsidRPr="001A332D">
        <w:rPr>
          <w:color w:val="002060"/>
          <w:lang w:val="ru-RU"/>
        </w:rPr>
        <w:t xml:space="preserve">Финансовый отчет по состоянию на </w:t>
      </w:r>
      <w:r w:rsidR="00960C8A" w:rsidRPr="001A332D">
        <w:rPr>
          <w:color w:val="002060"/>
          <w:lang w:val="ru-RU"/>
        </w:rPr>
        <w:t>15</w:t>
      </w:r>
      <w:r w:rsidR="00701A27" w:rsidRPr="001A332D">
        <w:rPr>
          <w:color w:val="002060"/>
          <w:lang w:val="ru-RU"/>
        </w:rPr>
        <w:t xml:space="preserve"> </w:t>
      </w:r>
      <w:r w:rsidR="00960C8A" w:rsidRPr="001A332D">
        <w:rPr>
          <w:color w:val="002060"/>
          <w:lang w:val="ru-RU"/>
        </w:rPr>
        <w:t>сентября</w:t>
      </w:r>
      <w:r w:rsidR="00701A27" w:rsidRPr="001A332D">
        <w:rPr>
          <w:color w:val="002060"/>
          <w:lang w:val="ru-RU"/>
        </w:rPr>
        <w:t xml:space="preserve"> 2022</w:t>
      </w:r>
      <w:r w:rsidR="00E85FF4" w:rsidRPr="001A332D">
        <w:rPr>
          <w:color w:val="002060"/>
          <w:lang w:val="ru-RU"/>
        </w:rPr>
        <w:t> год</w:t>
      </w:r>
      <w:r w:rsidRPr="001A332D">
        <w:rPr>
          <w:color w:val="002060"/>
          <w:lang w:val="ru-RU"/>
        </w:rPr>
        <w:t>а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1003"/>
        <w:gridCol w:w="998"/>
        <w:gridCol w:w="1273"/>
        <w:gridCol w:w="1248"/>
        <w:gridCol w:w="1207"/>
      </w:tblGrid>
      <w:tr w:rsidR="00701A27" w:rsidRPr="001A332D" w14:paraId="310FB865" w14:textId="77777777" w:rsidTr="00091A7F">
        <w:trPr>
          <w:trHeight w:val="367"/>
          <w:jc w:val="center"/>
        </w:trPr>
        <w:tc>
          <w:tcPr>
            <w:tcW w:w="2075" w:type="pct"/>
            <w:noWrap/>
            <w:hideMark/>
          </w:tcPr>
          <w:p w14:paraId="1AA23182" w14:textId="18A30501" w:rsidR="00701A27" w:rsidRPr="001A332D" w:rsidRDefault="001E7FF8" w:rsidP="0073543B">
            <w:pP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Расходы по Секторам</w:t>
            </w:r>
          </w:p>
        </w:tc>
        <w:tc>
          <w:tcPr>
            <w:tcW w:w="2925" w:type="pct"/>
            <w:gridSpan w:val="5"/>
            <w:noWrap/>
            <w:hideMark/>
          </w:tcPr>
          <w:p w14:paraId="575A29A0" w14:textId="03380EB7" w:rsidR="00701A27" w:rsidRPr="001A332D" w:rsidRDefault="00761443" w:rsidP="00091A7F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="Helv" w:hAnsi="Helv"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5B4A41" wp14:editId="5DA97152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207010</wp:posOffset>
                      </wp:positionV>
                      <wp:extent cx="809625" cy="2447925"/>
                      <wp:effectExtent l="0" t="0" r="28575" b="28575"/>
                      <wp:wrapNone/>
                      <wp:docPr id="40" name="Rectangle: Rounded Corner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447925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43636" id="Rectangle: Rounded Corners 40" o:spid="_x0000_s1026" style="position:absolute;margin-left:94.9pt;margin-top:16.3pt;width:63.75pt;height:19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" filled="f" strokecolor="#0070c0" strokeweight="1pt"/>
                  </w:pict>
                </mc:Fallback>
              </mc:AlternateContent>
            </w:r>
            <w:r w:rsidR="0073543B" w:rsidRPr="001A332D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  <w:lang w:val="ru-RU"/>
              </w:rPr>
              <w:t>тыс. шв. фр.</w:t>
            </w:r>
          </w:p>
        </w:tc>
      </w:tr>
      <w:tr w:rsidR="00701A27" w:rsidRPr="001A332D" w14:paraId="2C9144D4" w14:textId="77777777" w:rsidTr="007620FE">
        <w:trPr>
          <w:trHeight w:val="240"/>
          <w:jc w:val="center"/>
        </w:trPr>
        <w:tc>
          <w:tcPr>
            <w:tcW w:w="2075" w:type="pct"/>
            <w:noWrap/>
            <w:hideMark/>
          </w:tcPr>
          <w:p w14:paraId="64F7CE41" w14:textId="77777777" w:rsidR="00701A27" w:rsidRPr="001A332D" w:rsidRDefault="00701A27" w:rsidP="002D7367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pct"/>
            <w:noWrap/>
            <w:hideMark/>
          </w:tcPr>
          <w:p w14:paraId="11B06D88" w14:textId="77777777" w:rsidR="00701A27" w:rsidRPr="001A332D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564" w:type="pct"/>
            <w:noWrap/>
            <w:hideMark/>
          </w:tcPr>
          <w:p w14:paraId="3866ACAF" w14:textId="77777777" w:rsidR="00701A27" w:rsidRPr="001A332D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hideMark/>
          </w:tcPr>
          <w:p w14:paraId="55FB8AD7" w14:textId="78C6F1D2" w:rsidR="00701A27" w:rsidRPr="001A332D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c</w:t>
            </w:r>
            <w:r w:rsidR="002D7367"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=</w:t>
            </w:r>
            <w:r w:rsidR="002D7367"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a</w:t>
            </w:r>
            <w:r w:rsidR="002D7367"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 xml:space="preserve"> – </w:t>
            </w: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477" w:type="pc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hideMark/>
          </w:tcPr>
          <w:p w14:paraId="2E0A4F12" w14:textId="77777777" w:rsidR="00701A27" w:rsidRPr="001A332D" w:rsidRDefault="00701A27" w:rsidP="002D7367">
            <w:pPr>
              <w:pStyle w:val="Tabletext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i/>
                <w:iCs/>
                <w:color w:val="FF0000"/>
                <w:sz w:val="18"/>
                <w:szCs w:val="18"/>
                <w:lang w:val="ru-RU"/>
              </w:rPr>
              <w:t>a'</w:t>
            </w:r>
          </w:p>
        </w:tc>
        <w:tc>
          <w:tcPr>
            <w:tcW w:w="623" w:type="pc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hideMark/>
          </w:tcPr>
          <w:p w14:paraId="5C882DC5" w14:textId="7DAD34A9" w:rsidR="00701A27" w:rsidRPr="001A332D" w:rsidRDefault="00701A27" w:rsidP="002D7367">
            <w:pPr>
              <w:pStyle w:val="Tabletext"/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c'</w:t>
            </w:r>
            <w:r w:rsidR="002D7367"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=</w:t>
            </w:r>
            <w:r w:rsidR="002D7367"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b</w:t>
            </w:r>
            <w:r w:rsidR="002D7367"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 xml:space="preserve"> – </w:t>
            </w: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a'</w:t>
            </w:r>
          </w:p>
        </w:tc>
      </w:tr>
      <w:tr w:rsidR="002D7367" w:rsidRPr="001A332D" w14:paraId="2DF56721" w14:textId="77777777" w:rsidTr="007620FE">
        <w:trPr>
          <w:trHeight w:val="255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5C0A412C" w14:textId="77777777" w:rsidR="002D7367" w:rsidRPr="001A332D" w:rsidRDefault="002D7367" w:rsidP="002D7367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hideMark/>
          </w:tcPr>
          <w:p w14:paraId="10730BC1" w14:textId="40D1DD03" w:rsidR="002D7367" w:rsidRPr="001A332D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564" w:type="pct"/>
            <w:noWrap/>
            <w:hideMark/>
          </w:tcPr>
          <w:p w14:paraId="2896ABA1" w14:textId="7E16E006" w:rsidR="002D7367" w:rsidRPr="001A332D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Прогноз</w:t>
            </w:r>
            <w:r w:rsidR="004C31DA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br/>
            </w: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на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hideMark/>
          </w:tcPr>
          <w:p w14:paraId="37430207" w14:textId="14EF16EF" w:rsidR="002D7367" w:rsidRPr="001A332D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hideMark/>
          </w:tcPr>
          <w:p w14:paraId="20B18569" w14:textId="68E70918" w:rsidR="002D7367" w:rsidRPr="001A332D" w:rsidRDefault="000405DA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ЦЕЛЕВОЙ</w:t>
            </w: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br/>
              <w:t>ПОКАЗАТЕЛЬ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hideMark/>
          </w:tcPr>
          <w:p w14:paraId="5557CFD4" w14:textId="0C875E3F" w:rsidR="002D7367" w:rsidRPr="001A332D" w:rsidRDefault="007E1A4B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 xml:space="preserve">Экономия, </w:t>
            </w: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br/>
              <w:t xml:space="preserve">которую </w:t>
            </w:r>
          </w:p>
        </w:tc>
      </w:tr>
      <w:tr w:rsidR="00701A27" w:rsidRPr="001A332D" w14:paraId="011A902A" w14:textId="77777777" w:rsidTr="007620FE">
        <w:trPr>
          <w:trHeight w:val="255"/>
          <w:jc w:val="center"/>
        </w:trPr>
        <w:tc>
          <w:tcPr>
            <w:tcW w:w="2075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3A822AD7" w14:textId="3D8E97E3" w:rsidR="00701A27" w:rsidRPr="001A332D" w:rsidRDefault="00701A27" w:rsidP="002D7367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pct"/>
            <w:tcBorders>
              <w:left w:val="dashSmallGap" w:sz="12" w:space="0" w:color="0070C0"/>
              <w:bottom w:val="single" w:sz="4" w:space="0" w:color="auto"/>
            </w:tcBorders>
            <w:hideMark/>
          </w:tcPr>
          <w:p w14:paraId="2EB24962" w14:textId="1A061244" w:rsidR="00701A27" w:rsidRPr="001A332D" w:rsidRDefault="00701A2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2D7367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hideMark/>
          </w:tcPr>
          <w:p w14:paraId="08B5EED3" w14:textId="59CE9345" w:rsidR="00701A27" w:rsidRPr="001A332D" w:rsidRDefault="002D736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конец</w:t>
            </w:r>
            <w:r w:rsidR="00701A27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 2022</w:t>
            </w: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694" w:type="pct"/>
            <w:tcBorders>
              <w:bottom w:val="single" w:sz="4" w:space="0" w:color="auto"/>
              <w:right w:val="single" w:sz="12" w:space="0" w:color="FF0000"/>
            </w:tcBorders>
            <w:hideMark/>
          </w:tcPr>
          <w:p w14:paraId="4697CD4C" w14:textId="40319288" w:rsidR="00701A27" w:rsidRPr="001A332D" w:rsidRDefault="00701A27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>2022</w:t>
            </w:r>
            <w:r w:rsidR="002D7367" w:rsidRPr="001A332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477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6DD9FF"/>
            <w:hideMark/>
          </w:tcPr>
          <w:p w14:paraId="48ABC2BD" w14:textId="6BC28D80" w:rsidR="00701A27" w:rsidRPr="001A332D" w:rsidRDefault="000405DA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 xml:space="preserve">на </w:t>
            </w:r>
            <w:r w:rsidR="00701A27"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2022</w:t>
            </w:r>
            <w:r w:rsidR="002D7367"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623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00"/>
            <w:hideMark/>
          </w:tcPr>
          <w:p w14:paraId="005A963E" w14:textId="3430D6E6" w:rsidR="00701A27" w:rsidRPr="001A332D" w:rsidRDefault="001E7FF8" w:rsidP="002D736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необходимо</w:t>
            </w:r>
            <w:r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="007E1A4B" w:rsidRPr="001A332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/>
              </w:rPr>
              <w:t>обеспечить</w:t>
            </w:r>
          </w:p>
        </w:tc>
      </w:tr>
      <w:tr w:rsidR="00E90D44" w:rsidRPr="001A332D" w14:paraId="76023975" w14:textId="77777777" w:rsidTr="007620FE">
        <w:trPr>
          <w:trHeight w:val="240"/>
          <w:jc w:val="center"/>
        </w:trPr>
        <w:tc>
          <w:tcPr>
            <w:tcW w:w="2075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225A5B1E" w14:textId="4A0F9211" w:rsidR="00E90D44" w:rsidRPr="001A332D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1 – </w:t>
            </w:r>
            <w:r w:rsidRPr="001A332D">
              <w:rPr>
                <w:sz w:val="18"/>
                <w:szCs w:val="18"/>
                <w:lang w:val="ru-RU"/>
              </w:rPr>
              <w:t>Генеральный</w:t>
            </w: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секретариат</w:t>
            </w:r>
          </w:p>
        </w:tc>
        <w:tc>
          <w:tcPr>
            <w:tcW w:w="567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7F6661BD" w14:textId="2A20A315" w:rsidR="00E90D44" w:rsidRPr="001A332D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91 980</w:t>
            </w:r>
          </w:p>
        </w:tc>
        <w:tc>
          <w:tcPr>
            <w:tcW w:w="564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5C099AE" w14:textId="29910006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87 879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18D4722B" w14:textId="290955A1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4 101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292C99D0" w14:textId="786BDD35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88 294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2F159143" w14:textId="5669AEA8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–415</w:t>
            </w:r>
          </w:p>
        </w:tc>
      </w:tr>
      <w:tr w:rsidR="00E90D44" w:rsidRPr="001A332D" w14:paraId="2BA50B0D" w14:textId="77777777" w:rsidTr="007620FE">
        <w:trPr>
          <w:trHeight w:val="240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796C6F18" w14:textId="4DDE0354" w:rsidR="00E90D44" w:rsidRPr="001A332D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2 – </w:t>
            </w:r>
            <w:r w:rsidRPr="001A332D">
              <w:rPr>
                <w:sz w:val="18"/>
                <w:szCs w:val="18"/>
                <w:lang w:val="ru-RU"/>
              </w:rPr>
              <w:t>Сектор</w:t>
            </w: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радиосвязи</w:t>
            </w: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4FEEE4CD" w14:textId="123FAA32" w:rsidR="00E90D44" w:rsidRPr="001A332D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28 883</w:t>
            </w:r>
          </w:p>
        </w:tc>
        <w:tc>
          <w:tcPr>
            <w:tcW w:w="564" w:type="pct"/>
            <w:noWrap/>
            <w:vAlign w:val="bottom"/>
            <w:hideMark/>
          </w:tcPr>
          <w:p w14:paraId="1ACC7AB2" w14:textId="1CE108B4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28 784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vAlign w:val="bottom"/>
            <w:hideMark/>
          </w:tcPr>
          <w:p w14:paraId="318BB98F" w14:textId="07BB84E2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99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85A73F2" w14:textId="2854452B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27 726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211EF251" w14:textId="296F64E9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1 058</w:t>
            </w:r>
          </w:p>
        </w:tc>
      </w:tr>
      <w:tr w:rsidR="00E90D44" w:rsidRPr="001A332D" w14:paraId="6C7D0519" w14:textId="77777777" w:rsidTr="007620FE">
        <w:trPr>
          <w:trHeight w:val="240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0DD378B6" w14:textId="03C730FE" w:rsidR="00E90D44" w:rsidRPr="001A332D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 – Сектор стандартизации электросвязи</w:t>
            </w: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04CAA813" w14:textId="211AE22C" w:rsidR="00E90D44" w:rsidRPr="001A332D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13 894</w:t>
            </w:r>
          </w:p>
        </w:tc>
        <w:tc>
          <w:tcPr>
            <w:tcW w:w="564" w:type="pct"/>
            <w:noWrap/>
            <w:vAlign w:val="bottom"/>
            <w:hideMark/>
          </w:tcPr>
          <w:p w14:paraId="6D9E9F17" w14:textId="73A4812C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13 476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vAlign w:val="bottom"/>
            <w:hideMark/>
          </w:tcPr>
          <w:p w14:paraId="794A2C6A" w14:textId="2632D8FF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419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2D96D07A" w14:textId="5853A251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13 337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0DC89670" w14:textId="46878F63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138</w:t>
            </w:r>
          </w:p>
        </w:tc>
      </w:tr>
      <w:tr w:rsidR="00E90D44" w:rsidRPr="001A332D" w14:paraId="3D7B45F2" w14:textId="77777777" w:rsidTr="007620FE">
        <w:trPr>
          <w:trHeight w:val="240"/>
          <w:jc w:val="center"/>
        </w:trPr>
        <w:tc>
          <w:tcPr>
            <w:tcW w:w="2075" w:type="pct"/>
            <w:tcBorders>
              <w:right w:val="dashSmallGap" w:sz="12" w:space="0" w:color="0070C0"/>
            </w:tcBorders>
            <w:noWrap/>
            <w:hideMark/>
          </w:tcPr>
          <w:p w14:paraId="1C3791FB" w14:textId="67096235" w:rsidR="00E90D44" w:rsidRPr="001A332D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4 – </w:t>
            </w:r>
            <w:r w:rsidR="00335048" w:rsidRPr="001A332D">
              <w:rPr>
                <w:sz w:val="18"/>
                <w:szCs w:val="18"/>
                <w:lang w:val="ru-RU"/>
              </w:rPr>
              <w:t>Сектор развития электросвязи</w:t>
            </w:r>
          </w:p>
        </w:tc>
        <w:tc>
          <w:tcPr>
            <w:tcW w:w="567" w:type="pct"/>
            <w:tcBorders>
              <w:left w:val="dashSmallGap" w:sz="12" w:space="0" w:color="0070C0"/>
            </w:tcBorders>
            <w:noWrap/>
            <w:vAlign w:val="bottom"/>
            <w:hideMark/>
          </w:tcPr>
          <w:p w14:paraId="1AE8138A" w14:textId="124521DD" w:rsidR="00E90D44" w:rsidRPr="001A332D" w:rsidRDefault="00960C8A" w:rsidP="00960C8A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28 484</w:t>
            </w:r>
          </w:p>
        </w:tc>
        <w:tc>
          <w:tcPr>
            <w:tcW w:w="564" w:type="pct"/>
            <w:noWrap/>
            <w:vAlign w:val="bottom"/>
            <w:hideMark/>
          </w:tcPr>
          <w:p w14:paraId="5442684D" w14:textId="0130E3AC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28 016</w:t>
            </w:r>
          </w:p>
        </w:tc>
        <w:tc>
          <w:tcPr>
            <w:tcW w:w="694" w:type="pct"/>
            <w:tcBorders>
              <w:right w:val="single" w:sz="12" w:space="0" w:color="FF0000"/>
            </w:tcBorders>
            <w:noWrap/>
            <w:vAlign w:val="bottom"/>
            <w:hideMark/>
          </w:tcPr>
          <w:p w14:paraId="12A843A4" w14:textId="57200581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468</w:t>
            </w:r>
          </w:p>
        </w:tc>
        <w:tc>
          <w:tcPr>
            <w:tcW w:w="477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C37B31B" w14:textId="22E43C80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27 343</w:t>
            </w:r>
          </w:p>
        </w:tc>
        <w:tc>
          <w:tcPr>
            <w:tcW w:w="623" w:type="pct"/>
            <w:tcBorders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5FDF0C6A" w14:textId="33470495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673</w:t>
            </w:r>
          </w:p>
        </w:tc>
      </w:tr>
      <w:tr w:rsidR="00E90D44" w:rsidRPr="001A332D" w14:paraId="19B7925D" w14:textId="77777777" w:rsidTr="007620FE">
        <w:trPr>
          <w:trHeight w:val="240"/>
          <w:jc w:val="center"/>
        </w:trPr>
        <w:tc>
          <w:tcPr>
            <w:tcW w:w="2075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29268185" w14:textId="64EDE395" w:rsidR="00E90D44" w:rsidRPr="001A332D" w:rsidRDefault="00E90D44" w:rsidP="00E90D4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5 – Кризисное управление при COVID-19</w:t>
            </w:r>
          </w:p>
        </w:tc>
        <w:tc>
          <w:tcPr>
            <w:tcW w:w="567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45439E43" w14:textId="77777777" w:rsidR="00E90D44" w:rsidRPr="001A332D" w:rsidRDefault="00E90D44" w:rsidP="00FE0C08">
            <w:pPr>
              <w:pStyle w:val="Tabletext"/>
              <w:jc w:val="right"/>
              <w:rPr>
                <w:sz w:val="18"/>
                <w:szCs w:val="18"/>
                <w:lang w:val="ru-RU"/>
              </w:rPr>
            </w:pPr>
            <w:r w:rsidRPr="001A332D">
              <w:rPr>
                <w:sz w:val="18"/>
                <w:szCs w:val="18"/>
                <w:lang w:val="ru-RU"/>
              </w:rPr>
              <w:t>420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4E1B4D1A" w14:textId="4B9ADC6E" w:rsidR="00E90D44" w:rsidRPr="001A332D" w:rsidRDefault="00960C8A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370</w:t>
            </w:r>
          </w:p>
        </w:tc>
        <w:tc>
          <w:tcPr>
            <w:tcW w:w="694" w:type="pct"/>
            <w:tcBorders>
              <w:bottom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0869B358" w14:textId="77777777" w:rsidR="00E90D44" w:rsidRPr="001A332D" w:rsidRDefault="00E90D44" w:rsidP="00960C8A">
            <w:pPr>
              <w:pStyle w:val="Tabletext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color w:val="002060"/>
                <w:sz w:val="18"/>
                <w:szCs w:val="18"/>
                <w:lang w:val="ru-RU"/>
              </w:rPr>
              <w:t>50</w:t>
            </w:r>
          </w:p>
        </w:tc>
        <w:tc>
          <w:tcPr>
            <w:tcW w:w="477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A11E2BA" w14:textId="7FC9080D" w:rsidR="00E90D44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623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7B33D667" w14:textId="24B66709" w:rsidR="00E90D44" w:rsidRPr="001A332D" w:rsidRDefault="00E90D44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–33</w:t>
            </w:r>
          </w:p>
        </w:tc>
      </w:tr>
      <w:tr w:rsidR="00335048" w:rsidRPr="001A332D" w14:paraId="7670F36E" w14:textId="77777777" w:rsidTr="007620FE">
        <w:trPr>
          <w:trHeight w:val="240"/>
          <w:jc w:val="center"/>
        </w:trPr>
        <w:tc>
          <w:tcPr>
            <w:tcW w:w="2075" w:type="pct"/>
            <w:tcBorders>
              <w:top w:val="single" w:sz="4" w:space="0" w:color="auto"/>
              <w:right w:val="dashSmallGap" w:sz="12" w:space="0" w:color="0070C0"/>
            </w:tcBorders>
            <w:noWrap/>
            <w:hideMark/>
          </w:tcPr>
          <w:p w14:paraId="505B042A" w14:textId="6F8993E7" w:rsidR="00335048" w:rsidRPr="001A332D" w:rsidRDefault="00335048" w:rsidP="00335048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ВСЕГО, </w:t>
            </w:r>
            <w:r w:rsidRPr="001A332D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567" w:type="pct"/>
            <w:tcBorders>
              <w:top w:val="single" w:sz="4" w:space="0" w:color="auto"/>
              <w:left w:val="dashSmallGap" w:sz="12" w:space="0" w:color="0070C0"/>
            </w:tcBorders>
            <w:noWrap/>
            <w:vAlign w:val="bottom"/>
            <w:hideMark/>
          </w:tcPr>
          <w:p w14:paraId="4EBBB246" w14:textId="5EA2D3D7" w:rsidR="00335048" w:rsidRPr="001A332D" w:rsidRDefault="00960C8A" w:rsidP="00960C8A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sz w:val="18"/>
                <w:szCs w:val="18"/>
                <w:lang w:val="ru-RU"/>
              </w:rPr>
              <w:t>163 661</w:t>
            </w:r>
          </w:p>
        </w:tc>
        <w:tc>
          <w:tcPr>
            <w:tcW w:w="564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1B2FA4E" w14:textId="1C198910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002060"/>
                <w:sz w:val="18"/>
                <w:szCs w:val="18"/>
                <w:lang w:val="ru-RU"/>
              </w:rPr>
              <w:t>158 525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1A3931C5" w14:textId="4FCBDF6C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002060"/>
                <w:sz w:val="18"/>
                <w:szCs w:val="18"/>
                <w:lang w:val="ru-RU"/>
              </w:rPr>
              <w:t>5 136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1F370538" w14:textId="52110AC5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157 103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1CD00718" w14:textId="3CBFAB91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1 422</w:t>
            </w:r>
          </w:p>
        </w:tc>
      </w:tr>
      <w:tr w:rsidR="00335048" w:rsidRPr="001A332D" w14:paraId="062E7F70" w14:textId="77777777" w:rsidTr="007620FE">
        <w:trPr>
          <w:trHeight w:val="300"/>
          <w:jc w:val="center"/>
        </w:trPr>
        <w:tc>
          <w:tcPr>
            <w:tcW w:w="2075" w:type="pct"/>
            <w:tcBorders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6637B0E1" w14:textId="5C6BFE75" w:rsidR="00335048" w:rsidRPr="001A332D" w:rsidRDefault="00335048" w:rsidP="00335048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1A33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ВСЕГО, Д</w:t>
            </w:r>
            <w:r w:rsidRPr="001A332D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ОХОДЫ</w:t>
            </w:r>
          </w:p>
        </w:tc>
        <w:tc>
          <w:tcPr>
            <w:tcW w:w="567" w:type="pct"/>
            <w:tcBorders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01899390" w14:textId="60CF2759" w:rsidR="00335048" w:rsidRPr="001A332D" w:rsidRDefault="00960C8A" w:rsidP="00960C8A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sz w:val="18"/>
                <w:szCs w:val="18"/>
                <w:lang w:val="ru-RU"/>
              </w:rPr>
              <w:t>163 661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5EEBD67" w14:textId="657492A2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002060"/>
                <w:sz w:val="18"/>
                <w:szCs w:val="18"/>
                <w:lang w:val="ru-RU"/>
              </w:rPr>
              <w:t>157 103</w:t>
            </w:r>
          </w:p>
        </w:tc>
        <w:tc>
          <w:tcPr>
            <w:tcW w:w="694" w:type="pct"/>
            <w:tcBorders>
              <w:bottom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02E4D3D7" w14:textId="230A7F13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002060"/>
                <w:sz w:val="18"/>
                <w:szCs w:val="18"/>
                <w:lang w:val="ru-RU"/>
              </w:rPr>
              <w:t>–6 558</w:t>
            </w:r>
          </w:p>
        </w:tc>
        <w:tc>
          <w:tcPr>
            <w:tcW w:w="477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1F9F9FA9" w14:textId="463E833C" w:rsidR="00335048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157 103</w:t>
            </w:r>
          </w:p>
        </w:tc>
        <w:tc>
          <w:tcPr>
            <w:tcW w:w="623" w:type="pct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49BCC93C" w14:textId="3CD22914" w:rsidR="00335048" w:rsidRPr="001A332D" w:rsidRDefault="00335048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701A27" w:rsidRPr="001A332D" w14:paraId="653C7F9B" w14:textId="77777777" w:rsidTr="007620FE">
        <w:trPr>
          <w:trHeight w:val="240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  <w:right w:val="dashSmallGap" w:sz="12" w:space="0" w:color="0070C0"/>
            </w:tcBorders>
            <w:noWrap/>
            <w:hideMark/>
          </w:tcPr>
          <w:p w14:paraId="40DB9AD1" w14:textId="17E3E6A8" w:rsidR="00701A27" w:rsidRPr="001A332D" w:rsidRDefault="00335048" w:rsidP="002D7367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567" w:type="pct"/>
            <w:tcBorders>
              <w:top w:val="single" w:sz="4" w:space="0" w:color="auto"/>
              <w:left w:val="dashSmallGap" w:sz="12" w:space="0" w:color="0070C0"/>
              <w:bottom w:val="single" w:sz="4" w:space="0" w:color="auto"/>
            </w:tcBorders>
            <w:noWrap/>
            <w:vAlign w:val="bottom"/>
            <w:hideMark/>
          </w:tcPr>
          <w:p w14:paraId="43CF276E" w14:textId="77777777" w:rsidR="00701A27" w:rsidRPr="001A332D" w:rsidRDefault="00701A27" w:rsidP="00FE0C08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D288930" w14:textId="3823D369" w:rsidR="00701A27" w:rsidRPr="001A332D" w:rsidRDefault="00960C8A" w:rsidP="00960C8A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002060"/>
                <w:sz w:val="18"/>
                <w:szCs w:val="18"/>
                <w:lang w:val="ru-RU"/>
              </w:rPr>
              <w:t>–1 422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noWrap/>
            <w:vAlign w:val="bottom"/>
            <w:hideMark/>
          </w:tcPr>
          <w:p w14:paraId="1723FBAA" w14:textId="22CECCEF" w:rsidR="00701A27" w:rsidRPr="001A332D" w:rsidRDefault="00960C8A" w:rsidP="00960C8A">
            <w:pPr>
              <w:pStyle w:val="Tabletext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002060"/>
                <w:sz w:val="18"/>
                <w:szCs w:val="18"/>
                <w:lang w:val="ru-RU"/>
              </w:rPr>
              <w:t>–1 422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6DD9FF"/>
            <w:noWrap/>
            <w:vAlign w:val="bottom"/>
            <w:hideMark/>
          </w:tcPr>
          <w:p w14:paraId="5A7A5ABC" w14:textId="77777777" w:rsidR="00701A27" w:rsidRPr="001A332D" w:rsidRDefault="00701A27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noWrap/>
            <w:vAlign w:val="bottom"/>
            <w:hideMark/>
          </w:tcPr>
          <w:p w14:paraId="22F7BE0F" w14:textId="65FF67FC" w:rsidR="00701A27" w:rsidRPr="001A332D" w:rsidRDefault="00960C8A" w:rsidP="00960C8A">
            <w:pPr>
              <w:pStyle w:val="Tabletext"/>
              <w:jc w:val="right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1A332D">
              <w:rPr>
                <w:b/>
                <w:bCs/>
                <w:color w:val="FF0000"/>
                <w:sz w:val="18"/>
                <w:szCs w:val="18"/>
                <w:lang w:val="ru-RU"/>
              </w:rPr>
              <w:t>1 422</w:t>
            </w:r>
          </w:p>
        </w:tc>
      </w:tr>
    </w:tbl>
    <w:p w14:paraId="110BA5B0" w14:textId="5665A764" w:rsidR="00C64D9C" w:rsidRPr="001A332D" w:rsidRDefault="00C64D9C" w:rsidP="00C64D9C">
      <w:pPr>
        <w:pStyle w:val="Heading1"/>
        <w:rPr>
          <w:lang w:val="ru-RU"/>
        </w:rPr>
      </w:pPr>
      <w:r w:rsidRPr="001A332D">
        <w:rPr>
          <w:lang w:val="ru-RU"/>
        </w:rPr>
        <w:t>5</w:t>
      </w:r>
      <w:r w:rsidRPr="001A332D">
        <w:rPr>
          <w:lang w:val="ru-RU"/>
        </w:rPr>
        <w:tab/>
      </w:r>
      <w:r w:rsidR="00A11EFE" w:rsidRPr="001A332D">
        <w:rPr>
          <w:lang w:val="ru-RU"/>
        </w:rPr>
        <w:t>Возможные незамедлительные меры по балансированию исполнения бюджета</w:t>
      </w:r>
    </w:p>
    <w:p w14:paraId="06E009BD" w14:textId="086131D5" w:rsidR="00C64D9C" w:rsidRPr="001A332D" w:rsidRDefault="006F13D0" w:rsidP="00C64D9C">
      <w:pPr>
        <w:rPr>
          <w:rFonts w:asciiTheme="minorHAnsi" w:hAnsiTheme="minorHAnsi" w:cstheme="minorHAnsi"/>
          <w:color w:val="000000" w:themeColor="text1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Во избежание отрицательного результата (дефицита) исполнения бюджета на 2022 год </w:t>
      </w:r>
      <w:r w:rsidR="00BF4950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в течение оставшейся части года 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будут применяться в </w:t>
      </w:r>
      <w:r w:rsidR="004C31DA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том числе</w:t>
      </w:r>
      <w:r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следующие меры по повышению эффективности, направленные на сокращение расходов</w:t>
      </w:r>
      <w:r w:rsidR="00C64D9C" w:rsidRPr="001A332D">
        <w:rPr>
          <w:rFonts w:asciiTheme="minorHAnsi" w:hAnsiTheme="minorHAnsi" w:cstheme="minorHAnsi"/>
          <w:color w:val="000000" w:themeColor="text1"/>
          <w:szCs w:val="24"/>
          <w:lang w:val="ru-RU"/>
        </w:rPr>
        <w:t>:</w:t>
      </w:r>
    </w:p>
    <w:p w14:paraId="5BE23EFF" w14:textId="5F8E7F6A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4D4293" w:rsidRPr="001A332D">
        <w:rPr>
          <w:lang w:val="ru-RU"/>
        </w:rPr>
        <w:t>разрешить</w:t>
      </w:r>
      <w:r w:rsidR="006F13D0" w:rsidRPr="001A332D">
        <w:rPr>
          <w:lang w:val="ru-RU"/>
        </w:rPr>
        <w:t xml:space="preserve"> только такой внешний </w:t>
      </w:r>
      <w:r w:rsidR="00B934B1" w:rsidRPr="001A332D">
        <w:rPr>
          <w:lang w:val="ru-RU"/>
        </w:rPr>
        <w:t>найм</w:t>
      </w:r>
      <w:r w:rsidR="00406D37" w:rsidRPr="001A332D">
        <w:rPr>
          <w:lang w:val="ru-RU"/>
        </w:rPr>
        <w:t xml:space="preserve"> </w:t>
      </w:r>
      <w:r w:rsidR="000364C8" w:rsidRPr="001A332D">
        <w:rPr>
          <w:lang w:val="ru-RU"/>
        </w:rPr>
        <w:t xml:space="preserve">в рамках регулярного бюджета </w:t>
      </w:r>
      <w:r w:rsidR="00B934B1" w:rsidRPr="001A332D">
        <w:rPr>
          <w:lang w:val="ru-RU"/>
        </w:rPr>
        <w:t xml:space="preserve">(по срочным контрактам, краткосрочным контрактам и </w:t>
      </w:r>
      <w:r w:rsidRPr="001A332D">
        <w:rPr>
          <w:lang w:val="ru-RU"/>
        </w:rPr>
        <w:t>SSA)</w:t>
      </w:r>
      <w:r w:rsidR="00B934B1" w:rsidRPr="001A332D">
        <w:rPr>
          <w:lang w:val="ru-RU"/>
        </w:rPr>
        <w:t>, который считается критическим для обеспечения непрерывной деятельности организации</w:t>
      </w:r>
      <w:r w:rsidR="004F14B9" w:rsidRPr="001A332D">
        <w:rPr>
          <w:lang w:val="ru-RU"/>
        </w:rPr>
        <w:t>,</w:t>
      </w:r>
      <w:r w:rsidR="00B934B1" w:rsidRPr="001A332D">
        <w:rPr>
          <w:lang w:val="ru-RU"/>
        </w:rPr>
        <w:t xml:space="preserve"> по оценке Генерального секретаря </w:t>
      </w:r>
      <w:r w:rsidR="004C31DA" w:rsidRPr="001A332D">
        <w:rPr>
          <w:lang w:val="ru-RU"/>
        </w:rPr>
        <w:t>при</w:t>
      </w:r>
      <w:r w:rsidR="00B934B1" w:rsidRPr="001A332D">
        <w:rPr>
          <w:lang w:val="ru-RU"/>
        </w:rPr>
        <w:t xml:space="preserve"> консультации с соответствующим избираемым должностным лицом;</w:t>
      </w:r>
    </w:p>
    <w:p w14:paraId="4A788720" w14:textId="3E58B488" w:rsidR="00406D37" w:rsidRPr="001A332D" w:rsidRDefault="00406D37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763E36" w:rsidRPr="001A332D">
        <w:rPr>
          <w:lang w:val="ru-RU"/>
        </w:rPr>
        <w:t>ограничить служебные командировки, финансируемые из регулярного бюджета, теми, которые считаются критическими для обеспечения непрерывной деятельности организации;</w:t>
      </w:r>
    </w:p>
    <w:p w14:paraId="1197A457" w14:textId="053BFC0C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B934B1" w:rsidRPr="001A332D">
        <w:rPr>
          <w:lang w:val="ru-RU"/>
        </w:rPr>
        <w:t xml:space="preserve">все Бюро и департаменты Генерального секретариата применяют по мере возможности </w:t>
      </w:r>
      <w:r w:rsidR="00B934B1" w:rsidRPr="001A332D">
        <w:rPr>
          <w:color w:val="000000" w:themeColor="text1"/>
          <w:lang w:val="ru-RU"/>
        </w:rPr>
        <w:t>5</w:t>
      </w:r>
      <w:r w:rsidR="00C90CBE" w:rsidRPr="001A332D">
        <w:rPr>
          <w:color w:val="000000" w:themeColor="text1"/>
          <w:lang w:val="ru-RU"/>
        </w:rPr>
        <w:noBreakHyphen/>
      </w:r>
      <w:r w:rsidR="00B934B1" w:rsidRPr="001A332D">
        <w:rPr>
          <w:color w:val="000000" w:themeColor="text1"/>
          <w:lang w:val="ru-RU"/>
        </w:rPr>
        <w:t>процентный коэффициент вакантных должностей;</w:t>
      </w:r>
    </w:p>
    <w:p w14:paraId="01886012" w14:textId="46A85D35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E13298" w:rsidRPr="001A332D">
        <w:rPr>
          <w:lang w:val="ru-RU"/>
        </w:rPr>
        <w:t xml:space="preserve">по мере возможности и </w:t>
      </w:r>
      <w:r w:rsidR="00022DF0" w:rsidRPr="001A332D">
        <w:rPr>
          <w:lang w:val="ru-RU"/>
        </w:rPr>
        <w:t>при условии, что плата за отмену не будет взиматься, предоставлять услуги устного перевода на таких мероприятиях, как собрания исследовательских комиссий, семинары-практикумы, семинары, собрания консультативных групп и т. д., только по запросу</w:t>
      </w:r>
      <w:r w:rsidR="004C31DA" w:rsidRPr="001A332D">
        <w:rPr>
          <w:lang w:val="ru-RU"/>
        </w:rPr>
        <w:t>;</w:t>
      </w:r>
    </w:p>
    <w:p w14:paraId="0DBE01DC" w14:textId="2CC407B8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1146F2" w:rsidRPr="001A332D">
        <w:rPr>
          <w:lang w:val="ru-RU"/>
        </w:rPr>
        <w:t xml:space="preserve">прекратить </w:t>
      </w:r>
      <w:r w:rsidR="004C31DA" w:rsidRPr="001A332D">
        <w:rPr>
          <w:lang w:val="ru-RU"/>
        </w:rPr>
        <w:t>осуществлять</w:t>
      </w:r>
      <w:r w:rsidR="00406D37" w:rsidRPr="001A332D">
        <w:rPr>
          <w:rFonts w:asciiTheme="minorHAnsi" w:hAnsiTheme="minorHAnsi" w:cstheme="minorHAnsi"/>
          <w:sz w:val="24"/>
          <w:lang w:val="ru-RU"/>
        </w:rPr>
        <w:t xml:space="preserve"> </w:t>
      </w:r>
      <w:r w:rsidR="004C31DA" w:rsidRPr="001A332D">
        <w:rPr>
          <w:lang w:val="ru-RU"/>
        </w:rPr>
        <w:t xml:space="preserve">любые необязательные расходы </w:t>
      </w:r>
      <w:r w:rsidR="00022DF0" w:rsidRPr="001A332D">
        <w:rPr>
          <w:lang w:val="ru-RU"/>
        </w:rPr>
        <w:t>в рамках регулярного бюджета (сопутствующие мероприятия и т. д.);</w:t>
      </w:r>
    </w:p>
    <w:p w14:paraId="4D5A0001" w14:textId="2E5AD85F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3E1881" w:rsidRPr="001A332D">
        <w:rPr>
          <w:lang w:val="ru-RU"/>
        </w:rPr>
        <w:t>отсрочивать или отменять консультационные услуги в рамках регулярного бюджета для необязательных мероприятий;</w:t>
      </w:r>
    </w:p>
    <w:p w14:paraId="10BF1137" w14:textId="0AA6FF1C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3E1881" w:rsidRPr="001A332D">
        <w:rPr>
          <w:lang w:val="ru-RU"/>
        </w:rPr>
        <w:t>отсрочивать или отменять необязательные учебные мероприятия в рамках регулярного бюджета;</w:t>
      </w:r>
    </w:p>
    <w:p w14:paraId="0D041F35" w14:textId="7BE61072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3E1881" w:rsidRPr="001A332D">
        <w:rPr>
          <w:lang w:val="ru-RU"/>
        </w:rPr>
        <w:t xml:space="preserve">по возможности </w:t>
      </w:r>
      <w:r w:rsidR="00DD5DB2" w:rsidRPr="001A332D">
        <w:rPr>
          <w:lang w:val="ru-RU"/>
        </w:rPr>
        <w:t>приостановить</w:t>
      </w:r>
      <w:r w:rsidR="003E1881" w:rsidRPr="001A332D">
        <w:rPr>
          <w:lang w:val="ru-RU"/>
        </w:rPr>
        <w:t xml:space="preserve"> предоставление стипендий для участия в мероприятиях и видах деятельности, финансируемых из регулярного бюджета МСЭ;</w:t>
      </w:r>
    </w:p>
    <w:p w14:paraId="6997FAA4" w14:textId="226F6F49" w:rsidR="00C64D9C" w:rsidRPr="001A332D" w:rsidRDefault="00C64D9C" w:rsidP="00C64D9C">
      <w:pPr>
        <w:pStyle w:val="enumlev1"/>
        <w:rPr>
          <w:lang w:val="ru-RU"/>
        </w:rPr>
      </w:pPr>
      <w:r w:rsidRPr="001A332D">
        <w:rPr>
          <w:lang w:val="ru-RU"/>
        </w:rPr>
        <w:t>•</w:t>
      </w:r>
      <w:r w:rsidRPr="001A332D">
        <w:rPr>
          <w:lang w:val="ru-RU"/>
        </w:rPr>
        <w:tab/>
      </w:r>
      <w:r w:rsidR="00C23914" w:rsidRPr="001A332D">
        <w:rPr>
          <w:lang w:val="ru-RU"/>
        </w:rPr>
        <w:t xml:space="preserve">уменьшить затраты, связанные с поездками, путем пересмотра политики "Условия, регулирующие официальные поездки", с тем чтобы увеличить использование авиабилетов </w:t>
      </w:r>
      <w:r w:rsidR="00C23914" w:rsidRPr="001A332D">
        <w:rPr>
          <w:lang w:val="ru-RU"/>
        </w:rPr>
        <w:lastRenderedPageBreak/>
        <w:t xml:space="preserve">экономического класса, в особенности для тех мероприятий, которые требуют присутствия </w:t>
      </w:r>
      <w:r w:rsidR="00137B5C" w:rsidRPr="001A332D">
        <w:rPr>
          <w:lang w:val="ru-RU"/>
        </w:rPr>
        <w:t>большого числа сотрудников</w:t>
      </w:r>
      <w:r w:rsidR="00C23914" w:rsidRPr="001A332D">
        <w:rPr>
          <w:lang w:val="ru-RU"/>
        </w:rPr>
        <w:t xml:space="preserve"> МСЭ</w:t>
      </w:r>
      <w:r w:rsidR="00137B5C" w:rsidRPr="001A332D">
        <w:rPr>
          <w:lang w:val="ru-RU"/>
        </w:rPr>
        <w:t>.</w:t>
      </w:r>
    </w:p>
    <w:p w14:paraId="280D15CB" w14:textId="4705A069" w:rsidR="00406D37" w:rsidRPr="001A332D" w:rsidRDefault="00BB059C" w:rsidP="00406D37">
      <w:pPr>
        <w:rPr>
          <w:lang w:val="ru-RU"/>
        </w:rPr>
      </w:pPr>
      <w:r w:rsidRPr="001A332D">
        <w:rPr>
          <w:lang w:val="ru-RU"/>
        </w:rPr>
        <w:t>В прогноз на 2022 год вошли с</w:t>
      </w:r>
      <w:r w:rsidR="000D584C" w:rsidRPr="001A332D">
        <w:rPr>
          <w:lang w:val="ru-RU"/>
        </w:rPr>
        <w:t>метные</w:t>
      </w:r>
      <w:r w:rsidR="001146F2" w:rsidRPr="001A332D">
        <w:rPr>
          <w:lang w:val="ru-RU"/>
        </w:rPr>
        <w:t xml:space="preserve"> резервы на накопленные дни отпуска и возвращение на родину сотрудников. Эти оцен</w:t>
      </w:r>
      <w:r w:rsidR="000D584C" w:rsidRPr="001A332D">
        <w:rPr>
          <w:lang w:val="ru-RU"/>
        </w:rPr>
        <w:t>очные данные</w:t>
      </w:r>
      <w:r w:rsidR="001146F2" w:rsidRPr="001A332D">
        <w:rPr>
          <w:lang w:val="ru-RU"/>
        </w:rPr>
        <w:t xml:space="preserve"> были рассчитаны</w:t>
      </w:r>
      <w:r w:rsidR="000D584C" w:rsidRPr="001A332D">
        <w:rPr>
          <w:lang w:val="ru-RU"/>
        </w:rPr>
        <w:t xml:space="preserve"> на основе имеющейся у нас информации</w:t>
      </w:r>
      <w:r w:rsidR="001146F2" w:rsidRPr="001A332D">
        <w:rPr>
          <w:lang w:val="ru-RU"/>
        </w:rPr>
        <w:t xml:space="preserve">, но </w:t>
      </w:r>
      <w:r w:rsidR="000D584C" w:rsidRPr="001A332D">
        <w:rPr>
          <w:lang w:val="ru-RU"/>
        </w:rPr>
        <w:t>фактические</w:t>
      </w:r>
      <w:r w:rsidR="001146F2" w:rsidRPr="001A332D">
        <w:rPr>
          <w:lang w:val="ru-RU"/>
        </w:rPr>
        <w:t xml:space="preserve"> суммы станут известны только в конце года или даже в январе 2023</w:t>
      </w:r>
      <w:r w:rsidR="000D584C" w:rsidRPr="001A332D">
        <w:rPr>
          <w:lang w:val="ru-RU"/>
        </w:rPr>
        <w:t> </w:t>
      </w:r>
      <w:r w:rsidR="001146F2" w:rsidRPr="001A332D">
        <w:rPr>
          <w:lang w:val="ru-RU"/>
        </w:rPr>
        <w:t>года. Это может привести к некоторым отклонениям от нашего прогноза.</w:t>
      </w:r>
    </w:p>
    <w:p w14:paraId="06775DFE" w14:textId="1FE72C67" w:rsidR="00C64D9C" w:rsidRPr="001A332D" w:rsidRDefault="00C64D9C" w:rsidP="00C64D9C">
      <w:pPr>
        <w:pStyle w:val="Heading1"/>
        <w:rPr>
          <w:lang w:val="ru-RU"/>
        </w:rPr>
      </w:pPr>
      <w:r w:rsidRPr="001A332D">
        <w:rPr>
          <w:lang w:val="ru-RU"/>
        </w:rPr>
        <w:t>6</w:t>
      </w:r>
      <w:r w:rsidRPr="001A332D">
        <w:rPr>
          <w:lang w:val="ru-RU"/>
        </w:rPr>
        <w:tab/>
      </w:r>
      <w:r w:rsidR="0003436E" w:rsidRPr="001A332D">
        <w:rPr>
          <w:lang w:val="ru-RU"/>
        </w:rPr>
        <w:t>Следующие шаги</w:t>
      </w:r>
    </w:p>
    <w:p w14:paraId="2C5D88C8" w14:textId="6BE82747" w:rsidR="00C64D9C" w:rsidRPr="001A332D" w:rsidRDefault="00F262A4" w:rsidP="00C64D9C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Исполнение бюджета на 2023 год, а также последующих бюджетов будет трудно сбалансировать. Для того чтобы преодолеть эту проблему, Союзу потребуется провести тщательный анализ и оптимизацию своей деятельности и методов работы, повышая уровень</w:t>
      </w:r>
      <w:r w:rsidR="00D42401" w:rsidRPr="001A332D">
        <w:rPr>
          <w:rFonts w:asciiTheme="minorHAnsi" w:hAnsiTheme="minorHAnsi" w:cstheme="minorHAnsi"/>
          <w:szCs w:val="24"/>
          <w:lang w:val="ru-RU"/>
        </w:rPr>
        <w:t xml:space="preserve"> получаемых им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доходов.</w:t>
      </w:r>
    </w:p>
    <w:p w14:paraId="2ADDE36C" w14:textId="7CBB2194" w:rsidR="00C64D9C" w:rsidRPr="001A332D" w:rsidRDefault="00D42401" w:rsidP="00C64D9C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Некоторые меры по повышению эффективности, указанные в Приложении 2 к Решению 5 (Пересм.</w:t>
      </w:r>
      <w:r w:rsidR="00C90CBE" w:rsidRPr="001A332D">
        <w:rPr>
          <w:rFonts w:asciiTheme="minorHAnsi" w:hAnsiTheme="minorHAnsi" w:cstheme="minorHAnsi"/>
          <w:szCs w:val="24"/>
          <w:lang w:val="ru-RU"/>
        </w:rPr>
        <w:t> 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Дубай, 2018 г.), </w:t>
      </w:r>
      <w:r w:rsidR="0063712D" w:rsidRPr="001A332D">
        <w:rPr>
          <w:rFonts w:asciiTheme="minorHAnsi" w:hAnsiTheme="minorHAnsi" w:cstheme="minorHAnsi"/>
          <w:szCs w:val="24"/>
          <w:lang w:val="ru-RU"/>
        </w:rPr>
        <w:t xml:space="preserve">реализованы 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еще не полностью, в том числе мера 1 по дублированию и рецентрализации определенных видов деятельности. Например, рецентрализация </w:t>
      </w:r>
      <w:r w:rsidR="00533789" w:rsidRPr="001A332D">
        <w:rPr>
          <w:rFonts w:asciiTheme="minorHAnsi" w:hAnsiTheme="minorHAnsi" w:cstheme="minorHAnsi"/>
          <w:szCs w:val="24"/>
          <w:lang w:val="ru-RU"/>
        </w:rPr>
        <w:t xml:space="preserve">функций </w:t>
      </w:r>
      <w:r w:rsidRPr="001A332D">
        <w:rPr>
          <w:rFonts w:asciiTheme="minorHAnsi" w:hAnsiTheme="minorHAnsi" w:cstheme="minorHAnsi"/>
          <w:szCs w:val="24"/>
          <w:lang w:val="ru-RU"/>
        </w:rPr>
        <w:t>финансовых контролеров в Департаменте управления финансовыми ресурсами позволила сэкономить три должности, что эквивалентно примерно 3 млн. швейцарских франков для следующего финансового плана.</w:t>
      </w:r>
    </w:p>
    <w:p w14:paraId="1D6A609B" w14:textId="02FC07E2" w:rsidR="00C64D9C" w:rsidRPr="001A332D" w:rsidRDefault="009C35EF" w:rsidP="0063712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Cs w:val="24"/>
          <w:lang w:val="ru-RU"/>
        </w:rPr>
      </w:pPr>
      <w:r w:rsidRPr="001A332D">
        <w:rPr>
          <w:rFonts w:asciiTheme="minorHAnsi" w:hAnsiTheme="minorHAnsi" w:cstheme="minorHAnsi"/>
          <w:color w:val="000000"/>
          <w:szCs w:val="24"/>
          <w:lang w:val="ru-RU"/>
        </w:rPr>
        <w:t>Значительный опыт, накопленный МСЭ в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 период пандемии COVID-19</w:t>
      </w:r>
      <w:r w:rsidRPr="001A332D">
        <w:rPr>
          <w:rFonts w:asciiTheme="minorHAnsi" w:hAnsiTheme="minorHAnsi" w:cstheme="minorHAnsi"/>
          <w:color w:val="000000"/>
          <w:szCs w:val="24"/>
          <w:lang w:val="ru-RU"/>
        </w:rPr>
        <w:t>,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Pr="001A332D">
        <w:rPr>
          <w:rFonts w:asciiTheme="minorHAnsi" w:hAnsiTheme="minorHAnsi" w:cstheme="minorHAnsi"/>
          <w:color w:val="000000"/>
          <w:szCs w:val="24"/>
          <w:lang w:val="ru-RU"/>
        </w:rPr>
        <w:t>должен стать основой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 для дальнейше</w:t>
      </w:r>
      <w:r w:rsidRPr="001A332D">
        <w:rPr>
          <w:rFonts w:asciiTheme="minorHAnsi" w:hAnsiTheme="minorHAnsi" w:cstheme="minorHAnsi"/>
          <w:color w:val="000000"/>
          <w:szCs w:val="24"/>
          <w:lang w:val="ru-RU"/>
        </w:rPr>
        <w:t>й реализации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 мер по повышению эффективности, указанных в Приложении 2 к</w:t>
      </w:r>
      <w:r w:rsidR="00EC490B" w:rsidRPr="001A332D">
        <w:rPr>
          <w:rFonts w:asciiTheme="minorHAnsi" w:hAnsiTheme="minorHAnsi" w:cstheme="minorHAnsi"/>
          <w:color w:val="000000"/>
          <w:szCs w:val="24"/>
          <w:lang w:val="ru-RU"/>
        </w:rPr>
        <w:t> 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Решению 5. Например, </w:t>
      </w:r>
      <w:r w:rsidRPr="001A332D">
        <w:rPr>
          <w:rFonts w:asciiTheme="minorHAnsi" w:hAnsiTheme="minorHAnsi" w:cstheme="minorHAnsi"/>
          <w:color w:val="000000"/>
          <w:szCs w:val="24"/>
          <w:lang w:val="ru-RU"/>
        </w:rPr>
        <w:t>притом что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Pr="001A332D">
        <w:rPr>
          <w:lang w:val="ru-RU"/>
        </w:rPr>
        <w:t xml:space="preserve">виртуальные и смешанные собрания позволяют сэкономить на проезде и размещении </w:t>
      </w:r>
      <w:r w:rsidR="009C0E7B" w:rsidRPr="001A332D">
        <w:rPr>
          <w:lang w:val="ru-RU"/>
        </w:rPr>
        <w:t>членов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9C0E7B" w:rsidRPr="001A332D">
        <w:rPr>
          <w:lang w:val="ru-RU"/>
        </w:rPr>
        <w:t xml:space="preserve">они вызвали увеличение вспомогательных затрат секретариата </w:t>
      </w:r>
      <w:r w:rsidR="0063712D" w:rsidRPr="001A332D">
        <w:rPr>
          <w:rFonts w:asciiTheme="minorHAnsi" w:hAnsiTheme="minorHAnsi" w:cstheme="minorHAnsi"/>
          <w:color w:val="000000"/>
          <w:szCs w:val="24"/>
          <w:lang w:val="ru-RU"/>
        </w:rPr>
        <w:t>(например, наем модераторов, безопасность, контроль доступа и специальное оборудование, необходимое для интеграции залов заседаний).</w:t>
      </w:r>
    </w:p>
    <w:p w14:paraId="1508E0E5" w14:textId="449750F2" w:rsidR="00C64D9C" w:rsidRPr="001A332D" w:rsidRDefault="009923DA" w:rsidP="00C64D9C">
      <w:pPr>
        <w:rPr>
          <w:szCs w:val="24"/>
          <w:lang w:val="ru-RU" w:eastAsia="fr-FR"/>
        </w:rPr>
      </w:pPr>
      <w:r w:rsidRPr="001A332D">
        <w:rPr>
          <w:rStyle w:val="bumpedfont15"/>
          <w:szCs w:val="24"/>
          <w:lang w:val="ru-RU"/>
        </w:rPr>
        <w:t>Секретариат представит ПК-22 отчет о выполнении мер, указанных в Приложении 2 к Решению 5, в</w:t>
      </w:r>
      <w:r w:rsidR="00533789" w:rsidRPr="001A332D">
        <w:rPr>
          <w:rStyle w:val="bumpedfont15"/>
          <w:szCs w:val="24"/>
          <w:lang w:val="ru-RU"/>
        </w:rPr>
        <w:t> </w:t>
      </w:r>
      <w:r w:rsidRPr="001A332D">
        <w:rPr>
          <w:rStyle w:val="bumpedfont15"/>
          <w:szCs w:val="24"/>
          <w:lang w:val="ru-RU"/>
        </w:rPr>
        <w:t>том числе предложения по дальнейшим мерам, включая обращение к внешним аудиторам с</w:t>
      </w:r>
      <w:r w:rsidR="00EC490B" w:rsidRPr="001A332D">
        <w:rPr>
          <w:rStyle w:val="bumpedfont15"/>
          <w:szCs w:val="24"/>
          <w:lang w:val="ru-RU"/>
        </w:rPr>
        <w:t> </w:t>
      </w:r>
      <w:r w:rsidRPr="001A332D">
        <w:rPr>
          <w:rStyle w:val="bumpedfont15"/>
          <w:szCs w:val="24"/>
          <w:lang w:val="ru-RU"/>
        </w:rPr>
        <w:t xml:space="preserve">просьбой </w:t>
      </w:r>
      <w:r w:rsidR="00AB71C9" w:rsidRPr="001A332D">
        <w:rPr>
          <w:rStyle w:val="bumpedfont15"/>
          <w:szCs w:val="24"/>
          <w:lang w:val="ru-RU"/>
        </w:rPr>
        <w:t>провести оценку</w:t>
      </w:r>
      <w:r w:rsidRPr="001A332D">
        <w:rPr>
          <w:rStyle w:val="bumpedfont15"/>
          <w:szCs w:val="24"/>
          <w:lang w:val="ru-RU"/>
        </w:rPr>
        <w:t xml:space="preserve"> развити</w:t>
      </w:r>
      <w:r w:rsidR="00AB71C9" w:rsidRPr="001A332D">
        <w:rPr>
          <w:rStyle w:val="bumpedfont15"/>
          <w:szCs w:val="24"/>
          <w:lang w:val="ru-RU"/>
        </w:rPr>
        <w:t>я</w:t>
      </w:r>
      <w:r w:rsidRPr="001A332D">
        <w:rPr>
          <w:rStyle w:val="bumpedfont15"/>
          <w:szCs w:val="24"/>
          <w:lang w:val="ru-RU"/>
        </w:rPr>
        <w:t xml:space="preserve"> ИТ и использовани</w:t>
      </w:r>
      <w:r w:rsidR="00AB71C9" w:rsidRPr="001A332D">
        <w:rPr>
          <w:rStyle w:val="bumpedfont15"/>
          <w:szCs w:val="24"/>
          <w:lang w:val="ru-RU"/>
        </w:rPr>
        <w:t>я</w:t>
      </w:r>
      <w:r w:rsidRPr="001A332D">
        <w:rPr>
          <w:rStyle w:val="bumpedfont15"/>
          <w:szCs w:val="24"/>
          <w:lang w:val="ru-RU"/>
        </w:rPr>
        <w:t xml:space="preserve"> ресурсов в МСЭ, включая разработку </w:t>
      </w:r>
      <w:r w:rsidR="00AB71C9" w:rsidRPr="001A332D">
        <w:rPr>
          <w:rStyle w:val="bumpedfont15"/>
          <w:szCs w:val="24"/>
          <w:lang w:val="ru-RU"/>
        </w:rPr>
        <w:t xml:space="preserve">собственного </w:t>
      </w:r>
      <w:r w:rsidRPr="001A332D">
        <w:rPr>
          <w:rStyle w:val="bumpedfont15"/>
          <w:szCs w:val="24"/>
          <w:lang w:val="ru-RU"/>
        </w:rPr>
        <w:t xml:space="preserve">программного обеспечения, внедрение цифровой трансформации </w:t>
      </w:r>
      <w:r w:rsidR="00AB71C9" w:rsidRPr="001A332D">
        <w:rPr>
          <w:rStyle w:val="bumpedfont15"/>
          <w:szCs w:val="24"/>
          <w:lang w:val="ru-RU"/>
        </w:rPr>
        <w:t xml:space="preserve">видов </w:t>
      </w:r>
      <w:r w:rsidRPr="001A332D">
        <w:rPr>
          <w:rStyle w:val="bumpedfont15"/>
          <w:szCs w:val="24"/>
          <w:lang w:val="ru-RU"/>
        </w:rPr>
        <w:t xml:space="preserve">деятельности и процедур, а также определение возможностей для сокращения накладных расходов </w:t>
      </w:r>
      <w:r w:rsidR="00AB71C9" w:rsidRPr="001A332D">
        <w:rPr>
          <w:lang w:val="ru-RU"/>
        </w:rPr>
        <w:t>путем привлечения внешних исполнителей для тех услуг по внутренней поддержке</w:t>
      </w:r>
      <w:r w:rsidRPr="001A332D">
        <w:rPr>
          <w:rStyle w:val="bumpedfont15"/>
          <w:szCs w:val="24"/>
          <w:lang w:val="ru-RU"/>
        </w:rPr>
        <w:t>, которые доступны на</w:t>
      </w:r>
      <w:r w:rsidR="00EC490B" w:rsidRPr="001A332D">
        <w:rPr>
          <w:rStyle w:val="bumpedfont15"/>
          <w:szCs w:val="24"/>
          <w:lang w:val="ru-RU"/>
        </w:rPr>
        <w:t> </w:t>
      </w:r>
      <w:r w:rsidRPr="001A332D">
        <w:rPr>
          <w:rStyle w:val="bumpedfont15"/>
          <w:szCs w:val="24"/>
          <w:lang w:val="ru-RU"/>
        </w:rPr>
        <w:t>коммерческой основе.</w:t>
      </w:r>
    </w:p>
    <w:p w14:paraId="192A66C3" w14:textId="45F441A3" w:rsidR="00AB71C9" w:rsidRPr="001A332D" w:rsidRDefault="00AB71C9" w:rsidP="00AB71C9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 xml:space="preserve">Потребуется тщательная оценка для определения </w:t>
      </w:r>
      <w:r w:rsidR="00EC490B" w:rsidRPr="001A332D">
        <w:rPr>
          <w:rFonts w:asciiTheme="minorHAnsi" w:hAnsiTheme="minorHAnsi" w:cstheme="minorHAnsi"/>
          <w:szCs w:val="24"/>
          <w:lang w:val="ru-RU"/>
        </w:rPr>
        <w:t xml:space="preserve">таких 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будущих мер по повышению эффективности, которые позволят снизить накладные расходы и увеличить </w:t>
      </w:r>
      <w:r w:rsidR="00EC490B" w:rsidRPr="001A332D">
        <w:rPr>
          <w:rFonts w:asciiTheme="minorHAnsi" w:hAnsiTheme="minorHAnsi" w:cstheme="minorHAnsi"/>
          <w:szCs w:val="24"/>
          <w:lang w:val="ru-RU"/>
        </w:rPr>
        <w:t>обеспеченность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ресурс</w:t>
      </w:r>
      <w:r w:rsidR="00EC490B" w:rsidRPr="001A332D">
        <w:rPr>
          <w:rFonts w:asciiTheme="minorHAnsi" w:hAnsiTheme="minorHAnsi" w:cstheme="minorHAnsi"/>
          <w:szCs w:val="24"/>
          <w:lang w:val="ru-RU"/>
        </w:rPr>
        <w:t>ами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, </w:t>
      </w:r>
      <w:r w:rsidR="00EC490B" w:rsidRPr="001A332D">
        <w:rPr>
          <w:rFonts w:asciiTheme="minorHAnsi" w:hAnsiTheme="minorHAnsi" w:cstheme="minorHAnsi"/>
          <w:szCs w:val="24"/>
          <w:lang w:val="ru-RU"/>
        </w:rPr>
        <w:t xml:space="preserve">которые </w:t>
      </w:r>
      <w:r w:rsidRPr="001A332D">
        <w:rPr>
          <w:rFonts w:asciiTheme="minorHAnsi" w:hAnsiTheme="minorHAnsi" w:cstheme="minorHAnsi"/>
          <w:szCs w:val="24"/>
          <w:lang w:val="ru-RU"/>
        </w:rPr>
        <w:t>направл</w:t>
      </w:r>
      <w:r w:rsidR="00B94E6A" w:rsidRPr="001A332D">
        <w:rPr>
          <w:rFonts w:asciiTheme="minorHAnsi" w:hAnsiTheme="minorHAnsi" w:cstheme="minorHAnsi"/>
          <w:szCs w:val="24"/>
          <w:lang w:val="ru-RU"/>
        </w:rPr>
        <w:t>я</w:t>
      </w:r>
      <w:r w:rsidR="00EC490B" w:rsidRPr="001A332D">
        <w:rPr>
          <w:rFonts w:asciiTheme="minorHAnsi" w:hAnsiTheme="minorHAnsi" w:cstheme="minorHAnsi"/>
          <w:szCs w:val="24"/>
          <w:lang w:val="ru-RU"/>
        </w:rPr>
        <w:t>ются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на выполнение миссии МСЭ и поддержку его членов.</w:t>
      </w:r>
    </w:p>
    <w:p w14:paraId="10A868B7" w14:textId="196B5D97" w:rsidR="00C64D9C" w:rsidRPr="001A332D" w:rsidRDefault="00B94E6A" w:rsidP="00AB71C9">
      <w:pPr>
        <w:rPr>
          <w:rFonts w:asciiTheme="minorHAnsi" w:hAnsiTheme="minorHAnsi" w:cstheme="minorHAnsi"/>
          <w:szCs w:val="24"/>
          <w:lang w:val="ru-RU"/>
        </w:rPr>
      </w:pPr>
      <w:r w:rsidRPr="001A332D">
        <w:rPr>
          <w:rFonts w:asciiTheme="minorHAnsi" w:hAnsiTheme="minorHAnsi" w:cstheme="minorHAnsi"/>
          <w:szCs w:val="24"/>
          <w:lang w:val="ru-RU"/>
        </w:rPr>
        <w:t>В то же время</w:t>
      </w:r>
      <w:r w:rsidR="00AB71C9" w:rsidRPr="001A332D">
        <w:rPr>
          <w:rFonts w:asciiTheme="minorHAnsi" w:hAnsiTheme="minorHAnsi" w:cstheme="minorHAnsi"/>
          <w:szCs w:val="24"/>
          <w:lang w:val="ru-RU"/>
        </w:rPr>
        <w:t xml:space="preserve"> Государствам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 – </w:t>
      </w:r>
      <w:r w:rsidR="00AB71C9" w:rsidRPr="001A332D">
        <w:rPr>
          <w:rFonts w:asciiTheme="minorHAnsi" w:hAnsiTheme="minorHAnsi" w:cstheme="minorHAnsi"/>
          <w:szCs w:val="24"/>
          <w:lang w:val="ru-RU"/>
        </w:rPr>
        <w:t xml:space="preserve">Членам МСЭ предлагается рассмотреть вопрос об увеличении 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количества </w:t>
      </w:r>
      <w:r w:rsidR="00AB71C9" w:rsidRPr="001A332D">
        <w:rPr>
          <w:rFonts w:asciiTheme="minorHAnsi" w:hAnsiTheme="minorHAnsi" w:cstheme="minorHAnsi"/>
          <w:szCs w:val="24"/>
          <w:lang w:val="ru-RU"/>
        </w:rPr>
        <w:t xml:space="preserve">своих </w:t>
      </w:r>
      <w:r w:rsidRPr="001A332D">
        <w:rPr>
          <w:rFonts w:asciiTheme="minorHAnsi" w:hAnsiTheme="minorHAnsi" w:cstheme="minorHAnsi"/>
          <w:szCs w:val="24"/>
          <w:lang w:val="ru-RU"/>
        </w:rPr>
        <w:t>е</w:t>
      </w:r>
      <w:r w:rsidR="00AB71C9" w:rsidRPr="001A332D">
        <w:rPr>
          <w:rFonts w:asciiTheme="minorHAnsi" w:hAnsiTheme="minorHAnsi" w:cstheme="minorHAnsi"/>
          <w:szCs w:val="24"/>
          <w:lang w:val="ru-RU"/>
        </w:rPr>
        <w:t>диниц взноса. Дополнительные 50 единиц в целом обеспечат Союзу возможность эффективно выполнять свой мандат. Предлага</w:t>
      </w:r>
      <w:r w:rsidRPr="001A332D">
        <w:rPr>
          <w:rFonts w:asciiTheme="minorHAnsi" w:hAnsiTheme="minorHAnsi" w:cstheme="minorHAnsi"/>
          <w:szCs w:val="24"/>
          <w:lang w:val="ru-RU"/>
        </w:rPr>
        <w:t>е</w:t>
      </w:r>
      <w:r w:rsidR="00AB71C9" w:rsidRPr="001A332D">
        <w:rPr>
          <w:rFonts w:asciiTheme="minorHAnsi" w:hAnsiTheme="minorHAnsi" w:cstheme="minorHAnsi"/>
          <w:szCs w:val="24"/>
          <w:lang w:val="ru-RU"/>
        </w:rPr>
        <w:t>тся</w:t>
      </w:r>
      <w:r w:rsidRPr="001A332D">
        <w:rPr>
          <w:rFonts w:asciiTheme="minorHAnsi" w:hAnsiTheme="minorHAnsi" w:cstheme="minorHAnsi"/>
          <w:szCs w:val="24"/>
          <w:lang w:val="ru-RU"/>
        </w:rPr>
        <w:t xml:space="preserve"> вносить</w:t>
      </w:r>
      <w:r w:rsidR="00AB71C9" w:rsidRPr="001A332D">
        <w:rPr>
          <w:rFonts w:asciiTheme="minorHAnsi" w:hAnsiTheme="minorHAnsi" w:cstheme="minorHAnsi"/>
          <w:szCs w:val="24"/>
          <w:lang w:val="ru-RU"/>
        </w:rPr>
        <w:t xml:space="preserve"> добровольные взносы для восполнения дефицита бюджета.</w:t>
      </w:r>
    </w:p>
    <w:p w14:paraId="6E444A8F" w14:textId="3B7EF8DF" w:rsidR="009D7FA2" w:rsidRPr="001A332D" w:rsidRDefault="00F40D1B" w:rsidP="00CE70B0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1A332D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9D7FA2" w:rsidRPr="001A332D" w:rsidSect="0058072E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C92F" w14:textId="77777777" w:rsidR="002909D1" w:rsidRDefault="002909D1">
      <w:r>
        <w:separator/>
      </w:r>
    </w:p>
  </w:endnote>
  <w:endnote w:type="continuationSeparator" w:id="0">
    <w:p w14:paraId="4ED053C7" w14:textId="77777777" w:rsidR="002909D1" w:rsidRDefault="0029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97" w14:textId="359FFB76" w:rsidR="000E568E" w:rsidRPr="00E12344" w:rsidRDefault="00B93A28" w:rsidP="009B0BAE">
    <w:pPr>
      <w:pStyle w:val="Footer"/>
      <w:rPr>
        <w:sz w:val="18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12344">
      <w:t>P:\RUS\SG\CONSEIL\C22\100\102REV1R.docx</w:t>
    </w:r>
    <w:r>
      <w:fldChar w:fldCharType="end"/>
    </w:r>
    <w:r w:rsidR="000E568E" w:rsidRPr="00E12344">
      <w:t xml:space="preserve"> (</w:t>
    </w:r>
    <w:r w:rsidR="00E12344" w:rsidRPr="00E12344">
      <w:rPr>
        <w:lang w:val="en-GB"/>
      </w:rPr>
      <w:t>512424</w:t>
    </w:r>
    <w:r w:rsidR="000E568E" w:rsidRPr="00E1234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B95" w14:textId="0357281D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AAFF" w14:textId="77777777" w:rsidR="002909D1" w:rsidRDefault="002909D1">
      <w:r>
        <w:t>____________________</w:t>
      </w:r>
    </w:p>
  </w:footnote>
  <w:footnote w:type="continuationSeparator" w:id="0">
    <w:p w14:paraId="0A928D70" w14:textId="77777777" w:rsidR="002909D1" w:rsidRDefault="0029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693" w14:textId="7DA3360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64528">
      <w:rPr>
        <w:noProof/>
      </w:rPr>
      <w:t>4</w:t>
    </w:r>
    <w:r>
      <w:rPr>
        <w:noProof/>
      </w:rPr>
      <w:fldChar w:fldCharType="end"/>
    </w:r>
  </w:p>
  <w:p w14:paraId="2EBE347E" w14:textId="328FBF4A" w:rsidR="000E568E" w:rsidRDefault="000E568E" w:rsidP="00B7701C">
    <w:pPr>
      <w:pStyle w:val="Header"/>
    </w:pPr>
    <w:r>
      <w:t>C</w:t>
    </w:r>
    <w:r w:rsidR="00442515">
      <w:t>2</w:t>
    </w:r>
    <w:r w:rsidR="00863B54">
      <w:t>2</w:t>
    </w:r>
    <w:r>
      <w:t>/</w:t>
    </w:r>
    <w:r w:rsidR="00171EAE">
      <w:rPr>
        <w:lang w:val="ru-RU"/>
      </w:rPr>
      <w:t>10</w:t>
    </w:r>
    <w:r w:rsidR="00165CCA">
      <w:rPr>
        <w:lang w:val="ru-RU"/>
      </w:rPr>
      <w:t>2</w:t>
    </w:r>
    <w:r w:rsidR="00017742">
      <w:rPr>
        <w:lang w:val="ru-RU"/>
      </w:rPr>
      <w:t>(</w:t>
    </w:r>
    <w:r w:rsidR="00017742">
      <w:rPr>
        <w:lang w:val="en-GB"/>
      </w:rPr>
      <w:t>Rev.1</w:t>
    </w:r>
    <w:r w:rsidR="00017742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FA723"/>
    <w:multiLevelType w:val="hybridMultilevel"/>
    <w:tmpl w:val="FFFFFFFF"/>
    <w:lvl w:ilvl="0" w:tplc="01F69C1E">
      <w:start w:val="1"/>
      <w:numFmt w:val="decimal"/>
      <w:lvlText w:val="%1)"/>
      <w:lvlJc w:val="left"/>
      <w:pPr>
        <w:ind w:left="720" w:hanging="360"/>
      </w:pPr>
    </w:lvl>
    <w:lvl w:ilvl="1" w:tplc="C2386DD0">
      <w:start w:val="1"/>
      <w:numFmt w:val="lowerLetter"/>
      <w:lvlText w:val="%2."/>
      <w:lvlJc w:val="left"/>
      <w:pPr>
        <w:ind w:left="1440" w:hanging="360"/>
      </w:pPr>
    </w:lvl>
    <w:lvl w:ilvl="2" w:tplc="631CB3E0">
      <w:start w:val="1"/>
      <w:numFmt w:val="lowerRoman"/>
      <w:lvlText w:val="%3."/>
      <w:lvlJc w:val="right"/>
      <w:pPr>
        <w:ind w:left="2160" w:hanging="180"/>
      </w:pPr>
    </w:lvl>
    <w:lvl w:ilvl="3" w:tplc="1B7233B0">
      <w:start w:val="1"/>
      <w:numFmt w:val="decimal"/>
      <w:lvlText w:val="%4."/>
      <w:lvlJc w:val="left"/>
      <w:pPr>
        <w:ind w:left="2880" w:hanging="360"/>
      </w:pPr>
    </w:lvl>
    <w:lvl w:ilvl="4" w:tplc="3CEEE536">
      <w:start w:val="1"/>
      <w:numFmt w:val="lowerLetter"/>
      <w:lvlText w:val="%5."/>
      <w:lvlJc w:val="left"/>
      <w:pPr>
        <w:ind w:left="3600" w:hanging="360"/>
      </w:pPr>
    </w:lvl>
    <w:lvl w:ilvl="5" w:tplc="EDFEDF4C">
      <w:start w:val="1"/>
      <w:numFmt w:val="lowerRoman"/>
      <w:lvlText w:val="%6."/>
      <w:lvlJc w:val="right"/>
      <w:pPr>
        <w:ind w:left="4320" w:hanging="180"/>
      </w:pPr>
    </w:lvl>
    <w:lvl w:ilvl="6" w:tplc="23A4B10C">
      <w:start w:val="1"/>
      <w:numFmt w:val="decimal"/>
      <w:lvlText w:val="%7."/>
      <w:lvlJc w:val="left"/>
      <w:pPr>
        <w:ind w:left="5040" w:hanging="360"/>
      </w:pPr>
    </w:lvl>
    <w:lvl w:ilvl="7" w:tplc="916EAB26">
      <w:start w:val="1"/>
      <w:numFmt w:val="lowerLetter"/>
      <w:lvlText w:val="%8."/>
      <w:lvlJc w:val="left"/>
      <w:pPr>
        <w:ind w:left="5760" w:hanging="360"/>
      </w:pPr>
    </w:lvl>
    <w:lvl w:ilvl="8" w:tplc="3E469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CAB"/>
    <w:multiLevelType w:val="hybridMultilevel"/>
    <w:tmpl w:val="14881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101E0"/>
    <w:multiLevelType w:val="hybridMultilevel"/>
    <w:tmpl w:val="2FEC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6A97"/>
    <w:multiLevelType w:val="hybridMultilevel"/>
    <w:tmpl w:val="EA8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5792">
    <w:abstractNumId w:val="0"/>
  </w:num>
  <w:num w:numId="2" w16cid:durableId="1466772375">
    <w:abstractNumId w:val="3"/>
  </w:num>
  <w:num w:numId="3" w16cid:durableId="1207451894">
    <w:abstractNumId w:val="1"/>
  </w:num>
  <w:num w:numId="4" w16cid:durableId="1596786382">
    <w:abstractNumId w:val="2"/>
  </w:num>
  <w:num w:numId="5" w16cid:durableId="32178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2"/>
    <w:rsid w:val="000007BF"/>
    <w:rsid w:val="00001E65"/>
    <w:rsid w:val="00002491"/>
    <w:rsid w:val="0000758E"/>
    <w:rsid w:val="000141AC"/>
    <w:rsid w:val="000141C5"/>
    <w:rsid w:val="00017742"/>
    <w:rsid w:val="0002183E"/>
    <w:rsid w:val="00022B1B"/>
    <w:rsid w:val="00022DF0"/>
    <w:rsid w:val="00022EFC"/>
    <w:rsid w:val="0003436E"/>
    <w:rsid w:val="000364C8"/>
    <w:rsid w:val="00037262"/>
    <w:rsid w:val="000405DA"/>
    <w:rsid w:val="00040F94"/>
    <w:rsid w:val="00045F18"/>
    <w:rsid w:val="00053FEC"/>
    <w:rsid w:val="000569B4"/>
    <w:rsid w:val="00063CCB"/>
    <w:rsid w:val="00075884"/>
    <w:rsid w:val="00080E82"/>
    <w:rsid w:val="00084B44"/>
    <w:rsid w:val="00084BC6"/>
    <w:rsid w:val="00091A7F"/>
    <w:rsid w:val="000A19CC"/>
    <w:rsid w:val="000A7399"/>
    <w:rsid w:val="000B4FE5"/>
    <w:rsid w:val="000C53D3"/>
    <w:rsid w:val="000D584C"/>
    <w:rsid w:val="000D7C23"/>
    <w:rsid w:val="000E3B0D"/>
    <w:rsid w:val="000E568E"/>
    <w:rsid w:val="0010304C"/>
    <w:rsid w:val="00104212"/>
    <w:rsid w:val="00105A65"/>
    <w:rsid w:val="001146F2"/>
    <w:rsid w:val="00116D2F"/>
    <w:rsid w:val="0012346D"/>
    <w:rsid w:val="00137B5C"/>
    <w:rsid w:val="0014324F"/>
    <w:rsid w:val="0014734F"/>
    <w:rsid w:val="001475F6"/>
    <w:rsid w:val="00153AB8"/>
    <w:rsid w:val="0015710D"/>
    <w:rsid w:val="00157446"/>
    <w:rsid w:val="001613FD"/>
    <w:rsid w:val="001616BB"/>
    <w:rsid w:val="00163A32"/>
    <w:rsid w:val="001647CB"/>
    <w:rsid w:val="00165CCA"/>
    <w:rsid w:val="00171EAE"/>
    <w:rsid w:val="00176337"/>
    <w:rsid w:val="001846B9"/>
    <w:rsid w:val="00192B41"/>
    <w:rsid w:val="00195E60"/>
    <w:rsid w:val="00195F62"/>
    <w:rsid w:val="001A2D19"/>
    <w:rsid w:val="001A332D"/>
    <w:rsid w:val="001B0D9F"/>
    <w:rsid w:val="001B4BB2"/>
    <w:rsid w:val="001B7598"/>
    <w:rsid w:val="001B7B09"/>
    <w:rsid w:val="001D3DC5"/>
    <w:rsid w:val="001E6719"/>
    <w:rsid w:val="001E7F50"/>
    <w:rsid w:val="001E7FF8"/>
    <w:rsid w:val="001F49E8"/>
    <w:rsid w:val="001F7775"/>
    <w:rsid w:val="0020035F"/>
    <w:rsid w:val="002130CB"/>
    <w:rsid w:val="00221BA0"/>
    <w:rsid w:val="00225368"/>
    <w:rsid w:val="00227FF0"/>
    <w:rsid w:val="00242B15"/>
    <w:rsid w:val="00254B62"/>
    <w:rsid w:val="00256422"/>
    <w:rsid w:val="00276943"/>
    <w:rsid w:val="0028199D"/>
    <w:rsid w:val="002853C9"/>
    <w:rsid w:val="002909D1"/>
    <w:rsid w:val="00291EB6"/>
    <w:rsid w:val="002A2D7A"/>
    <w:rsid w:val="002B550D"/>
    <w:rsid w:val="002C1205"/>
    <w:rsid w:val="002D2F57"/>
    <w:rsid w:val="002D48C5"/>
    <w:rsid w:val="002D4E0A"/>
    <w:rsid w:val="002D7367"/>
    <w:rsid w:val="00331610"/>
    <w:rsid w:val="00331F34"/>
    <w:rsid w:val="00335048"/>
    <w:rsid w:val="00337E61"/>
    <w:rsid w:val="0034174B"/>
    <w:rsid w:val="00345062"/>
    <w:rsid w:val="00345C6D"/>
    <w:rsid w:val="00352211"/>
    <w:rsid w:val="00352384"/>
    <w:rsid w:val="00353C7B"/>
    <w:rsid w:val="00355663"/>
    <w:rsid w:val="00362189"/>
    <w:rsid w:val="00366231"/>
    <w:rsid w:val="00371162"/>
    <w:rsid w:val="00380CC9"/>
    <w:rsid w:val="00381E02"/>
    <w:rsid w:val="0039531C"/>
    <w:rsid w:val="0039533B"/>
    <w:rsid w:val="003A5FF6"/>
    <w:rsid w:val="003C578F"/>
    <w:rsid w:val="003D11AE"/>
    <w:rsid w:val="003D4C0E"/>
    <w:rsid w:val="003E1881"/>
    <w:rsid w:val="003E5AAE"/>
    <w:rsid w:val="003E64CB"/>
    <w:rsid w:val="003F099E"/>
    <w:rsid w:val="003F235E"/>
    <w:rsid w:val="003F2A74"/>
    <w:rsid w:val="00400B77"/>
    <w:rsid w:val="004023E0"/>
    <w:rsid w:val="00403DD8"/>
    <w:rsid w:val="00406D37"/>
    <w:rsid w:val="00412B76"/>
    <w:rsid w:val="0043259B"/>
    <w:rsid w:val="00432DEB"/>
    <w:rsid w:val="004415FF"/>
    <w:rsid w:val="00442515"/>
    <w:rsid w:val="00454D53"/>
    <w:rsid w:val="004555F5"/>
    <w:rsid w:val="0045686C"/>
    <w:rsid w:val="00467689"/>
    <w:rsid w:val="004835E1"/>
    <w:rsid w:val="0049043A"/>
    <w:rsid w:val="004918C4"/>
    <w:rsid w:val="00491AA5"/>
    <w:rsid w:val="00497703"/>
    <w:rsid w:val="004A0374"/>
    <w:rsid w:val="004A45B5"/>
    <w:rsid w:val="004C31DA"/>
    <w:rsid w:val="004C6320"/>
    <w:rsid w:val="004D0129"/>
    <w:rsid w:val="004D09BA"/>
    <w:rsid w:val="004D4293"/>
    <w:rsid w:val="004F14B9"/>
    <w:rsid w:val="004F336D"/>
    <w:rsid w:val="004F66A9"/>
    <w:rsid w:val="005073A9"/>
    <w:rsid w:val="005240F9"/>
    <w:rsid w:val="00533789"/>
    <w:rsid w:val="00540059"/>
    <w:rsid w:val="00541D51"/>
    <w:rsid w:val="00553FAC"/>
    <w:rsid w:val="005642F8"/>
    <w:rsid w:val="00577660"/>
    <w:rsid w:val="0058072E"/>
    <w:rsid w:val="00587A51"/>
    <w:rsid w:val="00596D2A"/>
    <w:rsid w:val="005976F1"/>
    <w:rsid w:val="005A64D5"/>
    <w:rsid w:val="005A7444"/>
    <w:rsid w:val="005A7AB8"/>
    <w:rsid w:val="005B0A80"/>
    <w:rsid w:val="005B3DEC"/>
    <w:rsid w:val="005B5736"/>
    <w:rsid w:val="005C5024"/>
    <w:rsid w:val="005C6535"/>
    <w:rsid w:val="005D475D"/>
    <w:rsid w:val="005F0EBE"/>
    <w:rsid w:val="00601192"/>
    <w:rsid w:val="00601994"/>
    <w:rsid w:val="00607DC6"/>
    <w:rsid w:val="00631927"/>
    <w:rsid w:val="0063712D"/>
    <w:rsid w:val="00650847"/>
    <w:rsid w:val="00650BF0"/>
    <w:rsid w:val="00653CFA"/>
    <w:rsid w:val="00661453"/>
    <w:rsid w:val="00674822"/>
    <w:rsid w:val="00684681"/>
    <w:rsid w:val="00691F85"/>
    <w:rsid w:val="006A4C1E"/>
    <w:rsid w:val="006B08FF"/>
    <w:rsid w:val="006B5CE1"/>
    <w:rsid w:val="006C2894"/>
    <w:rsid w:val="006E0307"/>
    <w:rsid w:val="006E2D42"/>
    <w:rsid w:val="006F13D0"/>
    <w:rsid w:val="006F5083"/>
    <w:rsid w:val="006F5CBE"/>
    <w:rsid w:val="00701A27"/>
    <w:rsid w:val="00703676"/>
    <w:rsid w:val="00707304"/>
    <w:rsid w:val="00715864"/>
    <w:rsid w:val="00715F1C"/>
    <w:rsid w:val="00717882"/>
    <w:rsid w:val="00732269"/>
    <w:rsid w:val="00732B53"/>
    <w:rsid w:val="00733945"/>
    <w:rsid w:val="0073543B"/>
    <w:rsid w:val="00761443"/>
    <w:rsid w:val="007620FE"/>
    <w:rsid w:val="00763E36"/>
    <w:rsid w:val="0076778F"/>
    <w:rsid w:val="007709D1"/>
    <w:rsid w:val="00772C16"/>
    <w:rsid w:val="00781667"/>
    <w:rsid w:val="00785ABD"/>
    <w:rsid w:val="00786383"/>
    <w:rsid w:val="007902C1"/>
    <w:rsid w:val="00794036"/>
    <w:rsid w:val="007A2978"/>
    <w:rsid w:val="007A2DD4"/>
    <w:rsid w:val="007A6CCE"/>
    <w:rsid w:val="007B005C"/>
    <w:rsid w:val="007B7ACE"/>
    <w:rsid w:val="007C6772"/>
    <w:rsid w:val="007D2AF3"/>
    <w:rsid w:val="007D38B5"/>
    <w:rsid w:val="007E1648"/>
    <w:rsid w:val="007E1A4B"/>
    <w:rsid w:val="007E7EA0"/>
    <w:rsid w:val="00807255"/>
    <w:rsid w:val="0081023E"/>
    <w:rsid w:val="0081433D"/>
    <w:rsid w:val="00815652"/>
    <w:rsid w:val="008173AA"/>
    <w:rsid w:val="0083100B"/>
    <w:rsid w:val="00834F2C"/>
    <w:rsid w:val="00840A14"/>
    <w:rsid w:val="00842296"/>
    <w:rsid w:val="00843C5F"/>
    <w:rsid w:val="00850DC1"/>
    <w:rsid w:val="00851FC1"/>
    <w:rsid w:val="008536F0"/>
    <w:rsid w:val="0085411D"/>
    <w:rsid w:val="00855185"/>
    <w:rsid w:val="0086373A"/>
    <w:rsid w:val="00863B54"/>
    <w:rsid w:val="008A7827"/>
    <w:rsid w:val="008B0D32"/>
    <w:rsid w:val="008B62B4"/>
    <w:rsid w:val="008B725F"/>
    <w:rsid w:val="008C08CF"/>
    <w:rsid w:val="008C2610"/>
    <w:rsid w:val="008C34D7"/>
    <w:rsid w:val="008D058C"/>
    <w:rsid w:val="008D2D7B"/>
    <w:rsid w:val="008D68BA"/>
    <w:rsid w:val="008E0737"/>
    <w:rsid w:val="008E10C0"/>
    <w:rsid w:val="008F1615"/>
    <w:rsid w:val="008F236F"/>
    <w:rsid w:val="008F7C2C"/>
    <w:rsid w:val="00907E48"/>
    <w:rsid w:val="009233A8"/>
    <w:rsid w:val="00927F7C"/>
    <w:rsid w:val="009374AE"/>
    <w:rsid w:val="009405E4"/>
    <w:rsid w:val="00940E96"/>
    <w:rsid w:val="00943FA4"/>
    <w:rsid w:val="00951294"/>
    <w:rsid w:val="009577FE"/>
    <w:rsid w:val="009609E8"/>
    <w:rsid w:val="00960C8A"/>
    <w:rsid w:val="00964528"/>
    <w:rsid w:val="00967338"/>
    <w:rsid w:val="00980E18"/>
    <w:rsid w:val="009872B5"/>
    <w:rsid w:val="0099018F"/>
    <w:rsid w:val="009923DA"/>
    <w:rsid w:val="00994D79"/>
    <w:rsid w:val="00996C6A"/>
    <w:rsid w:val="009B0BAE"/>
    <w:rsid w:val="009C0E7B"/>
    <w:rsid w:val="009C1C89"/>
    <w:rsid w:val="009C35EF"/>
    <w:rsid w:val="009D1E73"/>
    <w:rsid w:val="009D27B7"/>
    <w:rsid w:val="009D7FA2"/>
    <w:rsid w:val="009E7E57"/>
    <w:rsid w:val="009F3448"/>
    <w:rsid w:val="00A009D1"/>
    <w:rsid w:val="00A0197D"/>
    <w:rsid w:val="00A01CF9"/>
    <w:rsid w:val="00A11EFE"/>
    <w:rsid w:val="00A21B64"/>
    <w:rsid w:val="00A3115D"/>
    <w:rsid w:val="00A3197C"/>
    <w:rsid w:val="00A52F57"/>
    <w:rsid w:val="00A56356"/>
    <w:rsid w:val="00A60D79"/>
    <w:rsid w:val="00A67526"/>
    <w:rsid w:val="00A71773"/>
    <w:rsid w:val="00AB5D85"/>
    <w:rsid w:val="00AB71C9"/>
    <w:rsid w:val="00AC1776"/>
    <w:rsid w:val="00AE2C85"/>
    <w:rsid w:val="00AE7298"/>
    <w:rsid w:val="00B10673"/>
    <w:rsid w:val="00B12A37"/>
    <w:rsid w:val="00B14B41"/>
    <w:rsid w:val="00B20C61"/>
    <w:rsid w:val="00B223F5"/>
    <w:rsid w:val="00B34D1D"/>
    <w:rsid w:val="00B54182"/>
    <w:rsid w:val="00B60721"/>
    <w:rsid w:val="00B63EF2"/>
    <w:rsid w:val="00B67D71"/>
    <w:rsid w:val="00B7655D"/>
    <w:rsid w:val="00B7701C"/>
    <w:rsid w:val="00B816C2"/>
    <w:rsid w:val="00B901BC"/>
    <w:rsid w:val="00B934B1"/>
    <w:rsid w:val="00B93A28"/>
    <w:rsid w:val="00B94E6A"/>
    <w:rsid w:val="00BA7D89"/>
    <w:rsid w:val="00BB059C"/>
    <w:rsid w:val="00BB64FD"/>
    <w:rsid w:val="00BC0D39"/>
    <w:rsid w:val="00BC234E"/>
    <w:rsid w:val="00BC7BC0"/>
    <w:rsid w:val="00BD1A48"/>
    <w:rsid w:val="00BD57B7"/>
    <w:rsid w:val="00BE63E2"/>
    <w:rsid w:val="00BF4950"/>
    <w:rsid w:val="00C15644"/>
    <w:rsid w:val="00C2047B"/>
    <w:rsid w:val="00C20610"/>
    <w:rsid w:val="00C23914"/>
    <w:rsid w:val="00C254B6"/>
    <w:rsid w:val="00C45A86"/>
    <w:rsid w:val="00C47FB2"/>
    <w:rsid w:val="00C52C08"/>
    <w:rsid w:val="00C6245A"/>
    <w:rsid w:val="00C64D9C"/>
    <w:rsid w:val="00C763AE"/>
    <w:rsid w:val="00C77048"/>
    <w:rsid w:val="00C80D41"/>
    <w:rsid w:val="00C87732"/>
    <w:rsid w:val="00C902BD"/>
    <w:rsid w:val="00C90CBE"/>
    <w:rsid w:val="00CA1322"/>
    <w:rsid w:val="00CA165C"/>
    <w:rsid w:val="00CA4F1C"/>
    <w:rsid w:val="00CD2009"/>
    <w:rsid w:val="00CD229D"/>
    <w:rsid w:val="00CE70B0"/>
    <w:rsid w:val="00CF629C"/>
    <w:rsid w:val="00D03288"/>
    <w:rsid w:val="00D32355"/>
    <w:rsid w:val="00D42401"/>
    <w:rsid w:val="00D73391"/>
    <w:rsid w:val="00D76F83"/>
    <w:rsid w:val="00D772B4"/>
    <w:rsid w:val="00D8431B"/>
    <w:rsid w:val="00D853B2"/>
    <w:rsid w:val="00D86E9A"/>
    <w:rsid w:val="00D92EEA"/>
    <w:rsid w:val="00DA5D4E"/>
    <w:rsid w:val="00DB6B60"/>
    <w:rsid w:val="00DD5DB2"/>
    <w:rsid w:val="00DE0EF0"/>
    <w:rsid w:val="00E046D8"/>
    <w:rsid w:val="00E11823"/>
    <w:rsid w:val="00E12344"/>
    <w:rsid w:val="00E13298"/>
    <w:rsid w:val="00E136F8"/>
    <w:rsid w:val="00E176BA"/>
    <w:rsid w:val="00E2060D"/>
    <w:rsid w:val="00E423EC"/>
    <w:rsid w:val="00E46955"/>
    <w:rsid w:val="00E55121"/>
    <w:rsid w:val="00E63BCB"/>
    <w:rsid w:val="00E64647"/>
    <w:rsid w:val="00E6709E"/>
    <w:rsid w:val="00E72635"/>
    <w:rsid w:val="00E83DC3"/>
    <w:rsid w:val="00E85FF4"/>
    <w:rsid w:val="00E90D44"/>
    <w:rsid w:val="00EB4FCB"/>
    <w:rsid w:val="00EB72FE"/>
    <w:rsid w:val="00EC0D15"/>
    <w:rsid w:val="00EC490B"/>
    <w:rsid w:val="00EC5FC0"/>
    <w:rsid w:val="00EC6BC5"/>
    <w:rsid w:val="00ED38C6"/>
    <w:rsid w:val="00ED6DAB"/>
    <w:rsid w:val="00EF49DC"/>
    <w:rsid w:val="00EF4B35"/>
    <w:rsid w:val="00F0716E"/>
    <w:rsid w:val="00F07375"/>
    <w:rsid w:val="00F1289E"/>
    <w:rsid w:val="00F262A4"/>
    <w:rsid w:val="00F30A75"/>
    <w:rsid w:val="00F338E4"/>
    <w:rsid w:val="00F35898"/>
    <w:rsid w:val="00F37B6C"/>
    <w:rsid w:val="00F40D1B"/>
    <w:rsid w:val="00F42B0B"/>
    <w:rsid w:val="00F46BE6"/>
    <w:rsid w:val="00F5225B"/>
    <w:rsid w:val="00F60824"/>
    <w:rsid w:val="00F61BAF"/>
    <w:rsid w:val="00F70F53"/>
    <w:rsid w:val="00F80A8C"/>
    <w:rsid w:val="00F811DF"/>
    <w:rsid w:val="00FA092F"/>
    <w:rsid w:val="00FB1D98"/>
    <w:rsid w:val="00FC5FA0"/>
    <w:rsid w:val="00FC7AD8"/>
    <w:rsid w:val="00FE0C08"/>
    <w:rsid w:val="00FE5701"/>
    <w:rsid w:val="00FF1091"/>
    <w:rsid w:val="00FF4F0E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69DEDE7B"/>
  <w15:docId w15:val="{375C584E-0F23-47C6-9CDF-9D9087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5FA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035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003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338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035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B77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link w:val="enumlev1"/>
    <w:locked/>
    <w:rsid w:val="00943FA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15F1C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715F1C"/>
    <w:rPr>
      <w:rFonts w:ascii="Calibri" w:hAnsi="Calibri"/>
      <w:b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1EAE"/>
    <w:rPr>
      <w:color w:val="605E5C"/>
      <w:shd w:val="clear" w:color="auto" w:fill="E1DFDD"/>
    </w:rPr>
  </w:style>
  <w:style w:type="table" w:styleId="TableGrid">
    <w:name w:val="Table Grid"/>
    <w:basedOn w:val="TableNormal"/>
    <w:rsid w:val="00116D2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1788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C64D9C"/>
    <w:rPr>
      <w:rFonts w:ascii="Calibri" w:hAnsi="Calibri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64D9C"/>
  </w:style>
  <w:style w:type="character" w:customStyle="1" w:styleId="bumpedfont15">
    <w:name w:val="bumpedfont15"/>
    <w:basedOn w:val="DefaultParagraphFont"/>
    <w:rsid w:val="00C64D9C"/>
  </w:style>
  <w:style w:type="table" w:customStyle="1" w:styleId="TableGrid1">
    <w:name w:val="Table Grid1"/>
    <w:basedOn w:val="TableNormal"/>
    <w:next w:val="TableGrid"/>
    <w:uiPriority w:val="39"/>
    <w:rsid w:val="000D7C2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2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7/en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CL-C-0045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Constitution-r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itu.int/en/council/Documents/basic-texts/DEC-005-r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ties/Documents/Financial-regulations/S-GEN-REG_RGTFIN-2018-PDF-r.pdf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181</TotalTime>
  <Pages>7</Pages>
  <Words>2024</Words>
  <Characters>12053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Financial situation as of 24 August 2022 and budget implementation forecast until 31 December 2022</vt:lpstr>
      <vt:lpstr/>
    </vt:vector>
  </TitlesOfParts>
  <Manager>General Secretariat - Pool</Manager>
  <Company>International Telecommunication Union (ITU)</Company>
  <LinksUpToDate>false</LinksUpToDate>
  <CharactersWithSpaces>14049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situation as of 24 August 2022 and budget implementation forecast until 31 December 2022</dc:title>
  <dc:subject>Council 2022</dc:subject>
  <dc:creator>Russian</dc:creator>
  <cp:keywords>C2022, C22</cp:keywords>
  <dc:description/>
  <cp:lastModifiedBy>Sikacheva, Violetta</cp:lastModifiedBy>
  <cp:revision>41</cp:revision>
  <cp:lastPrinted>2006-03-28T16:12:00Z</cp:lastPrinted>
  <dcterms:created xsi:type="dcterms:W3CDTF">2022-09-19T12:06:00Z</dcterms:created>
  <dcterms:modified xsi:type="dcterms:W3CDTF">2022-09-22T18:15:00Z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