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13E00" w14:paraId="6BE7A6DB" w14:textId="77777777">
        <w:trPr>
          <w:cantSplit/>
        </w:trPr>
        <w:tc>
          <w:tcPr>
            <w:tcW w:w="6912" w:type="dxa"/>
          </w:tcPr>
          <w:p w14:paraId="562FD3E6" w14:textId="6D256972" w:rsidR="00093EEB" w:rsidRPr="00913E00" w:rsidRDefault="00093EEB" w:rsidP="00C2727F">
            <w:pPr>
              <w:spacing w:before="360"/>
              <w:rPr>
                <w:szCs w:val="24"/>
              </w:rPr>
            </w:pPr>
            <w:bookmarkStart w:id="0" w:name="dc06"/>
            <w:bookmarkStart w:id="1" w:name="dbluepink" w:colFirst="0" w:colLast="0"/>
            <w:bookmarkEnd w:id="0"/>
            <w:r w:rsidRPr="00913E00">
              <w:rPr>
                <w:b/>
                <w:bCs/>
                <w:sz w:val="30"/>
                <w:szCs w:val="30"/>
              </w:rPr>
              <w:t>Consejo 20</w:t>
            </w:r>
            <w:r w:rsidR="007955DA" w:rsidRPr="00913E00">
              <w:rPr>
                <w:b/>
                <w:bCs/>
                <w:sz w:val="30"/>
                <w:szCs w:val="30"/>
              </w:rPr>
              <w:t>2</w:t>
            </w:r>
            <w:r w:rsidR="00D50A36" w:rsidRPr="00913E00">
              <w:rPr>
                <w:b/>
                <w:bCs/>
                <w:sz w:val="30"/>
                <w:szCs w:val="30"/>
              </w:rPr>
              <w:t>2</w:t>
            </w:r>
            <w:r w:rsidRPr="00913E00">
              <w:rPr>
                <w:b/>
                <w:bCs/>
                <w:sz w:val="26"/>
                <w:szCs w:val="26"/>
              </w:rPr>
              <w:br/>
            </w:r>
            <w:r w:rsidR="00950E59" w:rsidRPr="00913E00">
              <w:rPr>
                <w:b/>
                <w:bCs/>
                <w:sz w:val="26"/>
                <w:szCs w:val="26"/>
              </w:rPr>
              <w:t xml:space="preserve">Sesión final, Bucarest, </w:t>
            </w:r>
            <w:r w:rsidR="002A28D4" w:rsidRPr="00913E00">
              <w:rPr>
                <w:b/>
                <w:bCs/>
                <w:sz w:val="26"/>
                <w:szCs w:val="26"/>
              </w:rPr>
              <w:t>24 de septiembre de</w:t>
            </w:r>
            <w:r w:rsidRPr="00913E00">
              <w:rPr>
                <w:b/>
                <w:bCs/>
                <w:sz w:val="26"/>
                <w:szCs w:val="26"/>
              </w:rPr>
              <w:t xml:space="preserve"> 20</w:t>
            </w:r>
            <w:r w:rsidR="007955DA" w:rsidRPr="00913E00">
              <w:rPr>
                <w:b/>
                <w:bCs/>
                <w:sz w:val="26"/>
                <w:szCs w:val="26"/>
              </w:rPr>
              <w:t>2</w:t>
            </w:r>
            <w:r w:rsidR="00D50A36" w:rsidRPr="00913E00">
              <w:rPr>
                <w:b/>
                <w:bCs/>
                <w:sz w:val="26"/>
                <w:szCs w:val="26"/>
              </w:rPr>
              <w:t>2</w:t>
            </w:r>
          </w:p>
        </w:tc>
        <w:tc>
          <w:tcPr>
            <w:tcW w:w="3261" w:type="dxa"/>
          </w:tcPr>
          <w:p w14:paraId="03E10E20" w14:textId="77777777" w:rsidR="00093EEB" w:rsidRPr="00913E00" w:rsidRDefault="007955DA" w:rsidP="007955DA">
            <w:pPr>
              <w:spacing w:before="0"/>
              <w:rPr>
                <w:szCs w:val="24"/>
              </w:rPr>
            </w:pPr>
            <w:bookmarkStart w:id="2" w:name="ditulogo"/>
            <w:bookmarkEnd w:id="2"/>
            <w:r w:rsidRPr="00913E00">
              <w:rPr>
                <w:noProof/>
              </w:rPr>
              <w:drawing>
                <wp:inline distT="0" distB="0" distL="0" distR="0" wp14:anchorId="0E6ED425" wp14:editId="4CCD464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13E00" w14:paraId="5F52D873" w14:textId="77777777">
        <w:trPr>
          <w:cantSplit/>
          <w:trHeight w:val="20"/>
        </w:trPr>
        <w:tc>
          <w:tcPr>
            <w:tcW w:w="10173" w:type="dxa"/>
            <w:gridSpan w:val="2"/>
            <w:tcBorders>
              <w:bottom w:val="single" w:sz="12" w:space="0" w:color="auto"/>
            </w:tcBorders>
          </w:tcPr>
          <w:p w14:paraId="30F91978" w14:textId="77777777" w:rsidR="00093EEB" w:rsidRPr="00913E00" w:rsidRDefault="00093EEB">
            <w:pPr>
              <w:spacing w:before="0"/>
              <w:rPr>
                <w:b/>
                <w:bCs/>
                <w:szCs w:val="24"/>
              </w:rPr>
            </w:pPr>
          </w:p>
        </w:tc>
      </w:tr>
      <w:tr w:rsidR="00093EEB" w:rsidRPr="00913E00" w14:paraId="4FE4571B" w14:textId="77777777">
        <w:trPr>
          <w:cantSplit/>
          <w:trHeight w:val="20"/>
        </w:trPr>
        <w:tc>
          <w:tcPr>
            <w:tcW w:w="6912" w:type="dxa"/>
            <w:tcBorders>
              <w:top w:val="single" w:sz="12" w:space="0" w:color="auto"/>
            </w:tcBorders>
          </w:tcPr>
          <w:p w14:paraId="0846950A" w14:textId="77777777" w:rsidR="00093EEB" w:rsidRPr="00913E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6D04B45" w14:textId="77777777" w:rsidR="00093EEB" w:rsidRPr="00913E00" w:rsidRDefault="00093EEB">
            <w:pPr>
              <w:spacing w:before="0"/>
              <w:rPr>
                <w:b/>
                <w:bCs/>
                <w:szCs w:val="24"/>
              </w:rPr>
            </w:pPr>
          </w:p>
        </w:tc>
      </w:tr>
      <w:tr w:rsidR="00093EEB" w:rsidRPr="00913E00" w14:paraId="359CF804" w14:textId="77777777">
        <w:trPr>
          <w:cantSplit/>
          <w:trHeight w:val="20"/>
        </w:trPr>
        <w:tc>
          <w:tcPr>
            <w:tcW w:w="6912" w:type="dxa"/>
            <w:shd w:val="clear" w:color="auto" w:fill="auto"/>
          </w:tcPr>
          <w:p w14:paraId="05EE73C4" w14:textId="314F2511" w:rsidR="00093EEB" w:rsidRPr="00913E00" w:rsidRDefault="002A28D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913E00">
              <w:rPr>
                <w:rFonts w:cs="Times"/>
                <w:b/>
                <w:szCs w:val="24"/>
              </w:rPr>
              <w:t>Punto del orden del día: ADM 29</w:t>
            </w:r>
          </w:p>
        </w:tc>
        <w:tc>
          <w:tcPr>
            <w:tcW w:w="3261" w:type="dxa"/>
          </w:tcPr>
          <w:p w14:paraId="27DBC839" w14:textId="249712E5" w:rsidR="00093EEB" w:rsidRPr="00913E00" w:rsidRDefault="00093EEB" w:rsidP="00C2727F">
            <w:pPr>
              <w:spacing w:before="0"/>
              <w:rPr>
                <w:b/>
                <w:bCs/>
                <w:szCs w:val="24"/>
              </w:rPr>
            </w:pPr>
            <w:r w:rsidRPr="00913E00">
              <w:rPr>
                <w:b/>
                <w:bCs/>
                <w:szCs w:val="24"/>
              </w:rPr>
              <w:t>Documento C</w:t>
            </w:r>
            <w:r w:rsidR="007955DA" w:rsidRPr="00913E00">
              <w:rPr>
                <w:b/>
                <w:bCs/>
                <w:szCs w:val="24"/>
              </w:rPr>
              <w:t>2</w:t>
            </w:r>
            <w:r w:rsidR="00D50A36" w:rsidRPr="00913E00">
              <w:rPr>
                <w:b/>
                <w:bCs/>
                <w:szCs w:val="24"/>
              </w:rPr>
              <w:t>2</w:t>
            </w:r>
            <w:r w:rsidRPr="00913E00">
              <w:rPr>
                <w:b/>
                <w:bCs/>
                <w:szCs w:val="24"/>
              </w:rPr>
              <w:t>/</w:t>
            </w:r>
            <w:r w:rsidR="002A28D4" w:rsidRPr="00913E00">
              <w:rPr>
                <w:b/>
                <w:bCs/>
                <w:szCs w:val="24"/>
              </w:rPr>
              <w:t>102</w:t>
            </w:r>
            <w:r w:rsidRPr="00913E00">
              <w:rPr>
                <w:b/>
                <w:bCs/>
                <w:szCs w:val="24"/>
              </w:rPr>
              <w:t>-S</w:t>
            </w:r>
          </w:p>
        </w:tc>
      </w:tr>
      <w:tr w:rsidR="00093EEB" w:rsidRPr="00913E00" w14:paraId="73C202C6" w14:textId="77777777">
        <w:trPr>
          <w:cantSplit/>
          <w:trHeight w:val="20"/>
        </w:trPr>
        <w:tc>
          <w:tcPr>
            <w:tcW w:w="6912" w:type="dxa"/>
            <w:shd w:val="clear" w:color="auto" w:fill="auto"/>
          </w:tcPr>
          <w:p w14:paraId="61E38BF7" w14:textId="77777777" w:rsidR="00093EEB" w:rsidRPr="00913E00" w:rsidRDefault="00093EEB">
            <w:pPr>
              <w:shd w:val="solid" w:color="FFFFFF" w:fill="FFFFFF"/>
              <w:spacing w:before="0"/>
              <w:rPr>
                <w:smallCaps/>
                <w:szCs w:val="24"/>
              </w:rPr>
            </w:pPr>
            <w:bookmarkStart w:id="5" w:name="ddate" w:colFirst="1" w:colLast="1"/>
            <w:bookmarkEnd w:id="3"/>
            <w:bookmarkEnd w:id="4"/>
          </w:p>
        </w:tc>
        <w:tc>
          <w:tcPr>
            <w:tcW w:w="3261" w:type="dxa"/>
          </w:tcPr>
          <w:p w14:paraId="717D6CC0" w14:textId="64057B7D" w:rsidR="00093EEB" w:rsidRPr="00913E00" w:rsidRDefault="002A28D4" w:rsidP="00E32D68">
            <w:pPr>
              <w:spacing w:before="0"/>
              <w:rPr>
                <w:b/>
                <w:bCs/>
                <w:szCs w:val="24"/>
              </w:rPr>
            </w:pPr>
            <w:r w:rsidRPr="00913E00">
              <w:rPr>
                <w:b/>
                <w:bCs/>
                <w:szCs w:val="24"/>
              </w:rPr>
              <w:t>24 de agosto</w:t>
            </w:r>
            <w:r w:rsidR="00093EEB" w:rsidRPr="00913E00">
              <w:rPr>
                <w:b/>
                <w:bCs/>
                <w:szCs w:val="24"/>
              </w:rPr>
              <w:t xml:space="preserve"> de 20</w:t>
            </w:r>
            <w:r w:rsidR="007955DA" w:rsidRPr="00913E00">
              <w:rPr>
                <w:b/>
                <w:bCs/>
                <w:szCs w:val="24"/>
              </w:rPr>
              <w:t>2</w:t>
            </w:r>
            <w:r w:rsidR="00E32D68" w:rsidRPr="00913E00">
              <w:rPr>
                <w:b/>
                <w:bCs/>
                <w:szCs w:val="24"/>
              </w:rPr>
              <w:t>2</w:t>
            </w:r>
          </w:p>
        </w:tc>
      </w:tr>
      <w:tr w:rsidR="00093EEB" w:rsidRPr="00913E00" w14:paraId="37710B53" w14:textId="77777777">
        <w:trPr>
          <w:cantSplit/>
          <w:trHeight w:val="20"/>
        </w:trPr>
        <w:tc>
          <w:tcPr>
            <w:tcW w:w="6912" w:type="dxa"/>
            <w:shd w:val="clear" w:color="auto" w:fill="auto"/>
          </w:tcPr>
          <w:p w14:paraId="74F15E09" w14:textId="77777777" w:rsidR="00093EEB" w:rsidRPr="00913E00" w:rsidRDefault="00093EEB">
            <w:pPr>
              <w:shd w:val="solid" w:color="FFFFFF" w:fill="FFFFFF"/>
              <w:spacing w:before="0"/>
              <w:rPr>
                <w:smallCaps/>
                <w:szCs w:val="24"/>
              </w:rPr>
            </w:pPr>
            <w:bookmarkStart w:id="6" w:name="dorlang" w:colFirst="1" w:colLast="1"/>
            <w:bookmarkEnd w:id="5"/>
          </w:p>
        </w:tc>
        <w:tc>
          <w:tcPr>
            <w:tcW w:w="3261" w:type="dxa"/>
          </w:tcPr>
          <w:p w14:paraId="6AB18610" w14:textId="77777777" w:rsidR="00093EEB" w:rsidRPr="00913E00" w:rsidRDefault="00093EEB" w:rsidP="00093EEB">
            <w:pPr>
              <w:spacing w:before="0"/>
              <w:rPr>
                <w:b/>
                <w:bCs/>
                <w:szCs w:val="24"/>
              </w:rPr>
            </w:pPr>
            <w:r w:rsidRPr="00913E00">
              <w:rPr>
                <w:b/>
                <w:bCs/>
                <w:szCs w:val="24"/>
              </w:rPr>
              <w:t>Original: inglés</w:t>
            </w:r>
          </w:p>
        </w:tc>
      </w:tr>
      <w:tr w:rsidR="00093EEB" w:rsidRPr="00913E00" w14:paraId="64783CB2" w14:textId="77777777">
        <w:trPr>
          <w:cantSplit/>
        </w:trPr>
        <w:tc>
          <w:tcPr>
            <w:tcW w:w="10173" w:type="dxa"/>
            <w:gridSpan w:val="2"/>
          </w:tcPr>
          <w:p w14:paraId="06CC3E21" w14:textId="36EEE894" w:rsidR="00093EEB" w:rsidRPr="00913E00" w:rsidRDefault="002A28D4">
            <w:pPr>
              <w:pStyle w:val="Source"/>
            </w:pPr>
            <w:bookmarkStart w:id="7" w:name="dsource" w:colFirst="0" w:colLast="0"/>
            <w:bookmarkEnd w:id="1"/>
            <w:bookmarkEnd w:id="6"/>
            <w:r w:rsidRPr="00913E00">
              <w:t>Informe del Secretario General</w:t>
            </w:r>
          </w:p>
        </w:tc>
      </w:tr>
      <w:tr w:rsidR="00093EEB" w:rsidRPr="00913E00" w14:paraId="4451AB29" w14:textId="77777777">
        <w:trPr>
          <w:cantSplit/>
        </w:trPr>
        <w:tc>
          <w:tcPr>
            <w:tcW w:w="10173" w:type="dxa"/>
            <w:gridSpan w:val="2"/>
          </w:tcPr>
          <w:p w14:paraId="73BD6828" w14:textId="23C1E0DD" w:rsidR="00093EEB" w:rsidRPr="00913E00" w:rsidRDefault="00950E59" w:rsidP="00E32D68">
            <w:pPr>
              <w:pStyle w:val="Title1"/>
            </w:pPr>
            <w:bookmarkStart w:id="8" w:name="dtitle1" w:colFirst="0" w:colLast="0"/>
            <w:bookmarkStart w:id="9" w:name="_Hlk112933126"/>
            <w:bookmarkEnd w:id="7"/>
            <w:r w:rsidRPr="00913E00">
              <w:t>SITUACIÓN FINANCIERA A 24 DE A</w:t>
            </w:r>
            <w:r w:rsidR="00E32D68" w:rsidRPr="00913E00">
              <w:t>GOSTO DE 2022 Y PREVISIÓN DE LA</w:t>
            </w:r>
            <w:r w:rsidR="00E32D68" w:rsidRPr="00913E00">
              <w:br/>
            </w:r>
            <w:r w:rsidRPr="00913E00">
              <w:t xml:space="preserve">EJECUCIÓN </w:t>
            </w:r>
            <w:r w:rsidR="00E32D68" w:rsidRPr="00913E00">
              <w:t>DEL PRESUPUESTO</w:t>
            </w:r>
            <w:r w:rsidRPr="00913E00">
              <w:t xml:space="preserve"> HASTA EL 31 DE DICIEMBRE DE 2022</w:t>
            </w:r>
            <w:bookmarkEnd w:id="9"/>
          </w:p>
        </w:tc>
      </w:tr>
      <w:bookmarkEnd w:id="8"/>
    </w:tbl>
    <w:p w14:paraId="0C201BA4" w14:textId="77777777" w:rsidR="00093EEB" w:rsidRPr="00913E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13E00" w14:paraId="3616BC9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6D10A97" w14:textId="77777777" w:rsidR="00093EEB" w:rsidRPr="00913E00" w:rsidRDefault="00093EEB">
            <w:pPr>
              <w:pStyle w:val="Headingb"/>
            </w:pPr>
            <w:r w:rsidRPr="00913E00">
              <w:t>Resumen</w:t>
            </w:r>
          </w:p>
          <w:p w14:paraId="4CA74338" w14:textId="0FD1215A" w:rsidR="002A28D4" w:rsidRPr="00913E00" w:rsidRDefault="00950E59" w:rsidP="002A28D4">
            <w:pPr>
              <w:rPr>
                <w:b/>
              </w:rPr>
            </w:pPr>
            <w:bookmarkStart w:id="10" w:name="lt_pId016"/>
            <w:r w:rsidRPr="00913E00">
              <w:t xml:space="preserve">En este </w:t>
            </w:r>
            <w:r w:rsidR="00D658B9" w:rsidRPr="00913E00">
              <w:t>documento</w:t>
            </w:r>
            <w:r w:rsidRPr="00913E00">
              <w:t xml:space="preserve"> se presenta la situación financiera </w:t>
            </w:r>
            <w:r w:rsidR="00D658B9" w:rsidRPr="00913E00">
              <w:t>del presupuesto de 2022</w:t>
            </w:r>
            <w:r w:rsidR="00A931AE" w:rsidRPr="00913E00">
              <w:t xml:space="preserve"> a 24 de agosto de 2022 </w:t>
            </w:r>
            <w:r w:rsidR="00D658B9" w:rsidRPr="00913E00">
              <w:t>y la previsión de la ejecución de dicho presupuesto hasta el 31 de diciembre de 2022</w:t>
            </w:r>
            <w:r w:rsidR="002A28D4" w:rsidRPr="00913E00">
              <w:t>.</w:t>
            </w:r>
            <w:bookmarkEnd w:id="10"/>
            <w:r w:rsidR="002A28D4" w:rsidRPr="00913E00">
              <w:rPr>
                <w:b/>
              </w:rPr>
              <w:t xml:space="preserve"> </w:t>
            </w:r>
          </w:p>
          <w:p w14:paraId="47CAA9F0" w14:textId="3D3BFE24" w:rsidR="002A28D4" w:rsidRPr="00913E00" w:rsidRDefault="00D658B9" w:rsidP="002A28D4">
            <w:bookmarkStart w:id="11" w:name="lt_pId017"/>
            <w:r w:rsidRPr="00913E00">
              <w:t xml:space="preserve">En él se </w:t>
            </w:r>
            <w:r w:rsidR="00EE1E1A" w:rsidRPr="00913E00">
              <w:t>destaca la dificultad que supone para</w:t>
            </w:r>
            <w:r w:rsidRPr="00913E00">
              <w:t xml:space="preserve"> la ejecución del presupuesto</w:t>
            </w:r>
            <w:r w:rsidR="00EE1E1A" w:rsidRPr="00913E00">
              <w:t xml:space="preserve"> </w:t>
            </w:r>
            <w:r w:rsidR="00E32D68" w:rsidRPr="00913E00">
              <w:t>el hecho de que</w:t>
            </w:r>
            <w:r w:rsidRPr="00913E00">
              <w:t xml:space="preserve"> los gastos </w:t>
            </w:r>
            <w:r w:rsidR="00EE1E1A" w:rsidRPr="00913E00">
              <w:t>sean</w:t>
            </w:r>
            <w:r w:rsidR="00AB0E30" w:rsidRPr="00913E00">
              <w:t xml:space="preserve"> más cuantiosos de lo previsto</w:t>
            </w:r>
            <w:r w:rsidRPr="00913E00">
              <w:t xml:space="preserve"> y</w:t>
            </w:r>
            <w:r w:rsidR="00AB0E30" w:rsidRPr="00913E00">
              <w:t xml:space="preserve"> </w:t>
            </w:r>
            <w:r w:rsidR="00EE1E1A" w:rsidRPr="00913E00">
              <w:t xml:space="preserve">que </w:t>
            </w:r>
            <w:r w:rsidRPr="00913E00">
              <w:t>los ingresos en concepto de recuperación de costes</w:t>
            </w:r>
            <w:r w:rsidR="00EE1E1A" w:rsidRPr="00913E00">
              <w:t xml:space="preserve"> sea</w:t>
            </w:r>
            <w:r w:rsidR="00AB0E30" w:rsidRPr="00913E00">
              <w:t>n menores</w:t>
            </w:r>
            <w:r w:rsidR="00E32D68" w:rsidRPr="00913E00">
              <w:t xml:space="preserve"> de lo que se había estimado</w:t>
            </w:r>
            <w:r w:rsidRPr="00913E00">
              <w:t xml:space="preserve">, en particular </w:t>
            </w:r>
            <w:r w:rsidR="00AB0E30" w:rsidRPr="00913E00">
              <w:t>en el caso de las</w:t>
            </w:r>
            <w:r w:rsidRPr="00913E00">
              <w:t xml:space="preserve"> notificaciones de redes de satélites y</w:t>
            </w:r>
            <w:r w:rsidR="00AB0E30" w:rsidRPr="00913E00">
              <w:t xml:space="preserve"> de</w:t>
            </w:r>
            <w:r w:rsidR="00B61693">
              <w:t> </w:t>
            </w:r>
            <w:r w:rsidRPr="00913E00">
              <w:t>TELECOM</w:t>
            </w:r>
            <w:r w:rsidR="002A28D4" w:rsidRPr="00913E00">
              <w:t>.</w:t>
            </w:r>
            <w:bookmarkEnd w:id="11"/>
          </w:p>
          <w:p w14:paraId="5C901C8B" w14:textId="6EDF3BFD" w:rsidR="00093EEB" w:rsidRPr="00913E00" w:rsidRDefault="00AB0E30" w:rsidP="002A28D4">
            <w:r w:rsidRPr="00913E00">
              <w:t xml:space="preserve">En este documento también se presentan las medidas y acciones que ha emprendido </w:t>
            </w:r>
            <w:r w:rsidR="00006153" w:rsidRPr="00913E00">
              <w:t xml:space="preserve">la Dirección de la UIT para asegurarse de que la ejecución </w:t>
            </w:r>
            <w:r w:rsidR="00E32D68" w:rsidRPr="00913E00">
              <w:t>del presupuesto de</w:t>
            </w:r>
            <w:r w:rsidR="00006153" w:rsidRPr="00913E00">
              <w:t xml:space="preserve"> 2022, y </w:t>
            </w:r>
            <w:r w:rsidR="00E32D68" w:rsidRPr="00913E00">
              <w:t>de</w:t>
            </w:r>
            <w:r w:rsidR="00006153" w:rsidRPr="00913E00">
              <w:t xml:space="preserve"> los años posteriores, se </w:t>
            </w:r>
            <w:r w:rsidR="00E32D68" w:rsidRPr="00913E00">
              <w:t xml:space="preserve">ciña a </w:t>
            </w:r>
            <w:r w:rsidR="00006153" w:rsidRPr="00913E00">
              <w:t>los recursos disponibles.</w:t>
            </w:r>
          </w:p>
          <w:p w14:paraId="1FA3EA99" w14:textId="77777777" w:rsidR="00093EEB" w:rsidRPr="00913E00" w:rsidRDefault="00093EEB">
            <w:pPr>
              <w:pStyle w:val="Headingb"/>
            </w:pPr>
            <w:r w:rsidRPr="00913E00">
              <w:t>Acción solicitada</w:t>
            </w:r>
          </w:p>
          <w:p w14:paraId="6E6BAAD9" w14:textId="488ABCAF" w:rsidR="00093EEB" w:rsidRPr="00913E00" w:rsidRDefault="002A28D4" w:rsidP="002A28D4">
            <w:pPr>
              <w:spacing w:line="480" w:lineRule="auto"/>
            </w:pPr>
            <w:r w:rsidRPr="00913E00">
              <w:t xml:space="preserve">Este documento se presenta al Consejo para su </w:t>
            </w:r>
            <w:r w:rsidRPr="00B61693">
              <w:rPr>
                <w:b/>
                <w:bCs/>
              </w:rPr>
              <w:t xml:space="preserve">consideración y </w:t>
            </w:r>
            <w:r w:rsidR="00E32D68" w:rsidRPr="00B61693">
              <w:rPr>
                <w:b/>
                <w:bCs/>
              </w:rPr>
              <w:t>orientación</w:t>
            </w:r>
            <w:r w:rsidR="00006153" w:rsidRPr="00913E00">
              <w:t>.</w:t>
            </w:r>
          </w:p>
          <w:p w14:paraId="33863AAC" w14:textId="77777777" w:rsidR="00093EEB" w:rsidRPr="00913E00" w:rsidRDefault="00093EEB">
            <w:pPr>
              <w:pStyle w:val="Table"/>
              <w:keepNext w:val="0"/>
              <w:spacing w:before="0" w:after="0"/>
              <w:rPr>
                <w:caps w:val="0"/>
                <w:sz w:val="22"/>
                <w:lang w:val="es-ES_tradnl"/>
              </w:rPr>
            </w:pPr>
            <w:r w:rsidRPr="00913E00">
              <w:rPr>
                <w:caps w:val="0"/>
                <w:sz w:val="22"/>
                <w:lang w:val="es-ES_tradnl"/>
              </w:rPr>
              <w:t>____________</w:t>
            </w:r>
          </w:p>
          <w:p w14:paraId="3F85AB6E" w14:textId="0BBD06D5" w:rsidR="00093EEB" w:rsidRPr="00913E00" w:rsidRDefault="00093EEB" w:rsidP="002A28D4">
            <w:pPr>
              <w:pStyle w:val="Headingb"/>
              <w:spacing w:after="120"/>
            </w:pPr>
            <w:r w:rsidRPr="00913E00">
              <w:t>Referencia</w:t>
            </w:r>
            <w:r w:rsidR="002A28D4" w:rsidRPr="00913E00">
              <w:t>s</w:t>
            </w:r>
          </w:p>
          <w:p w14:paraId="319B716C" w14:textId="0845CA4B" w:rsidR="002A28D4" w:rsidRPr="00913E00" w:rsidRDefault="006B49D2" w:rsidP="002A28D4">
            <w:pPr>
              <w:spacing w:before="0"/>
              <w:rPr>
                <w:iCs/>
              </w:rPr>
            </w:pPr>
            <w:hyperlink r:id="rId9" w:history="1">
              <w:bookmarkStart w:id="12" w:name="lt_pId023"/>
              <w:r w:rsidR="002A28D4" w:rsidRPr="00913E00">
                <w:rPr>
                  <w:rStyle w:val="Hyperlink"/>
                  <w:iCs/>
                </w:rPr>
                <w:t>Resolu</w:t>
              </w:r>
              <w:r w:rsidR="00006153" w:rsidRPr="00913E00">
                <w:rPr>
                  <w:rStyle w:val="Hyperlink"/>
                  <w:iCs/>
                </w:rPr>
                <w:t>ción</w:t>
              </w:r>
              <w:r w:rsidR="002A28D4" w:rsidRPr="00913E00">
                <w:rPr>
                  <w:rStyle w:val="Hyperlink"/>
                  <w:iCs/>
                </w:rPr>
                <w:t xml:space="preserve"> 1405</w:t>
              </w:r>
              <w:r w:rsidR="00006153" w:rsidRPr="00913E00">
                <w:rPr>
                  <w:rStyle w:val="Hyperlink"/>
                  <w:iCs/>
                </w:rPr>
                <w:t xml:space="preserve"> del Consejo</w:t>
              </w:r>
              <w:r w:rsidR="002A28D4" w:rsidRPr="00913E00">
                <w:rPr>
                  <w:rStyle w:val="Hyperlink"/>
                  <w:iCs/>
                </w:rPr>
                <w:t xml:space="preserve"> </w:t>
              </w:r>
              <w:r w:rsidR="00B61693" w:rsidRPr="00B61693">
                <w:rPr>
                  <w:rStyle w:val="Hyperlink"/>
                  <w:iCs/>
                </w:rPr>
                <w:t>–</w:t>
              </w:r>
              <w:r w:rsidR="002A28D4" w:rsidRPr="00913E00">
                <w:rPr>
                  <w:rStyle w:val="Hyperlink"/>
                  <w:iCs/>
                </w:rPr>
                <w:t xml:space="preserve"> </w:t>
              </w:r>
              <w:r w:rsidR="00006153" w:rsidRPr="00913E00">
                <w:rPr>
                  <w:rStyle w:val="Hyperlink"/>
                  <w:iCs/>
                </w:rPr>
                <w:t>Presupuesto bienal de la Unión Internacional de Telecomunicaciones para 2022-2023</w:t>
              </w:r>
              <w:bookmarkEnd w:id="12"/>
              <w:r w:rsidR="00006153" w:rsidRPr="00913E00">
                <w:rPr>
                  <w:rStyle w:val="Hyperlink"/>
                  <w:iCs/>
                </w:rPr>
                <w:t xml:space="preserve"> </w:t>
              </w:r>
            </w:hyperlink>
          </w:p>
          <w:p w14:paraId="335AFCF9" w14:textId="1E93E913" w:rsidR="002A28D4" w:rsidRPr="00913E00" w:rsidRDefault="006B49D2" w:rsidP="002A28D4">
            <w:pPr>
              <w:spacing w:before="0"/>
              <w:rPr>
                <w:i/>
                <w:iCs/>
              </w:rPr>
            </w:pPr>
            <w:hyperlink r:id="rId10" w:history="1">
              <w:r w:rsidR="00006153" w:rsidRPr="00913E00">
                <w:rPr>
                  <w:rStyle w:val="Hyperlink"/>
                  <w:i/>
                  <w:iCs/>
                </w:rPr>
                <w:t>Reglamento Financiero y Reglas Financieras de la Unión</w:t>
              </w:r>
            </w:hyperlink>
            <w:hyperlink r:id="rId11" w:history="1"/>
          </w:p>
          <w:p w14:paraId="44A7B3E6" w14:textId="48091478" w:rsidR="002A28D4" w:rsidRPr="00913E00" w:rsidRDefault="006B49D2" w:rsidP="002A28D4">
            <w:pPr>
              <w:spacing w:before="0"/>
              <w:rPr>
                <w:iCs/>
              </w:rPr>
            </w:pPr>
            <w:hyperlink r:id="rId12" w:history="1">
              <w:bookmarkStart w:id="13" w:name="lt_pId025"/>
              <w:r w:rsidR="0035647D" w:rsidRPr="00913E00">
                <w:rPr>
                  <w:rStyle w:val="Hyperlink"/>
                  <w:iCs/>
                </w:rPr>
                <w:t>Decisión</w:t>
              </w:r>
              <w:r w:rsidR="002A28D4" w:rsidRPr="00913E00">
                <w:rPr>
                  <w:rStyle w:val="Hyperlink"/>
                  <w:iCs/>
                </w:rPr>
                <w:t xml:space="preserve"> 5 (Rev. Dub</w:t>
              </w:r>
              <w:r w:rsidR="0035647D" w:rsidRPr="00913E00">
                <w:rPr>
                  <w:rStyle w:val="Hyperlink"/>
                  <w:iCs/>
                </w:rPr>
                <w:t>á</w:t>
              </w:r>
              <w:r w:rsidR="002A28D4" w:rsidRPr="00913E00">
                <w:rPr>
                  <w:rStyle w:val="Hyperlink"/>
                  <w:iCs/>
                </w:rPr>
                <w:t>i, 2018)</w:t>
              </w:r>
              <w:bookmarkEnd w:id="13"/>
            </w:hyperlink>
          </w:p>
          <w:bookmarkStart w:id="14" w:name="lt_pId026"/>
          <w:p w14:paraId="7413C919" w14:textId="00FFEF34" w:rsidR="00093EEB" w:rsidRPr="00913E00" w:rsidRDefault="0035647D" w:rsidP="002A28D4">
            <w:pPr>
              <w:spacing w:before="0"/>
              <w:rPr>
                <w:i/>
                <w:iCs/>
              </w:rPr>
            </w:pPr>
            <w:r w:rsidRPr="00913E00">
              <w:rPr>
                <w:iCs/>
              </w:rPr>
              <w:fldChar w:fldCharType="begin"/>
            </w:r>
            <w:r w:rsidRPr="00913E00">
              <w:rPr>
                <w:iCs/>
              </w:rPr>
              <w:instrText xml:space="preserve"> HYPERLINK "https://www.itu.int/en/council/Documents/basic-texts/Constitution-s.pdf" </w:instrText>
            </w:r>
            <w:r w:rsidRPr="00913E00">
              <w:rPr>
                <w:iCs/>
              </w:rPr>
              <w:fldChar w:fldCharType="separate"/>
            </w:r>
            <w:r w:rsidRPr="00913E00">
              <w:rPr>
                <w:rStyle w:val="Hyperlink"/>
                <w:iCs/>
              </w:rPr>
              <w:t>Artículo 4 de la Constitución</w:t>
            </w:r>
            <w:r w:rsidRPr="00913E00">
              <w:rPr>
                <w:iCs/>
              </w:rPr>
              <w:fldChar w:fldCharType="end"/>
            </w:r>
            <w:r w:rsidR="002A28D4" w:rsidRPr="00913E00">
              <w:rPr>
                <w:iCs/>
              </w:rPr>
              <w:t xml:space="preserve">, </w:t>
            </w:r>
            <w:hyperlink r:id="rId13" w:history="1">
              <w:r w:rsidR="002A28D4" w:rsidRPr="00913E00">
                <w:rPr>
                  <w:rStyle w:val="Hyperlink"/>
                  <w:iCs/>
                </w:rPr>
                <w:t>Document</w:t>
              </w:r>
              <w:r w:rsidRPr="00913E00">
                <w:rPr>
                  <w:rStyle w:val="Hyperlink"/>
                  <w:iCs/>
                </w:rPr>
                <w:t>o</w:t>
              </w:r>
              <w:r w:rsidR="002A28D4" w:rsidRPr="00913E00">
                <w:rPr>
                  <w:rStyle w:val="Hyperlink"/>
                  <w:iCs/>
                </w:rPr>
                <w:t xml:space="preserve"> C16/45</w:t>
              </w:r>
            </w:hyperlink>
            <w:bookmarkEnd w:id="14"/>
          </w:p>
        </w:tc>
      </w:tr>
    </w:tbl>
    <w:p w14:paraId="214CE384" w14:textId="77777777" w:rsidR="00D50A36" w:rsidRPr="00913E00" w:rsidRDefault="00D50A36">
      <w:pPr>
        <w:tabs>
          <w:tab w:val="clear" w:pos="567"/>
          <w:tab w:val="clear" w:pos="1134"/>
          <w:tab w:val="clear" w:pos="1701"/>
          <w:tab w:val="clear" w:pos="2268"/>
          <w:tab w:val="clear" w:pos="2835"/>
        </w:tabs>
        <w:overflowPunct/>
        <w:autoSpaceDE/>
        <w:autoSpaceDN/>
        <w:adjustRightInd/>
        <w:spacing w:before="0"/>
        <w:textAlignment w:val="auto"/>
      </w:pPr>
    </w:p>
    <w:p w14:paraId="1DC0F474" w14:textId="1AC76CFF" w:rsidR="002A28D4" w:rsidRPr="00913E00" w:rsidRDefault="002A28D4">
      <w:pPr>
        <w:tabs>
          <w:tab w:val="clear" w:pos="567"/>
          <w:tab w:val="clear" w:pos="1134"/>
          <w:tab w:val="clear" w:pos="1701"/>
          <w:tab w:val="clear" w:pos="2268"/>
          <w:tab w:val="clear" w:pos="2835"/>
        </w:tabs>
        <w:overflowPunct/>
        <w:autoSpaceDE/>
        <w:autoSpaceDN/>
        <w:adjustRightInd/>
        <w:spacing w:before="0"/>
        <w:textAlignment w:val="auto"/>
      </w:pPr>
      <w:r w:rsidRPr="00913E00">
        <w:br w:type="page"/>
      </w:r>
    </w:p>
    <w:p w14:paraId="607979C2" w14:textId="249C2C4F" w:rsidR="002A28D4" w:rsidRPr="00913E00" w:rsidRDefault="0035647D" w:rsidP="002A28D4">
      <w:pPr>
        <w:pStyle w:val="Title4"/>
      </w:pPr>
      <w:r w:rsidRPr="00913E00">
        <w:lastRenderedPageBreak/>
        <w:t>SITUACIÓN FINANCIERA A 24 DE AGOSTO DE 2022 Y PREVISIÓN</w:t>
      </w:r>
      <w:r w:rsidR="00E02AE5" w:rsidRPr="00913E00">
        <w:t xml:space="preserve"> </w:t>
      </w:r>
      <w:r w:rsidRPr="00913E00">
        <w:t>DE LA</w:t>
      </w:r>
      <w:r w:rsidR="00B61693">
        <w:br/>
      </w:r>
      <w:r w:rsidRPr="00913E00">
        <w:t xml:space="preserve">EJECUCIÓN </w:t>
      </w:r>
      <w:r w:rsidR="00320244" w:rsidRPr="00913E00">
        <w:t>DEL PRESUPUESTO</w:t>
      </w:r>
      <w:r w:rsidRPr="00913E00">
        <w:t xml:space="preserve"> HASTA EL 31 DE DICIEMBRE DE 2022</w:t>
      </w:r>
    </w:p>
    <w:p w14:paraId="2F40EC1B" w14:textId="79571CB5" w:rsidR="002A28D4" w:rsidRPr="00913E00" w:rsidRDefault="002A28D4" w:rsidP="002A28D4">
      <w:pPr>
        <w:pStyle w:val="Heading1"/>
      </w:pPr>
      <w:r w:rsidRPr="00913E00">
        <w:t>1</w:t>
      </w:r>
      <w:r w:rsidRPr="00913E00">
        <w:tab/>
      </w:r>
      <w:r w:rsidR="0035647D" w:rsidRPr="00913E00">
        <w:t>Introducción</w:t>
      </w:r>
    </w:p>
    <w:p w14:paraId="68AE9F79" w14:textId="331D549C" w:rsidR="002A28D4" w:rsidRPr="00913E00" w:rsidRDefault="00B75EFA" w:rsidP="002A28D4">
      <w:r w:rsidRPr="00913E00">
        <w:t>El objeto de este documento es informar al Consejo de la situación financiera a 24 de agosto de</w:t>
      </w:r>
      <w:r w:rsidR="009B45ED" w:rsidRPr="00913E00">
        <w:t> </w:t>
      </w:r>
      <w:r w:rsidRPr="00913E00">
        <w:t>2022.</w:t>
      </w:r>
    </w:p>
    <w:p w14:paraId="0E28D2BB" w14:textId="783ACB01" w:rsidR="002A28D4" w:rsidRPr="00913E00" w:rsidRDefault="00320244" w:rsidP="002A28D4">
      <w:bookmarkStart w:id="15" w:name="lt_pId033"/>
      <w:r w:rsidRPr="00913E00">
        <w:t>Se prevé que el</w:t>
      </w:r>
      <w:r w:rsidR="00B75EFA" w:rsidRPr="00913E00">
        <w:t xml:space="preserve"> déficit</w:t>
      </w:r>
      <w:r w:rsidRPr="00913E00">
        <w:t xml:space="preserve"> de los ingresos en concepto de</w:t>
      </w:r>
      <w:r w:rsidR="00B75EFA" w:rsidRPr="00913E00">
        <w:t xml:space="preserve"> recuperación de costes </w:t>
      </w:r>
      <w:r w:rsidRPr="00913E00">
        <w:t xml:space="preserve">sea </w:t>
      </w:r>
      <w:r w:rsidR="00445E64" w:rsidRPr="00913E00">
        <w:t>de unos</w:t>
      </w:r>
      <w:r w:rsidR="00B61693">
        <w:t> </w:t>
      </w:r>
      <w:r w:rsidR="00445E64" w:rsidRPr="00913E00">
        <w:t>7</w:t>
      </w:r>
      <w:r w:rsidRPr="00913E00">
        <w:t> </w:t>
      </w:r>
      <w:r w:rsidR="00445E64" w:rsidRPr="00913E00">
        <w:t xml:space="preserve">millones CHF, </w:t>
      </w:r>
      <w:r w:rsidRPr="00913E00">
        <w:t xml:space="preserve">que se compensa de forma parcial con </w:t>
      </w:r>
      <w:r w:rsidR="00DE2010" w:rsidRPr="00913E00">
        <w:t>los</w:t>
      </w:r>
      <w:r w:rsidR="00B75EFA" w:rsidRPr="00913E00">
        <w:t xml:space="preserve"> ahorros </w:t>
      </w:r>
      <w:r w:rsidRPr="00913E00">
        <w:t>en gastos logrados principalmente por</w:t>
      </w:r>
      <w:r w:rsidR="00B75EFA" w:rsidRPr="00913E00">
        <w:t xml:space="preserve"> la Secretaría General</w:t>
      </w:r>
      <w:r w:rsidR="00445E64" w:rsidRPr="00913E00">
        <w:t xml:space="preserve">. </w:t>
      </w:r>
      <w:r w:rsidR="00551FB9" w:rsidRPr="00913E00">
        <w:t>El resultado de esta situación es</w:t>
      </w:r>
      <w:r w:rsidRPr="00913E00">
        <w:t xml:space="preserve"> </w:t>
      </w:r>
      <w:r w:rsidR="00B75EFA" w:rsidRPr="00913E00">
        <w:t xml:space="preserve">un déficit presupuestario </w:t>
      </w:r>
      <w:r w:rsidR="00DE2010" w:rsidRPr="00913E00">
        <w:t xml:space="preserve">estimado </w:t>
      </w:r>
      <w:r w:rsidR="00BB60D4" w:rsidRPr="00913E00">
        <w:t xml:space="preserve">de unos </w:t>
      </w:r>
      <w:r w:rsidR="00B75EFA" w:rsidRPr="00913E00">
        <w:t xml:space="preserve">4,05 millones CHF </w:t>
      </w:r>
      <w:r w:rsidR="00BB60D4" w:rsidRPr="00913E00">
        <w:t xml:space="preserve">a </w:t>
      </w:r>
      <w:r w:rsidR="00B75EFA" w:rsidRPr="00913E00">
        <w:t>finales de año.</w:t>
      </w:r>
      <w:bookmarkEnd w:id="15"/>
    </w:p>
    <w:p w14:paraId="4F290761" w14:textId="35B7EDEA" w:rsidR="002A28D4" w:rsidRPr="00913E00" w:rsidRDefault="00445E64" w:rsidP="002A28D4">
      <w:pPr>
        <w:rPr>
          <w:spacing w:val="-2"/>
        </w:rPr>
      </w:pPr>
      <w:r w:rsidRPr="00913E00">
        <w:t xml:space="preserve">A fin de </w:t>
      </w:r>
      <w:r w:rsidR="00BB60D4" w:rsidRPr="00913E00">
        <w:t>identificar</w:t>
      </w:r>
      <w:r w:rsidRPr="00913E00">
        <w:t xml:space="preserve"> ahorros </w:t>
      </w:r>
      <w:r w:rsidR="00BB60D4" w:rsidRPr="00913E00">
        <w:t>en los</w:t>
      </w:r>
      <w:r w:rsidRPr="00913E00">
        <w:t xml:space="preserve"> gastos que permitan evitar un déficit a finales de año, se ha creado un grupo interno dirigido por el Vicesecretario General en el que participan los </w:t>
      </w:r>
      <w:r w:rsidR="009D1959" w:rsidRPr="00913E00">
        <w:t>D</w:t>
      </w:r>
      <w:r w:rsidRPr="00913E00">
        <w:t xml:space="preserve">irectores </w:t>
      </w:r>
      <w:r w:rsidR="009D1959" w:rsidRPr="00913E00">
        <w:rPr>
          <w:spacing w:val="-2"/>
        </w:rPr>
        <w:t>A</w:t>
      </w:r>
      <w:r w:rsidRPr="00913E00">
        <w:rPr>
          <w:spacing w:val="-2"/>
        </w:rPr>
        <w:t xml:space="preserve">djuntos de cada </w:t>
      </w:r>
      <w:r w:rsidR="009D1959" w:rsidRPr="00913E00">
        <w:rPr>
          <w:spacing w:val="-2"/>
        </w:rPr>
        <w:t>O</w:t>
      </w:r>
      <w:r w:rsidRPr="00913E00">
        <w:rPr>
          <w:spacing w:val="-2"/>
        </w:rPr>
        <w:t xml:space="preserve">ficina y los </w:t>
      </w:r>
      <w:r w:rsidR="009D1959" w:rsidRPr="00913E00">
        <w:rPr>
          <w:spacing w:val="-2"/>
        </w:rPr>
        <w:t>J</w:t>
      </w:r>
      <w:r w:rsidRPr="00913E00">
        <w:rPr>
          <w:spacing w:val="-2"/>
        </w:rPr>
        <w:t>efes de</w:t>
      </w:r>
      <w:r w:rsidR="009D1959" w:rsidRPr="00913E00">
        <w:rPr>
          <w:spacing w:val="-2"/>
        </w:rPr>
        <w:t>l</w:t>
      </w:r>
      <w:r w:rsidRPr="00913E00">
        <w:rPr>
          <w:spacing w:val="-2"/>
        </w:rPr>
        <w:t xml:space="preserve"> </w:t>
      </w:r>
      <w:r w:rsidR="009D1959" w:rsidRPr="00913E00">
        <w:rPr>
          <w:spacing w:val="-2"/>
        </w:rPr>
        <w:t>Departamento de Gestión de Recursos Financieros (FRMD)</w:t>
      </w:r>
      <w:r w:rsidRPr="00913E00">
        <w:rPr>
          <w:spacing w:val="-2"/>
        </w:rPr>
        <w:t xml:space="preserve">, </w:t>
      </w:r>
      <w:r w:rsidR="009D1959" w:rsidRPr="00913E00">
        <w:rPr>
          <w:spacing w:val="-2"/>
        </w:rPr>
        <w:t xml:space="preserve">el </w:t>
      </w:r>
      <w:r w:rsidR="00BB60D4" w:rsidRPr="00913E00">
        <w:rPr>
          <w:spacing w:val="-2"/>
        </w:rPr>
        <w:t xml:space="preserve">Departamento de Gestión de los Recursos Humanos </w:t>
      </w:r>
      <w:r w:rsidR="009D1959" w:rsidRPr="00913E00">
        <w:rPr>
          <w:spacing w:val="-2"/>
        </w:rPr>
        <w:t>(</w:t>
      </w:r>
      <w:r w:rsidR="00BB60D4" w:rsidRPr="00913E00">
        <w:rPr>
          <w:spacing w:val="-2"/>
        </w:rPr>
        <w:t>HRMD</w:t>
      </w:r>
      <w:r w:rsidR="009D1959" w:rsidRPr="00913E00">
        <w:rPr>
          <w:spacing w:val="-2"/>
        </w:rPr>
        <w:t>)</w:t>
      </w:r>
      <w:r w:rsidRPr="00913E00">
        <w:rPr>
          <w:spacing w:val="-2"/>
        </w:rPr>
        <w:t xml:space="preserve">, </w:t>
      </w:r>
      <w:r w:rsidR="009D1959" w:rsidRPr="00913E00">
        <w:rPr>
          <w:spacing w:val="-2"/>
        </w:rPr>
        <w:t>el Departamento de Conferencias y Publicaciones (C&amp;P) y el Departamento de Servicios Informáticos (IS)</w:t>
      </w:r>
      <w:r w:rsidRPr="00913E00">
        <w:rPr>
          <w:spacing w:val="-2"/>
        </w:rPr>
        <w:t>.</w:t>
      </w:r>
    </w:p>
    <w:p w14:paraId="740CFDF6" w14:textId="7119239D" w:rsidR="002A28D4" w:rsidRPr="00913E00" w:rsidRDefault="002A28D4" w:rsidP="00A70648">
      <w:pPr>
        <w:pStyle w:val="Heading1"/>
      </w:pPr>
      <w:r w:rsidRPr="00913E00">
        <w:t>2</w:t>
      </w:r>
      <w:r w:rsidRPr="00913E00">
        <w:tab/>
      </w:r>
      <w:r w:rsidR="009D1959" w:rsidRPr="00913E00">
        <w:t>Gastos</w:t>
      </w:r>
    </w:p>
    <w:p w14:paraId="3177AB86" w14:textId="26B8104A" w:rsidR="002A28D4" w:rsidRPr="00913E00" w:rsidRDefault="001E0DAA" w:rsidP="002A28D4">
      <w:bookmarkStart w:id="16" w:name="lt_pId039"/>
      <w:r w:rsidRPr="00913E00">
        <w:t>El nivel de</w:t>
      </w:r>
      <w:r w:rsidR="00BB60D4" w:rsidRPr="00913E00">
        <w:t>l</w:t>
      </w:r>
      <w:r w:rsidRPr="00913E00">
        <w:t xml:space="preserve"> gasto previsto para el presupuesto de 2022 asciende a 161,6 </w:t>
      </w:r>
      <w:r w:rsidR="00305F3D" w:rsidRPr="00913E00">
        <w:t>millones CHF</w:t>
      </w:r>
      <w:r w:rsidRPr="00913E00">
        <w:t xml:space="preserve"> (mientras que el </w:t>
      </w:r>
      <w:r w:rsidR="00BB60D4" w:rsidRPr="00913E00">
        <w:t>presupuestado</w:t>
      </w:r>
      <w:r w:rsidRPr="00913E00">
        <w:t xml:space="preserve"> es de 164,4 millones CHF), </w:t>
      </w:r>
      <w:r w:rsidR="00305F3D" w:rsidRPr="00913E00">
        <w:t>lo que significa que se logrará</w:t>
      </w:r>
      <w:r w:rsidRPr="00913E00">
        <w:t xml:space="preserve"> uno</w:t>
      </w:r>
      <w:r w:rsidR="00305F3D" w:rsidRPr="00913E00">
        <w:t xml:space="preserve"> ahorro</w:t>
      </w:r>
      <w:r w:rsidRPr="00913E00">
        <w:t xml:space="preserve"> de</w:t>
      </w:r>
      <w:r w:rsidR="00B61693">
        <w:t> </w:t>
      </w:r>
      <w:r w:rsidRPr="00913E00">
        <w:t>2,8</w:t>
      </w:r>
      <w:r w:rsidR="00E444A7" w:rsidRPr="00913E00">
        <w:t> </w:t>
      </w:r>
      <w:r w:rsidRPr="00913E00">
        <w:t xml:space="preserve">millones CHF en el presupuesto aprobado, menos de </w:t>
      </w:r>
      <w:r w:rsidR="00305F3D" w:rsidRPr="00913E00">
        <w:t>lo esperado</w:t>
      </w:r>
      <w:r w:rsidRPr="00913E00">
        <w:t xml:space="preserve">. </w:t>
      </w:r>
      <w:r w:rsidR="00305F3D" w:rsidRPr="00913E00">
        <w:t>En esa cifra se incluyen l</w:t>
      </w:r>
      <w:r w:rsidRPr="00913E00">
        <w:t>os gastos relacionados con la COVID-19</w:t>
      </w:r>
      <w:r w:rsidR="00305F3D" w:rsidRPr="00913E00">
        <w:t>, estimados en 370</w:t>
      </w:r>
      <w:r w:rsidR="00E444A7" w:rsidRPr="00913E00">
        <w:t> </w:t>
      </w:r>
      <w:r w:rsidR="00305F3D" w:rsidRPr="00913E00">
        <w:t>000 CHF</w:t>
      </w:r>
      <w:r w:rsidRPr="00913E00">
        <w:t xml:space="preserve">. En </w:t>
      </w:r>
      <w:r w:rsidR="00305F3D" w:rsidRPr="00913E00">
        <w:t>las</w:t>
      </w:r>
      <w:r w:rsidRPr="00913E00">
        <w:t xml:space="preserve"> previsiones también se </w:t>
      </w:r>
      <w:r w:rsidR="00305F3D" w:rsidRPr="00913E00">
        <w:t xml:space="preserve">tiene en cuenta </w:t>
      </w:r>
      <w:r w:rsidRPr="00913E00">
        <w:t xml:space="preserve">una </w:t>
      </w:r>
      <w:r w:rsidR="00432004" w:rsidRPr="00913E00">
        <w:t>suma</w:t>
      </w:r>
      <w:r w:rsidRPr="00913E00">
        <w:t xml:space="preserve"> de 1,5 </w:t>
      </w:r>
      <w:r w:rsidR="00305F3D" w:rsidRPr="00913E00">
        <w:t>millones CHF</w:t>
      </w:r>
      <w:r w:rsidRPr="00913E00">
        <w:t xml:space="preserve"> correspondiente al pago anual a</w:t>
      </w:r>
      <w:r w:rsidR="00432004" w:rsidRPr="00913E00">
        <w:t xml:space="preserve"> la UNSMIS</w:t>
      </w:r>
      <w:r w:rsidR="002A28D4" w:rsidRPr="00913E00">
        <w:t>.</w:t>
      </w:r>
      <w:bookmarkEnd w:id="16"/>
    </w:p>
    <w:p w14:paraId="1A21ACB9" w14:textId="38FEDC94" w:rsidR="002A28D4" w:rsidRPr="00913E00" w:rsidRDefault="00432004" w:rsidP="00E444A7">
      <w:pPr>
        <w:spacing w:after="120"/>
      </w:pPr>
      <w:bookmarkStart w:id="17" w:name="lt_pId040"/>
      <w:r w:rsidRPr="00913E00">
        <w:t>En el Cuadro 1</w:t>
      </w:r>
      <w:r w:rsidR="00305F3D" w:rsidRPr="00913E00">
        <w:t>,</w:t>
      </w:r>
      <w:r w:rsidRPr="00913E00">
        <w:t xml:space="preserve"> que figura a continuación</w:t>
      </w:r>
      <w:r w:rsidR="00305F3D" w:rsidRPr="00913E00">
        <w:t>,</w:t>
      </w:r>
      <w:r w:rsidRPr="00913E00">
        <w:t xml:space="preserve"> se </w:t>
      </w:r>
      <w:r w:rsidR="008D7D1C" w:rsidRPr="00913E00">
        <w:t>desglosan</w:t>
      </w:r>
      <w:r w:rsidRPr="00913E00">
        <w:t xml:space="preserve"> los gastos previst</w:t>
      </w:r>
      <w:r w:rsidR="0093704E" w:rsidRPr="00913E00">
        <w:t>os</w:t>
      </w:r>
      <w:r w:rsidR="008D7D1C" w:rsidRPr="00913E00">
        <w:t xml:space="preserve"> por Sector</w:t>
      </w:r>
      <w:r w:rsidR="0093704E" w:rsidRPr="00913E00">
        <w:t xml:space="preserve"> hasta finales de 2022</w:t>
      </w:r>
      <w:r w:rsidR="002A28D4" w:rsidRPr="00913E00">
        <w:t>.</w:t>
      </w:r>
      <w:bookmarkEnd w:id="17"/>
    </w:p>
    <w:p w14:paraId="18EBE709" w14:textId="5CF27A19" w:rsidR="002A28D4" w:rsidRPr="00913E00" w:rsidRDefault="00BB048E" w:rsidP="002A28D4">
      <w:pPr>
        <w:spacing w:before="0"/>
        <w:jc w:val="center"/>
        <w:rPr>
          <w:rFonts w:asciiTheme="minorHAnsi" w:hAnsiTheme="minorHAnsi" w:cstheme="minorHAnsi"/>
          <w:szCs w:val="24"/>
        </w:rPr>
      </w:pPr>
      <w:r w:rsidRPr="00913E00">
        <w:rPr>
          <w:noProof/>
        </w:rPr>
        <w:drawing>
          <wp:inline distT="0" distB="0" distL="0" distR="0" wp14:anchorId="0FFCB41A" wp14:editId="4F10DDC6">
            <wp:extent cx="4994694" cy="35499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8244" cy="3552520"/>
                    </a:xfrm>
                    <a:prstGeom prst="rect">
                      <a:avLst/>
                    </a:prstGeom>
                    <a:noFill/>
                    <a:ln>
                      <a:noFill/>
                    </a:ln>
                  </pic:spPr>
                </pic:pic>
              </a:graphicData>
            </a:graphic>
          </wp:inline>
        </w:drawing>
      </w:r>
    </w:p>
    <w:p w14:paraId="1D5B57AF" w14:textId="3299AA69" w:rsidR="002A28D4" w:rsidRPr="00913E00" w:rsidRDefault="002A28D4" w:rsidP="002A28D4">
      <w:pPr>
        <w:pStyle w:val="Heading1"/>
      </w:pPr>
      <w:r w:rsidRPr="00913E00">
        <w:lastRenderedPageBreak/>
        <w:t>3</w:t>
      </w:r>
      <w:r w:rsidRPr="00913E00">
        <w:tab/>
      </w:r>
      <w:r w:rsidR="003D67CD" w:rsidRPr="00913E00">
        <w:t>Ingresos</w:t>
      </w:r>
    </w:p>
    <w:p w14:paraId="543F9A8E" w14:textId="7DC9A352" w:rsidR="002A28D4" w:rsidRPr="00913E00" w:rsidRDefault="003D67CD" w:rsidP="002A28D4">
      <w:r w:rsidRPr="00913E00">
        <w:t xml:space="preserve">El nivel de ingresos previsto para el presupuesto de 2022 </w:t>
      </w:r>
      <w:r w:rsidR="00C95B78" w:rsidRPr="00913E00">
        <w:t>es de</w:t>
      </w:r>
      <w:r w:rsidRPr="00913E00">
        <w:t xml:space="preserve"> 157,5 millones (mientras que el </w:t>
      </w:r>
      <w:r w:rsidR="00C95B78" w:rsidRPr="00913E00">
        <w:t>presupuestado es de 164,4 millones), lo que supone una reducción de</w:t>
      </w:r>
      <w:r w:rsidRPr="00913E00">
        <w:t xml:space="preserve"> </w:t>
      </w:r>
      <w:r w:rsidR="00C95B78" w:rsidRPr="00913E00">
        <w:t xml:space="preserve">6,8 millones CHF con respecto </w:t>
      </w:r>
      <w:r w:rsidRPr="00913E00">
        <w:t>al presupuesto aprobado</w:t>
      </w:r>
      <w:r w:rsidR="00C95B78" w:rsidRPr="00913E00">
        <w:t>.</w:t>
      </w:r>
    </w:p>
    <w:p w14:paraId="0BCB2314" w14:textId="7AE9776E" w:rsidR="002A28D4" w:rsidRPr="00913E00" w:rsidRDefault="005B3C1B" w:rsidP="00A70648">
      <w:r w:rsidRPr="00913E00">
        <w:t>En el Cuadro 2</w:t>
      </w:r>
      <w:r w:rsidR="00C95B78" w:rsidRPr="00913E00">
        <w:t xml:space="preserve">, que figura a </w:t>
      </w:r>
      <w:r w:rsidRPr="00913E00">
        <w:t>continuación</w:t>
      </w:r>
      <w:r w:rsidR="00C95B78" w:rsidRPr="00913E00">
        <w:t>,</w:t>
      </w:r>
      <w:r w:rsidRPr="00913E00">
        <w:t xml:space="preserve"> se desglosan los ingresos previstos </w:t>
      </w:r>
      <w:r w:rsidR="002D214A" w:rsidRPr="00913E00">
        <w:t>por procedencia</w:t>
      </w:r>
      <w:r w:rsidRPr="00913E00">
        <w:t>.</w:t>
      </w:r>
    </w:p>
    <w:p w14:paraId="6FDA72AF" w14:textId="5F57E9A8" w:rsidR="0006435F" w:rsidRPr="00913E00" w:rsidRDefault="00723551" w:rsidP="00E565CC">
      <w:pPr>
        <w:pStyle w:val="Figure"/>
      </w:pPr>
      <w:r w:rsidRPr="00723551">
        <w:rPr>
          <w:noProof/>
        </w:rPr>
        <w:drawing>
          <wp:inline distT="0" distB="0" distL="0" distR="0" wp14:anchorId="285555CC" wp14:editId="4D5E3EB0">
            <wp:extent cx="5414838" cy="40767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441" cy="4080193"/>
                    </a:xfrm>
                    <a:prstGeom prst="rect">
                      <a:avLst/>
                    </a:prstGeom>
                    <a:noFill/>
                    <a:ln>
                      <a:noFill/>
                    </a:ln>
                  </pic:spPr>
                </pic:pic>
              </a:graphicData>
            </a:graphic>
          </wp:inline>
        </w:drawing>
      </w:r>
    </w:p>
    <w:p w14:paraId="249702EF" w14:textId="19CBA20B" w:rsidR="002A28D4" w:rsidRPr="00913E00" w:rsidRDefault="005B3C1B" w:rsidP="00913E00">
      <w:pPr>
        <w:spacing w:after="120"/>
      </w:pPr>
      <w:bookmarkStart w:id="18" w:name="lt_pId045"/>
      <w:r w:rsidRPr="00913E00">
        <w:t>E</w:t>
      </w:r>
      <w:r w:rsidR="00C95B78" w:rsidRPr="00913E00">
        <w:t xml:space="preserve">ste </w:t>
      </w:r>
      <w:r w:rsidRPr="00913E00">
        <w:t xml:space="preserve">déficit de ingresos se debe a </w:t>
      </w:r>
      <w:r w:rsidR="00F33D00" w:rsidRPr="00913E00">
        <w:t>la reducción de los</w:t>
      </w:r>
      <w:r w:rsidRPr="00913E00">
        <w:t xml:space="preserve"> ingresos en concepto de recuperación de costes, como se </w:t>
      </w:r>
      <w:r w:rsidR="00C95B78" w:rsidRPr="00913E00">
        <w:t>muestra</w:t>
      </w:r>
      <w:r w:rsidRPr="00913E00">
        <w:t xml:space="preserve"> en el Cuadro 3</w:t>
      </w:r>
      <w:r w:rsidR="002A28D4" w:rsidRPr="00913E00">
        <w:t>.</w:t>
      </w:r>
      <w:bookmarkEnd w:id="18"/>
    </w:p>
    <w:p w14:paraId="505847AA" w14:textId="1234EA15" w:rsidR="002A28D4" w:rsidRPr="00913E00" w:rsidRDefault="00913E00" w:rsidP="00E565CC">
      <w:pPr>
        <w:spacing w:before="0"/>
        <w:ind w:left="227"/>
        <w:jc w:val="center"/>
        <w:rPr>
          <w:rFonts w:asciiTheme="minorHAnsi" w:hAnsiTheme="minorHAnsi" w:cstheme="minorHAnsi"/>
          <w:szCs w:val="24"/>
        </w:rPr>
      </w:pPr>
      <w:r w:rsidRPr="00913E00">
        <w:rPr>
          <w:noProof/>
        </w:rPr>
        <w:drawing>
          <wp:inline distT="0" distB="0" distL="0" distR="0" wp14:anchorId="0F481F1B" wp14:editId="5CDDF638">
            <wp:extent cx="4832720" cy="3036096"/>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9219" cy="3040179"/>
                    </a:xfrm>
                    <a:prstGeom prst="rect">
                      <a:avLst/>
                    </a:prstGeom>
                    <a:noFill/>
                    <a:ln>
                      <a:noFill/>
                    </a:ln>
                  </pic:spPr>
                </pic:pic>
              </a:graphicData>
            </a:graphic>
          </wp:inline>
        </w:drawing>
      </w:r>
    </w:p>
    <w:p w14:paraId="65F104A9" w14:textId="798E6306" w:rsidR="002A28D4" w:rsidRPr="00913E00" w:rsidRDefault="005B3C1B" w:rsidP="00203961">
      <w:r w:rsidRPr="00913E00">
        <w:lastRenderedPageBreak/>
        <w:t>En el Cuadro 4</w:t>
      </w:r>
      <w:r w:rsidR="000373E1" w:rsidRPr="00913E00">
        <w:t>, que figura a continuación,</w:t>
      </w:r>
      <w:r w:rsidRPr="00913E00">
        <w:t xml:space="preserve"> se </w:t>
      </w:r>
      <w:r w:rsidR="000373E1" w:rsidRPr="00913E00">
        <w:t>realiza una comparación de</w:t>
      </w:r>
      <w:r w:rsidRPr="00913E00">
        <w:t xml:space="preserve"> los ingresos </w:t>
      </w:r>
      <w:r w:rsidR="00F33D00" w:rsidRPr="00913E00">
        <w:t>en concepto de</w:t>
      </w:r>
      <w:r w:rsidRPr="00913E00">
        <w:t xml:space="preserve"> recuperación de costes </w:t>
      </w:r>
      <w:r w:rsidR="000373E1" w:rsidRPr="00913E00">
        <w:t xml:space="preserve">entre </w:t>
      </w:r>
      <w:r w:rsidRPr="00913E00">
        <w:t xml:space="preserve">el </w:t>
      </w:r>
      <w:r w:rsidR="00363245" w:rsidRPr="00913E00">
        <w:t>P</w:t>
      </w:r>
      <w:r w:rsidRPr="00913E00">
        <w:t xml:space="preserve">lan </w:t>
      </w:r>
      <w:r w:rsidR="000373E1" w:rsidRPr="00913E00">
        <w:t>Financiero,</w:t>
      </w:r>
      <w:r w:rsidR="00363245" w:rsidRPr="00913E00">
        <w:t xml:space="preserve"> </w:t>
      </w:r>
      <w:r w:rsidRPr="00913E00">
        <w:t xml:space="preserve">el </w:t>
      </w:r>
      <w:r w:rsidR="00363245" w:rsidRPr="00913E00">
        <w:t>p</w:t>
      </w:r>
      <w:r w:rsidRPr="00913E00">
        <w:t xml:space="preserve">resupuesto y </w:t>
      </w:r>
      <w:r w:rsidR="00363245" w:rsidRPr="00913E00">
        <w:t>los valores reales y previstos</w:t>
      </w:r>
      <w:r w:rsidRPr="00913E00">
        <w:t xml:space="preserve">. </w:t>
      </w:r>
      <w:r w:rsidR="00363245" w:rsidRPr="00913E00">
        <w:t>Además, se m</w:t>
      </w:r>
      <w:r w:rsidRPr="00913E00">
        <w:t xml:space="preserve">uestra la variación entre el importe presupuestado y los ingresos reales </w:t>
      </w:r>
      <w:r w:rsidR="000373E1" w:rsidRPr="00913E00">
        <w:t>por</w:t>
      </w:r>
      <w:r w:rsidR="00363245" w:rsidRPr="00913E00">
        <w:t xml:space="preserve"> ámbito </w:t>
      </w:r>
      <w:r w:rsidRPr="00913E00">
        <w:t xml:space="preserve">de recuperación de costes. Los valores de 2023 </w:t>
      </w:r>
      <w:r w:rsidR="000373E1" w:rsidRPr="00913E00">
        <w:t>corresponden a</w:t>
      </w:r>
      <w:r w:rsidRPr="00913E00">
        <w:t xml:space="preserve"> la previsión lineal </w:t>
      </w:r>
      <w:r w:rsidR="00363245" w:rsidRPr="00913E00">
        <w:t>realizada con base en</w:t>
      </w:r>
      <w:r w:rsidRPr="00913E00">
        <w:t xml:space="preserve"> las cifras de 2020 a 2022.</w:t>
      </w:r>
    </w:p>
    <w:p w14:paraId="6A4CC473" w14:textId="445B2980" w:rsidR="002A28D4" w:rsidRPr="00913E00" w:rsidRDefault="00913E00" w:rsidP="002A28D4">
      <w:pPr>
        <w:spacing w:before="0"/>
        <w:rPr>
          <w:rFonts w:asciiTheme="minorHAnsi" w:hAnsiTheme="minorHAnsi" w:cstheme="minorHAnsi"/>
          <w:szCs w:val="24"/>
        </w:rPr>
      </w:pPr>
      <w:r w:rsidRPr="00913E00">
        <w:rPr>
          <w:noProof/>
        </w:rPr>
        <w:drawing>
          <wp:inline distT="0" distB="0" distL="0" distR="0" wp14:anchorId="3844E7A7" wp14:editId="4677B986">
            <wp:extent cx="5751195" cy="774001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1195" cy="7740015"/>
                    </a:xfrm>
                    <a:prstGeom prst="rect">
                      <a:avLst/>
                    </a:prstGeom>
                    <a:noFill/>
                    <a:ln>
                      <a:noFill/>
                    </a:ln>
                  </pic:spPr>
                </pic:pic>
              </a:graphicData>
            </a:graphic>
          </wp:inline>
        </w:drawing>
      </w:r>
    </w:p>
    <w:p w14:paraId="0A328113" w14:textId="439D98D1" w:rsidR="002A28D4" w:rsidRPr="00913E00" w:rsidRDefault="00980772" w:rsidP="00E444A7">
      <w:r w:rsidRPr="00913E00">
        <w:lastRenderedPageBreak/>
        <w:t>E</w:t>
      </w:r>
      <w:r w:rsidR="00823767" w:rsidRPr="00913E00">
        <w:t>n e</w:t>
      </w:r>
      <w:r w:rsidRPr="00913E00">
        <w:t>l</w:t>
      </w:r>
      <w:r w:rsidR="009046E6" w:rsidRPr="00913E00">
        <w:t xml:space="preserve"> Gráfico 1</w:t>
      </w:r>
      <w:r w:rsidRPr="00913E00">
        <w:t>, que figura</w:t>
      </w:r>
      <w:r w:rsidR="009046E6" w:rsidRPr="00913E00">
        <w:t xml:space="preserve"> a continuación</w:t>
      </w:r>
      <w:r w:rsidRPr="00913E00">
        <w:t>,</w:t>
      </w:r>
      <w:r w:rsidR="009046E6" w:rsidRPr="00913E00">
        <w:t xml:space="preserve"> </w:t>
      </w:r>
      <w:r w:rsidR="00823767" w:rsidRPr="00913E00">
        <w:t>se representa visualmente la comparación de</w:t>
      </w:r>
      <w:r w:rsidR="009046E6" w:rsidRPr="00913E00">
        <w:t xml:space="preserve"> los ingresos </w:t>
      </w:r>
      <w:r w:rsidR="00730922" w:rsidRPr="00913E00">
        <w:t>en concepto de</w:t>
      </w:r>
      <w:r w:rsidR="009046E6" w:rsidRPr="00913E00">
        <w:t xml:space="preserve"> recuperación de costes </w:t>
      </w:r>
      <w:r w:rsidRPr="00913E00">
        <w:t>entre</w:t>
      </w:r>
      <w:r w:rsidR="009046E6" w:rsidRPr="00913E00">
        <w:t xml:space="preserve"> el </w:t>
      </w:r>
      <w:r w:rsidR="00730922" w:rsidRPr="00913E00">
        <w:t>P</w:t>
      </w:r>
      <w:r w:rsidR="009046E6" w:rsidRPr="00913E00">
        <w:t xml:space="preserve">lan </w:t>
      </w:r>
      <w:r w:rsidR="00730922" w:rsidRPr="00913E00">
        <w:t>F</w:t>
      </w:r>
      <w:r w:rsidR="009046E6" w:rsidRPr="00913E00">
        <w:t xml:space="preserve">inanciero, el presupuesto y los </w:t>
      </w:r>
      <w:r w:rsidR="00730922" w:rsidRPr="00913E00">
        <w:t>valores</w:t>
      </w:r>
      <w:r w:rsidR="009046E6" w:rsidRPr="00913E00">
        <w:t xml:space="preserve"> reales </w:t>
      </w:r>
      <w:r w:rsidR="00730922" w:rsidRPr="00913E00">
        <w:t>y</w:t>
      </w:r>
      <w:r w:rsidR="009046E6" w:rsidRPr="00913E00">
        <w:t xml:space="preserve"> previs</w:t>
      </w:r>
      <w:r w:rsidR="00730922" w:rsidRPr="00913E00">
        <w:t>tos</w:t>
      </w:r>
      <w:r w:rsidR="009046E6" w:rsidRPr="00913E00">
        <w:t xml:space="preserve"> (</w:t>
      </w:r>
      <w:r w:rsidR="00823767" w:rsidRPr="00913E00">
        <w:t>previsión</w:t>
      </w:r>
      <w:r w:rsidR="009046E6" w:rsidRPr="00913E00">
        <w:t xml:space="preserve"> lineal para 2023) desde 2020 hasta 2023.</w:t>
      </w:r>
    </w:p>
    <w:p w14:paraId="0611EAAE" w14:textId="7864D4BF" w:rsidR="00995C4E" w:rsidRPr="00913E00" w:rsidRDefault="00730922" w:rsidP="00995C4E">
      <w:pPr>
        <w:pStyle w:val="Figuretitle"/>
        <w:rPr>
          <w:color w:val="002060"/>
        </w:rPr>
      </w:pPr>
      <w:bookmarkStart w:id="19" w:name="lt_pId050"/>
      <w:r w:rsidRPr="00913E00">
        <w:rPr>
          <w:color w:val="002060"/>
        </w:rPr>
        <w:t>Gráfico</w:t>
      </w:r>
      <w:r w:rsidR="002A28D4" w:rsidRPr="00913E00">
        <w:rPr>
          <w:color w:val="002060"/>
        </w:rPr>
        <w:t xml:space="preserve"> 1 </w:t>
      </w:r>
      <w:r w:rsidRPr="00913E00">
        <w:rPr>
          <w:color w:val="002060"/>
        </w:rPr>
        <w:t>–</w:t>
      </w:r>
      <w:r w:rsidR="002A28D4" w:rsidRPr="00913E00">
        <w:rPr>
          <w:color w:val="002060"/>
        </w:rPr>
        <w:t xml:space="preserve"> </w:t>
      </w:r>
      <w:r w:rsidRPr="00913E00">
        <w:rPr>
          <w:color w:val="002060"/>
        </w:rPr>
        <w:t>Ingresos por recuperación de costes</w:t>
      </w:r>
      <w:r w:rsidR="002A28D4" w:rsidRPr="00913E00">
        <w:rPr>
          <w:color w:val="002060"/>
        </w:rPr>
        <w:t xml:space="preserve"> 2020-2023</w:t>
      </w:r>
      <w:bookmarkEnd w:id="19"/>
      <w:r w:rsidR="0022220A" w:rsidRPr="00913E00">
        <w:rPr>
          <w:color w:val="002060"/>
        </w:rPr>
        <w:br/>
      </w:r>
      <w:bookmarkStart w:id="20" w:name="lt_pId051"/>
      <w:r w:rsidRPr="00913E00">
        <w:rPr>
          <w:color w:val="002060"/>
        </w:rPr>
        <w:t>Comparación entre el Plan Financiero</w:t>
      </w:r>
      <w:r w:rsidR="002A28D4" w:rsidRPr="00913E00">
        <w:rPr>
          <w:color w:val="002060"/>
        </w:rPr>
        <w:t>,</w:t>
      </w:r>
      <w:r w:rsidRPr="00913E00">
        <w:rPr>
          <w:color w:val="002060"/>
        </w:rPr>
        <w:t xml:space="preserve"> el presupuesto</w:t>
      </w:r>
      <w:bookmarkEnd w:id="20"/>
      <w:r w:rsidR="00E444A7" w:rsidRPr="00913E00">
        <w:rPr>
          <w:color w:val="002060"/>
        </w:rPr>
        <w:br/>
      </w:r>
      <w:r w:rsidRPr="00913E00">
        <w:rPr>
          <w:color w:val="002060"/>
        </w:rPr>
        <w:t>y los valores reales y previstos</w:t>
      </w:r>
    </w:p>
    <w:p w14:paraId="7D57EB3E" w14:textId="6F86FCB7" w:rsidR="00995C4E" w:rsidRPr="00913E00" w:rsidRDefault="007958C2" w:rsidP="00995C4E">
      <w:pPr>
        <w:pStyle w:val="Normalaftertitle"/>
      </w:pPr>
      <w:r>
        <w:rPr>
          <w:noProof/>
        </w:rPr>
        <w:drawing>
          <wp:inline distT="0" distB="0" distL="0" distR="0" wp14:anchorId="2899E607" wp14:editId="67EFA472">
            <wp:extent cx="6120765" cy="3441700"/>
            <wp:effectExtent l="0" t="0" r="0" b="635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6120765" cy="3441700"/>
                    </a:xfrm>
                    <a:prstGeom prst="rect">
                      <a:avLst/>
                    </a:prstGeom>
                  </pic:spPr>
                </pic:pic>
              </a:graphicData>
            </a:graphic>
          </wp:inline>
        </w:drawing>
      </w:r>
    </w:p>
    <w:p w14:paraId="2162166B" w14:textId="1CC7560A" w:rsidR="002A28D4" w:rsidRPr="00913E00" w:rsidRDefault="002A28D4" w:rsidP="0022220A">
      <w:pPr>
        <w:pStyle w:val="Heading1"/>
      </w:pPr>
      <w:r w:rsidRPr="00913E00">
        <w:t>4</w:t>
      </w:r>
      <w:r w:rsidRPr="00913E00">
        <w:tab/>
      </w:r>
      <w:r w:rsidR="0006435F" w:rsidRPr="00913E00">
        <w:t>Tasa de</w:t>
      </w:r>
      <w:r w:rsidR="00611082" w:rsidRPr="00913E00">
        <w:t xml:space="preserve"> los</w:t>
      </w:r>
      <w:r w:rsidR="0006435F" w:rsidRPr="00913E00">
        <w:t xml:space="preserve"> ingresos previst</w:t>
      </w:r>
      <w:r w:rsidR="00611082" w:rsidRPr="00913E00">
        <w:t>os</w:t>
      </w:r>
      <w:r w:rsidR="0006435F" w:rsidRPr="00913E00">
        <w:t xml:space="preserve"> para 2022</w:t>
      </w:r>
    </w:p>
    <w:p w14:paraId="1A01ADDB" w14:textId="546CCBBC" w:rsidR="00E6064C" w:rsidRPr="00913E00" w:rsidRDefault="00823767" w:rsidP="00E6064C">
      <w:r w:rsidRPr="00913E00">
        <w:t>Los ga</w:t>
      </w:r>
      <w:r w:rsidR="00E6064C" w:rsidRPr="00913E00">
        <w:t xml:space="preserve">stos </w:t>
      </w:r>
      <w:r w:rsidR="009A1881" w:rsidRPr="00913E00">
        <w:t>establecidos</w:t>
      </w:r>
      <w:r w:rsidRPr="00913E00">
        <w:t xml:space="preserve"> en</w:t>
      </w:r>
      <w:r w:rsidR="00E6064C" w:rsidRPr="00913E00">
        <w:t xml:space="preserve"> un presupuesto </w:t>
      </w:r>
      <w:r w:rsidR="00E251B0" w:rsidRPr="00913E00">
        <w:t xml:space="preserve">se </w:t>
      </w:r>
      <w:r w:rsidR="009A1881" w:rsidRPr="00913E00">
        <w:t>cubren</w:t>
      </w:r>
      <w:r w:rsidR="00E251B0" w:rsidRPr="00913E00">
        <w:t xml:space="preserve"> con</w:t>
      </w:r>
      <w:r w:rsidR="00E6064C" w:rsidRPr="00913E00">
        <w:t xml:space="preserve"> </w:t>
      </w:r>
      <w:r w:rsidR="009A1881" w:rsidRPr="00913E00">
        <w:t>la parte de los ingresos previstos</w:t>
      </w:r>
      <w:r w:rsidR="00E6064C" w:rsidRPr="00913E00">
        <w:t xml:space="preserve">. Si </w:t>
      </w:r>
      <w:r w:rsidR="009A1881" w:rsidRPr="00913E00">
        <w:t xml:space="preserve">no es posible recaudar dichos ingresos en su totalidad, el </w:t>
      </w:r>
      <w:r w:rsidR="00E6064C" w:rsidRPr="00913E00">
        <w:t xml:space="preserve">presupuesto de gastos </w:t>
      </w:r>
      <w:r w:rsidR="00611082" w:rsidRPr="00913E00">
        <w:t xml:space="preserve">debe reducirse </w:t>
      </w:r>
      <w:r w:rsidR="00E251B0" w:rsidRPr="00913E00">
        <w:t>de manera proporcional</w:t>
      </w:r>
      <w:r w:rsidR="009A1881" w:rsidRPr="00913E00">
        <w:t>.</w:t>
      </w:r>
    </w:p>
    <w:p w14:paraId="4D775C29" w14:textId="56A8DB88" w:rsidR="00E6064C" w:rsidRPr="00913E00" w:rsidRDefault="009A1881" w:rsidP="00E6064C">
      <w:r w:rsidRPr="00913E00">
        <w:t>El déficit de</w:t>
      </w:r>
      <w:r w:rsidR="00A825BA" w:rsidRPr="00913E00">
        <w:t xml:space="preserve"> los</w:t>
      </w:r>
      <w:r w:rsidRPr="00913E00">
        <w:t xml:space="preserve"> ingresos previsto</w:t>
      </w:r>
      <w:r w:rsidR="00A825BA" w:rsidRPr="00913E00">
        <w:t>s</w:t>
      </w:r>
      <w:r w:rsidRPr="00913E00">
        <w:t xml:space="preserve"> a 24 de agosto de 2022 es </w:t>
      </w:r>
      <w:r w:rsidR="00E6064C" w:rsidRPr="00913E00">
        <w:t>de 6</w:t>
      </w:r>
      <w:r w:rsidR="009B45ED" w:rsidRPr="00913E00">
        <w:t> </w:t>
      </w:r>
      <w:r w:rsidR="00E6064C" w:rsidRPr="00913E00">
        <w:t xml:space="preserve">845 </w:t>
      </w:r>
      <w:r w:rsidR="00305F3D" w:rsidRPr="00913E00">
        <w:t>millones CHF</w:t>
      </w:r>
      <w:r w:rsidR="00E6064C" w:rsidRPr="00913E00">
        <w:t>.</w:t>
      </w:r>
    </w:p>
    <w:p w14:paraId="7717742C" w14:textId="138602D4" w:rsidR="00E6064C" w:rsidRPr="00913E00" w:rsidRDefault="00611082" w:rsidP="00E6064C">
      <w:r w:rsidRPr="00913E00">
        <w:t>Hasta el</w:t>
      </w:r>
      <w:r w:rsidR="006E6D5D" w:rsidRPr="00913E00">
        <w:t xml:space="preserve"> 24 de agosto de 2022, l</w:t>
      </w:r>
      <w:r w:rsidR="00E251B0" w:rsidRPr="00913E00">
        <w:t>a tasa</w:t>
      </w:r>
      <w:r w:rsidR="00E6064C" w:rsidRPr="00913E00">
        <w:t xml:space="preserve"> de</w:t>
      </w:r>
      <w:r w:rsidRPr="00913E00">
        <w:t xml:space="preserve"> los</w:t>
      </w:r>
      <w:r w:rsidR="00E6064C" w:rsidRPr="00913E00">
        <w:t xml:space="preserve"> ingresos previst</w:t>
      </w:r>
      <w:r w:rsidRPr="00913E00">
        <w:t>os</w:t>
      </w:r>
      <w:r w:rsidR="00E6064C" w:rsidRPr="00913E00">
        <w:t xml:space="preserve"> para 2022 es del 95,84%</w:t>
      </w:r>
      <w:r w:rsidR="00E251B0" w:rsidRPr="00913E00">
        <w:t xml:space="preserve">, lo que </w:t>
      </w:r>
      <w:r w:rsidR="00E6064C" w:rsidRPr="00913E00">
        <w:t xml:space="preserve">significa que </w:t>
      </w:r>
      <w:r w:rsidR="00940308">
        <w:t>sólo</w:t>
      </w:r>
      <w:r w:rsidR="00E6064C" w:rsidRPr="00913E00">
        <w:t xml:space="preserve"> el 95,84% de los gastos presupuestados puede </w:t>
      </w:r>
      <w:r w:rsidRPr="00913E00">
        <w:t>sufragarse</w:t>
      </w:r>
      <w:r w:rsidR="00E6064C" w:rsidRPr="00913E00">
        <w:t xml:space="preserve"> con los ingresos disponibles, </w:t>
      </w:r>
      <w:r w:rsidRPr="00913E00">
        <w:t>puesto</w:t>
      </w:r>
      <w:r w:rsidR="00E6064C" w:rsidRPr="00913E00">
        <w:t xml:space="preserve"> que el resultado de la ejecución </w:t>
      </w:r>
      <w:r w:rsidRPr="00913E00">
        <w:t>del presupuesto</w:t>
      </w:r>
      <w:r w:rsidR="00E6064C" w:rsidRPr="00913E00">
        <w:t xml:space="preserve"> debe </w:t>
      </w:r>
      <w:r w:rsidRPr="00913E00">
        <w:t>ser</w:t>
      </w:r>
      <w:r w:rsidR="00E6064C" w:rsidRPr="00913E00">
        <w:t xml:space="preserve"> positivo.</w:t>
      </w:r>
    </w:p>
    <w:p w14:paraId="59D0AFAC" w14:textId="00BD0714" w:rsidR="00E6064C" w:rsidRPr="00913E00" w:rsidRDefault="00E6064C" w:rsidP="00E6064C">
      <w:r w:rsidRPr="00913E00">
        <w:t xml:space="preserve">Dado que los ingresos </w:t>
      </w:r>
      <w:r w:rsidR="00AD5870" w:rsidRPr="00913E00">
        <w:t>de la Unión son comunes</w:t>
      </w:r>
      <w:r w:rsidRPr="00913E00">
        <w:t>, este índice</w:t>
      </w:r>
      <w:r w:rsidR="00AF2EB4" w:rsidRPr="00913E00">
        <w:t xml:space="preserve"> se aplicaría</w:t>
      </w:r>
      <w:r w:rsidRPr="00913E00">
        <w:t xml:space="preserve"> de m</w:t>
      </w:r>
      <w:r w:rsidR="00AF2EB4" w:rsidRPr="00913E00">
        <w:t>anera uniforme en toda la Unión, como se indica</w:t>
      </w:r>
      <w:r w:rsidR="00AD5870" w:rsidRPr="00913E00">
        <w:t xml:space="preserve"> en </w:t>
      </w:r>
      <w:r w:rsidRPr="00913E00">
        <w:t>el</w:t>
      </w:r>
      <w:r w:rsidR="006E6D5D" w:rsidRPr="00913E00">
        <w:t xml:space="preserve"> C</w:t>
      </w:r>
      <w:r w:rsidRPr="00913E00">
        <w:t>uadro 1bis</w:t>
      </w:r>
      <w:r w:rsidR="00AD5870" w:rsidRPr="00913E00">
        <w:t xml:space="preserve">, en el que se </w:t>
      </w:r>
      <w:r w:rsidRPr="00913E00">
        <w:t>muestra</w:t>
      </w:r>
      <w:r w:rsidR="006E6D5D" w:rsidRPr="00913E00">
        <w:t>n</w:t>
      </w:r>
      <w:r w:rsidRPr="00913E00">
        <w:t xml:space="preserve"> los límites/objetivos por </w:t>
      </w:r>
      <w:r w:rsidR="006E6D5D" w:rsidRPr="00913E00">
        <w:t>S</w:t>
      </w:r>
      <w:r w:rsidRPr="00913E00">
        <w:t xml:space="preserve">ector </w:t>
      </w:r>
      <w:r w:rsidR="00AF2EB4" w:rsidRPr="00913E00">
        <w:t xml:space="preserve">(columna a) </w:t>
      </w:r>
      <w:r w:rsidRPr="00913E00">
        <w:t xml:space="preserve">para la ejecución </w:t>
      </w:r>
      <w:r w:rsidR="00AD5870" w:rsidRPr="00913E00">
        <w:t>del presupuesto de</w:t>
      </w:r>
      <w:r w:rsidR="006E6D5D" w:rsidRPr="00913E00">
        <w:t xml:space="preserve"> </w:t>
      </w:r>
      <w:r w:rsidRPr="00913E00">
        <w:t xml:space="preserve">2022 y las reducciones que </w:t>
      </w:r>
      <w:r w:rsidR="006E6D5D" w:rsidRPr="00913E00">
        <w:t>deberían lograrse</w:t>
      </w:r>
      <w:r w:rsidRPr="00913E00">
        <w:t xml:space="preserve"> hasta finales de 2022</w:t>
      </w:r>
      <w:r w:rsidR="00AD5870" w:rsidRPr="00913E00">
        <w:t xml:space="preserve"> (columna c)</w:t>
      </w:r>
      <w:r w:rsidRPr="00913E00">
        <w:t xml:space="preserve"> </w:t>
      </w:r>
      <w:r w:rsidR="00AD5870" w:rsidRPr="00913E00">
        <w:t>a fin de</w:t>
      </w:r>
      <w:r w:rsidRPr="00913E00">
        <w:t xml:space="preserve"> cumplir </w:t>
      </w:r>
      <w:r w:rsidR="00AF2EB4" w:rsidRPr="00913E00">
        <w:t>dichos</w:t>
      </w:r>
      <w:r w:rsidRPr="00913E00">
        <w:t xml:space="preserve"> límites/objetivos y </w:t>
      </w:r>
      <w:r w:rsidR="006E6D5D" w:rsidRPr="00913E00">
        <w:t xml:space="preserve">respetar </w:t>
      </w:r>
      <w:r w:rsidRPr="00913E00">
        <w:t>el presupuesto</w:t>
      </w:r>
      <w:r w:rsidR="006E6D5D" w:rsidRPr="00913E00">
        <w:t xml:space="preserve"> establecido</w:t>
      </w:r>
      <w:r w:rsidRPr="00913E00">
        <w:t>.</w:t>
      </w:r>
    </w:p>
    <w:p w14:paraId="3A28DA57" w14:textId="51C1A896" w:rsidR="00554DBF" w:rsidRPr="00913E00" w:rsidRDefault="00E6064C" w:rsidP="009B45ED">
      <w:pPr>
        <w:keepNext/>
        <w:keepLines/>
        <w:spacing w:after="120"/>
      </w:pPr>
      <w:r w:rsidRPr="00913E00">
        <w:lastRenderedPageBreak/>
        <w:t xml:space="preserve">Para evitar este enfoque arbitrario (imponer una reducción presupuestaria proporcional en todos los </w:t>
      </w:r>
      <w:r w:rsidR="003C103D" w:rsidRPr="00913E00">
        <w:t>S</w:t>
      </w:r>
      <w:r w:rsidRPr="00913E00">
        <w:t xml:space="preserve">ectores), los ahorros se </w:t>
      </w:r>
      <w:r w:rsidR="003C103D" w:rsidRPr="00913E00">
        <w:t>determinarán</w:t>
      </w:r>
      <w:r w:rsidRPr="00913E00">
        <w:t xml:space="preserve"> en función de los recursos necesarios para </w:t>
      </w:r>
      <w:r w:rsidR="003C103D" w:rsidRPr="00913E00">
        <w:t>llevar a cabo</w:t>
      </w:r>
      <w:r w:rsidRPr="00913E00">
        <w:t xml:space="preserve"> las actividades </w:t>
      </w:r>
      <w:r w:rsidR="003C103D" w:rsidRPr="00913E00">
        <w:t>fundamentales</w:t>
      </w:r>
      <w:r w:rsidRPr="00913E00">
        <w:t xml:space="preserve"> y obligatorias </w:t>
      </w:r>
      <w:r w:rsidR="003C103D" w:rsidRPr="00913E00">
        <w:t xml:space="preserve">para que </w:t>
      </w:r>
      <w:r w:rsidRPr="00913E00">
        <w:t xml:space="preserve">la UIT </w:t>
      </w:r>
      <w:r w:rsidR="003C103D" w:rsidRPr="00913E00">
        <w:t xml:space="preserve">pueda </w:t>
      </w:r>
      <w:r w:rsidRPr="00913E00">
        <w:t>cumpl</w:t>
      </w:r>
      <w:r w:rsidR="003C103D" w:rsidRPr="00913E00">
        <w:t>ir</w:t>
      </w:r>
      <w:r w:rsidRPr="00913E00">
        <w:t xml:space="preserve"> su misión y </w:t>
      </w:r>
      <w:r w:rsidR="00FE6D3F" w:rsidRPr="00913E00">
        <w:t>prestar apoyo</w:t>
      </w:r>
      <w:r w:rsidRPr="00913E00">
        <w:t xml:space="preserve"> a sus </w:t>
      </w:r>
      <w:r w:rsidR="003C103D" w:rsidRPr="00913E00">
        <w:t>M</w:t>
      </w:r>
      <w:r w:rsidRPr="00913E00">
        <w:t xml:space="preserve">iembros. Las demás actividades se clasificarán </w:t>
      </w:r>
      <w:r w:rsidR="003C103D" w:rsidRPr="00913E00">
        <w:t xml:space="preserve">según la prioridad que supongan </w:t>
      </w:r>
      <w:r w:rsidRPr="00913E00">
        <w:t xml:space="preserve">para los </w:t>
      </w:r>
      <w:r w:rsidR="003C103D" w:rsidRPr="00913E00">
        <w:t>M</w:t>
      </w:r>
      <w:r w:rsidRPr="00913E00">
        <w:t xml:space="preserve">iembros, y </w:t>
      </w:r>
      <w:r w:rsidR="003C103D" w:rsidRPr="00913E00">
        <w:t xml:space="preserve">se les asignarán recursos cuando estén disponibles, </w:t>
      </w:r>
      <w:r w:rsidR="00FE6D3F" w:rsidRPr="00913E00">
        <w:t>dado el</w:t>
      </w:r>
      <w:r w:rsidR="003C103D" w:rsidRPr="00913E00">
        <w:t xml:space="preserve"> caso</w:t>
      </w:r>
      <w:r w:rsidRPr="00913E00">
        <w:t>.</w:t>
      </w:r>
    </w:p>
    <w:p w14:paraId="3F69BF62" w14:textId="77777777" w:rsidR="00A70648" w:rsidRPr="00913E00" w:rsidRDefault="00AF2EB4" w:rsidP="00A70648">
      <w:pPr>
        <w:spacing w:before="0"/>
      </w:pPr>
      <w:r w:rsidRPr="00913E00">
        <w:rPr>
          <w:noProof/>
        </w:rPr>
        <w:drawing>
          <wp:inline distT="0" distB="0" distL="0" distR="0" wp14:anchorId="302399C2" wp14:editId="5B51E101">
            <wp:extent cx="5805578" cy="3126163"/>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6120" cy="3131839"/>
                    </a:xfrm>
                    <a:prstGeom prst="rect">
                      <a:avLst/>
                    </a:prstGeom>
                    <a:noFill/>
                    <a:ln>
                      <a:noFill/>
                    </a:ln>
                  </pic:spPr>
                </pic:pic>
              </a:graphicData>
            </a:graphic>
          </wp:inline>
        </w:drawing>
      </w:r>
    </w:p>
    <w:p w14:paraId="6A6FC611" w14:textId="64056E6A" w:rsidR="002A28D4" w:rsidRPr="00913E00" w:rsidRDefault="002A28D4" w:rsidP="00A70648">
      <w:pPr>
        <w:pStyle w:val="Heading1"/>
      </w:pPr>
      <w:r w:rsidRPr="00913E00">
        <w:t>5</w:t>
      </w:r>
      <w:r w:rsidRPr="00913E00">
        <w:tab/>
      </w:r>
      <w:r w:rsidR="00796FD6" w:rsidRPr="00913E00">
        <w:t xml:space="preserve">Posibles medidas inmediatas </w:t>
      </w:r>
      <w:r w:rsidR="00B9017F" w:rsidRPr="00913E00">
        <w:t>para equilibrar</w:t>
      </w:r>
      <w:r w:rsidR="00796FD6" w:rsidRPr="00913E00">
        <w:t xml:space="preserve"> la ejecución </w:t>
      </w:r>
      <w:r w:rsidR="00B9017F" w:rsidRPr="00913E00">
        <w:t>del presupuest</w:t>
      </w:r>
      <w:r w:rsidR="004C0070" w:rsidRPr="00913E00">
        <w:t>o</w:t>
      </w:r>
    </w:p>
    <w:p w14:paraId="5D0E69BE" w14:textId="6FE48852" w:rsidR="002A28D4" w:rsidRPr="00913E00" w:rsidRDefault="0039738F" w:rsidP="0022220A">
      <w:bookmarkStart w:id="21" w:name="lt_pId064"/>
      <w:r w:rsidRPr="00913E00">
        <w:t>A fin de evitar un resultado negativo (</w:t>
      </w:r>
      <w:r w:rsidR="00796FD6" w:rsidRPr="00913E00">
        <w:t>déficit</w:t>
      </w:r>
      <w:r w:rsidRPr="00913E00">
        <w:t xml:space="preserve">) en la ejecución </w:t>
      </w:r>
      <w:r w:rsidR="00B9017F" w:rsidRPr="00913E00">
        <w:t>del presupuesto</w:t>
      </w:r>
      <w:r w:rsidRPr="00913E00">
        <w:t xml:space="preserve"> de 2022, se aplicarán </w:t>
      </w:r>
      <w:r w:rsidR="00B9017F" w:rsidRPr="00913E00">
        <w:t xml:space="preserve">las siguientes </w:t>
      </w:r>
      <w:r w:rsidRPr="00913E00">
        <w:t xml:space="preserve">medidas de </w:t>
      </w:r>
      <w:r w:rsidR="00B9017F" w:rsidRPr="00913E00">
        <w:t>eficiencia</w:t>
      </w:r>
      <w:r w:rsidRPr="00913E00">
        <w:t xml:space="preserve"> para reducir los gastos</w:t>
      </w:r>
      <w:r w:rsidR="002A28D4" w:rsidRPr="00913E00">
        <w:t>:</w:t>
      </w:r>
      <w:bookmarkEnd w:id="21"/>
    </w:p>
    <w:p w14:paraId="0CFB89A0" w14:textId="65C96A1A" w:rsidR="002A28D4" w:rsidRPr="00913E00" w:rsidRDefault="0022220A" w:rsidP="0022220A">
      <w:pPr>
        <w:pStyle w:val="enumlev1"/>
      </w:pPr>
      <w:bookmarkStart w:id="22" w:name="lt_pId065"/>
      <w:r w:rsidRPr="00913E00">
        <w:t>•</w:t>
      </w:r>
      <w:r w:rsidRPr="00913E00">
        <w:tab/>
      </w:r>
      <w:bookmarkEnd w:id="22"/>
      <w:r w:rsidR="00434A51" w:rsidRPr="00913E00">
        <w:t>Durante lo que queda del año, permitir únicamente la contratación externa</w:t>
      </w:r>
      <w:r w:rsidR="00B9017F" w:rsidRPr="00913E00">
        <w:t xml:space="preserve"> de personal</w:t>
      </w:r>
      <w:r w:rsidR="00434A51" w:rsidRPr="00913E00">
        <w:t xml:space="preserve"> (para </w:t>
      </w:r>
      <w:r w:rsidR="00B9017F" w:rsidRPr="00913E00">
        <w:t>puestos</w:t>
      </w:r>
      <w:r w:rsidR="00434A51" w:rsidRPr="00913E00">
        <w:t xml:space="preserve"> de duración determinada y de corta duración y acuerdos de servicios especiales) que sea fundamental para la continuidad de las actividades de la organización, de acuerdo con una evaluación realizada por el Secretario General en consulta con el funcionario seleccionado</w:t>
      </w:r>
      <w:r w:rsidR="00B9017F" w:rsidRPr="00913E00">
        <w:t xml:space="preserve"> de que se trate</w:t>
      </w:r>
      <w:r w:rsidR="00434A51" w:rsidRPr="00913E00">
        <w:t>.</w:t>
      </w:r>
    </w:p>
    <w:p w14:paraId="28DB6C4F" w14:textId="3D531A90" w:rsidR="002A28D4" w:rsidRPr="00913E00" w:rsidRDefault="0022220A" w:rsidP="0022220A">
      <w:pPr>
        <w:pStyle w:val="enumlev1"/>
      </w:pPr>
      <w:bookmarkStart w:id="23" w:name="lt_pId066"/>
      <w:r w:rsidRPr="00913E00">
        <w:rPr>
          <w:color w:val="000000" w:themeColor="text1"/>
        </w:rPr>
        <w:t>•</w:t>
      </w:r>
      <w:r w:rsidRPr="00913E00">
        <w:rPr>
          <w:color w:val="000000" w:themeColor="text1"/>
        </w:rPr>
        <w:tab/>
      </w:r>
      <w:r w:rsidR="00434A51" w:rsidRPr="00913E00">
        <w:rPr>
          <w:color w:val="000000" w:themeColor="text1"/>
        </w:rPr>
        <w:t xml:space="preserve">Todas las </w:t>
      </w:r>
      <w:r w:rsidR="00434A51" w:rsidRPr="00913E00">
        <w:t>Oficinas</w:t>
      </w:r>
      <w:r w:rsidR="00434A51" w:rsidRPr="00913E00">
        <w:rPr>
          <w:color w:val="000000" w:themeColor="text1"/>
        </w:rPr>
        <w:t xml:space="preserve"> y Departamentos </w:t>
      </w:r>
      <w:bookmarkEnd w:id="23"/>
      <w:r w:rsidR="00434A51" w:rsidRPr="00913E00">
        <w:rPr>
          <w:color w:val="000000" w:themeColor="text1"/>
        </w:rPr>
        <w:t>de l</w:t>
      </w:r>
      <w:r w:rsidR="004625B8" w:rsidRPr="00913E00">
        <w:rPr>
          <w:color w:val="000000" w:themeColor="text1"/>
        </w:rPr>
        <w:t>a</w:t>
      </w:r>
      <w:r w:rsidR="00434A51" w:rsidRPr="00913E00">
        <w:rPr>
          <w:color w:val="000000" w:themeColor="text1"/>
        </w:rPr>
        <w:t xml:space="preserve"> S</w:t>
      </w:r>
      <w:r w:rsidR="00A825BA" w:rsidRPr="00913E00">
        <w:rPr>
          <w:color w:val="000000" w:themeColor="text1"/>
        </w:rPr>
        <w:t xml:space="preserve">ecretaría </w:t>
      </w:r>
      <w:r w:rsidR="00434A51" w:rsidRPr="00913E00">
        <w:rPr>
          <w:color w:val="000000" w:themeColor="text1"/>
        </w:rPr>
        <w:t>G</w:t>
      </w:r>
      <w:r w:rsidR="00A825BA" w:rsidRPr="00913E00">
        <w:rPr>
          <w:color w:val="000000" w:themeColor="text1"/>
        </w:rPr>
        <w:t>eneral</w:t>
      </w:r>
      <w:r w:rsidR="00434A51" w:rsidRPr="00913E00">
        <w:rPr>
          <w:color w:val="000000" w:themeColor="text1"/>
        </w:rPr>
        <w:t xml:space="preserve"> </w:t>
      </w:r>
      <w:r w:rsidR="009872F0" w:rsidRPr="00913E00">
        <w:rPr>
          <w:color w:val="000000" w:themeColor="text1"/>
        </w:rPr>
        <w:t>aplicarán</w:t>
      </w:r>
      <w:r w:rsidR="00434A51" w:rsidRPr="00913E00">
        <w:rPr>
          <w:color w:val="000000" w:themeColor="text1"/>
        </w:rPr>
        <w:t xml:space="preserve"> la tasa de vacantes del</w:t>
      </w:r>
      <w:r w:rsidR="00A70648" w:rsidRPr="00913E00">
        <w:rPr>
          <w:color w:val="000000" w:themeColor="text1"/>
        </w:rPr>
        <w:t> </w:t>
      </w:r>
      <w:r w:rsidR="00434A51" w:rsidRPr="00913E00">
        <w:rPr>
          <w:color w:val="000000" w:themeColor="text1"/>
        </w:rPr>
        <w:t>5% en la medida de lo posible.</w:t>
      </w:r>
    </w:p>
    <w:p w14:paraId="04D6DA7C" w14:textId="0F02075D" w:rsidR="002A28D4" w:rsidRPr="00913E00" w:rsidRDefault="0022220A" w:rsidP="0022220A">
      <w:pPr>
        <w:pStyle w:val="enumlev1"/>
      </w:pPr>
      <w:bookmarkStart w:id="24" w:name="lt_pId067"/>
      <w:r w:rsidRPr="00913E00">
        <w:t>•</w:t>
      </w:r>
      <w:r w:rsidRPr="00913E00">
        <w:tab/>
      </w:r>
      <w:bookmarkEnd w:id="24"/>
      <w:r w:rsidR="00434A51" w:rsidRPr="00913E00">
        <w:t>Siempre que sea posible y a menos que se incurra en gastos de cancelación, ofre</w:t>
      </w:r>
      <w:r w:rsidR="009872F0" w:rsidRPr="00913E00">
        <w:t>c</w:t>
      </w:r>
      <w:r w:rsidR="00A825BA" w:rsidRPr="00913E00">
        <w:t xml:space="preserve">er servicios de interpretación, </w:t>
      </w:r>
      <w:r w:rsidR="00940308">
        <w:t>sólo</w:t>
      </w:r>
      <w:r w:rsidR="009872F0" w:rsidRPr="00913E00">
        <w:t xml:space="preserve"> cuando se soliciten, </w:t>
      </w:r>
      <w:r w:rsidR="00434A51" w:rsidRPr="00913E00">
        <w:t xml:space="preserve">en eventos tales como </w:t>
      </w:r>
      <w:r w:rsidR="004625B8" w:rsidRPr="00913E00">
        <w:t xml:space="preserve">reuniones, seminarios y talleres de Comisiones de Estudio y </w:t>
      </w:r>
      <w:r w:rsidR="00B61693">
        <w:t xml:space="preserve">de </w:t>
      </w:r>
      <w:r w:rsidR="004625B8" w:rsidRPr="00913E00">
        <w:t>Grupos Asesores</w:t>
      </w:r>
      <w:r w:rsidR="00434A51" w:rsidRPr="00913E00">
        <w:t>, etc</w:t>
      </w:r>
      <w:r w:rsidR="009872F0" w:rsidRPr="00913E00">
        <w:t>.</w:t>
      </w:r>
    </w:p>
    <w:p w14:paraId="41887AF9" w14:textId="3359051D" w:rsidR="002A28D4" w:rsidRPr="00913E00" w:rsidRDefault="0022220A" w:rsidP="0022220A">
      <w:pPr>
        <w:pStyle w:val="enumlev1"/>
      </w:pPr>
      <w:bookmarkStart w:id="25" w:name="lt_pId068"/>
      <w:r w:rsidRPr="00913E00">
        <w:t>•</w:t>
      </w:r>
      <w:r w:rsidRPr="00913E00">
        <w:tab/>
      </w:r>
      <w:bookmarkEnd w:id="25"/>
      <w:r w:rsidR="004625B8" w:rsidRPr="00913E00">
        <w:t>Reducir las misiones.</w:t>
      </w:r>
    </w:p>
    <w:p w14:paraId="2BE27794" w14:textId="17DCDB66" w:rsidR="002A28D4" w:rsidRPr="00913E00" w:rsidRDefault="0022220A" w:rsidP="0022220A">
      <w:pPr>
        <w:pStyle w:val="enumlev1"/>
      </w:pPr>
      <w:bookmarkStart w:id="26" w:name="lt_pId069"/>
      <w:r w:rsidRPr="00913E00">
        <w:t>•</w:t>
      </w:r>
      <w:r w:rsidRPr="00913E00">
        <w:tab/>
      </w:r>
      <w:bookmarkEnd w:id="26"/>
      <w:r w:rsidR="004625B8" w:rsidRPr="00913E00">
        <w:t>Limitar los nuevos acuerdos de servicios especiales y servicios por contrata con cargo al presupuesto ordinario.</w:t>
      </w:r>
    </w:p>
    <w:p w14:paraId="2A12296E" w14:textId="262CDD22" w:rsidR="002A28D4" w:rsidRPr="00913E00" w:rsidRDefault="0022220A" w:rsidP="0022220A">
      <w:pPr>
        <w:pStyle w:val="enumlev1"/>
      </w:pPr>
      <w:bookmarkStart w:id="27" w:name="lt_pId070"/>
      <w:r w:rsidRPr="00913E00">
        <w:t>•</w:t>
      </w:r>
      <w:r w:rsidRPr="00913E00">
        <w:tab/>
      </w:r>
      <w:bookmarkEnd w:id="27"/>
      <w:r w:rsidR="004625B8" w:rsidRPr="00913E00">
        <w:t xml:space="preserve">No renovar los acuerdos de servicios especiales con cargo al presupuesto ordinario sin presentar </w:t>
      </w:r>
      <w:r w:rsidR="003E23AF" w:rsidRPr="00913E00">
        <w:t>justificaciones</w:t>
      </w:r>
      <w:r w:rsidR="004625B8" w:rsidRPr="00913E00">
        <w:t xml:space="preserve"> al Secretario General</w:t>
      </w:r>
      <w:r w:rsidR="003E23AF" w:rsidRPr="00913E00">
        <w:t>.</w:t>
      </w:r>
    </w:p>
    <w:p w14:paraId="15CC3170" w14:textId="34F521B8" w:rsidR="002A28D4" w:rsidRPr="00913E00" w:rsidRDefault="0022220A" w:rsidP="0022220A">
      <w:pPr>
        <w:pStyle w:val="enumlev1"/>
      </w:pPr>
      <w:bookmarkStart w:id="28" w:name="lt_pId071"/>
      <w:r w:rsidRPr="00913E00">
        <w:t>•</w:t>
      </w:r>
      <w:r w:rsidRPr="00913E00">
        <w:tab/>
      </w:r>
      <w:bookmarkEnd w:id="28"/>
      <w:r w:rsidR="00A825BA" w:rsidRPr="00913E00">
        <w:t>Evitar</w:t>
      </w:r>
      <w:r w:rsidR="003E23AF" w:rsidRPr="00913E00">
        <w:t xml:space="preserve"> </w:t>
      </w:r>
      <w:r w:rsidR="00A825BA" w:rsidRPr="00913E00">
        <w:t xml:space="preserve">los </w:t>
      </w:r>
      <w:r w:rsidR="003E23AF" w:rsidRPr="00913E00">
        <w:t>gastos no obligatorios (actos paralelos, etc.) con cargo al presupuesto ordinario.</w:t>
      </w:r>
    </w:p>
    <w:p w14:paraId="55914C4F" w14:textId="22D320EA" w:rsidR="002A28D4" w:rsidRPr="00913E00" w:rsidRDefault="0022220A" w:rsidP="0022220A">
      <w:pPr>
        <w:pStyle w:val="enumlev1"/>
      </w:pPr>
      <w:bookmarkStart w:id="29" w:name="lt_pId072"/>
      <w:r w:rsidRPr="00913E00">
        <w:t>•</w:t>
      </w:r>
      <w:r w:rsidRPr="00913E00">
        <w:tab/>
      </w:r>
      <w:bookmarkEnd w:id="29"/>
      <w:r w:rsidR="003E23AF" w:rsidRPr="00913E00">
        <w:t>Aplazar o cancelar servicios de consultoría contratados con cargo al presupuesto ordinario para actividades no obligatorias.</w:t>
      </w:r>
    </w:p>
    <w:p w14:paraId="42295C80" w14:textId="12282692" w:rsidR="002A28D4" w:rsidRPr="00913E00" w:rsidRDefault="0022220A" w:rsidP="0022220A">
      <w:pPr>
        <w:pStyle w:val="enumlev1"/>
      </w:pPr>
      <w:bookmarkStart w:id="30" w:name="lt_pId073"/>
      <w:r w:rsidRPr="00913E00">
        <w:lastRenderedPageBreak/>
        <w:t>•</w:t>
      </w:r>
      <w:r w:rsidRPr="00913E00">
        <w:tab/>
      </w:r>
      <w:bookmarkEnd w:id="30"/>
      <w:r w:rsidR="003E23AF" w:rsidRPr="00913E00">
        <w:t>Aplazar o cancelar actividades de formación no obligatorias con cargo al presupuesto ordinario.</w:t>
      </w:r>
    </w:p>
    <w:p w14:paraId="47CE6042" w14:textId="50C67394" w:rsidR="002A28D4" w:rsidRPr="00913E00" w:rsidRDefault="0022220A" w:rsidP="0022220A">
      <w:pPr>
        <w:pStyle w:val="enumlev1"/>
      </w:pPr>
      <w:bookmarkStart w:id="31" w:name="lt_pId074"/>
      <w:r w:rsidRPr="00913E00">
        <w:t>•</w:t>
      </w:r>
      <w:r w:rsidRPr="00913E00">
        <w:tab/>
      </w:r>
      <w:bookmarkEnd w:id="31"/>
      <w:r w:rsidR="00A3385C" w:rsidRPr="00913E00">
        <w:t>Suspender</w:t>
      </w:r>
      <w:r w:rsidR="003E23AF" w:rsidRPr="00913E00">
        <w:t>,</w:t>
      </w:r>
      <w:r w:rsidR="00A3385C" w:rsidRPr="00913E00">
        <w:t xml:space="preserve"> </w:t>
      </w:r>
      <w:r w:rsidR="003E23AF" w:rsidRPr="00913E00">
        <w:t>en la medida de lo posible, la concesión de becas para eventos y actividades financiad</w:t>
      </w:r>
      <w:r w:rsidR="00A825BA" w:rsidRPr="00913E00">
        <w:t>a</w:t>
      </w:r>
      <w:r w:rsidR="003E23AF" w:rsidRPr="00913E00">
        <w:t>s con</w:t>
      </w:r>
      <w:r w:rsidR="00A3385C" w:rsidRPr="00913E00">
        <w:t xml:space="preserve"> cargo a</w:t>
      </w:r>
      <w:r w:rsidR="003E23AF" w:rsidRPr="00913E00">
        <w:t>l presupuesto ordinario de la UIT</w:t>
      </w:r>
      <w:r w:rsidR="00A3385C" w:rsidRPr="00913E00">
        <w:t>.</w:t>
      </w:r>
    </w:p>
    <w:p w14:paraId="534FA1F0" w14:textId="3B4D637A" w:rsidR="002A28D4" w:rsidRPr="00913E00" w:rsidRDefault="0022220A" w:rsidP="0022220A">
      <w:pPr>
        <w:pStyle w:val="enumlev1"/>
      </w:pPr>
      <w:bookmarkStart w:id="32" w:name="lt_pId075"/>
      <w:r w:rsidRPr="00913E00">
        <w:t>•</w:t>
      </w:r>
      <w:r w:rsidRPr="00913E00">
        <w:tab/>
      </w:r>
      <w:bookmarkEnd w:id="32"/>
      <w:r w:rsidR="00A825BA" w:rsidRPr="00913E00">
        <w:t>Evitar los</w:t>
      </w:r>
      <w:r w:rsidR="00A3385C" w:rsidRPr="00913E00">
        <w:t xml:space="preserve"> gastos </w:t>
      </w:r>
      <w:r w:rsidR="009872F0" w:rsidRPr="00913E00">
        <w:t>que no sean fundamentales</w:t>
      </w:r>
      <w:r w:rsidR="00A3385C" w:rsidRPr="00913E00">
        <w:t>.</w:t>
      </w:r>
    </w:p>
    <w:p w14:paraId="3104457C" w14:textId="2CCE56ED" w:rsidR="002A28D4" w:rsidRPr="00913E00" w:rsidRDefault="0022220A" w:rsidP="0022220A">
      <w:pPr>
        <w:pStyle w:val="enumlev1"/>
        <w:rPr>
          <w:color w:val="000000" w:themeColor="text1"/>
        </w:rPr>
      </w:pPr>
      <w:bookmarkStart w:id="33" w:name="lt_pId076"/>
      <w:r w:rsidRPr="00913E00">
        <w:t>•</w:t>
      </w:r>
      <w:r w:rsidRPr="00913E00">
        <w:tab/>
      </w:r>
      <w:bookmarkEnd w:id="33"/>
      <w:r w:rsidR="00A3385C" w:rsidRPr="00913E00">
        <w:t xml:space="preserve">Abaratar los costes de los viajes revisando la política </w:t>
      </w:r>
      <w:r w:rsidR="00E64B8F" w:rsidRPr="00913E00">
        <w:t>establecida en las</w:t>
      </w:r>
      <w:r w:rsidR="00A3385C" w:rsidRPr="00913E00">
        <w:t xml:space="preserve"> "Condiciones de los </w:t>
      </w:r>
      <w:r w:rsidR="00E64B8F" w:rsidRPr="00913E00">
        <w:t xml:space="preserve">viajes oficiales" a fin de </w:t>
      </w:r>
      <w:r w:rsidR="00F9554D" w:rsidRPr="00913E00">
        <w:t>aumentar el recurso a</w:t>
      </w:r>
      <w:r w:rsidR="00E64B8F" w:rsidRPr="00913E00">
        <w:t xml:space="preserve"> </w:t>
      </w:r>
      <w:r w:rsidR="00A3385C" w:rsidRPr="00913E00">
        <w:t>vuelos en clase económica, en especial en el caso de los eventos en los que se requiere una amplia asistencia del personal de la UIT.</w:t>
      </w:r>
    </w:p>
    <w:p w14:paraId="0BEA82F6" w14:textId="72A82DB4" w:rsidR="002A28D4" w:rsidRPr="00913E00" w:rsidRDefault="002A28D4" w:rsidP="0022220A">
      <w:pPr>
        <w:pStyle w:val="Heading1"/>
      </w:pPr>
      <w:r w:rsidRPr="00913E00">
        <w:t>6</w:t>
      </w:r>
      <w:r w:rsidRPr="00913E00">
        <w:tab/>
      </w:r>
      <w:r w:rsidR="007B5B40" w:rsidRPr="00913E00">
        <w:t>Próximas etapas</w:t>
      </w:r>
    </w:p>
    <w:p w14:paraId="3EAED3D6" w14:textId="758AB99E" w:rsidR="002A28D4" w:rsidRPr="00913E00" w:rsidRDefault="00E64B8F" w:rsidP="0022220A">
      <w:r w:rsidRPr="00913E00">
        <w:t xml:space="preserve">La ejecución del presupuesto de 2023, y de los siguientes, será difícil de equilibrar. La Unión deberá emprender una profunda revisión y optimización de sus actividades y métodos de trabajo, </w:t>
      </w:r>
      <w:r w:rsidR="00301C41" w:rsidRPr="00913E00">
        <w:t>y</w:t>
      </w:r>
      <w:r w:rsidRPr="00913E00">
        <w:t xml:space="preserve"> </w:t>
      </w:r>
      <w:r w:rsidR="00301C41" w:rsidRPr="00913E00">
        <w:t>generar más</w:t>
      </w:r>
      <w:r w:rsidRPr="00913E00">
        <w:t xml:space="preserve"> ingresos para </w:t>
      </w:r>
      <w:r w:rsidR="00986617" w:rsidRPr="00913E00">
        <w:t>poder superar este reto</w:t>
      </w:r>
      <w:r w:rsidRPr="00913E00">
        <w:t>.</w:t>
      </w:r>
    </w:p>
    <w:p w14:paraId="58FCEB59" w14:textId="6DCBADCA" w:rsidR="002A28D4" w:rsidRPr="00913E00" w:rsidRDefault="00986617" w:rsidP="0022220A">
      <w:r w:rsidRPr="00913E00">
        <w:t>Algunas</w:t>
      </w:r>
      <w:r w:rsidR="003D3AD4" w:rsidRPr="00913E00">
        <w:t xml:space="preserve"> de las</w:t>
      </w:r>
      <w:r w:rsidRPr="00913E00">
        <w:t xml:space="preserve"> medidas de eficiencia </w:t>
      </w:r>
      <w:r w:rsidR="00666342" w:rsidRPr="00913E00">
        <w:t>descritas</w:t>
      </w:r>
      <w:r w:rsidRPr="00913E00">
        <w:t xml:space="preserve"> en el Anexo 2 a la Decisión 5 (Rev. Dubái, 2018) siguen sin aplicarse plenamente, incluida la medida 1 sobre la duplicación y la centralización de determinadas tareas</w:t>
      </w:r>
      <w:r w:rsidR="003D3AD4" w:rsidRPr="00913E00">
        <w:t>. P</w:t>
      </w:r>
      <w:r w:rsidR="00666342" w:rsidRPr="00913E00">
        <w:t xml:space="preserve">or </w:t>
      </w:r>
      <w:r w:rsidR="00B4037C" w:rsidRPr="00913E00">
        <w:t xml:space="preserve">ejemplo, la </w:t>
      </w:r>
      <w:r w:rsidRPr="00913E00">
        <w:t xml:space="preserve">centralización de los controladores financieros en el Departamento de Gestión de Recursos Financieros, que permitió ahorrar tres puestos, </w:t>
      </w:r>
      <w:r w:rsidR="003D3AD4" w:rsidRPr="00913E00">
        <w:t>lo que equivale a</w:t>
      </w:r>
      <w:r w:rsidRPr="00913E00">
        <w:t xml:space="preserve"> unos 3 </w:t>
      </w:r>
      <w:r w:rsidR="00305F3D" w:rsidRPr="00913E00">
        <w:t>millones CHF</w:t>
      </w:r>
      <w:r w:rsidRPr="00913E00">
        <w:t xml:space="preserve"> para el próximo plan financiero.</w:t>
      </w:r>
    </w:p>
    <w:p w14:paraId="79DD8A26" w14:textId="7A62F1D4" w:rsidR="002A28D4" w:rsidRPr="00913E00" w:rsidRDefault="00666342" w:rsidP="0022220A">
      <w:pPr>
        <w:rPr>
          <w:color w:val="000000"/>
        </w:rPr>
      </w:pPr>
      <w:r w:rsidRPr="00913E00">
        <w:t xml:space="preserve">La UIT también ha extraído muchas enseñanzas durante el </w:t>
      </w:r>
      <w:r w:rsidR="00940308">
        <w:t>periodo</w:t>
      </w:r>
      <w:r w:rsidRPr="00913E00">
        <w:t xml:space="preserve"> de la pandemia de COVID-19 que deberían servir de base para la aplicación futura de las medidas de eficiencia establecidas en el Anexo 2 a la Decisión 5. Por ejemplo, aunque las reuniones virtuales e híbridas permiten a los Miembros ahorrar dinero en concepto de viajes y alojamiento, han aumentado los costes </w:t>
      </w:r>
      <w:r w:rsidR="003D3AD4" w:rsidRPr="00913E00">
        <w:t>relacionados con el</w:t>
      </w:r>
      <w:r w:rsidRPr="00913E00">
        <w:t xml:space="preserve"> apoyo </w:t>
      </w:r>
      <w:r w:rsidR="00301C41" w:rsidRPr="00913E00">
        <w:t>prestado por</w:t>
      </w:r>
      <w:r w:rsidRPr="00913E00">
        <w:t xml:space="preserve"> la Secretaría (por ejemplo, </w:t>
      </w:r>
      <w:r w:rsidR="00301C41" w:rsidRPr="00913E00">
        <w:t xml:space="preserve">con respecto a </w:t>
      </w:r>
      <w:r w:rsidRPr="00913E00">
        <w:t>la contratación de moderadores, la seguridad, el control de acceso</w:t>
      </w:r>
      <w:r w:rsidR="003D3AD4" w:rsidRPr="00913E00">
        <w:t>s</w:t>
      </w:r>
      <w:r w:rsidRPr="00913E00">
        <w:t xml:space="preserve"> y el equipo especial necesario para integrar las salas de reunión).</w:t>
      </w:r>
    </w:p>
    <w:p w14:paraId="4309C552" w14:textId="6D85708D" w:rsidR="002A28D4" w:rsidRPr="00913E00" w:rsidRDefault="00666342" w:rsidP="0022220A">
      <w:pPr>
        <w:rPr>
          <w:lang w:eastAsia="fr-FR"/>
        </w:rPr>
      </w:pPr>
      <w:r w:rsidRPr="00913E00">
        <w:rPr>
          <w:lang w:eastAsia="fr-FR"/>
        </w:rPr>
        <w:t>La Secretaría presentará un informe sobre la aplicación del Anexo 2 a la De</w:t>
      </w:r>
      <w:r w:rsidR="003D3AD4" w:rsidRPr="00913E00">
        <w:rPr>
          <w:lang w:eastAsia="fr-FR"/>
        </w:rPr>
        <w:t xml:space="preserve">cisión 5 en la Conferencia de Plenipotenciarios (PP-22), </w:t>
      </w:r>
      <w:r w:rsidRPr="00913E00">
        <w:rPr>
          <w:lang w:eastAsia="fr-FR"/>
        </w:rPr>
        <w:t xml:space="preserve">en el que se sugerirán nuevas medidas, como recurrir a auditores externos para que evalúen los desarrollos informáticos y el uso de recursos en la UIT, incluido el desarrollo interno de </w:t>
      </w:r>
      <w:r w:rsidR="0038543C" w:rsidRPr="00913E00">
        <w:rPr>
          <w:lang w:eastAsia="fr-FR"/>
        </w:rPr>
        <w:t>programas informáticos</w:t>
      </w:r>
      <w:r w:rsidRPr="00913E00">
        <w:rPr>
          <w:lang w:eastAsia="fr-FR"/>
        </w:rPr>
        <w:t xml:space="preserve">, </w:t>
      </w:r>
      <w:r w:rsidR="003D3AD4" w:rsidRPr="00913E00">
        <w:rPr>
          <w:lang w:eastAsia="fr-FR"/>
        </w:rPr>
        <w:t>poner en marcha</w:t>
      </w:r>
      <w:r w:rsidR="0038543C" w:rsidRPr="00913E00">
        <w:rPr>
          <w:lang w:eastAsia="fr-FR"/>
        </w:rPr>
        <w:t xml:space="preserve"> la</w:t>
      </w:r>
      <w:r w:rsidRPr="00913E00">
        <w:rPr>
          <w:lang w:eastAsia="fr-FR"/>
        </w:rPr>
        <w:t xml:space="preserve"> transformación digital de las ac</w:t>
      </w:r>
      <w:r w:rsidR="0038543C" w:rsidRPr="00913E00">
        <w:rPr>
          <w:lang w:eastAsia="fr-FR"/>
        </w:rPr>
        <w:t xml:space="preserve">tividades y los procedimientos y determinar </w:t>
      </w:r>
      <w:r w:rsidRPr="00913E00">
        <w:rPr>
          <w:lang w:eastAsia="fr-FR"/>
        </w:rPr>
        <w:t xml:space="preserve">oportunidades para reducir los gastos generales mediante la </w:t>
      </w:r>
      <w:r w:rsidR="0038543C" w:rsidRPr="00913E00">
        <w:rPr>
          <w:lang w:eastAsia="fr-FR"/>
        </w:rPr>
        <w:t>externalización</w:t>
      </w:r>
      <w:r w:rsidRPr="00913E00">
        <w:rPr>
          <w:lang w:eastAsia="fr-FR"/>
        </w:rPr>
        <w:t xml:space="preserve"> de los servicios de apoyo internos que están disponibles </w:t>
      </w:r>
      <w:r w:rsidR="0038543C" w:rsidRPr="00913E00">
        <w:rPr>
          <w:lang w:eastAsia="fr-FR"/>
        </w:rPr>
        <w:t>en el mercado</w:t>
      </w:r>
      <w:r w:rsidRPr="00913E00">
        <w:rPr>
          <w:lang w:eastAsia="fr-FR"/>
        </w:rPr>
        <w:t>.</w:t>
      </w:r>
    </w:p>
    <w:p w14:paraId="68E3BBD2" w14:textId="0E9B887B" w:rsidR="002A28D4" w:rsidRPr="00913E00" w:rsidRDefault="0038543C" w:rsidP="0022220A">
      <w:r w:rsidRPr="00913E00">
        <w:t xml:space="preserve">Será necesario realizar una evaluación minuciosa para </w:t>
      </w:r>
      <w:r w:rsidR="00301C41" w:rsidRPr="00913E00">
        <w:t>determinar</w:t>
      </w:r>
      <w:r w:rsidR="003D3AD4" w:rsidRPr="00913E00">
        <w:t xml:space="preserve"> las futuras </w:t>
      </w:r>
      <w:r w:rsidRPr="00913E00">
        <w:t>medidas de eficiencia que permit</w:t>
      </w:r>
      <w:r w:rsidR="003D3AD4" w:rsidRPr="00913E00">
        <w:t>an</w:t>
      </w:r>
      <w:r w:rsidRPr="00913E00">
        <w:t xml:space="preserve"> reducir los gastos generales y aumentar la disponibilidad de recursos </w:t>
      </w:r>
      <w:r w:rsidR="002344C5" w:rsidRPr="00913E00">
        <w:t>destinados</w:t>
      </w:r>
      <w:r w:rsidRPr="00913E00">
        <w:t xml:space="preserve"> a </w:t>
      </w:r>
      <w:r w:rsidR="002344C5" w:rsidRPr="00913E00">
        <w:t>dar cumplimiento a</w:t>
      </w:r>
      <w:r w:rsidRPr="00913E00">
        <w:t xml:space="preserve"> la misión de la UIT y a </w:t>
      </w:r>
      <w:r w:rsidR="003D3AD4" w:rsidRPr="00913E00">
        <w:t xml:space="preserve">prestar apoyo </w:t>
      </w:r>
      <w:r w:rsidRPr="00913E00">
        <w:t xml:space="preserve">a sus </w:t>
      </w:r>
      <w:r w:rsidR="002344C5" w:rsidRPr="00913E00">
        <w:t>M</w:t>
      </w:r>
      <w:r w:rsidRPr="00913E00">
        <w:t>iembros.</w:t>
      </w:r>
    </w:p>
    <w:p w14:paraId="03A949C0" w14:textId="5E674E33" w:rsidR="002A28D4" w:rsidRPr="00913E00" w:rsidRDefault="002344C5" w:rsidP="0022220A">
      <w:bookmarkStart w:id="34" w:name="lt_pId089"/>
      <w:r w:rsidRPr="00913E00">
        <w:t xml:space="preserve">Al mismo tiempo, se invita a los Estados Miembros de la UIT a considerar la posibilidad de aumentar sus unidades contributivas. </w:t>
      </w:r>
      <w:r w:rsidR="000A24AC" w:rsidRPr="00913E00">
        <w:t>Con</w:t>
      </w:r>
      <w:r w:rsidRPr="00913E00">
        <w:t xml:space="preserve"> 50 unidades adicionales </w:t>
      </w:r>
      <w:r w:rsidR="000A24AC" w:rsidRPr="00913E00">
        <w:t xml:space="preserve">en total se </w:t>
      </w:r>
      <w:r w:rsidRPr="00913E00">
        <w:t xml:space="preserve">garantizaría que la Unión pueda cumplir su mandato de forma eficaz. Se invita a </w:t>
      </w:r>
      <w:r w:rsidR="000A24AC" w:rsidRPr="00913E00">
        <w:t>realizar</w:t>
      </w:r>
      <w:r w:rsidRPr="00913E00">
        <w:t xml:space="preserve"> contribuciones voluntarias para </w:t>
      </w:r>
      <w:r w:rsidR="00301C41" w:rsidRPr="00913E00">
        <w:t>sufragar</w:t>
      </w:r>
      <w:r w:rsidRPr="00913E00">
        <w:t xml:space="preserve"> el déficit presupuestario</w:t>
      </w:r>
      <w:r w:rsidR="002A28D4" w:rsidRPr="00913E00">
        <w:t>.</w:t>
      </w:r>
      <w:bookmarkEnd w:id="34"/>
    </w:p>
    <w:p w14:paraId="107EF1CA" w14:textId="77777777" w:rsidR="002A28D4" w:rsidRPr="00913E00" w:rsidRDefault="002A28D4" w:rsidP="002A28D4">
      <w:pPr>
        <w:pStyle w:val="Reasons"/>
      </w:pPr>
    </w:p>
    <w:p w14:paraId="710E9E35" w14:textId="77777777" w:rsidR="002A28D4" w:rsidRPr="00913E00" w:rsidRDefault="002A28D4" w:rsidP="002A28D4">
      <w:pPr>
        <w:jc w:val="center"/>
      </w:pPr>
      <w:r w:rsidRPr="00913E00">
        <w:t>______________</w:t>
      </w:r>
    </w:p>
    <w:sectPr w:rsidR="002A28D4" w:rsidRPr="00913E00"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A85F" w14:textId="77777777" w:rsidR="00FC101D" w:rsidRDefault="00FC101D">
      <w:r>
        <w:separator/>
      </w:r>
    </w:p>
  </w:endnote>
  <w:endnote w:type="continuationSeparator" w:id="0">
    <w:p w14:paraId="724DF719" w14:textId="77777777" w:rsidR="00FC101D" w:rsidRDefault="00FC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7F46" w14:textId="1DCE69C2" w:rsidR="0022220A" w:rsidRPr="00A70648" w:rsidRDefault="0022220A">
    <w:pPr>
      <w:pStyle w:val="Footer"/>
      <w:rPr>
        <w:lang w:val="fr-FR"/>
      </w:rPr>
    </w:pPr>
    <w:r w:rsidRPr="006B49D2">
      <w:rPr>
        <w:color w:val="F2F2F2" w:themeColor="background1" w:themeShade="F2"/>
      </w:rPr>
      <w:fldChar w:fldCharType="begin"/>
    </w:r>
    <w:r w:rsidRPr="006B49D2">
      <w:rPr>
        <w:color w:val="F2F2F2" w:themeColor="background1" w:themeShade="F2"/>
        <w:lang w:val="fr-FR"/>
      </w:rPr>
      <w:instrText xml:space="preserve"> FILENAME \p \* MERGEFORMAT </w:instrText>
    </w:r>
    <w:r w:rsidRPr="006B49D2">
      <w:rPr>
        <w:color w:val="F2F2F2" w:themeColor="background1" w:themeShade="F2"/>
      </w:rPr>
      <w:fldChar w:fldCharType="separate"/>
    </w:r>
    <w:r w:rsidR="0004262F" w:rsidRPr="006B49D2">
      <w:rPr>
        <w:color w:val="F2F2F2" w:themeColor="background1" w:themeShade="F2"/>
        <w:lang w:val="fr-FR"/>
      </w:rPr>
      <w:t>P:\ESP\SG\CONSEIL\C22\100\102S.docx</w:t>
    </w:r>
    <w:r w:rsidRPr="006B49D2">
      <w:rPr>
        <w:color w:val="F2F2F2" w:themeColor="background1" w:themeShade="F2"/>
        <w:lang w:val="en-US"/>
      </w:rPr>
      <w:fldChar w:fldCharType="end"/>
    </w:r>
    <w:r w:rsidRPr="006B49D2">
      <w:rPr>
        <w:color w:val="F2F2F2" w:themeColor="background1" w:themeShade="F2"/>
        <w:lang w:val="fr-FR"/>
      </w:rPr>
      <w:t xml:space="preserve"> (51089</w:t>
    </w:r>
    <w:r w:rsidR="0004262F" w:rsidRPr="006B49D2">
      <w:rPr>
        <w:color w:val="F2F2F2" w:themeColor="background1" w:themeShade="F2"/>
        <w:lang w:val="fr-FR"/>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FB4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3378" w14:textId="77777777" w:rsidR="00FC101D" w:rsidRDefault="00FC101D">
      <w:r>
        <w:t>____________________</w:t>
      </w:r>
    </w:p>
  </w:footnote>
  <w:footnote w:type="continuationSeparator" w:id="0">
    <w:p w14:paraId="6F0018E6" w14:textId="77777777" w:rsidR="00FC101D" w:rsidRDefault="00FC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7ACF" w14:textId="41FD1935" w:rsidR="00760F1C" w:rsidRDefault="000B7C15" w:rsidP="007657F0">
    <w:pPr>
      <w:pStyle w:val="Header"/>
    </w:pPr>
    <w:r>
      <w:fldChar w:fldCharType="begin"/>
    </w:r>
    <w:r>
      <w:instrText>PAGE</w:instrText>
    </w:r>
    <w:r>
      <w:fldChar w:fldCharType="separate"/>
    </w:r>
    <w:r w:rsidR="001646E8">
      <w:rPr>
        <w:noProof/>
      </w:rPr>
      <w:t>7</w:t>
    </w:r>
    <w:r>
      <w:rPr>
        <w:noProof/>
      </w:rPr>
      <w:fldChar w:fldCharType="end"/>
    </w:r>
  </w:p>
  <w:p w14:paraId="733411A4" w14:textId="505A7FC3" w:rsidR="00760F1C" w:rsidRDefault="00760F1C" w:rsidP="00C2727F">
    <w:pPr>
      <w:pStyle w:val="Header"/>
    </w:pPr>
    <w:r>
      <w:t>C</w:t>
    </w:r>
    <w:r w:rsidR="007955DA">
      <w:t>2</w:t>
    </w:r>
    <w:r w:rsidR="00D50A36">
      <w:t>2</w:t>
    </w:r>
    <w:r>
      <w:t>/</w:t>
    </w:r>
    <w:r w:rsidR="002A28D4">
      <w:t>102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46A97"/>
    <w:multiLevelType w:val="hybridMultilevel"/>
    <w:tmpl w:val="EA8A59F8"/>
    <w:lvl w:ilvl="0" w:tplc="03369386">
      <w:start w:val="1"/>
      <w:numFmt w:val="bullet"/>
      <w:lvlText w:val=""/>
      <w:lvlJc w:val="left"/>
      <w:pPr>
        <w:ind w:left="720" w:hanging="360"/>
      </w:pPr>
      <w:rPr>
        <w:rFonts w:ascii="Symbol" w:hAnsi="Symbol" w:hint="default"/>
      </w:rPr>
    </w:lvl>
    <w:lvl w:ilvl="1" w:tplc="00447C9E" w:tentative="1">
      <w:start w:val="1"/>
      <w:numFmt w:val="bullet"/>
      <w:lvlText w:val="o"/>
      <w:lvlJc w:val="left"/>
      <w:pPr>
        <w:ind w:left="1440" w:hanging="360"/>
      </w:pPr>
      <w:rPr>
        <w:rFonts w:ascii="Courier New" w:hAnsi="Courier New" w:cs="Courier New" w:hint="default"/>
      </w:rPr>
    </w:lvl>
    <w:lvl w:ilvl="2" w:tplc="2E40BAC2" w:tentative="1">
      <w:start w:val="1"/>
      <w:numFmt w:val="bullet"/>
      <w:lvlText w:val=""/>
      <w:lvlJc w:val="left"/>
      <w:pPr>
        <w:ind w:left="2160" w:hanging="360"/>
      </w:pPr>
      <w:rPr>
        <w:rFonts w:ascii="Wingdings" w:hAnsi="Wingdings" w:hint="default"/>
      </w:rPr>
    </w:lvl>
    <w:lvl w:ilvl="3" w:tplc="42646766" w:tentative="1">
      <w:start w:val="1"/>
      <w:numFmt w:val="bullet"/>
      <w:lvlText w:val=""/>
      <w:lvlJc w:val="left"/>
      <w:pPr>
        <w:ind w:left="2880" w:hanging="360"/>
      </w:pPr>
      <w:rPr>
        <w:rFonts w:ascii="Symbol" w:hAnsi="Symbol" w:hint="default"/>
      </w:rPr>
    </w:lvl>
    <w:lvl w:ilvl="4" w:tplc="4144444A" w:tentative="1">
      <w:start w:val="1"/>
      <w:numFmt w:val="bullet"/>
      <w:lvlText w:val="o"/>
      <w:lvlJc w:val="left"/>
      <w:pPr>
        <w:ind w:left="3600" w:hanging="360"/>
      </w:pPr>
      <w:rPr>
        <w:rFonts w:ascii="Courier New" w:hAnsi="Courier New" w:cs="Courier New" w:hint="default"/>
      </w:rPr>
    </w:lvl>
    <w:lvl w:ilvl="5" w:tplc="490EF10C" w:tentative="1">
      <w:start w:val="1"/>
      <w:numFmt w:val="bullet"/>
      <w:lvlText w:val=""/>
      <w:lvlJc w:val="left"/>
      <w:pPr>
        <w:ind w:left="4320" w:hanging="360"/>
      </w:pPr>
      <w:rPr>
        <w:rFonts w:ascii="Wingdings" w:hAnsi="Wingdings" w:hint="default"/>
      </w:rPr>
    </w:lvl>
    <w:lvl w:ilvl="6" w:tplc="DE9CB046" w:tentative="1">
      <w:start w:val="1"/>
      <w:numFmt w:val="bullet"/>
      <w:lvlText w:val=""/>
      <w:lvlJc w:val="left"/>
      <w:pPr>
        <w:ind w:left="5040" w:hanging="360"/>
      </w:pPr>
      <w:rPr>
        <w:rFonts w:ascii="Symbol" w:hAnsi="Symbol" w:hint="default"/>
      </w:rPr>
    </w:lvl>
    <w:lvl w:ilvl="7" w:tplc="F6803FCA" w:tentative="1">
      <w:start w:val="1"/>
      <w:numFmt w:val="bullet"/>
      <w:lvlText w:val="o"/>
      <w:lvlJc w:val="left"/>
      <w:pPr>
        <w:ind w:left="5760" w:hanging="360"/>
      </w:pPr>
      <w:rPr>
        <w:rFonts w:ascii="Courier New" w:hAnsi="Courier New" w:cs="Courier New" w:hint="default"/>
      </w:rPr>
    </w:lvl>
    <w:lvl w:ilvl="8" w:tplc="BC907814" w:tentative="1">
      <w:start w:val="1"/>
      <w:numFmt w:val="bullet"/>
      <w:lvlText w:val=""/>
      <w:lvlJc w:val="left"/>
      <w:pPr>
        <w:ind w:left="6480" w:hanging="360"/>
      </w:pPr>
      <w:rPr>
        <w:rFonts w:ascii="Wingdings" w:hAnsi="Wingdings" w:hint="default"/>
      </w:rPr>
    </w:lvl>
  </w:abstractNum>
  <w:num w:numId="1" w16cid:durableId="18251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1D"/>
    <w:rsid w:val="000007D1"/>
    <w:rsid w:val="00006153"/>
    <w:rsid w:val="000373E1"/>
    <w:rsid w:val="0004262F"/>
    <w:rsid w:val="0006435F"/>
    <w:rsid w:val="00093EEB"/>
    <w:rsid w:val="000A24AC"/>
    <w:rsid w:val="000B0D00"/>
    <w:rsid w:val="000B7C15"/>
    <w:rsid w:val="000D1D0F"/>
    <w:rsid w:val="000F5290"/>
    <w:rsid w:val="0010165C"/>
    <w:rsid w:val="0013593B"/>
    <w:rsid w:val="00146BFB"/>
    <w:rsid w:val="001646E8"/>
    <w:rsid w:val="001E0DAA"/>
    <w:rsid w:val="001F14A2"/>
    <w:rsid w:val="00203961"/>
    <w:rsid w:val="00217B3A"/>
    <w:rsid w:val="0022220A"/>
    <w:rsid w:val="002344C5"/>
    <w:rsid w:val="002801AA"/>
    <w:rsid w:val="002A28D4"/>
    <w:rsid w:val="002C4676"/>
    <w:rsid w:val="002C70B0"/>
    <w:rsid w:val="002D214A"/>
    <w:rsid w:val="002F3CC4"/>
    <w:rsid w:val="00301C41"/>
    <w:rsid w:val="00305F3D"/>
    <w:rsid w:val="00315608"/>
    <w:rsid w:val="00320244"/>
    <w:rsid w:val="0035647D"/>
    <w:rsid w:val="00363245"/>
    <w:rsid w:val="0038543C"/>
    <w:rsid w:val="0039738F"/>
    <w:rsid w:val="003C103D"/>
    <w:rsid w:val="003D3AD4"/>
    <w:rsid w:val="003D67CD"/>
    <w:rsid w:val="003E23AF"/>
    <w:rsid w:val="004024C2"/>
    <w:rsid w:val="00432004"/>
    <w:rsid w:val="00434A51"/>
    <w:rsid w:val="00445E64"/>
    <w:rsid w:val="004625B8"/>
    <w:rsid w:val="004C0070"/>
    <w:rsid w:val="004D1098"/>
    <w:rsid w:val="00513630"/>
    <w:rsid w:val="00533389"/>
    <w:rsid w:val="00551FB9"/>
    <w:rsid w:val="00554DBF"/>
    <w:rsid w:val="005554C7"/>
    <w:rsid w:val="00560125"/>
    <w:rsid w:val="00585553"/>
    <w:rsid w:val="005877EF"/>
    <w:rsid w:val="005B34D9"/>
    <w:rsid w:val="005B3C1B"/>
    <w:rsid w:val="005D0CCF"/>
    <w:rsid w:val="005F3BCB"/>
    <w:rsid w:val="005F410F"/>
    <w:rsid w:val="0060149A"/>
    <w:rsid w:val="00601924"/>
    <w:rsid w:val="00611082"/>
    <w:rsid w:val="006447EA"/>
    <w:rsid w:val="0064731F"/>
    <w:rsid w:val="00664572"/>
    <w:rsid w:val="00666342"/>
    <w:rsid w:val="006710F6"/>
    <w:rsid w:val="006B49D2"/>
    <w:rsid w:val="006C1B56"/>
    <w:rsid w:val="006D4761"/>
    <w:rsid w:val="006E6D5D"/>
    <w:rsid w:val="00723551"/>
    <w:rsid w:val="00726872"/>
    <w:rsid w:val="00730922"/>
    <w:rsid w:val="0073175A"/>
    <w:rsid w:val="00760F1C"/>
    <w:rsid w:val="007657F0"/>
    <w:rsid w:val="0077252D"/>
    <w:rsid w:val="007955DA"/>
    <w:rsid w:val="007958C2"/>
    <w:rsid w:val="00796FD6"/>
    <w:rsid w:val="007A5BB7"/>
    <w:rsid w:val="007B5B40"/>
    <w:rsid w:val="007E5DD3"/>
    <w:rsid w:val="007F350B"/>
    <w:rsid w:val="00816324"/>
    <w:rsid w:val="00820BE4"/>
    <w:rsid w:val="00823767"/>
    <w:rsid w:val="008451E8"/>
    <w:rsid w:val="008D7D1C"/>
    <w:rsid w:val="009046E6"/>
    <w:rsid w:val="00913B9C"/>
    <w:rsid w:val="00913E00"/>
    <w:rsid w:val="0093704E"/>
    <w:rsid w:val="00940308"/>
    <w:rsid w:val="00950E59"/>
    <w:rsid w:val="00956E77"/>
    <w:rsid w:val="00980772"/>
    <w:rsid w:val="00986617"/>
    <w:rsid w:val="009872F0"/>
    <w:rsid w:val="00987F6C"/>
    <w:rsid w:val="009926C6"/>
    <w:rsid w:val="00995C4E"/>
    <w:rsid w:val="009A1881"/>
    <w:rsid w:val="009B45ED"/>
    <w:rsid w:val="009D1959"/>
    <w:rsid w:val="009F4811"/>
    <w:rsid w:val="00A3385C"/>
    <w:rsid w:val="00A70648"/>
    <w:rsid w:val="00A825BA"/>
    <w:rsid w:val="00A931AE"/>
    <w:rsid w:val="00AA390C"/>
    <w:rsid w:val="00AB0E30"/>
    <w:rsid w:val="00AD0295"/>
    <w:rsid w:val="00AD5870"/>
    <w:rsid w:val="00AF2EB4"/>
    <w:rsid w:val="00B0200A"/>
    <w:rsid w:val="00B4037C"/>
    <w:rsid w:val="00B574DB"/>
    <w:rsid w:val="00B61693"/>
    <w:rsid w:val="00B75EFA"/>
    <w:rsid w:val="00B826C2"/>
    <w:rsid w:val="00B8298E"/>
    <w:rsid w:val="00B9017F"/>
    <w:rsid w:val="00BB048E"/>
    <w:rsid w:val="00BB60D4"/>
    <w:rsid w:val="00BD0723"/>
    <w:rsid w:val="00BD1E51"/>
    <w:rsid w:val="00BD2518"/>
    <w:rsid w:val="00BF1D1C"/>
    <w:rsid w:val="00C20C59"/>
    <w:rsid w:val="00C2727F"/>
    <w:rsid w:val="00C335B5"/>
    <w:rsid w:val="00C55B1F"/>
    <w:rsid w:val="00C95B78"/>
    <w:rsid w:val="00CB00D6"/>
    <w:rsid w:val="00CD0F0F"/>
    <w:rsid w:val="00CF1A67"/>
    <w:rsid w:val="00D2750E"/>
    <w:rsid w:val="00D50A36"/>
    <w:rsid w:val="00D62446"/>
    <w:rsid w:val="00D658B9"/>
    <w:rsid w:val="00DA4EA2"/>
    <w:rsid w:val="00DC3D3E"/>
    <w:rsid w:val="00DE2010"/>
    <w:rsid w:val="00DE2C90"/>
    <w:rsid w:val="00DE3B24"/>
    <w:rsid w:val="00E02AE5"/>
    <w:rsid w:val="00E06947"/>
    <w:rsid w:val="00E251B0"/>
    <w:rsid w:val="00E32D68"/>
    <w:rsid w:val="00E34072"/>
    <w:rsid w:val="00E3592D"/>
    <w:rsid w:val="00E444A7"/>
    <w:rsid w:val="00E565CC"/>
    <w:rsid w:val="00E6064C"/>
    <w:rsid w:val="00E64B8F"/>
    <w:rsid w:val="00E92DE8"/>
    <w:rsid w:val="00EB07AA"/>
    <w:rsid w:val="00EB1212"/>
    <w:rsid w:val="00ED65AB"/>
    <w:rsid w:val="00EE1E1A"/>
    <w:rsid w:val="00F05487"/>
    <w:rsid w:val="00F12850"/>
    <w:rsid w:val="00F12858"/>
    <w:rsid w:val="00F33BF4"/>
    <w:rsid w:val="00F33D00"/>
    <w:rsid w:val="00F6631B"/>
    <w:rsid w:val="00F7105E"/>
    <w:rsid w:val="00F75F57"/>
    <w:rsid w:val="00F82FEE"/>
    <w:rsid w:val="00F9554D"/>
    <w:rsid w:val="00FC101D"/>
    <w:rsid w:val="00FD57D3"/>
    <w:rsid w:val="00FE6D3F"/>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C465D"/>
  <w15:docId w15:val="{32220679-121A-449B-8053-A5E91E83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Style 58,超????,超?级链,超级链接,하이퍼링크2,하이퍼링크21"/>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2A28D4"/>
    <w:rPr>
      <w:color w:val="605E5C"/>
      <w:shd w:val="clear" w:color="auto" w:fill="E1DFDD"/>
    </w:rPr>
  </w:style>
  <w:style w:type="paragraph" w:styleId="ListParagraph">
    <w:name w:val="List Paragraph"/>
    <w:aliases w:val="Bullet 1,Bullet List,Bullet Points,Bulletr List Paragraph,Dot pt,FooterText,Indicator Text,List Paragraph Char Char Char,List Paragraph1,List Paragraph11,No Spacing1,Numbered Para 1,Paragraphe de liste1,Recommendation,numbered,titre"/>
    <w:basedOn w:val="Normal"/>
    <w:link w:val="ListParagraphChar"/>
    <w:uiPriority w:val="34"/>
    <w:qFormat/>
    <w:rsid w:val="002A28D4"/>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List Paragraph11 Char,No Spacing1 Char,titre Char"/>
    <w:basedOn w:val="DefaultParagraphFont"/>
    <w:link w:val="ListParagraph"/>
    <w:uiPriority w:val="34"/>
    <w:rsid w:val="002A28D4"/>
    <w:rPr>
      <w:rFonts w:ascii="Times New Roman" w:eastAsia="SimSun" w:hAnsi="Times New Roman"/>
      <w:sz w:val="24"/>
      <w:szCs w:val="24"/>
    </w:rPr>
  </w:style>
  <w:style w:type="character" w:customStyle="1" w:styleId="apple-converted-space">
    <w:name w:val="apple-converted-space"/>
    <w:basedOn w:val="DefaultParagraphFont"/>
    <w:rsid w:val="002A28D4"/>
  </w:style>
  <w:style w:type="character" w:customStyle="1" w:styleId="bumpedfont15">
    <w:name w:val="bumpedfont15"/>
    <w:basedOn w:val="DefaultParagraphFont"/>
    <w:rsid w:val="002A28D4"/>
  </w:style>
  <w:style w:type="table" w:styleId="TableGrid">
    <w:name w:val="Table Grid"/>
    <w:basedOn w:val="TableNormal"/>
    <w:rsid w:val="002A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45E64"/>
    <w:rPr>
      <w:sz w:val="16"/>
      <w:szCs w:val="16"/>
    </w:rPr>
  </w:style>
  <w:style w:type="paragraph" w:styleId="CommentText">
    <w:name w:val="annotation text"/>
    <w:basedOn w:val="Normal"/>
    <w:link w:val="CommentTextChar"/>
    <w:unhideWhenUsed/>
    <w:rsid w:val="00445E64"/>
    <w:rPr>
      <w:sz w:val="20"/>
    </w:rPr>
  </w:style>
  <w:style w:type="character" w:customStyle="1" w:styleId="CommentTextChar">
    <w:name w:val="Comment Text Char"/>
    <w:basedOn w:val="DefaultParagraphFont"/>
    <w:link w:val="CommentText"/>
    <w:rsid w:val="00445E64"/>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445E64"/>
    <w:rPr>
      <w:b/>
      <w:bCs/>
    </w:rPr>
  </w:style>
  <w:style w:type="character" w:customStyle="1" w:styleId="CommentSubjectChar">
    <w:name w:val="Comment Subject Char"/>
    <w:basedOn w:val="CommentTextChar"/>
    <w:link w:val="CommentSubject"/>
    <w:semiHidden/>
    <w:rsid w:val="00445E64"/>
    <w:rPr>
      <w:rFonts w:ascii="Calibri" w:hAnsi="Calibri"/>
      <w:b/>
      <w:bCs/>
      <w:lang w:val="es-ES_tradnl" w:eastAsia="en-US"/>
    </w:rPr>
  </w:style>
  <w:style w:type="paragraph" w:styleId="BalloonText">
    <w:name w:val="Balloon Text"/>
    <w:basedOn w:val="Normal"/>
    <w:link w:val="BalloonTextChar"/>
    <w:semiHidden/>
    <w:unhideWhenUsed/>
    <w:rsid w:val="00BB60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B60D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4006">
      <w:bodyDiv w:val="1"/>
      <w:marLeft w:val="0"/>
      <w:marRight w:val="0"/>
      <w:marTop w:val="0"/>
      <w:marBottom w:val="0"/>
      <w:divBdr>
        <w:top w:val="none" w:sz="0" w:space="0" w:color="auto"/>
        <w:left w:val="none" w:sz="0" w:space="0" w:color="auto"/>
        <w:bottom w:val="none" w:sz="0" w:space="0" w:color="auto"/>
        <w:right w:val="none" w:sz="0" w:space="0" w:color="auto"/>
      </w:divBdr>
    </w:div>
    <w:div w:id="521095046">
      <w:bodyDiv w:val="1"/>
      <w:marLeft w:val="0"/>
      <w:marRight w:val="0"/>
      <w:marTop w:val="0"/>
      <w:marBottom w:val="0"/>
      <w:divBdr>
        <w:top w:val="none" w:sz="0" w:space="0" w:color="auto"/>
        <w:left w:val="none" w:sz="0" w:space="0" w:color="auto"/>
        <w:bottom w:val="none" w:sz="0" w:space="0" w:color="auto"/>
        <w:right w:val="none" w:sz="0" w:space="0" w:color="auto"/>
      </w:divBdr>
    </w:div>
    <w:div w:id="545604401">
      <w:bodyDiv w:val="1"/>
      <w:marLeft w:val="0"/>
      <w:marRight w:val="0"/>
      <w:marTop w:val="0"/>
      <w:marBottom w:val="0"/>
      <w:divBdr>
        <w:top w:val="none" w:sz="0" w:space="0" w:color="auto"/>
        <w:left w:val="none" w:sz="0" w:space="0" w:color="auto"/>
        <w:bottom w:val="none" w:sz="0" w:space="0" w:color="auto"/>
        <w:right w:val="none" w:sz="0" w:space="0" w:color="auto"/>
      </w:divBdr>
    </w:div>
    <w:div w:id="814444566">
      <w:bodyDiv w:val="1"/>
      <w:marLeft w:val="0"/>
      <w:marRight w:val="0"/>
      <w:marTop w:val="0"/>
      <w:marBottom w:val="0"/>
      <w:divBdr>
        <w:top w:val="none" w:sz="0" w:space="0" w:color="auto"/>
        <w:left w:val="none" w:sz="0" w:space="0" w:color="auto"/>
        <w:bottom w:val="none" w:sz="0" w:space="0" w:color="auto"/>
        <w:right w:val="none" w:sz="0" w:space="0" w:color="auto"/>
      </w:divBdr>
    </w:div>
    <w:div w:id="840243442">
      <w:bodyDiv w:val="1"/>
      <w:marLeft w:val="0"/>
      <w:marRight w:val="0"/>
      <w:marTop w:val="0"/>
      <w:marBottom w:val="0"/>
      <w:divBdr>
        <w:top w:val="none" w:sz="0" w:space="0" w:color="auto"/>
        <w:left w:val="none" w:sz="0" w:space="0" w:color="auto"/>
        <w:bottom w:val="none" w:sz="0" w:space="0" w:color="auto"/>
        <w:right w:val="none" w:sz="0" w:space="0" w:color="auto"/>
      </w:divBdr>
    </w:div>
    <w:div w:id="1273325510">
      <w:bodyDiv w:val="1"/>
      <w:marLeft w:val="0"/>
      <w:marRight w:val="0"/>
      <w:marTop w:val="0"/>
      <w:marBottom w:val="0"/>
      <w:divBdr>
        <w:top w:val="none" w:sz="0" w:space="0" w:color="auto"/>
        <w:left w:val="none" w:sz="0" w:space="0" w:color="auto"/>
        <w:bottom w:val="none" w:sz="0" w:space="0" w:color="auto"/>
        <w:right w:val="none" w:sz="0" w:space="0" w:color="auto"/>
      </w:divBdr>
    </w:div>
    <w:div w:id="1378701471">
      <w:bodyDiv w:val="1"/>
      <w:marLeft w:val="0"/>
      <w:marRight w:val="0"/>
      <w:marTop w:val="0"/>
      <w:marBottom w:val="0"/>
      <w:divBdr>
        <w:top w:val="none" w:sz="0" w:space="0" w:color="auto"/>
        <w:left w:val="none" w:sz="0" w:space="0" w:color="auto"/>
        <w:bottom w:val="none" w:sz="0" w:space="0" w:color="auto"/>
        <w:right w:val="none" w:sz="0" w:space="0" w:color="auto"/>
      </w:divBdr>
    </w:div>
    <w:div w:id="1429275101">
      <w:bodyDiv w:val="1"/>
      <w:marLeft w:val="0"/>
      <w:marRight w:val="0"/>
      <w:marTop w:val="0"/>
      <w:marBottom w:val="0"/>
      <w:divBdr>
        <w:top w:val="none" w:sz="0" w:space="0" w:color="auto"/>
        <w:left w:val="none" w:sz="0" w:space="0" w:color="auto"/>
        <w:bottom w:val="none" w:sz="0" w:space="0" w:color="auto"/>
        <w:right w:val="none" w:sz="0" w:space="0" w:color="auto"/>
      </w:divBdr>
    </w:div>
    <w:div w:id="1704749304">
      <w:bodyDiv w:val="1"/>
      <w:marLeft w:val="0"/>
      <w:marRight w:val="0"/>
      <w:marTop w:val="0"/>
      <w:marBottom w:val="0"/>
      <w:divBdr>
        <w:top w:val="none" w:sz="0" w:space="0" w:color="auto"/>
        <w:left w:val="none" w:sz="0" w:space="0" w:color="auto"/>
        <w:bottom w:val="none" w:sz="0" w:space="0" w:color="auto"/>
        <w:right w:val="none" w:sz="0" w:space="0" w:color="auto"/>
      </w:divBdr>
    </w:div>
    <w:div w:id="1889146441">
      <w:bodyDiv w:val="1"/>
      <w:marLeft w:val="0"/>
      <w:marRight w:val="0"/>
      <w:marTop w:val="0"/>
      <w:marBottom w:val="0"/>
      <w:divBdr>
        <w:top w:val="none" w:sz="0" w:space="0" w:color="auto"/>
        <w:left w:val="none" w:sz="0" w:space="0" w:color="auto"/>
        <w:bottom w:val="none" w:sz="0" w:space="0" w:color="auto"/>
        <w:right w:val="none" w:sz="0" w:space="0" w:color="auto"/>
      </w:divBdr>
    </w:div>
    <w:div w:id="21137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45/es"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council/Documents/basic-texts/DEC-005-S.pdf"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ties/Documents/Financial-regulations/S-GEN-REG_RGTFIN-2018-PDF-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hyperlink" Target="https://www.itu.int/en/council/ties/Documents/Financial-regulations/S-GEN-REG_RGTFIN-2018-PDF-S.pdf" TargetMode="External"/><Relationship Id="rId19" Type="http://schemas.openxmlformats.org/officeDocument/2006/relationships/image" Target="media/image7.svg"/><Relationship Id="rId4" Type="http://schemas.openxmlformats.org/officeDocument/2006/relationships/settings" Target="settings.xml"/><Relationship Id="rId9" Type="http://schemas.openxmlformats.org/officeDocument/2006/relationships/hyperlink" Target="https://www.itu.int/md/S21-CL-C-0097/es" TargetMode="External"/><Relationship Id="rId14" Type="http://schemas.openxmlformats.org/officeDocument/2006/relationships/image" Target="media/image2.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71F3-24D9-408E-B233-43CA4F5A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7</Pages>
  <Words>1668</Words>
  <Characters>9257</Characters>
  <Application>Microsoft Office Word</Application>
  <DocSecurity>4</DocSecurity>
  <Lines>77</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10904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Situaci髇 financiera a 24 de agosto de 2022 y previsi髇 de la ejecuci髇 del presupuesto hasta el 31 de diciembre de 2022</dc:title>
  <dc:subject>Consejo 2022</dc:subject>
  <dc:creator>Spanish</dc:creator>
  <cp:keywords>C2022, C22, Council-22</cp:keywords>
  <dc:description/>
  <cp:lastModifiedBy>Xue, Kun</cp:lastModifiedBy>
  <cp:revision>2</cp:revision>
  <cp:lastPrinted>2022-08-31T12:19:00Z</cp:lastPrinted>
  <dcterms:created xsi:type="dcterms:W3CDTF">2022-09-01T12:00:00Z</dcterms:created>
  <dcterms:modified xsi:type="dcterms:W3CDTF">2022-09-01T12:00:00Z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