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85CBA" w14:paraId="08830824" w14:textId="77777777">
        <w:trPr>
          <w:cantSplit/>
        </w:trPr>
        <w:tc>
          <w:tcPr>
            <w:tcW w:w="6912" w:type="dxa"/>
          </w:tcPr>
          <w:p w14:paraId="56BCF0CA" w14:textId="77777777" w:rsidR="00520F36" w:rsidRPr="00285CBA" w:rsidRDefault="00520F36" w:rsidP="003642CD">
            <w:pPr>
              <w:spacing w:before="360"/>
            </w:pPr>
            <w:bookmarkStart w:id="0" w:name="dc06"/>
            <w:bookmarkEnd w:id="0"/>
            <w:r w:rsidRPr="00285CBA">
              <w:rPr>
                <w:b/>
                <w:bCs/>
                <w:sz w:val="30"/>
                <w:szCs w:val="30"/>
              </w:rPr>
              <w:t>Conseil 20</w:t>
            </w:r>
            <w:r w:rsidR="009C353C" w:rsidRPr="00285CBA">
              <w:rPr>
                <w:b/>
                <w:bCs/>
                <w:sz w:val="30"/>
                <w:szCs w:val="30"/>
              </w:rPr>
              <w:t>2</w:t>
            </w:r>
            <w:r w:rsidR="0083391C" w:rsidRPr="00285CBA">
              <w:rPr>
                <w:b/>
                <w:bCs/>
                <w:sz w:val="30"/>
                <w:szCs w:val="30"/>
              </w:rPr>
              <w:t>2</w:t>
            </w:r>
            <w:r w:rsidRPr="00285CBA">
              <w:rPr>
                <w:rFonts w:ascii="Verdana" w:hAnsi="Verdana"/>
                <w:b/>
                <w:bCs/>
                <w:sz w:val="26"/>
                <w:szCs w:val="26"/>
              </w:rPr>
              <w:br/>
            </w:r>
            <w:r w:rsidR="00141BBB" w:rsidRPr="00285CBA">
              <w:rPr>
                <w:b/>
                <w:bCs/>
                <w:sz w:val="26"/>
                <w:szCs w:val="26"/>
              </w:rPr>
              <w:t xml:space="preserve">Séance finale, Bucarest, 24 septembre </w:t>
            </w:r>
            <w:r w:rsidRPr="00285CBA">
              <w:rPr>
                <w:b/>
                <w:bCs/>
                <w:sz w:val="26"/>
                <w:szCs w:val="26"/>
              </w:rPr>
              <w:t>20</w:t>
            </w:r>
            <w:r w:rsidR="009C353C" w:rsidRPr="00285CBA">
              <w:rPr>
                <w:b/>
                <w:bCs/>
                <w:sz w:val="26"/>
                <w:szCs w:val="26"/>
              </w:rPr>
              <w:t>2</w:t>
            </w:r>
            <w:r w:rsidR="0083391C" w:rsidRPr="00285CBA">
              <w:rPr>
                <w:b/>
                <w:bCs/>
                <w:sz w:val="26"/>
                <w:szCs w:val="26"/>
              </w:rPr>
              <w:t>2</w:t>
            </w:r>
          </w:p>
        </w:tc>
        <w:tc>
          <w:tcPr>
            <w:tcW w:w="3261" w:type="dxa"/>
          </w:tcPr>
          <w:p w14:paraId="296E536B" w14:textId="77777777" w:rsidR="00520F36" w:rsidRPr="00285CBA" w:rsidRDefault="009C353C" w:rsidP="003642CD">
            <w:pPr>
              <w:spacing w:before="0"/>
            </w:pPr>
            <w:bookmarkStart w:id="1" w:name="ditulogo"/>
            <w:bookmarkEnd w:id="1"/>
            <w:r w:rsidRPr="00285CBA">
              <w:rPr>
                <w:noProof/>
                <w:lang w:eastAsia="fr-CH"/>
              </w:rPr>
              <w:drawing>
                <wp:inline distT="0" distB="0" distL="0" distR="0" wp14:anchorId="1B5E06A7" wp14:editId="0131E7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85CBA" w14:paraId="241207E6" w14:textId="77777777" w:rsidTr="00EF41DD">
        <w:trPr>
          <w:cantSplit/>
          <w:trHeight w:val="20"/>
        </w:trPr>
        <w:tc>
          <w:tcPr>
            <w:tcW w:w="6912" w:type="dxa"/>
            <w:tcBorders>
              <w:bottom w:val="single" w:sz="12" w:space="0" w:color="auto"/>
            </w:tcBorders>
            <w:vAlign w:val="center"/>
          </w:tcPr>
          <w:p w14:paraId="25DBFF82" w14:textId="77777777" w:rsidR="00520F36" w:rsidRPr="00285CBA" w:rsidRDefault="00520F36" w:rsidP="003642CD">
            <w:pPr>
              <w:spacing w:before="0"/>
              <w:rPr>
                <w:b/>
                <w:bCs/>
                <w:sz w:val="26"/>
                <w:szCs w:val="26"/>
              </w:rPr>
            </w:pPr>
          </w:p>
        </w:tc>
        <w:tc>
          <w:tcPr>
            <w:tcW w:w="3261" w:type="dxa"/>
            <w:tcBorders>
              <w:bottom w:val="single" w:sz="12" w:space="0" w:color="auto"/>
            </w:tcBorders>
          </w:tcPr>
          <w:p w14:paraId="03E5DB13" w14:textId="77777777" w:rsidR="00520F36" w:rsidRPr="00285CBA" w:rsidRDefault="00520F36" w:rsidP="003642CD">
            <w:pPr>
              <w:spacing w:before="0"/>
              <w:rPr>
                <w:b/>
                <w:bCs/>
              </w:rPr>
            </w:pPr>
          </w:p>
        </w:tc>
      </w:tr>
      <w:tr w:rsidR="00520F36" w:rsidRPr="00285CBA" w14:paraId="735D17C6" w14:textId="77777777">
        <w:trPr>
          <w:cantSplit/>
          <w:trHeight w:val="20"/>
        </w:trPr>
        <w:tc>
          <w:tcPr>
            <w:tcW w:w="6912" w:type="dxa"/>
            <w:tcBorders>
              <w:top w:val="single" w:sz="12" w:space="0" w:color="auto"/>
            </w:tcBorders>
          </w:tcPr>
          <w:p w14:paraId="62C5CB88" w14:textId="77777777" w:rsidR="00520F36" w:rsidRPr="00285CBA" w:rsidRDefault="00520F36" w:rsidP="003642CD">
            <w:pPr>
              <w:spacing w:before="0"/>
              <w:rPr>
                <w:smallCaps/>
                <w:sz w:val="22"/>
              </w:rPr>
            </w:pPr>
          </w:p>
        </w:tc>
        <w:tc>
          <w:tcPr>
            <w:tcW w:w="3261" w:type="dxa"/>
            <w:tcBorders>
              <w:top w:val="single" w:sz="12" w:space="0" w:color="auto"/>
            </w:tcBorders>
          </w:tcPr>
          <w:p w14:paraId="591E1D76" w14:textId="77777777" w:rsidR="00520F36" w:rsidRPr="00285CBA" w:rsidRDefault="00520F36" w:rsidP="003642CD">
            <w:pPr>
              <w:spacing w:before="0"/>
              <w:rPr>
                <w:b/>
                <w:bCs/>
              </w:rPr>
            </w:pPr>
          </w:p>
        </w:tc>
      </w:tr>
      <w:tr w:rsidR="00520F36" w:rsidRPr="00285CBA" w14:paraId="6C2B3C6D" w14:textId="77777777">
        <w:trPr>
          <w:cantSplit/>
          <w:trHeight w:val="20"/>
        </w:trPr>
        <w:tc>
          <w:tcPr>
            <w:tcW w:w="6912" w:type="dxa"/>
            <w:vMerge w:val="restart"/>
          </w:tcPr>
          <w:p w14:paraId="5565F3F3" w14:textId="52F40C72" w:rsidR="00520F36" w:rsidRPr="00285CBA" w:rsidRDefault="00141BBB" w:rsidP="003642CD">
            <w:pPr>
              <w:spacing w:before="0"/>
              <w:rPr>
                <w:rFonts w:cs="Times"/>
                <w:b/>
                <w:bCs/>
                <w:szCs w:val="24"/>
              </w:rPr>
            </w:pPr>
            <w:bookmarkStart w:id="2" w:name="dnum" w:colFirst="1" w:colLast="1"/>
            <w:bookmarkStart w:id="3" w:name="dmeeting" w:colFirst="0" w:colLast="0"/>
            <w:r w:rsidRPr="00285CBA">
              <w:rPr>
                <w:rFonts w:cs="Times"/>
                <w:b/>
                <w:bCs/>
                <w:szCs w:val="24"/>
              </w:rPr>
              <w:t>Point de l</w:t>
            </w:r>
            <w:r w:rsidR="003642CD" w:rsidRPr="00285CBA">
              <w:rPr>
                <w:rFonts w:cs="Times"/>
                <w:b/>
                <w:bCs/>
                <w:szCs w:val="24"/>
              </w:rPr>
              <w:t>'</w:t>
            </w:r>
            <w:r w:rsidRPr="00285CBA">
              <w:rPr>
                <w:rFonts w:cs="Times"/>
                <w:b/>
                <w:bCs/>
                <w:szCs w:val="24"/>
              </w:rPr>
              <w:t>ordre du jour: ADM 29</w:t>
            </w:r>
          </w:p>
        </w:tc>
        <w:tc>
          <w:tcPr>
            <w:tcW w:w="3261" w:type="dxa"/>
          </w:tcPr>
          <w:p w14:paraId="434C9635" w14:textId="77777777" w:rsidR="00520F36" w:rsidRPr="00285CBA" w:rsidRDefault="00520F36" w:rsidP="003642CD">
            <w:pPr>
              <w:spacing w:before="0"/>
              <w:rPr>
                <w:b/>
                <w:bCs/>
              </w:rPr>
            </w:pPr>
            <w:r w:rsidRPr="00285CBA">
              <w:rPr>
                <w:b/>
                <w:bCs/>
              </w:rPr>
              <w:t>Document C</w:t>
            </w:r>
            <w:r w:rsidR="009C353C" w:rsidRPr="00285CBA">
              <w:rPr>
                <w:b/>
                <w:bCs/>
              </w:rPr>
              <w:t>2</w:t>
            </w:r>
            <w:r w:rsidR="0083391C" w:rsidRPr="00285CBA">
              <w:rPr>
                <w:b/>
                <w:bCs/>
              </w:rPr>
              <w:t>2</w:t>
            </w:r>
            <w:r w:rsidRPr="00285CBA">
              <w:rPr>
                <w:b/>
                <w:bCs/>
              </w:rPr>
              <w:t>/</w:t>
            </w:r>
            <w:r w:rsidR="00141BBB" w:rsidRPr="00285CBA">
              <w:rPr>
                <w:b/>
                <w:bCs/>
              </w:rPr>
              <w:t>102</w:t>
            </w:r>
            <w:r w:rsidRPr="00285CBA">
              <w:rPr>
                <w:b/>
                <w:bCs/>
              </w:rPr>
              <w:t>-F</w:t>
            </w:r>
          </w:p>
        </w:tc>
      </w:tr>
      <w:tr w:rsidR="00520F36" w:rsidRPr="00285CBA" w14:paraId="758A56AB" w14:textId="77777777">
        <w:trPr>
          <w:cantSplit/>
          <w:trHeight w:val="20"/>
        </w:trPr>
        <w:tc>
          <w:tcPr>
            <w:tcW w:w="6912" w:type="dxa"/>
            <w:vMerge/>
          </w:tcPr>
          <w:p w14:paraId="51BA253F" w14:textId="77777777" w:rsidR="00520F36" w:rsidRPr="00285CBA" w:rsidRDefault="00520F36" w:rsidP="003642CD">
            <w:pPr>
              <w:shd w:val="solid" w:color="FFFFFF" w:fill="FFFFFF"/>
              <w:spacing w:before="180"/>
              <w:rPr>
                <w:smallCaps/>
              </w:rPr>
            </w:pPr>
            <w:bookmarkStart w:id="4" w:name="ddate" w:colFirst="1" w:colLast="1"/>
            <w:bookmarkEnd w:id="2"/>
            <w:bookmarkEnd w:id="3"/>
          </w:p>
        </w:tc>
        <w:tc>
          <w:tcPr>
            <w:tcW w:w="3261" w:type="dxa"/>
          </w:tcPr>
          <w:p w14:paraId="6D33C145" w14:textId="77777777" w:rsidR="00520F36" w:rsidRPr="00285CBA" w:rsidRDefault="00141BBB" w:rsidP="003642CD">
            <w:pPr>
              <w:spacing w:before="0"/>
              <w:rPr>
                <w:b/>
                <w:bCs/>
              </w:rPr>
            </w:pPr>
            <w:r w:rsidRPr="00285CBA">
              <w:rPr>
                <w:b/>
                <w:bCs/>
              </w:rPr>
              <w:t>24 août 2022</w:t>
            </w:r>
          </w:p>
        </w:tc>
      </w:tr>
      <w:tr w:rsidR="00520F36" w:rsidRPr="00285CBA" w14:paraId="46D988BA" w14:textId="77777777">
        <w:trPr>
          <w:cantSplit/>
          <w:trHeight w:val="20"/>
        </w:trPr>
        <w:tc>
          <w:tcPr>
            <w:tcW w:w="6912" w:type="dxa"/>
            <w:vMerge/>
          </w:tcPr>
          <w:p w14:paraId="572BDFD2" w14:textId="77777777" w:rsidR="00520F36" w:rsidRPr="00285CBA" w:rsidRDefault="00520F36" w:rsidP="003642CD">
            <w:pPr>
              <w:shd w:val="solid" w:color="FFFFFF" w:fill="FFFFFF"/>
              <w:spacing w:before="180"/>
              <w:rPr>
                <w:smallCaps/>
              </w:rPr>
            </w:pPr>
            <w:bookmarkStart w:id="5" w:name="dorlang" w:colFirst="1" w:colLast="1"/>
            <w:bookmarkEnd w:id="4"/>
          </w:p>
        </w:tc>
        <w:tc>
          <w:tcPr>
            <w:tcW w:w="3261" w:type="dxa"/>
          </w:tcPr>
          <w:p w14:paraId="49366550" w14:textId="77777777" w:rsidR="00520F36" w:rsidRPr="00285CBA" w:rsidRDefault="00520F36" w:rsidP="003642CD">
            <w:pPr>
              <w:spacing w:before="0"/>
              <w:rPr>
                <w:b/>
                <w:bCs/>
              </w:rPr>
            </w:pPr>
            <w:r w:rsidRPr="00285CBA">
              <w:rPr>
                <w:b/>
                <w:bCs/>
              </w:rPr>
              <w:t>Original: anglais</w:t>
            </w:r>
          </w:p>
        </w:tc>
      </w:tr>
      <w:tr w:rsidR="00520F36" w:rsidRPr="00285CBA" w14:paraId="3555590B" w14:textId="77777777">
        <w:trPr>
          <w:cantSplit/>
        </w:trPr>
        <w:tc>
          <w:tcPr>
            <w:tcW w:w="10173" w:type="dxa"/>
            <w:gridSpan w:val="2"/>
          </w:tcPr>
          <w:p w14:paraId="225F192B" w14:textId="77777777" w:rsidR="00520F36" w:rsidRPr="00285CBA" w:rsidRDefault="00141BBB" w:rsidP="003642CD">
            <w:pPr>
              <w:pStyle w:val="Source"/>
            </w:pPr>
            <w:bookmarkStart w:id="6" w:name="dsource" w:colFirst="0" w:colLast="0"/>
            <w:bookmarkEnd w:id="5"/>
            <w:r w:rsidRPr="00285CBA">
              <w:t>Rapport du Secrétaire général</w:t>
            </w:r>
          </w:p>
        </w:tc>
      </w:tr>
      <w:tr w:rsidR="00520F36" w:rsidRPr="00285CBA" w14:paraId="5EE37458" w14:textId="77777777">
        <w:trPr>
          <w:cantSplit/>
        </w:trPr>
        <w:tc>
          <w:tcPr>
            <w:tcW w:w="10173" w:type="dxa"/>
            <w:gridSpan w:val="2"/>
          </w:tcPr>
          <w:p w14:paraId="2645CD58" w14:textId="77495043" w:rsidR="00520F36" w:rsidRPr="00285CBA" w:rsidRDefault="00034409" w:rsidP="003642CD">
            <w:pPr>
              <w:pStyle w:val="Title1"/>
            </w:pPr>
            <w:bookmarkStart w:id="7" w:name="lt_pId013"/>
            <w:bookmarkStart w:id="8" w:name="dtitle1" w:colFirst="0" w:colLast="0"/>
            <w:bookmarkStart w:id="9" w:name="_Hlk113724045"/>
            <w:bookmarkEnd w:id="6"/>
            <w:r w:rsidRPr="00285CBA">
              <w:t>EX</w:t>
            </w:r>
            <w:r w:rsidR="00DB08A9" w:rsidRPr="00285CBA">
              <w:t>É</w:t>
            </w:r>
            <w:r w:rsidRPr="00285CBA">
              <w:t xml:space="preserve">CUTION DU BUDGET 2022: </w:t>
            </w:r>
            <w:r w:rsidR="00141BBB" w:rsidRPr="00285CBA">
              <w:t xml:space="preserve">SITuation financière au 24 août 2022 </w:t>
            </w:r>
            <w:bookmarkEnd w:id="7"/>
            <w:r w:rsidR="00141BBB" w:rsidRPr="00285CBA">
              <w:t>et</w:t>
            </w:r>
            <w:bookmarkStart w:id="10" w:name="lt_pId014"/>
            <w:r w:rsidR="000A316C">
              <w:t> </w:t>
            </w:r>
            <w:r w:rsidR="00A870FD" w:rsidRPr="00285CBA">
              <w:t>pr</w:t>
            </w:r>
            <w:r w:rsidR="00DB08A9" w:rsidRPr="00285CBA">
              <w:t>É</w:t>
            </w:r>
            <w:r w:rsidR="00A870FD" w:rsidRPr="00285CBA">
              <w:t>visions jusqu</w:t>
            </w:r>
            <w:r w:rsidR="003642CD" w:rsidRPr="00285CBA">
              <w:t>'</w:t>
            </w:r>
            <w:r w:rsidR="00A870FD" w:rsidRPr="00285CBA">
              <w:t>au</w:t>
            </w:r>
            <w:r w:rsidR="00141BBB" w:rsidRPr="00285CBA">
              <w:t xml:space="preserve"> 31 décembre 2022</w:t>
            </w:r>
            <w:bookmarkEnd w:id="10"/>
            <w:bookmarkEnd w:id="9"/>
          </w:p>
        </w:tc>
      </w:tr>
      <w:bookmarkEnd w:id="8"/>
    </w:tbl>
    <w:p w14:paraId="56F349D4" w14:textId="77777777" w:rsidR="00520F36" w:rsidRPr="00285CBA" w:rsidRDefault="00520F36" w:rsidP="003642C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85CBA" w14:paraId="602D395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E643F81" w14:textId="77777777" w:rsidR="00520F36" w:rsidRPr="00285CBA" w:rsidRDefault="00520F36" w:rsidP="003642CD">
            <w:pPr>
              <w:pStyle w:val="Headingb"/>
            </w:pPr>
            <w:r w:rsidRPr="00285CBA">
              <w:t>Résumé</w:t>
            </w:r>
          </w:p>
          <w:p w14:paraId="70ADB832" w14:textId="3CF1B37E" w:rsidR="00DB08A9" w:rsidRPr="00285CBA" w:rsidRDefault="00034409" w:rsidP="003642CD">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rPr>
            </w:pPr>
            <w:bookmarkStart w:id="11" w:name="lt_pId017"/>
            <w:r w:rsidRPr="00285CBA">
              <w:rPr>
                <w:rFonts w:asciiTheme="minorHAnsi" w:hAnsiTheme="minorHAnsi" w:cstheme="minorHAnsi"/>
                <w:szCs w:val="24"/>
              </w:rPr>
              <w:t>L</w:t>
            </w:r>
            <w:r w:rsidR="00853CB5" w:rsidRPr="00285CBA">
              <w:rPr>
                <w:rFonts w:asciiTheme="minorHAnsi" w:hAnsiTheme="minorHAnsi" w:cstheme="minorHAnsi"/>
                <w:szCs w:val="24"/>
              </w:rPr>
              <w:t xml:space="preserve">e présent document </w:t>
            </w:r>
            <w:r w:rsidRPr="00285CBA">
              <w:rPr>
                <w:rFonts w:asciiTheme="minorHAnsi" w:hAnsiTheme="minorHAnsi" w:cstheme="minorHAnsi"/>
                <w:szCs w:val="24"/>
              </w:rPr>
              <w:t xml:space="preserve">rend compte de </w:t>
            </w:r>
            <w:r w:rsidR="00853CB5" w:rsidRPr="00285CBA">
              <w:rPr>
                <w:rFonts w:asciiTheme="minorHAnsi" w:hAnsiTheme="minorHAnsi" w:cstheme="minorHAnsi"/>
                <w:szCs w:val="24"/>
              </w:rPr>
              <w:t xml:space="preserve">la situation financière </w:t>
            </w:r>
            <w:r w:rsidR="000409B6" w:rsidRPr="00285CBA">
              <w:rPr>
                <w:rFonts w:asciiTheme="minorHAnsi" w:hAnsiTheme="minorHAnsi" w:cstheme="minorHAnsi"/>
                <w:szCs w:val="24"/>
              </w:rPr>
              <w:t>au 24 août 2022</w:t>
            </w:r>
            <w:r w:rsidRPr="00285CBA">
              <w:rPr>
                <w:rFonts w:asciiTheme="minorHAnsi" w:hAnsiTheme="minorHAnsi" w:cstheme="minorHAnsi"/>
                <w:szCs w:val="24"/>
              </w:rPr>
              <w:t xml:space="preserve"> et des </w:t>
            </w:r>
            <w:r w:rsidR="000409B6" w:rsidRPr="00285CBA">
              <w:rPr>
                <w:rFonts w:asciiTheme="minorHAnsi" w:hAnsiTheme="minorHAnsi" w:cstheme="minorHAnsi"/>
                <w:szCs w:val="24"/>
              </w:rPr>
              <w:t xml:space="preserve">prévisions </w:t>
            </w:r>
            <w:r w:rsidRPr="00285CBA">
              <w:rPr>
                <w:rFonts w:asciiTheme="minorHAnsi" w:hAnsiTheme="minorHAnsi" w:cstheme="minorHAnsi"/>
                <w:szCs w:val="24"/>
              </w:rPr>
              <w:t>d</w:t>
            </w:r>
            <w:r w:rsidR="003642CD" w:rsidRPr="00285CBA">
              <w:rPr>
                <w:rFonts w:asciiTheme="minorHAnsi" w:hAnsiTheme="minorHAnsi" w:cstheme="minorHAnsi"/>
                <w:szCs w:val="24"/>
              </w:rPr>
              <w:t>'</w:t>
            </w:r>
            <w:r w:rsidRPr="00285CBA">
              <w:rPr>
                <w:rFonts w:asciiTheme="minorHAnsi" w:hAnsiTheme="minorHAnsi" w:cstheme="minorHAnsi"/>
                <w:szCs w:val="24"/>
              </w:rPr>
              <w:t xml:space="preserve">exécution </w:t>
            </w:r>
            <w:r w:rsidR="000409B6" w:rsidRPr="00285CBA">
              <w:rPr>
                <w:rFonts w:asciiTheme="minorHAnsi" w:hAnsiTheme="minorHAnsi" w:cstheme="minorHAnsi"/>
                <w:szCs w:val="24"/>
              </w:rPr>
              <w:t xml:space="preserve">du budget </w:t>
            </w:r>
            <w:r w:rsidR="008028CC" w:rsidRPr="00285CBA">
              <w:rPr>
                <w:rFonts w:asciiTheme="minorHAnsi" w:hAnsiTheme="minorHAnsi" w:cstheme="minorHAnsi"/>
                <w:szCs w:val="24"/>
              </w:rPr>
              <w:t xml:space="preserve">2022 </w:t>
            </w:r>
            <w:r w:rsidR="000409B6" w:rsidRPr="00285CBA">
              <w:rPr>
                <w:rFonts w:asciiTheme="minorHAnsi" w:hAnsiTheme="minorHAnsi" w:cstheme="minorHAnsi"/>
                <w:szCs w:val="24"/>
              </w:rPr>
              <w:t>jusqu</w:t>
            </w:r>
            <w:r w:rsidR="003642CD" w:rsidRPr="00285CBA">
              <w:rPr>
                <w:rFonts w:asciiTheme="minorHAnsi" w:hAnsiTheme="minorHAnsi" w:cstheme="minorHAnsi"/>
                <w:szCs w:val="24"/>
              </w:rPr>
              <w:t>'</w:t>
            </w:r>
            <w:r w:rsidR="000409B6" w:rsidRPr="00285CBA">
              <w:rPr>
                <w:rFonts w:asciiTheme="minorHAnsi" w:hAnsiTheme="minorHAnsi" w:cstheme="minorHAnsi"/>
                <w:szCs w:val="24"/>
              </w:rPr>
              <w:t>au 31 décembre 2022.</w:t>
            </w:r>
            <w:bookmarkEnd w:id="11"/>
          </w:p>
          <w:p w14:paraId="4BD1047A" w14:textId="18B95085" w:rsidR="00F6458B" w:rsidRPr="00285CBA" w:rsidRDefault="00034409" w:rsidP="003642CD">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rPr>
            </w:pPr>
            <w:r w:rsidRPr="00285CBA">
              <w:rPr>
                <w:rFonts w:asciiTheme="minorHAnsi" w:hAnsiTheme="minorHAnsi" w:cstheme="minorHAnsi"/>
                <w:szCs w:val="24"/>
              </w:rPr>
              <w:t>Il appelle l</w:t>
            </w:r>
            <w:r w:rsidR="003642CD" w:rsidRPr="00285CBA">
              <w:rPr>
                <w:rFonts w:asciiTheme="minorHAnsi" w:hAnsiTheme="minorHAnsi" w:cstheme="minorHAnsi"/>
                <w:szCs w:val="24"/>
              </w:rPr>
              <w:t>'</w:t>
            </w:r>
            <w:r w:rsidRPr="00285CBA">
              <w:rPr>
                <w:rFonts w:asciiTheme="minorHAnsi" w:hAnsiTheme="minorHAnsi" w:cstheme="minorHAnsi"/>
                <w:szCs w:val="24"/>
              </w:rPr>
              <w:t>attention sur des difficultés d</w:t>
            </w:r>
            <w:r w:rsidR="003642CD" w:rsidRPr="00285CBA">
              <w:rPr>
                <w:rFonts w:asciiTheme="minorHAnsi" w:hAnsiTheme="minorHAnsi" w:cstheme="minorHAnsi"/>
                <w:szCs w:val="24"/>
              </w:rPr>
              <w:t>'</w:t>
            </w:r>
            <w:r w:rsidRPr="00285CBA">
              <w:rPr>
                <w:rFonts w:asciiTheme="minorHAnsi" w:hAnsiTheme="minorHAnsi" w:cstheme="minorHAnsi"/>
                <w:szCs w:val="24"/>
              </w:rPr>
              <w:t xml:space="preserve">exécution </w:t>
            </w:r>
            <w:r w:rsidR="00F6458B" w:rsidRPr="00285CBA">
              <w:rPr>
                <w:rFonts w:asciiTheme="minorHAnsi" w:hAnsiTheme="minorHAnsi" w:cstheme="minorHAnsi"/>
                <w:szCs w:val="24"/>
              </w:rPr>
              <w:t xml:space="preserve">du budget </w:t>
            </w:r>
            <w:r w:rsidR="00C908E9" w:rsidRPr="00285CBA">
              <w:rPr>
                <w:rFonts w:asciiTheme="minorHAnsi" w:hAnsiTheme="minorHAnsi" w:cstheme="minorHAnsi"/>
                <w:szCs w:val="24"/>
              </w:rPr>
              <w:t xml:space="preserve">imputables au montant plus </w:t>
            </w:r>
            <w:r w:rsidR="00F77AF8" w:rsidRPr="00285CBA">
              <w:rPr>
                <w:rFonts w:asciiTheme="minorHAnsi" w:hAnsiTheme="minorHAnsi" w:cstheme="minorHAnsi"/>
                <w:szCs w:val="24"/>
              </w:rPr>
              <w:t xml:space="preserve">élevé </w:t>
            </w:r>
            <w:r w:rsidRPr="00285CBA">
              <w:rPr>
                <w:rFonts w:asciiTheme="minorHAnsi" w:hAnsiTheme="minorHAnsi" w:cstheme="minorHAnsi"/>
                <w:szCs w:val="24"/>
              </w:rPr>
              <w:t>qu</w:t>
            </w:r>
            <w:r w:rsidR="003642CD" w:rsidRPr="00285CBA">
              <w:rPr>
                <w:rFonts w:asciiTheme="minorHAnsi" w:hAnsiTheme="minorHAnsi" w:cstheme="minorHAnsi"/>
                <w:szCs w:val="24"/>
              </w:rPr>
              <w:t>'</w:t>
            </w:r>
            <w:r w:rsidRPr="00285CBA">
              <w:rPr>
                <w:rFonts w:asciiTheme="minorHAnsi" w:hAnsiTheme="minorHAnsi" w:cstheme="minorHAnsi"/>
                <w:szCs w:val="24"/>
              </w:rPr>
              <w:t xml:space="preserve">attendu </w:t>
            </w:r>
            <w:r w:rsidR="00C908E9" w:rsidRPr="00285CBA">
              <w:rPr>
                <w:rFonts w:asciiTheme="minorHAnsi" w:hAnsiTheme="minorHAnsi" w:cstheme="minorHAnsi"/>
                <w:szCs w:val="24"/>
              </w:rPr>
              <w:t>des</w:t>
            </w:r>
            <w:r w:rsidR="0090570C" w:rsidRPr="00285CBA">
              <w:rPr>
                <w:rFonts w:asciiTheme="minorHAnsi" w:hAnsiTheme="minorHAnsi" w:cstheme="minorHAnsi"/>
                <w:szCs w:val="24"/>
              </w:rPr>
              <w:t xml:space="preserve"> </w:t>
            </w:r>
            <w:r w:rsidR="007E4271" w:rsidRPr="00285CBA">
              <w:rPr>
                <w:rFonts w:asciiTheme="minorHAnsi" w:hAnsiTheme="minorHAnsi" w:cstheme="minorHAnsi"/>
                <w:szCs w:val="24"/>
              </w:rPr>
              <w:t>charges</w:t>
            </w:r>
            <w:r w:rsidRPr="00285CBA">
              <w:rPr>
                <w:rFonts w:asciiTheme="minorHAnsi" w:hAnsiTheme="minorHAnsi" w:cstheme="minorHAnsi"/>
                <w:szCs w:val="24"/>
              </w:rPr>
              <w:t xml:space="preserve"> </w:t>
            </w:r>
            <w:r w:rsidR="00C908E9" w:rsidRPr="00285CBA">
              <w:rPr>
                <w:rFonts w:asciiTheme="minorHAnsi" w:hAnsiTheme="minorHAnsi" w:cstheme="minorHAnsi"/>
                <w:szCs w:val="24"/>
              </w:rPr>
              <w:t xml:space="preserve">et au montant </w:t>
            </w:r>
            <w:r w:rsidRPr="00285CBA">
              <w:rPr>
                <w:rFonts w:asciiTheme="minorHAnsi" w:hAnsiTheme="minorHAnsi" w:cstheme="minorHAnsi"/>
                <w:szCs w:val="24"/>
              </w:rPr>
              <w:t xml:space="preserve">plus faible </w:t>
            </w:r>
            <w:r w:rsidR="00C908E9" w:rsidRPr="00285CBA">
              <w:rPr>
                <w:rFonts w:asciiTheme="minorHAnsi" w:hAnsiTheme="minorHAnsi" w:cstheme="minorHAnsi"/>
                <w:szCs w:val="24"/>
              </w:rPr>
              <w:t>que prévu des</w:t>
            </w:r>
            <w:r w:rsidR="00796D51" w:rsidRPr="00285CBA">
              <w:rPr>
                <w:rFonts w:asciiTheme="minorHAnsi" w:hAnsiTheme="minorHAnsi" w:cstheme="minorHAnsi"/>
                <w:szCs w:val="24"/>
              </w:rPr>
              <w:t xml:space="preserve"> produits </w:t>
            </w:r>
            <w:r w:rsidR="00F77AF8" w:rsidRPr="00285CBA">
              <w:rPr>
                <w:rFonts w:asciiTheme="minorHAnsi" w:hAnsiTheme="minorHAnsi" w:cstheme="minorHAnsi"/>
                <w:szCs w:val="24"/>
              </w:rPr>
              <w:t xml:space="preserve">issus </w:t>
            </w:r>
            <w:r w:rsidR="007E4271" w:rsidRPr="00285CBA">
              <w:rPr>
                <w:rFonts w:asciiTheme="minorHAnsi" w:hAnsiTheme="minorHAnsi" w:cstheme="minorHAnsi"/>
                <w:szCs w:val="24"/>
              </w:rPr>
              <w:t xml:space="preserve">du </w:t>
            </w:r>
            <w:r w:rsidR="00796D51" w:rsidRPr="00285CBA">
              <w:rPr>
                <w:rFonts w:asciiTheme="minorHAnsi" w:hAnsiTheme="minorHAnsi" w:cstheme="minorHAnsi"/>
                <w:szCs w:val="24"/>
              </w:rPr>
              <w:t xml:space="preserve">recouvrement des coûts, en particulier </w:t>
            </w:r>
            <w:r w:rsidR="00F77AF8" w:rsidRPr="00285CBA">
              <w:rPr>
                <w:rFonts w:asciiTheme="minorHAnsi" w:hAnsiTheme="minorHAnsi" w:cstheme="minorHAnsi"/>
                <w:szCs w:val="24"/>
              </w:rPr>
              <w:t xml:space="preserve">du </w:t>
            </w:r>
            <w:r w:rsidR="00C85A1F" w:rsidRPr="00285CBA">
              <w:rPr>
                <w:rFonts w:asciiTheme="minorHAnsi" w:hAnsiTheme="minorHAnsi" w:cstheme="minorHAnsi"/>
                <w:szCs w:val="24"/>
              </w:rPr>
              <w:t>traitement des</w:t>
            </w:r>
            <w:r w:rsidR="00A11CB1" w:rsidRPr="00285CBA">
              <w:rPr>
                <w:rFonts w:asciiTheme="minorHAnsi" w:hAnsiTheme="minorHAnsi" w:cstheme="minorHAnsi"/>
                <w:szCs w:val="24"/>
              </w:rPr>
              <w:t xml:space="preserve"> fiches de notification de réseaux à satellite et </w:t>
            </w:r>
            <w:r w:rsidR="00F77AF8" w:rsidRPr="00285CBA">
              <w:rPr>
                <w:rFonts w:asciiTheme="minorHAnsi" w:hAnsiTheme="minorHAnsi" w:cstheme="minorHAnsi"/>
                <w:szCs w:val="24"/>
              </w:rPr>
              <w:t xml:space="preserve">de </w:t>
            </w:r>
            <w:r w:rsidR="000D44BE" w:rsidRPr="00285CBA">
              <w:rPr>
                <w:rFonts w:asciiTheme="minorHAnsi" w:hAnsiTheme="minorHAnsi" w:cstheme="minorHAnsi"/>
                <w:szCs w:val="24"/>
              </w:rPr>
              <w:t>Telecom</w:t>
            </w:r>
            <w:r w:rsidR="00A11CB1" w:rsidRPr="00285CBA">
              <w:rPr>
                <w:rFonts w:asciiTheme="minorHAnsi" w:hAnsiTheme="minorHAnsi" w:cstheme="minorHAnsi"/>
                <w:szCs w:val="24"/>
              </w:rPr>
              <w:t>.</w:t>
            </w:r>
          </w:p>
          <w:p w14:paraId="2CA5A1DA" w14:textId="1F2A6685" w:rsidR="0063432A" w:rsidRPr="00285CBA" w:rsidRDefault="00F77AF8" w:rsidP="003642CD">
            <w:r w:rsidRPr="00285CBA">
              <w:rPr>
                <w:rFonts w:asciiTheme="minorHAnsi" w:hAnsiTheme="minorHAnsi" w:cstheme="minorHAnsi"/>
                <w:szCs w:val="24"/>
              </w:rPr>
              <w:t xml:space="preserve">Il </w:t>
            </w:r>
            <w:r w:rsidR="007B1CB9" w:rsidRPr="00285CBA">
              <w:rPr>
                <w:rFonts w:asciiTheme="minorHAnsi" w:hAnsiTheme="minorHAnsi" w:cstheme="minorHAnsi"/>
                <w:szCs w:val="24"/>
              </w:rPr>
              <w:t xml:space="preserve">rend compte </w:t>
            </w:r>
            <w:r w:rsidRPr="00285CBA">
              <w:rPr>
                <w:rFonts w:asciiTheme="minorHAnsi" w:hAnsiTheme="minorHAnsi" w:cstheme="minorHAnsi"/>
                <w:szCs w:val="24"/>
              </w:rPr>
              <w:t xml:space="preserve">aussi </w:t>
            </w:r>
            <w:r w:rsidR="007B1CB9" w:rsidRPr="00285CBA">
              <w:rPr>
                <w:rFonts w:asciiTheme="minorHAnsi" w:hAnsiTheme="minorHAnsi" w:cstheme="minorHAnsi"/>
                <w:szCs w:val="24"/>
              </w:rPr>
              <w:t xml:space="preserve">des mesures et des </w:t>
            </w:r>
            <w:r w:rsidR="00422B79" w:rsidRPr="00285CBA">
              <w:rPr>
                <w:rFonts w:asciiTheme="minorHAnsi" w:hAnsiTheme="minorHAnsi" w:cstheme="minorHAnsi"/>
                <w:szCs w:val="24"/>
              </w:rPr>
              <w:t xml:space="preserve">dispositions </w:t>
            </w:r>
            <w:r w:rsidR="00213716" w:rsidRPr="00285CBA">
              <w:rPr>
                <w:rFonts w:asciiTheme="minorHAnsi" w:hAnsiTheme="minorHAnsi" w:cstheme="minorHAnsi"/>
                <w:szCs w:val="24"/>
              </w:rPr>
              <w:t>que</w:t>
            </w:r>
            <w:r w:rsidR="00AB7F76" w:rsidRPr="00285CBA">
              <w:rPr>
                <w:rFonts w:asciiTheme="minorHAnsi" w:hAnsiTheme="minorHAnsi" w:cstheme="minorHAnsi"/>
                <w:szCs w:val="24"/>
              </w:rPr>
              <w:t xml:space="preserve"> la direction de l</w:t>
            </w:r>
            <w:r w:rsidR="003642CD" w:rsidRPr="00285CBA">
              <w:rPr>
                <w:rFonts w:asciiTheme="minorHAnsi" w:hAnsiTheme="minorHAnsi" w:cstheme="minorHAnsi"/>
                <w:szCs w:val="24"/>
              </w:rPr>
              <w:t>'</w:t>
            </w:r>
            <w:r w:rsidR="00AB7F76" w:rsidRPr="00285CBA">
              <w:rPr>
                <w:rFonts w:asciiTheme="minorHAnsi" w:hAnsiTheme="minorHAnsi" w:cstheme="minorHAnsi"/>
                <w:szCs w:val="24"/>
              </w:rPr>
              <w:t xml:space="preserve">UIT </w:t>
            </w:r>
            <w:r w:rsidR="00213716" w:rsidRPr="00285CBA">
              <w:rPr>
                <w:rFonts w:asciiTheme="minorHAnsi" w:hAnsiTheme="minorHAnsi" w:cstheme="minorHAnsi"/>
                <w:szCs w:val="24"/>
              </w:rPr>
              <w:t xml:space="preserve">prend actuellement </w:t>
            </w:r>
            <w:r w:rsidR="00AB7F76" w:rsidRPr="00285CBA">
              <w:rPr>
                <w:rFonts w:asciiTheme="minorHAnsi" w:hAnsiTheme="minorHAnsi" w:cstheme="minorHAnsi"/>
                <w:szCs w:val="24"/>
              </w:rPr>
              <w:t xml:space="preserve">pour faire en sorte que </w:t>
            </w:r>
            <w:r w:rsidRPr="00285CBA">
              <w:rPr>
                <w:rFonts w:asciiTheme="minorHAnsi" w:hAnsiTheme="minorHAnsi" w:cstheme="minorHAnsi"/>
                <w:szCs w:val="24"/>
              </w:rPr>
              <w:t>l</w:t>
            </w:r>
            <w:r w:rsidR="003642CD" w:rsidRPr="00285CBA">
              <w:rPr>
                <w:rFonts w:asciiTheme="minorHAnsi" w:hAnsiTheme="minorHAnsi" w:cstheme="minorHAnsi"/>
                <w:szCs w:val="24"/>
              </w:rPr>
              <w:t>'</w:t>
            </w:r>
            <w:r w:rsidRPr="00285CBA">
              <w:rPr>
                <w:rFonts w:asciiTheme="minorHAnsi" w:hAnsiTheme="minorHAnsi" w:cstheme="minorHAnsi"/>
                <w:szCs w:val="24"/>
              </w:rPr>
              <w:t xml:space="preserve">exécution du </w:t>
            </w:r>
            <w:r w:rsidR="00AB7F76" w:rsidRPr="00285CBA">
              <w:rPr>
                <w:rFonts w:asciiTheme="minorHAnsi" w:hAnsiTheme="minorHAnsi" w:cstheme="minorHAnsi"/>
                <w:szCs w:val="24"/>
              </w:rPr>
              <w:t xml:space="preserve">budget </w:t>
            </w:r>
            <w:r w:rsidR="00205B81" w:rsidRPr="00285CBA">
              <w:rPr>
                <w:rFonts w:asciiTheme="minorHAnsi" w:hAnsiTheme="minorHAnsi" w:cstheme="minorHAnsi"/>
                <w:szCs w:val="24"/>
              </w:rPr>
              <w:t>pour</w:t>
            </w:r>
            <w:r w:rsidR="00AB7F76" w:rsidRPr="00285CBA">
              <w:rPr>
                <w:rFonts w:asciiTheme="minorHAnsi" w:hAnsiTheme="minorHAnsi" w:cstheme="minorHAnsi"/>
                <w:szCs w:val="24"/>
              </w:rPr>
              <w:t xml:space="preserve"> 2022</w:t>
            </w:r>
            <w:r w:rsidRPr="00285CBA">
              <w:rPr>
                <w:rFonts w:asciiTheme="minorHAnsi" w:hAnsiTheme="minorHAnsi" w:cstheme="minorHAnsi"/>
                <w:szCs w:val="24"/>
              </w:rPr>
              <w:t>,</w:t>
            </w:r>
            <w:r w:rsidR="00AB7F76" w:rsidRPr="00285CBA">
              <w:rPr>
                <w:rFonts w:asciiTheme="minorHAnsi" w:hAnsiTheme="minorHAnsi" w:cstheme="minorHAnsi"/>
                <w:szCs w:val="24"/>
              </w:rPr>
              <w:t xml:space="preserve"> </w:t>
            </w:r>
            <w:r w:rsidR="00422B79" w:rsidRPr="00285CBA">
              <w:rPr>
                <w:rFonts w:asciiTheme="minorHAnsi" w:hAnsiTheme="minorHAnsi" w:cstheme="minorHAnsi"/>
                <w:szCs w:val="24"/>
              </w:rPr>
              <w:t xml:space="preserve">ainsi que </w:t>
            </w:r>
            <w:r w:rsidR="00205B81" w:rsidRPr="00285CBA">
              <w:rPr>
                <w:rFonts w:asciiTheme="minorHAnsi" w:hAnsiTheme="minorHAnsi" w:cstheme="minorHAnsi"/>
                <w:szCs w:val="24"/>
              </w:rPr>
              <w:t>les</w:t>
            </w:r>
            <w:r w:rsidR="00AB7F76" w:rsidRPr="00285CBA">
              <w:rPr>
                <w:rFonts w:asciiTheme="minorHAnsi" w:hAnsiTheme="minorHAnsi" w:cstheme="minorHAnsi"/>
                <w:szCs w:val="24"/>
              </w:rPr>
              <w:t xml:space="preserve"> années suivantes</w:t>
            </w:r>
            <w:r w:rsidRPr="00285CBA">
              <w:rPr>
                <w:rFonts w:asciiTheme="minorHAnsi" w:hAnsiTheme="minorHAnsi" w:cstheme="minorHAnsi"/>
                <w:szCs w:val="24"/>
              </w:rPr>
              <w:t>,</w:t>
            </w:r>
            <w:r w:rsidR="00AB7F76" w:rsidRPr="00285CBA">
              <w:rPr>
                <w:rFonts w:asciiTheme="minorHAnsi" w:hAnsiTheme="minorHAnsi" w:cstheme="minorHAnsi"/>
                <w:color w:val="FF0000"/>
                <w:szCs w:val="24"/>
              </w:rPr>
              <w:t xml:space="preserve"> </w:t>
            </w:r>
            <w:r w:rsidR="00AB7F76" w:rsidRPr="00285CBA">
              <w:rPr>
                <w:rFonts w:asciiTheme="minorHAnsi" w:hAnsiTheme="minorHAnsi" w:cstheme="minorHAnsi"/>
                <w:szCs w:val="24"/>
              </w:rPr>
              <w:t>reste dans les limites des ressources disponibles.</w:t>
            </w:r>
          </w:p>
          <w:p w14:paraId="693EE064" w14:textId="77777777" w:rsidR="00520F36" w:rsidRPr="00285CBA" w:rsidRDefault="00520F36" w:rsidP="003642CD">
            <w:pPr>
              <w:pStyle w:val="Headingb"/>
            </w:pPr>
            <w:r w:rsidRPr="00285CBA">
              <w:t>Suite à donner</w:t>
            </w:r>
          </w:p>
          <w:p w14:paraId="2C333F03" w14:textId="77777777" w:rsidR="00520F36" w:rsidRPr="00285CBA" w:rsidRDefault="00141BBB" w:rsidP="003642CD">
            <w:r w:rsidRPr="00285CBA">
              <w:rPr>
                <w:color w:val="000000"/>
              </w:rPr>
              <w:t xml:space="preserve">Le présent document est soumis au Conseil pour </w:t>
            </w:r>
            <w:r w:rsidRPr="00285CBA">
              <w:rPr>
                <w:b/>
                <w:color w:val="000000"/>
              </w:rPr>
              <w:t xml:space="preserve">examen et </w:t>
            </w:r>
            <w:r w:rsidR="00437B8A" w:rsidRPr="00285CBA">
              <w:rPr>
                <w:b/>
                <w:color w:val="000000"/>
              </w:rPr>
              <w:t>avis</w:t>
            </w:r>
            <w:r w:rsidRPr="00285CBA">
              <w:rPr>
                <w:color w:val="000000"/>
              </w:rPr>
              <w:t>.</w:t>
            </w:r>
          </w:p>
          <w:p w14:paraId="45051208" w14:textId="77777777" w:rsidR="00520F36" w:rsidRPr="00285CBA" w:rsidRDefault="00520F36" w:rsidP="003642CD">
            <w:pPr>
              <w:pStyle w:val="Table"/>
              <w:keepNext w:val="0"/>
              <w:spacing w:before="0" w:after="0"/>
              <w:rPr>
                <w:rFonts w:ascii="Calibri" w:hAnsi="Calibri"/>
                <w:caps w:val="0"/>
                <w:sz w:val="22"/>
                <w:lang w:val="fr-FR"/>
              </w:rPr>
            </w:pPr>
            <w:r w:rsidRPr="00285CBA">
              <w:rPr>
                <w:rFonts w:ascii="Calibri" w:hAnsi="Calibri"/>
                <w:caps w:val="0"/>
                <w:sz w:val="22"/>
                <w:lang w:val="fr-FR"/>
              </w:rPr>
              <w:t>____________</w:t>
            </w:r>
          </w:p>
          <w:p w14:paraId="6E91A2BB" w14:textId="77777777" w:rsidR="00520F36" w:rsidRPr="00285CBA" w:rsidRDefault="00520F36" w:rsidP="003642CD">
            <w:pPr>
              <w:pStyle w:val="Headingb"/>
            </w:pPr>
            <w:r w:rsidRPr="00285CBA">
              <w:t>Références</w:t>
            </w:r>
          </w:p>
          <w:p w14:paraId="641CDA5D" w14:textId="77777777" w:rsidR="00141BBB" w:rsidRPr="00285CBA" w:rsidRDefault="0012144E" w:rsidP="003642CD">
            <w:pPr>
              <w:rPr>
                <w:rFonts w:asciiTheme="minorHAnsi" w:hAnsiTheme="minorHAnsi" w:cstheme="minorHAnsi"/>
                <w:szCs w:val="24"/>
              </w:rPr>
            </w:pPr>
            <w:hyperlink r:id="rId8" w:history="1">
              <w:bookmarkStart w:id="12" w:name="lt_pId023"/>
              <w:r w:rsidR="00141BBB" w:rsidRPr="00285CBA">
                <w:rPr>
                  <w:rStyle w:val="Hyperlink"/>
                  <w:rFonts w:asciiTheme="minorHAnsi" w:hAnsiTheme="minorHAnsi" w:cstheme="minorHAnsi"/>
                  <w:szCs w:val="24"/>
                </w:rPr>
                <w:t>Résolution 1405 du Conseil – Budget 2022-2023</w:t>
              </w:r>
              <w:bookmarkEnd w:id="12"/>
            </w:hyperlink>
          </w:p>
          <w:p w14:paraId="41F21A7F" w14:textId="329715F7" w:rsidR="00141BBB" w:rsidRPr="00285CBA" w:rsidRDefault="0012144E" w:rsidP="003642CD">
            <w:pPr>
              <w:tabs>
                <w:tab w:val="left" w:pos="794"/>
                <w:tab w:val="left" w:pos="1191"/>
                <w:tab w:val="left" w:pos="1588"/>
                <w:tab w:val="left" w:pos="1985"/>
              </w:tabs>
              <w:snapToGrid w:val="0"/>
              <w:spacing w:before="0"/>
              <w:rPr>
                <w:rFonts w:asciiTheme="minorHAnsi" w:hAnsiTheme="minorHAnsi" w:cstheme="minorHAnsi"/>
                <w:i/>
                <w:iCs/>
                <w:szCs w:val="24"/>
              </w:rPr>
            </w:pPr>
            <w:hyperlink r:id="rId9" w:history="1">
              <w:bookmarkStart w:id="13" w:name="lt_pId024"/>
              <w:r w:rsidR="00141BBB" w:rsidRPr="00285CBA">
                <w:rPr>
                  <w:rStyle w:val="Hyperlink"/>
                  <w:rFonts w:asciiTheme="minorHAnsi" w:hAnsiTheme="minorHAnsi" w:cstheme="minorHAnsi"/>
                  <w:i/>
                  <w:iCs/>
                  <w:szCs w:val="24"/>
                </w:rPr>
                <w:t>Règlement financier de l</w:t>
              </w:r>
              <w:r w:rsidR="003642CD" w:rsidRPr="00285CBA">
                <w:rPr>
                  <w:rStyle w:val="Hyperlink"/>
                  <w:rFonts w:asciiTheme="minorHAnsi" w:hAnsiTheme="minorHAnsi" w:cstheme="minorHAnsi"/>
                  <w:i/>
                  <w:iCs/>
                  <w:szCs w:val="24"/>
                </w:rPr>
                <w:t>'</w:t>
              </w:r>
              <w:r w:rsidR="00141BBB" w:rsidRPr="00285CBA">
                <w:rPr>
                  <w:rStyle w:val="Hyperlink"/>
                  <w:rFonts w:asciiTheme="minorHAnsi" w:hAnsiTheme="minorHAnsi" w:cstheme="minorHAnsi"/>
                  <w:i/>
                  <w:iCs/>
                  <w:szCs w:val="24"/>
                </w:rPr>
                <w:t>Union</w:t>
              </w:r>
              <w:bookmarkEnd w:id="13"/>
            </w:hyperlink>
          </w:p>
          <w:p w14:paraId="7FEF4583" w14:textId="438DD6C2" w:rsidR="00141BBB" w:rsidRPr="00285CBA" w:rsidRDefault="0012144E" w:rsidP="003642CD">
            <w:pPr>
              <w:tabs>
                <w:tab w:val="left" w:pos="794"/>
                <w:tab w:val="left" w:pos="1191"/>
                <w:tab w:val="left" w:pos="1588"/>
                <w:tab w:val="left" w:pos="1985"/>
              </w:tabs>
              <w:snapToGrid w:val="0"/>
              <w:spacing w:before="0"/>
              <w:rPr>
                <w:rFonts w:asciiTheme="minorHAnsi" w:hAnsiTheme="minorHAnsi" w:cstheme="minorHAnsi"/>
                <w:szCs w:val="24"/>
              </w:rPr>
            </w:pPr>
            <w:hyperlink r:id="rId10" w:history="1">
              <w:bookmarkStart w:id="14" w:name="lt_pId025"/>
              <w:r w:rsidR="00141BBB" w:rsidRPr="00285CBA">
                <w:rPr>
                  <w:rStyle w:val="Hyperlink"/>
                  <w:rFonts w:asciiTheme="minorHAnsi" w:hAnsiTheme="minorHAnsi" w:cstheme="minorHAnsi"/>
                  <w:szCs w:val="24"/>
                </w:rPr>
                <w:t>Décision 5 (Rév. Duba</w:t>
              </w:r>
              <w:r w:rsidR="00DB08A9" w:rsidRPr="00285CBA">
                <w:rPr>
                  <w:rStyle w:val="Hyperlink"/>
                  <w:rFonts w:asciiTheme="minorHAnsi" w:hAnsiTheme="minorHAnsi" w:cstheme="minorHAnsi"/>
                  <w:szCs w:val="24"/>
                </w:rPr>
                <w:t>ï</w:t>
              </w:r>
              <w:r w:rsidR="00141BBB" w:rsidRPr="00285CBA">
                <w:rPr>
                  <w:rStyle w:val="Hyperlink"/>
                  <w:rFonts w:asciiTheme="minorHAnsi" w:hAnsiTheme="minorHAnsi" w:cstheme="minorHAnsi"/>
                  <w:szCs w:val="24"/>
                </w:rPr>
                <w:t>, 2018)</w:t>
              </w:r>
              <w:bookmarkEnd w:id="14"/>
            </w:hyperlink>
            <w:r w:rsidR="002540B8" w:rsidRPr="00285CBA">
              <w:t xml:space="preserve"> de la Conférence de plénipotentiaires</w:t>
            </w:r>
          </w:p>
          <w:bookmarkStart w:id="15" w:name="lt_pId026"/>
          <w:p w14:paraId="194AA874" w14:textId="74E4D8B1" w:rsidR="00520F36" w:rsidRPr="00285CBA" w:rsidRDefault="00141BBB" w:rsidP="003642CD">
            <w:pPr>
              <w:spacing w:before="0" w:after="120"/>
            </w:pPr>
            <w:r w:rsidRPr="00285CBA">
              <w:fldChar w:fldCharType="begin"/>
            </w:r>
            <w:r w:rsidR="00D95CDA" w:rsidRPr="00285CBA">
              <w:instrText>HYPERLINK "https://www.itu.int/en/council/Documents/basic-texts/Constitution-F.pdf"</w:instrText>
            </w:r>
            <w:r w:rsidRPr="00285CBA">
              <w:fldChar w:fldCharType="separate"/>
            </w:r>
            <w:r w:rsidR="00D95CDA" w:rsidRPr="00285CBA">
              <w:rPr>
                <w:rStyle w:val="Hyperlink"/>
                <w:rFonts w:asciiTheme="minorHAnsi" w:hAnsiTheme="minorHAnsi" w:cstheme="minorHAnsi"/>
                <w:szCs w:val="24"/>
              </w:rPr>
              <w:t>Article 4</w:t>
            </w:r>
            <w:r w:rsidRPr="00285CBA">
              <w:rPr>
                <w:rStyle w:val="Hyperlink"/>
                <w:rFonts w:asciiTheme="minorHAnsi" w:hAnsiTheme="minorHAnsi" w:cstheme="minorHAnsi"/>
                <w:szCs w:val="24"/>
              </w:rPr>
              <w:fldChar w:fldCharType="end"/>
            </w:r>
            <w:r w:rsidR="00D95CDA" w:rsidRPr="00285CBA">
              <w:t xml:space="preserve"> de la Constitution</w:t>
            </w:r>
            <w:r w:rsidRPr="00285CBA">
              <w:rPr>
                <w:rFonts w:asciiTheme="minorHAnsi" w:hAnsiTheme="minorHAnsi" w:cstheme="minorHAnsi"/>
                <w:szCs w:val="24"/>
              </w:rPr>
              <w:t xml:space="preserve">, </w:t>
            </w:r>
            <w:hyperlink r:id="rId11" w:history="1">
              <w:r w:rsidRPr="00285CBA">
                <w:rPr>
                  <w:rStyle w:val="Hyperlink"/>
                  <w:rFonts w:asciiTheme="minorHAnsi" w:hAnsiTheme="minorHAnsi" w:cstheme="minorHAnsi"/>
                  <w:szCs w:val="24"/>
                </w:rPr>
                <w:t>Document C16/45</w:t>
              </w:r>
            </w:hyperlink>
            <w:bookmarkEnd w:id="15"/>
            <w:r w:rsidR="00A018B4" w:rsidRPr="00285CBA">
              <w:t xml:space="preserve"> du Conseil</w:t>
            </w:r>
          </w:p>
        </w:tc>
      </w:tr>
    </w:tbl>
    <w:p w14:paraId="41FD9838" w14:textId="77777777" w:rsidR="00141BBB" w:rsidRPr="00285CBA" w:rsidRDefault="00141BBB" w:rsidP="003642CD">
      <w:r w:rsidRPr="00285CBA">
        <w:br w:type="page"/>
      </w:r>
    </w:p>
    <w:p w14:paraId="38C57F7A" w14:textId="44EEE9A6" w:rsidR="00141BBB" w:rsidRPr="00285CBA" w:rsidRDefault="00141BBB" w:rsidP="003642CD">
      <w:pPr>
        <w:pStyle w:val="Title1"/>
        <w:rPr>
          <w:b/>
        </w:rPr>
      </w:pPr>
      <w:r w:rsidRPr="00285CBA">
        <w:rPr>
          <w:b/>
        </w:rPr>
        <w:lastRenderedPageBreak/>
        <w:t xml:space="preserve">SITUATION FINANCIère au 24 août 2022 et </w:t>
      </w:r>
      <w:r w:rsidRPr="00285CBA">
        <w:rPr>
          <w:b/>
        </w:rPr>
        <w:br/>
      </w:r>
      <w:r w:rsidR="00AE6922" w:rsidRPr="00285CBA">
        <w:rPr>
          <w:b/>
        </w:rPr>
        <w:t>prévision</w:t>
      </w:r>
      <w:r w:rsidR="00E0307A" w:rsidRPr="00285CBA">
        <w:rPr>
          <w:b/>
        </w:rPr>
        <w:t>s</w:t>
      </w:r>
      <w:r w:rsidR="00AE6922" w:rsidRPr="00285CBA">
        <w:rPr>
          <w:b/>
        </w:rPr>
        <w:t xml:space="preserve"> </w:t>
      </w:r>
      <w:r w:rsidR="00F77AF8" w:rsidRPr="00285CBA">
        <w:rPr>
          <w:b/>
        </w:rPr>
        <w:t>D</w:t>
      </w:r>
      <w:r w:rsidR="003642CD" w:rsidRPr="00285CBA">
        <w:rPr>
          <w:b/>
        </w:rPr>
        <w:t>'</w:t>
      </w:r>
      <w:r w:rsidR="00F77AF8" w:rsidRPr="00285CBA">
        <w:rPr>
          <w:b/>
        </w:rPr>
        <w:t>EX</w:t>
      </w:r>
      <w:r w:rsidR="00D95CDA" w:rsidRPr="00285CBA">
        <w:rPr>
          <w:b/>
        </w:rPr>
        <w:t>É</w:t>
      </w:r>
      <w:r w:rsidR="00F77AF8" w:rsidRPr="00285CBA">
        <w:rPr>
          <w:b/>
        </w:rPr>
        <w:t xml:space="preserve">CUTION </w:t>
      </w:r>
      <w:r w:rsidR="00AE6922" w:rsidRPr="00285CBA">
        <w:rPr>
          <w:b/>
        </w:rPr>
        <w:t>du budget jusqu</w:t>
      </w:r>
      <w:r w:rsidR="003642CD" w:rsidRPr="00285CBA">
        <w:rPr>
          <w:b/>
        </w:rPr>
        <w:t>'</w:t>
      </w:r>
      <w:r w:rsidR="00AE6922" w:rsidRPr="00285CBA">
        <w:rPr>
          <w:b/>
        </w:rPr>
        <w:t>au</w:t>
      </w:r>
      <w:r w:rsidRPr="00285CBA">
        <w:rPr>
          <w:b/>
        </w:rPr>
        <w:t xml:space="preserve"> 31 décembre 2022</w:t>
      </w:r>
    </w:p>
    <w:p w14:paraId="0BB82AB7" w14:textId="77777777" w:rsidR="00141BBB" w:rsidRPr="00285CBA" w:rsidRDefault="00141BBB" w:rsidP="003642CD">
      <w:pPr>
        <w:pStyle w:val="Heading1"/>
      </w:pPr>
      <w:r w:rsidRPr="00285CBA">
        <w:t>1</w:t>
      </w:r>
      <w:r w:rsidRPr="00285CBA">
        <w:tab/>
        <w:t>Introduction</w:t>
      </w:r>
    </w:p>
    <w:p w14:paraId="334B5538" w14:textId="6B728F4C" w:rsidR="0047353C" w:rsidRPr="00285CBA" w:rsidRDefault="0047353C" w:rsidP="003642CD">
      <w:r w:rsidRPr="00285CBA">
        <w:t>Le présent document a pour objet d</w:t>
      </w:r>
      <w:r w:rsidR="003642CD" w:rsidRPr="00285CBA">
        <w:t>'</w:t>
      </w:r>
      <w:r w:rsidRPr="00285CBA">
        <w:t>informer le Conseil de la situation financière au 24 août 2022.</w:t>
      </w:r>
    </w:p>
    <w:p w14:paraId="6C111BA9" w14:textId="6401903C" w:rsidR="0047353C" w:rsidRPr="00285CBA" w:rsidRDefault="0047353C" w:rsidP="003642CD">
      <w:r w:rsidRPr="00285CBA">
        <w:t xml:space="preserve">Le manque à gagner </w:t>
      </w:r>
      <w:r w:rsidR="00F77AF8" w:rsidRPr="00285CBA">
        <w:t xml:space="preserve">au titre du </w:t>
      </w:r>
      <w:r w:rsidRPr="00285CBA">
        <w:t xml:space="preserve">recouvrement des coûts </w:t>
      </w:r>
      <w:r w:rsidR="00F77AF8" w:rsidRPr="00285CBA">
        <w:t xml:space="preserve">devrait atteindre </w:t>
      </w:r>
      <w:r w:rsidR="008107BD" w:rsidRPr="00285CBA">
        <w:t>environ</w:t>
      </w:r>
      <w:r w:rsidR="00C956D3" w:rsidRPr="00285CBA">
        <w:t xml:space="preserve"> </w:t>
      </w:r>
      <w:r w:rsidR="00D95CDA" w:rsidRPr="00285CBA">
        <w:t>–</w:t>
      </w:r>
      <w:r w:rsidR="00C956D3" w:rsidRPr="00285CBA">
        <w:t>7 millions</w:t>
      </w:r>
      <w:r w:rsidR="00D95CDA" w:rsidRPr="00285CBA">
        <w:t> </w:t>
      </w:r>
      <w:r w:rsidR="00C956D3" w:rsidRPr="00285CBA">
        <w:t>CH</w:t>
      </w:r>
      <w:r w:rsidR="00BB11B7" w:rsidRPr="00285CBA">
        <w:t>F</w:t>
      </w:r>
      <w:r w:rsidR="00F77AF8" w:rsidRPr="00285CBA">
        <w:t xml:space="preserve">; il </w:t>
      </w:r>
      <w:r w:rsidR="00BB11B7" w:rsidRPr="00285CBA">
        <w:t xml:space="preserve">est en partie compensé par </w:t>
      </w:r>
      <w:r w:rsidR="00F77AF8" w:rsidRPr="00285CBA">
        <w:t xml:space="preserve">certaines </w:t>
      </w:r>
      <w:r w:rsidR="00BB11B7" w:rsidRPr="00285CBA">
        <w:t xml:space="preserve">économies </w:t>
      </w:r>
      <w:r w:rsidR="00F77AF8" w:rsidRPr="00285CBA">
        <w:t xml:space="preserve">du côté des </w:t>
      </w:r>
      <w:r w:rsidR="007E4271" w:rsidRPr="00285CBA">
        <w:t>charges</w:t>
      </w:r>
      <w:r w:rsidR="00262DF5" w:rsidRPr="00285CBA">
        <w:t xml:space="preserve">, </w:t>
      </w:r>
      <w:r w:rsidR="00F77AF8" w:rsidRPr="00285CBA">
        <w:t xml:space="preserve">principalement </w:t>
      </w:r>
      <w:r w:rsidR="00BB11B7" w:rsidRPr="00285CBA">
        <w:t>au niveau</w:t>
      </w:r>
      <w:r w:rsidR="00F50606">
        <w:t> </w:t>
      </w:r>
      <w:r w:rsidR="00BB11B7" w:rsidRPr="00285CBA">
        <w:t xml:space="preserve">du Secrétariat général. </w:t>
      </w:r>
      <w:r w:rsidR="00BE3210" w:rsidRPr="00285CBA">
        <w:t xml:space="preserve">Dans ces conditions, le </w:t>
      </w:r>
      <w:r w:rsidR="001852E0" w:rsidRPr="00285CBA">
        <w:t>déficit budgétair</w:t>
      </w:r>
      <w:r w:rsidR="00856A4A" w:rsidRPr="00285CBA">
        <w:t xml:space="preserve">e </w:t>
      </w:r>
      <w:r w:rsidR="00BE3210" w:rsidRPr="00285CBA">
        <w:t xml:space="preserve">devrait atteindre </w:t>
      </w:r>
      <w:r w:rsidR="00BE3210" w:rsidRPr="00F50606">
        <w:t>environ</w:t>
      </w:r>
      <w:bookmarkStart w:id="16" w:name="_Hlk113349607"/>
      <w:r w:rsidR="00F50606" w:rsidRPr="00F50606">
        <w:t xml:space="preserve"> </w:t>
      </w:r>
      <w:r w:rsidR="00F50606" w:rsidRPr="00F50606">
        <w:noBreakHyphen/>
      </w:r>
      <w:r w:rsidR="00856A4A" w:rsidRPr="00F50606">
        <w:t>4,05</w:t>
      </w:r>
      <w:r w:rsidR="00D95CDA" w:rsidRPr="00F50606">
        <w:t> </w:t>
      </w:r>
      <w:r w:rsidR="00856A4A" w:rsidRPr="00F50606">
        <w:t xml:space="preserve">millions CHF </w:t>
      </w:r>
      <w:bookmarkEnd w:id="16"/>
      <w:r w:rsidR="00856A4A" w:rsidRPr="00F50606">
        <w:t>à la fin de l</w:t>
      </w:r>
      <w:r w:rsidR="003642CD" w:rsidRPr="00F50606">
        <w:t>'</w:t>
      </w:r>
      <w:r w:rsidR="00856A4A" w:rsidRPr="00F50606">
        <w:t>année.</w:t>
      </w:r>
    </w:p>
    <w:p w14:paraId="675F05D3" w14:textId="444257B3" w:rsidR="009C1215" w:rsidRPr="00285CBA" w:rsidRDefault="00BE3210" w:rsidP="003642CD">
      <w:r w:rsidRPr="00285CBA">
        <w:t xml:space="preserve">Afin de déterminer les économies à réaliser sur les </w:t>
      </w:r>
      <w:r w:rsidR="007E4271" w:rsidRPr="00285CBA">
        <w:t xml:space="preserve">charges </w:t>
      </w:r>
      <w:r w:rsidR="00780CA5" w:rsidRPr="00285CBA">
        <w:t>pour faire en sorte qu</w:t>
      </w:r>
      <w:r w:rsidR="003642CD" w:rsidRPr="00285CBA">
        <w:t>'</w:t>
      </w:r>
      <w:r w:rsidR="00780CA5" w:rsidRPr="00285CBA">
        <w:t xml:space="preserve">il </w:t>
      </w:r>
      <w:r w:rsidRPr="00285CBA">
        <w:t>n</w:t>
      </w:r>
      <w:r w:rsidR="003642CD" w:rsidRPr="00285CBA">
        <w:t>'</w:t>
      </w:r>
      <w:r w:rsidRPr="00285CBA">
        <w:t xml:space="preserve">y ait pas de </w:t>
      </w:r>
      <w:r w:rsidR="00780CA5" w:rsidRPr="00285CBA">
        <w:t xml:space="preserve">déficit </w:t>
      </w:r>
      <w:r w:rsidR="007E4271" w:rsidRPr="00285CBA">
        <w:t>en fin d</w:t>
      </w:r>
      <w:r w:rsidR="003642CD" w:rsidRPr="00285CBA">
        <w:t>'</w:t>
      </w:r>
      <w:r w:rsidR="00780CA5" w:rsidRPr="00285CBA">
        <w:t xml:space="preserve">année, un groupe </w:t>
      </w:r>
      <w:r w:rsidR="001C0316" w:rsidRPr="00285CBA">
        <w:t xml:space="preserve">de travail interne présidé par le Vice-Secrétaire général et composé des Adjoints aux Directeurs des trois Bureaux et des </w:t>
      </w:r>
      <w:r w:rsidR="006D2993" w:rsidRPr="00285CBA">
        <w:t>C</w:t>
      </w:r>
      <w:r w:rsidR="001C0316" w:rsidRPr="00285CBA">
        <w:t>hefs des Départements FRMD, HRMD, C&amp;P et ISD a été</w:t>
      </w:r>
      <w:r w:rsidR="003E4D39" w:rsidRPr="00285CBA">
        <w:t xml:space="preserve"> créé.</w:t>
      </w:r>
    </w:p>
    <w:p w14:paraId="436F4AFD" w14:textId="13C17F83" w:rsidR="00141BBB" w:rsidRPr="00285CBA" w:rsidRDefault="00141BBB" w:rsidP="003642CD">
      <w:pPr>
        <w:pStyle w:val="Heading1"/>
      </w:pPr>
      <w:r w:rsidRPr="00285CBA">
        <w:t>2</w:t>
      </w:r>
      <w:r w:rsidRPr="00285CBA">
        <w:tab/>
      </w:r>
      <w:r w:rsidR="007E4271" w:rsidRPr="00285CBA">
        <w:t>Charges</w:t>
      </w:r>
    </w:p>
    <w:p w14:paraId="1F9CB5DC" w14:textId="68BE486D" w:rsidR="00A02B3D" w:rsidRPr="00285CBA" w:rsidRDefault="00A02B3D" w:rsidP="003642CD">
      <w:r w:rsidRPr="00285CBA">
        <w:t>Le</w:t>
      </w:r>
      <w:r w:rsidR="0037066A" w:rsidRPr="00285CBA">
        <w:t xml:space="preserve">s </w:t>
      </w:r>
      <w:r w:rsidR="007E4271" w:rsidRPr="00285CBA">
        <w:t xml:space="preserve">charges </w:t>
      </w:r>
      <w:r w:rsidR="0037066A" w:rsidRPr="00285CBA">
        <w:t xml:space="preserve">au titre du </w:t>
      </w:r>
      <w:r w:rsidRPr="00285CBA">
        <w:t xml:space="preserve">budget 2022 </w:t>
      </w:r>
      <w:r w:rsidR="0037066A" w:rsidRPr="00285CBA">
        <w:t xml:space="preserve">devraient atteindre </w:t>
      </w:r>
      <w:r w:rsidR="005F50E8" w:rsidRPr="00285CBA">
        <w:t xml:space="preserve">161,6 millions CHF </w:t>
      </w:r>
      <w:r w:rsidR="00EB6D82" w:rsidRPr="00285CBA">
        <w:t>(</w:t>
      </w:r>
      <w:r w:rsidR="0037066A" w:rsidRPr="00285CBA">
        <w:t>contre un montant budgétisé</w:t>
      </w:r>
      <w:r w:rsidR="00EB6D82" w:rsidRPr="00285CBA">
        <w:t xml:space="preserve"> de 164,4 millions CHF), </w:t>
      </w:r>
      <w:r w:rsidR="0062550D" w:rsidRPr="00285CBA">
        <w:t xml:space="preserve">ce qui se traduira par une économie de 2,8 millions CHF </w:t>
      </w:r>
      <w:r w:rsidR="00580B11" w:rsidRPr="00285CBA">
        <w:t xml:space="preserve">sur le budget approuvé, </w:t>
      </w:r>
      <w:r w:rsidR="0037066A" w:rsidRPr="00285CBA">
        <w:t>inférieure aux prévisions</w:t>
      </w:r>
      <w:r w:rsidR="00CB4F57" w:rsidRPr="00285CBA">
        <w:t>.</w:t>
      </w:r>
      <w:r w:rsidR="00AF1BDB" w:rsidRPr="00285CBA">
        <w:t xml:space="preserve"> </w:t>
      </w:r>
      <w:r w:rsidR="00B91DF0" w:rsidRPr="00285CBA">
        <w:t>Le montant indiqué inclut l</w:t>
      </w:r>
      <w:r w:rsidR="009D37B8" w:rsidRPr="00285CBA">
        <w:t xml:space="preserve">es </w:t>
      </w:r>
      <w:r w:rsidR="007E4271" w:rsidRPr="00285CBA">
        <w:t xml:space="preserve">charges </w:t>
      </w:r>
      <w:r w:rsidR="009D37B8" w:rsidRPr="00285CBA">
        <w:t>liées au</w:t>
      </w:r>
      <w:r w:rsidR="00D95CDA" w:rsidRPr="00285CBA">
        <w:t> </w:t>
      </w:r>
      <w:r w:rsidR="009D37B8" w:rsidRPr="00285CBA">
        <w:t>COVID</w:t>
      </w:r>
      <w:r w:rsidR="00D95CDA" w:rsidRPr="00285CBA">
        <w:noBreakHyphen/>
      </w:r>
      <w:r w:rsidR="009D37B8" w:rsidRPr="00285CBA">
        <w:t xml:space="preserve">19, estimées à 370 000 CHF. </w:t>
      </w:r>
      <w:r w:rsidR="00B91DF0" w:rsidRPr="00285CBA">
        <w:t xml:space="preserve">Une </w:t>
      </w:r>
      <w:r w:rsidR="009D37B8" w:rsidRPr="00285CBA">
        <w:t xml:space="preserve">provision </w:t>
      </w:r>
      <w:r w:rsidR="00B91DF0" w:rsidRPr="00285CBA">
        <w:t>d</w:t>
      </w:r>
      <w:r w:rsidR="003642CD" w:rsidRPr="00285CBA">
        <w:t>'</w:t>
      </w:r>
      <w:r w:rsidR="00B91DF0" w:rsidRPr="00285CBA">
        <w:t xml:space="preserve">un montant </w:t>
      </w:r>
      <w:r w:rsidR="009D37B8" w:rsidRPr="00285CBA">
        <w:t xml:space="preserve">de 1,5 million CHF pour le </w:t>
      </w:r>
      <w:r w:rsidR="00B91DF0" w:rsidRPr="00285CBA">
        <w:t xml:space="preserve">versement </w:t>
      </w:r>
      <w:r w:rsidR="009D37B8" w:rsidRPr="00285CBA">
        <w:t xml:space="preserve">annuel </w:t>
      </w:r>
      <w:r w:rsidR="00B91DF0" w:rsidRPr="00285CBA">
        <w:t>à l</w:t>
      </w:r>
      <w:r w:rsidR="003642CD" w:rsidRPr="00285CBA">
        <w:t>'</w:t>
      </w:r>
      <w:r w:rsidR="009D37B8" w:rsidRPr="00285CBA">
        <w:t>UNSMIS</w:t>
      </w:r>
      <w:r w:rsidR="00B91DF0" w:rsidRPr="00285CBA">
        <w:t xml:space="preserve"> est incluse dans les prévisions.</w:t>
      </w:r>
    </w:p>
    <w:p w14:paraId="59F98C9E" w14:textId="3F70399C" w:rsidR="005D4D35" w:rsidRPr="00285CBA" w:rsidRDefault="00106FF7" w:rsidP="00B175E1">
      <w:pPr>
        <w:spacing w:after="240"/>
      </w:pPr>
      <w:r w:rsidRPr="00285CBA">
        <w:t xml:space="preserve">On trouvera </w:t>
      </w:r>
      <w:r w:rsidR="00B91DF0" w:rsidRPr="00285CBA">
        <w:t>au t</w:t>
      </w:r>
      <w:r w:rsidRPr="00285CBA">
        <w:t xml:space="preserve">ableau 1 ci-dessous la ventilation </w:t>
      </w:r>
      <w:r w:rsidR="00C0181B" w:rsidRPr="00285CBA">
        <w:t xml:space="preserve">des </w:t>
      </w:r>
      <w:r w:rsidR="00B91DF0" w:rsidRPr="00285CBA">
        <w:t xml:space="preserve">prévisions de </w:t>
      </w:r>
      <w:r w:rsidR="007E4271" w:rsidRPr="00285CBA">
        <w:t xml:space="preserve">charges </w:t>
      </w:r>
      <w:r w:rsidR="00C0181B" w:rsidRPr="00285CBA">
        <w:t>par Secteur jusqu</w:t>
      </w:r>
      <w:r w:rsidR="003642CD" w:rsidRPr="00285CBA">
        <w:t>'</w:t>
      </w:r>
      <w:r w:rsidR="00C0181B" w:rsidRPr="00285CBA">
        <w:t>à fin</w:t>
      </w:r>
      <w:r w:rsidR="00D95CDA" w:rsidRPr="00285CBA">
        <w:t> </w:t>
      </w:r>
      <w:r w:rsidR="00C0181B" w:rsidRPr="00285CBA">
        <w:t>2022.</w:t>
      </w:r>
    </w:p>
    <w:bookmarkStart w:id="17" w:name="_MON_1723287055"/>
    <w:bookmarkEnd w:id="17"/>
    <w:p w14:paraId="55945F1E" w14:textId="221B1E30" w:rsidR="00141BBB" w:rsidRPr="00285CBA" w:rsidRDefault="00B175E1" w:rsidP="003642CD">
      <w:pPr>
        <w:spacing w:before="0"/>
        <w:rPr>
          <w:rFonts w:asciiTheme="minorHAnsi" w:hAnsiTheme="minorHAnsi" w:cstheme="minorHAnsi"/>
          <w:b/>
          <w:bCs/>
          <w:szCs w:val="24"/>
        </w:rPr>
      </w:pPr>
      <w:r w:rsidRPr="00285CBA">
        <w:rPr>
          <w:rFonts w:asciiTheme="minorHAnsi" w:hAnsiTheme="minorHAnsi" w:cstheme="minorHAnsi"/>
          <w:b/>
          <w:bCs/>
          <w:szCs w:val="24"/>
        </w:rPr>
        <w:object w:dxaOrig="8775" w:dyaOrig="5805" w14:anchorId="72812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289.8pt" o:ole="">
            <v:imagedata r:id="rId12" o:title=""/>
          </v:shape>
          <o:OLEObject Type="Embed" ProgID="Excel.Sheet.12" ShapeID="_x0000_i1025" DrawAspect="Content" ObjectID="_1724336958" r:id="rId13"/>
        </w:object>
      </w:r>
    </w:p>
    <w:p w14:paraId="3811D3F2" w14:textId="77777777" w:rsidR="00A67B3D" w:rsidRPr="00285CBA" w:rsidRDefault="00A67B3D" w:rsidP="003642CD">
      <w:pPr>
        <w:pStyle w:val="Heading1"/>
      </w:pPr>
      <w:r w:rsidRPr="00285CBA">
        <w:lastRenderedPageBreak/>
        <w:t>3</w:t>
      </w:r>
      <w:r w:rsidRPr="00285CBA">
        <w:tab/>
      </w:r>
      <w:r w:rsidR="00BC1209" w:rsidRPr="00285CBA">
        <w:t>Produits</w:t>
      </w:r>
    </w:p>
    <w:p w14:paraId="1EFCC0C9" w14:textId="26639953" w:rsidR="00D53DDA" w:rsidRPr="00285CBA" w:rsidRDefault="007E4271" w:rsidP="003642CD">
      <w:pPr>
        <w:rPr>
          <w:rFonts w:asciiTheme="minorHAnsi" w:hAnsiTheme="minorHAnsi" w:cstheme="minorHAnsi"/>
          <w:szCs w:val="24"/>
        </w:rPr>
      </w:pPr>
      <w:r w:rsidRPr="00285CBA">
        <w:rPr>
          <w:rFonts w:asciiTheme="minorHAnsi" w:hAnsiTheme="minorHAnsi" w:cstheme="minorHAnsi"/>
          <w:szCs w:val="24"/>
        </w:rPr>
        <w:t xml:space="preserve">En ce qui concerne les </w:t>
      </w:r>
      <w:r w:rsidR="00D53DDA" w:rsidRPr="00285CBA">
        <w:rPr>
          <w:rFonts w:asciiTheme="minorHAnsi" w:hAnsiTheme="minorHAnsi" w:cstheme="minorHAnsi"/>
          <w:szCs w:val="24"/>
        </w:rPr>
        <w:t>produits</w:t>
      </w:r>
      <w:r w:rsidRPr="00285CBA">
        <w:rPr>
          <w:rFonts w:asciiTheme="minorHAnsi" w:hAnsiTheme="minorHAnsi" w:cstheme="minorHAnsi"/>
          <w:szCs w:val="24"/>
        </w:rPr>
        <w:t xml:space="preserve">, le montant anticipé </w:t>
      </w:r>
      <w:r w:rsidR="00D53DDA" w:rsidRPr="00285CBA">
        <w:rPr>
          <w:rFonts w:asciiTheme="minorHAnsi" w:hAnsiTheme="minorHAnsi" w:cstheme="minorHAnsi"/>
          <w:szCs w:val="24"/>
        </w:rPr>
        <w:t xml:space="preserve">pour le budget 2022 </w:t>
      </w:r>
      <w:r w:rsidRPr="00285CBA">
        <w:rPr>
          <w:rFonts w:asciiTheme="minorHAnsi" w:hAnsiTheme="minorHAnsi" w:cstheme="minorHAnsi"/>
          <w:szCs w:val="24"/>
        </w:rPr>
        <w:t xml:space="preserve">atteint </w:t>
      </w:r>
      <w:r w:rsidR="00D53DDA" w:rsidRPr="00285CBA">
        <w:rPr>
          <w:rFonts w:asciiTheme="minorHAnsi" w:hAnsiTheme="minorHAnsi" w:cstheme="minorHAnsi"/>
          <w:szCs w:val="24"/>
        </w:rPr>
        <w:t>157,5</w:t>
      </w:r>
      <w:r w:rsidR="00BF10B0" w:rsidRPr="00285CBA">
        <w:rPr>
          <w:rFonts w:asciiTheme="minorHAnsi" w:hAnsiTheme="minorHAnsi" w:cstheme="minorHAnsi"/>
          <w:szCs w:val="24"/>
        </w:rPr>
        <w:t> </w:t>
      </w:r>
      <w:r w:rsidR="00D53DDA" w:rsidRPr="00285CBA">
        <w:rPr>
          <w:rFonts w:asciiTheme="minorHAnsi" w:hAnsiTheme="minorHAnsi" w:cstheme="minorHAnsi"/>
          <w:szCs w:val="24"/>
        </w:rPr>
        <w:t>millions</w:t>
      </w:r>
      <w:r w:rsidR="00BF10B0" w:rsidRPr="00285CBA">
        <w:rPr>
          <w:rFonts w:asciiTheme="minorHAnsi" w:hAnsiTheme="minorHAnsi" w:cstheme="minorHAnsi"/>
          <w:szCs w:val="24"/>
        </w:rPr>
        <w:t> </w:t>
      </w:r>
      <w:r w:rsidR="00D53DDA" w:rsidRPr="00285CBA">
        <w:rPr>
          <w:rFonts w:asciiTheme="minorHAnsi" w:hAnsiTheme="minorHAnsi" w:cstheme="minorHAnsi"/>
          <w:szCs w:val="24"/>
        </w:rPr>
        <w:t>CHF (par rapport au budget de 164,4 millions CHF)</w:t>
      </w:r>
      <w:r w:rsidR="00706E3E" w:rsidRPr="00285CBA">
        <w:rPr>
          <w:rFonts w:asciiTheme="minorHAnsi" w:hAnsiTheme="minorHAnsi" w:cstheme="minorHAnsi"/>
          <w:szCs w:val="24"/>
        </w:rPr>
        <w:t xml:space="preserve">, soit </w:t>
      </w:r>
      <w:r w:rsidR="008E000C" w:rsidRPr="00285CBA">
        <w:rPr>
          <w:rFonts w:asciiTheme="minorHAnsi" w:hAnsiTheme="minorHAnsi" w:cstheme="minorHAnsi"/>
          <w:szCs w:val="24"/>
        </w:rPr>
        <w:t>un manque à gagner de</w:t>
      </w:r>
      <w:r w:rsidR="00BF10B0" w:rsidRPr="00285CBA">
        <w:rPr>
          <w:rFonts w:asciiTheme="minorHAnsi" w:hAnsiTheme="minorHAnsi" w:cstheme="minorHAnsi"/>
          <w:szCs w:val="24"/>
        </w:rPr>
        <w:t> </w:t>
      </w:r>
      <w:r w:rsidR="00706E3E" w:rsidRPr="00285CBA">
        <w:rPr>
          <w:rFonts w:asciiTheme="minorHAnsi" w:hAnsiTheme="minorHAnsi" w:cstheme="minorHAnsi"/>
          <w:szCs w:val="24"/>
        </w:rPr>
        <w:t>6,8</w:t>
      </w:r>
      <w:r w:rsidR="00BF10B0" w:rsidRPr="00285CBA">
        <w:rPr>
          <w:rFonts w:asciiTheme="minorHAnsi" w:hAnsiTheme="minorHAnsi" w:cstheme="minorHAnsi"/>
          <w:szCs w:val="24"/>
        </w:rPr>
        <w:t> </w:t>
      </w:r>
      <w:r w:rsidR="00706E3E" w:rsidRPr="00285CBA">
        <w:rPr>
          <w:rFonts w:asciiTheme="minorHAnsi" w:hAnsiTheme="minorHAnsi" w:cstheme="minorHAnsi"/>
          <w:szCs w:val="24"/>
        </w:rPr>
        <w:t xml:space="preserve">millions CHF </w:t>
      </w:r>
      <w:r w:rsidR="008E000C" w:rsidRPr="00285CBA">
        <w:rPr>
          <w:rFonts w:asciiTheme="minorHAnsi" w:hAnsiTheme="minorHAnsi" w:cstheme="minorHAnsi"/>
          <w:szCs w:val="24"/>
        </w:rPr>
        <w:t xml:space="preserve">par rapport au </w:t>
      </w:r>
      <w:r w:rsidR="00706E3E" w:rsidRPr="00285CBA">
        <w:rPr>
          <w:rFonts w:asciiTheme="minorHAnsi" w:hAnsiTheme="minorHAnsi" w:cstheme="minorHAnsi"/>
          <w:szCs w:val="24"/>
        </w:rPr>
        <w:t>budget approuvé.</w:t>
      </w:r>
    </w:p>
    <w:p w14:paraId="617C98A3" w14:textId="57A8A5FE" w:rsidR="00A67B3D" w:rsidRDefault="008E000C" w:rsidP="0035054C">
      <w:pPr>
        <w:spacing w:after="360"/>
        <w:rPr>
          <w:rFonts w:asciiTheme="minorHAnsi" w:hAnsiTheme="minorHAnsi" w:cstheme="minorHAnsi"/>
          <w:szCs w:val="24"/>
        </w:rPr>
      </w:pPr>
      <w:r w:rsidRPr="00285CBA">
        <w:rPr>
          <w:rFonts w:asciiTheme="minorHAnsi" w:hAnsiTheme="minorHAnsi" w:cstheme="minorHAnsi"/>
          <w:szCs w:val="24"/>
        </w:rPr>
        <w:t xml:space="preserve">On trouvera au </w:t>
      </w:r>
      <w:r w:rsidR="0035054C">
        <w:rPr>
          <w:rFonts w:asciiTheme="minorHAnsi" w:hAnsiTheme="minorHAnsi" w:cstheme="minorHAnsi"/>
          <w:szCs w:val="24"/>
        </w:rPr>
        <w:t>T</w:t>
      </w:r>
      <w:r w:rsidR="00A67B3D" w:rsidRPr="00285CBA">
        <w:rPr>
          <w:rFonts w:asciiTheme="minorHAnsi" w:hAnsiTheme="minorHAnsi" w:cstheme="minorHAnsi"/>
          <w:szCs w:val="24"/>
        </w:rPr>
        <w:t xml:space="preserve">ableau 2 ci-dessous </w:t>
      </w:r>
      <w:r w:rsidR="00422B79" w:rsidRPr="00285CBA">
        <w:rPr>
          <w:rFonts w:asciiTheme="minorHAnsi" w:hAnsiTheme="minorHAnsi" w:cstheme="minorHAnsi"/>
          <w:szCs w:val="24"/>
        </w:rPr>
        <w:t>une</w:t>
      </w:r>
      <w:r w:rsidRPr="00285CBA">
        <w:rPr>
          <w:rFonts w:asciiTheme="minorHAnsi" w:hAnsiTheme="minorHAnsi" w:cstheme="minorHAnsi"/>
          <w:szCs w:val="24"/>
        </w:rPr>
        <w:t xml:space="preserve"> </w:t>
      </w:r>
      <w:r w:rsidR="00A67B3D" w:rsidRPr="00285CBA">
        <w:rPr>
          <w:rFonts w:asciiTheme="minorHAnsi" w:hAnsiTheme="minorHAnsi" w:cstheme="minorHAnsi"/>
          <w:szCs w:val="24"/>
        </w:rPr>
        <w:t xml:space="preserve">ventilation des </w:t>
      </w:r>
      <w:r w:rsidRPr="00285CBA">
        <w:rPr>
          <w:rFonts w:asciiTheme="minorHAnsi" w:hAnsiTheme="minorHAnsi" w:cstheme="minorHAnsi"/>
          <w:szCs w:val="24"/>
        </w:rPr>
        <w:t xml:space="preserve">prévisions de </w:t>
      </w:r>
      <w:r w:rsidR="00A67B3D" w:rsidRPr="00285CBA">
        <w:rPr>
          <w:rFonts w:asciiTheme="minorHAnsi" w:hAnsiTheme="minorHAnsi" w:cstheme="minorHAnsi"/>
          <w:szCs w:val="24"/>
        </w:rPr>
        <w:t>produits par source.</w:t>
      </w:r>
    </w:p>
    <w:p w14:paraId="4F3A06A6" w14:textId="1D9884D0" w:rsidR="00E84B16" w:rsidRDefault="00E84B16" w:rsidP="00E84B16">
      <w:pPr>
        <w:spacing w:after="240"/>
        <w:jc w:val="center"/>
        <w:rPr>
          <w:rFonts w:asciiTheme="minorHAnsi" w:hAnsiTheme="minorHAnsi" w:cstheme="minorHAnsi"/>
          <w:szCs w:val="24"/>
        </w:rPr>
      </w:pPr>
      <w:r>
        <w:rPr>
          <w:rFonts w:asciiTheme="minorHAnsi" w:hAnsiTheme="minorHAnsi" w:cstheme="minorHAnsi"/>
          <w:szCs w:val="24"/>
        </w:rPr>
        <w:object w:dxaOrig="9145" w:dyaOrig="6574" w14:anchorId="7F2BF1D5">
          <v:shape id="_x0000_i1026" type="#_x0000_t75" style="width:457.2pt;height:328.8pt" o:ole="">
            <v:imagedata r:id="rId14" o:title=""/>
          </v:shape>
          <o:OLEObject Type="Embed" ProgID="Excel.Sheet.12" ShapeID="_x0000_i1026" DrawAspect="Content" ObjectID="_1724336959" r:id="rId15"/>
        </w:object>
      </w:r>
    </w:p>
    <w:p w14:paraId="731A409F" w14:textId="0ACA680C" w:rsidR="00225B80" w:rsidRDefault="00225B80" w:rsidP="0035054C">
      <w:pPr>
        <w:spacing w:before="360"/>
        <w:rPr>
          <w:rFonts w:asciiTheme="minorHAnsi" w:hAnsiTheme="minorHAnsi" w:cstheme="minorHAnsi"/>
          <w:szCs w:val="24"/>
        </w:rPr>
      </w:pPr>
      <w:r w:rsidRPr="00285CBA">
        <w:rPr>
          <w:rFonts w:asciiTheme="minorHAnsi" w:hAnsiTheme="minorHAnsi" w:cstheme="minorHAnsi"/>
          <w:szCs w:val="24"/>
        </w:rPr>
        <w:t>Le m</w:t>
      </w:r>
      <w:r w:rsidR="00961559" w:rsidRPr="00285CBA">
        <w:rPr>
          <w:rFonts w:asciiTheme="minorHAnsi" w:hAnsiTheme="minorHAnsi" w:cstheme="minorHAnsi"/>
          <w:szCs w:val="24"/>
        </w:rPr>
        <w:t xml:space="preserve">anque à gagner </w:t>
      </w:r>
      <w:r w:rsidR="00422B79" w:rsidRPr="00285CBA">
        <w:rPr>
          <w:rFonts w:asciiTheme="minorHAnsi" w:hAnsiTheme="minorHAnsi" w:cstheme="minorHAnsi"/>
          <w:szCs w:val="24"/>
        </w:rPr>
        <w:t>s</w:t>
      </w:r>
      <w:r w:rsidR="003642CD" w:rsidRPr="00285CBA">
        <w:rPr>
          <w:rFonts w:asciiTheme="minorHAnsi" w:hAnsiTheme="minorHAnsi" w:cstheme="minorHAnsi"/>
          <w:szCs w:val="24"/>
        </w:rPr>
        <w:t>'</w:t>
      </w:r>
      <w:r w:rsidR="00422B79" w:rsidRPr="00285CBA">
        <w:rPr>
          <w:rFonts w:asciiTheme="minorHAnsi" w:hAnsiTheme="minorHAnsi" w:cstheme="minorHAnsi"/>
          <w:szCs w:val="24"/>
        </w:rPr>
        <w:t xml:space="preserve">explique par le montant des </w:t>
      </w:r>
      <w:r w:rsidR="00961559" w:rsidRPr="00285CBA">
        <w:rPr>
          <w:rFonts w:asciiTheme="minorHAnsi" w:hAnsiTheme="minorHAnsi" w:cstheme="minorHAnsi"/>
          <w:szCs w:val="24"/>
        </w:rPr>
        <w:t xml:space="preserve">produits au titre du recouvrement des coûts, comme </w:t>
      </w:r>
      <w:r w:rsidR="00422B79" w:rsidRPr="00285CBA">
        <w:rPr>
          <w:rFonts w:asciiTheme="minorHAnsi" w:hAnsiTheme="minorHAnsi" w:cstheme="minorHAnsi"/>
          <w:szCs w:val="24"/>
        </w:rPr>
        <w:t xml:space="preserve">le montre le </w:t>
      </w:r>
      <w:r w:rsidR="00B175E1">
        <w:rPr>
          <w:rFonts w:asciiTheme="minorHAnsi" w:hAnsiTheme="minorHAnsi" w:cstheme="minorHAnsi"/>
          <w:szCs w:val="24"/>
        </w:rPr>
        <w:t>T</w:t>
      </w:r>
      <w:r w:rsidR="00961559" w:rsidRPr="00285CBA">
        <w:rPr>
          <w:rFonts w:asciiTheme="minorHAnsi" w:hAnsiTheme="minorHAnsi" w:cstheme="minorHAnsi"/>
          <w:szCs w:val="24"/>
        </w:rPr>
        <w:t>ableau 3 ci-dessous.</w:t>
      </w:r>
    </w:p>
    <w:p w14:paraId="12064A3C" w14:textId="32B5AF7B" w:rsidR="00E84B16" w:rsidRPr="00285CBA" w:rsidRDefault="00642A69" w:rsidP="003642CD">
      <w:pPr>
        <w:rPr>
          <w:rFonts w:asciiTheme="minorHAnsi" w:hAnsiTheme="minorHAnsi" w:cstheme="minorHAnsi"/>
          <w:szCs w:val="24"/>
        </w:rPr>
      </w:pPr>
      <w:r>
        <w:rPr>
          <w:rFonts w:asciiTheme="minorHAnsi" w:hAnsiTheme="minorHAnsi" w:cstheme="minorHAnsi"/>
          <w:szCs w:val="24"/>
        </w:rPr>
        <w:object w:dxaOrig="9285" w:dyaOrig="7260" w14:anchorId="29F8F83F">
          <v:shape id="_x0000_i1027" type="#_x0000_t75" style="width:464.4pt;height:363pt" o:ole="">
            <v:imagedata r:id="rId16" o:title=""/>
          </v:shape>
          <o:OLEObject Type="Embed" ProgID="Excel.Sheet.12" ShapeID="_x0000_i1027" DrawAspect="Content" ObjectID="_1724336960" r:id="rId17"/>
        </w:object>
      </w:r>
    </w:p>
    <w:p w14:paraId="6F9EDD74" w14:textId="5F9772EF" w:rsidR="003642CD" w:rsidRPr="00285CBA" w:rsidRDefault="003642CD" w:rsidP="003642CD">
      <w:pPr>
        <w:rPr>
          <w:rFonts w:asciiTheme="minorHAnsi" w:hAnsiTheme="minorHAnsi" w:cstheme="minorHAnsi"/>
          <w:szCs w:val="24"/>
        </w:rPr>
      </w:pPr>
      <w:bookmarkStart w:id="18" w:name="lt_pId046"/>
      <w:r w:rsidRPr="00285CBA">
        <w:rPr>
          <w:rFonts w:asciiTheme="minorHAnsi" w:hAnsiTheme="minorHAnsi" w:cstheme="minorHAnsi"/>
          <w:szCs w:val="24"/>
        </w:rPr>
        <w:t xml:space="preserve">Le </w:t>
      </w:r>
      <w:r w:rsidR="00E84B16">
        <w:rPr>
          <w:rFonts w:asciiTheme="minorHAnsi" w:hAnsiTheme="minorHAnsi" w:cstheme="minorHAnsi"/>
          <w:szCs w:val="24"/>
        </w:rPr>
        <w:t>T</w:t>
      </w:r>
      <w:r w:rsidRPr="00285CBA">
        <w:rPr>
          <w:rFonts w:asciiTheme="minorHAnsi" w:hAnsiTheme="minorHAnsi" w:cstheme="minorHAnsi"/>
          <w:szCs w:val="24"/>
        </w:rPr>
        <w:t>ableau 4 ci-après présente l'état comparé des produits au titre du recouvrement des coûts en fonction des montants inscrits dans le plan financier et le budget et des montants effectifs et des prévisions.</w:t>
      </w:r>
      <w:bookmarkEnd w:id="18"/>
      <w:r w:rsidRPr="00285CBA">
        <w:rPr>
          <w:rFonts w:asciiTheme="minorHAnsi" w:hAnsiTheme="minorHAnsi" w:cstheme="minorHAnsi"/>
          <w:szCs w:val="24"/>
        </w:rPr>
        <w:t xml:space="preserve"> </w:t>
      </w:r>
      <w:bookmarkStart w:id="19" w:name="lt_pId047"/>
      <w:r w:rsidRPr="00285CBA">
        <w:rPr>
          <w:rFonts w:asciiTheme="minorHAnsi" w:hAnsiTheme="minorHAnsi" w:cstheme="minorHAnsi"/>
          <w:szCs w:val="24"/>
        </w:rPr>
        <w:t>Il indique l'écart entre le montant inscrit au budget et les produits effectifs par domaine de recouvrement des coûts.</w:t>
      </w:r>
      <w:bookmarkEnd w:id="19"/>
      <w:r w:rsidRPr="00285CBA">
        <w:rPr>
          <w:rFonts w:asciiTheme="minorHAnsi" w:hAnsiTheme="minorHAnsi" w:cstheme="minorHAnsi"/>
          <w:szCs w:val="24"/>
        </w:rPr>
        <w:t xml:space="preserve"> </w:t>
      </w:r>
      <w:bookmarkStart w:id="20" w:name="lt_pId048"/>
      <w:r w:rsidRPr="00285CBA">
        <w:rPr>
          <w:rFonts w:asciiTheme="minorHAnsi" w:hAnsiTheme="minorHAnsi" w:cstheme="minorHAnsi"/>
          <w:szCs w:val="24"/>
        </w:rPr>
        <w:t>Les valeurs pour 2023 correspondent à la prévision linéaire déduite des chiffres de la période 2020-2022.</w:t>
      </w:r>
      <w:bookmarkEnd w:id="20"/>
    </w:p>
    <w:bookmarkStart w:id="21" w:name="_MON_1723288279"/>
    <w:bookmarkEnd w:id="21"/>
    <w:p w14:paraId="3CA2A041" w14:textId="659CACD9" w:rsidR="003642CD" w:rsidRPr="00285CBA" w:rsidRDefault="00301075" w:rsidP="003642CD">
      <w:pPr>
        <w:tabs>
          <w:tab w:val="clear" w:pos="2268"/>
          <w:tab w:val="clear" w:pos="2835"/>
        </w:tabs>
        <w:ind w:right="708"/>
        <w:jc w:val="center"/>
        <w:rPr>
          <w:rFonts w:asciiTheme="minorHAnsi" w:hAnsiTheme="minorHAnsi" w:cstheme="minorHAnsi"/>
          <w:szCs w:val="24"/>
        </w:rPr>
      </w:pPr>
      <w:r w:rsidRPr="00285CBA">
        <w:rPr>
          <w:rFonts w:asciiTheme="minorHAnsi" w:hAnsiTheme="minorHAnsi" w:cstheme="minorHAnsi"/>
          <w:szCs w:val="24"/>
        </w:rPr>
        <w:object w:dxaOrig="9510" w:dyaOrig="12375" w14:anchorId="5FC450A8">
          <v:shape id="_x0000_i1028" type="#_x0000_t75" style="width:461.4pt;height:600pt" o:ole="">
            <v:imagedata r:id="rId18" o:title=""/>
          </v:shape>
          <o:OLEObject Type="Embed" ProgID="Excel.Sheet.12" ShapeID="_x0000_i1028" DrawAspect="Content" ObjectID="_1724336961" r:id="rId19"/>
        </w:object>
      </w:r>
    </w:p>
    <w:p w14:paraId="1D12A67B" w14:textId="19B19D7C" w:rsidR="003642CD" w:rsidRPr="00285CBA" w:rsidRDefault="003642CD" w:rsidP="00642A69">
      <w:pPr>
        <w:spacing w:before="240"/>
        <w:rPr>
          <w:rFonts w:asciiTheme="minorHAnsi" w:hAnsiTheme="minorHAnsi" w:cstheme="minorHAnsi"/>
          <w:szCs w:val="24"/>
        </w:rPr>
      </w:pPr>
      <w:r w:rsidRPr="00285CBA">
        <w:rPr>
          <w:rFonts w:asciiTheme="minorHAnsi" w:hAnsiTheme="minorHAnsi" w:cstheme="minorHAnsi"/>
          <w:szCs w:val="24"/>
        </w:rPr>
        <w:t xml:space="preserve">Le </w:t>
      </w:r>
      <w:r w:rsidR="00642A69">
        <w:rPr>
          <w:rFonts w:asciiTheme="minorHAnsi" w:hAnsiTheme="minorHAnsi" w:cstheme="minorHAnsi"/>
          <w:szCs w:val="24"/>
        </w:rPr>
        <w:t>G</w:t>
      </w:r>
      <w:r w:rsidRPr="00285CBA">
        <w:rPr>
          <w:rFonts w:asciiTheme="minorHAnsi" w:hAnsiTheme="minorHAnsi" w:cstheme="minorHAnsi"/>
          <w:szCs w:val="24"/>
        </w:rPr>
        <w:t>raphique 1 ci-après donne une représentation graphique de l'état comparé des produits au titre du recouvrement des coûts en fonction des montants inscrits dans le plan financier et le budget et des montants effectifs et des prévisions</w:t>
      </w:r>
      <w:r w:rsidRPr="00285CBA" w:rsidDel="001C4E9A">
        <w:rPr>
          <w:rFonts w:asciiTheme="minorHAnsi" w:hAnsiTheme="minorHAnsi" w:cstheme="minorHAnsi"/>
          <w:szCs w:val="24"/>
        </w:rPr>
        <w:t xml:space="preserve"> </w:t>
      </w:r>
      <w:r w:rsidRPr="00285CBA">
        <w:rPr>
          <w:rFonts w:asciiTheme="minorHAnsi" w:hAnsiTheme="minorHAnsi" w:cstheme="minorHAnsi"/>
          <w:szCs w:val="24"/>
        </w:rPr>
        <w:t>(projection linéaire pour 2023) entre 2020 et</w:t>
      </w:r>
      <w:r w:rsidR="009E42AA" w:rsidRPr="00285CBA">
        <w:rPr>
          <w:rFonts w:asciiTheme="minorHAnsi" w:hAnsiTheme="minorHAnsi" w:cstheme="minorHAnsi"/>
          <w:szCs w:val="24"/>
        </w:rPr>
        <w:t> </w:t>
      </w:r>
      <w:r w:rsidRPr="00285CBA">
        <w:rPr>
          <w:rFonts w:asciiTheme="minorHAnsi" w:hAnsiTheme="minorHAnsi" w:cstheme="minorHAnsi"/>
          <w:szCs w:val="24"/>
        </w:rPr>
        <w:t>2023.</w:t>
      </w:r>
    </w:p>
    <w:p w14:paraId="6F898E21" w14:textId="435A99D1" w:rsidR="003642CD" w:rsidRPr="00285CBA" w:rsidRDefault="003642CD" w:rsidP="00DB4C54">
      <w:pPr>
        <w:pStyle w:val="Figuretitle"/>
        <w:spacing w:after="0"/>
      </w:pPr>
      <w:r w:rsidRPr="00285CBA">
        <w:lastRenderedPageBreak/>
        <w:t xml:space="preserve">Graphique 1 – Produits au titre du recouvrement des coûts pour </w:t>
      </w:r>
      <w:r w:rsidR="00C444D2" w:rsidRPr="00285CBA">
        <w:br/>
      </w:r>
      <w:r w:rsidRPr="00285CBA">
        <w:t>la période 2020</w:t>
      </w:r>
      <w:r w:rsidR="00C444D2" w:rsidRPr="00285CBA">
        <w:noBreakHyphen/>
      </w:r>
      <w:r w:rsidRPr="00285CBA">
        <w:t>2023</w:t>
      </w:r>
    </w:p>
    <w:p w14:paraId="0B1E72D7" w14:textId="05CBB082" w:rsidR="003642CD" w:rsidRPr="00285CBA" w:rsidRDefault="003642CD" w:rsidP="00DB4C54">
      <w:pPr>
        <w:pStyle w:val="Figuretitle"/>
        <w:spacing w:before="0" w:after="120"/>
      </w:pPr>
      <w:r w:rsidRPr="00285CBA">
        <w:rPr>
          <w:caps/>
        </w:rPr>
        <w:t>é</w:t>
      </w:r>
      <w:r w:rsidRPr="00285CBA">
        <w:t xml:space="preserve">tat comparé en fonction des montants inscrits dans le plan financier </w:t>
      </w:r>
      <w:r w:rsidR="00C444D2" w:rsidRPr="00285CBA">
        <w:br/>
      </w:r>
      <w:r w:rsidRPr="00285CBA">
        <w:t>et le budget et des montants effectifs et des prévisions</w:t>
      </w:r>
    </w:p>
    <w:tbl>
      <w:tblPr>
        <w:tblStyle w:val="TableGrid"/>
        <w:tblW w:w="0" w:type="auto"/>
        <w:jc w:val="center"/>
        <w:tblLayout w:type="fixed"/>
        <w:tblLook w:val="04A0" w:firstRow="1" w:lastRow="0" w:firstColumn="1" w:lastColumn="0" w:noHBand="0" w:noVBand="1"/>
      </w:tblPr>
      <w:tblGrid>
        <w:gridCol w:w="4814"/>
        <w:gridCol w:w="4815"/>
      </w:tblGrid>
      <w:tr w:rsidR="00C444D2" w:rsidRPr="00285CBA" w14:paraId="2526B68D" w14:textId="77777777" w:rsidTr="00C444D2">
        <w:trPr>
          <w:trHeight w:val="2827"/>
          <w:jc w:val="center"/>
        </w:trPr>
        <w:tc>
          <w:tcPr>
            <w:tcW w:w="4814" w:type="dxa"/>
            <w:tcBorders>
              <w:bottom w:val="single" w:sz="4" w:space="0" w:color="auto"/>
            </w:tcBorders>
            <w:shd w:val="clear" w:color="auto" w:fill="000000" w:themeFill="text1"/>
            <w:vAlign w:val="center"/>
          </w:tcPr>
          <w:p w14:paraId="2A28567B" w14:textId="5334D4E9" w:rsidR="003642CD" w:rsidRPr="00285CBA" w:rsidRDefault="00C444D2" w:rsidP="00C444D2">
            <w:pPr>
              <w:keepNext/>
              <w:keepLines/>
              <w:rPr>
                <w:rFonts w:asciiTheme="minorHAnsi" w:hAnsiTheme="minorHAnsi" w:cstheme="minorHAnsi"/>
                <w:szCs w:val="24"/>
              </w:rPr>
            </w:pPr>
            <w:r w:rsidRPr="00285CBA">
              <w:rPr>
                <w:rFonts w:asciiTheme="minorHAnsi" w:hAnsiTheme="minorHAnsi" w:cstheme="minorHAnsi"/>
                <w:noProof/>
                <w:szCs w:val="24"/>
              </w:rPr>
              <w:drawing>
                <wp:inline distT="0" distB="0" distL="0" distR="0" wp14:anchorId="0C6E71A9" wp14:editId="266BEC00">
                  <wp:extent cx="3004526" cy="170496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4526" cy="1704961"/>
                          </a:xfrm>
                          <a:prstGeom prst="rect">
                            <a:avLst/>
                          </a:prstGeom>
                          <a:noFill/>
                        </pic:spPr>
                      </pic:pic>
                    </a:graphicData>
                  </a:graphic>
                </wp:inline>
              </w:drawing>
            </w:r>
          </w:p>
        </w:tc>
        <w:tc>
          <w:tcPr>
            <w:tcW w:w="4815" w:type="dxa"/>
            <w:tcBorders>
              <w:bottom w:val="single" w:sz="4" w:space="0" w:color="auto"/>
            </w:tcBorders>
            <w:shd w:val="clear" w:color="auto" w:fill="000000" w:themeFill="text1"/>
            <w:vAlign w:val="center"/>
          </w:tcPr>
          <w:p w14:paraId="688A853F" w14:textId="75879E50" w:rsidR="003642CD" w:rsidRPr="00285CBA" w:rsidRDefault="00C444D2" w:rsidP="00C444D2">
            <w:pPr>
              <w:keepNext/>
              <w:keepLines/>
              <w:jc w:val="center"/>
              <w:rPr>
                <w:rFonts w:asciiTheme="minorHAnsi" w:hAnsiTheme="minorHAnsi" w:cstheme="minorHAnsi"/>
                <w:szCs w:val="24"/>
              </w:rPr>
            </w:pPr>
            <w:r w:rsidRPr="00285CBA">
              <w:rPr>
                <w:rFonts w:asciiTheme="minorHAnsi" w:hAnsiTheme="minorHAnsi" w:cstheme="minorHAnsi"/>
                <w:noProof/>
                <w:szCs w:val="24"/>
              </w:rPr>
              <w:drawing>
                <wp:inline distT="0" distB="0" distL="0" distR="0" wp14:anchorId="2566BF5B" wp14:editId="089D08F7">
                  <wp:extent cx="2784143" cy="1718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6332" cy="1744992"/>
                          </a:xfrm>
                          <a:prstGeom prst="rect">
                            <a:avLst/>
                          </a:prstGeom>
                          <a:noFill/>
                        </pic:spPr>
                      </pic:pic>
                    </a:graphicData>
                  </a:graphic>
                </wp:inline>
              </w:drawing>
            </w:r>
          </w:p>
        </w:tc>
      </w:tr>
      <w:tr w:rsidR="00C444D2" w:rsidRPr="00285CBA" w14:paraId="689DBED2" w14:textId="77777777" w:rsidTr="00C444D2">
        <w:trPr>
          <w:trHeight w:val="2827"/>
          <w:jc w:val="center"/>
        </w:trPr>
        <w:tc>
          <w:tcPr>
            <w:tcW w:w="4814" w:type="dxa"/>
            <w:shd w:val="clear" w:color="auto" w:fill="000000" w:themeFill="text1"/>
            <w:vAlign w:val="center"/>
          </w:tcPr>
          <w:p w14:paraId="593611F1" w14:textId="3B0AB028" w:rsidR="003642CD" w:rsidRPr="00285CBA" w:rsidRDefault="00C444D2" w:rsidP="00C444D2">
            <w:pPr>
              <w:jc w:val="center"/>
              <w:rPr>
                <w:rFonts w:asciiTheme="minorHAnsi" w:hAnsiTheme="minorHAnsi" w:cstheme="minorHAnsi"/>
                <w:szCs w:val="24"/>
              </w:rPr>
            </w:pPr>
            <w:r w:rsidRPr="00285CBA">
              <w:rPr>
                <w:rFonts w:asciiTheme="minorHAnsi" w:hAnsiTheme="minorHAnsi" w:cstheme="minorHAnsi"/>
                <w:noProof/>
                <w:szCs w:val="24"/>
              </w:rPr>
              <w:drawing>
                <wp:inline distT="0" distB="0" distL="0" distR="0" wp14:anchorId="770C2A2A" wp14:editId="1FB79DCF">
                  <wp:extent cx="2980440" cy="16167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1809" cy="1649999"/>
                          </a:xfrm>
                          <a:prstGeom prst="rect">
                            <a:avLst/>
                          </a:prstGeom>
                          <a:noFill/>
                        </pic:spPr>
                      </pic:pic>
                    </a:graphicData>
                  </a:graphic>
                </wp:inline>
              </w:drawing>
            </w:r>
          </w:p>
        </w:tc>
        <w:tc>
          <w:tcPr>
            <w:tcW w:w="4815" w:type="dxa"/>
            <w:shd w:val="clear" w:color="auto" w:fill="000000" w:themeFill="text1"/>
            <w:vAlign w:val="center"/>
          </w:tcPr>
          <w:p w14:paraId="0A5B38C6" w14:textId="25146325" w:rsidR="003642CD" w:rsidRPr="00285CBA" w:rsidRDefault="00C444D2" w:rsidP="003642CD">
            <w:pPr>
              <w:jc w:val="center"/>
              <w:rPr>
                <w:rFonts w:asciiTheme="minorHAnsi" w:hAnsiTheme="minorHAnsi" w:cstheme="minorHAnsi"/>
                <w:szCs w:val="24"/>
              </w:rPr>
            </w:pPr>
            <w:r w:rsidRPr="00285CBA">
              <w:rPr>
                <w:rFonts w:asciiTheme="minorHAnsi" w:hAnsiTheme="minorHAnsi" w:cstheme="minorHAnsi"/>
                <w:noProof/>
                <w:szCs w:val="24"/>
              </w:rPr>
              <w:drawing>
                <wp:inline distT="0" distB="0" distL="0" distR="0" wp14:anchorId="5C1397EA" wp14:editId="1573D466">
                  <wp:extent cx="2804350" cy="15892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5826" cy="1629765"/>
                          </a:xfrm>
                          <a:prstGeom prst="rect">
                            <a:avLst/>
                          </a:prstGeom>
                          <a:noFill/>
                        </pic:spPr>
                      </pic:pic>
                    </a:graphicData>
                  </a:graphic>
                </wp:inline>
              </w:drawing>
            </w:r>
          </w:p>
        </w:tc>
      </w:tr>
    </w:tbl>
    <w:p w14:paraId="6F152C35" w14:textId="24C41C9D" w:rsidR="003642CD" w:rsidRPr="00285CBA" w:rsidRDefault="003642CD" w:rsidP="003642CD">
      <w:pPr>
        <w:pStyle w:val="Heading1"/>
      </w:pPr>
      <w:r w:rsidRPr="00285CBA">
        <w:t>4</w:t>
      </w:r>
      <w:r w:rsidRPr="00285CBA">
        <w:tab/>
        <w:t>Taux de réalisation des produits anticipé pour 2022</w:t>
      </w:r>
    </w:p>
    <w:p w14:paraId="1A4DDFE6" w14:textId="55F6AA18" w:rsidR="003642CD" w:rsidRPr="00285CBA" w:rsidRDefault="003642CD" w:rsidP="003642CD">
      <w:pPr>
        <w:rPr>
          <w:rFonts w:asciiTheme="minorHAnsi" w:hAnsiTheme="minorHAnsi" w:cstheme="minorHAnsi"/>
          <w:color w:val="000000" w:themeColor="text1"/>
          <w:szCs w:val="24"/>
        </w:rPr>
      </w:pPr>
      <w:r w:rsidRPr="00285CBA">
        <w:rPr>
          <w:rFonts w:asciiTheme="minorHAnsi" w:hAnsiTheme="minorHAnsi" w:cstheme="minorHAnsi"/>
          <w:color w:val="000000" w:themeColor="text1"/>
          <w:szCs w:val="24"/>
        </w:rPr>
        <w:t>Dans tout budget, les montants inscrits du côté des charges sont garantis par les montants inscrits du côté des produits. Si les produits anticipés dans le budget ne se concrétisent pas totalement, les charges doivent être diminuées en conséquence.</w:t>
      </w:r>
    </w:p>
    <w:p w14:paraId="38932ABC" w14:textId="6C2E3F3B" w:rsidR="003642CD" w:rsidRPr="00285CBA" w:rsidRDefault="003642CD" w:rsidP="003642CD">
      <w:pPr>
        <w:rPr>
          <w:rFonts w:asciiTheme="minorHAnsi" w:hAnsiTheme="minorHAnsi" w:cstheme="minorHAnsi"/>
          <w:color w:val="000000" w:themeColor="text1"/>
          <w:szCs w:val="24"/>
        </w:rPr>
      </w:pPr>
      <w:r w:rsidRPr="00285CBA">
        <w:rPr>
          <w:rFonts w:asciiTheme="minorHAnsi" w:hAnsiTheme="minorHAnsi" w:cstheme="minorHAnsi"/>
          <w:color w:val="000000" w:themeColor="text1"/>
          <w:szCs w:val="24"/>
        </w:rPr>
        <w:t xml:space="preserve">Au 24 août 2022, le manque à gagner anticipé pour les produits s'établissait à </w:t>
      </w:r>
      <w:r w:rsidR="00C444D2" w:rsidRPr="00285CBA">
        <w:rPr>
          <w:rFonts w:asciiTheme="minorHAnsi" w:hAnsiTheme="minorHAnsi" w:cstheme="minorHAnsi"/>
          <w:color w:val="000000" w:themeColor="text1"/>
          <w:szCs w:val="24"/>
        </w:rPr>
        <w:t>–</w:t>
      </w:r>
      <w:r w:rsidRPr="00285CBA">
        <w:rPr>
          <w:rFonts w:asciiTheme="minorHAnsi" w:hAnsiTheme="minorHAnsi" w:cstheme="minorHAnsi"/>
          <w:color w:val="000000" w:themeColor="text1"/>
          <w:szCs w:val="24"/>
        </w:rPr>
        <w:t>6,845 millions CHF.</w:t>
      </w:r>
    </w:p>
    <w:p w14:paraId="00DB4046" w14:textId="1E1DE2C1" w:rsidR="003642CD" w:rsidRPr="00285CBA" w:rsidRDefault="003642CD" w:rsidP="003642CD">
      <w:pPr>
        <w:rPr>
          <w:rFonts w:asciiTheme="minorHAnsi" w:hAnsiTheme="minorHAnsi" w:cstheme="minorHAnsi"/>
          <w:color w:val="000000" w:themeColor="text1"/>
          <w:szCs w:val="24"/>
        </w:rPr>
      </w:pPr>
      <w:r w:rsidRPr="00285CBA">
        <w:rPr>
          <w:rFonts w:asciiTheme="minorHAnsi" w:hAnsiTheme="minorHAnsi" w:cstheme="minorHAnsi"/>
          <w:caps/>
          <w:color w:val="000000" w:themeColor="text1"/>
          <w:szCs w:val="24"/>
        </w:rPr>
        <w:t>à</w:t>
      </w:r>
      <w:r w:rsidRPr="00285CBA">
        <w:rPr>
          <w:rFonts w:asciiTheme="minorHAnsi" w:hAnsiTheme="minorHAnsi" w:cstheme="minorHAnsi"/>
          <w:color w:val="000000" w:themeColor="text1"/>
          <w:szCs w:val="24"/>
        </w:rPr>
        <w:t xml:space="preserve"> la même date, le taux de réalisation des produits anticipé pour 2022 s'établissait à 95,84%. Autrement dit, seules 95,84% des charges budgétisées peuvent être couvertes par les produits disponibles, étant donné que le résultat de l'exécution du budget doit rester positif.</w:t>
      </w:r>
    </w:p>
    <w:p w14:paraId="763D65F7" w14:textId="0AA81210" w:rsidR="003642CD" w:rsidRPr="00285CBA" w:rsidRDefault="003642CD" w:rsidP="003642CD">
      <w:pPr>
        <w:rPr>
          <w:rFonts w:asciiTheme="minorHAnsi" w:hAnsiTheme="minorHAnsi" w:cstheme="minorHAnsi"/>
          <w:color w:val="000000" w:themeColor="text1"/>
          <w:szCs w:val="24"/>
        </w:rPr>
      </w:pPr>
      <w:r w:rsidRPr="00285CBA">
        <w:rPr>
          <w:rFonts w:asciiTheme="minorHAnsi" w:hAnsiTheme="minorHAnsi" w:cstheme="minorHAnsi"/>
          <w:color w:val="000000" w:themeColor="text1"/>
          <w:szCs w:val="24"/>
        </w:rPr>
        <w:t>Les produits étant universels pour l'Union, le taux a été appliqué uniformément à l'ensemble de l'UIT. Le tableau 1</w:t>
      </w:r>
      <w:r w:rsidRPr="00285CBA">
        <w:rPr>
          <w:rFonts w:asciiTheme="minorHAnsi" w:hAnsiTheme="minorHAnsi" w:cstheme="minorHAnsi"/>
          <w:i/>
          <w:iCs/>
          <w:color w:val="000000" w:themeColor="text1"/>
          <w:szCs w:val="24"/>
        </w:rPr>
        <w:t>bis</w:t>
      </w:r>
      <w:r w:rsidRPr="00285CBA">
        <w:rPr>
          <w:rFonts w:asciiTheme="minorHAnsi" w:hAnsiTheme="minorHAnsi" w:cstheme="minorHAnsi"/>
          <w:color w:val="000000" w:themeColor="text1"/>
          <w:szCs w:val="24"/>
        </w:rPr>
        <w:t xml:space="preserve"> indique les limites/cibles par Secteur pour l'exécution du budget 2022 (colonne a) et les économies à réaliser jusqu'à fin 2022 (colonne c) pour ne pas dépasser les limites/cibles et rester dans les limites du budget.</w:t>
      </w:r>
    </w:p>
    <w:p w14:paraId="2C7D98D6" w14:textId="0FACC07B" w:rsidR="003642CD" w:rsidRPr="00285CBA" w:rsidRDefault="003642CD" w:rsidP="003642CD">
      <w:pPr>
        <w:tabs>
          <w:tab w:val="clear" w:pos="567"/>
          <w:tab w:val="clear" w:pos="1134"/>
          <w:tab w:val="clear" w:pos="1701"/>
          <w:tab w:val="clear" w:pos="2268"/>
          <w:tab w:val="clear" w:pos="2835"/>
        </w:tabs>
        <w:overflowPunct/>
        <w:autoSpaceDE/>
        <w:autoSpaceDN/>
        <w:adjustRightInd/>
        <w:snapToGrid w:val="0"/>
        <w:spacing w:after="240"/>
        <w:textAlignment w:val="auto"/>
        <w:rPr>
          <w:rFonts w:asciiTheme="minorHAnsi" w:hAnsiTheme="minorHAnsi" w:cstheme="minorHAnsi"/>
          <w:szCs w:val="24"/>
        </w:rPr>
      </w:pPr>
      <w:r w:rsidRPr="00285CBA">
        <w:rPr>
          <w:rFonts w:asciiTheme="minorHAnsi" w:hAnsiTheme="minorHAnsi" w:cstheme="minorHAnsi"/>
          <w:color w:val="000000" w:themeColor="text1"/>
          <w:szCs w:val="24"/>
        </w:rPr>
        <w:t>Pour éviter cette façon arbitraire de procéder (imposition de réductions budgétaires proportionnelles à tous les niveaux), des économies seront repérées en fonction des ressources nécessaires pour exécuter les activités de base et obligatoires qui sont nécessaires pour permettre à l'UIT de s'acquitter de sa mission et d'aider ses membres. Les autres activités seront classées selon leur rang de priorité pour les membres et des ressources y seront affectées quand et si disponibles.</w:t>
      </w:r>
    </w:p>
    <w:bookmarkStart w:id="22" w:name="_MON_1723289190"/>
    <w:bookmarkEnd w:id="22"/>
    <w:p w14:paraId="695D2288" w14:textId="621293EF" w:rsidR="003642CD" w:rsidRPr="00285CBA" w:rsidRDefault="00980D9A" w:rsidP="003642C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Cs w:val="24"/>
        </w:rPr>
      </w:pPr>
      <w:r w:rsidRPr="00285CBA">
        <w:rPr>
          <w:rFonts w:asciiTheme="minorHAnsi" w:hAnsiTheme="minorHAnsi" w:cstheme="minorHAnsi"/>
          <w:szCs w:val="24"/>
        </w:rPr>
        <w:object w:dxaOrig="11382" w:dyaOrig="5373" w14:anchorId="095727CF">
          <v:shape id="_x0000_i1029" type="#_x0000_t75" style="width:7in;height:237pt" o:ole="">
            <v:imagedata r:id="rId24" o:title=""/>
          </v:shape>
          <o:OLEObject Type="Embed" ProgID="Excel.Sheet.12" ShapeID="_x0000_i1029" DrawAspect="Content" ObjectID="_1724336962" r:id="rId25"/>
        </w:object>
      </w:r>
    </w:p>
    <w:p w14:paraId="5BDAFDC6" w14:textId="12F6AACB" w:rsidR="003642CD" w:rsidRPr="00285CBA" w:rsidRDefault="003642CD" w:rsidP="003642CD">
      <w:pPr>
        <w:pStyle w:val="Heading1"/>
      </w:pPr>
      <w:r w:rsidRPr="00285CBA">
        <w:t>5</w:t>
      </w:r>
      <w:r w:rsidRPr="00285CBA">
        <w:tab/>
        <w:t>Mesures possibles dans l'immédiat pour équilibrer l'exécution du budget</w:t>
      </w:r>
    </w:p>
    <w:p w14:paraId="7B4673DC" w14:textId="6119412D" w:rsidR="003642CD" w:rsidRPr="00285CBA" w:rsidRDefault="003642CD" w:rsidP="003642CD">
      <w:pPr>
        <w:rPr>
          <w:rFonts w:asciiTheme="minorHAnsi" w:hAnsiTheme="minorHAnsi" w:cstheme="minorHAnsi"/>
          <w:color w:val="000000" w:themeColor="text1"/>
          <w:szCs w:val="24"/>
        </w:rPr>
      </w:pPr>
      <w:r w:rsidRPr="00285CBA">
        <w:rPr>
          <w:rFonts w:asciiTheme="minorHAnsi" w:hAnsiTheme="minorHAnsi" w:cstheme="minorHAnsi"/>
          <w:color w:val="000000" w:themeColor="text1"/>
          <w:szCs w:val="24"/>
        </w:rPr>
        <w:t>Pour éviter de parvenir un résultat négatif (déficit) pour l'exécution du budget 2022, les mesures d'efficacité suivantes seront notamment appliquées pour réduire les charges:</w:t>
      </w:r>
    </w:p>
    <w:p w14:paraId="58D7C471" w14:textId="2FF5C2E4" w:rsidR="003642CD" w:rsidRPr="00285CBA" w:rsidRDefault="003642CD" w:rsidP="003642CD">
      <w:pPr>
        <w:pStyle w:val="enumlev1"/>
      </w:pPr>
      <w:r w:rsidRPr="00285CBA">
        <w:t>•</w:t>
      </w:r>
      <w:r w:rsidRPr="00285CBA">
        <w:tab/>
        <w:t>pour le reste de l'année, autoriser seulement les recrutements externes (pour les contrats de durée déterminée, les contrats de courte durée et les SSA) jugés indispensables à la continuité des activités de l'Union, selon l'estimation qui aura été faite à cet égard par le Secrétaire général en consultation avec le fonctionnaire élu compétent;</w:t>
      </w:r>
    </w:p>
    <w:p w14:paraId="68981743" w14:textId="4A81091F" w:rsidR="003642CD" w:rsidRPr="00285CBA" w:rsidRDefault="003642CD" w:rsidP="003642CD">
      <w:pPr>
        <w:pStyle w:val="enumlev1"/>
      </w:pPr>
      <w:r w:rsidRPr="00285CBA">
        <w:t>•</w:t>
      </w:r>
      <w:r w:rsidRPr="00285CBA">
        <w:tab/>
        <w:t xml:space="preserve">dans la mesure du possible, </w:t>
      </w:r>
      <w:r w:rsidRPr="00285CBA">
        <w:rPr>
          <w:color w:val="000000" w:themeColor="text1"/>
        </w:rPr>
        <w:t>tous les Bureaux et Départements du Secrétariat général appliqueront le taux d'emplois vacants de 5%;</w:t>
      </w:r>
    </w:p>
    <w:p w14:paraId="2DC15AFB" w14:textId="20866E2A" w:rsidR="003642CD" w:rsidRPr="00285CBA" w:rsidRDefault="003642CD" w:rsidP="003642CD">
      <w:pPr>
        <w:pStyle w:val="enumlev1"/>
      </w:pPr>
      <w:r w:rsidRPr="00285CBA">
        <w:t>•</w:t>
      </w:r>
      <w:r w:rsidRPr="00285CBA">
        <w:tab/>
        <w:t>dans la mesure du possible et sauf si des frais d'annulation devaient s'appliquer, assurer les services d'interprétation uniquement sur demande pour les manifestations telles que les réunions de commissions d'études, les ateliers, les séminaires, les réunions de groupes consultatifs, etc.;</w:t>
      </w:r>
    </w:p>
    <w:p w14:paraId="6DCC0967" w14:textId="77777777" w:rsidR="003642CD" w:rsidRPr="00285CBA" w:rsidRDefault="003642CD" w:rsidP="003642CD">
      <w:pPr>
        <w:pStyle w:val="enumlev1"/>
      </w:pPr>
      <w:r w:rsidRPr="00285CBA">
        <w:t>•</w:t>
      </w:r>
      <w:r w:rsidRPr="00285CBA">
        <w:tab/>
        <w:t>réduire le nombre de missions;</w:t>
      </w:r>
    </w:p>
    <w:p w14:paraId="4791936D" w14:textId="77777777" w:rsidR="003642CD" w:rsidRPr="00285CBA" w:rsidRDefault="003642CD" w:rsidP="003642CD">
      <w:pPr>
        <w:pStyle w:val="enumlev1"/>
      </w:pPr>
      <w:r w:rsidRPr="00285CBA">
        <w:t>•</w:t>
      </w:r>
      <w:r w:rsidRPr="00285CBA">
        <w:tab/>
        <w:t>limiter les nouveaux services SSA et contractuels au titre du budget ordinaire;</w:t>
      </w:r>
    </w:p>
    <w:p w14:paraId="36D1A2BA" w14:textId="21935349" w:rsidR="003642CD" w:rsidRPr="00285CBA" w:rsidRDefault="003642CD" w:rsidP="003642CD">
      <w:pPr>
        <w:pStyle w:val="enumlev1"/>
      </w:pPr>
      <w:r w:rsidRPr="00285CBA">
        <w:t>•</w:t>
      </w:r>
      <w:r w:rsidRPr="00285CBA">
        <w:tab/>
        <w:t>les contrats SSA relevant du budget ordinaire ne seront pas renouvelés sans qu'une justification soit présentée au Secrétaire général;</w:t>
      </w:r>
    </w:p>
    <w:p w14:paraId="235C8327" w14:textId="10727FC2" w:rsidR="003642CD" w:rsidRPr="00285CBA" w:rsidRDefault="003642CD" w:rsidP="003642CD">
      <w:pPr>
        <w:pStyle w:val="enumlev1"/>
      </w:pPr>
      <w:r w:rsidRPr="00285CBA">
        <w:t>•</w:t>
      </w:r>
      <w:r w:rsidRPr="00285CBA">
        <w:tab/>
        <w:t>il ne sera pas engagé de charges non obligatoires (manifestations parallèles, etc.) au titre du budget ordinaire;</w:t>
      </w:r>
    </w:p>
    <w:p w14:paraId="2F2030E2" w14:textId="681AF76B" w:rsidR="003642CD" w:rsidRPr="00285CBA" w:rsidRDefault="003642CD" w:rsidP="003642CD">
      <w:pPr>
        <w:pStyle w:val="enumlev1"/>
      </w:pPr>
      <w:r w:rsidRPr="00285CBA">
        <w:t>•</w:t>
      </w:r>
      <w:r w:rsidRPr="00285CBA">
        <w:tab/>
        <w:t>reporter ou annuler les services de conseil inscrits au budget ordinaire pour les activités non obligatoires;</w:t>
      </w:r>
    </w:p>
    <w:p w14:paraId="01000D0C" w14:textId="3095F44D" w:rsidR="003642CD" w:rsidRPr="00285CBA" w:rsidRDefault="003642CD" w:rsidP="003642CD">
      <w:pPr>
        <w:pStyle w:val="enumlev1"/>
      </w:pPr>
      <w:r w:rsidRPr="00285CBA">
        <w:t>•</w:t>
      </w:r>
      <w:r w:rsidRPr="00285CBA">
        <w:tab/>
        <w:t>reporter ou annuler les activités de formation non obligatoires inscrites au budget ordinaire;</w:t>
      </w:r>
    </w:p>
    <w:p w14:paraId="7A0128A6" w14:textId="0421FC7A" w:rsidR="003642CD" w:rsidRPr="00285CBA" w:rsidRDefault="003642CD" w:rsidP="003642CD">
      <w:pPr>
        <w:pStyle w:val="enumlev1"/>
      </w:pPr>
      <w:r w:rsidRPr="00285CBA">
        <w:t>•</w:t>
      </w:r>
      <w:r w:rsidRPr="00285CBA">
        <w:tab/>
        <w:t>dans la mesure du possible, geler l'octroi de bourses pour la participation à des manifestations et des activités financées sur le budget ordinaire;</w:t>
      </w:r>
    </w:p>
    <w:p w14:paraId="1981575A" w14:textId="2112AB94" w:rsidR="003642CD" w:rsidRPr="00285CBA" w:rsidRDefault="003642CD" w:rsidP="003642CD">
      <w:pPr>
        <w:pStyle w:val="enumlev1"/>
      </w:pPr>
      <w:r w:rsidRPr="00285CBA">
        <w:t>•</w:t>
      </w:r>
      <w:r w:rsidRPr="00285CBA">
        <w:tab/>
        <w:t>pas de dépenses non essentielles;</w:t>
      </w:r>
    </w:p>
    <w:p w14:paraId="1200DE0E" w14:textId="7C2D0F08" w:rsidR="003642CD" w:rsidRPr="00285CBA" w:rsidRDefault="003642CD" w:rsidP="003642CD">
      <w:pPr>
        <w:pStyle w:val="enumlev1"/>
        <w:rPr>
          <w:color w:val="000000" w:themeColor="text1"/>
        </w:rPr>
      </w:pPr>
      <w:r w:rsidRPr="00285CBA">
        <w:lastRenderedPageBreak/>
        <w:t>•</w:t>
      </w:r>
      <w:r w:rsidRPr="00285CBA">
        <w:tab/>
        <w:t>réduire les frais de voyage en modifiant les "Conditions régissant les voyages officiels" pour accroître le recours aux vols en classe économique, en particulier pour les manifestations qui demandent une large participation de fonctionnaires de l'UIT.</w:t>
      </w:r>
    </w:p>
    <w:p w14:paraId="46538811" w14:textId="77777777" w:rsidR="003642CD" w:rsidRPr="00285CBA" w:rsidRDefault="003642CD" w:rsidP="003642CD">
      <w:pPr>
        <w:pStyle w:val="Heading1"/>
      </w:pPr>
      <w:r w:rsidRPr="00285CBA">
        <w:t>6</w:t>
      </w:r>
      <w:r w:rsidRPr="00285CBA">
        <w:tab/>
        <w:t>Prochaines étapes</w:t>
      </w:r>
    </w:p>
    <w:p w14:paraId="0D97CADF" w14:textId="39DD1395" w:rsidR="003642CD" w:rsidRPr="00285CBA" w:rsidRDefault="003642CD" w:rsidP="003642CD">
      <w:pPr>
        <w:rPr>
          <w:rFonts w:asciiTheme="minorHAnsi" w:hAnsiTheme="minorHAnsi" w:cstheme="minorHAnsi"/>
          <w:szCs w:val="24"/>
        </w:rPr>
      </w:pPr>
      <w:r w:rsidRPr="00285CBA">
        <w:rPr>
          <w:rFonts w:asciiTheme="minorHAnsi" w:hAnsiTheme="minorHAnsi" w:cstheme="minorHAnsi"/>
          <w:szCs w:val="24"/>
        </w:rPr>
        <w:t>L'exécution du budget 2023 et celle des budgets ultérieurs sera difficile à équilibrer. L'Union devra procéder à un examen approfondi de ses activités et de ses méthodes de travail et les optimiser, tout en dégageant des produits plus importants, pour surmonter cette difficulté.</w:t>
      </w:r>
    </w:p>
    <w:p w14:paraId="134E868F" w14:textId="1FA3B3C0" w:rsidR="003642CD" w:rsidRPr="00285CBA" w:rsidRDefault="003642CD" w:rsidP="003642CD">
      <w:pPr>
        <w:rPr>
          <w:rFonts w:asciiTheme="minorHAnsi" w:hAnsiTheme="minorHAnsi" w:cstheme="minorHAnsi"/>
          <w:szCs w:val="24"/>
        </w:rPr>
      </w:pPr>
      <w:r w:rsidRPr="00285CBA">
        <w:rPr>
          <w:rFonts w:asciiTheme="minorHAnsi" w:hAnsiTheme="minorHAnsi" w:cstheme="minorHAnsi"/>
          <w:szCs w:val="24"/>
        </w:rPr>
        <w:t xml:space="preserve">Certaines mesures d'efficacité décrites à l'Annexe 2 de la Décision 5 (Rév. Dubaï, 2018) ne sont pas encore pleinement appliquées, notamment la mesure </w:t>
      </w:r>
      <w:r w:rsidR="00980D9A" w:rsidRPr="00285CBA">
        <w:rPr>
          <w:rFonts w:asciiTheme="minorHAnsi" w:hAnsiTheme="minorHAnsi" w:cstheme="minorHAnsi"/>
          <w:szCs w:val="24"/>
        </w:rPr>
        <w:t>N</w:t>
      </w:r>
      <w:r w:rsidRPr="00285CBA">
        <w:rPr>
          <w:rFonts w:asciiTheme="minorHAnsi" w:hAnsiTheme="minorHAnsi" w:cstheme="minorHAnsi"/>
          <w:szCs w:val="24"/>
        </w:rPr>
        <w:t>°1 relative au chevauchement et à la recentralisation de certaines activités. Par exemple, la recentralisation des contrôleurs financiers au sein du Département de la gestion des ressources financières a permis d'économiser trois postes, soit l'équivalent de 3 millions CHF environ, pour le prochain plan financier.</w:t>
      </w:r>
    </w:p>
    <w:p w14:paraId="468CE29B" w14:textId="5F584531" w:rsidR="003642CD" w:rsidRPr="00285CBA" w:rsidRDefault="003642CD" w:rsidP="003642C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rPr>
      </w:pPr>
      <w:r w:rsidRPr="00285CBA">
        <w:t>La</w:t>
      </w:r>
      <w:r w:rsidRPr="00285CBA">
        <w:rPr>
          <w:rFonts w:asciiTheme="minorHAnsi" w:hAnsiTheme="minorHAnsi" w:cstheme="minorHAnsi"/>
          <w:szCs w:val="24"/>
        </w:rPr>
        <w:t xml:space="preserve"> période de la pandémie de COVID-19 a aussi apporté à l'UIT beaucoup d'enseignements utiles pour la suite de l'application des mesures d'efficacité visées à l'Annexe 2 de la Décision 5. Ainsi, bien que les réunions virtuelles et hybrides permettent d'économiser aux membres des frais de voyage et d'hébergement, elles ont fait augmenter les dépenses d'appui du secrétariat (entre autres </w:t>
      </w:r>
      <w:r w:rsidRPr="00285CBA">
        <w:rPr>
          <w:rFonts w:asciiTheme="minorHAnsi" w:hAnsiTheme="minorHAnsi" w:cstheme="minorHAnsi"/>
          <w:color w:val="000000"/>
          <w:szCs w:val="24"/>
        </w:rPr>
        <w:t>pour le recrutement de modérateurs, la sécurité, le contrôle de l'accès et les équipements spéciaux à l'entrée des salles de réunion).</w:t>
      </w:r>
    </w:p>
    <w:p w14:paraId="25DE392A" w14:textId="20ED952B" w:rsidR="003642CD" w:rsidRPr="00285CBA" w:rsidRDefault="003642CD" w:rsidP="003642CD">
      <w:pPr>
        <w:rPr>
          <w:szCs w:val="24"/>
          <w:lang w:eastAsia="fr-FR"/>
        </w:rPr>
      </w:pPr>
      <w:r w:rsidRPr="00285CBA">
        <w:rPr>
          <w:rStyle w:val="bumpedfont15"/>
          <w:szCs w:val="24"/>
        </w:rPr>
        <w:t>Le secrétariat présentera à la PP-22 un rapport sur la suite donnée à l'Annexe 2 de la Décision 5, y compris des suggestions de mesures complémentaires, dont celle de faire appel à des vérificateurs extérieurs des comptes pour analyser les faits nouveaux dans le domaine informatique et l'utilisation des ressources à l'UIT, notamment l'élaboration de logiciels en interne, la mise en œuvre de la transformation numérique des activités et des procédures, et la recherche de possibilités de réduire les frais généraux en externalisant les services d'appui assurés en interne qui sont offerts sur le marché.</w:t>
      </w:r>
    </w:p>
    <w:p w14:paraId="5943C677" w14:textId="06093DE7" w:rsidR="003642CD" w:rsidRPr="00285CBA" w:rsidRDefault="003642CD" w:rsidP="003642CD">
      <w:pPr>
        <w:rPr>
          <w:rFonts w:asciiTheme="minorHAnsi" w:hAnsiTheme="minorHAnsi" w:cstheme="minorHAnsi"/>
          <w:szCs w:val="24"/>
        </w:rPr>
      </w:pPr>
      <w:r w:rsidRPr="00285CBA">
        <w:rPr>
          <w:rFonts w:asciiTheme="minorHAnsi" w:hAnsiTheme="minorHAnsi" w:cstheme="minorHAnsi"/>
          <w:szCs w:val="24"/>
        </w:rPr>
        <w:t>Une évaluation rigoureuse sera nécessaire pour mettre en évidence les mesures d'efficacité futures devant permettre d'abaisser les frais généraux et de réserver davantage de ressources à l'accomplissement de la mission de l'UIT et à l'aide de ses membres.</w:t>
      </w:r>
    </w:p>
    <w:p w14:paraId="1821A4A4" w14:textId="318973A3" w:rsidR="003642CD" w:rsidRPr="00285CBA" w:rsidRDefault="003642CD" w:rsidP="003642CD">
      <w:pPr>
        <w:rPr>
          <w:rFonts w:asciiTheme="minorHAnsi" w:hAnsiTheme="minorHAnsi" w:cstheme="minorHAnsi"/>
          <w:szCs w:val="24"/>
        </w:rPr>
      </w:pPr>
      <w:r w:rsidRPr="00285CBA">
        <w:rPr>
          <w:rFonts w:asciiTheme="minorHAnsi" w:hAnsiTheme="minorHAnsi" w:cstheme="minorHAnsi"/>
          <w:szCs w:val="24"/>
        </w:rPr>
        <w:t>Parallèlement, les États Membres de l'UIT sont invités à étudier la possibilité d'augmenter leurs unités contributives. Une quantité globale de 50 unités supplémentaires permettrait à l'Union de s'acquitter de sa mission avec succès. Des contributions volontaires seraient bienvenues pour remédier à l'insuffisance budgétaire.</w:t>
      </w:r>
    </w:p>
    <w:p w14:paraId="5DB5E026" w14:textId="77777777" w:rsidR="003642CD" w:rsidRPr="00285CBA" w:rsidRDefault="003642CD" w:rsidP="003642CD">
      <w:pPr>
        <w:pStyle w:val="Reasons"/>
      </w:pPr>
    </w:p>
    <w:p w14:paraId="6CDDFDC9" w14:textId="2EA042C7" w:rsidR="001C21D8" w:rsidRPr="00285CBA" w:rsidRDefault="003642CD" w:rsidP="00980D9A">
      <w:pPr>
        <w:jc w:val="center"/>
        <w:rPr>
          <w:rFonts w:asciiTheme="minorHAnsi" w:hAnsiTheme="minorHAnsi" w:cstheme="minorHAnsi"/>
          <w:szCs w:val="24"/>
        </w:rPr>
      </w:pPr>
      <w:r w:rsidRPr="00285CBA">
        <w:t>______________</w:t>
      </w:r>
    </w:p>
    <w:sectPr w:rsidR="001C21D8" w:rsidRPr="00285CBA"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4F88" w14:textId="77777777" w:rsidR="0009225F" w:rsidRDefault="0009225F">
      <w:r>
        <w:separator/>
      </w:r>
    </w:p>
  </w:endnote>
  <w:endnote w:type="continuationSeparator" w:id="0">
    <w:p w14:paraId="396ADBCB" w14:textId="77777777" w:rsidR="0009225F" w:rsidRDefault="0009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F96D" w14:textId="0875BAB3" w:rsidR="00732045" w:rsidRDefault="00301075">
    <w:pPr>
      <w:pStyle w:val="Footer"/>
    </w:pPr>
    <w:fldSimple w:instr=" FILENAME \p \* MERGEFORMAT ">
      <w:r>
        <w:t>P:\FRA\SG\CONSEIL\C22\100\102F.docx</w:t>
      </w:r>
    </w:fldSimple>
    <w:r w:rsidR="00732045">
      <w:tab/>
    </w:r>
    <w:r w:rsidR="002F1B76">
      <w:fldChar w:fldCharType="begin"/>
    </w:r>
    <w:r w:rsidR="00732045">
      <w:instrText xml:space="preserve"> savedate \@ dd.MM.yy </w:instrText>
    </w:r>
    <w:r w:rsidR="002F1B76">
      <w:fldChar w:fldCharType="separate"/>
    </w:r>
    <w:r w:rsidR="0012144E">
      <w:t>07.09.22</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1EBA" w14:textId="0886BB77" w:rsidR="00732045" w:rsidRDefault="00301075" w:rsidP="00141BBB">
    <w:pPr>
      <w:pStyle w:val="Footer"/>
    </w:pPr>
    <w:r w:rsidRPr="0012144E">
      <w:rPr>
        <w:color w:val="F2F2F2" w:themeColor="background1" w:themeShade="F2"/>
      </w:rPr>
      <w:fldChar w:fldCharType="begin"/>
    </w:r>
    <w:r w:rsidRPr="0012144E">
      <w:rPr>
        <w:color w:val="F2F2F2" w:themeColor="background1" w:themeShade="F2"/>
      </w:rPr>
      <w:instrText xml:space="preserve"> FILENAME \p  \* MERGEFORMAT </w:instrText>
    </w:r>
    <w:r w:rsidRPr="0012144E">
      <w:rPr>
        <w:color w:val="F2F2F2" w:themeColor="background1" w:themeShade="F2"/>
      </w:rPr>
      <w:fldChar w:fldCharType="separate"/>
    </w:r>
    <w:r w:rsidRPr="0012144E">
      <w:rPr>
        <w:color w:val="F2F2F2" w:themeColor="background1" w:themeShade="F2"/>
      </w:rPr>
      <w:t>P:\FRA\SG\CONSEIL\C22\100\102F.docx</w:t>
    </w:r>
    <w:r w:rsidRPr="0012144E">
      <w:rPr>
        <w:color w:val="F2F2F2" w:themeColor="background1" w:themeShade="F2"/>
      </w:rPr>
      <w:fldChar w:fldCharType="end"/>
    </w:r>
    <w:r w:rsidR="00141BBB" w:rsidRPr="0012144E">
      <w:rPr>
        <w:color w:val="F2F2F2" w:themeColor="background1" w:themeShade="F2"/>
      </w:rPr>
      <w:t xml:space="preserve"> (510897)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B1A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A634" w14:textId="77777777" w:rsidR="0009225F" w:rsidRDefault="0009225F">
      <w:r>
        <w:t>____________________</w:t>
      </w:r>
    </w:p>
  </w:footnote>
  <w:footnote w:type="continuationSeparator" w:id="0">
    <w:p w14:paraId="5046B772" w14:textId="77777777" w:rsidR="0009225F" w:rsidRDefault="0009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45C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5720E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B889" w14:textId="74DEDC6C" w:rsidR="00732045" w:rsidRDefault="00C27A7C" w:rsidP="00475FB3">
    <w:pPr>
      <w:pStyle w:val="Header"/>
    </w:pPr>
    <w:r>
      <w:fldChar w:fldCharType="begin"/>
    </w:r>
    <w:r>
      <w:instrText>PAGE</w:instrText>
    </w:r>
    <w:r>
      <w:fldChar w:fldCharType="separate"/>
    </w:r>
    <w:r w:rsidR="00DC31B3">
      <w:rPr>
        <w:noProof/>
      </w:rPr>
      <w:t>6</w:t>
    </w:r>
    <w:r>
      <w:rPr>
        <w:noProof/>
      </w:rPr>
      <w:fldChar w:fldCharType="end"/>
    </w:r>
  </w:p>
  <w:p w14:paraId="27234680" w14:textId="77777777" w:rsidR="00732045" w:rsidRDefault="00732045" w:rsidP="00106B19">
    <w:pPr>
      <w:pStyle w:val="Header"/>
    </w:pPr>
    <w:r>
      <w:t>C</w:t>
    </w:r>
    <w:r w:rsidR="009C353C">
      <w:t>2</w:t>
    </w:r>
    <w:r w:rsidR="0083391C">
      <w:t>2</w:t>
    </w:r>
    <w:r w:rsidR="00141BBB">
      <w:t>/102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E678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3AF2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3EC9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8C3F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469E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08D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D6F4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4D7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0D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7A2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246A97"/>
    <w:multiLevelType w:val="hybridMultilevel"/>
    <w:tmpl w:val="EA8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224236">
    <w:abstractNumId w:val="10"/>
  </w:num>
  <w:num w:numId="2" w16cid:durableId="142157734">
    <w:abstractNumId w:val="9"/>
  </w:num>
  <w:num w:numId="3" w16cid:durableId="249510760">
    <w:abstractNumId w:val="7"/>
  </w:num>
  <w:num w:numId="4" w16cid:durableId="899244210">
    <w:abstractNumId w:val="6"/>
  </w:num>
  <w:num w:numId="5" w16cid:durableId="88939374">
    <w:abstractNumId w:val="5"/>
  </w:num>
  <w:num w:numId="6" w16cid:durableId="907419687">
    <w:abstractNumId w:val="4"/>
  </w:num>
  <w:num w:numId="7" w16cid:durableId="646784197">
    <w:abstractNumId w:val="8"/>
  </w:num>
  <w:num w:numId="8" w16cid:durableId="1968463683">
    <w:abstractNumId w:val="3"/>
  </w:num>
  <w:num w:numId="9" w16cid:durableId="1369528152">
    <w:abstractNumId w:val="2"/>
  </w:num>
  <w:num w:numId="10" w16cid:durableId="1433668058">
    <w:abstractNumId w:val="1"/>
  </w:num>
  <w:num w:numId="11" w16cid:durableId="33797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5F"/>
    <w:rsid w:val="00027ECE"/>
    <w:rsid w:val="00034409"/>
    <w:rsid w:val="00036F72"/>
    <w:rsid w:val="000409B6"/>
    <w:rsid w:val="00047638"/>
    <w:rsid w:val="0009225F"/>
    <w:rsid w:val="0009370F"/>
    <w:rsid w:val="000968DE"/>
    <w:rsid w:val="00097B01"/>
    <w:rsid w:val="000A316C"/>
    <w:rsid w:val="000D0D0A"/>
    <w:rsid w:val="000D44BE"/>
    <w:rsid w:val="00103163"/>
    <w:rsid w:val="00106B19"/>
    <w:rsid w:val="00106FF7"/>
    <w:rsid w:val="00110C11"/>
    <w:rsid w:val="00115D93"/>
    <w:rsid w:val="0012144E"/>
    <w:rsid w:val="0012302C"/>
    <w:rsid w:val="001247A8"/>
    <w:rsid w:val="00136D1B"/>
    <w:rsid w:val="001378C0"/>
    <w:rsid w:val="00141BBB"/>
    <w:rsid w:val="001852E0"/>
    <w:rsid w:val="0018694A"/>
    <w:rsid w:val="001A3287"/>
    <w:rsid w:val="001A6508"/>
    <w:rsid w:val="001C0316"/>
    <w:rsid w:val="001C21D8"/>
    <w:rsid w:val="001D4C31"/>
    <w:rsid w:val="001E4D21"/>
    <w:rsid w:val="00205B81"/>
    <w:rsid w:val="00207CD1"/>
    <w:rsid w:val="00212EB0"/>
    <w:rsid w:val="00213716"/>
    <w:rsid w:val="00225B80"/>
    <w:rsid w:val="00232418"/>
    <w:rsid w:val="00233378"/>
    <w:rsid w:val="00233532"/>
    <w:rsid w:val="002477A2"/>
    <w:rsid w:val="002540B8"/>
    <w:rsid w:val="00262DF5"/>
    <w:rsid w:val="00263A51"/>
    <w:rsid w:val="00267E02"/>
    <w:rsid w:val="00285CBA"/>
    <w:rsid w:val="002A5D44"/>
    <w:rsid w:val="002D5AEE"/>
    <w:rsid w:val="002E0BC4"/>
    <w:rsid w:val="002F1B76"/>
    <w:rsid w:val="00301075"/>
    <w:rsid w:val="00305302"/>
    <w:rsid w:val="003222D5"/>
    <w:rsid w:val="0033568E"/>
    <w:rsid w:val="003413CF"/>
    <w:rsid w:val="0035054C"/>
    <w:rsid w:val="00355FF5"/>
    <w:rsid w:val="00361350"/>
    <w:rsid w:val="003642CD"/>
    <w:rsid w:val="0037066A"/>
    <w:rsid w:val="003C3FAE"/>
    <w:rsid w:val="003E1D62"/>
    <w:rsid w:val="003E4D39"/>
    <w:rsid w:val="004038CB"/>
    <w:rsid w:val="0040546F"/>
    <w:rsid w:val="00411FE6"/>
    <w:rsid w:val="00422B79"/>
    <w:rsid w:val="004233F0"/>
    <w:rsid w:val="0042404A"/>
    <w:rsid w:val="00437B8A"/>
    <w:rsid w:val="0044618F"/>
    <w:rsid w:val="00464002"/>
    <w:rsid w:val="0046769A"/>
    <w:rsid w:val="0047353C"/>
    <w:rsid w:val="00475FB3"/>
    <w:rsid w:val="00495565"/>
    <w:rsid w:val="004C37A9"/>
    <w:rsid w:val="004C76AB"/>
    <w:rsid w:val="004D1D50"/>
    <w:rsid w:val="004F259E"/>
    <w:rsid w:val="00511F1D"/>
    <w:rsid w:val="00520F36"/>
    <w:rsid w:val="00540615"/>
    <w:rsid w:val="00540A6D"/>
    <w:rsid w:val="00551202"/>
    <w:rsid w:val="00571EEA"/>
    <w:rsid w:val="00575417"/>
    <w:rsid w:val="005768E1"/>
    <w:rsid w:val="00580B11"/>
    <w:rsid w:val="005B14DB"/>
    <w:rsid w:val="005B1938"/>
    <w:rsid w:val="005C3890"/>
    <w:rsid w:val="005D4D35"/>
    <w:rsid w:val="005F50E8"/>
    <w:rsid w:val="005F77BC"/>
    <w:rsid w:val="005F7BFE"/>
    <w:rsid w:val="00600017"/>
    <w:rsid w:val="006235CA"/>
    <w:rsid w:val="0062550D"/>
    <w:rsid w:val="0063432A"/>
    <w:rsid w:val="00642A69"/>
    <w:rsid w:val="0065627B"/>
    <w:rsid w:val="006643AB"/>
    <w:rsid w:val="006A3287"/>
    <w:rsid w:val="006B0A5D"/>
    <w:rsid w:val="006D2993"/>
    <w:rsid w:val="006F0A53"/>
    <w:rsid w:val="00706E3E"/>
    <w:rsid w:val="007210CD"/>
    <w:rsid w:val="00723272"/>
    <w:rsid w:val="00723347"/>
    <w:rsid w:val="00724A2A"/>
    <w:rsid w:val="007255F4"/>
    <w:rsid w:val="00732045"/>
    <w:rsid w:val="007369DB"/>
    <w:rsid w:val="00747478"/>
    <w:rsid w:val="00780CA5"/>
    <w:rsid w:val="0078233A"/>
    <w:rsid w:val="007956C2"/>
    <w:rsid w:val="00796D51"/>
    <w:rsid w:val="00797832"/>
    <w:rsid w:val="007A187E"/>
    <w:rsid w:val="007B1CB9"/>
    <w:rsid w:val="007C72C2"/>
    <w:rsid w:val="007D4436"/>
    <w:rsid w:val="007E0289"/>
    <w:rsid w:val="007E4271"/>
    <w:rsid w:val="007F257A"/>
    <w:rsid w:val="007F3665"/>
    <w:rsid w:val="00800037"/>
    <w:rsid w:val="008028CC"/>
    <w:rsid w:val="008107BD"/>
    <w:rsid w:val="0083391C"/>
    <w:rsid w:val="00845677"/>
    <w:rsid w:val="00853CB5"/>
    <w:rsid w:val="00856A4A"/>
    <w:rsid w:val="00861D73"/>
    <w:rsid w:val="00897553"/>
    <w:rsid w:val="008A4E87"/>
    <w:rsid w:val="008D143D"/>
    <w:rsid w:val="008D76E6"/>
    <w:rsid w:val="008E000C"/>
    <w:rsid w:val="0090570C"/>
    <w:rsid w:val="0092392D"/>
    <w:rsid w:val="0093234A"/>
    <w:rsid w:val="00956A78"/>
    <w:rsid w:val="00961559"/>
    <w:rsid w:val="0097363B"/>
    <w:rsid w:val="00980D9A"/>
    <w:rsid w:val="009A2D39"/>
    <w:rsid w:val="009C1215"/>
    <w:rsid w:val="009C307F"/>
    <w:rsid w:val="009C353C"/>
    <w:rsid w:val="009D37B8"/>
    <w:rsid w:val="009D5A51"/>
    <w:rsid w:val="009E42AA"/>
    <w:rsid w:val="00A018B4"/>
    <w:rsid w:val="00A02B3D"/>
    <w:rsid w:val="00A11CB1"/>
    <w:rsid w:val="00A161B3"/>
    <w:rsid w:val="00A2113E"/>
    <w:rsid w:val="00A23A51"/>
    <w:rsid w:val="00A23F4D"/>
    <w:rsid w:val="00A24607"/>
    <w:rsid w:val="00A25CD3"/>
    <w:rsid w:val="00A42FBD"/>
    <w:rsid w:val="00A45D72"/>
    <w:rsid w:val="00A56635"/>
    <w:rsid w:val="00A67B3D"/>
    <w:rsid w:val="00A709FE"/>
    <w:rsid w:val="00A72EFD"/>
    <w:rsid w:val="00A82767"/>
    <w:rsid w:val="00A870FD"/>
    <w:rsid w:val="00A968D9"/>
    <w:rsid w:val="00AA332F"/>
    <w:rsid w:val="00AA7BBB"/>
    <w:rsid w:val="00AB64A8"/>
    <w:rsid w:val="00AB7F76"/>
    <w:rsid w:val="00AC0266"/>
    <w:rsid w:val="00AC1B5F"/>
    <w:rsid w:val="00AD24EC"/>
    <w:rsid w:val="00AE6922"/>
    <w:rsid w:val="00AF1BDB"/>
    <w:rsid w:val="00B175E1"/>
    <w:rsid w:val="00B309F9"/>
    <w:rsid w:val="00B32B60"/>
    <w:rsid w:val="00B61619"/>
    <w:rsid w:val="00B91DF0"/>
    <w:rsid w:val="00BB11B7"/>
    <w:rsid w:val="00BB4545"/>
    <w:rsid w:val="00BC1209"/>
    <w:rsid w:val="00BD5873"/>
    <w:rsid w:val="00BE3210"/>
    <w:rsid w:val="00BE7987"/>
    <w:rsid w:val="00BF10B0"/>
    <w:rsid w:val="00C0181B"/>
    <w:rsid w:val="00C04BE3"/>
    <w:rsid w:val="00C25D29"/>
    <w:rsid w:val="00C27A7C"/>
    <w:rsid w:val="00C444D2"/>
    <w:rsid w:val="00C45BE3"/>
    <w:rsid w:val="00C85A1F"/>
    <w:rsid w:val="00C908E9"/>
    <w:rsid w:val="00C956D3"/>
    <w:rsid w:val="00CA08ED"/>
    <w:rsid w:val="00CB4F57"/>
    <w:rsid w:val="00CE2046"/>
    <w:rsid w:val="00CF183B"/>
    <w:rsid w:val="00D23946"/>
    <w:rsid w:val="00D375CD"/>
    <w:rsid w:val="00D53DDA"/>
    <w:rsid w:val="00D553A2"/>
    <w:rsid w:val="00D774D3"/>
    <w:rsid w:val="00D904E8"/>
    <w:rsid w:val="00D95CDA"/>
    <w:rsid w:val="00DA08C3"/>
    <w:rsid w:val="00DB08A9"/>
    <w:rsid w:val="00DB4C54"/>
    <w:rsid w:val="00DB5A3E"/>
    <w:rsid w:val="00DC22AA"/>
    <w:rsid w:val="00DC31B3"/>
    <w:rsid w:val="00DD1F84"/>
    <w:rsid w:val="00DF74DD"/>
    <w:rsid w:val="00E0307A"/>
    <w:rsid w:val="00E25AD0"/>
    <w:rsid w:val="00E33908"/>
    <w:rsid w:val="00E84B16"/>
    <w:rsid w:val="00E9521C"/>
    <w:rsid w:val="00E97518"/>
    <w:rsid w:val="00EB6350"/>
    <w:rsid w:val="00EB6D82"/>
    <w:rsid w:val="00F15B57"/>
    <w:rsid w:val="00F427DB"/>
    <w:rsid w:val="00F47B51"/>
    <w:rsid w:val="00F50606"/>
    <w:rsid w:val="00F6458B"/>
    <w:rsid w:val="00F7143B"/>
    <w:rsid w:val="00F77AF8"/>
    <w:rsid w:val="00F866C0"/>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47658F"/>
  <w15:docId w15:val="{C002108F-4241-4E89-BDB3-2658B10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Style 58,超????,超?级链,超级链接,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84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AC1B5F"/>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AC1B5F"/>
    <w:rPr>
      <w:rFonts w:ascii="Times New Roman" w:eastAsia="SimSun" w:hAnsi="Times New Roman"/>
      <w:sz w:val="24"/>
      <w:szCs w:val="24"/>
    </w:rPr>
  </w:style>
  <w:style w:type="character" w:customStyle="1" w:styleId="apple-converted-space">
    <w:name w:val="apple-converted-space"/>
    <w:basedOn w:val="DefaultParagraphFont"/>
    <w:rsid w:val="00AC1B5F"/>
  </w:style>
  <w:style w:type="character" w:customStyle="1" w:styleId="bumpedfont15">
    <w:name w:val="bumpedfont15"/>
    <w:basedOn w:val="DefaultParagraphFont"/>
    <w:rsid w:val="00AC1B5F"/>
  </w:style>
  <w:style w:type="character" w:styleId="CommentReference">
    <w:name w:val="annotation reference"/>
    <w:basedOn w:val="DefaultParagraphFont"/>
    <w:semiHidden/>
    <w:unhideWhenUsed/>
    <w:rsid w:val="00F47B51"/>
    <w:rPr>
      <w:sz w:val="16"/>
      <w:szCs w:val="16"/>
    </w:rPr>
  </w:style>
  <w:style w:type="paragraph" w:styleId="CommentText">
    <w:name w:val="annotation text"/>
    <w:basedOn w:val="Normal"/>
    <w:link w:val="CommentTextChar"/>
    <w:semiHidden/>
    <w:unhideWhenUsed/>
    <w:rsid w:val="00F47B51"/>
    <w:rPr>
      <w:sz w:val="20"/>
    </w:rPr>
  </w:style>
  <w:style w:type="character" w:customStyle="1" w:styleId="CommentTextChar">
    <w:name w:val="Comment Text Char"/>
    <w:basedOn w:val="DefaultParagraphFont"/>
    <w:link w:val="CommentText"/>
    <w:semiHidden/>
    <w:rsid w:val="00F47B51"/>
    <w:rPr>
      <w:rFonts w:ascii="Calibri" w:hAnsi="Calibri"/>
      <w:lang w:val="fr-FR" w:eastAsia="en-US"/>
    </w:rPr>
  </w:style>
  <w:style w:type="paragraph" w:styleId="CommentSubject">
    <w:name w:val="annotation subject"/>
    <w:basedOn w:val="CommentText"/>
    <w:next w:val="CommentText"/>
    <w:link w:val="CommentSubjectChar"/>
    <w:semiHidden/>
    <w:unhideWhenUsed/>
    <w:rsid w:val="00F47B51"/>
    <w:rPr>
      <w:b/>
      <w:bCs/>
    </w:rPr>
  </w:style>
  <w:style w:type="character" w:customStyle="1" w:styleId="CommentSubjectChar">
    <w:name w:val="Comment Subject Char"/>
    <w:basedOn w:val="CommentTextChar"/>
    <w:link w:val="CommentSubject"/>
    <w:semiHidden/>
    <w:rsid w:val="00F47B51"/>
    <w:rPr>
      <w:rFonts w:ascii="Calibri" w:hAnsi="Calibri"/>
      <w:b/>
      <w:bCs/>
      <w:lang w:val="fr-FR" w:eastAsia="en-US"/>
    </w:rPr>
  </w:style>
  <w:style w:type="paragraph" w:styleId="Revision">
    <w:name w:val="Revision"/>
    <w:hidden/>
    <w:uiPriority w:val="99"/>
    <w:semiHidden/>
    <w:rsid w:val="00F47B51"/>
    <w:rPr>
      <w:rFonts w:ascii="Calibri" w:hAnsi="Calibri"/>
      <w:sz w:val="24"/>
      <w:lang w:val="fr-FR" w:eastAsia="en-US"/>
    </w:rPr>
  </w:style>
  <w:style w:type="paragraph" w:styleId="BalloonText">
    <w:name w:val="Balloon Text"/>
    <w:basedOn w:val="Normal"/>
    <w:link w:val="BalloonTextChar"/>
    <w:semiHidden/>
    <w:unhideWhenUsed/>
    <w:rsid w:val="00F47B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7B5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97/en" TargetMode="External"/><Relationship Id="rId13" Type="http://schemas.openxmlformats.org/officeDocument/2006/relationships/package" Target="embeddings/Microsoft_Excel_Worksheet.xlsx"/><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package" Target="embeddings/Microsoft_Excel_Worksheet4.xls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045/en"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s://www.itu.int/en/council/Documents/basic-texts/DEC-005-F.pdf" TargetMode="External"/><Relationship Id="rId19" Type="http://schemas.openxmlformats.org/officeDocument/2006/relationships/package" Target="embeddings/Microsoft_Excel_Worksheet3.xlsx"/><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ties/Documents/Financial-regulations/S-GEN-REG_RGTFIN-2018-PDF-F.pdf" TargetMode="External"/><Relationship Id="rId14" Type="http://schemas.openxmlformats.org/officeDocument/2006/relationships/image" Target="media/image3.emf"/><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2</TotalTime>
  <Pages>8</Pages>
  <Words>1551</Words>
  <Characters>9114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10644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Exécution du budget 2022: situation financière au 24 août 2022 et prévisions jusqu'au 31 décembre 2022</dc:title>
  <dc:subject>Conseil 2022</dc:subject>
  <dc:creator>Royer, Veronique</dc:creator>
  <cp:keywords>C2022, C22, Council-22</cp:keywords>
  <dc:description/>
  <cp:lastModifiedBy>Xue, Kun</cp:lastModifiedBy>
  <cp:revision>2</cp:revision>
  <cp:lastPrinted>2000-07-18T08:55:00Z</cp:lastPrinted>
  <dcterms:created xsi:type="dcterms:W3CDTF">2022-09-10T15:42:00Z</dcterms:created>
  <dcterms:modified xsi:type="dcterms:W3CDTF">2022-09-10T15:42:00Z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