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65003" w14:paraId="0AFE9E67" w14:textId="77777777">
        <w:trPr>
          <w:cantSplit/>
        </w:trPr>
        <w:tc>
          <w:tcPr>
            <w:tcW w:w="6912" w:type="dxa"/>
          </w:tcPr>
          <w:p w14:paraId="5E4D1930" w14:textId="77777777" w:rsidR="00520F36" w:rsidRPr="00565003" w:rsidRDefault="00520F36" w:rsidP="00CB0ED3">
            <w:pPr>
              <w:spacing w:before="360"/>
            </w:pPr>
            <w:bookmarkStart w:id="0" w:name="dc06"/>
            <w:bookmarkEnd w:id="0"/>
            <w:r w:rsidRPr="00565003">
              <w:rPr>
                <w:b/>
                <w:bCs/>
                <w:sz w:val="30"/>
                <w:szCs w:val="30"/>
              </w:rPr>
              <w:t>Conseil 20</w:t>
            </w:r>
            <w:r w:rsidR="009C353C" w:rsidRPr="00565003">
              <w:rPr>
                <w:b/>
                <w:bCs/>
                <w:sz w:val="30"/>
                <w:szCs w:val="30"/>
              </w:rPr>
              <w:t>2</w:t>
            </w:r>
            <w:r w:rsidR="0083391C" w:rsidRPr="00565003">
              <w:rPr>
                <w:b/>
                <w:bCs/>
                <w:sz w:val="30"/>
                <w:szCs w:val="30"/>
              </w:rPr>
              <w:t>2</w:t>
            </w:r>
            <w:r w:rsidRPr="0056500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565003">
              <w:rPr>
                <w:b/>
                <w:bCs/>
                <w:sz w:val="26"/>
                <w:szCs w:val="26"/>
              </w:rPr>
              <w:t>Genève</w:t>
            </w:r>
            <w:r w:rsidRPr="00565003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565003">
              <w:rPr>
                <w:b/>
                <w:bCs/>
                <w:sz w:val="26"/>
                <w:szCs w:val="26"/>
              </w:rPr>
              <w:t>21</w:t>
            </w:r>
            <w:r w:rsidRPr="00565003">
              <w:rPr>
                <w:b/>
                <w:bCs/>
                <w:sz w:val="26"/>
                <w:szCs w:val="26"/>
              </w:rPr>
              <w:t>-</w:t>
            </w:r>
            <w:r w:rsidR="0083391C" w:rsidRPr="00565003">
              <w:rPr>
                <w:b/>
                <w:bCs/>
                <w:sz w:val="26"/>
                <w:szCs w:val="26"/>
              </w:rPr>
              <w:t>31</w:t>
            </w:r>
            <w:r w:rsidR="00106B19" w:rsidRPr="00565003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565003">
              <w:rPr>
                <w:b/>
                <w:bCs/>
                <w:sz w:val="26"/>
                <w:szCs w:val="26"/>
              </w:rPr>
              <w:t>mars</w:t>
            </w:r>
            <w:r w:rsidRPr="00565003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565003">
              <w:rPr>
                <w:b/>
                <w:bCs/>
                <w:sz w:val="26"/>
                <w:szCs w:val="26"/>
              </w:rPr>
              <w:t>2</w:t>
            </w:r>
            <w:r w:rsidR="0083391C" w:rsidRPr="0056500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4ECC3448" w14:textId="77777777" w:rsidR="00520F36" w:rsidRPr="00565003" w:rsidRDefault="009C353C" w:rsidP="00CB0ED3">
            <w:pPr>
              <w:spacing w:before="0"/>
            </w:pPr>
            <w:bookmarkStart w:id="1" w:name="ditulogo"/>
            <w:bookmarkEnd w:id="1"/>
            <w:r w:rsidRPr="00565003">
              <w:rPr>
                <w:noProof/>
                <w:lang w:val="en-US"/>
              </w:rPr>
              <w:drawing>
                <wp:inline distT="0" distB="0" distL="0" distR="0" wp14:anchorId="43E1418C" wp14:editId="339C711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65003" w14:paraId="4CB3C835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50F8CA3" w14:textId="77777777" w:rsidR="00520F36" w:rsidRPr="00565003" w:rsidRDefault="00520F36" w:rsidP="00CB0ED3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0934466" w14:textId="77777777" w:rsidR="00520F36" w:rsidRPr="00565003" w:rsidRDefault="00520F36" w:rsidP="00CB0ED3">
            <w:pPr>
              <w:spacing w:before="0"/>
              <w:rPr>
                <w:b/>
                <w:bCs/>
              </w:rPr>
            </w:pPr>
          </w:p>
        </w:tc>
      </w:tr>
      <w:tr w:rsidR="00520F36" w:rsidRPr="00565003" w14:paraId="29E4EE5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8147A37" w14:textId="77777777" w:rsidR="00520F36" w:rsidRPr="00565003" w:rsidRDefault="00520F36" w:rsidP="00CB0ED3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4A1451B" w14:textId="77777777" w:rsidR="00520F36" w:rsidRPr="00565003" w:rsidRDefault="00520F36" w:rsidP="00CB0ED3">
            <w:pPr>
              <w:spacing w:before="0"/>
              <w:rPr>
                <w:b/>
                <w:bCs/>
              </w:rPr>
            </w:pPr>
          </w:p>
        </w:tc>
      </w:tr>
      <w:tr w:rsidR="00520F36" w:rsidRPr="00565003" w14:paraId="2D12F656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E97FE55" w14:textId="77777777" w:rsidR="00520F36" w:rsidRPr="00565003" w:rsidRDefault="00520F36" w:rsidP="00CB0ED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3804D959" w14:textId="7CA5B381" w:rsidR="00520F36" w:rsidRPr="00565003" w:rsidRDefault="00520F36" w:rsidP="00CB0ED3">
            <w:pPr>
              <w:spacing w:before="0"/>
              <w:rPr>
                <w:b/>
                <w:bCs/>
              </w:rPr>
            </w:pPr>
            <w:r w:rsidRPr="00565003">
              <w:rPr>
                <w:b/>
                <w:bCs/>
              </w:rPr>
              <w:t>Document C</w:t>
            </w:r>
            <w:r w:rsidR="009C353C" w:rsidRPr="00565003">
              <w:rPr>
                <w:b/>
                <w:bCs/>
              </w:rPr>
              <w:t>2</w:t>
            </w:r>
            <w:r w:rsidR="0083391C" w:rsidRPr="00565003">
              <w:rPr>
                <w:b/>
                <w:bCs/>
              </w:rPr>
              <w:t>2</w:t>
            </w:r>
            <w:r w:rsidRPr="00565003">
              <w:rPr>
                <w:b/>
                <w:bCs/>
              </w:rPr>
              <w:t>/</w:t>
            </w:r>
            <w:r w:rsidR="005A072B" w:rsidRPr="00565003">
              <w:rPr>
                <w:b/>
                <w:bCs/>
              </w:rPr>
              <w:t>92</w:t>
            </w:r>
            <w:r w:rsidRPr="00565003">
              <w:rPr>
                <w:b/>
                <w:bCs/>
              </w:rPr>
              <w:t>-F</w:t>
            </w:r>
          </w:p>
        </w:tc>
      </w:tr>
      <w:tr w:rsidR="00520F36" w:rsidRPr="00565003" w14:paraId="59D4AD4F" w14:textId="77777777">
        <w:trPr>
          <w:cantSplit/>
          <w:trHeight w:val="20"/>
        </w:trPr>
        <w:tc>
          <w:tcPr>
            <w:tcW w:w="6912" w:type="dxa"/>
            <w:vMerge/>
          </w:tcPr>
          <w:p w14:paraId="4B811443" w14:textId="77777777" w:rsidR="00520F36" w:rsidRPr="00565003" w:rsidRDefault="00520F36" w:rsidP="00CB0ED3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1F33212" w14:textId="75E56C6D" w:rsidR="00520F36" w:rsidRPr="00565003" w:rsidRDefault="005A072B" w:rsidP="00CB0ED3">
            <w:pPr>
              <w:spacing w:before="0"/>
              <w:rPr>
                <w:b/>
                <w:bCs/>
              </w:rPr>
            </w:pPr>
            <w:r w:rsidRPr="00565003">
              <w:rPr>
                <w:b/>
                <w:bCs/>
              </w:rPr>
              <w:t>5 avril 2022</w:t>
            </w:r>
          </w:p>
        </w:tc>
      </w:tr>
      <w:tr w:rsidR="00520F36" w:rsidRPr="00565003" w14:paraId="14B1AAF7" w14:textId="77777777">
        <w:trPr>
          <w:cantSplit/>
          <w:trHeight w:val="20"/>
        </w:trPr>
        <w:tc>
          <w:tcPr>
            <w:tcW w:w="6912" w:type="dxa"/>
            <w:vMerge/>
          </w:tcPr>
          <w:p w14:paraId="4F09A88F" w14:textId="77777777" w:rsidR="00520F36" w:rsidRPr="00565003" w:rsidRDefault="00520F36" w:rsidP="00CB0ED3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0944F44" w14:textId="77777777" w:rsidR="00520F36" w:rsidRPr="00565003" w:rsidRDefault="00520F36" w:rsidP="00CB0ED3">
            <w:pPr>
              <w:spacing w:before="0"/>
              <w:rPr>
                <w:b/>
                <w:bCs/>
              </w:rPr>
            </w:pPr>
            <w:proofErr w:type="gramStart"/>
            <w:r w:rsidRPr="00565003">
              <w:rPr>
                <w:b/>
                <w:bCs/>
              </w:rPr>
              <w:t>Original:</w:t>
            </w:r>
            <w:proofErr w:type="gramEnd"/>
            <w:r w:rsidRPr="00565003">
              <w:rPr>
                <w:b/>
                <w:bCs/>
              </w:rPr>
              <w:t xml:space="preserve"> anglais</w:t>
            </w:r>
          </w:p>
        </w:tc>
      </w:tr>
      <w:tr w:rsidR="00520F36" w:rsidRPr="00565003" w14:paraId="1BD06921" w14:textId="77777777">
        <w:trPr>
          <w:cantSplit/>
        </w:trPr>
        <w:tc>
          <w:tcPr>
            <w:tcW w:w="10173" w:type="dxa"/>
            <w:gridSpan w:val="2"/>
          </w:tcPr>
          <w:p w14:paraId="71CEC20B" w14:textId="77777777" w:rsidR="005A072B" w:rsidRPr="00565003" w:rsidRDefault="005A072B" w:rsidP="00CB0ED3">
            <w:pPr>
              <w:pStyle w:val="Title1"/>
              <w:spacing w:before="840"/>
            </w:pPr>
            <w:bookmarkStart w:id="6" w:name="dsource" w:colFirst="0" w:colLast="0"/>
            <w:bookmarkEnd w:id="5"/>
            <w:r w:rsidRPr="00565003">
              <w:t>COMPTE RENDU</w:t>
            </w:r>
          </w:p>
          <w:p w14:paraId="23F7132A" w14:textId="77777777" w:rsidR="005A072B" w:rsidRPr="00565003" w:rsidRDefault="005A072B" w:rsidP="00CB0ED3">
            <w:pPr>
              <w:pStyle w:val="Title1"/>
              <w:spacing w:before="120"/>
            </w:pPr>
            <w:r w:rsidRPr="00565003">
              <w:t>DE LA</w:t>
            </w:r>
          </w:p>
          <w:p w14:paraId="7EF86F3D" w14:textId="58A6ECC7" w:rsidR="00520F36" w:rsidRPr="00565003" w:rsidRDefault="005A072B" w:rsidP="00CB0ED3">
            <w:pPr>
              <w:pStyle w:val="Source"/>
              <w:spacing w:before="120"/>
            </w:pPr>
            <w:r w:rsidRPr="00565003">
              <w:rPr>
                <w:b w:val="0"/>
              </w:rPr>
              <w:t>SEPTIÈME SÉANCE PLÉNIÈRE</w:t>
            </w:r>
          </w:p>
        </w:tc>
      </w:tr>
      <w:tr w:rsidR="00520F36" w:rsidRPr="00565003" w14:paraId="1BC5368A" w14:textId="77777777">
        <w:trPr>
          <w:cantSplit/>
        </w:trPr>
        <w:tc>
          <w:tcPr>
            <w:tcW w:w="10173" w:type="dxa"/>
            <w:gridSpan w:val="2"/>
          </w:tcPr>
          <w:p w14:paraId="255DD51B" w14:textId="0501B9C0" w:rsidR="00520F36" w:rsidRPr="00565003" w:rsidRDefault="005A072B" w:rsidP="00CB0ED3">
            <w:pPr>
              <w:pStyle w:val="Title1"/>
              <w:rPr>
                <w:sz w:val="24"/>
                <w:szCs w:val="24"/>
              </w:rPr>
            </w:pPr>
            <w:bookmarkStart w:id="7" w:name="dtitle1" w:colFirst="0" w:colLast="0"/>
            <w:bookmarkEnd w:id="6"/>
            <w:r w:rsidRPr="00565003">
              <w:rPr>
                <w:sz w:val="24"/>
                <w:szCs w:val="24"/>
              </w:rPr>
              <w:t>M</w:t>
            </w:r>
            <w:r w:rsidRPr="00565003">
              <w:rPr>
                <w:caps w:val="0"/>
                <w:sz w:val="24"/>
                <w:szCs w:val="24"/>
              </w:rPr>
              <w:t>ardi 29 mars 2022, de 14 h 35 à 16 h 20</w:t>
            </w:r>
          </w:p>
        </w:tc>
      </w:tr>
      <w:tr w:rsidR="005A072B" w:rsidRPr="00565003" w14:paraId="6016EFDC" w14:textId="77777777">
        <w:trPr>
          <w:cantSplit/>
        </w:trPr>
        <w:tc>
          <w:tcPr>
            <w:tcW w:w="10173" w:type="dxa"/>
            <w:gridSpan w:val="2"/>
          </w:tcPr>
          <w:p w14:paraId="21AF6087" w14:textId="222D4D8F" w:rsidR="005A072B" w:rsidRPr="00565003" w:rsidRDefault="005A072B" w:rsidP="00CB0ED3">
            <w:pPr>
              <w:pStyle w:val="Title1"/>
              <w:rPr>
                <w:sz w:val="24"/>
                <w:szCs w:val="24"/>
              </w:rPr>
            </w:pPr>
            <w:proofErr w:type="gramStart"/>
            <w:r w:rsidRPr="00565003">
              <w:rPr>
                <w:b/>
                <w:bCs/>
                <w:caps w:val="0"/>
                <w:sz w:val="24"/>
                <w:szCs w:val="24"/>
              </w:rPr>
              <w:t>Président</w:t>
            </w:r>
            <w:r w:rsidRPr="00565003">
              <w:rPr>
                <w:bCs/>
                <w:caps w:val="0"/>
                <w:sz w:val="24"/>
                <w:szCs w:val="24"/>
              </w:rPr>
              <w:t>:</w:t>
            </w:r>
            <w:proofErr w:type="gramEnd"/>
            <w:r w:rsidRPr="00565003">
              <w:rPr>
                <w:bCs/>
                <w:caps w:val="0"/>
                <w:sz w:val="24"/>
                <w:szCs w:val="24"/>
              </w:rPr>
              <w:t xml:space="preserve"> M. S. BIN GHELAITA (Émirats arabes unis)</w:t>
            </w:r>
          </w:p>
        </w:tc>
      </w:tr>
      <w:bookmarkEnd w:id="7"/>
    </w:tbl>
    <w:p w14:paraId="77CA1BC7" w14:textId="77777777" w:rsidR="00520F36" w:rsidRPr="00565003" w:rsidRDefault="00520F36" w:rsidP="00CB0ED3"/>
    <w:tbl>
      <w:tblPr>
        <w:tblW w:w="4947" w:type="pct"/>
        <w:tblLayout w:type="fixed"/>
        <w:tblLook w:val="0000" w:firstRow="0" w:lastRow="0" w:firstColumn="0" w:lastColumn="0" w:noHBand="0" w:noVBand="0"/>
      </w:tblPr>
      <w:tblGrid>
        <w:gridCol w:w="421"/>
        <w:gridCol w:w="7149"/>
        <w:gridCol w:w="1967"/>
      </w:tblGrid>
      <w:tr w:rsidR="005A072B" w:rsidRPr="00565003" w14:paraId="1736702C" w14:textId="77777777" w:rsidTr="005865AB">
        <w:trPr>
          <w:trHeight w:val="434"/>
        </w:trPr>
        <w:tc>
          <w:tcPr>
            <w:tcW w:w="221" w:type="pct"/>
          </w:tcPr>
          <w:p w14:paraId="60CDDED1" w14:textId="77777777" w:rsidR="005A072B" w:rsidRPr="00565003" w:rsidRDefault="005A072B" w:rsidP="00CB0ED3">
            <w:pPr>
              <w:rPr>
                <w:b/>
              </w:rPr>
            </w:pPr>
            <w:r w:rsidRPr="00565003">
              <w:br w:type="page"/>
            </w:r>
            <w:r w:rsidRPr="00565003">
              <w:br w:type="page"/>
            </w:r>
          </w:p>
        </w:tc>
        <w:tc>
          <w:tcPr>
            <w:tcW w:w="3748" w:type="pct"/>
          </w:tcPr>
          <w:p w14:paraId="54E9F102" w14:textId="31C7D028" w:rsidR="005A072B" w:rsidRPr="00565003" w:rsidRDefault="005A072B" w:rsidP="00CB0ED3">
            <w:pPr>
              <w:rPr>
                <w:b/>
              </w:rPr>
            </w:pPr>
            <w:r w:rsidRPr="00565003">
              <w:rPr>
                <w:b/>
              </w:rPr>
              <w:t>Sujets traités</w:t>
            </w:r>
          </w:p>
        </w:tc>
        <w:tc>
          <w:tcPr>
            <w:tcW w:w="1031" w:type="pct"/>
          </w:tcPr>
          <w:p w14:paraId="2DCFC7F3" w14:textId="77777777" w:rsidR="005A072B" w:rsidRPr="00565003" w:rsidRDefault="005A072B" w:rsidP="00CB0ED3">
            <w:pPr>
              <w:rPr>
                <w:b/>
              </w:rPr>
            </w:pPr>
            <w:r w:rsidRPr="00565003">
              <w:rPr>
                <w:b/>
              </w:rPr>
              <w:t>Documents</w:t>
            </w:r>
          </w:p>
        </w:tc>
      </w:tr>
      <w:tr w:rsidR="005A072B" w:rsidRPr="00565003" w14:paraId="18B8C4CC" w14:textId="77777777" w:rsidTr="005A072B">
        <w:trPr>
          <w:trHeight w:val="108"/>
        </w:trPr>
        <w:tc>
          <w:tcPr>
            <w:tcW w:w="221" w:type="pct"/>
          </w:tcPr>
          <w:p w14:paraId="1E7A18FC" w14:textId="77777777" w:rsidR="005A072B" w:rsidRPr="00565003" w:rsidRDefault="005A072B" w:rsidP="00CB0ED3">
            <w:r w:rsidRPr="00565003">
              <w:t>1</w:t>
            </w:r>
          </w:p>
        </w:tc>
        <w:tc>
          <w:tcPr>
            <w:tcW w:w="3748" w:type="pct"/>
          </w:tcPr>
          <w:p w14:paraId="4D1D3C96" w14:textId="394F6756" w:rsidR="005A072B" w:rsidRPr="00565003" w:rsidRDefault="005A072B" w:rsidP="00CB0ED3">
            <w:r w:rsidRPr="00565003">
              <w:t>Rapport</w:t>
            </w:r>
            <w:r w:rsidR="003D2AED" w:rsidRPr="00565003">
              <w:t>s</w:t>
            </w:r>
            <w:r w:rsidRPr="00565003">
              <w:t xml:space="preserve"> du Président du Groupe de travail du Conseil sur la protection en ligne des enfants</w:t>
            </w:r>
          </w:p>
        </w:tc>
        <w:tc>
          <w:tcPr>
            <w:tcW w:w="1031" w:type="pct"/>
          </w:tcPr>
          <w:p w14:paraId="75AA1371" w14:textId="5DF38E6A" w:rsidR="005A072B" w:rsidRPr="00565003" w:rsidRDefault="00FC5BF5" w:rsidP="00CB0ED3">
            <w:pPr>
              <w:jc w:val="center"/>
            </w:pPr>
            <w:hyperlink r:id="rId7" w:history="1">
              <w:r w:rsidR="005A072B" w:rsidRPr="00565003">
                <w:rPr>
                  <w:rStyle w:val="Hyperlink"/>
                </w:rPr>
                <w:t>C22/15</w:t>
              </w:r>
            </w:hyperlink>
            <w:r w:rsidR="005A072B" w:rsidRPr="00565003">
              <w:t xml:space="preserve">, </w:t>
            </w:r>
            <w:hyperlink r:id="rId8" w:history="1">
              <w:r w:rsidR="005A072B" w:rsidRPr="00565003">
                <w:rPr>
                  <w:rStyle w:val="Hyperlink"/>
                </w:rPr>
                <w:t>C22/64</w:t>
              </w:r>
            </w:hyperlink>
          </w:p>
        </w:tc>
      </w:tr>
      <w:tr w:rsidR="005A072B" w:rsidRPr="00565003" w14:paraId="2C43FC45" w14:textId="77777777" w:rsidTr="005A072B">
        <w:trPr>
          <w:trHeight w:val="88"/>
        </w:trPr>
        <w:tc>
          <w:tcPr>
            <w:tcW w:w="221" w:type="pct"/>
          </w:tcPr>
          <w:p w14:paraId="03628B92" w14:textId="77777777" w:rsidR="005A072B" w:rsidRPr="00565003" w:rsidRDefault="005A072B" w:rsidP="00CB0ED3">
            <w:r w:rsidRPr="00565003">
              <w:t>2</w:t>
            </w:r>
          </w:p>
        </w:tc>
        <w:tc>
          <w:tcPr>
            <w:tcW w:w="3748" w:type="pct"/>
          </w:tcPr>
          <w:p w14:paraId="7691221F" w14:textId="4D014ADE" w:rsidR="005A072B" w:rsidRPr="00565003" w:rsidRDefault="003D2AED" w:rsidP="00CB0ED3">
            <w:r w:rsidRPr="00565003">
              <w:t>Mesures visant à r</w:t>
            </w:r>
            <w:r w:rsidR="005A072B" w:rsidRPr="00565003">
              <w:t>enforcer la sécurité des enfants à l'ère du numérique</w:t>
            </w:r>
          </w:p>
        </w:tc>
        <w:tc>
          <w:tcPr>
            <w:tcW w:w="1031" w:type="pct"/>
          </w:tcPr>
          <w:p w14:paraId="38D70768" w14:textId="63AB4EE6" w:rsidR="005A072B" w:rsidRPr="00565003" w:rsidRDefault="00FC5BF5" w:rsidP="00CB0ED3">
            <w:pPr>
              <w:jc w:val="center"/>
            </w:pPr>
            <w:hyperlink r:id="rId9" w:history="1">
              <w:r w:rsidR="005A072B" w:rsidRPr="00565003">
                <w:rPr>
                  <w:rStyle w:val="Hyperlink"/>
                </w:rPr>
                <w:t>C22/77</w:t>
              </w:r>
            </w:hyperlink>
          </w:p>
        </w:tc>
      </w:tr>
      <w:tr w:rsidR="005A072B" w:rsidRPr="00565003" w14:paraId="3ADC65A0" w14:textId="77777777" w:rsidTr="005865AB">
        <w:trPr>
          <w:trHeight w:val="344"/>
        </w:trPr>
        <w:tc>
          <w:tcPr>
            <w:tcW w:w="221" w:type="pct"/>
          </w:tcPr>
          <w:p w14:paraId="4731B497" w14:textId="77777777" w:rsidR="005A072B" w:rsidRPr="00565003" w:rsidRDefault="005A072B" w:rsidP="00CB0ED3">
            <w:r w:rsidRPr="00565003">
              <w:t>3</w:t>
            </w:r>
          </w:p>
        </w:tc>
        <w:tc>
          <w:tcPr>
            <w:tcW w:w="3748" w:type="pct"/>
          </w:tcPr>
          <w:p w14:paraId="58E9D04F" w14:textId="75C82CBF" w:rsidR="005A072B" w:rsidRPr="00565003" w:rsidRDefault="005A072B" w:rsidP="00CB0ED3">
            <w:bookmarkStart w:id="8" w:name="_Hlk90464917"/>
            <w:r w:rsidRPr="00565003">
              <w:t>Dates et durée proposées pour les sessions de 2023, 2024, 2025 et</w:t>
            </w:r>
            <w:r w:rsidR="00B7341F" w:rsidRPr="00565003">
              <w:t> </w:t>
            </w:r>
            <w:r w:rsidRPr="00565003">
              <w:t xml:space="preserve">2026 du Conseil et dates proposées pour les séries de réunions des </w:t>
            </w:r>
            <w:r w:rsidR="003D2AED" w:rsidRPr="00565003">
              <w:t>G</w:t>
            </w:r>
            <w:r w:rsidRPr="00565003">
              <w:t xml:space="preserve">roupes de travail du Conseil et des </w:t>
            </w:r>
            <w:r w:rsidR="00B7341F" w:rsidRPr="00565003">
              <w:t>G</w:t>
            </w:r>
            <w:r w:rsidRPr="00565003">
              <w:t xml:space="preserve">roupes d'experts </w:t>
            </w:r>
            <w:r w:rsidR="00B7341F" w:rsidRPr="00565003">
              <w:t>de</w:t>
            </w:r>
            <w:r w:rsidRPr="00565003">
              <w:t xml:space="preserve"> 2023, 2024 et 2025</w:t>
            </w:r>
            <w:bookmarkEnd w:id="8"/>
          </w:p>
        </w:tc>
        <w:tc>
          <w:tcPr>
            <w:tcW w:w="1031" w:type="pct"/>
          </w:tcPr>
          <w:p w14:paraId="1CE93D2B" w14:textId="3DFEB7F4" w:rsidR="005A072B" w:rsidRPr="00565003" w:rsidRDefault="00FC5BF5" w:rsidP="00CB0ED3">
            <w:pPr>
              <w:jc w:val="center"/>
            </w:pPr>
            <w:hyperlink r:id="rId10" w:history="1">
              <w:r w:rsidR="005A072B" w:rsidRPr="00565003">
                <w:rPr>
                  <w:rStyle w:val="Hyperlink"/>
                </w:rPr>
                <w:t>C22/2</w:t>
              </w:r>
            </w:hyperlink>
          </w:p>
        </w:tc>
      </w:tr>
      <w:tr w:rsidR="005A072B" w:rsidRPr="00565003" w14:paraId="1A8449FA" w14:textId="77777777" w:rsidTr="005865AB">
        <w:trPr>
          <w:trHeight w:val="336"/>
        </w:trPr>
        <w:tc>
          <w:tcPr>
            <w:tcW w:w="221" w:type="pct"/>
          </w:tcPr>
          <w:p w14:paraId="34337E26" w14:textId="77777777" w:rsidR="005A072B" w:rsidRPr="00565003" w:rsidRDefault="005A072B" w:rsidP="00CB0ED3">
            <w:bookmarkStart w:id="9" w:name="_Hlk98923663"/>
            <w:r w:rsidRPr="00565003">
              <w:t>4</w:t>
            </w:r>
          </w:p>
        </w:tc>
        <w:tc>
          <w:tcPr>
            <w:tcW w:w="3748" w:type="pct"/>
          </w:tcPr>
          <w:p w14:paraId="367B352C" w14:textId="13D3CD32" w:rsidR="005A072B" w:rsidRPr="00565003" w:rsidRDefault="00B7341F" w:rsidP="00CB0ED3">
            <w:bookmarkStart w:id="10" w:name="_Hlk41408187"/>
            <w:bookmarkStart w:id="11" w:name="_Hlk96508427"/>
            <w:r w:rsidRPr="00565003">
              <w:t>Calendrier des conférences, assemblées et réunions futures de l'</w:t>
            </w:r>
            <w:r w:rsidR="005661C4" w:rsidRPr="00565003">
              <w:t>U</w:t>
            </w:r>
            <w:r w:rsidRPr="00565003">
              <w:t>nion pour la période 2022-202</w:t>
            </w:r>
            <w:bookmarkEnd w:id="10"/>
            <w:r w:rsidRPr="00565003">
              <w:t>5</w:t>
            </w:r>
            <w:bookmarkEnd w:id="11"/>
          </w:p>
        </w:tc>
        <w:tc>
          <w:tcPr>
            <w:tcW w:w="1031" w:type="pct"/>
          </w:tcPr>
          <w:p w14:paraId="2FB3A9C2" w14:textId="672F1197" w:rsidR="005A072B" w:rsidRPr="00565003" w:rsidRDefault="00FC5BF5" w:rsidP="00CB0ED3">
            <w:pPr>
              <w:jc w:val="center"/>
            </w:pPr>
            <w:hyperlink r:id="rId11" w:history="1">
              <w:r w:rsidR="005A072B" w:rsidRPr="00565003">
                <w:rPr>
                  <w:rStyle w:val="Hyperlink"/>
                </w:rPr>
                <w:t>C22/37(R</w:t>
              </w:r>
              <w:r w:rsidR="00CB0ED3" w:rsidRPr="00565003">
                <w:rPr>
                  <w:rStyle w:val="Hyperlink"/>
                </w:rPr>
                <w:t>é</w:t>
              </w:r>
              <w:r w:rsidR="005A072B" w:rsidRPr="00565003">
                <w:rPr>
                  <w:rStyle w:val="Hyperlink"/>
                </w:rPr>
                <w:t>v.1)</w:t>
              </w:r>
            </w:hyperlink>
          </w:p>
        </w:tc>
      </w:tr>
      <w:bookmarkEnd w:id="9"/>
      <w:tr w:rsidR="005A072B" w:rsidRPr="00565003" w14:paraId="641FD6AA" w14:textId="77777777" w:rsidTr="005A072B">
        <w:trPr>
          <w:trHeight w:val="107"/>
        </w:trPr>
        <w:tc>
          <w:tcPr>
            <w:tcW w:w="221" w:type="pct"/>
          </w:tcPr>
          <w:p w14:paraId="6016AEC5" w14:textId="77777777" w:rsidR="005A072B" w:rsidRPr="00565003" w:rsidRDefault="005A072B" w:rsidP="00CB0ED3">
            <w:r w:rsidRPr="00565003">
              <w:t>5</w:t>
            </w:r>
          </w:p>
        </w:tc>
        <w:tc>
          <w:tcPr>
            <w:tcW w:w="3748" w:type="pct"/>
          </w:tcPr>
          <w:p w14:paraId="613BA92F" w14:textId="700052DE" w:rsidR="005A072B" w:rsidRPr="00565003" w:rsidRDefault="00B7341F" w:rsidP="00CB0ED3">
            <w:bookmarkStart w:id="12" w:name="_Hlk98236821"/>
            <w:r w:rsidRPr="00565003">
              <w:t xml:space="preserve">Présidents et </w:t>
            </w:r>
            <w:r w:rsidR="005661C4" w:rsidRPr="00565003">
              <w:t>V</w:t>
            </w:r>
            <w:r w:rsidRPr="00565003">
              <w:t>ice-</w:t>
            </w:r>
            <w:r w:rsidR="005661C4" w:rsidRPr="00565003">
              <w:t>P</w:t>
            </w:r>
            <w:r w:rsidRPr="00565003">
              <w:t>résidents des</w:t>
            </w:r>
            <w:r w:rsidR="003D2AED" w:rsidRPr="00565003">
              <w:t xml:space="preserve"> G</w:t>
            </w:r>
            <w:r w:rsidRPr="00565003">
              <w:t>roupes de travail du Conseil et des Groupes d'experts</w:t>
            </w:r>
            <w:bookmarkEnd w:id="12"/>
          </w:p>
        </w:tc>
        <w:tc>
          <w:tcPr>
            <w:tcW w:w="1031" w:type="pct"/>
          </w:tcPr>
          <w:p w14:paraId="48D66650" w14:textId="147FF604" w:rsidR="005A072B" w:rsidRPr="00565003" w:rsidRDefault="00FC5BF5" w:rsidP="00CB0ED3">
            <w:pPr>
              <w:jc w:val="center"/>
            </w:pPr>
            <w:hyperlink r:id="rId12" w:history="1">
              <w:r w:rsidR="005A072B" w:rsidRPr="00565003">
                <w:rPr>
                  <w:rStyle w:val="Hyperlink"/>
                </w:rPr>
                <w:t>C22/21</w:t>
              </w:r>
            </w:hyperlink>
          </w:p>
        </w:tc>
      </w:tr>
      <w:tr w:rsidR="005A072B" w:rsidRPr="00565003" w14:paraId="34216802" w14:textId="77777777" w:rsidTr="005A072B">
        <w:trPr>
          <w:trHeight w:val="165"/>
        </w:trPr>
        <w:tc>
          <w:tcPr>
            <w:tcW w:w="221" w:type="pct"/>
          </w:tcPr>
          <w:p w14:paraId="7401220B" w14:textId="009FDE16" w:rsidR="005A072B" w:rsidRPr="00565003" w:rsidRDefault="005A072B" w:rsidP="00CB0ED3">
            <w:r w:rsidRPr="00565003">
              <w:t>6</w:t>
            </w:r>
          </w:p>
        </w:tc>
        <w:tc>
          <w:tcPr>
            <w:tcW w:w="3748" w:type="pct"/>
          </w:tcPr>
          <w:p w14:paraId="6A84000C" w14:textId="3FF70926" w:rsidR="005A072B" w:rsidRPr="00565003" w:rsidRDefault="003D2AED" w:rsidP="00AD4DD8">
            <w:pPr>
              <w:spacing w:after="120"/>
            </w:pPr>
            <w:r w:rsidRPr="00565003">
              <w:t>Déclarations des ministres et des observateurs</w:t>
            </w:r>
          </w:p>
        </w:tc>
        <w:tc>
          <w:tcPr>
            <w:tcW w:w="1031" w:type="pct"/>
          </w:tcPr>
          <w:p w14:paraId="6502B688" w14:textId="2DD4F823" w:rsidR="005A072B" w:rsidRPr="00565003" w:rsidRDefault="005A072B" w:rsidP="00CB0ED3">
            <w:pPr>
              <w:jc w:val="center"/>
            </w:pPr>
            <w:r w:rsidRPr="00565003">
              <w:t>–</w:t>
            </w:r>
          </w:p>
        </w:tc>
      </w:tr>
    </w:tbl>
    <w:p w14:paraId="256F8F82" w14:textId="589CC9B8" w:rsidR="00304E63" w:rsidRPr="00565003" w:rsidRDefault="00304E63" w:rsidP="00CB0ED3">
      <w:r w:rsidRPr="00565003">
        <w:br w:type="page"/>
      </w:r>
    </w:p>
    <w:p w14:paraId="30179BDD" w14:textId="7598EC14" w:rsidR="00304E63" w:rsidRPr="00565003" w:rsidRDefault="00304E63" w:rsidP="00CB0ED3">
      <w:pPr>
        <w:pStyle w:val="Heading1"/>
        <w:rPr>
          <w:bCs/>
          <w:szCs w:val="28"/>
        </w:rPr>
      </w:pPr>
      <w:r w:rsidRPr="00565003">
        <w:rPr>
          <w:bCs/>
          <w:szCs w:val="28"/>
        </w:rPr>
        <w:lastRenderedPageBreak/>
        <w:t>1</w:t>
      </w:r>
      <w:r w:rsidRPr="00565003">
        <w:rPr>
          <w:bCs/>
          <w:szCs w:val="28"/>
        </w:rPr>
        <w:tab/>
      </w:r>
      <w:bookmarkStart w:id="13" w:name="_Hlk99615902"/>
      <w:r w:rsidRPr="00565003">
        <w:t>Rapport</w:t>
      </w:r>
      <w:r w:rsidR="003D2AED" w:rsidRPr="00565003">
        <w:t>s</w:t>
      </w:r>
      <w:r w:rsidRPr="00565003">
        <w:t xml:space="preserve"> du Président du Groupe de travail du Conseil sur la protection en ligne des enfants</w:t>
      </w:r>
      <w:r w:rsidRPr="00565003">
        <w:rPr>
          <w:bCs/>
          <w:szCs w:val="28"/>
        </w:rPr>
        <w:t xml:space="preserve"> (Documents C22/15 </w:t>
      </w:r>
      <w:r w:rsidR="005661C4" w:rsidRPr="00565003">
        <w:rPr>
          <w:bCs/>
          <w:szCs w:val="28"/>
        </w:rPr>
        <w:t>et</w:t>
      </w:r>
      <w:r w:rsidRPr="00565003">
        <w:rPr>
          <w:bCs/>
          <w:szCs w:val="28"/>
        </w:rPr>
        <w:t xml:space="preserve"> C22/64)</w:t>
      </w:r>
    </w:p>
    <w:bookmarkEnd w:id="13"/>
    <w:p w14:paraId="14C33525" w14:textId="44624721" w:rsidR="00304E63" w:rsidRPr="00565003" w:rsidRDefault="00304E63" w:rsidP="00CB0ED3">
      <w:r w:rsidRPr="00565003">
        <w:t>1.1</w:t>
      </w:r>
      <w:r w:rsidRPr="00565003">
        <w:tab/>
      </w:r>
      <w:r w:rsidR="003D2AED" w:rsidRPr="00565003">
        <w:t xml:space="preserve">Le Président du Groupe de travail du Conseil sur la protection en ligne des enfants </w:t>
      </w:r>
      <w:r w:rsidRPr="00565003">
        <w:t>(</w:t>
      </w:r>
      <w:r w:rsidR="003D2AED" w:rsidRPr="00565003">
        <w:t>GTC</w:t>
      </w:r>
      <w:r w:rsidR="00CB0ED3" w:rsidRPr="00565003">
        <w:noBreakHyphen/>
      </w:r>
      <w:r w:rsidRPr="00565003">
        <w:t xml:space="preserve">COP) </w:t>
      </w:r>
      <w:r w:rsidR="003D2AED" w:rsidRPr="00565003">
        <w:t>présente le</w:t>
      </w:r>
      <w:r w:rsidRPr="00565003">
        <w:t xml:space="preserve"> Document </w:t>
      </w:r>
      <w:hyperlink r:id="rId13" w:history="1">
        <w:r w:rsidRPr="00565003">
          <w:rPr>
            <w:rStyle w:val="Hyperlink"/>
            <w:szCs w:val="24"/>
          </w:rPr>
          <w:t>C22/15</w:t>
        </w:r>
      </w:hyperlink>
      <w:r w:rsidRPr="00565003">
        <w:t xml:space="preserve">, </w:t>
      </w:r>
      <w:r w:rsidR="003D2AED" w:rsidRPr="00565003">
        <w:t xml:space="preserve">qui contient son </w:t>
      </w:r>
      <w:r w:rsidR="00AD4DD8">
        <w:t>rapport sur les résultats de la </w:t>
      </w:r>
      <w:r w:rsidR="003D2AED" w:rsidRPr="00565003">
        <w:t>18ème</w:t>
      </w:r>
      <w:r w:rsidR="00CB0ED3" w:rsidRPr="00565003">
        <w:t> </w:t>
      </w:r>
      <w:r w:rsidR="003D2AED" w:rsidRPr="00565003">
        <w:t>réunion du GTC-COP</w:t>
      </w:r>
      <w:r w:rsidR="00CE1BC7" w:rsidRPr="00565003">
        <w:t>,</w:t>
      </w:r>
      <w:r w:rsidR="00CB0ED3" w:rsidRPr="00565003">
        <w:t xml:space="preserve"> </w:t>
      </w:r>
      <w:r w:rsidR="003D2AED" w:rsidRPr="00565003">
        <w:t xml:space="preserve">qui a examiné un certain nombre de documents </w:t>
      </w:r>
      <w:r w:rsidR="00492AD0" w:rsidRPr="00565003">
        <w:t>relatant l</w:t>
      </w:r>
      <w:r w:rsidR="00CB0ED3" w:rsidRPr="00565003">
        <w:t>'</w:t>
      </w:r>
      <w:r w:rsidR="00492AD0" w:rsidRPr="00565003">
        <w:t xml:space="preserve">expérience </w:t>
      </w:r>
      <w:r w:rsidR="00CE1BC7" w:rsidRPr="00565003">
        <w:t xml:space="preserve">acquise par </w:t>
      </w:r>
      <w:r w:rsidR="00492AD0" w:rsidRPr="00565003">
        <w:t>de</w:t>
      </w:r>
      <w:r w:rsidR="00CE1BC7" w:rsidRPr="00565003">
        <w:t>s</w:t>
      </w:r>
      <w:r w:rsidR="00492AD0" w:rsidRPr="00565003">
        <w:t xml:space="preserve"> pays et d</w:t>
      </w:r>
      <w:r w:rsidR="00CE1BC7" w:rsidRPr="00565003">
        <w:t>es</w:t>
      </w:r>
      <w:r w:rsidR="00CB0ED3" w:rsidRPr="00565003">
        <w:t xml:space="preserve"> </w:t>
      </w:r>
      <w:r w:rsidR="00492AD0" w:rsidRPr="00565003">
        <w:t>organisations dans le domaine de la protection en ligne des enfants</w:t>
      </w:r>
      <w:r w:rsidRPr="00565003">
        <w:t xml:space="preserve">. </w:t>
      </w:r>
      <w:r w:rsidR="00492AD0" w:rsidRPr="00565003">
        <w:t xml:space="preserve">Il invite les États Membres à </w:t>
      </w:r>
      <w:r w:rsidR="00CE1BC7" w:rsidRPr="00565003">
        <w:t>faire part des</w:t>
      </w:r>
      <w:r w:rsidR="00CB0ED3" w:rsidRPr="00565003">
        <w:t xml:space="preserve"> </w:t>
      </w:r>
      <w:r w:rsidR="00492AD0" w:rsidRPr="00565003">
        <w:t xml:space="preserve">données d'expérience </w:t>
      </w:r>
      <w:r w:rsidR="00D057D7" w:rsidRPr="00565003">
        <w:t>et</w:t>
      </w:r>
      <w:r w:rsidR="00CB0ED3" w:rsidRPr="00565003">
        <w:t xml:space="preserve"> </w:t>
      </w:r>
      <w:r w:rsidR="00CE1BC7" w:rsidRPr="00565003">
        <w:t xml:space="preserve">des </w:t>
      </w:r>
      <w:r w:rsidR="00D057D7" w:rsidRPr="00565003">
        <w:t>idées</w:t>
      </w:r>
      <w:r w:rsidR="00CB0ED3" w:rsidRPr="00565003">
        <w:t xml:space="preserve"> </w:t>
      </w:r>
      <w:r w:rsidR="00CE1BC7" w:rsidRPr="00565003">
        <w:t>présentées</w:t>
      </w:r>
      <w:r w:rsidR="00CB0ED3" w:rsidRPr="00565003">
        <w:t xml:space="preserve"> </w:t>
      </w:r>
      <w:r w:rsidR="00D057D7" w:rsidRPr="00565003">
        <w:t xml:space="preserve">dans le rapport </w:t>
      </w:r>
      <w:r w:rsidR="00CE1BC7" w:rsidRPr="00565003">
        <w:t>aux</w:t>
      </w:r>
      <w:r w:rsidR="00CB0ED3" w:rsidRPr="00565003">
        <w:t xml:space="preserve"> </w:t>
      </w:r>
      <w:r w:rsidR="00D057D7" w:rsidRPr="00565003">
        <w:t>parties prenantes nationales</w:t>
      </w:r>
      <w:r w:rsidRPr="00565003">
        <w:t>.</w:t>
      </w:r>
    </w:p>
    <w:p w14:paraId="1FDA8756" w14:textId="44FEBACC" w:rsidR="00304E63" w:rsidRPr="00565003" w:rsidRDefault="00304E63" w:rsidP="00CB0ED3">
      <w:r w:rsidRPr="00565003">
        <w:t>1.2</w:t>
      </w:r>
      <w:r w:rsidRPr="00565003">
        <w:tab/>
      </w:r>
      <w:r w:rsidR="00D057D7" w:rsidRPr="00565003">
        <w:t xml:space="preserve">Les </w:t>
      </w:r>
      <w:r w:rsidR="00CB0ED3" w:rsidRPr="00565003">
        <w:t>C</w:t>
      </w:r>
      <w:r w:rsidR="00D057D7" w:rsidRPr="00565003">
        <w:t>onseillers se félicitent du rapport</w:t>
      </w:r>
      <w:r w:rsidRPr="00565003">
        <w:t xml:space="preserve">, </w:t>
      </w:r>
      <w:r w:rsidR="00D057D7" w:rsidRPr="00565003">
        <w:t xml:space="preserve">et notamment de la </w:t>
      </w:r>
      <w:r w:rsidRPr="00565003">
        <w:t xml:space="preserve">participation </w:t>
      </w:r>
      <w:r w:rsidR="005661C4" w:rsidRPr="00565003">
        <w:t>animée</w:t>
      </w:r>
      <w:r w:rsidR="00D057D7" w:rsidRPr="00565003">
        <w:t xml:space="preserve"> </w:t>
      </w:r>
      <w:r w:rsidR="003D1AC3" w:rsidRPr="00565003">
        <w:t xml:space="preserve">et de </w:t>
      </w:r>
      <w:r w:rsidR="00CE1BC7" w:rsidRPr="00565003">
        <w:t xml:space="preserve">la mobilisation </w:t>
      </w:r>
      <w:r w:rsidR="003D1AC3" w:rsidRPr="00565003">
        <w:t>de plusieurs parties prenantes</w:t>
      </w:r>
      <w:r w:rsidRPr="00565003">
        <w:t xml:space="preserve">, </w:t>
      </w:r>
      <w:r w:rsidR="003D1AC3" w:rsidRPr="00565003">
        <w:t xml:space="preserve">qui a </w:t>
      </w:r>
      <w:r w:rsidR="00CE1BC7" w:rsidRPr="00565003">
        <w:t xml:space="preserve">permis </w:t>
      </w:r>
      <w:r w:rsidR="0071008A" w:rsidRPr="00565003">
        <w:t>de procéder à</w:t>
      </w:r>
      <w:r w:rsidR="00CE1BC7" w:rsidRPr="00565003">
        <w:t xml:space="preserve"> </w:t>
      </w:r>
      <w:r w:rsidR="003D1AC3" w:rsidRPr="00565003">
        <w:t xml:space="preserve">un examen équilibré et </w:t>
      </w:r>
      <w:r w:rsidR="0071008A" w:rsidRPr="00565003">
        <w:t xml:space="preserve">bien </w:t>
      </w:r>
      <w:r w:rsidR="003D1AC3" w:rsidRPr="00565003">
        <w:t>structuré</w:t>
      </w:r>
      <w:r w:rsidRPr="00565003">
        <w:t>.</w:t>
      </w:r>
    </w:p>
    <w:p w14:paraId="1D86BF3E" w14:textId="02C3837B" w:rsidR="00304E63" w:rsidRPr="00565003" w:rsidRDefault="00304E63" w:rsidP="00CB0ED3">
      <w:r w:rsidRPr="00565003">
        <w:t>1.3</w:t>
      </w:r>
      <w:r w:rsidRPr="00565003">
        <w:tab/>
      </w:r>
      <w:r w:rsidR="003D1AC3" w:rsidRPr="00565003">
        <w:t xml:space="preserve">Le Conseil </w:t>
      </w:r>
      <w:r w:rsidR="003D1AC3" w:rsidRPr="00565003">
        <w:rPr>
          <w:b/>
          <w:bCs/>
        </w:rPr>
        <w:t xml:space="preserve">prend </w:t>
      </w:r>
      <w:r w:rsidRPr="00565003">
        <w:rPr>
          <w:b/>
          <w:bCs/>
        </w:rPr>
        <w:t>note</w:t>
      </w:r>
      <w:r w:rsidRPr="00565003">
        <w:t xml:space="preserve"> </w:t>
      </w:r>
      <w:r w:rsidR="003D1AC3" w:rsidRPr="00565003">
        <w:t xml:space="preserve">du rapport figurant dans le </w:t>
      </w:r>
      <w:r w:rsidRPr="00565003">
        <w:t>Document C22/15.</w:t>
      </w:r>
    </w:p>
    <w:p w14:paraId="55636E8F" w14:textId="6F401F8A" w:rsidR="00304E63" w:rsidRPr="00565003" w:rsidRDefault="00304E63" w:rsidP="00CB0ED3">
      <w:r w:rsidRPr="00565003">
        <w:t>1.4</w:t>
      </w:r>
      <w:r w:rsidRPr="00565003">
        <w:tab/>
      </w:r>
      <w:r w:rsidR="003D1AC3" w:rsidRPr="00565003">
        <w:t>Le Président du GTC</w:t>
      </w:r>
      <w:r w:rsidRPr="00565003">
        <w:t xml:space="preserve">-COP </w:t>
      </w:r>
      <w:r w:rsidR="003D1AC3" w:rsidRPr="00565003">
        <w:t>présente le rapport quadriennal du Groupe</w:t>
      </w:r>
      <w:r w:rsidR="00CB0ED3" w:rsidRPr="00565003">
        <w:t xml:space="preserve"> </w:t>
      </w:r>
      <w:r w:rsidR="0071008A" w:rsidRPr="00565003">
        <w:t>(</w:t>
      </w:r>
      <w:r w:rsidRPr="00565003">
        <w:t>Document </w:t>
      </w:r>
      <w:hyperlink r:id="rId14" w:history="1">
        <w:r w:rsidRPr="00565003">
          <w:rPr>
            <w:rStyle w:val="Hyperlink"/>
            <w:szCs w:val="24"/>
          </w:rPr>
          <w:t>C22/64</w:t>
        </w:r>
      </w:hyperlink>
      <w:r w:rsidR="0071008A" w:rsidRPr="00565003">
        <w:t>),</w:t>
      </w:r>
      <w:r w:rsidR="00CB0ED3" w:rsidRPr="00565003">
        <w:t xml:space="preserve"> </w:t>
      </w:r>
      <w:r w:rsidR="003D1AC3" w:rsidRPr="00565003">
        <w:t xml:space="preserve">qui </w:t>
      </w:r>
      <w:r w:rsidR="0071008A" w:rsidRPr="00565003">
        <w:t xml:space="preserve">récapitule </w:t>
      </w:r>
      <w:r w:rsidR="003D1AC3" w:rsidRPr="00565003">
        <w:t>les résultats des quatre réunions</w:t>
      </w:r>
      <w:r w:rsidR="00CB0ED3" w:rsidRPr="00565003">
        <w:t xml:space="preserve"> </w:t>
      </w:r>
      <w:r w:rsidR="003D1AC3" w:rsidRPr="00565003">
        <w:t xml:space="preserve">tenues depuis la </w:t>
      </w:r>
      <w:r w:rsidRPr="00565003">
        <w:t>PP-</w:t>
      </w:r>
      <w:proofErr w:type="gramStart"/>
      <w:r w:rsidRPr="00565003">
        <w:t>18</w:t>
      </w:r>
      <w:r w:rsidR="00CB0ED3" w:rsidRPr="00565003">
        <w:t>;</w:t>
      </w:r>
      <w:proofErr w:type="gramEnd"/>
      <w:r w:rsidR="0071008A" w:rsidRPr="00565003">
        <w:t xml:space="preserve"> dans ce rapport, il est</w:t>
      </w:r>
      <w:r w:rsidR="00CB0ED3" w:rsidRPr="00565003">
        <w:t xml:space="preserve"> </w:t>
      </w:r>
      <w:r w:rsidR="003D1AC3" w:rsidRPr="00565003">
        <w:t>recommand</w:t>
      </w:r>
      <w:r w:rsidR="0071008A" w:rsidRPr="00565003">
        <w:t>é</w:t>
      </w:r>
      <w:r w:rsidR="00CB0ED3" w:rsidRPr="00565003">
        <w:t xml:space="preserve"> </w:t>
      </w:r>
      <w:r w:rsidR="003D1AC3" w:rsidRPr="00565003">
        <w:t>que le GTC-COP poursuive ses travaux</w:t>
      </w:r>
      <w:r w:rsidRPr="00565003">
        <w:t xml:space="preserve">, </w:t>
      </w:r>
      <w:r w:rsidR="003D1AC3" w:rsidRPr="00565003">
        <w:t xml:space="preserve">mais </w:t>
      </w:r>
      <w:r w:rsidR="0071008A" w:rsidRPr="00565003">
        <w:t xml:space="preserve">dans le cadre d'un </w:t>
      </w:r>
      <w:r w:rsidR="003D1AC3" w:rsidRPr="00565003">
        <w:t>mandat</w:t>
      </w:r>
      <w:r w:rsidR="00CB0ED3" w:rsidRPr="00565003">
        <w:t xml:space="preserve"> </w:t>
      </w:r>
      <w:r w:rsidR="003D1AC3" w:rsidRPr="00565003">
        <w:t>modifié pour mieux tenir compte de sa nature, de ses fonctions et de ses objectifs</w:t>
      </w:r>
      <w:r w:rsidRPr="00565003">
        <w:t xml:space="preserve">. </w:t>
      </w:r>
      <w:r w:rsidR="003D1AC3" w:rsidRPr="00565003">
        <w:t>Les partenaires de l</w:t>
      </w:r>
      <w:r w:rsidR="00CB0ED3" w:rsidRPr="00565003">
        <w:t>'</w:t>
      </w:r>
      <w:r w:rsidR="003D1AC3" w:rsidRPr="00565003">
        <w:t>initiative</w:t>
      </w:r>
      <w:r w:rsidR="00CB0ED3" w:rsidRPr="00565003">
        <w:t> </w:t>
      </w:r>
      <w:r w:rsidR="003D1AC3" w:rsidRPr="00565003">
        <w:t>COP de l</w:t>
      </w:r>
      <w:r w:rsidR="00CB0ED3" w:rsidRPr="00565003">
        <w:t>'</w:t>
      </w:r>
      <w:r w:rsidR="003D1AC3" w:rsidRPr="00565003">
        <w:t xml:space="preserve">Union, notamment les organisations </w:t>
      </w:r>
      <w:r w:rsidRPr="00565003">
        <w:t>international</w:t>
      </w:r>
      <w:r w:rsidR="003D1AC3" w:rsidRPr="00565003">
        <w:t>es</w:t>
      </w:r>
      <w:r w:rsidRPr="00565003">
        <w:t xml:space="preserve"> </w:t>
      </w:r>
      <w:r w:rsidR="003D1AC3" w:rsidRPr="00565003">
        <w:t>et les acteurs du secteur privé</w:t>
      </w:r>
      <w:r w:rsidRPr="00565003">
        <w:t xml:space="preserve">, </w:t>
      </w:r>
      <w:r w:rsidR="003D1AC3" w:rsidRPr="00565003">
        <w:t xml:space="preserve">sont </w:t>
      </w:r>
      <w:r w:rsidRPr="00565003">
        <w:t>invit</w:t>
      </w:r>
      <w:r w:rsidR="003D1AC3" w:rsidRPr="00565003">
        <w:t>és</w:t>
      </w:r>
      <w:r w:rsidRPr="00565003">
        <w:t xml:space="preserve"> </w:t>
      </w:r>
      <w:r w:rsidR="003D1AC3" w:rsidRPr="00565003">
        <w:t xml:space="preserve">à contribuer </w:t>
      </w:r>
      <w:r w:rsidR="0077696C" w:rsidRPr="00565003">
        <w:t>périodiquement</w:t>
      </w:r>
      <w:r w:rsidR="003D1AC3" w:rsidRPr="00565003">
        <w:t xml:space="preserve"> aux travaux du Groupe</w:t>
      </w:r>
      <w:r w:rsidRPr="00565003">
        <w:t xml:space="preserve">, </w:t>
      </w:r>
      <w:r w:rsidR="0077696C" w:rsidRPr="00565003">
        <w:t xml:space="preserve">afin de </w:t>
      </w:r>
      <w:r w:rsidR="003D1AC3" w:rsidRPr="00565003">
        <w:t>renfor</w:t>
      </w:r>
      <w:r w:rsidR="0077696C" w:rsidRPr="00565003">
        <w:t>cer</w:t>
      </w:r>
      <w:r w:rsidR="00CB0ED3" w:rsidRPr="00565003">
        <w:t xml:space="preserve"> </w:t>
      </w:r>
      <w:r w:rsidR="003D1AC3" w:rsidRPr="00565003">
        <w:t xml:space="preserve">son rôle </w:t>
      </w:r>
      <w:r w:rsidR="0077696C" w:rsidRPr="00565003">
        <w:t xml:space="preserve">en tant que </w:t>
      </w:r>
      <w:r w:rsidR="0077696C" w:rsidRPr="00565003">
        <w:rPr>
          <w:color w:val="000000"/>
        </w:rPr>
        <w:t>pôle d'échange de</w:t>
      </w:r>
      <w:r w:rsidR="00CB0ED3" w:rsidRPr="00565003">
        <w:rPr>
          <w:color w:val="000000"/>
        </w:rPr>
        <w:t xml:space="preserve"> </w:t>
      </w:r>
      <w:r w:rsidR="003D1AC3" w:rsidRPr="00565003">
        <w:t>bonnes pratiques et de</w:t>
      </w:r>
      <w:r w:rsidR="0077696C" w:rsidRPr="00565003">
        <w:t xml:space="preserve"> donnée</w:t>
      </w:r>
      <w:r w:rsidR="003D1AC3" w:rsidRPr="00565003">
        <w:t xml:space="preserve">s </w:t>
      </w:r>
      <w:r w:rsidR="0077696C" w:rsidRPr="00565003">
        <w:t>d</w:t>
      </w:r>
      <w:r w:rsidR="00CB0ED3" w:rsidRPr="00565003">
        <w:t>'</w:t>
      </w:r>
      <w:r w:rsidR="0077696C" w:rsidRPr="00565003">
        <w:t>expérience</w:t>
      </w:r>
      <w:r w:rsidR="00CB0ED3" w:rsidRPr="00565003">
        <w:t xml:space="preserve"> </w:t>
      </w:r>
      <w:r w:rsidR="003D1AC3" w:rsidRPr="00565003">
        <w:t>et de promouvoir la coopération</w:t>
      </w:r>
      <w:r w:rsidRPr="00565003">
        <w:t xml:space="preserve">. </w:t>
      </w:r>
      <w:r w:rsidR="00AD4B58" w:rsidRPr="00565003">
        <w:t xml:space="preserve">Les </w:t>
      </w:r>
      <w:r w:rsidR="0077696C" w:rsidRPr="00565003">
        <w:t>problèmes rencontrés pour</w:t>
      </w:r>
      <w:r w:rsidR="00AD4B58" w:rsidRPr="00565003">
        <w:t xml:space="preserve"> garantir la protection en ligne des enfants prennent chaque jour de l</w:t>
      </w:r>
      <w:r w:rsidR="00CB0ED3" w:rsidRPr="00565003">
        <w:t>'</w:t>
      </w:r>
      <w:r w:rsidR="00AD4B58" w:rsidRPr="00565003">
        <w:t>ampleur</w:t>
      </w:r>
      <w:r w:rsidRPr="00565003">
        <w:t xml:space="preserve">, </w:t>
      </w:r>
      <w:r w:rsidR="003149EA" w:rsidRPr="00565003">
        <w:t xml:space="preserve">en particulier </w:t>
      </w:r>
      <w:r w:rsidR="00AD4B58" w:rsidRPr="00565003">
        <w:t xml:space="preserve">dans le contexte de la pandémie de </w:t>
      </w:r>
      <w:r w:rsidRPr="00565003">
        <w:t xml:space="preserve">COVID-19, </w:t>
      </w:r>
      <w:r w:rsidR="00AD4B58" w:rsidRPr="00565003">
        <w:t xml:space="preserve">et nécessitent </w:t>
      </w:r>
      <w:r w:rsidR="003F15BE" w:rsidRPr="00565003">
        <w:t xml:space="preserve">des </w:t>
      </w:r>
      <w:r w:rsidR="00AD4B58" w:rsidRPr="00565003">
        <w:t>effort</w:t>
      </w:r>
      <w:r w:rsidR="003F15BE" w:rsidRPr="00565003">
        <w:t>s</w:t>
      </w:r>
      <w:r w:rsidR="00AD4B58" w:rsidRPr="00565003">
        <w:t xml:space="preserve"> </w:t>
      </w:r>
      <w:r w:rsidR="003F15BE" w:rsidRPr="00565003">
        <w:t xml:space="preserve">concertés </w:t>
      </w:r>
      <w:r w:rsidR="00AD4B58" w:rsidRPr="00565003">
        <w:t>pour les surmonter</w:t>
      </w:r>
      <w:r w:rsidRPr="00565003">
        <w:t xml:space="preserve">. </w:t>
      </w:r>
      <w:r w:rsidR="00AD4B58" w:rsidRPr="00565003">
        <w:t xml:space="preserve">Le Groupe </w:t>
      </w:r>
      <w:r w:rsidR="003149EA" w:rsidRPr="00565003">
        <w:t xml:space="preserve">a </w:t>
      </w:r>
      <w:r w:rsidR="00AD4B58" w:rsidRPr="00565003">
        <w:t xml:space="preserve">également </w:t>
      </w:r>
      <w:r w:rsidR="003F15BE" w:rsidRPr="00565003">
        <w:t xml:space="preserve">fourni </w:t>
      </w:r>
      <w:r w:rsidR="00AD4B58" w:rsidRPr="00565003">
        <w:t>des orientations à l</w:t>
      </w:r>
      <w:r w:rsidR="00CB0ED3" w:rsidRPr="00565003">
        <w:t>'</w:t>
      </w:r>
      <w:r w:rsidR="00AD4B58" w:rsidRPr="00565003">
        <w:t>UIT quant à ses activités dans ce domaine</w:t>
      </w:r>
      <w:r w:rsidRPr="00565003">
        <w:t xml:space="preserve">, </w:t>
      </w:r>
      <w:r w:rsidR="008A42A3" w:rsidRPr="00565003">
        <w:t xml:space="preserve">et </w:t>
      </w:r>
      <w:r w:rsidR="003149EA" w:rsidRPr="00565003">
        <w:t xml:space="preserve">a </w:t>
      </w:r>
      <w:r w:rsidR="003F15BE" w:rsidRPr="00565003">
        <w:t>suivi de près</w:t>
      </w:r>
      <w:r w:rsidR="00CB0ED3" w:rsidRPr="00565003">
        <w:t xml:space="preserve"> </w:t>
      </w:r>
      <w:r w:rsidR="008A42A3" w:rsidRPr="00565003">
        <w:t xml:space="preserve">et </w:t>
      </w:r>
      <w:r w:rsidR="003F15BE" w:rsidRPr="00565003">
        <w:t xml:space="preserve">appuyé toutes </w:t>
      </w:r>
      <w:r w:rsidR="008A42A3" w:rsidRPr="00565003">
        <w:t>les activités pertinentes de l</w:t>
      </w:r>
      <w:r w:rsidR="00CB0ED3" w:rsidRPr="00565003">
        <w:t>'</w:t>
      </w:r>
      <w:r w:rsidR="008A42A3" w:rsidRPr="00565003">
        <w:t>Union</w:t>
      </w:r>
      <w:r w:rsidRPr="00565003">
        <w:t xml:space="preserve">, </w:t>
      </w:r>
      <w:r w:rsidR="008A42A3" w:rsidRPr="00565003">
        <w:t xml:space="preserve">y compris en </w:t>
      </w:r>
      <w:r w:rsidR="003F15BE" w:rsidRPr="00565003">
        <w:t>ce qui concerne</w:t>
      </w:r>
      <w:r w:rsidR="008A42A3" w:rsidRPr="00565003">
        <w:t xml:space="preserve"> les </w:t>
      </w:r>
      <w:r w:rsidR="003149EA" w:rsidRPr="00565003">
        <w:t>L</w:t>
      </w:r>
      <w:r w:rsidR="008A42A3" w:rsidRPr="00565003">
        <w:t>ignes directrices de l</w:t>
      </w:r>
      <w:r w:rsidR="00CB0ED3" w:rsidRPr="00565003">
        <w:t>'</w:t>
      </w:r>
      <w:r w:rsidR="008A42A3" w:rsidRPr="00565003">
        <w:t xml:space="preserve">UIT </w:t>
      </w:r>
      <w:r w:rsidR="003149EA" w:rsidRPr="00565003">
        <w:t xml:space="preserve">relatives à la </w:t>
      </w:r>
      <w:r w:rsidR="008A42A3" w:rsidRPr="00565003">
        <w:t>protection en ligne des enfants</w:t>
      </w:r>
      <w:r w:rsidRPr="00565003">
        <w:t>.</w:t>
      </w:r>
    </w:p>
    <w:p w14:paraId="62955743" w14:textId="55082923" w:rsidR="00304E63" w:rsidRPr="00565003" w:rsidRDefault="00304E63" w:rsidP="00CB0ED3">
      <w:r w:rsidRPr="00565003">
        <w:t>1.5</w:t>
      </w:r>
      <w:r w:rsidRPr="00565003">
        <w:tab/>
      </w:r>
      <w:r w:rsidR="008A42A3" w:rsidRPr="00565003">
        <w:t xml:space="preserve">Les </w:t>
      </w:r>
      <w:r w:rsidR="005F71B5" w:rsidRPr="00565003">
        <w:t>C</w:t>
      </w:r>
      <w:r w:rsidR="008A42A3" w:rsidRPr="00565003">
        <w:t>onseillers</w:t>
      </w:r>
      <w:r w:rsidR="00CB0ED3" w:rsidRPr="00565003">
        <w:t xml:space="preserve"> </w:t>
      </w:r>
      <w:r w:rsidR="003F15BE" w:rsidRPr="00565003">
        <w:t xml:space="preserve">soulignent </w:t>
      </w:r>
      <w:r w:rsidR="008A42A3" w:rsidRPr="00565003">
        <w:t>l</w:t>
      </w:r>
      <w:r w:rsidR="00CB0ED3" w:rsidRPr="00565003">
        <w:t>'</w:t>
      </w:r>
      <w:r w:rsidR="008A42A3" w:rsidRPr="00565003">
        <w:t xml:space="preserve">importance et la portée mondiale </w:t>
      </w:r>
      <w:r w:rsidR="003F15BE" w:rsidRPr="00565003">
        <w:t>de la question</w:t>
      </w:r>
      <w:r w:rsidRPr="00565003">
        <w:t xml:space="preserve">, </w:t>
      </w:r>
      <w:r w:rsidR="003F15BE" w:rsidRPr="00565003">
        <w:t>compte tenu</w:t>
      </w:r>
      <w:r w:rsidR="008A42A3" w:rsidRPr="00565003">
        <w:t xml:space="preserve"> notamment du </w:t>
      </w:r>
      <w:r w:rsidR="003F15BE" w:rsidRPr="00565003">
        <w:t xml:space="preserve">fait que le </w:t>
      </w:r>
      <w:r w:rsidR="008A42A3" w:rsidRPr="00565003">
        <w:t>temps passé en ligne</w:t>
      </w:r>
      <w:r w:rsidR="00CB0ED3" w:rsidRPr="00565003">
        <w:t xml:space="preserve"> </w:t>
      </w:r>
      <w:r w:rsidR="008A42A3" w:rsidRPr="00565003">
        <w:t>est plus long</w:t>
      </w:r>
      <w:r w:rsidR="00AD4DD8">
        <w:t xml:space="preserve"> que jamais dans le contexte du </w:t>
      </w:r>
      <w:r w:rsidRPr="00565003">
        <w:t>COVID-19</w:t>
      </w:r>
      <w:r w:rsidR="00CB0ED3" w:rsidRPr="00565003">
        <w:t xml:space="preserve"> </w:t>
      </w:r>
      <w:r w:rsidR="008A42A3" w:rsidRPr="00565003">
        <w:t xml:space="preserve">et </w:t>
      </w:r>
      <w:r w:rsidR="003F15BE" w:rsidRPr="00565003">
        <w:t>que</w:t>
      </w:r>
      <w:r w:rsidR="008A42A3" w:rsidRPr="00565003">
        <w:t xml:space="preserve"> l</w:t>
      </w:r>
      <w:r w:rsidR="00CB0ED3" w:rsidRPr="00565003">
        <w:t>'</w:t>
      </w:r>
      <w:r w:rsidR="008A42A3" w:rsidRPr="00565003">
        <w:t>UIT</w:t>
      </w:r>
      <w:r w:rsidR="003F15BE" w:rsidRPr="00565003">
        <w:t xml:space="preserve"> est particulièrement bien placée</w:t>
      </w:r>
      <w:r w:rsidR="008A42A3" w:rsidRPr="00565003">
        <w:t xml:space="preserve"> pour </w:t>
      </w:r>
      <w:r w:rsidR="00606469" w:rsidRPr="00565003">
        <w:t xml:space="preserve">défendre cette </w:t>
      </w:r>
      <w:r w:rsidRPr="00565003">
        <w:t xml:space="preserve">cause, </w:t>
      </w:r>
      <w:r w:rsidR="003F15BE" w:rsidRPr="00565003">
        <w:t xml:space="preserve">et </w:t>
      </w:r>
      <w:r w:rsidR="00606469" w:rsidRPr="00565003">
        <w:t xml:space="preserve">souscrivent à la </w:t>
      </w:r>
      <w:r w:rsidRPr="00565003">
        <w:t>recomm</w:t>
      </w:r>
      <w:r w:rsidR="00606469" w:rsidRPr="00565003">
        <w:t>a</w:t>
      </w:r>
      <w:r w:rsidRPr="00565003">
        <w:t xml:space="preserve">ndation </w:t>
      </w:r>
      <w:r w:rsidR="003F15BE" w:rsidRPr="00565003">
        <w:t xml:space="preserve">tendant </w:t>
      </w:r>
      <w:r w:rsidR="00606469" w:rsidRPr="00565003">
        <w:t>à ce que l</w:t>
      </w:r>
      <w:r w:rsidR="003149EA" w:rsidRPr="00565003">
        <w:t>e</w:t>
      </w:r>
      <w:r w:rsidR="00606469" w:rsidRPr="00565003">
        <w:t xml:space="preserve"> GTC</w:t>
      </w:r>
      <w:r w:rsidRPr="00565003">
        <w:t xml:space="preserve">-COP </w:t>
      </w:r>
      <w:r w:rsidR="00606469" w:rsidRPr="00565003">
        <w:t>poursuive ses travaux</w:t>
      </w:r>
      <w:r w:rsidRPr="00565003">
        <w:t>,</w:t>
      </w:r>
      <w:r w:rsidR="00CB0ED3" w:rsidRPr="00565003">
        <w:t xml:space="preserve"> </w:t>
      </w:r>
      <w:r w:rsidR="00606469" w:rsidRPr="00565003">
        <w:t xml:space="preserve">plusieurs </w:t>
      </w:r>
      <w:r w:rsidR="005F71B5" w:rsidRPr="00565003">
        <w:t>C</w:t>
      </w:r>
      <w:r w:rsidR="00606469" w:rsidRPr="00565003">
        <w:t xml:space="preserve">onseillers </w:t>
      </w:r>
      <w:r w:rsidR="00070111" w:rsidRPr="00565003">
        <w:t>étant d</w:t>
      </w:r>
      <w:r w:rsidR="00CB0ED3" w:rsidRPr="00565003">
        <w:t>'</w:t>
      </w:r>
      <w:r w:rsidR="00070111" w:rsidRPr="00565003">
        <w:t xml:space="preserve">avis </w:t>
      </w:r>
      <w:r w:rsidR="00606469" w:rsidRPr="00565003">
        <w:t xml:space="preserve">que </w:t>
      </w:r>
      <w:r w:rsidR="00070111" w:rsidRPr="00565003">
        <w:t>le</w:t>
      </w:r>
      <w:r w:rsidR="00CB0ED3" w:rsidRPr="00565003">
        <w:t xml:space="preserve"> </w:t>
      </w:r>
      <w:r w:rsidR="00606469" w:rsidRPr="00565003">
        <w:t xml:space="preserve">mandat </w:t>
      </w:r>
      <w:r w:rsidR="00070111" w:rsidRPr="00565003">
        <w:t xml:space="preserve">de ce Groupe </w:t>
      </w:r>
      <w:r w:rsidR="00606469" w:rsidRPr="00565003">
        <w:t>devrait en effet être modifié</w:t>
      </w:r>
      <w:r w:rsidRPr="00565003">
        <w:t>.</w:t>
      </w:r>
      <w:r w:rsidR="005F71B5" w:rsidRPr="00565003">
        <w:t xml:space="preserve"> </w:t>
      </w:r>
      <w:r w:rsidR="00070111" w:rsidRPr="00565003">
        <w:t>Néanmoins,</w:t>
      </w:r>
      <w:r w:rsidR="00CB0ED3" w:rsidRPr="00565003">
        <w:t xml:space="preserve"> </w:t>
      </w:r>
      <w:bookmarkStart w:id="14" w:name="_Hlk99615913"/>
      <w:r w:rsidR="00070111" w:rsidRPr="00565003">
        <w:t xml:space="preserve">deux </w:t>
      </w:r>
      <w:r w:rsidR="005F71B5" w:rsidRPr="00565003">
        <w:t>C</w:t>
      </w:r>
      <w:r w:rsidR="00606469" w:rsidRPr="00565003">
        <w:t>onseillers</w:t>
      </w:r>
      <w:r w:rsidR="00CB0ED3" w:rsidRPr="00565003">
        <w:t xml:space="preserve"> </w:t>
      </w:r>
      <w:r w:rsidRPr="00565003">
        <w:t>consid</w:t>
      </w:r>
      <w:r w:rsidR="00606469" w:rsidRPr="00565003">
        <w:t>èrent que le Groupe devrait</w:t>
      </w:r>
      <w:r w:rsidRPr="00565003">
        <w:t xml:space="preserve"> </w:t>
      </w:r>
      <w:r w:rsidR="00606469" w:rsidRPr="00565003">
        <w:t xml:space="preserve">poursuivre ses travaux sous </w:t>
      </w:r>
      <w:r w:rsidR="003149EA" w:rsidRPr="00565003">
        <w:t xml:space="preserve">sa </w:t>
      </w:r>
      <w:r w:rsidR="00606469" w:rsidRPr="00565003">
        <w:t xml:space="preserve">forme actuelle et </w:t>
      </w:r>
      <w:r w:rsidR="00070111" w:rsidRPr="00565003">
        <w:t>dans le cadre</w:t>
      </w:r>
      <w:r w:rsidR="00606469" w:rsidRPr="00565003">
        <w:t xml:space="preserve"> de son mandat </w:t>
      </w:r>
      <w:bookmarkEnd w:id="14"/>
      <w:r w:rsidR="00606469" w:rsidRPr="00565003">
        <w:t>actuel</w:t>
      </w:r>
      <w:r w:rsidRPr="00565003">
        <w:t>.</w:t>
      </w:r>
    </w:p>
    <w:p w14:paraId="16419416" w14:textId="3406F2F4" w:rsidR="00304E63" w:rsidRPr="00565003" w:rsidRDefault="00304E63" w:rsidP="00CB0ED3">
      <w:r w:rsidRPr="00565003">
        <w:t>1.6</w:t>
      </w:r>
      <w:r w:rsidRPr="00565003">
        <w:tab/>
      </w:r>
      <w:r w:rsidR="001014B6" w:rsidRPr="00565003">
        <w:t xml:space="preserve">Plusieurs </w:t>
      </w:r>
      <w:r w:rsidR="005F71B5" w:rsidRPr="00565003">
        <w:t>C</w:t>
      </w:r>
      <w:r w:rsidR="001014B6" w:rsidRPr="00565003">
        <w:t xml:space="preserve">onseillers </w:t>
      </w:r>
      <w:r w:rsidR="00070111" w:rsidRPr="00565003">
        <w:t>préconisent un</w:t>
      </w:r>
      <w:r w:rsidR="001014B6" w:rsidRPr="00565003">
        <w:t xml:space="preserve"> </w:t>
      </w:r>
      <w:r w:rsidR="00082000" w:rsidRPr="00565003">
        <w:t>renforcement</w:t>
      </w:r>
      <w:r w:rsidR="001014B6" w:rsidRPr="00565003">
        <w:t xml:space="preserve"> de la </w:t>
      </w:r>
      <w:r w:rsidRPr="00565003">
        <w:t>coop</w:t>
      </w:r>
      <w:r w:rsidR="001014B6" w:rsidRPr="00565003">
        <w:t>é</w:t>
      </w:r>
      <w:r w:rsidRPr="00565003">
        <w:t xml:space="preserve">ration </w:t>
      </w:r>
      <w:r w:rsidR="001014B6" w:rsidRPr="00565003">
        <w:t>avec</w:t>
      </w:r>
      <w:r w:rsidR="00CB0ED3" w:rsidRPr="00565003">
        <w:t xml:space="preserve"> </w:t>
      </w:r>
      <w:r w:rsidR="00070111" w:rsidRPr="00565003">
        <w:rPr>
          <w:color w:val="000000"/>
        </w:rPr>
        <w:t xml:space="preserve">l'Internet Corporation for </w:t>
      </w:r>
      <w:proofErr w:type="spellStart"/>
      <w:r w:rsidR="00070111" w:rsidRPr="00565003">
        <w:rPr>
          <w:color w:val="000000"/>
        </w:rPr>
        <w:t>Assigned</w:t>
      </w:r>
      <w:proofErr w:type="spellEnd"/>
      <w:r w:rsidR="00070111" w:rsidRPr="00565003">
        <w:rPr>
          <w:color w:val="000000"/>
        </w:rPr>
        <w:t xml:space="preserve"> </w:t>
      </w:r>
      <w:proofErr w:type="spellStart"/>
      <w:r w:rsidR="00070111" w:rsidRPr="00565003">
        <w:rPr>
          <w:color w:val="000000"/>
        </w:rPr>
        <w:t>Names</w:t>
      </w:r>
      <w:proofErr w:type="spellEnd"/>
      <w:r w:rsidR="00070111" w:rsidRPr="00565003">
        <w:rPr>
          <w:color w:val="000000"/>
        </w:rPr>
        <w:t xml:space="preserve"> and Numbers</w:t>
      </w:r>
      <w:r w:rsidR="00070111" w:rsidRPr="00565003" w:rsidDel="00070111">
        <w:t xml:space="preserve"> </w:t>
      </w:r>
      <w:r w:rsidR="00082000" w:rsidRPr="00565003">
        <w:t>(ICANN) et son Comité consultatif gouvernemental (GAC)</w:t>
      </w:r>
      <w:r w:rsidRPr="00565003">
        <w:t xml:space="preserve">, </w:t>
      </w:r>
      <w:r w:rsidR="00082000" w:rsidRPr="00565003">
        <w:t>notamment en ce qui concerne l</w:t>
      </w:r>
      <w:r w:rsidR="00CB0ED3" w:rsidRPr="00565003">
        <w:t>'</w:t>
      </w:r>
      <w:r w:rsidR="00082000" w:rsidRPr="00565003">
        <w:t>utilisation abusive du système des noms de domaine</w:t>
      </w:r>
      <w:r w:rsidRPr="00565003">
        <w:t xml:space="preserve">. </w:t>
      </w:r>
      <w:r w:rsidR="00082000" w:rsidRPr="00565003">
        <w:t xml:space="preserve">Des </w:t>
      </w:r>
      <w:r w:rsidR="005F71B5" w:rsidRPr="00565003">
        <w:t>C</w:t>
      </w:r>
      <w:r w:rsidR="00082000" w:rsidRPr="00565003">
        <w:t xml:space="preserve">onseillers </w:t>
      </w:r>
      <w:r w:rsidR="00070111" w:rsidRPr="00565003">
        <w:t xml:space="preserve">demandent </w:t>
      </w:r>
      <w:r w:rsidR="00082000" w:rsidRPr="00565003">
        <w:t>que</w:t>
      </w:r>
      <w:r w:rsidR="00CB0ED3" w:rsidRPr="00565003">
        <w:t xml:space="preserve"> </w:t>
      </w:r>
      <w:r w:rsidR="00082000" w:rsidRPr="00565003">
        <w:t>des rapports sur les activités de l</w:t>
      </w:r>
      <w:r w:rsidR="00CB0ED3" w:rsidRPr="00565003">
        <w:t>'</w:t>
      </w:r>
      <w:r w:rsidR="00082000" w:rsidRPr="00565003">
        <w:t xml:space="preserve">ICANN et du GAC </w:t>
      </w:r>
      <w:r w:rsidR="00070111" w:rsidRPr="00565003">
        <w:t>soient soumis à intervalles réguliers concernant la</w:t>
      </w:r>
      <w:r w:rsidR="00082000" w:rsidRPr="00565003">
        <w:t xml:space="preserve"> protection en ligne des enfants et</w:t>
      </w:r>
      <w:r w:rsidR="00CB0ED3" w:rsidRPr="00565003">
        <w:t xml:space="preserve"> </w:t>
      </w:r>
      <w:r w:rsidR="00082000" w:rsidRPr="00565003">
        <w:t>la participation de l</w:t>
      </w:r>
      <w:r w:rsidR="00CB0ED3" w:rsidRPr="00565003">
        <w:t>'</w:t>
      </w:r>
      <w:r w:rsidR="00082000" w:rsidRPr="00565003">
        <w:t xml:space="preserve">UIT </w:t>
      </w:r>
      <w:r w:rsidR="00070111" w:rsidRPr="00565003">
        <w:t>aux travaux</w:t>
      </w:r>
      <w:r w:rsidR="00CB0ED3" w:rsidRPr="00565003">
        <w:t xml:space="preserve"> </w:t>
      </w:r>
      <w:r w:rsidR="00082000" w:rsidRPr="00565003">
        <w:t xml:space="preserve">du </w:t>
      </w:r>
      <w:r w:rsidRPr="00565003">
        <w:t>GAC.</w:t>
      </w:r>
    </w:p>
    <w:p w14:paraId="6CDAD54C" w14:textId="4EDBB7C5" w:rsidR="00304E63" w:rsidRPr="00565003" w:rsidRDefault="00304E63" w:rsidP="00CB0ED3">
      <w:r w:rsidRPr="00565003">
        <w:t>1.7</w:t>
      </w:r>
      <w:r w:rsidRPr="00565003">
        <w:tab/>
      </w:r>
      <w:r w:rsidR="00070111" w:rsidRPr="00565003">
        <w:t>Le</w:t>
      </w:r>
      <w:r w:rsidR="00082000" w:rsidRPr="00565003">
        <w:t xml:space="preserve"> Président du GTC</w:t>
      </w:r>
      <w:r w:rsidRPr="00565003">
        <w:t>-COP</w:t>
      </w:r>
      <w:r w:rsidR="00070111" w:rsidRPr="00565003">
        <w:t xml:space="preserve"> fait valoir</w:t>
      </w:r>
      <w:r w:rsidR="00CB0ED3" w:rsidRPr="00565003">
        <w:t xml:space="preserve"> </w:t>
      </w:r>
      <w:r w:rsidR="00070111" w:rsidRPr="00565003">
        <w:t>qu</w:t>
      </w:r>
      <w:r w:rsidR="00CB0ED3" w:rsidRPr="00565003">
        <w:t>'</w:t>
      </w:r>
      <w:r w:rsidR="00082000" w:rsidRPr="00565003">
        <w:t>une</w:t>
      </w:r>
      <w:r w:rsidR="00CB0ED3" w:rsidRPr="00565003">
        <w:t xml:space="preserve"> </w:t>
      </w:r>
      <w:r w:rsidR="00082000" w:rsidRPr="00565003">
        <w:t xml:space="preserve">attention </w:t>
      </w:r>
      <w:r w:rsidR="00016736" w:rsidRPr="00565003">
        <w:t xml:space="preserve">accrue a </w:t>
      </w:r>
      <w:r w:rsidR="00082000" w:rsidRPr="00565003">
        <w:t xml:space="preserve">été </w:t>
      </w:r>
      <w:r w:rsidR="00016736" w:rsidRPr="00565003">
        <w:t xml:space="preserve">accordée </w:t>
      </w:r>
      <w:r w:rsidR="00082000" w:rsidRPr="00565003">
        <w:t xml:space="preserve">à la question des partenariats </w:t>
      </w:r>
      <w:r w:rsidR="00016736" w:rsidRPr="00565003">
        <w:t xml:space="preserve">liés </w:t>
      </w:r>
      <w:r w:rsidR="00C21A9A" w:rsidRPr="00565003">
        <w:t>à l</w:t>
      </w:r>
      <w:r w:rsidR="00CB0ED3" w:rsidRPr="00565003">
        <w:t>'</w:t>
      </w:r>
      <w:r w:rsidR="00C21A9A" w:rsidRPr="00565003">
        <w:t xml:space="preserve">initiative </w:t>
      </w:r>
      <w:r w:rsidR="00082000" w:rsidRPr="00565003">
        <w:t>COP de l</w:t>
      </w:r>
      <w:r w:rsidR="00CB0ED3" w:rsidRPr="00565003">
        <w:t>'</w:t>
      </w:r>
      <w:r w:rsidR="00082000" w:rsidRPr="00565003">
        <w:t>UIT au cours des deux réunions précédentes du Groupe</w:t>
      </w:r>
      <w:r w:rsidRPr="00565003">
        <w:t xml:space="preserve">, </w:t>
      </w:r>
      <w:r w:rsidR="00016736" w:rsidRPr="00565003">
        <w:t>de sorte qu</w:t>
      </w:r>
      <w:r w:rsidR="00CB0ED3" w:rsidRPr="00565003">
        <w:t>'</w:t>
      </w:r>
      <w:r w:rsidR="00016736" w:rsidRPr="00565003">
        <w:t>il serait opportun</w:t>
      </w:r>
      <w:r w:rsidR="00CB0ED3" w:rsidRPr="00565003">
        <w:t xml:space="preserve"> </w:t>
      </w:r>
      <w:r w:rsidR="00082000" w:rsidRPr="00565003">
        <w:t>de renforcer la collaboration avec l</w:t>
      </w:r>
      <w:r w:rsidR="00CB0ED3" w:rsidRPr="00565003">
        <w:t>'</w:t>
      </w:r>
      <w:r w:rsidRPr="00565003">
        <w:t xml:space="preserve">ICANN </w:t>
      </w:r>
      <w:r w:rsidR="00082000" w:rsidRPr="00565003">
        <w:t>et de l</w:t>
      </w:r>
      <w:r w:rsidR="00CB0ED3" w:rsidRPr="00565003">
        <w:t>'</w:t>
      </w:r>
      <w:r w:rsidRPr="00565003">
        <w:t>invite</w:t>
      </w:r>
      <w:r w:rsidR="00082000" w:rsidRPr="00565003">
        <w:t>r</w:t>
      </w:r>
      <w:r w:rsidRPr="00565003">
        <w:t xml:space="preserve"> </w:t>
      </w:r>
      <w:r w:rsidR="00082000" w:rsidRPr="00565003">
        <w:t xml:space="preserve">à </w:t>
      </w:r>
      <w:r w:rsidRPr="00565003">
        <w:t>particip</w:t>
      </w:r>
      <w:r w:rsidR="00082000" w:rsidRPr="00565003">
        <w:t>er</w:t>
      </w:r>
      <w:r w:rsidRPr="00565003">
        <w:t xml:space="preserve"> </w:t>
      </w:r>
      <w:r w:rsidR="00082000" w:rsidRPr="00565003">
        <w:t>aux travaux du Groupe</w:t>
      </w:r>
      <w:r w:rsidRPr="00565003">
        <w:t>.</w:t>
      </w:r>
    </w:p>
    <w:p w14:paraId="5D49E277" w14:textId="77777777" w:rsidR="005F71B5" w:rsidRPr="00565003" w:rsidRDefault="005F71B5" w:rsidP="00CB0ED3">
      <w:r w:rsidRPr="00565003">
        <w:br w:type="page"/>
      </w:r>
    </w:p>
    <w:p w14:paraId="2235C57D" w14:textId="67F9810E" w:rsidR="00304E63" w:rsidRPr="00565003" w:rsidRDefault="00304E63" w:rsidP="00CB0ED3">
      <w:r w:rsidRPr="00565003">
        <w:lastRenderedPageBreak/>
        <w:t>1.8</w:t>
      </w:r>
      <w:r w:rsidRPr="00565003">
        <w:tab/>
      </w:r>
      <w:r w:rsidR="0071447D" w:rsidRPr="00565003">
        <w:t xml:space="preserve">Des </w:t>
      </w:r>
      <w:r w:rsidR="005F71B5" w:rsidRPr="00565003">
        <w:t>C</w:t>
      </w:r>
      <w:r w:rsidR="0071447D" w:rsidRPr="00565003">
        <w:t>onseillers demandent également une plus grande participation des bureaux régionaux de l'UIT</w:t>
      </w:r>
      <w:r w:rsidRPr="00565003">
        <w:t xml:space="preserve">, </w:t>
      </w:r>
      <w:r w:rsidR="0071447D" w:rsidRPr="00565003">
        <w:t>tandis qu</w:t>
      </w:r>
      <w:r w:rsidR="00CB0ED3" w:rsidRPr="00565003">
        <w:t>'</w:t>
      </w:r>
      <w:r w:rsidR="0071447D" w:rsidRPr="00565003">
        <w:t xml:space="preserve">un </w:t>
      </w:r>
      <w:r w:rsidR="005F71B5" w:rsidRPr="00565003">
        <w:t>C</w:t>
      </w:r>
      <w:r w:rsidR="0071447D" w:rsidRPr="00565003">
        <w:t xml:space="preserve">onseiller suggère </w:t>
      </w:r>
      <w:r w:rsidR="00016736" w:rsidRPr="00565003">
        <w:t>d</w:t>
      </w:r>
      <w:r w:rsidR="00CB0ED3" w:rsidRPr="00565003">
        <w:t>'</w:t>
      </w:r>
      <w:r w:rsidR="00016736" w:rsidRPr="00565003">
        <w:t>intensifier</w:t>
      </w:r>
      <w:r w:rsidR="00CB0ED3" w:rsidRPr="00565003">
        <w:t xml:space="preserve"> </w:t>
      </w:r>
      <w:r w:rsidR="0071447D" w:rsidRPr="00565003">
        <w:t xml:space="preserve">la </w:t>
      </w:r>
      <w:r w:rsidRPr="00565003">
        <w:t xml:space="preserve">collaboration </w:t>
      </w:r>
      <w:r w:rsidR="0071447D" w:rsidRPr="00565003">
        <w:t>avec le Fonds des Nations</w:t>
      </w:r>
      <w:r w:rsidR="005F71B5" w:rsidRPr="00565003">
        <w:t> </w:t>
      </w:r>
      <w:r w:rsidR="0071447D" w:rsidRPr="00565003">
        <w:t>Unies pour l'enfance (UNICEF) et ses bureaux régionaux</w:t>
      </w:r>
      <w:r w:rsidRPr="00565003">
        <w:t xml:space="preserve">, </w:t>
      </w:r>
      <w:r w:rsidR="0071447D" w:rsidRPr="00565003">
        <w:t>ainsi qu</w:t>
      </w:r>
      <w:r w:rsidR="00CB0ED3" w:rsidRPr="00565003">
        <w:t>'</w:t>
      </w:r>
      <w:r w:rsidR="0071447D" w:rsidRPr="00565003">
        <w:t>avec le système des coordonnateurs résidents des Nations Unies</w:t>
      </w:r>
      <w:r w:rsidRPr="00565003">
        <w:t>.</w:t>
      </w:r>
    </w:p>
    <w:p w14:paraId="03E61013" w14:textId="435A2245" w:rsidR="00304E63" w:rsidRPr="00565003" w:rsidRDefault="00304E63" w:rsidP="00CB0ED3">
      <w:r w:rsidRPr="00565003">
        <w:t>1.9</w:t>
      </w:r>
      <w:r w:rsidRPr="00565003">
        <w:tab/>
      </w:r>
      <w:r w:rsidR="0071447D" w:rsidRPr="00565003">
        <w:t xml:space="preserve">Des </w:t>
      </w:r>
      <w:r w:rsidR="005F71B5" w:rsidRPr="00565003">
        <w:t>C</w:t>
      </w:r>
      <w:r w:rsidR="0071447D" w:rsidRPr="00565003">
        <w:t>onseillers</w:t>
      </w:r>
      <w:r w:rsidR="00016736" w:rsidRPr="00565003">
        <w:t xml:space="preserve"> demandent que la question soit examinée</w:t>
      </w:r>
      <w:r w:rsidR="0071447D" w:rsidRPr="00565003">
        <w:t xml:space="preserve"> </w:t>
      </w:r>
      <w:r w:rsidR="00016736" w:rsidRPr="00565003">
        <w:t xml:space="preserve">de manière </w:t>
      </w:r>
      <w:r w:rsidR="0071447D" w:rsidRPr="00565003">
        <w:t>approfondi</w:t>
      </w:r>
      <w:r w:rsidR="00016736" w:rsidRPr="00565003">
        <w:t>e et</w:t>
      </w:r>
      <w:r w:rsidR="00CB0ED3" w:rsidRPr="00565003">
        <w:t xml:space="preserve"> </w:t>
      </w:r>
      <w:r w:rsidR="0071447D" w:rsidRPr="00565003">
        <w:t>sous tous</w:t>
      </w:r>
      <w:r w:rsidR="00CB0ED3" w:rsidRPr="00565003">
        <w:t xml:space="preserve"> </w:t>
      </w:r>
      <w:r w:rsidR="00016736" w:rsidRPr="00565003">
        <w:t>ses aspects</w:t>
      </w:r>
      <w:r w:rsidR="00CB0ED3" w:rsidRPr="00565003">
        <w:t>,</w:t>
      </w:r>
      <w:r w:rsidRPr="00565003">
        <w:t xml:space="preserve"> </w:t>
      </w:r>
      <w:r w:rsidR="0071447D" w:rsidRPr="00565003">
        <w:t xml:space="preserve">y compris le problème </w:t>
      </w:r>
      <w:r w:rsidR="00AC3445" w:rsidRPr="00565003">
        <w:t xml:space="preserve">de plus en plus préoccupant </w:t>
      </w:r>
      <w:r w:rsidR="0071447D" w:rsidRPr="00565003">
        <w:t>de</w:t>
      </w:r>
      <w:r w:rsidR="00AC3445" w:rsidRPr="00565003">
        <w:t>s</w:t>
      </w:r>
      <w:r w:rsidR="0071447D" w:rsidRPr="00565003">
        <w:t xml:space="preserve"> </w:t>
      </w:r>
      <w:r w:rsidR="00C21A9A" w:rsidRPr="00565003">
        <w:t>escroquerie</w:t>
      </w:r>
      <w:r w:rsidR="00AC3445" w:rsidRPr="00565003">
        <w:t>s</w:t>
      </w:r>
      <w:r w:rsidR="00C21A9A" w:rsidRPr="00565003">
        <w:t xml:space="preserve"> en ligne </w:t>
      </w:r>
      <w:r w:rsidR="0071447D" w:rsidRPr="00565003">
        <w:t xml:space="preserve">et </w:t>
      </w:r>
      <w:r w:rsidR="00C21A9A" w:rsidRPr="00565003">
        <w:t>d</w:t>
      </w:r>
      <w:r w:rsidR="00932246" w:rsidRPr="00565003">
        <w:t>e la</w:t>
      </w:r>
      <w:r w:rsidR="00C21A9A" w:rsidRPr="00565003">
        <w:t xml:space="preserve"> </w:t>
      </w:r>
      <w:r w:rsidR="00932246" w:rsidRPr="00565003">
        <w:t>cyberintimidation</w:t>
      </w:r>
      <w:r w:rsidRPr="00565003">
        <w:t xml:space="preserve">, </w:t>
      </w:r>
      <w:r w:rsidR="00C21A9A" w:rsidRPr="00565003">
        <w:t>et encourage</w:t>
      </w:r>
      <w:r w:rsidR="00B866F1" w:rsidRPr="00565003">
        <w:t>nt</w:t>
      </w:r>
      <w:r w:rsidR="00C21A9A" w:rsidRPr="00565003">
        <w:t xml:space="preserve"> la participation</w:t>
      </w:r>
      <w:r w:rsidR="00CB0ED3" w:rsidRPr="00565003">
        <w:t xml:space="preserve"> </w:t>
      </w:r>
      <w:r w:rsidR="00AC3445" w:rsidRPr="00565003">
        <w:t xml:space="preserve">constante </w:t>
      </w:r>
      <w:r w:rsidR="00C21A9A" w:rsidRPr="00565003">
        <w:t>de plusieurs parties prenantes au</w:t>
      </w:r>
      <w:r w:rsidR="00AC3445" w:rsidRPr="00565003">
        <w:t>x travaux du</w:t>
      </w:r>
      <w:r w:rsidR="00CB0ED3" w:rsidRPr="00565003">
        <w:t xml:space="preserve"> </w:t>
      </w:r>
      <w:r w:rsidR="00C21A9A" w:rsidRPr="00565003">
        <w:t>GTC</w:t>
      </w:r>
      <w:r w:rsidRPr="00565003">
        <w:t xml:space="preserve">-COP. </w:t>
      </w:r>
      <w:r w:rsidR="00C21A9A" w:rsidRPr="00565003">
        <w:t xml:space="preserve">Plusieurs </w:t>
      </w:r>
      <w:r w:rsidR="005F71B5" w:rsidRPr="00565003">
        <w:t>C</w:t>
      </w:r>
      <w:r w:rsidR="00C21A9A" w:rsidRPr="00565003">
        <w:t>onseillers insistent sur le fait qu</w:t>
      </w:r>
      <w:r w:rsidR="00CB0ED3" w:rsidRPr="00565003">
        <w:t>'</w:t>
      </w:r>
      <w:r w:rsidR="00C21A9A" w:rsidRPr="00565003">
        <w:t>il est important que l</w:t>
      </w:r>
      <w:r w:rsidR="00CB0ED3" w:rsidRPr="00565003">
        <w:t>'</w:t>
      </w:r>
      <w:r w:rsidR="00C21A9A" w:rsidRPr="00565003">
        <w:t>UIT</w:t>
      </w:r>
      <w:r w:rsidR="00CB0ED3" w:rsidRPr="00565003">
        <w:t xml:space="preserve"> </w:t>
      </w:r>
      <w:r w:rsidR="00AC3445" w:rsidRPr="00565003">
        <w:t>s</w:t>
      </w:r>
      <w:r w:rsidR="00CB0ED3" w:rsidRPr="00565003">
        <w:t>'</w:t>
      </w:r>
      <w:r w:rsidR="00AC3445" w:rsidRPr="00565003">
        <w:t xml:space="preserve">adresse </w:t>
      </w:r>
      <w:r w:rsidR="003149EA" w:rsidRPr="00565003">
        <w:t>également</w:t>
      </w:r>
      <w:r w:rsidR="00CB0ED3" w:rsidRPr="00565003">
        <w:t xml:space="preserve"> </w:t>
      </w:r>
      <w:r w:rsidR="00AC3445" w:rsidRPr="00565003">
        <w:t>aux</w:t>
      </w:r>
      <w:r w:rsidR="00C21A9A" w:rsidRPr="00565003">
        <w:t xml:space="preserve"> parents, </w:t>
      </w:r>
      <w:r w:rsidR="00AC3445" w:rsidRPr="00565003">
        <w:t xml:space="preserve">aux </w:t>
      </w:r>
      <w:r w:rsidR="00C21A9A" w:rsidRPr="00565003">
        <w:t xml:space="preserve">éducateurs et </w:t>
      </w:r>
      <w:r w:rsidR="00AC3445" w:rsidRPr="00565003">
        <w:t>aux</w:t>
      </w:r>
      <w:r w:rsidR="00CB0ED3" w:rsidRPr="00565003">
        <w:t xml:space="preserve"> </w:t>
      </w:r>
      <w:r w:rsidR="00C21A9A" w:rsidRPr="00565003">
        <w:t xml:space="preserve">aidants proches dans le cadre de ses </w:t>
      </w:r>
      <w:r w:rsidRPr="00565003">
        <w:t>initiatives</w:t>
      </w:r>
      <w:r w:rsidR="00C21A9A" w:rsidRPr="00565003">
        <w:t xml:space="preserve"> </w:t>
      </w:r>
      <w:r w:rsidR="00C35DAE" w:rsidRPr="00565003">
        <w:rPr>
          <w:color w:val="000000"/>
        </w:rPr>
        <w:t>dans le domaine de la protection en ligne des enfants</w:t>
      </w:r>
      <w:r w:rsidR="00CB0ED3" w:rsidRPr="00565003">
        <w:rPr>
          <w:color w:val="000000"/>
        </w:rPr>
        <w:t>.</w:t>
      </w:r>
    </w:p>
    <w:p w14:paraId="2C035D34" w14:textId="44298219" w:rsidR="00304E63" w:rsidRPr="00565003" w:rsidRDefault="00304E63" w:rsidP="00CB0ED3">
      <w:r w:rsidRPr="00565003">
        <w:t>1.10</w:t>
      </w:r>
      <w:r w:rsidRPr="00565003">
        <w:tab/>
      </w:r>
      <w:r w:rsidR="00C44E9D" w:rsidRPr="00565003">
        <w:t>En réponse à une question, la Directrice du BDT</w:t>
      </w:r>
      <w:r w:rsidR="00CB0ED3" w:rsidRPr="00565003">
        <w:t xml:space="preserve"> </w:t>
      </w:r>
      <w:r w:rsidR="00C35DAE" w:rsidRPr="00565003">
        <w:t>précise</w:t>
      </w:r>
      <w:r w:rsidR="00CB0ED3" w:rsidRPr="00565003">
        <w:t xml:space="preserve"> </w:t>
      </w:r>
      <w:r w:rsidR="00C44E9D" w:rsidRPr="00565003">
        <w:t>que les commentaires sont d</w:t>
      </w:r>
      <w:r w:rsidR="00CB0ED3" w:rsidRPr="00565003">
        <w:t>'</w:t>
      </w:r>
      <w:r w:rsidR="00C44E9D" w:rsidRPr="00565003">
        <w:t>une importance capitale pour assurer le succès des initiatives</w:t>
      </w:r>
      <w:r w:rsidR="00CB0ED3" w:rsidRPr="00565003">
        <w:t xml:space="preserve"> </w:t>
      </w:r>
      <w:r w:rsidR="00C44E9D" w:rsidRPr="00565003">
        <w:t>de l</w:t>
      </w:r>
      <w:r w:rsidR="00CB0ED3" w:rsidRPr="00565003">
        <w:t>'</w:t>
      </w:r>
      <w:r w:rsidR="00C44E9D" w:rsidRPr="00565003">
        <w:t>Union</w:t>
      </w:r>
      <w:r w:rsidR="00C35DAE" w:rsidRPr="00565003">
        <w:rPr>
          <w:color w:val="000000"/>
        </w:rPr>
        <w:t xml:space="preserve"> dans le domaine de la protection en ligne des enfants</w:t>
      </w:r>
      <w:r w:rsidRPr="00565003">
        <w:t xml:space="preserve">. </w:t>
      </w:r>
      <w:r w:rsidR="00C44E9D" w:rsidRPr="00565003">
        <w:t>À cet effet</w:t>
      </w:r>
      <w:r w:rsidRPr="00565003">
        <w:t xml:space="preserve">, </w:t>
      </w:r>
      <w:r w:rsidR="00C44E9D" w:rsidRPr="00565003">
        <w:t xml:space="preserve">une lettre circulaire a été envoyée aux États Membres </w:t>
      </w:r>
      <w:r w:rsidR="00C35DAE" w:rsidRPr="00565003">
        <w:rPr>
          <w:color w:val="000000"/>
        </w:rPr>
        <w:t xml:space="preserve">leur demandant de formuler </w:t>
      </w:r>
      <w:r w:rsidR="00C44E9D" w:rsidRPr="00565003">
        <w:t>leurs commentaires</w:t>
      </w:r>
      <w:r w:rsidR="0076113F" w:rsidRPr="00565003">
        <w:t xml:space="preserve"> et </w:t>
      </w:r>
      <w:r w:rsidR="00C35DAE" w:rsidRPr="00565003">
        <w:rPr>
          <w:color w:val="000000"/>
        </w:rPr>
        <w:t xml:space="preserve">de fournir </w:t>
      </w:r>
      <w:r w:rsidR="0076113F" w:rsidRPr="00565003">
        <w:t>d</w:t>
      </w:r>
      <w:r w:rsidR="00CB0ED3" w:rsidRPr="00565003">
        <w:t>'</w:t>
      </w:r>
      <w:r w:rsidR="0076113F" w:rsidRPr="00565003">
        <w:t>autres exemples de bonnes pratiques</w:t>
      </w:r>
      <w:r w:rsidRPr="00565003">
        <w:t xml:space="preserve">. </w:t>
      </w:r>
      <w:r w:rsidR="0076113F" w:rsidRPr="00565003">
        <w:t xml:space="preserve">Les </w:t>
      </w:r>
      <w:r w:rsidR="003149EA" w:rsidRPr="00565003">
        <w:t>L</w:t>
      </w:r>
      <w:r w:rsidR="0076113F" w:rsidRPr="00565003">
        <w:t>ignes directrices de l</w:t>
      </w:r>
      <w:r w:rsidR="00CB0ED3" w:rsidRPr="00565003">
        <w:t>'</w:t>
      </w:r>
      <w:r w:rsidR="0076113F" w:rsidRPr="00565003">
        <w:t xml:space="preserve">UIT </w:t>
      </w:r>
      <w:r w:rsidR="003149EA" w:rsidRPr="00565003">
        <w:t xml:space="preserve">relatives à la </w:t>
      </w:r>
      <w:r w:rsidR="0076113F" w:rsidRPr="00565003">
        <w:t xml:space="preserve">protection en ligne des enfants ont été mises à jour pour inclure des sections </w:t>
      </w:r>
      <w:r w:rsidR="00C35DAE" w:rsidRPr="00565003">
        <w:t xml:space="preserve">consacrées </w:t>
      </w:r>
      <w:r w:rsidR="0076113F" w:rsidRPr="00565003">
        <w:t xml:space="preserve">aux parents, aux éducateurs, aux décideurs et </w:t>
      </w:r>
      <w:r w:rsidR="001E30FE" w:rsidRPr="00565003">
        <w:t>aux professionnels</w:t>
      </w:r>
      <w:r w:rsidR="00C35DAE" w:rsidRPr="00565003">
        <w:t xml:space="preserve"> du secteur</w:t>
      </w:r>
      <w:r w:rsidRPr="00565003">
        <w:t xml:space="preserve">. </w:t>
      </w:r>
      <w:r w:rsidR="0076113F" w:rsidRPr="00565003">
        <w:t>Elles ont été</w:t>
      </w:r>
      <w:r w:rsidR="00CB0ED3" w:rsidRPr="00565003">
        <w:t xml:space="preserve"> </w:t>
      </w:r>
      <w:r w:rsidR="00C35DAE" w:rsidRPr="00565003">
        <w:t>diffusées</w:t>
      </w:r>
      <w:r w:rsidR="00CB0ED3" w:rsidRPr="00565003">
        <w:t xml:space="preserve"> </w:t>
      </w:r>
      <w:r w:rsidR="0076113F" w:rsidRPr="00565003">
        <w:t xml:space="preserve">au niveau </w:t>
      </w:r>
      <w:r w:rsidR="0073513F" w:rsidRPr="00565003">
        <w:t>régional</w:t>
      </w:r>
      <w:r w:rsidR="0076113F" w:rsidRPr="00565003">
        <w:t xml:space="preserve"> </w:t>
      </w:r>
      <w:r w:rsidR="00C35DAE" w:rsidRPr="00565003">
        <w:t>avec</w:t>
      </w:r>
      <w:r w:rsidR="0076113F" w:rsidRPr="00565003">
        <w:t xml:space="preserve"> la participation des différents groupes régionaux</w:t>
      </w:r>
      <w:r w:rsidRPr="00565003">
        <w:t xml:space="preserve">. </w:t>
      </w:r>
      <w:r w:rsidR="003149EA" w:rsidRPr="00565003">
        <w:t>En outre</w:t>
      </w:r>
      <w:r w:rsidRPr="00565003">
        <w:t xml:space="preserve">, </w:t>
      </w:r>
      <w:r w:rsidR="0079673F" w:rsidRPr="00565003">
        <w:t xml:space="preserve">la </w:t>
      </w:r>
      <w:r w:rsidRPr="00565003">
        <w:t>mascotte de la protection en ligne des enfants</w:t>
      </w:r>
      <w:r w:rsidR="0079673F" w:rsidRPr="00565003">
        <w:t xml:space="preserve"> de l</w:t>
      </w:r>
      <w:r w:rsidR="00CB0ED3" w:rsidRPr="00565003">
        <w:t>'</w:t>
      </w:r>
      <w:r w:rsidR="0079673F" w:rsidRPr="00565003">
        <w:t>UIT</w:t>
      </w:r>
      <w:r w:rsidR="008B3938" w:rsidRPr="00565003">
        <w:t xml:space="preserve">, </w:t>
      </w:r>
      <w:proofErr w:type="spellStart"/>
      <w:r w:rsidR="008B3938" w:rsidRPr="00565003">
        <w:t>Sangophone</w:t>
      </w:r>
      <w:proofErr w:type="spellEnd"/>
      <w:r w:rsidR="00C35DAE" w:rsidRPr="00565003">
        <w:t xml:space="preserve"> </w:t>
      </w:r>
      <w:r w:rsidR="005F71B5" w:rsidRPr="00565003">
        <w:t xml:space="preserve">– </w:t>
      </w:r>
      <w:r w:rsidR="008B3938" w:rsidRPr="00565003">
        <w:t>abrégé Sango</w:t>
      </w:r>
      <w:r w:rsidR="00C35DAE" w:rsidRPr="00565003">
        <w:t xml:space="preserve"> </w:t>
      </w:r>
      <w:r w:rsidR="005F71B5" w:rsidRPr="00565003">
        <w:t xml:space="preserve">– </w:t>
      </w:r>
      <w:r w:rsidRPr="00565003">
        <w:t xml:space="preserve">a été présentée à </w:t>
      </w:r>
      <w:r w:rsidR="0079673F" w:rsidRPr="00565003">
        <w:t>l</w:t>
      </w:r>
      <w:r w:rsidR="00CB0ED3" w:rsidRPr="00565003">
        <w:t>'</w:t>
      </w:r>
      <w:r w:rsidRPr="00565003">
        <w:t>occasion</w:t>
      </w:r>
      <w:r w:rsidR="0079673F" w:rsidRPr="00565003">
        <w:t xml:space="preserve"> de la Journée 2020 pour un Internet plus sûr</w:t>
      </w:r>
      <w:r w:rsidRPr="00565003">
        <w:t xml:space="preserve">. </w:t>
      </w:r>
      <w:r w:rsidR="00C35DAE" w:rsidRPr="00565003">
        <w:t>Cette mascotte</w:t>
      </w:r>
      <w:r w:rsidR="00C35DAE" w:rsidRPr="00565003" w:rsidDel="00C35DAE">
        <w:t xml:space="preserve"> </w:t>
      </w:r>
      <w:r w:rsidR="0079673F" w:rsidRPr="00565003">
        <w:t>a été créée et imagin</w:t>
      </w:r>
      <w:r w:rsidR="00E5632B" w:rsidRPr="00565003">
        <w:t>é</w:t>
      </w:r>
      <w:r w:rsidR="0079673F" w:rsidRPr="00565003">
        <w:t>e par des enfants</w:t>
      </w:r>
      <w:r w:rsidR="003149EA" w:rsidRPr="00565003">
        <w:t xml:space="preserve"> pour aider les enfants</w:t>
      </w:r>
      <w:r w:rsidR="0079673F" w:rsidRPr="00565003">
        <w:t xml:space="preserve">, </w:t>
      </w:r>
      <w:r w:rsidR="003149EA" w:rsidRPr="00565003">
        <w:t>l</w:t>
      </w:r>
      <w:r w:rsidR="0079673F" w:rsidRPr="00565003">
        <w:t xml:space="preserve">es parents et </w:t>
      </w:r>
      <w:r w:rsidR="003149EA" w:rsidRPr="00565003">
        <w:t>l</w:t>
      </w:r>
      <w:r w:rsidR="0079673F" w:rsidRPr="00565003">
        <w:t xml:space="preserve">es enseignants </w:t>
      </w:r>
      <w:r w:rsidR="003149EA" w:rsidRPr="00565003">
        <w:t xml:space="preserve">à </w:t>
      </w:r>
      <w:r w:rsidR="00D4772D" w:rsidRPr="00565003">
        <w:t xml:space="preserve">mieux </w:t>
      </w:r>
      <w:r w:rsidR="0079673F" w:rsidRPr="00565003">
        <w:t xml:space="preserve">comprendre les dangers auxquels les enfants sont confrontés en ligne et comment les </w:t>
      </w:r>
      <w:r w:rsidR="00E5632B" w:rsidRPr="00565003">
        <w:t>surmonter</w:t>
      </w:r>
      <w:r w:rsidRPr="00565003">
        <w:t>.</w:t>
      </w:r>
    </w:p>
    <w:p w14:paraId="181B657E" w14:textId="10A2DF07" w:rsidR="00304E63" w:rsidRPr="00565003" w:rsidRDefault="00304E63" w:rsidP="00CB0ED3">
      <w:r w:rsidRPr="00565003">
        <w:t>1.11</w:t>
      </w:r>
      <w:r w:rsidRPr="00565003">
        <w:tab/>
      </w:r>
      <w:r w:rsidR="00E5632B" w:rsidRPr="00565003">
        <w:t>En tant que</w:t>
      </w:r>
      <w:r w:rsidR="00CB0ED3" w:rsidRPr="00565003">
        <w:t xml:space="preserve"> </w:t>
      </w:r>
      <w:r w:rsidR="00D4772D" w:rsidRPr="00565003">
        <w:t xml:space="preserve">mère </w:t>
      </w:r>
      <w:r w:rsidR="00E5632B" w:rsidRPr="00565003">
        <w:t>de quatre enfants nés avec le numérique</w:t>
      </w:r>
      <w:r w:rsidRPr="00565003">
        <w:t xml:space="preserve">, </w:t>
      </w:r>
      <w:r w:rsidR="00D4772D" w:rsidRPr="00565003">
        <w:t>la Directrice du BDT est particulièrement sensible à</w:t>
      </w:r>
      <w:r w:rsidR="00E5632B" w:rsidRPr="00565003">
        <w:t xml:space="preserve"> l</w:t>
      </w:r>
      <w:r w:rsidR="00CB0ED3" w:rsidRPr="00565003">
        <w:t>'</w:t>
      </w:r>
      <w:r w:rsidR="00E5632B" w:rsidRPr="00565003">
        <w:t>attention et</w:t>
      </w:r>
      <w:r w:rsidR="00D4772D" w:rsidRPr="00565003">
        <w:t xml:space="preserve"> à</w:t>
      </w:r>
      <w:r w:rsidR="00E5632B" w:rsidRPr="00565003">
        <w:t xml:space="preserve"> l</w:t>
      </w:r>
      <w:r w:rsidR="00CB0ED3" w:rsidRPr="00565003">
        <w:t>'</w:t>
      </w:r>
      <w:r w:rsidR="00E5632B" w:rsidRPr="00565003">
        <w:t xml:space="preserve">importance </w:t>
      </w:r>
      <w:r w:rsidR="00D4772D" w:rsidRPr="00565003">
        <w:t xml:space="preserve">que le Conseil </w:t>
      </w:r>
      <w:r w:rsidR="00E5632B" w:rsidRPr="00565003">
        <w:t>accord</w:t>
      </w:r>
      <w:r w:rsidR="00D4772D" w:rsidRPr="00565003">
        <w:t>e</w:t>
      </w:r>
      <w:r w:rsidR="00CB0ED3" w:rsidRPr="00565003">
        <w:t xml:space="preserve"> </w:t>
      </w:r>
      <w:r w:rsidR="00E5632B" w:rsidRPr="00565003">
        <w:t>à la question</w:t>
      </w:r>
      <w:r w:rsidR="00CB0ED3" w:rsidRPr="00565003">
        <w:t xml:space="preserve"> </w:t>
      </w:r>
      <w:r w:rsidR="00E5632B" w:rsidRPr="00565003">
        <w:t>et remercie le Président du GTC</w:t>
      </w:r>
      <w:r w:rsidRPr="00565003">
        <w:t>-COP</w:t>
      </w:r>
      <w:r w:rsidR="00CB0ED3" w:rsidRPr="00565003">
        <w:t xml:space="preserve"> </w:t>
      </w:r>
      <w:r w:rsidR="00D4772D" w:rsidRPr="00565003">
        <w:t>ainsi que</w:t>
      </w:r>
      <w:r w:rsidR="00CB0ED3" w:rsidRPr="00565003">
        <w:t xml:space="preserve"> </w:t>
      </w:r>
      <w:r w:rsidR="00E5632B" w:rsidRPr="00565003">
        <w:t xml:space="preserve">le </w:t>
      </w:r>
      <w:r w:rsidR="005F71B5" w:rsidRPr="00565003">
        <w:t>S</w:t>
      </w:r>
      <w:r w:rsidR="00D4772D" w:rsidRPr="00565003">
        <w:t xml:space="preserve">ecrétariat </w:t>
      </w:r>
      <w:r w:rsidR="00E5632B" w:rsidRPr="00565003">
        <w:t>pour</w:t>
      </w:r>
      <w:r w:rsidR="00D4772D" w:rsidRPr="00565003">
        <w:rPr>
          <w:color w:val="000000"/>
        </w:rPr>
        <w:t xml:space="preserve"> leur engagement et</w:t>
      </w:r>
      <w:r w:rsidR="00CB0ED3" w:rsidRPr="00565003">
        <w:rPr>
          <w:color w:val="000000"/>
        </w:rPr>
        <w:t xml:space="preserve"> </w:t>
      </w:r>
      <w:r w:rsidR="00E5632B" w:rsidRPr="00565003">
        <w:t xml:space="preserve">leur </w:t>
      </w:r>
      <w:r w:rsidR="00056A7A" w:rsidRPr="00565003">
        <w:t>dévouement</w:t>
      </w:r>
      <w:r w:rsidR="00CB0ED3" w:rsidRPr="00565003">
        <w:t>.</w:t>
      </w:r>
    </w:p>
    <w:p w14:paraId="6E113ED4" w14:textId="297DA393" w:rsidR="00304E63" w:rsidRPr="00565003" w:rsidRDefault="00304E63" w:rsidP="00CB0ED3">
      <w:r w:rsidRPr="00565003">
        <w:t>1.12</w:t>
      </w:r>
      <w:r w:rsidRPr="00565003">
        <w:tab/>
      </w:r>
      <w:r w:rsidR="00056A7A" w:rsidRPr="00565003">
        <w:t>Le Conseil</w:t>
      </w:r>
      <w:r w:rsidRPr="00565003">
        <w:t xml:space="preserve"> </w:t>
      </w:r>
      <w:r w:rsidR="00D4772D" w:rsidRPr="00565003">
        <w:rPr>
          <w:b/>
          <w:bCs/>
        </w:rPr>
        <w:t>décide</w:t>
      </w:r>
      <w:r w:rsidR="00CB0ED3" w:rsidRPr="00565003">
        <w:rPr>
          <w:b/>
          <w:bCs/>
        </w:rPr>
        <w:t xml:space="preserve"> </w:t>
      </w:r>
      <w:r w:rsidR="00056A7A" w:rsidRPr="00565003">
        <w:t>de soumettre le rapport</w:t>
      </w:r>
      <w:r w:rsidR="00CB0ED3" w:rsidRPr="00565003">
        <w:t xml:space="preserve"> </w:t>
      </w:r>
      <w:r w:rsidR="00D4772D" w:rsidRPr="00565003">
        <w:t xml:space="preserve">figurant </w:t>
      </w:r>
      <w:r w:rsidR="00056A7A" w:rsidRPr="00565003">
        <w:t xml:space="preserve">dans le </w:t>
      </w:r>
      <w:r w:rsidRPr="00565003">
        <w:t xml:space="preserve">Document C22/64 </w:t>
      </w:r>
      <w:r w:rsidR="00056A7A" w:rsidRPr="00565003">
        <w:t>à la Conférence de plénipotentiaires</w:t>
      </w:r>
      <w:r w:rsidRPr="00565003">
        <w:t xml:space="preserve">, </w:t>
      </w:r>
      <w:r w:rsidR="00D4772D" w:rsidRPr="00565003">
        <w:t>accompagné du</w:t>
      </w:r>
      <w:r w:rsidR="00056A7A" w:rsidRPr="00565003">
        <w:t xml:space="preserve"> compte rendu de la séance</w:t>
      </w:r>
      <w:r w:rsidRPr="00565003">
        <w:t xml:space="preserve">, </w:t>
      </w:r>
      <w:r w:rsidR="00D4772D" w:rsidRPr="00565003">
        <w:t xml:space="preserve">afin de </w:t>
      </w:r>
      <w:r w:rsidR="00056A7A" w:rsidRPr="00565003">
        <w:t>rend</w:t>
      </w:r>
      <w:r w:rsidR="00D4772D" w:rsidRPr="00565003">
        <w:t>re</w:t>
      </w:r>
      <w:r w:rsidR="00CB0ED3" w:rsidRPr="00565003">
        <w:t xml:space="preserve"> </w:t>
      </w:r>
      <w:r w:rsidR="00056A7A" w:rsidRPr="00565003">
        <w:t>compte des demandes et des recommandations</w:t>
      </w:r>
      <w:r w:rsidR="00CB0ED3" w:rsidRPr="00565003">
        <w:t xml:space="preserve"> </w:t>
      </w:r>
      <w:r w:rsidR="00D4772D" w:rsidRPr="00565003">
        <w:t xml:space="preserve">formulées par les </w:t>
      </w:r>
      <w:r w:rsidR="005F71B5" w:rsidRPr="00565003">
        <w:t>C</w:t>
      </w:r>
      <w:r w:rsidR="00056A7A" w:rsidRPr="00565003">
        <w:t>onseillers</w:t>
      </w:r>
      <w:r w:rsidRPr="00565003">
        <w:t xml:space="preserve">, </w:t>
      </w:r>
      <w:r w:rsidR="00056A7A" w:rsidRPr="00565003">
        <w:t xml:space="preserve">et de prier le Secrétaire général de </w:t>
      </w:r>
      <w:r w:rsidR="00D4772D" w:rsidRPr="00565003">
        <w:t>faire rapport au</w:t>
      </w:r>
      <w:r w:rsidR="00056A7A" w:rsidRPr="00565003">
        <w:t xml:space="preserve"> Conseil </w:t>
      </w:r>
      <w:r w:rsidR="00D4772D" w:rsidRPr="00565003">
        <w:t>sur les</w:t>
      </w:r>
      <w:r w:rsidR="00CB0ED3" w:rsidRPr="00565003">
        <w:t xml:space="preserve"> </w:t>
      </w:r>
      <w:r w:rsidR="00056A7A" w:rsidRPr="00565003">
        <w:t>activités de l</w:t>
      </w:r>
      <w:r w:rsidR="00CB0ED3" w:rsidRPr="00565003">
        <w:t>'</w:t>
      </w:r>
      <w:r w:rsidR="00056A7A" w:rsidRPr="00565003">
        <w:t>ICANN et du GAC</w:t>
      </w:r>
      <w:r w:rsidR="00CB0ED3" w:rsidRPr="00565003">
        <w:t xml:space="preserve"> </w:t>
      </w:r>
      <w:r w:rsidR="001F33EE" w:rsidRPr="00565003">
        <w:t>concernant</w:t>
      </w:r>
      <w:r w:rsidR="00CB0ED3" w:rsidRPr="00565003">
        <w:t xml:space="preserve"> </w:t>
      </w:r>
      <w:r w:rsidR="00056A7A" w:rsidRPr="00565003">
        <w:t>la protection en ligne des enfants</w:t>
      </w:r>
      <w:r w:rsidRPr="00565003">
        <w:t>.</w:t>
      </w:r>
    </w:p>
    <w:p w14:paraId="26A443BA" w14:textId="0A01452F" w:rsidR="00304E63" w:rsidRPr="00565003" w:rsidRDefault="00304E63" w:rsidP="00CB0ED3">
      <w:pPr>
        <w:pStyle w:val="Heading1"/>
        <w:rPr>
          <w:b w:val="0"/>
          <w:bCs/>
          <w:szCs w:val="28"/>
        </w:rPr>
      </w:pPr>
      <w:r w:rsidRPr="00565003">
        <w:rPr>
          <w:bCs/>
          <w:szCs w:val="28"/>
        </w:rPr>
        <w:t>2</w:t>
      </w:r>
      <w:r w:rsidRPr="00565003">
        <w:rPr>
          <w:bCs/>
          <w:szCs w:val="28"/>
        </w:rPr>
        <w:tab/>
      </w:r>
      <w:bookmarkStart w:id="15" w:name="_Hlk99617057"/>
      <w:r w:rsidR="008338DD" w:rsidRPr="00565003">
        <w:rPr>
          <w:bCs/>
        </w:rPr>
        <w:t>M</w:t>
      </w:r>
      <w:r w:rsidRPr="00565003">
        <w:rPr>
          <w:bCs/>
        </w:rPr>
        <w:t xml:space="preserve">esures </w:t>
      </w:r>
      <w:r w:rsidR="008338DD" w:rsidRPr="00565003">
        <w:rPr>
          <w:bCs/>
        </w:rPr>
        <w:t xml:space="preserve">visant à renforcer </w:t>
      </w:r>
      <w:r w:rsidRPr="00565003">
        <w:rPr>
          <w:bCs/>
        </w:rPr>
        <w:t>la sécurité des enfants à l'ère du numérique</w:t>
      </w:r>
      <w:r w:rsidRPr="00565003">
        <w:rPr>
          <w:b w:val="0"/>
          <w:bCs/>
          <w:szCs w:val="28"/>
        </w:rPr>
        <w:t xml:space="preserve"> </w:t>
      </w:r>
      <w:r w:rsidRPr="00565003">
        <w:rPr>
          <w:bCs/>
          <w:szCs w:val="28"/>
        </w:rPr>
        <w:t>(Document C22/77)</w:t>
      </w:r>
      <w:bookmarkEnd w:id="15"/>
    </w:p>
    <w:p w14:paraId="06C70207" w14:textId="1599DA68" w:rsidR="00304E63" w:rsidRPr="00565003" w:rsidRDefault="00304E63" w:rsidP="00CB0ED3">
      <w:r w:rsidRPr="00565003">
        <w:t>2.1</w:t>
      </w:r>
      <w:r w:rsidRPr="00565003">
        <w:tab/>
      </w:r>
      <w:r w:rsidR="008338DD" w:rsidRPr="00565003">
        <w:t xml:space="preserve">La </w:t>
      </w:r>
      <w:r w:rsidR="005F71B5" w:rsidRPr="00565003">
        <w:t>C</w:t>
      </w:r>
      <w:r w:rsidR="008338DD" w:rsidRPr="00565003">
        <w:t xml:space="preserve">onseillère de la Grèce présente le </w:t>
      </w:r>
      <w:r w:rsidRPr="00565003">
        <w:t xml:space="preserve">Document </w:t>
      </w:r>
      <w:hyperlink r:id="rId15" w:history="1">
        <w:r w:rsidRPr="00565003">
          <w:rPr>
            <w:rStyle w:val="Hyperlink"/>
            <w:szCs w:val="24"/>
          </w:rPr>
          <w:t>C22/77</w:t>
        </w:r>
      </w:hyperlink>
      <w:r w:rsidRPr="00565003">
        <w:t xml:space="preserve">, </w:t>
      </w:r>
      <w:r w:rsidR="008338DD" w:rsidRPr="00565003">
        <w:t>qui décrit les effo</w:t>
      </w:r>
      <w:r w:rsidR="003E65EB" w:rsidRPr="00565003">
        <w:t>r</w:t>
      </w:r>
      <w:r w:rsidR="008338DD" w:rsidRPr="00565003">
        <w:t>ts déployés par son pays</w:t>
      </w:r>
      <w:r w:rsidR="003E65EB" w:rsidRPr="00565003">
        <w:t xml:space="preserve"> pour renforcer la protection en ligne des enfants et</w:t>
      </w:r>
      <w:r w:rsidR="00CB0ED3" w:rsidRPr="00565003">
        <w:t xml:space="preserve"> </w:t>
      </w:r>
      <w:r w:rsidR="003E65EB" w:rsidRPr="00565003">
        <w:t xml:space="preserve">met en évidence </w:t>
      </w:r>
      <w:r w:rsidR="00264306" w:rsidRPr="00565003">
        <w:t>le rôle</w:t>
      </w:r>
      <w:r w:rsidR="00CB0ED3" w:rsidRPr="00565003">
        <w:t xml:space="preserve"> </w:t>
      </w:r>
      <w:r w:rsidR="003E65EB" w:rsidRPr="00565003">
        <w:t>du Centre grec pour un Internet plus sûr et</w:t>
      </w:r>
      <w:r w:rsidR="00CB0ED3" w:rsidRPr="00565003">
        <w:t xml:space="preserve"> </w:t>
      </w:r>
      <w:r w:rsidR="00264306" w:rsidRPr="00565003">
        <w:t xml:space="preserve">la </w:t>
      </w:r>
      <w:r w:rsidR="003E65EB" w:rsidRPr="00565003">
        <w:t>collaboration</w:t>
      </w:r>
      <w:r w:rsidR="00264306" w:rsidRPr="00565003">
        <w:t xml:space="preserve"> étroite qu</w:t>
      </w:r>
      <w:r w:rsidR="00CB0ED3" w:rsidRPr="00565003">
        <w:t>'</w:t>
      </w:r>
      <w:r w:rsidR="00264306" w:rsidRPr="00565003">
        <w:t>il a instaurée</w:t>
      </w:r>
      <w:r w:rsidR="00CB0ED3" w:rsidRPr="00565003">
        <w:t xml:space="preserve"> </w:t>
      </w:r>
      <w:r w:rsidR="003E65EB" w:rsidRPr="00565003">
        <w:t>avec l</w:t>
      </w:r>
      <w:r w:rsidR="00CB0ED3" w:rsidRPr="00565003">
        <w:t>'</w:t>
      </w:r>
      <w:r w:rsidR="003E65EB" w:rsidRPr="00565003">
        <w:t xml:space="preserve">Agence européenne chargée de la sécurité des réseaux et de l'information </w:t>
      </w:r>
      <w:r w:rsidRPr="00565003">
        <w:t xml:space="preserve">(ENISA). </w:t>
      </w:r>
      <w:r w:rsidR="00264306" w:rsidRPr="00565003">
        <w:t xml:space="preserve">Dans le </w:t>
      </w:r>
      <w:r w:rsidRPr="00565003">
        <w:t>document</w:t>
      </w:r>
      <w:r w:rsidR="00CB0ED3" w:rsidRPr="00565003">
        <w:t>,</w:t>
      </w:r>
      <w:r w:rsidR="00264306" w:rsidRPr="00565003">
        <w:t xml:space="preserve"> </w:t>
      </w:r>
      <w:r w:rsidR="003E65EB" w:rsidRPr="00565003">
        <w:t xml:space="preserve">les États Membres </w:t>
      </w:r>
      <w:r w:rsidR="00264306" w:rsidRPr="00565003">
        <w:t xml:space="preserve">sont invités </w:t>
      </w:r>
      <w:r w:rsidR="003E65EB" w:rsidRPr="00565003">
        <w:t xml:space="preserve">à </w:t>
      </w:r>
      <w:r w:rsidR="00264306" w:rsidRPr="00565003">
        <w:t xml:space="preserve">faire </w:t>
      </w:r>
      <w:r w:rsidR="003E65EB" w:rsidRPr="00565003">
        <w:t>part</w:t>
      </w:r>
      <w:r w:rsidR="00264306" w:rsidRPr="00565003">
        <w:t xml:space="preserve"> de</w:t>
      </w:r>
      <w:r w:rsidR="00CB0ED3" w:rsidRPr="00565003">
        <w:t xml:space="preserve"> </w:t>
      </w:r>
      <w:r w:rsidR="003E65EB" w:rsidRPr="00565003">
        <w:t xml:space="preserve">leur </w:t>
      </w:r>
      <w:r w:rsidR="00B23281" w:rsidRPr="00565003">
        <w:t>expérience</w:t>
      </w:r>
      <w:r w:rsidR="003E65EB" w:rsidRPr="00565003">
        <w:t xml:space="preserve"> en ce qui concerne la protection en ligne des enfants et les risques </w:t>
      </w:r>
      <w:r w:rsidR="00264306" w:rsidRPr="00565003">
        <w:t xml:space="preserve">qui se font jour </w:t>
      </w:r>
      <w:r w:rsidR="003E65EB" w:rsidRPr="00565003">
        <w:t>dans le cyberespace</w:t>
      </w:r>
      <w:r w:rsidRPr="00565003">
        <w:t xml:space="preserve">, </w:t>
      </w:r>
      <w:r w:rsidR="00B23281" w:rsidRPr="00565003">
        <w:t xml:space="preserve">notamment dans le contexte de la pandémie de </w:t>
      </w:r>
      <w:r w:rsidRPr="00565003">
        <w:t xml:space="preserve">COVID-19, </w:t>
      </w:r>
      <w:r w:rsidR="00B23281" w:rsidRPr="00565003">
        <w:t>et</w:t>
      </w:r>
      <w:r w:rsidR="00CB0ED3" w:rsidRPr="00565003">
        <w:t xml:space="preserve"> </w:t>
      </w:r>
      <w:r w:rsidR="00264306" w:rsidRPr="00565003">
        <w:t xml:space="preserve">il est demandé à </w:t>
      </w:r>
      <w:r w:rsidR="00B23281" w:rsidRPr="00565003">
        <w:t>l</w:t>
      </w:r>
      <w:r w:rsidR="00CB0ED3" w:rsidRPr="00565003">
        <w:t>'</w:t>
      </w:r>
      <w:r w:rsidR="00B23281" w:rsidRPr="00565003">
        <w:t xml:space="preserve">UIT </w:t>
      </w:r>
      <w:r w:rsidR="00264306" w:rsidRPr="00565003">
        <w:t xml:space="preserve">de </w:t>
      </w:r>
      <w:r w:rsidR="00B23281" w:rsidRPr="00565003">
        <w:t xml:space="preserve">renforcer la </w:t>
      </w:r>
      <w:r w:rsidRPr="00565003">
        <w:t>coop</w:t>
      </w:r>
      <w:r w:rsidR="00B23281" w:rsidRPr="00565003">
        <w:t>é</w:t>
      </w:r>
      <w:r w:rsidRPr="00565003">
        <w:t xml:space="preserve">ration </w:t>
      </w:r>
      <w:r w:rsidR="00B23281" w:rsidRPr="00565003">
        <w:t>avec l</w:t>
      </w:r>
      <w:r w:rsidR="00CB0ED3" w:rsidRPr="00565003">
        <w:t>'</w:t>
      </w:r>
      <w:r w:rsidRPr="00565003">
        <w:t xml:space="preserve">ENISA, </w:t>
      </w:r>
      <w:r w:rsidR="00B23281" w:rsidRPr="00565003">
        <w:t>en mettant en particulier l</w:t>
      </w:r>
      <w:r w:rsidR="00CB0ED3" w:rsidRPr="00565003">
        <w:t>'</w:t>
      </w:r>
      <w:r w:rsidR="00B23281" w:rsidRPr="00565003">
        <w:t xml:space="preserve">accent sur le rôle </w:t>
      </w:r>
      <w:r w:rsidR="00ED1713" w:rsidRPr="00565003">
        <w:t>que jouent l</w:t>
      </w:r>
      <w:r w:rsidR="00B23281" w:rsidRPr="00565003">
        <w:t xml:space="preserve">es </w:t>
      </w:r>
      <w:r w:rsidR="00ED1713" w:rsidRPr="00565003">
        <w:t>L</w:t>
      </w:r>
      <w:r w:rsidR="00B23281" w:rsidRPr="00565003">
        <w:t>ignes directrices de l</w:t>
      </w:r>
      <w:r w:rsidR="00CB0ED3" w:rsidRPr="00565003">
        <w:t>'</w:t>
      </w:r>
      <w:r w:rsidR="00B23281" w:rsidRPr="00565003">
        <w:t xml:space="preserve">UIT </w:t>
      </w:r>
      <w:r w:rsidR="00ED1713" w:rsidRPr="00565003">
        <w:t xml:space="preserve">relatives à la </w:t>
      </w:r>
      <w:r w:rsidR="00B23281" w:rsidRPr="00565003">
        <w:t xml:space="preserve">protection en ligne des enfants </w:t>
      </w:r>
      <w:r w:rsidR="00264306" w:rsidRPr="00565003">
        <w:t>pour ce qui est de garantir</w:t>
      </w:r>
      <w:r w:rsidR="00CB0ED3" w:rsidRPr="00565003">
        <w:t xml:space="preserve"> </w:t>
      </w:r>
      <w:r w:rsidR="00B23281" w:rsidRPr="00565003">
        <w:t>la sécurité des enfants à l</w:t>
      </w:r>
      <w:r w:rsidR="00CB0ED3" w:rsidRPr="00565003">
        <w:t>'</w:t>
      </w:r>
      <w:r w:rsidR="00B23281" w:rsidRPr="00565003">
        <w:t>ère du numérique</w:t>
      </w:r>
      <w:r w:rsidRPr="00565003">
        <w:t>.</w:t>
      </w:r>
    </w:p>
    <w:p w14:paraId="1BA576A6" w14:textId="484A3D1F" w:rsidR="00304E63" w:rsidRPr="00565003" w:rsidRDefault="00304E63" w:rsidP="00CB0ED3">
      <w:r w:rsidRPr="00565003">
        <w:lastRenderedPageBreak/>
        <w:t>2.2</w:t>
      </w:r>
      <w:r w:rsidRPr="00565003">
        <w:tab/>
      </w:r>
      <w:r w:rsidR="00775924" w:rsidRPr="00565003">
        <w:t xml:space="preserve">De nombreux </w:t>
      </w:r>
      <w:r w:rsidR="005F71B5" w:rsidRPr="00565003">
        <w:t>C</w:t>
      </w:r>
      <w:r w:rsidR="00775924" w:rsidRPr="00565003">
        <w:t xml:space="preserve">onseillers remercient la </w:t>
      </w:r>
      <w:r w:rsidR="005F71B5" w:rsidRPr="00565003">
        <w:t>Co</w:t>
      </w:r>
      <w:r w:rsidR="00775924" w:rsidRPr="00565003">
        <w:t xml:space="preserve">nseillère de la Grèce pour la contribution de son pays et soulignent combien il est important que les États Membres continuent </w:t>
      </w:r>
      <w:r w:rsidR="00264306" w:rsidRPr="00565003">
        <w:t>de faire connaître</w:t>
      </w:r>
      <w:r w:rsidR="00775924" w:rsidRPr="00565003">
        <w:t xml:space="preserve"> leur</w:t>
      </w:r>
      <w:r w:rsidR="00264306" w:rsidRPr="00565003">
        <w:t>s données d</w:t>
      </w:r>
      <w:r w:rsidR="00CB0ED3" w:rsidRPr="00565003">
        <w:t>'</w:t>
      </w:r>
      <w:r w:rsidR="0079347C" w:rsidRPr="00565003">
        <w:t>expérience</w:t>
      </w:r>
      <w:r w:rsidR="00775924" w:rsidRPr="00565003">
        <w:t xml:space="preserve"> et leurs bonnes pratiques pour favoriser l</w:t>
      </w:r>
      <w:r w:rsidR="00CB0ED3" w:rsidRPr="00565003">
        <w:t>'</w:t>
      </w:r>
      <w:r w:rsidR="00775924" w:rsidRPr="00565003">
        <w:t>apprentissage</w:t>
      </w:r>
      <w:r w:rsidRPr="00565003">
        <w:t xml:space="preserve">, </w:t>
      </w:r>
      <w:r w:rsidR="0009233E" w:rsidRPr="00565003">
        <w:t xml:space="preserve">compte tenu </w:t>
      </w:r>
      <w:r w:rsidR="00775924" w:rsidRPr="00565003">
        <w:t>notamment du</w:t>
      </w:r>
      <w:r w:rsidR="0009233E" w:rsidRPr="00565003">
        <w:t xml:space="preserve"> caractère mondial</w:t>
      </w:r>
      <w:r w:rsidR="00775924" w:rsidRPr="00565003">
        <w:t xml:space="preserve"> </w:t>
      </w:r>
      <w:r w:rsidR="0009233E" w:rsidRPr="00565003">
        <w:t>des</w:t>
      </w:r>
      <w:r w:rsidR="00775924" w:rsidRPr="00565003">
        <w:t xml:space="preserve"> problèmes et </w:t>
      </w:r>
      <w:r w:rsidR="0009233E" w:rsidRPr="00565003">
        <w:t>des</w:t>
      </w:r>
      <w:r w:rsidR="00CB0ED3" w:rsidRPr="00565003">
        <w:t xml:space="preserve"> </w:t>
      </w:r>
      <w:r w:rsidR="00775924" w:rsidRPr="00565003">
        <w:t>difficultés</w:t>
      </w:r>
      <w:r w:rsidR="00CB0ED3" w:rsidRPr="00565003">
        <w:t xml:space="preserve">, </w:t>
      </w:r>
      <w:r w:rsidR="0009233E" w:rsidRPr="00565003">
        <w:t>que</w:t>
      </w:r>
      <w:r w:rsidR="00775924" w:rsidRPr="00565003">
        <w:t xml:space="preserve"> la pandémie de </w:t>
      </w:r>
      <w:r w:rsidRPr="00565003">
        <w:t>COVID-19</w:t>
      </w:r>
      <w:r w:rsidR="0009233E" w:rsidRPr="00565003">
        <w:t xml:space="preserve"> est encore venue aggraver</w:t>
      </w:r>
      <w:r w:rsidRPr="00565003">
        <w:t xml:space="preserve">, </w:t>
      </w:r>
      <w:r w:rsidR="00775924" w:rsidRPr="00565003">
        <w:t xml:space="preserve">et </w:t>
      </w:r>
      <w:r w:rsidR="00ED1713" w:rsidRPr="00565003">
        <w:t xml:space="preserve">du fait </w:t>
      </w:r>
      <w:r w:rsidR="00775924" w:rsidRPr="00565003">
        <w:t>que les enfants passent de plus en plus de temps en ligne</w:t>
      </w:r>
      <w:r w:rsidRPr="00565003">
        <w:t>.</w:t>
      </w:r>
    </w:p>
    <w:p w14:paraId="35C5894F" w14:textId="5835D308" w:rsidR="00304E63" w:rsidRPr="00565003" w:rsidRDefault="00304E63" w:rsidP="00CB0ED3">
      <w:bookmarkStart w:id="16" w:name="_Hlk99617309"/>
      <w:r w:rsidRPr="00565003">
        <w:t>2.3</w:t>
      </w:r>
      <w:r w:rsidRPr="00565003">
        <w:tab/>
      </w:r>
      <w:r w:rsidR="00D74C0C" w:rsidRPr="00565003">
        <w:t xml:space="preserve">Un </w:t>
      </w:r>
      <w:r w:rsidR="00545798" w:rsidRPr="00565003">
        <w:t>C</w:t>
      </w:r>
      <w:r w:rsidR="00D74C0C" w:rsidRPr="00565003">
        <w:t xml:space="preserve">onseiller </w:t>
      </w:r>
      <w:r w:rsidR="00AF4B58" w:rsidRPr="00565003">
        <w:rPr>
          <w:color w:val="000000"/>
        </w:rPr>
        <w:t>se félicite</w:t>
      </w:r>
      <w:r w:rsidR="00CB0ED3" w:rsidRPr="00565003">
        <w:rPr>
          <w:color w:val="000000"/>
        </w:rPr>
        <w:t xml:space="preserve"> </w:t>
      </w:r>
      <w:r w:rsidR="00AF4B58" w:rsidRPr="00565003">
        <w:rPr>
          <w:color w:val="000000"/>
        </w:rPr>
        <w:t xml:space="preserve">de constater que </w:t>
      </w:r>
      <w:r w:rsidR="00D74C0C" w:rsidRPr="00565003">
        <w:t>la Grèce</w:t>
      </w:r>
      <w:r w:rsidR="00CB0ED3" w:rsidRPr="00565003">
        <w:t xml:space="preserve"> </w:t>
      </w:r>
      <w:r w:rsidR="00AF4B58" w:rsidRPr="00565003">
        <w:t>met l</w:t>
      </w:r>
      <w:r w:rsidR="00CB0ED3" w:rsidRPr="00565003">
        <w:t>'</w:t>
      </w:r>
      <w:r w:rsidR="00AF4B58" w:rsidRPr="00565003">
        <w:t xml:space="preserve">accent </w:t>
      </w:r>
      <w:r w:rsidR="00D74C0C" w:rsidRPr="00565003">
        <w:t xml:space="preserve">à la </w:t>
      </w:r>
      <w:r w:rsidR="00AB1F6B" w:rsidRPr="00565003">
        <w:t xml:space="preserve">fois sur la </w:t>
      </w:r>
      <w:r w:rsidR="00D74C0C" w:rsidRPr="00565003">
        <w:t xml:space="preserve">sécurité et </w:t>
      </w:r>
      <w:r w:rsidR="00AB1F6B" w:rsidRPr="00565003">
        <w:t xml:space="preserve">sur </w:t>
      </w:r>
      <w:r w:rsidR="00D74C0C" w:rsidRPr="00565003">
        <w:t>l</w:t>
      </w:r>
      <w:r w:rsidR="00CB0ED3" w:rsidRPr="00565003">
        <w:t>'</w:t>
      </w:r>
      <w:r w:rsidR="00D74C0C" w:rsidRPr="00565003">
        <w:t>autonomisation</w:t>
      </w:r>
      <w:r w:rsidR="00467A88" w:rsidRPr="00565003">
        <w:t>,</w:t>
      </w:r>
      <w:r w:rsidR="00D74C0C" w:rsidRPr="00565003">
        <w:t xml:space="preserve"> </w:t>
      </w:r>
      <w:r w:rsidR="00AB1F6B" w:rsidRPr="00565003">
        <w:t xml:space="preserve">qui </w:t>
      </w:r>
      <w:r w:rsidR="00467A88" w:rsidRPr="00565003">
        <w:t xml:space="preserve">sont des aspects </w:t>
      </w:r>
      <w:r w:rsidR="00AB1F6B" w:rsidRPr="00565003">
        <w:t>important</w:t>
      </w:r>
      <w:r w:rsidR="00467A88" w:rsidRPr="00565003">
        <w:t>s</w:t>
      </w:r>
      <w:r w:rsidR="00AB1F6B" w:rsidRPr="00565003">
        <w:t xml:space="preserve"> pour garantir que les enfants </w:t>
      </w:r>
      <w:r w:rsidR="00467A88" w:rsidRPr="00565003">
        <w:t>s</w:t>
      </w:r>
      <w:r w:rsidR="00CB0ED3" w:rsidRPr="00565003">
        <w:t>'</w:t>
      </w:r>
      <w:r w:rsidR="00467A88" w:rsidRPr="00565003">
        <w:t xml:space="preserve">épanouissent </w:t>
      </w:r>
      <w:r w:rsidR="00AB1F6B" w:rsidRPr="00565003">
        <w:t>en ligne</w:t>
      </w:r>
      <w:bookmarkEnd w:id="16"/>
      <w:r w:rsidRPr="00565003">
        <w:t xml:space="preserve">, </w:t>
      </w:r>
      <w:r w:rsidR="00467A88" w:rsidRPr="00565003">
        <w:t xml:space="preserve">et fait remarquer que la contribution du pays illustre </w:t>
      </w:r>
      <w:r w:rsidR="00AF4B58" w:rsidRPr="00565003">
        <w:rPr>
          <w:color w:val="000000"/>
        </w:rPr>
        <w:t>concrètement</w:t>
      </w:r>
      <w:r w:rsidR="00CB0ED3" w:rsidRPr="00565003">
        <w:t xml:space="preserve"> </w:t>
      </w:r>
      <w:r w:rsidR="00467A88" w:rsidRPr="00565003">
        <w:t>l</w:t>
      </w:r>
      <w:r w:rsidR="00CB0ED3" w:rsidRPr="00565003">
        <w:t>'</w:t>
      </w:r>
      <w:r w:rsidR="00467A88" w:rsidRPr="00565003">
        <w:t>importance de la collaboration avec des institutions internationales spécialisées</w:t>
      </w:r>
      <w:r w:rsidRPr="00565003">
        <w:t>.</w:t>
      </w:r>
    </w:p>
    <w:p w14:paraId="76316EB7" w14:textId="7482309C" w:rsidR="00304E63" w:rsidRPr="00565003" w:rsidRDefault="00304E63" w:rsidP="00CB0ED3">
      <w:bookmarkStart w:id="17" w:name="_Hlk99617318"/>
      <w:r w:rsidRPr="00565003">
        <w:t>2.4</w:t>
      </w:r>
      <w:r w:rsidRPr="00565003">
        <w:tab/>
      </w:r>
      <w:bookmarkEnd w:id="17"/>
      <w:r w:rsidR="00A4267D" w:rsidRPr="00565003">
        <w:t xml:space="preserve">La </w:t>
      </w:r>
      <w:r w:rsidR="00545798" w:rsidRPr="00565003">
        <w:t>C</w:t>
      </w:r>
      <w:r w:rsidR="00A4267D" w:rsidRPr="00565003">
        <w:t>onseillère du Rwanda fait savoir que son pays a adopté une politique nationale sur la protection en ligne des enfants</w:t>
      </w:r>
      <w:r w:rsidRPr="00565003">
        <w:t xml:space="preserve">, </w:t>
      </w:r>
      <w:r w:rsidR="00A4267D" w:rsidRPr="00565003">
        <w:t xml:space="preserve">conformément aux </w:t>
      </w:r>
      <w:r w:rsidR="007F31B6" w:rsidRPr="00565003">
        <w:t>L</w:t>
      </w:r>
      <w:r w:rsidR="00A4267D" w:rsidRPr="00565003">
        <w:t>ignes directrices de l</w:t>
      </w:r>
      <w:r w:rsidR="00CB0ED3" w:rsidRPr="00565003">
        <w:t>'</w:t>
      </w:r>
      <w:r w:rsidR="00A4267D" w:rsidRPr="00565003">
        <w:t>UIT</w:t>
      </w:r>
      <w:r w:rsidRPr="00565003">
        <w:t xml:space="preserve">, </w:t>
      </w:r>
      <w:r w:rsidR="00A4267D" w:rsidRPr="00565003">
        <w:t xml:space="preserve">et a mis sur pied une </w:t>
      </w:r>
      <w:r w:rsidR="00CC13C7" w:rsidRPr="00565003">
        <w:t>agence de cybersécurité chargée de collaborer avec d</w:t>
      </w:r>
      <w:r w:rsidR="00CB0ED3" w:rsidRPr="00565003">
        <w:t>'</w:t>
      </w:r>
      <w:r w:rsidR="00CC13C7" w:rsidRPr="00565003">
        <w:t>autres</w:t>
      </w:r>
      <w:r w:rsidR="00CB0ED3" w:rsidRPr="00565003">
        <w:t xml:space="preserve"> </w:t>
      </w:r>
      <w:r w:rsidR="00AF4B58" w:rsidRPr="00565003">
        <w:t>organismes</w:t>
      </w:r>
      <w:r w:rsidR="00CB0ED3" w:rsidRPr="00565003">
        <w:t xml:space="preserve"> </w:t>
      </w:r>
      <w:r w:rsidR="00AF4B58" w:rsidRPr="00565003">
        <w:t xml:space="preserve">œuvrant </w:t>
      </w:r>
      <w:r w:rsidR="00CC13C7" w:rsidRPr="00565003">
        <w:t xml:space="preserve">dans </w:t>
      </w:r>
      <w:r w:rsidR="00AF4B58" w:rsidRPr="00565003">
        <w:t xml:space="preserve">des </w:t>
      </w:r>
      <w:r w:rsidR="00CC13C7" w:rsidRPr="00565003">
        <w:t xml:space="preserve">domaines </w:t>
      </w:r>
      <w:r w:rsidR="00AF4B58" w:rsidRPr="00565003">
        <w:t>qui contribuent</w:t>
      </w:r>
      <w:r w:rsidR="00CB0ED3" w:rsidRPr="00565003">
        <w:t xml:space="preserve"> </w:t>
      </w:r>
      <w:r w:rsidR="00CC13C7" w:rsidRPr="00565003">
        <w:t>à la protection en ligne des enfants</w:t>
      </w:r>
      <w:r w:rsidRPr="00565003">
        <w:t xml:space="preserve">. </w:t>
      </w:r>
      <w:r w:rsidR="00CC13C7" w:rsidRPr="00565003">
        <w:t xml:space="preserve">Le </w:t>
      </w:r>
      <w:r w:rsidRPr="00565003">
        <w:t xml:space="preserve">Rwanda </w:t>
      </w:r>
      <w:r w:rsidR="00CC13C7" w:rsidRPr="00565003">
        <w:t>s</w:t>
      </w:r>
      <w:r w:rsidR="00CB0ED3" w:rsidRPr="00565003">
        <w:t>'</w:t>
      </w:r>
      <w:r w:rsidR="00CC13C7" w:rsidRPr="00565003">
        <w:t xml:space="preserve">est engagé à connecter chaque </w:t>
      </w:r>
      <w:r w:rsidR="007F31B6" w:rsidRPr="00565003">
        <w:t>R</w:t>
      </w:r>
      <w:r w:rsidR="00CC13C7" w:rsidRPr="00565003">
        <w:t xml:space="preserve">wandais </w:t>
      </w:r>
      <w:r w:rsidR="00AF4B58" w:rsidRPr="00565003">
        <w:rPr>
          <w:color w:val="000000"/>
        </w:rPr>
        <w:t>de manière sûre et sécurisée</w:t>
      </w:r>
      <w:r w:rsidR="00AF4B58" w:rsidRPr="00565003" w:rsidDel="00AF4B58">
        <w:t xml:space="preserve"> </w:t>
      </w:r>
      <w:r w:rsidR="00CC13C7" w:rsidRPr="00565003">
        <w:t>aux technologies nouvelles et émergentes</w:t>
      </w:r>
      <w:r w:rsidRPr="00565003">
        <w:t>.</w:t>
      </w:r>
    </w:p>
    <w:p w14:paraId="61716C92" w14:textId="3DBC3DEB" w:rsidR="00304E63" w:rsidRPr="00565003" w:rsidRDefault="00304E63" w:rsidP="00CB0ED3">
      <w:r w:rsidRPr="00565003">
        <w:t>2.5</w:t>
      </w:r>
      <w:r w:rsidRPr="00565003">
        <w:tab/>
      </w:r>
      <w:r w:rsidR="003E4F33" w:rsidRPr="00565003">
        <w:t xml:space="preserve">Le </w:t>
      </w:r>
      <w:r w:rsidR="00545798" w:rsidRPr="00565003">
        <w:t>C</w:t>
      </w:r>
      <w:r w:rsidR="003E4F33" w:rsidRPr="00565003">
        <w:t>onseiller de la Turquie</w:t>
      </w:r>
      <w:r w:rsidR="00CB0ED3" w:rsidRPr="00565003">
        <w:t xml:space="preserve"> </w:t>
      </w:r>
      <w:r w:rsidR="00AF4B58" w:rsidRPr="00565003">
        <w:t>précise</w:t>
      </w:r>
      <w:r w:rsidR="00CB0ED3" w:rsidRPr="00565003">
        <w:t xml:space="preserve"> </w:t>
      </w:r>
      <w:r w:rsidR="003E4F33" w:rsidRPr="00565003">
        <w:t>que son pays a établi un centre pour un Internet plus sûr</w:t>
      </w:r>
      <w:r w:rsidR="00CB0ED3" w:rsidRPr="00565003">
        <w:t>,</w:t>
      </w:r>
      <w:r w:rsidR="00AF4B58" w:rsidRPr="00565003">
        <w:t xml:space="preserve"> qui relève</w:t>
      </w:r>
      <w:r w:rsidR="003E4F33" w:rsidRPr="00565003">
        <w:t xml:space="preserve"> de </w:t>
      </w:r>
      <w:r w:rsidR="00AF4B58" w:rsidRPr="00565003">
        <w:t>l</w:t>
      </w:r>
      <w:r w:rsidR="00CB0ED3" w:rsidRPr="00565003">
        <w:t>'</w:t>
      </w:r>
      <w:r w:rsidR="003E4F33" w:rsidRPr="00565003">
        <w:t xml:space="preserve">organisme </w:t>
      </w:r>
      <w:r w:rsidR="00644534" w:rsidRPr="00565003">
        <w:t xml:space="preserve">national </w:t>
      </w:r>
      <w:r w:rsidR="003E4F33" w:rsidRPr="00565003">
        <w:t>de rég</w:t>
      </w:r>
      <w:r w:rsidR="00AF4B58" w:rsidRPr="00565003">
        <w:t>ulation</w:t>
      </w:r>
      <w:r w:rsidR="00CB0ED3" w:rsidRPr="00565003">
        <w:t xml:space="preserve"> </w:t>
      </w:r>
      <w:r w:rsidR="00644534" w:rsidRPr="00565003">
        <w:t xml:space="preserve">des </w:t>
      </w:r>
      <w:r w:rsidRPr="00565003">
        <w:t>t</w:t>
      </w:r>
      <w:r w:rsidR="003E4F33" w:rsidRPr="00565003">
        <w:t>é</w:t>
      </w:r>
      <w:r w:rsidRPr="00565003">
        <w:t>l</w:t>
      </w:r>
      <w:r w:rsidR="003E4F33" w:rsidRPr="00565003">
        <w:t>é</w:t>
      </w:r>
      <w:r w:rsidRPr="00565003">
        <w:t>communications</w:t>
      </w:r>
      <w:r w:rsidR="00644534" w:rsidRPr="00565003">
        <w:t>,</w:t>
      </w:r>
      <w:r w:rsidR="00CB0ED3" w:rsidRPr="00565003">
        <w:t xml:space="preserve"> </w:t>
      </w:r>
      <w:r w:rsidR="003E4F33" w:rsidRPr="00565003">
        <w:t>afin de protéger la société contre les risques associés à l</w:t>
      </w:r>
      <w:r w:rsidR="00CB0ED3" w:rsidRPr="00565003">
        <w:t>'</w:t>
      </w:r>
      <w:r w:rsidR="003E4F33" w:rsidRPr="00565003">
        <w:t xml:space="preserve">Internet et de fournir des orientations aux enfants, aux jeunes et aux familles </w:t>
      </w:r>
      <w:r w:rsidR="00644534" w:rsidRPr="00565003">
        <w:t>concernant</w:t>
      </w:r>
      <w:r w:rsidR="00CB0ED3" w:rsidRPr="00565003">
        <w:t xml:space="preserve"> </w:t>
      </w:r>
      <w:r w:rsidR="00644534" w:rsidRPr="00565003">
        <w:t>l</w:t>
      </w:r>
      <w:r w:rsidR="00CB0ED3" w:rsidRPr="00565003">
        <w:t>'</w:t>
      </w:r>
      <w:r w:rsidR="003E4F33" w:rsidRPr="00565003">
        <w:t xml:space="preserve">utilisation </w:t>
      </w:r>
      <w:r w:rsidR="00644534" w:rsidRPr="00565003">
        <w:rPr>
          <w:color w:val="000000"/>
        </w:rPr>
        <w:t>en toute sécurité</w:t>
      </w:r>
      <w:r w:rsidR="00644534" w:rsidRPr="00565003" w:rsidDel="00644534">
        <w:t xml:space="preserve"> </w:t>
      </w:r>
      <w:r w:rsidR="003E4F33" w:rsidRPr="00565003">
        <w:t>du cyberespace</w:t>
      </w:r>
      <w:r w:rsidRPr="00565003">
        <w:t xml:space="preserve">. </w:t>
      </w:r>
      <w:r w:rsidR="003E4F33" w:rsidRPr="00565003">
        <w:t>En outre</w:t>
      </w:r>
      <w:r w:rsidRPr="00565003">
        <w:t xml:space="preserve">, </w:t>
      </w:r>
      <w:r w:rsidR="003E4F33" w:rsidRPr="00565003">
        <w:t xml:space="preserve">les </w:t>
      </w:r>
      <w:r w:rsidR="007F31B6" w:rsidRPr="00565003">
        <w:t>L</w:t>
      </w:r>
      <w:r w:rsidR="003E4F33" w:rsidRPr="00565003">
        <w:t>ignes directrices de l</w:t>
      </w:r>
      <w:r w:rsidR="00CB0ED3" w:rsidRPr="00565003">
        <w:t>'</w:t>
      </w:r>
      <w:r w:rsidR="003E4F33" w:rsidRPr="00565003">
        <w:t>UIT relatives à la protection en ligne des enfants ont été traduites en turc et</w:t>
      </w:r>
      <w:r w:rsidR="00CB0ED3" w:rsidRPr="00565003">
        <w:t xml:space="preserve"> </w:t>
      </w:r>
      <w:r w:rsidR="00DF7C07" w:rsidRPr="00565003">
        <w:t>mises à disposition de</w:t>
      </w:r>
      <w:r w:rsidR="00644534" w:rsidRPr="00565003">
        <w:t xml:space="preserve"> toute</w:t>
      </w:r>
      <w:r w:rsidR="00DF7C07" w:rsidRPr="00565003">
        <w:t xml:space="preserve">s </w:t>
      </w:r>
      <w:r w:rsidR="00644534" w:rsidRPr="00565003">
        <w:t xml:space="preserve">les </w:t>
      </w:r>
      <w:r w:rsidR="00DF7C07" w:rsidRPr="00565003">
        <w:t>parties prenantes</w:t>
      </w:r>
      <w:r w:rsidRPr="00565003">
        <w:t>.</w:t>
      </w:r>
    </w:p>
    <w:p w14:paraId="575F1440" w14:textId="10A1556B" w:rsidR="00304E63" w:rsidRPr="00565003" w:rsidRDefault="00304E63" w:rsidP="00CB0ED3">
      <w:bookmarkStart w:id="18" w:name="_Hlk99617578"/>
      <w:r w:rsidRPr="00565003">
        <w:t>2.6</w:t>
      </w:r>
      <w:r w:rsidRPr="00565003">
        <w:tab/>
      </w:r>
      <w:r w:rsidR="009A5AFC" w:rsidRPr="00565003">
        <w:t xml:space="preserve">La </w:t>
      </w:r>
      <w:r w:rsidR="00545798" w:rsidRPr="00565003">
        <w:t>C</w:t>
      </w:r>
      <w:r w:rsidR="009A5AFC" w:rsidRPr="00565003">
        <w:t xml:space="preserve">onseillère du </w:t>
      </w:r>
      <w:r w:rsidRPr="00565003">
        <w:t>Nig</w:t>
      </w:r>
      <w:r w:rsidR="009A5AFC" w:rsidRPr="00565003">
        <w:t>é</w:t>
      </w:r>
      <w:r w:rsidRPr="00565003">
        <w:t xml:space="preserve">ria </w:t>
      </w:r>
      <w:bookmarkEnd w:id="18"/>
      <w:r w:rsidR="009A5AFC" w:rsidRPr="00565003">
        <w:t xml:space="preserve">relève que son pays a mis en œuvre des </w:t>
      </w:r>
      <w:r w:rsidRPr="00565003">
        <w:t xml:space="preserve">initiatives </w:t>
      </w:r>
      <w:r w:rsidR="009A5AFC" w:rsidRPr="00565003">
        <w:t>visant à faire prendre conscience des risques auxquels les enfants et jeunes adultes sont exposés en ligne</w:t>
      </w:r>
      <w:r w:rsidRPr="00565003">
        <w:t xml:space="preserve">, </w:t>
      </w:r>
      <w:r w:rsidR="009A5AFC" w:rsidRPr="00565003">
        <w:t xml:space="preserve">notamment dans le </w:t>
      </w:r>
      <w:r w:rsidRPr="00565003">
        <w:t>context</w:t>
      </w:r>
      <w:r w:rsidR="009A5AFC" w:rsidRPr="00565003">
        <w:t>e</w:t>
      </w:r>
      <w:r w:rsidRPr="00565003">
        <w:t xml:space="preserve"> </w:t>
      </w:r>
      <w:r w:rsidR="009A5AFC" w:rsidRPr="00565003">
        <w:t xml:space="preserve">de la pandémie de </w:t>
      </w:r>
      <w:r w:rsidRPr="00565003">
        <w:t xml:space="preserve">COVID-19 </w:t>
      </w:r>
      <w:r w:rsidR="009A5AFC" w:rsidRPr="00565003">
        <w:t>et de la transition générale vers le numérique</w:t>
      </w:r>
      <w:r w:rsidRPr="00565003">
        <w:t xml:space="preserve">. </w:t>
      </w:r>
      <w:r w:rsidR="009A5AFC" w:rsidRPr="00565003">
        <w:t xml:space="preserve">Le Nigéria a </w:t>
      </w:r>
      <w:r w:rsidR="00644534" w:rsidRPr="00565003">
        <w:t xml:space="preserve">fait traduire </w:t>
      </w:r>
      <w:r w:rsidR="009A5AFC" w:rsidRPr="00565003">
        <w:t xml:space="preserve">les </w:t>
      </w:r>
      <w:r w:rsidR="0072398C" w:rsidRPr="00565003">
        <w:t>Li</w:t>
      </w:r>
      <w:r w:rsidR="009A5AFC" w:rsidRPr="00565003">
        <w:t>gnes directrices de l</w:t>
      </w:r>
      <w:r w:rsidR="00CB0ED3" w:rsidRPr="00565003">
        <w:t>'</w:t>
      </w:r>
      <w:r w:rsidR="009A5AFC" w:rsidRPr="00565003">
        <w:t>UIT</w:t>
      </w:r>
      <w:r w:rsidR="00CB0ED3" w:rsidRPr="00565003">
        <w:t xml:space="preserve"> </w:t>
      </w:r>
      <w:r w:rsidR="00644534" w:rsidRPr="00565003">
        <w:t xml:space="preserve">dans les </w:t>
      </w:r>
      <w:r w:rsidR="009A5AFC" w:rsidRPr="00565003">
        <w:t xml:space="preserve">trois langues autochtones et en </w:t>
      </w:r>
      <w:r w:rsidRPr="00565003">
        <w:t>a</w:t>
      </w:r>
      <w:r w:rsidR="009A5AFC" w:rsidRPr="00565003">
        <w:t xml:space="preserve"> </w:t>
      </w:r>
      <w:r w:rsidRPr="00565003">
        <w:t>adapt</w:t>
      </w:r>
      <w:r w:rsidR="009A5AFC" w:rsidRPr="00565003">
        <w:t>é</w:t>
      </w:r>
      <w:r w:rsidRPr="00565003">
        <w:t xml:space="preserve"> </w:t>
      </w:r>
      <w:r w:rsidR="009A5AFC" w:rsidRPr="00565003">
        <w:t xml:space="preserve">le contenu pour </w:t>
      </w:r>
      <w:r w:rsidR="00DC65C0" w:rsidRPr="00565003">
        <w:t>qu</w:t>
      </w:r>
      <w:r w:rsidR="00CB0ED3" w:rsidRPr="00565003">
        <w:t>'</w:t>
      </w:r>
      <w:r w:rsidR="00DC65C0" w:rsidRPr="00565003">
        <w:t>elles</w:t>
      </w:r>
      <w:r w:rsidR="00CB0ED3" w:rsidRPr="00565003">
        <w:t xml:space="preserve"> </w:t>
      </w:r>
      <w:r w:rsidR="00DC65C0" w:rsidRPr="00565003">
        <w:rPr>
          <w:color w:val="000000"/>
        </w:rPr>
        <w:t xml:space="preserve">présentent un intérêt </w:t>
      </w:r>
      <w:r w:rsidR="001E30FE" w:rsidRPr="00565003">
        <w:t>au niveau local et</w:t>
      </w:r>
      <w:r w:rsidR="00CB0ED3" w:rsidRPr="00565003">
        <w:t xml:space="preserve"> </w:t>
      </w:r>
      <w:r w:rsidR="00DC65C0" w:rsidRPr="00565003">
        <w:t>transcendent les clivages tribaux</w:t>
      </w:r>
      <w:r w:rsidR="00CB0ED3" w:rsidRPr="00565003">
        <w:t xml:space="preserve"> </w:t>
      </w:r>
      <w:r w:rsidR="001E30FE" w:rsidRPr="00565003">
        <w:t xml:space="preserve">et </w:t>
      </w:r>
      <w:r w:rsidRPr="00565003">
        <w:t>g</w:t>
      </w:r>
      <w:r w:rsidR="001E30FE" w:rsidRPr="00565003">
        <w:t>é</w:t>
      </w:r>
      <w:r w:rsidRPr="00565003">
        <w:t>opoliti</w:t>
      </w:r>
      <w:r w:rsidR="001E30FE" w:rsidRPr="00565003">
        <w:t>ques</w:t>
      </w:r>
      <w:r w:rsidRPr="00565003">
        <w:t xml:space="preserve">. </w:t>
      </w:r>
      <w:r w:rsidR="001E30FE" w:rsidRPr="00565003">
        <w:t xml:space="preserve">Des campagnes de sensibilisation ont été </w:t>
      </w:r>
      <w:r w:rsidR="00DC65C0" w:rsidRPr="00565003">
        <w:t>organisées</w:t>
      </w:r>
      <w:r w:rsidR="001E30FE" w:rsidRPr="00565003">
        <w:t xml:space="preserve"> dans des écoles primaires et secondaires </w:t>
      </w:r>
      <w:r w:rsidR="00455B7F" w:rsidRPr="00565003">
        <w:t>du</w:t>
      </w:r>
      <w:r w:rsidR="001E30FE" w:rsidRPr="00565003">
        <w:t xml:space="preserve"> pays</w:t>
      </w:r>
      <w:r w:rsidR="00455B7F" w:rsidRPr="00565003">
        <w:t>,</w:t>
      </w:r>
      <w:r w:rsidR="001E30FE" w:rsidRPr="00565003">
        <w:t xml:space="preserve"> avec la participation des </w:t>
      </w:r>
      <w:r w:rsidRPr="00565003">
        <w:t xml:space="preserve">parents, </w:t>
      </w:r>
      <w:r w:rsidR="001E30FE" w:rsidRPr="00565003">
        <w:t>des aidants proches</w:t>
      </w:r>
      <w:r w:rsidRPr="00565003">
        <w:t xml:space="preserve">, </w:t>
      </w:r>
      <w:r w:rsidR="001E30FE" w:rsidRPr="00565003">
        <w:t xml:space="preserve">des professionnels </w:t>
      </w:r>
      <w:r w:rsidR="00455B7F" w:rsidRPr="00565003">
        <w:t xml:space="preserve">du secteur </w:t>
      </w:r>
      <w:r w:rsidR="001E30FE" w:rsidRPr="00565003">
        <w:t>et des décideurs</w:t>
      </w:r>
      <w:r w:rsidRPr="00565003">
        <w:t xml:space="preserve">. </w:t>
      </w:r>
      <w:r w:rsidR="001E30FE" w:rsidRPr="00565003">
        <w:t>L</w:t>
      </w:r>
      <w:r w:rsidR="00CB0ED3" w:rsidRPr="00565003">
        <w:t>'</w:t>
      </w:r>
      <w:r w:rsidR="001E30FE" w:rsidRPr="00565003">
        <w:t xml:space="preserve">adoption par le </w:t>
      </w:r>
      <w:r w:rsidRPr="00565003">
        <w:t>Nig</w:t>
      </w:r>
      <w:r w:rsidR="001E30FE" w:rsidRPr="00565003">
        <w:t>é</w:t>
      </w:r>
      <w:r w:rsidRPr="00565003">
        <w:t>ria</w:t>
      </w:r>
      <w:r w:rsidR="001E30FE" w:rsidRPr="00565003">
        <w:t xml:space="preserve"> d</w:t>
      </w:r>
      <w:r w:rsidR="00CB0ED3" w:rsidRPr="00565003">
        <w:t>'</w:t>
      </w:r>
      <w:r w:rsidR="001E30FE" w:rsidRPr="00565003">
        <w:t xml:space="preserve">un document </w:t>
      </w:r>
      <w:r w:rsidR="00207B0E" w:rsidRPr="00565003">
        <w:t xml:space="preserve">de stratégie </w:t>
      </w:r>
      <w:r w:rsidR="001E30FE" w:rsidRPr="00565003">
        <w:t xml:space="preserve">et </w:t>
      </w:r>
      <w:r w:rsidR="00455B7F" w:rsidRPr="00565003">
        <w:t xml:space="preserve">de </w:t>
      </w:r>
      <w:r w:rsidR="001E30FE" w:rsidRPr="00565003">
        <w:t>politique nationale</w:t>
      </w:r>
      <w:r w:rsidR="00207B0E" w:rsidRPr="00565003">
        <w:t>s</w:t>
      </w:r>
      <w:r w:rsidR="001E30FE" w:rsidRPr="00565003">
        <w:t xml:space="preserve"> </w:t>
      </w:r>
      <w:r w:rsidR="00455B7F" w:rsidRPr="00565003">
        <w:t xml:space="preserve">en matière </w:t>
      </w:r>
      <w:r w:rsidR="001E30FE" w:rsidRPr="00565003">
        <w:t xml:space="preserve">de </w:t>
      </w:r>
      <w:r w:rsidR="00207B0E" w:rsidRPr="00565003">
        <w:t>cybersécurité</w:t>
      </w:r>
      <w:r w:rsidRPr="00565003">
        <w:t xml:space="preserve"> d</w:t>
      </w:r>
      <w:r w:rsidR="00207B0E" w:rsidRPr="00565003">
        <w:t>é</w:t>
      </w:r>
      <w:r w:rsidRPr="00565003">
        <w:t>montr</w:t>
      </w:r>
      <w:r w:rsidR="0072398C" w:rsidRPr="00565003">
        <w:t>e</w:t>
      </w:r>
      <w:r w:rsidR="00CB0ED3" w:rsidRPr="00565003">
        <w:t xml:space="preserve"> </w:t>
      </w:r>
      <w:r w:rsidR="00455B7F" w:rsidRPr="00565003">
        <w:rPr>
          <w:color w:val="000000"/>
        </w:rPr>
        <w:t>l'engagement renouvelé</w:t>
      </w:r>
      <w:r w:rsidR="00455B7F" w:rsidRPr="00565003">
        <w:t xml:space="preserve"> de ce pays</w:t>
      </w:r>
      <w:r w:rsidR="00207B0E" w:rsidRPr="00565003">
        <w:t xml:space="preserve"> en faveur de la sécurité nationale et de la prospérité économique</w:t>
      </w:r>
      <w:r w:rsidRPr="00565003">
        <w:t>.</w:t>
      </w:r>
    </w:p>
    <w:p w14:paraId="7598B4B6" w14:textId="174D7903" w:rsidR="00304E63" w:rsidRPr="00565003" w:rsidRDefault="00304E63" w:rsidP="00CB0ED3">
      <w:r w:rsidRPr="00565003">
        <w:t>2.7</w:t>
      </w:r>
      <w:r w:rsidRPr="00565003">
        <w:tab/>
      </w:r>
      <w:r w:rsidR="00207B0E" w:rsidRPr="00565003">
        <w:t xml:space="preserve">La </w:t>
      </w:r>
      <w:r w:rsidR="00724CAC" w:rsidRPr="00565003">
        <w:t>C</w:t>
      </w:r>
      <w:r w:rsidR="00207B0E" w:rsidRPr="00565003">
        <w:t>onseillère de l</w:t>
      </w:r>
      <w:r w:rsidR="00CB0ED3" w:rsidRPr="00565003">
        <w:t>'</w:t>
      </w:r>
      <w:r w:rsidRPr="00565003">
        <w:t>Australi</w:t>
      </w:r>
      <w:r w:rsidR="00207B0E" w:rsidRPr="00565003">
        <w:t>e</w:t>
      </w:r>
      <w:r w:rsidRPr="00565003">
        <w:t xml:space="preserve"> </w:t>
      </w:r>
      <w:r w:rsidR="00371068" w:rsidRPr="00565003">
        <w:t xml:space="preserve">indique que son pays </w:t>
      </w:r>
      <w:r w:rsidR="0072398C" w:rsidRPr="00565003">
        <w:t xml:space="preserve">est </w:t>
      </w:r>
      <w:r w:rsidR="00371068" w:rsidRPr="00565003">
        <w:t xml:space="preserve">fier </w:t>
      </w:r>
      <w:r w:rsidR="00455B7F" w:rsidRPr="00565003">
        <w:t xml:space="preserve">de son bilan </w:t>
      </w:r>
      <w:r w:rsidR="00371068" w:rsidRPr="00565003">
        <w:t>en matière de promotion de la protection en ligne des enfants par l</w:t>
      </w:r>
      <w:r w:rsidR="00CB0ED3" w:rsidRPr="00565003">
        <w:t>'</w:t>
      </w:r>
      <w:r w:rsidR="00371068" w:rsidRPr="00565003">
        <w:t>intermédiaire de son commissaire pour la sécurité en ligne, qui</w:t>
      </w:r>
      <w:r w:rsidR="00CB0ED3" w:rsidRPr="00565003">
        <w:t xml:space="preserve"> </w:t>
      </w:r>
      <w:r w:rsidR="00455B7F" w:rsidRPr="00565003">
        <w:t>s</w:t>
      </w:r>
      <w:r w:rsidR="00CB0ED3" w:rsidRPr="00565003">
        <w:t>'</w:t>
      </w:r>
      <w:r w:rsidR="00455B7F" w:rsidRPr="00565003">
        <w:t>est révélé efficace</w:t>
      </w:r>
      <w:r w:rsidR="00371068" w:rsidRPr="00565003">
        <w:t xml:space="preserve"> </w:t>
      </w:r>
      <w:r w:rsidR="00455B7F" w:rsidRPr="00565003">
        <w:t>dans la lutte</w:t>
      </w:r>
      <w:r w:rsidR="001B4A7D" w:rsidRPr="00565003">
        <w:t xml:space="preserve"> contre</w:t>
      </w:r>
      <w:r w:rsidR="000619D9" w:rsidRPr="00565003">
        <w:t xml:space="preserve"> le</w:t>
      </w:r>
      <w:r w:rsidR="001B4A7D" w:rsidRPr="00565003">
        <w:t xml:space="preserve"> </w:t>
      </w:r>
      <w:r w:rsidR="000619D9" w:rsidRPr="00565003">
        <w:rPr>
          <w:color w:val="000000"/>
        </w:rPr>
        <w:t>harcèlement en ligne</w:t>
      </w:r>
      <w:r w:rsidR="000619D9" w:rsidRPr="00565003" w:rsidDel="000619D9">
        <w:t xml:space="preserve"> </w:t>
      </w:r>
      <w:r w:rsidR="001B4A7D" w:rsidRPr="00565003">
        <w:t xml:space="preserve">des enfants et </w:t>
      </w:r>
      <w:r w:rsidR="000619D9" w:rsidRPr="00565003">
        <w:t>dans la protection</w:t>
      </w:r>
      <w:r w:rsidR="00CB0ED3" w:rsidRPr="00565003">
        <w:t xml:space="preserve"> </w:t>
      </w:r>
      <w:r w:rsidR="001B4A7D" w:rsidRPr="00565003">
        <w:t>en ligne</w:t>
      </w:r>
      <w:r w:rsidR="000619D9" w:rsidRPr="00565003">
        <w:t xml:space="preserve"> des</w:t>
      </w:r>
      <w:r w:rsidR="00CB0ED3" w:rsidRPr="00565003">
        <w:t xml:space="preserve"> </w:t>
      </w:r>
      <w:r w:rsidR="000619D9" w:rsidRPr="00565003">
        <w:t>Australiens</w:t>
      </w:r>
      <w:r w:rsidRPr="00565003">
        <w:t>.</w:t>
      </w:r>
    </w:p>
    <w:p w14:paraId="7E59A5AC" w14:textId="2B093512" w:rsidR="00304E63" w:rsidRPr="00565003" w:rsidRDefault="00304E63" w:rsidP="00CB0ED3">
      <w:r w:rsidRPr="00565003">
        <w:t>2.8</w:t>
      </w:r>
      <w:r w:rsidRPr="00565003">
        <w:tab/>
      </w:r>
      <w:r w:rsidR="001B4A7D" w:rsidRPr="00565003">
        <w:t xml:space="preserve">Le </w:t>
      </w:r>
      <w:r w:rsidR="00724CAC" w:rsidRPr="00565003">
        <w:t>C</w:t>
      </w:r>
      <w:r w:rsidR="001B4A7D" w:rsidRPr="00565003">
        <w:t>onseiller de la Chine fait valoir que son pays a modifié</w:t>
      </w:r>
      <w:r w:rsidR="000619D9" w:rsidRPr="00565003">
        <w:t xml:space="preserve"> sa</w:t>
      </w:r>
      <w:r w:rsidR="00CB0ED3" w:rsidRPr="00565003">
        <w:t xml:space="preserve"> </w:t>
      </w:r>
      <w:r w:rsidR="001B4A7D" w:rsidRPr="00565003">
        <w:t>législation et</w:t>
      </w:r>
      <w:r w:rsidR="000619D9" w:rsidRPr="00565003">
        <w:t xml:space="preserve"> sa</w:t>
      </w:r>
      <w:r w:rsidR="00CB0ED3" w:rsidRPr="00565003">
        <w:t xml:space="preserve"> </w:t>
      </w:r>
      <w:r w:rsidR="001B4A7D" w:rsidRPr="00565003">
        <w:t>réglementation relatives à la protection en ligne des enfants et</w:t>
      </w:r>
      <w:r w:rsidR="00CB0ED3" w:rsidRPr="00565003">
        <w:t xml:space="preserve"> </w:t>
      </w:r>
      <w:r w:rsidR="001B4A7D" w:rsidRPr="00565003">
        <w:t xml:space="preserve">les met activement en </w:t>
      </w:r>
      <w:r w:rsidR="000619D9" w:rsidRPr="00565003">
        <w:t>application</w:t>
      </w:r>
      <w:r w:rsidRPr="00565003">
        <w:t>.</w:t>
      </w:r>
    </w:p>
    <w:p w14:paraId="5035A58E" w14:textId="5B3EC973" w:rsidR="00304E63" w:rsidRPr="00565003" w:rsidRDefault="00304E63" w:rsidP="00CB0ED3">
      <w:r w:rsidRPr="00565003">
        <w:t>2.9</w:t>
      </w:r>
      <w:r w:rsidRPr="00565003">
        <w:tab/>
      </w:r>
      <w:r w:rsidR="001B4A7D" w:rsidRPr="00565003">
        <w:t xml:space="preserve">Le </w:t>
      </w:r>
      <w:r w:rsidR="00724CAC" w:rsidRPr="00565003">
        <w:t>C</w:t>
      </w:r>
      <w:r w:rsidR="001B4A7D" w:rsidRPr="00565003">
        <w:t>onseiller de la Tunisie ajoute que son pays s</w:t>
      </w:r>
      <w:r w:rsidR="00CB0ED3" w:rsidRPr="00565003">
        <w:t>'</w:t>
      </w:r>
      <w:r w:rsidR="001B4A7D" w:rsidRPr="00565003">
        <w:t>est efforcé de</w:t>
      </w:r>
      <w:r w:rsidR="00E01EA4" w:rsidRPr="00565003">
        <w:t xml:space="preserve"> sensibiliser les enfants, les parents et les aidants proches aux risques associés à l</w:t>
      </w:r>
      <w:r w:rsidR="00CB0ED3" w:rsidRPr="00565003">
        <w:t>'</w:t>
      </w:r>
      <w:r w:rsidR="00E01EA4" w:rsidRPr="00565003">
        <w:t>Internet et a fourni des orientations aux parents sur la manière d</w:t>
      </w:r>
      <w:r w:rsidR="00CB0ED3" w:rsidRPr="00565003">
        <w:t>'</w:t>
      </w:r>
      <w:r w:rsidR="00E01EA4" w:rsidRPr="00565003">
        <w:t>assurer la protection en ligne de leurs enfants</w:t>
      </w:r>
      <w:r w:rsidRPr="00565003">
        <w:t>.</w:t>
      </w:r>
    </w:p>
    <w:p w14:paraId="351D0BFB" w14:textId="2A3078EC" w:rsidR="00304E63" w:rsidRPr="00565003" w:rsidRDefault="00304E63" w:rsidP="00CB0ED3">
      <w:r w:rsidRPr="00565003">
        <w:t>2.10</w:t>
      </w:r>
      <w:r w:rsidRPr="00565003">
        <w:tab/>
      </w:r>
      <w:r w:rsidR="00E01EA4" w:rsidRPr="00565003">
        <w:t xml:space="preserve">Le </w:t>
      </w:r>
      <w:r w:rsidR="00724CAC" w:rsidRPr="00565003">
        <w:t>C</w:t>
      </w:r>
      <w:r w:rsidR="00E01EA4" w:rsidRPr="00565003">
        <w:t>onseil</w:t>
      </w:r>
      <w:r w:rsidR="0072398C" w:rsidRPr="00565003">
        <w:t>ler</w:t>
      </w:r>
      <w:r w:rsidR="00E01EA4" w:rsidRPr="00565003">
        <w:t xml:space="preserve"> de</w:t>
      </w:r>
      <w:r w:rsidR="00CB0ED3" w:rsidRPr="00565003">
        <w:t xml:space="preserve"> </w:t>
      </w:r>
      <w:r w:rsidR="000619D9" w:rsidRPr="00565003">
        <w:rPr>
          <w:color w:val="000000"/>
        </w:rPr>
        <w:t>la République sudafricaine</w:t>
      </w:r>
      <w:r w:rsidR="00CB0ED3" w:rsidRPr="00565003">
        <w:t xml:space="preserve"> </w:t>
      </w:r>
      <w:r w:rsidR="000619D9" w:rsidRPr="00565003">
        <w:t>souligne</w:t>
      </w:r>
      <w:r w:rsidR="00CB0ED3" w:rsidRPr="00565003">
        <w:t xml:space="preserve"> </w:t>
      </w:r>
      <w:r w:rsidR="00E01EA4" w:rsidRPr="00565003">
        <w:t xml:space="preserve">que son pays se conforme aux </w:t>
      </w:r>
      <w:r w:rsidR="0072398C" w:rsidRPr="00565003">
        <w:t>L</w:t>
      </w:r>
      <w:r w:rsidR="00E01EA4" w:rsidRPr="00565003">
        <w:t>ignes directrices de l</w:t>
      </w:r>
      <w:r w:rsidR="00CB0ED3" w:rsidRPr="00565003">
        <w:t>'</w:t>
      </w:r>
      <w:r w:rsidR="00E01EA4" w:rsidRPr="00565003">
        <w:t xml:space="preserve">UIT en la matière et met en œuvre des projets </w:t>
      </w:r>
      <w:r w:rsidR="000619D9" w:rsidRPr="00565003">
        <w:t>relatifs à</w:t>
      </w:r>
      <w:r w:rsidR="00CB0ED3" w:rsidRPr="00565003">
        <w:t xml:space="preserve"> </w:t>
      </w:r>
      <w:r w:rsidR="00E01EA4" w:rsidRPr="00565003">
        <w:t>la protection en ligne des enfants</w:t>
      </w:r>
      <w:r w:rsidRPr="00565003">
        <w:t xml:space="preserve">, </w:t>
      </w:r>
      <w:r w:rsidR="00E01EA4" w:rsidRPr="00565003">
        <w:t xml:space="preserve">comme des programmes </w:t>
      </w:r>
      <w:r w:rsidR="00C565B6" w:rsidRPr="00565003">
        <w:t>de sensibilisation scolaires</w:t>
      </w:r>
      <w:r w:rsidRPr="00565003">
        <w:t xml:space="preserve">, </w:t>
      </w:r>
      <w:r w:rsidR="00C565B6" w:rsidRPr="00565003">
        <w:t xml:space="preserve">des </w:t>
      </w:r>
      <w:r w:rsidRPr="00565003">
        <w:t xml:space="preserve">sessions </w:t>
      </w:r>
      <w:r w:rsidR="00C565B6" w:rsidRPr="00565003">
        <w:t>de surveillance en ligne par les parents et des programmes de soutien entre homologues</w:t>
      </w:r>
      <w:r w:rsidRPr="00565003">
        <w:t xml:space="preserve">. </w:t>
      </w:r>
      <w:r w:rsidR="00C565B6" w:rsidRPr="00565003">
        <w:t xml:space="preserve">Le pays a également lancé une </w:t>
      </w:r>
      <w:r w:rsidR="00C565B6" w:rsidRPr="00565003">
        <w:lastRenderedPageBreak/>
        <w:t>stratégie nationale d</w:t>
      </w:r>
      <w:r w:rsidR="00CB0ED3" w:rsidRPr="00565003">
        <w:t>'</w:t>
      </w:r>
      <w:r w:rsidR="00C565B6" w:rsidRPr="00565003">
        <w:t>autonomisation des enfants par le biais des TIC</w:t>
      </w:r>
      <w:r w:rsidR="000619D9" w:rsidRPr="00565003">
        <w:t>,</w:t>
      </w:r>
      <w:r w:rsidR="00CB0ED3" w:rsidRPr="00565003">
        <w:t xml:space="preserve"> </w:t>
      </w:r>
      <w:r w:rsidR="000619D9" w:rsidRPr="00565003">
        <w:t>qui vise essentiellement à connecter les enfants,</w:t>
      </w:r>
      <w:r w:rsidR="00CB0ED3" w:rsidRPr="00565003">
        <w:t xml:space="preserve"> </w:t>
      </w:r>
      <w:r w:rsidR="000619D9" w:rsidRPr="00565003">
        <w:t>à assurer leur</w:t>
      </w:r>
      <w:r w:rsidR="00CB0ED3" w:rsidRPr="00565003">
        <w:t xml:space="preserve"> </w:t>
      </w:r>
      <w:r w:rsidR="00C565B6" w:rsidRPr="00565003">
        <w:t>protection</w:t>
      </w:r>
      <w:r w:rsidR="00CB0ED3" w:rsidRPr="00565003">
        <w:t xml:space="preserve"> </w:t>
      </w:r>
      <w:r w:rsidR="00C565B6" w:rsidRPr="00565003">
        <w:t xml:space="preserve">et </w:t>
      </w:r>
      <w:r w:rsidR="0037322C" w:rsidRPr="00565003">
        <w:t>à les prémunir contre</w:t>
      </w:r>
      <w:r w:rsidR="00CB0ED3" w:rsidRPr="00565003">
        <w:t xml:space="preserve"> </w:t>
      </w:r>
      <w:r w:rsidR="00F6436D" w:rsidRPr="00565003">
        <w:t>l</w:t>
      </w:r>
      <w:r w:rsidR="00CB0ED3" w:rsidRPr="00565003">
        <w:t>'</w:t>
      </w:r>
      <w:r w:rsidR="00F6436D" w:rsidRPr="00565003">
        <w:t xml:space="preserve">ingénierie sociale et </w:t>
      </w:r>
      <w:r w:rsidR="0037322C" w:rsidRPr="00565003">
        <w:t xml:space="preserve">les </w:t>
      </w:r>
      <w:r w:rsidR="00992BC6" w:rsidRPr="00565003">
        <w:t>commentaires malveillants (</w:t>
      </w:r>
      <w:r w:rsidR="00724CAC" w:rsidRPr="00565003">
        <w:t>"</w:t>
      </w:r>
      <w:bookmarkStart w:id="19" w:name="hit_last"/>
      <w:bookmarkEnd w:id="19"/>
      <w:proofErr w:type="spellStart"/>
      <w:r w:rsidR="00992BC6" w:rsidRPr="00565003">
        <w:t>trolling</w:t>
      </w:r>
      <w:proofErr w:type="spellEnd"/>
      <w:r w:rsidR="00724CAC" w:rsidRPr="00565003">
        <w:t>"</w:t>
      </w:r>
      <w:r w:rsidR="00992BC6" w:rsidRPr="00565003">
        <w:t xml:space="preserve">) </w:t>
      </w:r>
      <w:r w:rsidR="00F6436D" w:rsidRPr="00565003">
        <w:t>en ligne</w:t>
      </w:r>
      <w:r w:rsidRPr="00565003">
        <w:t xml:space="preserve">. </w:t>
      </w:r>
      <w:r w:rsidR="00992BC6" w:rsidRPr="00565003">
        <w:t>De plus</w:t>
      </w:r>
      <w:r w:rsidRPr="00565003">
        <w:t>,</w:t>
      </w:r>
      <w:r w:rsidR="00CB0ED3" w:rsidRPr="00565003">
        <w:t xml:space="preserve"> </w:t>
      </w:r>
      <w:r w:rsidR="0037322C" w:rsidRPr="00565003">
        <w:rPr>
          <w:color w:val="000000"/>
          <w:sz w:val="27"/>
          <w:szCs w:val="27"/>
        </w:rPr>
        <w:t>l</w:t>
      </w:r>
      <w:r w:rsidR="00CB0ED3" w:rsidRPr="00565003">
        <w:rPr>
          <w:color w:val="000000"/>
          <w:sz w:val="27"/>
          <w:szCs w:val="27"/>
        </w:rPr>
        <w:t>'</w:t>
      </w:r>
      <w:r w:rsidR="000D5D5A" w:rsidRPr="00565003">
        <w:t xml:space="preserve">Office des films et des publications </w:t>
      </w:r>
      <w:r w:rsidR="0037322C" w:rsidRPr="00565003">
        <w:t>de</w:t>
      </w:r>
      <w:r w:rsidR="00CB0ED3" w:rsidRPr="00565003">
        <w:t xml:space="preserve"> </w:t>
      </w:r>
      <w:r w:rsidR="0037322C" w:rsidRPr="00565003">
        <w:rPr>
          <w:color w:val="000000"/>
        </w:rPr>
        <w:t>la République sudafricaine</w:t>
      </w:r>
      <w:r w:rsidR="0037322C" w:rsidRPr="00565003" w:rsidDel="000619D9">
        <w:t xml:space="preserve"> </w:t>
      </w:r>
      <w:r w:rsidR="0037322C" w:rsidRPr="00565003">
        <w:t xml:space="preserve">suit de près </w:t>
      </w:r>
      <w:r w:rsidR="000D5D5A" w:rsidRPr="00565003">
        <w:t>l</w:t>
      </w:r>
      <w:r w:rsidR="00CB0ED3" w:rsidRPr="00565003">
        <w:t>'</w:t>
      </w:r>
      <w:r w:rsidR="000D5D5A" w:rsidRPr="00565003">
        <w:t xml:space="preserve">exposition des enfants </w:t>
      </w:r>
      <w:r w:rsidR="00357D1C" w:rsidRPr="00565003">
        <w:t xml:space="preserve">à des </w:t>
      </w:r>
      <w:r w:rsidR="000D5D5A" w:rsidRPr="00565003">
        <w:t>contenu</w:t>
      </w:r>
      <w:r w:rsidR="00357D1C" w:rsidRPr="00565003">
        <w:t>s</w:t>
      </w:r>
      <w:r w:rsidR="000D5D5A" w:rsidRPr="00565003">
        <w:t xml:space="preserve"> explicite</w:t>
      </w:r>
      <w:r w:rsidR="00357D1C" w:rsidRPr="00565003">
        <w:t>s</w:t>
      </w:r>
      <w:r w:rsidRPr="00565003">
        <w:t>.</w:t>
      </w:r>
    </w:p>
    <w:p w14:paraId="36617C64" w14:textId="0EA6520B" w:rsidR="00304E63" w:rsidRPr="00565003" w:rsidRDefault="00304E63" w:rsidP="00CB0ED3">
      <w:r w:rsidRPr="00565003">
        <w:t>2.11</w:t>
      </w:r>
      <w:r w:rsidRPr="00565003">
        <w:tab/>
      </w:r>
      <w:r w:rsidR="00357D1C" w:rsidRPr="00565003">
        <w:t xml:space="preserve">La Directrice du BDT se félicite des </w:t>
      </w:r>
      <w:r w:rsidRPr="00565003">
        <w:t xml:space="preserve">efforts </w:t>
      </w:r>
      <w:r w:rsidR="00357D1C" w:rsidRPr="00565003">
        <w:t xml:space="preserve">déployés par les États Membres pour mettre en œuvre les </w:t>
      </w:r>
      <w:r w:rsidR="00CC2522" w:rsidRPr="00565003">
        <w:t>L</w:t>
      </w:r>
      <w:r w:rsidR="00357D1C" w:rsidRPr="00565003">
        <w:t>ignes directrices de l</w:t>
      </w:r>
      <w:r w:rsidR="00CB0ED3" w:rsidRPr="00565003">
        <w:t>'</w:t>
      </w:r>
      <w:r w:rsidR="00357D1C" w:rsidRPr="00565003">
        <w:t xml:space="preserve">UIT relatives à la protection en ligne des enfants et note </w:t>
      </w:r>
      <w:r w:rsidR="0037322C" w:rsidRPr="00565003">
        <w:t xml:space="preserve">que celles-ci </w:t>
      </w:r>
      <w:r w:rsidR="00357D1C" w:rsidRPr="00565003">
        <w:t>sont à présent disponibles dans de nombreuses langues locales</w:t>
      </w:r>
      <w:r w:rsidRPr="00565003">
        <w:t xml:space="preserve">. </w:t>
      </w:r>
      <w:r w:rsidR="00F17551" w:rsidRPr="00565003">
        <w:t>Elle attire l</w:t>
      </w:r>
      <w:r w:rsidR="00CB0ED3" w:rsidRPr="00565003">
        <w:t>'</w:t>
      </w:r>
      <w:r w:rsidRPr="00565003">
        <w:t xml:space="preserve">attention </w:t>
      </w:r>
      <w:r w:rsidR="00F17551" w:rsidRPr="00565003">
        <w:t>sur</w:t>
      </w:r>
      <w:r w:rsidR="0037322C" w:rsidRPr="00565003">
        <w:t xml:space="preserve"> le fait que la</w:t>
      </w:r>
      <w:r w:rsidR="00CB0ED3" w:rsidRPr="00565003">
        <w:t xml:space="preserve"> </w:t>
      </w:r>
      <w:r w:rsidR="00F17551" w:rsidRPr="00565003">
        <w:t>prochaine Journée des jeunes filles dans le secteur des TIC</w:t>
      </w:r>
      <w:r w:rsidR="0037322C" w:rsidRPr="00565003">
        <w:t>,</w:t>
      </w:r>
      <w:r w:rsidR="00CB0ED3" w:rsidRPr="00565003">
        <w:t xml:space="preserve"> </w:t>
      </w:r>
      <w:r w:rsidR="00F17551" w:rsidRPr="00565003">
        <w:t xml:space="preserve">aura lieu le </w:t>
      </w:r>
      <w:r w:rsidRPr="00565003">
        <w:t xml:space="preserve">28 </w:t>
      </w:r>
      <w:r w:rsidR="00F17551" w:rsidRPr="00565003">
        <w:t xml:space="preserve">avril </w:t>
      </w:r>
      <w:r w:rsidRPr="00565003">
        <w:t xml:space="preserve">2022. </w:t>
      </w:r>
      <w:r w:rsidR="00F17551" w:rsidRPr="00565003">
        <w:t>Le thème</w:t>
      </w:r>
      <w:r w:rsidR="00CB0ED3" w:rsidRPr="00565003">
        <w:t xml:space="preserve"> </w:t>
      </w:r>
      <w:r w:rsidR="0037322C" w:rsidRPr="00565003">
        <w:t xml:space="preserve">retenu </w:t>
      </w:r>
      <w:r w:rsidR="00F17551" w:rsidRPr="00565003">
        <w:t>porte sur l</w:t>
      </w:r>
      <w:r w:rsidR="00CB0ED3" w:rsidRPr="00565003">
        <w:t>'</w:t>
      </w:r>
      <w:r w:rsidR="00F17551" w:rsidRPr="00565003">
        <w:t>accès et la sécurité</w:t>
      </w:r>
      <w:r w:rsidR="0037322C" w:rsidRPr="00565003">
        <w:t>,</w:t>
      </w:r>
      <w:r w:rsidR="00CB0ED3" w:rsidRPr="00565003">
        <w:t xml:space="preserve"> </w:t>
      </w:r>
      <w:r w:rsidR="00F17551" w:rsidRPr="00565003">
        <w:t>étant donné que</w:t>
      </w:r>
      <w:r w:rsidR="0037322C" w:rsidRPr="00565003">
        <w:t xml:space="preserve"> </w:t>
      </w:r>
      <w:r w:rsidR="001608E8">
        <w:t>pendant la pandémie de </w:t>
      </w:r>
      <w:r w:rsidRPr="00565003">
        <w:t>COVID</w:t>
      </w:r>
      <w:r w:rsidR="00724CAC" w:rsidRPr="00565003">
        <w:noBreakHyphen/>
      </w:r>
      <w:r w:rsidRPr="00565003">
        <w:t>19</w:t>
      </w:r>
      <w:r w:rsidR="00F17551" w:rsidRPr="00565003">
        <w:t>,</w:t>
      </w:r>
      <w:r w:rsidRPr="00565003">
        <w:t xml:space="preserve"> </w:t>
      </w:r>
      <w:r w:rsidR="00F17551" w:rsidRPr="00565003">
        <w:t xml:space="preserve">le </w:t>
      </w:r>
      <w:r w:rsidR="00932246" w:rsidRPr="00565003">
        <w:t>taux de cyberintimidation et de harcèlement a augmenté</w:t>
      </w:r>
      <w:r w:rsidRPr="00565003">
        <w:t>,</w:t>
      </w:r>
      <w:r w:rsidR="00932246" w:rsidRPr="00565003">
        <w:t xml:space="preserve"> </w:t>
      </w:r>
      <w:r w:rsidR="002203C9" w:rsidRPr="00565003">
        <w:t xml:space="preserve">et a affecté </w:t>
      </w:r>
      <w:r w:rsidR="00932246" w:rsidRPr="00565003">
        <w:t>les jeunes filles de manière disproportionnée</w:t>
      </w:r>
      <w:r w:rsidRPr="00565003">
        <w:t>.</w:t>
      </w:r>
    </w:p>
    <w:p w14:paraId="54EDEADC" w14:textId="5AC32504" w:rsidR="00304E63" w:rsidRPr="00565003" w:rsidRDefault="00304E63" w:rsidP="00CB0ED3">
      <w:r w:rsidRPr="00565003">
        <w:t>2.12</w:t>
      </w:r>
      <w:r w:rsidRPr="00565003">
        <w:tab/>
      </w:r>
      <w:r w:rsidR="00932246" w:rsidRPr="00565003">
        <w:t>Le Conseil</w:t>
      </w:r>
      <w:r w:rsidRPr="00565003">
        <w:t xml:space="preserve"> </w:t>
      </w:r>
      <w:r w:rsidR="00932246" w:rsidRPr="00565003">
        <w:rPr>
          <w:b/>
          <w:bCs/>
        </w:rPr>
        <w:t>prend</w:t>
      </w:r>
      <w:r w:rsidR="00932246" w:rsidRPr="00565003">
        <w:t xml:space="preserve"> </w:t>
      </w:r>
      <w:r w:rsidRPr="00565003">
        <w:rPr>
          <w:b/>
          <w:bCs/>
        </w:rPr>
        <w:t>note</w:t>
      </w:r>
      <w:r w:rsidRPr="00565003">
        <w:t xml:space="preserve"> </w:t>
      </w:r>
      <w:r w:rsidR="00932246" w:rsidRPr="00565003">
        <w:t xml:space="preserve">du </w:t>
      </w:r>
      <w:r w:rsidRPr="00565003">
        <w:t>Document C22/77.</w:t>
      </w:r>
    </w:p>
    <w:p w14:paraId="4657CE4B" w14:textId="4F796E7F" w:rsidR="00304E63" w:rsidRPr="00565003" w:rsidRDefault="00304E63" w:rsidP="00CB0ED3">
      <w:pPr>
        <w:pStyle w:val="Heading1"/>
        <w:rPr>
          <w:b w:val="0"/>
          <w:bCs/>
          <w:szCs w:val="28"/>
        </w:rPr>
      </w:pPr>
      <w:r w:rsidRPr="00565003">
        <w:rPr>
          <w:bCs/>
          <w:szCs w:val="28"/>
        </w:rPr>
        <w:t>3</w:t>
      </w:r>
      <w:r w:rsidRPr="00565003">
        <w:rPr>
          <w:bCs/>
          <w:szCs w:val="28"/>
        </w:rPr>
        <w:tab/>
      </w:r>
      <w:r w:rsidRPr="00565003">
        <w:rPr>
          <w:bCs/>
        </w:rPr>
        <w:t xml:space="preserve">Dates et durée proposées pour les sessions de 2023, 2024, 2025 et 2026 du Conseil et dates proposées pour les séries de réunions des </w:t>
      </w:r>
      <w:r w:rsidR="00FC26BD" w:rsidRPr="00565003">
        <w:rPr>
          <w:bCs/>
        </w:rPr>
        <w:t>G</w:t>
      </w:r>
      <w:r w:rsidRPr="00565003">
        <w:rPr>
          <w:bCs/>
        </w:rPr>
        <w:t>roupes de travail du Conseil et des Groupes d'experts de 2023, 2024 et 2025</w:t>
      </w:r>
      <w:r w:rsidRPr="00565003">
        <w:rPr>
          <w:b w:val="0"/>
          <w:bCs/>
          <w:szCs w:val="28"/>
        </w:rPr>
        <w:t xml:space="preserve"> </w:t>
      </w:r>
      <w:r w:rsidRPr="00565003">
        <w:rPr>
          <w:bCs/>
          <w:szCs w:val="28"/>
        </w:rPr>
        <w:t>(Document C22/2)</w:t>
      </w:r>
    </w:p>
    <w:p w14:paraId="3191DAF4" w14:textId="79BDC775" w:rsidR="00304E63" w:rsidRPr="00565003" w:rsidRDefault="00304E63" w:rsidP="00CB0ED3">
      <w:bookmarkStart w:id="20" w:name="_Hlk99617753"/>
      <w:r w:rsidRPr="00565003">
        <w:t>3.1</w:t>
      </w:r>
      <w:r w:rsidRPr="00565003">
        <w:tab/>
      </w:r>
      <w:bookmarkEnd w:id="20"/>
      <w:r w:rsidR="00FC26BD" w:rsidRPr="00565003">
        <w:t xml:space="preserve">Le représentant du Secrétariat général </w:t>
      </w:r>
      <w:r w:rsidRPr="00565003">
        <w:t>pr</w:t>
      </w:r>
      <w:r w:rsidR="00FC26BD" w:rsidRPr="00565003">
        <w:t>é</w:t>
      </w:r>
      <w:r w:rsidRPr="00565003">
        <w:t xml:space="preserve">sente </w:t>
      </w:r>
      <w:r w:rsidR="00FC26BD" w:rsidRPr="00565003">
        <w:t xml:space="preserve">le </w:t>
      </w:r>
      <w:r w:rsidRPr="00565003">
        <w:t xml:space="preserve">Document </w:t>
      </w:r>
      <w:hyperlink r:id="rId16" w:history="1">
        <w:r w:rsidRPr="00565003">
          <w:rPr>
            <w:rStyle w:val="Hyperlink"/>
            <w:rFonts w:asciiTheme="minorHAnsi" w:hAnsiTheme="minorHAnsi"/>
            <w:szCs w:val="24"/>
          </w:rPr>
          <w:t>C22/2</w:t>
        </w:r>
      </w:hyperlink>
      <w:r w:rsidRPr="00565003">
        <w:t xml:space="preserve"> </w:t>
      </w:r>
      <w:r w:rsidR="00A3456B" w:rsidRPr="00565003">
        <w:t xml:space="preserve">et rappelle aux </w:t>
      </w:r>
      <w:r w:rsidR="00724CAC" w:rsidRPr="00565003">
        <w:t>C</w:t>
      </w:r>
      <w:r w:rsidR="00A3456B" w:rsidRPr="00565003">
        <w:t xml:space="preserve">onseillers </w:t>
      </w:r>
      <w:r w:rsidR="002203C9" w:rsidRPr="00565003">
        <w:t>qu</w:t>
      </w:r>
      <w:r w:rsidR="00CB0ED3" w:rsidRPr="00565003">
        <w:t>'</w:t>
      </w:r>
      <w:r w:rsidR="002203C9" w:rsidRPr="00565003">
        <w:t>étant donné que</w:t>
      </w:r>
      <w:r w:rsidR="00CB0ED3" w:rsidRPr="00565003">
        <w:t xml:space="preserve"> </w:t>
      </w:r>
      <w:r w:rsidR="00A3456B" w:rsidRPr="00565003">
        <w:t xml:space="preserve">la </w:t>
      </w:r>
      <w:r w:rsidRPr="00565003">
        <w:t>D</w:t>
      </w:r>
      <w:r w:rsidR="00A3456B" w:rsidRPr="00565003">
        <w:t>é</w:t>
      </w:r>
      <w:r w:rsidRPr="00565003">
        <w:t xml:space="preserve">cision 625 </w:t>
      </w:r>
      <w:r w:rsidR="002203C9" w:rsidRPr="00565003">
        <w:t xml:space="preserve">a </w:t>
      </w:r>
      <w:r w:rsidR="00A3456B" w:rsidRPr="00565003">
        <w:t>été adoptée par correspondance</w:t>
      </w:r>
      <w:r w:rsidR="00CB0ED3" w:rsidRPr="00565003">
        <w:t xml:space="preserve"> </w:t>
      </w:r>
      <w:r w:rsidR="002203C9" w:rsidRPr="00565003">
        <w:t xml:space="preserve">à la </w:t>
      </w:r>
      <w:r w:rsidR="00A3456B" w:rsidRPr="00565003">
        <w:t xml:space="preserve">suite de la consultation virtuelle des Conseillers de </w:t>
      </w:r>
      <w:r w:rsidRPr="00565003">
        <w:t xml:space="preserve">2021, </w:t>
      </w:r>
      <w:r w:rsidR="00A3456B" w:rsidRPr="00565003">
        <w:t xml:space="preserve">le Conseil est invité à confirmer à nouveau les dates </w:t>
      </w:r>
      <w:r w:rsidR="002203C9" w:rsidRPr="00565003">
        <w:t xml:space="preserve">qui y </w:t>
      </w:r>
      <w:r w:rsidR="00A3456B" w:rsidRPr="00565003">
        <w:t>figur</w:t>
      </w:r>
      <w:r w:rsidR="002203C9" w:rsidRPr="00565003">
        <w:t>ent</w:t>
      </w:r>
      <w:r w:rsidR="00CB0ED3" w:rsidRPr="00565003">
        <w:t xml:space="preserve"> </w:t>
      </w:r>
      <w:r w:rsidR="00A3456B" w:rsidRPr="00565003">
        <w:t>en vue de</w:t>
      </w:r>
      <w:r w:rsidR="002203C9" w:rsidRPr="00565003">
        <w:t xml:space="preserve"> ses sessions</w:t>
      </w:r>
      <w:r w:rsidR="00CB0ED3" w:rsidRPr="00565003">
        <w:t xml:space="preserve"> </w:t>
      </w:r>
      <w:r w:rsidR="00A3456B" w:rsidRPr="00565003">
        <w:t xml:space="preserve">et </w:t>
      </w:r>
      <w:r w:rsidR="00CC2522" w:rsidRPr="00565003">
        <w:t xml:space="preserve">des réunions </w:t>
      </w:r>
      <w:r w:rsidR="00A3456B" w:rsidRPr="00565003">
        <w:t>des Groupes de travail et des Groupes d</w:t>
      </w:r>
      <w:r w:rsidR="00CB0ED3" w:rsidRPr="00565003">
        <w:t>'</w:t>
      </w:r>
      <w:r w:rsidR="00A3456B" w:rsidRPr="00565003">
        <w:t>experts</w:t>
      </w:r>
      <w:r w:rsidRPr="00565003">
        <w:t>.</w:t>
      </w:r>
    </w:p>
    <w:p w14:paraId="438995F6" w14:textId="3FE1765B" w:rsidR="00304E63" w:rsidRPr="00565003" w:rsidRDefault="00304E63" w:rsidP="00CB0ED3">
      <w:r w:rsidRPr="00565003">
        <w:t>3.2</w:t>
      </w:r>
      <w:r w:rsidRPr="00565003">
        <w:tab/>
      </w:r>
      <w:r w:rsidR="00A3456B" w:rsidRPr="00565003">
        <w:t xml:space="preserve">Un </w:t>
      </w:r>
      <w:r w:rsidR="00724CAC" w:rsidRPr="00565003">
        <w:t>C</w:t>
      </w:r>
      <w:r w:rsidR="00A3456B" w:rsidRPr="00565003">
        <w:t>onseiller demande</w:t>
      </w:r>
      <w:r w:rsidR="002203C9" w:rsidRPr="00565003">
        <w:rPr>
          <w:color w:val="000000"/>
        </w:rPr>
        <w:t xml:space="preserve"> qu</w:t>
      </w:r>
      <w:r w:rsidR="00CB0ED3" w:rsidRPr="00565003">
        <w:rPr>
          <w:color w:val="000000"/>
        </w:rPr>
        <w:t>'</w:t>
      </w:r>
      <w:r w:rsidR="002203C9" w:rsidRPr="00565003">
        <w:rPr>
          <w:color w:val="000000"/>
        </w:rPr>
        <w:t xml:space="preserve">à l'approche </w:t>
      </w:r>
      <w:r w:rsidR="00520631" w:rsidRPr="00565003">
        <w:t>de la CMR</w:t>
      </w:r>
      <w:r w:rsidRPr="00565003">
        <w:t xml:space="preserve">-23, </w:t>
      </w:r>
      <w:r w:rsidR="00520631" w:rsidRPr="00565003">
        <w:t>aucune réunion de groupe de travail ou de commission d</w:t>
      </w:r>
      <w:r w:rsidR="00CB0ED3" w:rsidRPr="00565003">
        <w:t>'</w:t>
      </w:r>
      <w:r w:rsidR="00520631" w:rsidRPr="00565003">
        <w:t>étude n</w:t>
      </w:r>
      <w:r w:rsidR="00CB0ED3" w:rsidRPr="00565003">
        <w:t>'</w:t>
      </w:r>
      <w:r w:rsidR="00520631" w:rsidRPr="00565003">
        <w:t>ait lieu</w:t>
      </w:r>
      <w:r w:rsidR="00CB0ED3" w:rsidRPr="00565003">
        <w:t xml:space="preserve"> </w:t>
      </w:r>
      <w:r w:rsidR="00520631" w:rsidRPr="00565003">
        <w:t>parallèle</w:t>
      </w:r>
      <w:r w:rsidR="002203C9" w:rsidRPr="00565003">
        <w:t>ment aux</w:t>
      </w:r>
      <w:r w:rsidR="00CB0ED3" w:rsidRPr="00565003">
        <w:t xml:space="preserve"> </w:t>
      </w:r>
      <w:r w:rsidR="002203C9" w:rsidRPr="00565003">
        <w:t xml:space="preserve">sessions </w:t>
      </w:r>
      <w:r w:rsidR="00520631" w:rsidRPr="00565003">
        <w:t>du Conseil</w:t>
      </w:r>
      <w:r w:rsidRPr="00565003">
        <w:t xml:space="preserve">. </w:t>
      </w:r>
      <w:r w:rsidR="00520631" w:rsidRPr="00565003">
        <w:t xml:space="preserve">Un autre </w:t>
      </w:r>
      <w:r w:rsidR="00724CAC" w:rsidRPr="00565003">
        <w:t>C</w:t>
      </w:r>
      <w:r w:rsidR="00520631" w:rsidRPr="00565003">
        <w:t xml:space="preserve">onseiller demande au </w:t>
      </w:r>
      <w:r w:rsidR="00724CAC" w:rsidRPr="00565003">
        <w:t>S</w:t>
      </w:r>
      <w:r w:rsidR="002203C9" w:rsidRPr="00565003">
        <w:t xml:space="preserve">ecrétariat </w:t>
      </w:r>
      <w:r w:rsidR="00520631" w:rsidRPr="00565003">
        <w:t>de veiller à ce que les réunions ne coïncident pas avec des fêtes religieuses</w:t>
      </w:r>
      <w:r w:rsidRPr="00565003">
        <w:t>.</w:t>
      </w:r>
    </w:p>
    <w:p w14:paraId="104AD79C" w14:textId="1BC7ED3F" w:rsidR="00304E63" w:rsidRPr="00565003" w:rsidRDefault="00304E63" w:rsidP="00CB0ED3">
      <w:r w:rsidRPr="00565003">
        <w:t>3.3</w:t>
      </w:r>
      <w:r w:rsidRPr="00565003">
        <w:tab/>
      </w:r>
      <w:r w:rsidR="007D7A58" w:rsidRPr="00565003">
        <w:t>Le</w:t>
      </w:r>
      <w:r w:rsidR="00CB0ED3" w:rsidRPr="00565003">
        <w:t xml:space="preserve"> </w:t>
      </w:r>
      <w:r w:rsidR="009F28EF" w:rsidRPr="00565003">
        <w:t>Président</w:t>
      </w:r>
      <w:r w:rsidR="007D7A58" w:rsidRPr="00565003">
        <w:t xml:space="preserve"> souligne qu</w:t>
      </w:r>
      <w:r w:rsidR="00CB0ED3" w:rsidRPr="00565003">
        <w:t>'</w:t>
      </w:r>
      <w:r w:rsidR="007D7A58" w:rsidRPr="00565003">
        <w:t>à ce jour,</w:t>
      </w:r>
      <w:r w:rsidR="00CB0ED3" w:rsidRPr="00565003">
        <w:t xml:space="preserve"> </w:t>
      </w:r>
      <w:r w:rsidR="009F28EF" w:rsidRPr="00565003">
        <w:t xml:space="preserve">le </w:t>
      </w:r>
      <w:r w:rsidR="00724CAC" w:rsidRPr="00565003">
        <w:t>S</w:t>
      </w:r>
      <w:r w:rsidR="007D7A58" w:rsidRPr="00565003">
        <w:t>ecrétariat</w:t>
      </w:r>
      <w:r w:rsidR="00CB0ED3" w:rsidRPr="00565003">
        <w:t xml:space="preserve"> </w:t>
      </w:r>
      <w:r w:rsidR="009F28EF" w:rsidRPr="00565003">
        <w:t>a</w:t>
      </w:r>
      <w:r w:rsidR="00CB0ED3" w:rsidRPr="00565003">
        <w:t xml:space="preserve"> </w:t>
      </w:r>
      <w:r w:rsidR="009F28EF" w:rsidRPr="00565003">
        <w:t xml:space="preserve">tenu compte </w:t>
      </w:r>
      <w:r w:rsidR="007D7A58" w:rsidRPr="00565003">
        <w:t xml:space="preserve">de cet élément </w:t>
      </w:r>
      <w:r w:rsidR="009F28EF" w:rsidRPr="00565003">
        <w:t xml:space="preserve">dans la mesure du possible et </w:t>
      </w:r>
      <w:r w:rsidR="007D7A58" w:rsidRPr="00565003">
        <w:t>réexaminera au besoin</w:t>
      </w:r>
      <w:r w:rsidR="007D7A58" w:rsidRPr="00565003" w:rsidDel="007D7A58">
        <w:t xml:space="preserve"> </w:t>
      </w:r>
      <w:r w:rsidR="007D7A58" w:rsidRPr="00565003">
        <w:t>les dates</w:t>
      </w:r>
      <w:r w:rsidR="007D7A58" w:rsidRPr="00565003" w:rsidDel="007D7A58">
        <w:t xml:space="preserve"> </w:t>
      </w:r>
      <w:r w:rsidR="007D7A58" w:rsidRPr="00565003">
        <w:t>dans</w:t>
      </w:r>
      <w:r w:rsidR="00CB0ED3" w:rsidRPr="00565003">
        <w:t xml:space="preserve"> </w:t>
      </w:r>
      <w:r w:rsidR="009F28EF" w:rsidRPr="00565003">
        <w:t>ce sens</w:t>
      </w:r>
      <w:r w:rsidR="00CB0ED3" w:rsidRPr="00565003">
        <w:t>.</w:t>
      </w:r>
      <w:r w:rsidRPr="00565003">
        <w:t xml:space="preserve"> </w:t>
      </w:r>
      <w:r w:rsidR="00611ED3" w:rsidRPr="00565003">
        <w:t>En conséquence</w:t>
      </w:r>
      <w:r w:rsidR="009F28EF" w:rsidRPr="00565003">
        <w:t>, il considère que l</w:t>
      </w:r>
      <w:r w:rsidR="00C07202" w:rsidRPr="00565003">
        <w:t xml:space="preserve">e Conseil </w:t>
      </w:r>
      <w:r w:rsidR="009F28EF" w:rsidRPr="00565003">
        <w:t>souhaite</w:t>
      </w:r>
      <w:r w:rsidR="00C07202" w:rsidRPr="00565003">
        <w:t xml:space="preserve"> confirmer à nouveau les dates de ses sessions de 2023, 2024, 2025 et</w:t>
      </w:r>
      <w:r w:rsidR="00724CAC" w:rsidRPr="00565003">
        <w:t> </w:t>
      </w:r>
      <w:r w:rsidR="00C07202" w:rsidRPr="00565003">
        <w:t xml:space="preserve">2026, ainsi que les dates des séries de réunions des </w:t>
      </w:r>
      <w:r w:rsidR="009F28EF" w:rsidRPr="00565003">
        <w:t xml:space="preserve">Groupes de travail du Conseil </w:t>
      </w:r>
      <w:r w:rsidR="00C07202" w:rsidRPr="00565003">
        <w:t xml:space="preserve">et des </w:t>
      </w:r>
      <w:r w:rsidR="009F28EF" w:rsidRPr="00565003">
        <w:t>Groupes d</w:t>
      </w:r>
      <w:r w:rsidR="00CB0ED3" w:rsidRPr="00565003">
        <w:t>'</w:t>
      </w:r>
      <w:r w:rsidR="009F28EF" w:rsidRPr="00565003">
        <w:t xml:space="preserve">experts </w:t>
      </w:r>
      <w:r w:rsidR="00C07202" w:rsidRPr="00565003">
        <w:t>de 2023, 2024 et</w:t>
      </w:r>
      <w:r w:rsidR="009F28EF" w:rsidRPr="00565003">
        <w:t xml:space="preserve"> </w:t>
      </w:r>
      <w:r w:rsidR="00C07202" w:rsidRPr="00565003">
        <w:t xml:space="preserve">2025, et </w:t>
      </w:r>
      <w:r w:rsidR="00CC2522" w:rsidRPr="00565003">
        <w:t xml:space="preserve">souhaite </w:t>
      </w:r>
      <w:r w:rsidR="00C07202" w:rsidRPr="00565003">
        <w:t xml:space="preserve">adopter le projet de Décision reproduit dans l'Annexe du </w:t>
      </w:r>
      <w:r w:rsidR="009F28EF" w:rsidRPr="00565003">
        <w:t>D</w:t>
      </w:r>
      <w:r w:rsidR="00C07202" w:rsidRPr="00565003">
        <w:t>ocument</w:t>
      </w:r>
      <w:r w:rsidR="009F28EF" w:rsidRPr="00565003">
        <w:t xml:space="preserve"> C22/2</w:t>
      </w:r>
      <w:r w:rsidRPr="00565003">
        <w:t>.</w:t>
      </w:r>
    </w:p>
    <w:p w14:paraId="223E3BF6" w14:textId="774C0A2F" w:rsidR="00304E63" w:rsidRPr="00565003" w:rsidRDefault="00304E63" w:rsidP="00CB0ED3">
      <w:r w:rsidRPr="00565003">
        <w:t>3.4</w:t>
      </w:r>
      <w:r w:rsidRPr="00565003">
        <w:tab/>
      </w:r>
      <w:r w:rsidR="009F28EF" w:rsidRPr="00565003">
        <w:t xml:space="preserve">Il en est ainsi </w:t>
      </w:r>
      <w:r w:rsidR="009F28EF" w:rsidRPr="00565003">
        <w:rPr>
          <w:b/>
          <w:bCs/>
        </w:rPr>
        <w:t>décidé</w:t>
      </w:r>
      <w:r w:rsidRPr="00565003">
        <w:t>.</w:t>
      </w:r>
    </w:p>
    <w:p w14:paraId="488F205D" w14:textId="303F614C" w:rsidR="00304E63" w:rsidRPr="00565003" w:rsidRDefault="00304E63" w:rsidP="00CB0ED3">
      <w:pPr>
        <w:pStyle w:val="Heading1"/>
        <w:rPr>
          <w:b w:val="0"/>
          <w:bCs/>
          <w:szCs w:val="28"/>
        </w:rPr>
      </w:pPr>
      <w:r w:rsidRPr="00565003">
        <w:rPr>
          <w:bCs/>
          <w:szCs w:val="28"/>
        </w:rPr>
        <w:t>4</w:t>
      </w:r>
      <w:r w:rsidRPr="00565003">
        <w:rPr>
          <w:bCs/>
          <w:szCs w:val="28"/>
        </w:rPr>
        <w:tab/>
      </w:r>
      <w:r w:rsidR="00C07202" w:rsidRPr="00565003">
        <w:rPr>
          <w:bCs/>
        </w:rPr>
        <w:t>Calendrier des conférences, assemblées et réunions futures de l'</w:t>
      </w:r>
      <w:r w:rsidR="009F28EF" w:rsidRPr="00565003">
        <w:rPr>
          <w:bCs/>
        </w:rPr>
        <w:t>U</w:t>
      </w:r>
      <w:r w:rsidR="00C07202" w:rsidRPr="00565003">
        <w:rPr>
          <w:bCs/>
        </w:rPr>
        <w:t>nion pour la période 2022-2025</w:t>
      </w:r>
      <w:r w:rsidR="00C07202" w:rsidRPr="00565003">
        <w:rPr>
          <w:b w:val="0"/>
          <w:bCs/>
          <w:szCs w:val="28"/>
        </w:rPr>
        <w:t xml:space="preserve"> </w:t>
      </w:r>
      <w:r w:rsidRPr="00565003">
        <w:rPr>
          <w:bCs/>
          <w:szCs w:val="28"/>
        </w:rPr>
        <w:t>(Document C22/37(R</w:t>
      </w:r>
      <w:r w:rsidR="00C07202" w:rsidRPr="00565003">
        <w:rPr>
          <w:bCs/>
          <w:szCs w:val="28"/>
        </w:rPr>
        <w:t>é</w:t>
      </w:r>
      <w:r w:rsidRPr="00565003">
        <w:rPr>
          <w:bCs/>
          <w:szCs w:val="28"/>
        </w:rPr>
        <w:t>v.1))</w:t>
      </w:r>
    </w:p>
    <w:p w14:paraId="099F0497" w14:textId="77777777" w:rsidR="00724CAC" w:rsidRPr="00565003" w:rsidRDefault="00304E63" w:rsidP="00CB0ED3">
      <w:bookmarkStart w:id="21" w:name="_Hlk99617800"/>
      <w:r w:rsidRPr="00565003">
        <w:rPr>
          <w:szCs w:val="24"/>
        </w:rPr>
        <w:t>4.1</w:t>
      </w:r>
      <w:r w:rsidRPr="00565003">
        <w:rPr>
          <w:szCs w:val="24"/>
        </w:rPr>
        <w:tab/>
      </w:r>
      <w:bookmarkEnd w:id="21"/>
      <w:r w:rsidR="00C07202" w:rsidRPr="00565003">
        <w:rPr>
          <w:szCs w:val="24"/>
        </w:rPr>
        <w:t>L</w:t>
      </w:r>
      <w:r w:rsidR="0070477F" w:rsidRPr="00565003">
        <w:rPr>
          <w:szCs w:val="24"/>
        </w:rPr>
        <w:t>a</w:t>
      </w:r>
      <w:r w:rsidR="00C07202" w:rsidRPr="00565003">
        <w:rPr>
          <w:szCs w:val="24"/>
        </w:rPr>
        <w:t xml:space="preserve"> </w:t>
      </w:r>
      <w:r w:rsidR="00936C3E" w:rsidRPr="00565003">
        <w:rPr>
          <w:szCs w:val="24"/>
        </w:rPr>
        <w:t>représentant</w:t>
      </w:r>
      <w:r w:rsidR="0070477F" w:rsidRPr="00565003">
        <w:rPr>
          <w:szCs w:val="24"/>
        </w:rPr>
        <w:t>e</w:t>
      </w:r>
      <w:r w:rsidR="00936C3E" w:rsidRPr="00565003">
        <w:rPr>
          <w:szCs w:val="24"/>
        </w:rPr>
        <w:t xml:space="preserve"> </w:t>
      </w:r>
      <w:r w:rsidR="00C07202" w:rsidRPr="00565003">
        <w:rPr>
          <w:szCs w:val="24"/>
        </w:rPr>
        <w:t xml:space="preserve">du </w:t>
      </w:r>
      <w:r w:rsidR="00936C3E" w:rsidRPr="00565003">
        <w:t>Secrétariat général</w:t>
      </w:r>
      <w:r w:rsidR="00C07202" w:rsidRPr="00565003">
        <w:rPr>
          <w:szCs w:val="24"/>
        </w:rPr>
        <w:t xml:space="preserve"> présente le Document </w:t>
      </w:r>
      <w:hyperlink r:id="rId17" w:history="1">
        <w:r w:rsidR="00936C3E" w:rsidRPr="00565003">
          <w:rPr>
            <w:color w:val="0000FF"/>
            <w:szCs w:val="24"/>
            <w:u w:val="single"/>
          </w:rPr>
          <w:t>C22/37(Rév.1)</w:t>
        </w:r>
      </w:hyperlink>
      <w:r w:rsidR="00C07202" w:rsidRPr="00565003">
        <w:rPr>
          <w:szCs w:val="24"/>
        </w:rPr>
        <w:t xml:space="preserve">, qui contient un </w:t>
      </w:r>
      <w:r w:rsidR="00936C3E" w:rsidRPr="00565003">
        <w:rPr>
          <w:szCs w:val="24"/>
        </w:rPr>
        <w:t>calendrier</w:t>
      </w:r>
      <w:r w:rsidR="00CB0ED3" w:rsidRPr="00565003">
        <w:rPr>
          <w:szCs w:val="24"/>
        </w:rPr>
        <w:t xml:space="preserve"> </w:t>
      </w:r>
      <w:r w:rsidR="00C07202" w:rsidRPr="00565003">
        <w:rPr>
          <w:szCs w:val="24"/>
        </w:rPr>
        <w:t xml:space="preserve">à jour des conférences, assemblées et réunions </w:t>
      </w:r>
      <w:r w:rsidR="00936C3E" w:rsidRPr="00565003">
        <w:rPr>
          <w:szCs w:val="24"/>
        </w:rPr>
        <w:t xml:space="preserve">futures </w:t>
      </w:r>
      <w:r w:rsidR="00C07202" w:rsidRPr="00565003">
        <w:rPr>
          <w:szCs w:val="24"/>
        </w:rPr>
        <w:t>de l'Union pour la période</w:t>
      </w:r>
      <w:r w:rsidR="00724CAC" w:rsidRPr="00565003">
        <w:rPr>
          <w:szCs w:val="24"/>
        </w:rPr>
        <w:t> </w:t>
      </w:r>
      <w:r w:rsidR="00C07202" w:rsidRPr="00565003">
        <w:rPr>
          <w:szCs w:val="24"/>
        </w:rPr>
        <w:t>20</w:t>
      </w:r>
      <w:r w:rsidR="00A93946" w:rsidRPr="00565003">
        <w:rPr>
          <w:szCs w:val="24"/>
        </w:rPr>
        <w:t>22</w:t>
      </w:r>
      <w:r w:rsidR="00C07202" w:rsidRPr="00565003">
        <w:rPr>
          <w:szCs w:val="24"/>
        </w:rPr>
        <w:t>-202</w:t>
      </w:r>
      <w:r w:rsidR="00A93946" w:rsidRPr="00565003">
        <w:rPr>
          <w:szCs w:val="24"/>
        </w:rPr>
        <w:t>5</w:t>
      </w:r>
      <w:r w:rsidR="00C07202" w:rsidRPr="00565003">
        <w:rPr>
          <w:szCs w:val="24"/>
        </w:rPr>
        <w:t>, établi sur la base des données communiquées par les Secteurs</w:t>
      </w:r>
      <w:r w:rsidR="00A93946" w:rsidRPr="00565003">
        <w:rPr>
          <w:szCs w:val="24"/>
        </w:rPr>
        <w:t xml:space="preserve"> et conformément aux Résolutions 77 (Rév. Dubaï, 2018) et 111 (Rév. Busan, 2014) de la PP</w:t>
      </w:r>
      <w:r w:rsidRPr="00565003">
        <w:t xml:space="preserve">. </w:t>
      </w:r>
      <w:r w:rsidR="0070477F" w:rsidRPr="00565003">
        <w:t>Elle attire l</w:t>
      </w:r>
      <w:r w:rsidR="00CB0ED3" w:rsidRPr="00565003">
        <w:t>'</w:t>
      </w:r>
      <w:r w:rsidR="0070477F" w:rsidRPr="00565003">
        <w:t>attention sur une modification apportée aux dates de l</w:t>
      </w:r>
      <w:r w:rsidR="00CB0ED3" w:rsidRPr="00565003">
        <w:t>'</w:t>
      </w:r>
      <w:r w:rsidR="0070477F" w:rsidRPr="00565003">
        <w:t xml:space="preserve">édition de 2022 du Colloque mondial des </w:t>
      </w:r>
      <w:r w:rsidR="00724CAC" w:rsidRPr="00565003">
        <w:br w:type="page"/>
      </w:r>
    </w:p>
    <w:p w14:paraId="35D95B04" w14:textId="76E0509A" w:rsidR="00304E63" w:rsidRPr="00565003" w:rsidRDefault="0070477F" w:rsidP="00CB0ED3">
      <w:proofErr w:type="gramStart"/>
      <w:r w:rsidRPr="00565003">
        <w:lastRenderedPageBreak/>
        <w:t>régulateurs</w:t>
      </w:r>
      <w:proofErr w:type="gramEnd"/>
      <w:r w:rsidR="00611ED3" w:rsidRPr="00565003">
        <w:t>,</w:t>
      </w:r>
      <w:r w:rsidRPr="00565003">
        <w:t xml:space="preserve"> </w:t>
      </w:r>
      <w:r w:rsidR="00CC2522" w:rsidRPr="00565003">
        <w:t>par</w:t>
      </w:r>
      <w:r w:rsidRPr="00565003">
        <w:t xml:space="preserve"> suite de la publication du document</w:t>
      </w:r>
      <w:r w:rsidR="00304E63" w:rsidRPr="00565003">
        <w:t xml:space="preserve">. </w:t>
      </w:r>
      <w:r w:rsidR="00611ED3" w:rsidRPr="00565003">
        <w:t>Ce Colloque</w:t>
      </w:r>
      <w:r w:rsidR="00611ED3" w:rsidRPr="00565003" w:rsidDel="00611ED3">
        <w:t xml:space="preserve"> </w:t>
      </w:r>
      <w:r w:rsidR="00DE433A" w:rsidRPr="00565003">
        <w:t xml:space="preserve">aura lieu </w:t>
      </w:r>
      <w:r w:rsidR="00611ED3" w:rsidRPr="00565003">
        <w:t xml:space="preserve">à présent </w:t>
      </w:r>
      <w:r w:rsidR="00DE433A" w:rsidRPr="00565003">
        <w:t xml:space="preserve">du </w:t>
      </w:r>
      <w:r w:rsidR="00304E63" w:rsidRPr="00565003">
        <w:t>21</w:t>
      </w:r>
      <w:r w:rsidR="001608E8">
        <w:t xml:space="preserve"> au </w:t>
      </w:r>
      <w:r w:rsidR="00304E63" w:rsidRPr="00565003">
        <w:t>23</w:t>
      </w:r>
      <w:r w:rsidR="00724CAC" w:rsidRPr="00565003">
        <w:t> </w:t>
      </w:r>
      <w:r w:rsidR="00DE433A" w:rsidRPr="00565003">
        <w:t xml:space="preserve">novembre </w:t>
      </w:r>
      <w:r w:rsidR="00304E63" w:rsidRPr="00565003">
        <w:t xml:space="preserve">2022. </w:t>
      </w:r>
      <w:r w:rsidR="00DE433A" w:rsidRPr="00565003">
        <w:t xml:space="preserve">En outre, des contraintes associées à la </w:t>
      </w:r>
      <w:r w:rsidR="00CC2522" w:rsidRPr="00565003">
        <w:t>démolition</w:t>
      </w:r>
      <w:r w:rsidR="00DE433A" w:rsidRPr="00565003">
        <w:t xml:space="preserve"> du bâtiment </w:t>
      </w:r>
      <w:proofErr w:type="spellStart"/>
      <w:r w:rsidR="00304E63" w:rsidRPr="00565003">
        <w:t>Varembé</w:t>
      </w:r>
      <w:proofErr w:type="spellEnd"/>
      <w:r w:rsidR="00304E63" w:rsidRPr="00565003">
        <w:t xml:space="preserve"> </w:t>
      </w:r>
      <w:r w:rsidR="00DE433A" w:rsidRPr="00565003">
        <w:t xml:space="preserve">signifient que les </w:t>
      </w:r>
      <w:r w:rsidR="00304E63" w:rsidRPr="00565003">
        <w:t xml:space="preserve">dates </w:t>
      </w:r>
      <w:r w:rsidR="00DE433A" w:rsidRPr="00565003">
        <w:t>et</w:t>
      </w:r>
      <w:r w:rsidR="00CB0ED3" w:rsidRPr="00565003">
        <w:t xml:space="preserve"> </w:t>
      </w:r>
      <w:r w:rsidR="00611ED3" w:rsidRPr="00565003">
        <w:t xml:space="preserve">lieux </w:t>
      </w:r>
      <w:r w:rsidR="00DE433A" w:rsidRPr="00565003">
        <w:t xml:space="preserve">de certaines manifestations </w:t>
      </w:r>
      <w:r w:rsidR="00611ED3" w:rsidRPr="00565003">
        <w:t xml:space="preserve">prévues entre le </w:t>
      </w:r>
      <w:r w:rsidR="00DE433A" w:rsidRPr="00565003">
        <w:t>deuxième trimestre de 2023</w:t>
      </w:r>
      <w:r w:rsidR="00CB0ED3" w:rsidRPr="00565003">
        <w:t xml:space="preserve"> </w:t>
      </w:r>
      <w:r w:rsidR="00611ED3" w:rsidRPr="00565003">
        <w:t>et la</w:t>
      </w:r>
      <w:r w:rsidR="00CB0ED3" w:rsidRPr="00565003">
        <w:t xml:space="preserve"> </w:t>
      </w:r>
      <w:r w:rsidR="00DE433A" w:rsidRPr="00565003">
        <w:t xml:space="preserve">fin </w:t>
      </w:r>
      <w:r w:rsidR="00611ED3" w:rsidRPr="00565003">
        <w:t xml:space="preserve">de </w:t>
      </w:r>
      <w:r w:rsidR="00DE433A" w:rsidRPr="00565003">
        <w:t xml:space="preserve">2024 </w:t>
      </w:r>
      <w:r w:rsidR="00611ED3" w:rsidRPr="00565003">
        <w:t>sont susceptibles d</w:t>
      </w:r>
      <w:r w:rsidR="00CB0ED3" w:rsidRPr="00565003">
        <w:t>'</w:t>
      </w:r>
      <w:r w:rsidR="00DE433A" w:rsidRPr="00565003">
        <w:t>être modifiés</w:t>
      </w:r>
      <w:r w:rsidR="00304E63" w:rsidRPr="00565003">
        <w:t>.</w:t>
      </w:r>
    </w:p>
    <w:p w14:paraId="6E856A03" w14:textId="584D878C" w:rsidR="00304E63" w:rsidRPr="00565003" w:rsidRDefault="00304E63" w:rsidP="00CB0E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</w:pPr>
      <w:r w:rsidRPr="00565003">
        <w:t>4.2</w:t>
      </w:r>
      <w:r w:rsidRPr="00565003">
        <w:tab/>
      </w:r>
      <w:r w:rsidR="00EF60FE" w:rsidRPr="00565003">
        <w:t xml:space="preserve">Un </w:t>
      </w:r>
      <w:r w:rsidR="00724CAC" w:rsidRPr="00565003">
        <w:t>C</w:t>
      </w:r>
      <w:r w:rsidR="00EF60FE" w:rsidRPr="00565003">
        <w:t xml:space="preserve">onseiller </w:t>
      </w:r>
      <w:r w:rsidR="00611ED3" w:rsidRPr="00565003">
        <w:t>demande aux</w:t>
      </w:r>
      <w:r w:rsidR="00EF60FE" w:rsidRPr="00565003">
        <w:t xml:space="preserve"> Directeurs des </w:t>
      </w:r>
      <w:r w:rsidRPr="00565003">
        <w:t>Bureaux</w:t>
      </w:r>
      <w:r w:rsidR="00611ED3" w:rsidRPr="00565003">
        <w:t xml:space="preserve"> de</w:t>
      </w:r>
      <w:r w:rsidR="00CB0ED3" w:rsidRPr="00565003">
        <w:t xml:space="preserve"> </w:t>
      </w:r>
      <w:r w:rsidR="00EF60FE" w:rsidRPr="00565003">
        <w:t>veille</w:t>
      </w:r>
      <w:r w:rsidR="00611ED3" w:rsidRPr="00565003">
        <w:t>r</w:t>
      </w:r>
      <w:r w:rsidR="00CB0ED3" w:rsidRPr="00565003">
        <w:t xml:space="preserve"> </w:t>
      </w:r>
      <w:r w:rsidR="00EF60FE" w:rsidRPr="00565003">
        <w:t>à ce que les réunions des groupes consultatifs des Secteurs, si elles sont reportées, ne coïncident pas avec les séries de réunions des GTC</w:t>
      </w:r>
      <w:r w:rsidRPr="00565003">
        <w:t xml:space="preserve">. </w:t>
      </w:r>
      <w:r w:rsidR="00EF60FE" w:rsidRPr="00565003">
        <w:t>Il rappelle que</w:t>
      </w:r>
      <w:r w:rsidR="00C839B2" w:rsidRPr="00565003">
        <w:t>, lors de</w:t>
      </w:r>
      <w:r w:rsidR="00611ED3" w:rsidRPr="00565003">
        <w:t>s</w:t>
      </w:r>
      <w:r w:rsidR="00CB0ED3" w:rsidRPr="00565003">
        <w:t xml:space="preserve"> </w:t>
      </w:r>
      <w:r w:rsidR="00EF60FE" w:rsidRPr="00565003">
        <w:t>discussion</w:t>
      </w:r>
      <w:r w:rsidR="00611ED3" w:rsidRPr="00565003">
        <w:t>s</w:t>
      </w:r>
      <w:r w:rsidR="00EF60FE" w:rsidRPr="00565003">
        <w:t xml:space="preserve"> relative</w:t>
      </w:r>
      <w:r w:rsidR="00611ED3" w:rsidRPr="00565003">
        <w:t>s</w:t>
      </w:r>
      <w:r w:rsidR="00EF60FE" w:rsidRPr="00565003">
        <w:t xml:space="preserve"> aux travaux préparatoires en vue de l</w:t>
      </w:r>
      <w:r w:rsidR="00CB0ED3" w:rsidRPr="00565003">
        <w:t>'</w:t>
      </w:r>
      <w:r w:rsidR="00EF60FE" w:rsidRPr="00565003">
        <w:t>AMNT-24</w:t>
      </w:r>
      <w:r w:rsidR="00C839B2" w:rsidRPr="00565003">
        <w:t xml:space="preserve">, plusieurs </w:t>
      </w:r>
      <w:r w:rsidR="00724CAC" w:rsidRPr="00565003">
        <w:t>C</w:t>
      </w:r>
      <w:r w:rsidR="00C839B2" w:rsidRPr="00565003">
        <w:t>onseillers ont souligné la nécessité de revenir à une période de neuf</w:t>
      </w:r>
      <w:r w:rsidR="00724CAC" w:rsidRPr="00565003">
        <w:t> </w:t>
      </w:r>
      <w:r w:rsidR="00C839B2" w:rsidRPr="00565003">
        <w:t>jours ouvrables lors de l</w:t>
      </w:r>
      <w:r w:rsidR="00CB0ED3" w:rsidRPr="00565003">
        <w:t>'</w:t>
      </w:r>
      <w:r w:rsidR="00C839B2" w:rsidRPr="00565003">
        <w:t>assemblée</w:t>
      </w:r>
      <w:r w:rsidR="00812423" w:rsidRPr="00565003">
        <w:t xml:space="preserve"> </w:t>
      </w:r>
      <w:r w:rsidR="00724CAC" w:rsidRPr="00565003">
        <w:t>–</w:t>
      </w:r>
      <w:r w:rsidR="00812423" w:rsidRPr="00565003">
        <w:t xml:space="preserve"> ce qui a semble-t-il fait l</w:t>
      </w:r>
      <w:r w:rsidR="00CB0ED3" w:rsidRPr="00565003">
        <w:t>'</w:t>
      </w:r>
      <w:r w:rsidR="00812423" w:rsidRPr="00565003">
        <w:t>objet d</w:t>
      </w:r>
      <w:r w:rsidR="00CB0ED3" w:rsidRPr="00565003">
        <w:t>'</w:t>
      </w:r>
      <w:r w:rsidR="00C839B2" w:rsidRPr="00565003">
        <w:t xml:space="preserve">un consensus </w:t>
      </w:r>
      <w:r w:rsidR="00724CAC" w:rsidRPr="00565003">
        <w:t>–</w:t>
      </w:r>
      <w:r w:rsidR="00C839B2" w:rsidRPr="00565003">
        <w:t xml:space="preserve">, et demande </w:t>
      </w:r>
      <w:r w:rsidR="00611ED3" w:rsidRPr="00565003">
        <w:t>qu</w:t>
      </w:r>
      <w:r w:rsidR="00CB0ED3" w:rsidRPr="00565003">
        <w:t>'</w:t>
      </w:r>
      <w:r w:rsidR="00611ED3" w:rsidRPr="00565003">
        <w:t>il en soit tenu compte</w:t>
      </w:r>
      <w:r w:rsidR="00C839B2" w:rsidRPr="00565003">
        <w:t xml:space="preserve"> dans le calendrier des futures conférences ou </w:t>
      </w:r>
      <w:r w:rsidR="00CC2522" w:rsidRPr="00565003">
        <w:t>dans le compte rendu</w:t>
      </w:r>
      <w:r w:rsidRPr="00565003">
        <w:t>.</w:t>
      </w:r>
    </w:p>
    <w:p w14:paraId="0F40F2D3" w14:textId="1A99DF08" w:rsidR="00304E63" w:rsidRPr="00565003" w:rsidRDefault="00304E63" w:rsidP="00CB0E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</w:pPr>
      <w:r w:rsidRPr="00565003">
        <w:t>4.3</w:t>
      </w:r>
      <w:r w:rsidRPr="00565003">
        <w:tab/>
      </w:r>
      <w:r w:rsidR="00ED7878" w:rsidRPr="00565003">
        <w:t>Le Directeur du TSB confirme qu</w:t>
      </w:r>
      <w:r w:rsidR="00CB0ED3" w:rsidRPr="00565003">
        <w:t>'</w:t>
      </w:r>
      <w:r w:rsidR="00ED7878" w:rsidRPr="00565003">
        <w:t>il a été pris note de cette demande et qu</w:t>
      </w:r>
      <w:r w:rsidR="00CB0ED3" w:rsidRPr="00565003">
        <w:t>'</w:t>
      </w:r>
      <w:r w:rsidR="00ED7878" w:rsidRPr="00565003">
        <w:t xml:space="preserve">il en sera tenu compte </w:t>
      </w:r>
      <w:r w:rsidR="00C321D3" w:rsidRPr="00565003">
        <w:t>dans l</w:t>
      </w:r>
      <w:r w:rsidR="00ED7878" w:rsidRPr="00565003">
        <w:t xml:space="preserve">es </w:t>
      </w:r>
      <w:r w:rsidR="00C321D3" w:rsidRPr="00565003">
        <w:t>travaux préparatoires avec le pays hôte</w:t>
      </w:r>
      <w:r w:rsidRPr="00565003">
        <w:t>.</w:t>
      </w:r>
    </w:p>
    <w:p w14:paraId="49B03456" w14:textId="5E4614AF" w:rsidR="00304E63" w:rsidRPr="00565003" w:rsidRDefault="00304E63" w:rsidP="00CB0E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</w:pPr>
      <w:r w:rsidRPr="00565003">
        <w:t>4.4</w:t>
      </w:r>
      <w:r w:rsidRPr="00565003">
        <w:tab/>
      </w:r>
      <w:r w:rsidR="00C321D3" w:rsidRPr="00565003">
        <w:t xml:space="preserve">Le Conseil </w:t>
      </w:r>
      <w:r w:rsidR="00C321D3" w:rsidRPr="00565003">
        <w:rPr>
          <w:b/>
          <w:bCs/>
        </w:rPr>
        <w:t>prend note</w:t>
      </w:r>
      <w:r w:rsidR="00C321D3" w:rsidRPr="00565003">
        <w:t xml:space="preserve"> du </w:t>
      </w:r>
      <w:r w:rsidRPr="00565003">
        <w:t>Document C22/37(R</w:t>
      </w:r>
      <w:r w:rsidR="00C321D3" w:rsidRPr="00565003">
        <w:t>é</w:t>
      </w:r>
      <w:r w:rsidRPr="00565003">
        <w:t>v.1)</w:t>
      </w:r>
      <w:r w:rsidR="00812423" w:rsidRPr="00565003">
        <w:t>,</w:t>
      </w:r>
      <w:r w:rsidRPr="00565003">
        <w:t xml:space="preserve"> </w:t>
      </w:r>
      <w:r w:rsidR="00CC2522" w:rsidRPr="00565003">
        <w:t>qui contient</w:t>
      </w:r>
      <w:r w:rsidR="00812423" w:rsidRPr="00565003">
        <w:rPr>
          <w:color w:val="000000"/>
        </w:rPr>
        <w:t xml:space="preserve"> le changement</w:t>
      </w:r>
      <w:r w:rsidR="00CB0ED3" w:rsidRPr="00565003">
        <w:rPr>
          <w:color w:val="000000"/>
        </w:rPr>
        <w:t xml:space="preserve"> </w:t>
      </w:r>
      <w:r w:rsidR="00812423" w:rsidRPr="00565003">
        <w:t>annoncé</w:t>
      </w:r>
      <w:r w:rsidR="00CB0ED3" w:rsidRPr="00565003">
        <w:t xml:space="preserve"> </w:t>
      </w:r>
      <w:r w:rsidR="00CC2522" w:rsidRPr="00565003">
        <w:t xml:space="preserve">des </w:t>
      </w:r>
      <w:r w:rsidRPr="00565003">
        <w:t xml:space="preserve">dates </w:t>
      </w:r>
      <w:r w:rsidR="001C49BC" w:rsidRPr="00565003">
        <w:t xml:space="preserve">du </w:t>
      </w:r>
      <w:r w:rsidRPr="00565003">
        <w:t>GSR</w:t>
      </w:r>
      <w:r w:rsidRPr="00565003">
        <w:noBreakHyphen/>
        <w:t xml:space="preserve">22, </w:t>
      </w:r>
      <w:r w:rsidR="001C49BC" w:rsidRPr="00565003">
        <w:t xml:space="preserve">ainsi que la </w:t>
      </w:r>
      <w:r w:rsidR="00812423" w:rsidRPr="00565003">
        <w:t>durée</w:t>
      </w:r>
      <w:r w:rsidR="00CB0ED3" w:rsidRPr="00565003">
        <w:t xml:space="preserve"> </w:t>
      </w:r>
      <w:r w:rsidR="001C49BC" w:rsidRPr="00565003">
        <w:t>demandée de neuf jours ouvrables dans le cadre de l</w:t>
      </w:r>
      <w:r w:rsidR="00CB0ED3" w:rsidRPr="00565003">
        <w:t>'</w:t>
      </w:r>
      <w:r w:rsidR="001C49BC" w:rsidRPr="00565003">
        <w:t>AMNT</w:t>
      </w:r>
      <w:r w:rsidRPr="00565003">
        <w:t>-24.</w:t>
      </w:r>
    </w:p>
    <w:p w14:paraId="07D49D1D" w14:textId="577A2461" w:rsidR="00304E63" w:rsidRPr="00565003" w:rsidRDefault="00304E63" w:rsidP="00CB0ED3">
      <w:pPr>
        <w:pStyle w:val="Heading1"/>
        <w:rPr>
          <w:b w:val="0"/>
          <w:bCs/>
          <w:szCs w:val="28"/>
        </w:rPr>
      </w:pPr>
      <w:r w:rsidRPr="00565003">
        <w:rPr>
          <w:bCs/>
          <w:szCs w:val="28"/>
        </w:rPr>
        <w:t>5</w:t>
      </w:r>
      <w:r w:rsidRPr="00565003">
        <w:rPr>
          <w:bCs/>
          <w:szCs w:val="28"/>
        </w:rPr>
        <w:tab/>
      </w:r>
      <w:bookmarkStart w:id="22" w:name="_Hlk99617822"/>
      <w:r w:rsidR="00C07202" w:rsidRPr="00565003">
        <w:rPr>
          <w:bCs/>
        </w:rPr>
        <w:t xml:space="preserve">Présidents et </w:t>
      </w:r>
      <w:r w:rsidR="00156A49" w:rsidRPr="00565003">
        <w:rPr>
          <w:bCs/>
        </w:rPr>
        <w:t>V</w:t>
      </w:r>
      <w:r w:rsidR="00C07202" w:rsidRPr="00565003">
        <w:rPr>
          <w:bCs/>
        </w:rPr>
        <w:t>ice-</w:t>
      </w:r>
      <w:r w:rsidR="00156A49" w:rsidRPr="00565003">
        <w:rPr>
          <w:bCs/>
        </w:rPr>
        <w:t>P</w:t>
      </w:r>
      <w:r w:rsidR="00C07202" w:rsidRPr="00565003">
        <w:rPr>
          <w:bCs/>
        </w:rPr>
        <w:t>résidents des</w:t>
      </w:r>
      <w:r w:rsidR="001C49BC" w:rsidRPr="00565003">
        <w:rPr>
          <w:bCs/>
        </w:rPr>
        <w:t xml:space="preserve"> G</w:t>
      </w:r>
      <w:r w:rsidR="00C07202" w:rsidRPr="00565003">
        <w:rPr>
          <w:bCs/>
        </w:rPr>
        <w:t>roupes de travail du Conseil et des Groupes d'experts</w:t>
      </w:r>
      <w:r w:rsidR="00C07202" w:rsidRPr="00565003">
        <w:rPr>
          <w:b w:val="0"/>
          <w:bCs/>
          <w:szCs w:val="28"/>
        </w:rPr>
        <w:t xml:space="preserve"> </w:t>
      </w:r>
      <w:r w:rsidRPr="00565003">
        <w:rPr>
          <w:bCs/>
          <w:szCs w:val="28"/>
        </w:rPr>
        <w:t>(Document C22/21)</w:t>
      </w:r>
    </w:p>
    <w:p w14:paraId="029C1B29" w14:textId="7517F616" w:rsidR="00304E63" w:rsidRPr="00565003" w:rsidRDefault="00304E63" w:rsidP="00CB0ED3">
      <w:pPr>
        <w:snapToGrid w:val="0"/>
        <w:rPr>
          <w:szCs w:val="24"/>
        </w:rPr>
      </w:pPr>
      <w:bookmarkStart w:id="23" w:name="_Hlk99617831"/>
      <w:bookmarkEnd w:id="22"/>
      <w:r w:rsidRPr="00565003">
        <w:rPr>
          <w:szCs w:val="24"/>
        </w:rPr>
        <w:t>5.1</w:t>
      </w:r>
      <w:r w:rsidRPr="00565003">
        <w:rPr>
          <w:szCs w:val="24"/>
        </w:rPr>
        <w:tab/>
      </w:r>
      <w:r w:rsidR="001C49BC" w:rsidRPr="00565003">
        <w:rPr>
          <w:szCs w:val="24"/>
        </w:rPr>
        <w:t xml:space="preserve">Le </w:t>
      </w:r>
      <w:r w:rsidR="00156A49" w:rsidRPr="00565003">
        <w:rPr>
          <w:szCs w:val="24"/>
        </w:rPr>
        <w:t>représentant</w:t>
      </w:r>
      <w:r w:rsidR="001C49BC" w:rsidRPr="00565003">
        <w:rPr>
          <w:szCs w:val="24"/>
        </w:rPr>
        <w:t xml:space="preserve"> du Secrétariat </w:t>
      </w:r>
      <w:r w:rsidR="00156A49" w:rsidRPr="00565003">
        <w:rPr>
          <w:szCs w:val="24"/>
        </w:rPr>
        <w:t>général</w:t>
      </w:r>
      <w:r w:rsidR="001C49BC" w:rsidRPr="00565003">
        <w:rPr>
          <w:szCs w:val="24"/>
        </w:rPr>
        <w:t xml:space="preserve"> présente le </w:t>
      </w:r>
      <w:bookmarkEnd w:id="23"/>
      <w:r w:rsidRPr="00565003">
        <w:rPr>
          <w:szCs w:val="24"/>
        </w:rPr>
        <w:t xml:space="preserve">Document </w:t>
      </w:r>
      <w:hyperlink r:id="rId18" w:history="1">
        <w:r w:rsidRPr="00565003">
          <w:rPr>
            <w:rStyle w:val="Hyperlink"/>
            <w:szCs w:val="24"/>
          </w:rPr>
          <w:t>C22/21</w:t>
        </w:r>
      </w:hyperlink>
      <w:r w:rsidRPr="00565003">
        <w:rPr>
          <w:szCs w:val="24"/>
        </w:rPr>
        <w:t xml:space="preserve">, </w:t>
      </w:r>
      <w:r w:rsidR="001C49BC" w:rsidRPr="00565003">
        <w:rPr>
          <w:szCs w:val="24"/>
        </w:rPr>
        <w:t>qui contient</w:t>
      </w:r>
      <w:r w:rsidR="00812423" w:rsidRPr="00565003">
        <w:rPr>
          <w:szCs w:val="24"/>
        </w:rPr>
        <w:t xml:space="preserve"> en annexe</w:t>
      </w:r>
      <w:r w:rsidR="001C49BC" w:rsidRPr="00565003">
        <w:rPr>
          <w:szCs w:val="24"/>
        </w:rPr>
        <w:t xml:space="preserve"> un tableau indiquant</w:t>
      </w:r>
      <w:r w:rsidR="00CB0ED3" w:rsidRPr="00565003">
        <w:rPr>
          <w:szCs w:val="24"/>
        </w:rPr>
        <w:t xml:space="preserve"> </w:t>
      </w:r>
      <w:r w:rsidR="001C49BC" w:rsidRPr="00565003">
        <w:rPr>
          <w:szCs w:val="24"/>
        </w:rPr>
        <w:t xml:space="preserve">les Présidents et </w:t>
      </w:r>
      <w:r w:rsidR="00156A49" w:rsidRPr="00565003">
        <w:rPr>
          <w:szCs w:val="24"/>
        </w:rPr>
        <w:t>Vice-Présidents</w:t>
      </w:r>
      <w:r w:rsidR="001C49BC" w:rsidRPr="00565003">
        <w:rPr>
          <w:szCs w:val="24"/>
        </w:rPr>
        <w:t xml:space="preserve"> </w:t>
      </w:r>
      <w:r w:rsidR="00812423" w:rsidRPr="00565003">
        <w:rPr>
          <w:szCs w:val="24"/>
        </w:rPr>
        <w:t xml:space="preserve">actuellement en fonctions </w:t>
      </w:r>
      <w:r w:rsidR="001C49BC" w:rsidRPr="00565003">
        <w:rPr>
          <w:szCs w:val="24"/>
        </w:rPr>
        <w:t>des Groupes de travail du Conseil et des Groupes d</w:t>
      </w:r>
      <w:r w:rsidR="00CB0ED3" w:rsidRPr="00565003">
        <w:rPr>
          <w:szCs w:val="24"/>
        </w:rPr>
        <w:t>'</w:t>
      </w:r>
      <w:r w:rsidR="001C49BC" w:rsidRPr="00565003">
        <w:rPr>
          <w:szCs w:val="24"/>
        </w:rPr>
        <w:t>experts</w:t>
      </w:r>
      <w:r w:rsidRPr="00565003">
        <w:rPr>
          <w:szCs w:val="24"/>
        </w:rPr>
        <w:t>,</w:t>
      </w:r>
      <w:r w:rsidR="00CB0ED3" w:rsidRPr="00565003">
        <w:rPr>
          <w:szCs w:val="24"/>
        </w:rPr>
        <w:t xml:space="preserve"> </w:t>
      </w:r>
      <w:r w:rsidR="00156A49" w:rsidRPr="00565003">
        <w:rPr>
          <w:szCs w:val="24"/>
        </w:rPr>
        <w:t xml:space="preserve">qui sera soumis à la </w:t>
      </w:r>
      <w:r w:rsidRPr="00565003">
        <w:rPr>
          <w:szCs w:val="24"/>
        </w:rPr>
        <w:t>PP-22.</w:t>
      </w:r>
    </w:p>
    <w:p w14:paraId="39CA9B28" w14:textId="01B148DC" w:rsidR="00304E63" w:rsidRPr="00565003" w:rsidRDefault="00304E63" w:rsidP="00CB0ED3">
      <w:pPr>
        <w:snapToGrid w:val="0"/>
        <w:rPr>
          <w:szCs w:val="24"/>
        </w:rPr>
      </w:pPr>
      <w:r w:rsidRPr="00565003">
        <w:rPr>
          <w:szCs w:val="24"/>
        </w:rPr>
        <w:t>5.2</w:t>
      </w:r>
      <w:r w:rsidRPr="00565003">
        <w:rPr>
          <w:szCs w:val="24"/>
        </w:rPr>
        <w:tab/>
      </w:r>
      <w:r w:rsidR="00156A49" w:rsidRPr="00565003">
        <w:rPr>
          <w:szCs w:val="24"/>
        </w:rPr>
        <w:t xml:space="preserve">Il est </w:t>
      </w:r>
      <w:r w:rsidR="00156A49" w:rsidRPr="00565003">
        <w:rPr>
          <w:b/>
          <w:bCs/>
          <w:szCs w:val="24"/>
        </w:rPr>
        <w:t>pris note</w:t>
      </w:r>
      <w:r w:rsidR="00156A49" w:rsidRPr="00565003">
        <w:rPr>
          <w:szCs w:val="24"/>
        </w:rPr>
        <w:t xml:space="preserve"> du tableau figurant dans le </w:t>
      </w:r>
      <w:r w:rsidRPr="00565003">
        <w:rPr>
          <w:szCs w:val="24"/>
        </w:rPr>
        <w:t>Document C22/21.</w:t>
      </w:r>
    </w:p>
    <w:p w14:paraId="2CAF2E44" w14:textId="3529B8BA" w:rsidR="00304E63" w:rsidRPr="00565003" w:rsidRDefault="00304E63" w:rsidP="00CB0ED3">
      <w:pPr>
        <w:pStyle w:val="Heading1"/>
      </w:pPr>
      <w:r w:rsidRPr="00565003">
        <w:t>6</w:t>
      </w:r>
      <w:r w:rsidRPr="00565003">
        <w:tab/>
      </w:r>
      <w:r w:rsidR="00156A49" w:rsidRPr="00565003">
        <w:t>Déclarations des ministres et des observateurs</w:t>
      </w:r>
    </w:p>
    <w:p w14:paraId="578EC44A" w14:textId="7D74342E" w:rsidR="00304E63" w:rsidRPr="00565003" w:rsidRDefault="00304E63" w:rsidP="00CB0ED3">
      <w:pPr>
        <w:snapToGrid w:val="0"/>
        <w:rPr>
          <w:szCs w:val="24"/>
        </w:rPr>
      </w:pPr>
      <w:r w:rsidRPr="00565003">
        <w:rPr>
          <w:szCs w:val="24"/>
        </w:rPr>
        <w:t>6.1</w:t>
      </w:r>
      <w:r w:rsidRPr="00565003">
        <w:rPr>
          <w:szCs w:val="24"/>
        </w:rPr>
        <w:tab/>
        <w:t>M</w:t>
      </w:r>
      <w:r w:rsidR="00156A49" w:rsidRPr="00565003">
        <w:rPr>
          <w:szCs w:val="24"/>
        </w:rPr>
        <w:t>.</w:t>
      </w:r>
      <w:r w:rsidRPr="00565003">
        <w:rPr>
          <w:szCs w:val="24"/>
        </w:rPr>
        <w:t xml:space="preserve"> Abderrazak Henni (</w:t>
      </w:r>
      <w:r w:rsidR="00156A49" w:rsidRPr="00565003">
        <w:rPr>
          <w:szCs w:val="24"/>
        </w:rPr>
        <w:t>Secrétaire général</w:t>
      </w:r>
      <w:r w:rsidRPr="00565003">
        <w:rPr>
          <w:szCs w:val="24"/>
        </w:rPr>
        <w:t xml:space="preserve">, </w:t>
      </w:r>
      <w:proofErr w:type="gramStart"/>
      <w:r w:rsidR="00156A49" w:rsidRPr="00565003">
        <w:rPr>
          <w:szCs w:val="24"/>
        </w:rPr>
        <w:t>Ministère des postes</w:t>
      </w:r>
      <w:proofErr w:type="gramEnd"/>
      <w:r w:rsidR="00156A49" w:rsidRPr="00565003">
        <w:rPr>
          <w:szCs w:val="24"/>
        </w:rPr>
        <w:t xml:space="preserve"> et télécommunications, Algérie</w:t>
      </w:r>
      <w:r w:rsidRPr="00565003">
        <w:rPr>
          <w:szCs w:val="24"/>
        </w:rPr>
        <w:t xml:space="preserve">) </w:t>
      </w:r>
      <w:r w:rsidR="00156A49" w:rsidRPr="00565003">
        <w:rPr>
          <w:szCs w:val="24"/>
        </w:rPr>
        <w:t>annonce que son pays présente sa candidature en vue de sa réélection au Conseil</w:t>
      </w:r>
      <w:r w:rsidRPr="00565003">
        <w:rPr>
          <w:szCs w:val="24"/>
        </w:rPr>
        <w:t>.</w:t>
      </w:r>
    </w:p>
    <w:p w14:paraId="1B0D1FB4" w14:textId="06908816" w:rsidR="00304E63" w:rsidRPr="00565003" w:rsidRDefault="00304E63" w:rsidP="00CB0ED3">
      <w:pPr>
        <w:snapToGrid w:val="0"/>
        <w:rPr>
          <w:szCs w:val="24"/>
        </w:rPr>
      </w:pPr>
      <w:r w:rsidRPr="00565003">
        <w:rPr>
          <w:szCs w:val="24"/>
        </w:rPr>
        <w:t>6.2</w:t>
      </w:r>
      <w:r w:rsidRPr="00565003">
        <w:rPr>
          <w:szCs w:val="24"/>
        </w:rPr>
        <w:tab/>
      </w:r>
      <w:r w:rsidR="00156A49" w:rsidRPr="00565003">
        <w:rPr>
          <w:szCs w:val="24"/>
        </w:rPr>
        <w:t>L</w:t>
      </w:r>
      <w:r w:rsidR="00CB0ED3" w:rsidRPr="00565003">
        <w:rPr>
          <w:szCs w:val="24"/>
        </w:rPr>
        <w:t>'</w:t>
      </w:r>
      <w:r w:rsidR="00156A49" w:rsidRPr="00565003">
        <w:rPr>
          <w:szCs w:val="24"/>
        </w:rPr>
        <w:t>observateur de la Malaisie annonce que son pays présente sa candidature en vue de son élection au Conseil</w:t>
      </w:r>
      <w:r w:rsidRPr="00565003">
        <w:rPr>
          <w:szCs w:val="24"/>
        </w:rPr>
        <w:t>.</w:t>
      </w:r>
    </w:p>
    <w:p w14:paraId="6E2216A8" w14:textId="6EC59A70" w:rsidR="00C07202" w:rsidRPr="00565003" w:rsidRDefault="00C07202" w:rsidP="00CB0ED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840"/>
        <w:rPr>
          <w:szCs w:val="24"/>
        </w:rPr>
      </w:pPr>
      <w:r w:rsidRPr="00565003">
        <w:rPr>
          <w:szCs w:val="24"/>
        </w:rPr>
        <w:t xml:space="preserve">Le Secrétaire </w:t>
      </w:r>
      <w:proofErr w:type="gramStart"/>
      <w:r w:rsidRPr="00565003">
        <w:rPr>
          <w:szCs w:val="24"/>
        </w:rPr>
        <w:t>général:</w:t>
      </w:r>
      <w:proofErr w:type="gramEnd"/>
      <w:r w:rsidRPr="00565003">
        <w:rPr>
          <w:szCs w:val="24"/>
        </w:rPr>
        <w:tab/>
        <w:t>Le Président</w:t>
      </w:r>
      <w:r w:rsidR="00CB0ED3" w:rsidRPr="00565003">
        <w:rPr>
          <w:szCs w:val="24"/>
        </w:rPr>
        <w:t>:</w:t>
      </w:r>
    </w:p>
    <w:p w14:paraId="2CCC0C5D" w14:textId="71CBCAE1" w:rsidR="00C07202" w:rsidRDefault="00C07202" w:rsidP="00CB0ED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rPr>
          <w:szCs w:val="24"/>
        </w:rPr>
      </w:pPr>
      <w:r w:rsidRPr="00565003">
        <w:rPr>
          <w:szCs w:val="24"/>
        </w:rPr>
        <w:t>H. ZHAO</w:t>
      </w:r>
      <w:r w:rsidRPr="00565003">
        <w:rPr>
          <w:szCs w:val="24"/>
        </w:rPr>
        <w:tab/>
        <w:t>S. BIN GHELAITA</w:t>
      </w:r>
    </w:p>
    <w:p w14:paraId="6960B35F" w14:textId="77777777" w:rsidR="00FC5BF5" w:rsidRDefault="00FC5BF5" w:rsidP="00411C49">
      <w:pPr>
        <w:pStyle w:val="Reasons"/>
      </w:pPr>
    </w:p>
    <w:p w14:paraId="3DCE27C4" w14:textId="77777777" w:rsidR="00FC5BF5" w:rsidRDefault="00FC5BF5">
      <w:pPr>
        <w:jc w:val="center"/>
      </w:pPr>
      <w:r>
        <w:t>______________</w:t>
      </w:r>
    </w:p>
    <w:p w14:paraId="3232FEAB" w14:textId="77777777" w:rsidR="00FC5BF5" w:rsidRPr="00565003" w:rsidRDefault="00FC5BF5" w:rsidP="00CB0ED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rPr>
          <w:szCs w:val="24"/>
        </w:rPr>
      </w:pPr>
    </w:p>
    <w:sectPr w:rsidR="00FC5BF5" w:rsidRPr="00565003" w:rsidSect="005C38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92D1" w14:textId="77777777" w:rsidR="003470BC" w:rsidRDefault="003470BC">
      <w:r>
        <w:separator/>
      </w:r>
    </w:p>
  </w:endnote>
  <w:endnote w:type="continuationSeparator" w:id="0">
    <w:p w14:paraId="32355626" w14:textId="77777777" w:rsidR="003470BC" w:rsidRDefault="0034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14E5" w14:textId="2BDBFB1D" w:rsidR="00732045" w:rsidRDefault="00FC5BF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32548">
      <w:t>P:\FRA\SG\CONSEIL\C22\000\092F.docx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20.04.22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254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F64" w14:textId="237972C3" w:rsidR="00732045" w:rsidRDefault="00FC5BF5">
    <w:pPr>
      <w:pStyle w:val="Footer"/>
    </w:pPr>
    <w:r w:rsidRPr="00FC5BF5">
      <w:rPr>
        <w:color w:val="F2F2F2" w:themeColor="background1" w:themeShade="F2"/>
      </w:rPr>
      <w:fldChar w:fldCharType="begin"/>
    </w:r>
    <w:r w:rsidRPr="00FC5BF5">
      <w:rPr>
        <w:color w:val="F2F2F2" w:themeColor="background1" w:themeShade="F2"/>
      </w:rPr>
      <w:instrText xml:space="preserve"> FILENAME \p \* MERGEFORMAT </w:instrText>
    </w:r>
    <w:r w:rsidRPr="00FC5BF5">
      <w:rPr>
        <w:color w:val="F2F2F2" w:themeColor="background1" w:themeShade="F2"/>
      </w:rPr>
      <w:fldChar w:fldCharType="separate"/>
    </w:r>
    <w:r w:rsidR="00F32548" w:rsidRPr="00FC5BF5">
      <w:rPr>
        <w:color w:val="F2F2F2" w:themeColor="background1" w:themeShade="F2"/>
      </w:rPr>
      <w:t>P:\FRA\SG\CONSEIL\C22\000\092F.docx</w:t>
    </w:r>
    <w:r w:rsidRPr="00FC5BF5">
      <w:rPr>
        <w:color w:val="F2F2F2" w:themeColor="background1" w:themeShade="F2"/>
      </w:rPr>
      <w:fldChar w:fldCharType="end"/>
    </w:r>
    <w:r w:rsidR="00304E63" w:rsidRPr="00FC5BF5">
      <w:rPr>
        <w:color w:val="F2F2F2" w:themeColor="background1" w:themeShade="F2"/>
      </w:rPr>
      <w:t xml:space="preserve"> (503277)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3CAD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7EB1" w14:textId="77777777" w:rsidR="003470BC" w:rsidRDefault="003470BC">
      <w:r>
        <w:t>____________________</w:t>
      </w:r>
    </w:p>
  </w:footnote>
  <w:footnote w:type="continuationSeparator" w:id="0">
    <w:p w14:paraId="73BA8967" w14:textId="77777777" w:rsidR="003470BC" w:rsidRDefault="0034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793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D31F79E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98B4" w14:textId="16A39D01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32548">
      <w:rPr>
        <w:noProof/>
      </w:rPr>
      <w:t>6</w:t>
    </w:r>
    <w:r>
      <w:rPr>
        <w:noProof/>
      </w:rPr>
      <w:fldChar w:fldCharType="end"/>
    </w:r>
  </w:p>
  <w:p w14:paraId="65E4E251" w14:textId="5FD92415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B7341F">
      <w:t>92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2B"/>
    <w:rsid w:val="00016736"/>
    <w:rsid w:val="00056A7A"/>
    <w:rsid w:val="000619D9"/>
    <w:rsid w:val="00070111"/>
    <w:rsid w:val="00082000"/>
    <w:rsid w:val="0009233E"/>
    <w:rsid w:val="000C0563"/>
    <w:rsid w:val="000D0D0A"/>
    <w:rsid w:val="000D5D5A"/>
    <w:rsid w:val="001014B6"/>
    <w:rsid w:val="00103163"/>
    <w:rsid w:val="00106B19"/>
    <w:rsid w:val="00115D93"/>
    <w:rsid w:val="001247A8"/>
    <w:rsid w:val="001378C0"/>
    <w:rsid w:val="00156A49"/>
    <w:rsid w:val="001608E8"/>
    <w:rsid w:val="0018694A"/>
    <w:rsid w:val="001A3287"/>
    <w:rsid w:val="001A6508"/>
    <w:rsid w:val="001B4A7D"/>
    <w:rsid w:val="001C49BC"/>
    <w:rsid w:val="001D4C31"/>
    <w:rsid w:val="001E30FE"/>
    <w:rsid w:val="001E4D21"/>
    <w:rsid w:val="001F33EE"/>
    <w:rsid w:val="00207B0E"/>
    <w:rsid w:val="00207CD1"/>
    <w:rsid w:val="002203C9"/>
    <w:rsid w:val="002477A2"/>
    <w:rsid w:val="00263A51"/>
    <w:rsid w:val="00264306"/>
    <w:rsid w:val="00267E02"/>
    <w:rsid w:val="002A5D44"/>
    <w:rsid w:val="002E0BC4"/>
    <w:rsid w:val="002F1B76"/>
    <w:rsid w:val="00304E63"/>
    <w:rsid w:val="003149EA"/>
    <w:rsid w:val="0033568E"/>
    <w:rsid w:val="003470BC"/>
    <w:rsid w:val="00355FF5"/>
    <w:rsid w:val="00357D1C"/>
    <w:rsid w:val="00361350"/>
    <w:rsid w:val="00371068"/>
    <w:rsid w:val="0037322C"/>
    <w:rsid w:val="00373EB0"/>
    <w:rsid w:val="003C3FAE"/>
    <w:rsid w:val="003D1AC3"/>
    <w:rsid w:val="003D2AED"/>
    <w:rsid w:val="003E4F33"/>
    <w:rsid w:val="003E65EB"/>
    <w:rsid w:val="003F15BE"/>
    <w:rsid w:val="004038CB"/>
    <w:rsid w:val="0040546F"/>
    <w:rsid w:val="0042404A"/>
    <w:rsid w:val="0044618F"/>
    <w:rsid w:val="00455B7F"/>
    <w:rsid w:val="0046769A"/>
    <w:rsid w:val="00467A88"/>
    <w:rsid w:val="00475FB3"/>
    <w:rsid w:val="00492AD0"/>
    <w:rsid w:val="004A24EC"/>
    <w:rsid w:val="004A7746"/>
    <w:rsid w:val="004C37A9"/>
    <w:rsid w:val="004D1D50"/>
    <w:rsid w:val="004F259E"/>
    <w:rsid w:val="00511F1D"/>
    <w:rsid w:val="00520631"/>
    <w:rsid w:val="00520F36"/>
    <w:rsid w:val="00540615"/>
    <w:rsid w:val="00540A6D"/>
    <w:rsid w:val="00545798"/>
    <w:rsid w:val="00565003"/>
    <w:rsid w:val="005661C4"/>
    <w:rsid w:val="00571EEA"/>
    <w:rsid w:val="00575417"/>
    <w:rsid w:val="005768E1"/>
    <w:rsid w:val="005A072B"/>
    <w:rsid w:val="005B1938"/>
    <w:rsid w:val="005C3890"/>
    <w:rsid w:val="005F71B5"/>
    <w:rsid w:val="005F7BFE"/>
    <w:rsid w:val="00600017"/>
    <w:rsid w:val="00606469"/>
    <w:rsid w:val="00611ED3"/>
    <w:rsid w:val="006235CA"/>
    <w:rsid w:val="00644534"/>
    <w:rsid w:val="006643AB"/>
    <w:rsid w:val="006F0A53"/>
    <w:rsid w:val="0070477F"/>
    <w:rsid w:val="0071008A"/>
    <w:rsid w:val="0071447D"/>
    <w:rsid w:val="007210CD"/>
    <w:rsid w:val="0072398C"/>
    <w:rsid w:val="00724CAC"/>
    <w:rsid w:val="00732045"/>
    <w:rsid w:val="0073513F"/>
    <w:rsid w:val="007369DB"/>
    <w:rsid w:val="0076113F"/>
    <w:rsid w:val="00775924"/>
    <w:rsid w:val="0077696C"/>
    <w:rsid w:val="0079347C"/>
    <w:rsid w:val="007956C2"/>
    <w:rsid w:val="0079673F"/>
    <w:rsid w:val="007A187E"/>
    <w:rsid w:val="007C72C2"/>
    <w:rsid w:val="007D4436"/>
    <w:rsid w:val="007D7A58"/>
    <w:rsid w:val="007F257A"/>
    <w:rsid w:val="007F31B6"/>
    <w:rsid w:val="007F3665"/>
    <w:rsid w:val="00800037"/>
    <w:rsid w:val="00812423"/>
    <w:rsid w:val="008338DD"/>
    <w:rsid w:val="0083391C"/>
    <w:rsid w:val="008372F7"/>
    <w:rsid w:val="00861D73"/>
    <w:rsid w:val="00897553"/>
    <w:rsid w:val="008A42A3"/>
    <w:rsid w:val="008A4E87"/>
    <w:rsid w:val="008B3938"/>
    <w:rsid w:val="008D76E6"/>
    <w:rsid w:val="0092392D"/>
    <w:rsid w:val="00932246"/>
    <w:rsid w:val="0093234A"/>
    <w:rsid w:val="00936C3E"/>
    <w:rsid w:val="00956A78"/>
    <w:rsid w:val="0097363B"/>
    <w:rsid w:val="00992BC6"/>
    <w:rsid w:val="009A5AFC"/>
    <w:rsid w:val="009C307F"/>
    <w:rsid w:val="009C353C"/>
    <w:rsid w:val="009F28EF"/>
    <w:rsid w:val="00A2113E"/>
    <w:rsid w:val="00A23A51"/>
    <w:rsid w:val="00A24607"/>
    <w:rsid w:val="00A25CD3"/>
    <w:rsid w:val="00A3456B"/>
    <w:rsid w:val="00A4267D"/>
    <w:rsid w:val="00A709FE"/>
    <w:rsid w:val="00A82767"/>
    <w:rsid w:val="00A93946"/>
    <w:rsid w:val="00AA332F"/>
    <w:rsid w:val="00AA7BBB"/>
    <w:rsid w:val="00AB1F6B"/>
    <w:rsid w:val="00AB64A8"/>
    <w:rsid w:val="00AB664D"/>
    <w:rsid w:val="00AC0266"/>
    <w:rsid w:val="00AC3445"/>
    <w:rsid w:val="00AD24EC"/>
    <w:rsid w:val="00AD4B58"/>
    <w:rsid w:val="00AD4DD8"/>
    <w:rsid w:val="00AF4B58"/>
    <w:rsid w:val="00B23281"/>
    <w:rsid w:val="00B309F9"/>
    <w:rsid w:val="00B32B60"/>
    <w:rsid w:val="00B61619"/>
    <w:rsid w:val="00B7341F"/>
    <w:rsid w:val="00B866F1"/>
    <w:rsid w:val="00BA3CB1"/>
    <w:rsid w:val="00BB4545"/>
    <w:rsid w:val="00BD5873"/>
    <w:rsid w:val="00BE5575"/>
    <w:rsid w:val="00C04BE3"/>
    <w:rsid w:val="00C07202"/>
    <w:rsid w:val="00C21A9A"/>
    <w:rsid w:val="00C25D29"/>
    <w:rsid w:val="00C27A7C"/>
    <w:rsid w:val="00C321D3"/>
    <w:rsid w:val="00C35DAE"/>
    <w:rsid w:val="00C44E9D"/>
    <w:rsid w:val="00C565B6"/>
    <w:rsid w:val="00C839B2"/>
    <w:rsid w:val="00CA08ED"/>
    <w:rsid w:val="00CB0ED3"/>
    <w:rsid w:val="00CC13C7"/>
    <w:rsid w:val="00CC2522"/>
    <w:rsid w:val="00CE1BC7"/>
    <w:rsid w:val="00CF183B"/>
    <w:rsid w:val="00D057D7"/>
    <w:rsid w:val="00D375CD"/>
    <w:rsid w:val="00D4772D"/>
    <w:rsid w:val="00D553A2"/>
    <w:rsid w:val="00D74C0C"/>
    <w:rsid w:val="00D774D3"/>
    <w:rsid w:val="00D904E8"/>
    <w:rsid w:val="00DA08C3"/>
    <w:rsid w:val="00DB5A3E"/>
    <w:rsid w:val="00DC22AA"/>
    <w:rsid w:val="00DC65C0"/>
    <w:rsid w:val="00DE433A"/>
    <w:rsid w:val="00DF74DD"/>
    <w:rsid w:val="00DF7C07"/>
    <w:rsid w:val="00E01EA4"/>
    <w:rsid w:val="00E25AD0"/>
    <w:rsid w:val="00E5632B"/>
    <w:rsid w:val="00EB6350"/>
    <w:rsid w:val="00ED1713"/>
    <w:rsid w:val="00ED7878"/>
    <w:rsid w:val="00EF60FE"/>
    <w:rsid w:val="00F15B57"/>
    <w:rsid w:val="00F17551"/>
    <w:rsid w:val="00F32548"/>
    <w:rsid w:val="00F427DB"/>
    <w:rsid w:val="00F6436D"/>
    <w:rsid w:val="00F825DF"/>
    <w:rsid w:val="00FA5EB1"/>
    <w:rsid w:val="00FA7439"/>
    <w:rsid w:val="00FC26BD"/>
    <w:rsid w:val="00FC4EC0"/>
    <w:rsid w:val="00FC5BF5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211AF"/>
  <w15:docId w15:val="{65772208-9ED2-4842-8701-E290C8D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7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014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14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14B6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4B6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CB0ED3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64/en" TargetMode="External"/><Relationship Id="rId13" Type="http://schemas.openxmlformats.org/officeDocument/2006/relationships/hyperlink" Target="https://www.itu.int/md/S22-CL-C-0015/en" TargetMode="External"/><Relationship Id="rId18" Type="http://schemas.openxmlformats.org/officeDocument/2006/relationships/hyperlink" Target="https://www.itu.int/md/S22-CL-C-0021/en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itu.int/md/S22-CL-C-0015/en" TargetMode="External"/><Relationship Id="rId12" Type="http://schemas.openxmlformats.org/officeDocument/2006/relationships/hyperlink" Target="https://www.itu.int/md/S22-CL-C-0021/en" TargetMode="External"/><Relationship Id="rId17" Type="http://schemas.openxmlformats.org/officeDocument/2006/relationships/hyperlink" Target="https://www.itu.int/md/S22-CL-C-0037/e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2-CL-C-0002/en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CL-C-0037/e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2-CL-C-0077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2-CL-C-0002/e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CL-C-0077/en" TargetMode="External"/><Relationship Id="rId14" Type="http://schemas.openxmlformats.org/officeDocument/2006/relationships/hyperlink" Target="https://www.itu.int/md/S22-CL-C-0064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2763</Words>
  <Characters>15096</Characters>
  <Application>Microsoft Office Word</Application>
  <DocSecurity>4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17824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septième séance plénière</dc:title>
  <dc:subject>Conseil 2022</dc:subject>
  <dc:creator>French</dc:creator>
  <cp:keywords>C2022, C22, Council-22</cp:keywords>
  <dc:description/>
  <cp:lastModifiedBy>Xue, Kun</cp:lastModifiedBy>
  <cp:revision>2</cp:revision>
  <cp:lastPrinted>2000-07-18T08:55:00Z</cp:lastPrinted>
  <dcterms:created xsi:type="dcterms:W3CDTF">2022-05-09T17:52:00Z</dcterms:created>
  <dcterms:modified xsi:type="dcterms:W3CDTF">2022-05-09T17:52:00Z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