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10127" w14:paraId="762AE955" w14:textId="77777777">
        <w:trPr>
          <w:cantSplit/>
        </w:trPr>
        <w:tc>
          <w:tcPr>
            <w:tcW w:w="6912" w:type="dxa"/>
          </w:tcPr>
          <w:p w14:paraId="05DF2177" w14:textId="77777777" w:rsidR="00520F36" w:rsidRPr="00610127" w:rsidRDefault="00520F36" w:rsidP="00217650">
            <w:pPr>
              <w:spacing w:before="360"/>
            </w:pPr>
            <w:bookmarkStart w:id="0" w:name="dc06"/>
            <w:bookmarkEnd w:id="0"/>
            <w:r w:rsidRPr="00610127">
              <w:rPr>
                <w:b/>
                <w:bCs/>
                <w:sz w:val="30"/>
                <w:szCs w:val="30"/>
              </w:rPr>
              <w:t>Conseil 20</w:t>
            </w:r>
            <w:r w:rsidR="009C353C" w:rsidRPr="00610127">
              <w:rPr>
                <w:b/>
                <w:bCs/>
                <w:sz w:val="30"/>
                <w:szCs w:val="30"/>
              </w:rPr>
              <w:t>2</w:t>
            </w:r>
            <w:r w:rsidR="0083391C" w:rsidRPr="00610127">
              <w:rPr>
                <w:b/>
                <w:bCs/>
                <w:sz w:val="30"/>
                <w:szCs w:val="30"/>
              </w:rPr>
              <w:t>2</w:t>
            </w:r>
            <w:r w:rsidRPr="00610127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610127">
              <w:rPr>
                <w:b/>
                <w:bCs/>
                <w:sz w:val="26"/>
                <w:szCs w:val="26"/>
              </w:rPr>
              <w:t>Genève</w:t>
            </w:r>
            <w:r w:rsidRPr="00610127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610127">
              <w:rPr>
                <w:b/>
                <w:bCs/>
                <w:sz w:val="26"/>
                <w:szCs w:val="26"/>
              </w:rPr>
              <w:t>21</w:t>
            </w:r>
            <w:r w:rsidRPr="00610127">
              <w:rPr>
                <w:b/>
                <w:bCs/>
                <w:sz w:val="26"/>
                <w:szCs w:val="26"/>
              </w:rPr>
              <w:t>-</w:t>
            </w:r>
            <w:r w:rsidR="0083391C" w:rsidRPr="00610127">
              <w:rPr>
                <w:b/>
                <w:bCs/>
                <w:sz w:val="26"/>
                <w:szCs w:val="26"/>
              </w:rPr>
              <w:t>31</w:t>
            </w:r>
            <w:r w:rsidR="00106B19" w:rsidRPr="00610127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610127">
              <w:rPr>
                <w:b/>
                <w:bCs/>
                <w:sz w:val="26"/>
                <w:szCs w:val="26"/>
              </w:rPr>
              <w:t>mars</w:t>
            </w:r>
            <w:r w:rsidRPr="00610127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610127">
              <w:rPr>
                <w:b/>
                <w:bCs/>
                <w:sz w:val="26"/>
                <w:szCs w:val="26"/>
              </w:rPr>
              <w:t>2</w:t>
            </w:r>
            <w:r w:rsidR="0083391C" w:rsidRPr="0061012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5C13943E" w14:textId="77777777" w:rsidR="00520F36" w:rsidRPr="00610127" w:rsidRDefault="009C353C" w:rsidP="00217650">
            <w:pPr>
              <w:spacing w:before="0"/>
            </w:pPr>
            <w:bookmarkStart w:id="1" w:name="ditulogo"/>
            <w:bookmarkEnd w:id="1"/>
            <w:r w:rsidRPr="00610127">
              <w:rPr>
                <w:noProof/>
                <w:lang w:val="en-US"/>
              </w:rPr>
              <w:drawing>
                <wp:inline distT="0" distB="0" distL="0" distR="0" wp14:anchorId="5A4FDE9F" wp14:editId="451C4D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10127" w14:paraId="36165FE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74667C6" w14:textId="77777777" w:rsidR="00520F36" w:rsidRPr="00610127" w:rsidRDefault="00520F36" w:rsidP="0021765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08078D" w14:textId="77777777" w:rsidR="00520F36" w:rsidRPr="00610127" w:rsidRDefault="00520F36" w:rsidP="00217650">
            <w:pPr>
              <w:spacing w:before="0"/>
              <w:rPr>
                <w:b/>
                <w:bCs/>
              </w:rPr>
            </w:pPr>
          </w:p>
        </w:tc>
      </w:tr>
      <w:tr w:rsidR="00520F36" w:rsidRPr="00610127" w14:paraId="2DCEE2B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36AC750" w14:textId="77777777" w:rsidR="00520F36" w:rsidRPr="00610127" w:rsidRDefault="00520F36" w:rsidP="0021765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26D1518" w14:textId="77777777" w:rsidR="00520F36" w:rsidRPr="00610127" w:rsidRDefault="00520F36" w:rsidP="00217650">
            <w:pPr>
              <w:spacing w:before="0"/>
              <w:rPr>
                <w:b/>
                <w:bCs/>
              </w:rPr>
            </w:pPr>
          </w:p>
        </w:tc>
      </w:tr>
      <w:tr w:rsidR="00520F36" w:rsidRPr="00610127" w14:paraId="7273897C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4DBFAF1" w14:textId="77777777" w:rsidR="00520F36" w:rsidRPr="00610127" w:rsidRDefault="00520F36" w:rsidP="0021765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3636E171" w14:textId="77777777" w:rsidR="00520F36" w:rsidRPr="00610127" w:rsidRDefault="00520F36" w:rsidP="00217650">
            <w:pPr>
              <w:spacing w:before="0"/>
              <w:rPr>
                <w:b/>
                <w:bCs/>
              </w:rPr>
            </w:pPr>
            <w:r w:rsidRPr="00610127">
              <w:rPr>
                <w:b/>
                <w:bCs/>
              </w:rPr>
              <w:t>Document C</w:t>
            </w:r>
            <w:r w:rsidR="009C353C" w:rsidRPr="00610127">
              <w:rPr>
                <w:b/>
                <w:bCs/>
              </w:rPr>
              <w:t>2</w:t>
            </w:r>
            <w:r w:rsidR="0083391C" w:rsidRPr="00610127">
              <w:rPr>
                <w:b/>
                <w:bCs/>
              </w:rPr>
              <w:t>2</w:t>
            </w:r>
            <w:r w:rsidRPr="00610127">
              <w:rPr>
                <w:b/>
                <w:bCs/>
              </w:rPr>
              <w:t>/</w:t>
            </w:r>
            <w:r w:rsidR="00276FFF" w:rsidRPr="00610127">
              <w:rPr>
                <w:b/>
                <w:bCs/>
              </w:rPr>
              <w:t>90</w:t>
            </w:r>
            <w:r w:rsidRPr="00610127">
              <w:rPr>
                <w:b/>
                <w:bCs/>
              </w:rPr>
              <w:t>-</w:t>
            </w:r>
            <w:r w:rsidR="00797724" w:rsidRPr="00610127">
              <w:rPr>
                <w:b/>
                <w:bCs/>
              </w:rPr>
              <w:t>F</w:t>
            </w:r>
          </w:p>
        </w:tc>
      </w:tr>
      <w:tr w:rsidR="00520F36" w:rsidRPr="00610127" w14:paraId="7C49C286" w14:textId="77777777">
        <w:trPr>
          <w:cantSplit/>
          <w:trHeight w:val="20"/>
        </w:trPr>
        <w:tc>
          <w:tcPr>
            <w:tcW w:w="6912" w:type="dxa"/>
            <w:vMerge/>
          </w:tcPr>
          <w:p w14:paraId="556E474B" w14:textId="77777777" w:rsidR="00520F36" w:rsidRPr="00610127" w:rsidRDefault="00520F36" w:rsidP="0021765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2B1DBCC" w14:textId="77777777" w:rsidR="00520F36" w:rsidRPr="00610127" w:rsidRDefault="00F667BD" w:rsidP="00217650">
            <w:pPr>
              <w:spacing w:before="0"/>
              <w:rPr>
                <w:b/>
                <w:bCs/>
              </w:rPr>
            </w:pPr>
            <w:r w:rsidRPr="00610127">
              <w:rPr>
                <w:b/>
                <w:bCs/>
              </w:rPr>
              <w:t>4 avril</w:t>
            </w:r>
            <w:r w:rsidR="00520F36" w:rsidRPr="00610127">
              <w:rPr>
                <w:b/>
                <w:bCs/>
              </w:rPr>
              <w:t xml:space="preserve"> 20</w:t>
            </w:r>
            <w:r w:rsidR="009C353C" w:rsidRPr="00610127">
              <w:rPr>
                <w:b/>
                <w:bCs/>
              </w:rPr>
              <w:t>2</w:t>
            </w:r>
            <w:r w:rsidRPr="00610127">
              <w:rPr>
                <w:b/>
                <w:bCs/>
              </w:rPr>
              <w:t>2</w:t>
            </w:r>
          </w:p>
        </w:tc>
      </w:tr>
      <w:tr w:rsidR="00520F36" w:rsidRPr="00610127" w14:paraId="19F089F6" w14:textId="77777777">
        <w:trPr>
          <w:cantSplit/>
          <w:trHeight w:val="20"/>
        </w:trPr>
        <w:tc>
          <w:tcPr>
            <w:tcW w:w="6912" w:type="dxa"/>
            <w:vMerge/>
          </w:tcPr>
          <w:p w14:paraId="34B88F56" w14:textId="77777777" w:rsidR="00520F36" w:rsidRPr="00610127" w:rsidRDefault="00520F36" w:rsidP="0021765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5F9C01" w14:textId="77777777" w:rsidR="00520F36" w:rsidRPr="00610127" w:rsidRDefault="00520F36" w:rsidP="00217650">
            <w:pPr>
              <w:spacing w:before="0"/>
              <w:rPr>
                <w:b/>
                <w:bCs/>
              </w:rPr>
            </w:pPr>
            <w:r w:rsidRPr="00610127">
              <w:rPr>
                <w:b/>
                <w:bCs/>
              </w:rPr>
              <w:t>Original: anglais</w:t>
            </w:r>
          </w:p>
        </w:tc>
      </w:tr>
      <w:tr w:rsidR="00520F36" w:rsidRPr="00610127" w14:paraId="4E795985" w14:textId="77777777">
        <w:trPr>
          <w:cantSplit/>
        </w:trPr>
        <w:tc>
          <w:tcPr>
            <w:tcW w:w="10173" w:type="dxa"/>
            <w:gridSpan w:val="2"/>
          </w:tcPr>
          <w:p w14:paraId="3BE973AA" w14:textId="77777777" w:rsidR="00F667BD" w:rsidRPr="00610127" w:rsidRDefault="00F667BD" w:rsidP="00217650">
            <w:pPr>
              <w:spacing w:before="840"/>
              <w:jc w:val="center"/>
              <w:rPr>
                <w:sz w:val="28"/>
                <w:szCs w:val="28"/>
              </w:rPr>
            </w:pPr>
            <w:bookmarkStart w:id="6" w:name="dsource" w:colFirst="0" w:colLast="0"/>
            <w:bookmarkEnd w:id="5"/>
            <w:r w:rsidRPr="00610127">
              <w:rPr>
                <w:sz w:val="28"/>
                <w:szCs w:val="28"/>
              </w:rPr>
              <w:t>COMPTE RENDU</w:t>
            </w:r>
          </w:p>
          <w:p w14:paraId="06071DAC" w14:textId="77777777" w:rsidR="00F667BD" w:rsidRPr="00610127" w:rsidRDefault="00F667BD" w:rsidP="00217650">
            <w:pPr>
              <w:spacing w:before="160"/>
              <w:jc w:val="center"/>
              <w:rPr>
                <w:sz w:val="28"/>
                <w:szCs w:val="28"/>
              </w:rPr>
            </w:pPr>
            <w:r w:rsidRPr="00610127">
              <w:rPr>
                <w:sz w:val="28"/>
                <w:szCs w:val="28"/>
              </w:rPr>
              <w:t xml:space="preserve">DE LA </w:t>
            </w:r>
          </w:p>
          <w:p w14:paraId="5A0A0BF3" w14:textId="77777777" w:rsidR="00520F36" w:rsidRPr="00610127" w:rsidRDefault="00F667BD" w:rsidP="00217650">
            <w:pPr>
              <w:spacing w:before="160"/>
              <w:jc w:val="center"/>
            </w:pPr>
            <w:r w:rsidRPr="00610127">
              <w:rPr>
                <w:sz w:val="28"/>
                <w:szCs w:val="28"/>
              </w:rPr>
              <w:t>CINQUIÈME SÉANCE</w:t>
            </w:r>
            <w:r w:rsidR="00F87FA2" w:rsidRPr="00610127">
              <w:rPr>
                <w:sz w:val="28"/>
                <w:szCs w:val="28"/>
              </w:rPr>
              <w:t xml:space="preserve"> PLÉNIÈRE</w:t>
            </w:r>
          </w:p>
        </w:tc>
      </w:tr>
      <w:tr w:rsidR="00520F36" w:rsidRPr="00610127" w14:paraId="6F3712BC" w14:textId="77777777">
        <w:trPr>
          <w:cantSplit/>
        </w:trPr>
        <w:tc>
          <w:tcPr>
            <w:tcW w:w="10173" w:type="dxa"/>
            <w:gridSpan w:val="2"/>
          </w:tcPr>
          <w:p w14:paraId="206C20E7" w14:textId="77777777" w:rsidR="00520F36" w:rsidRPr="00610127" w:rsidRDefault="00F667BD" w:rsidP="00217650">
            <w:pPr>
              <w:spacing w:before="240"/>
              <w:jc w:val="center"/>
              <w:rPr>
                <w:szCs w:val="24"/>
              </w:rPr>
            </w:pPr>
            <w:bookmarkStart w:id="7" w:name="dtitle1" w:colFirst="0" w:colLast="0"/>
            <w:bookmarkEnd w:id="6"/>
            <w:r w:rsidRPr="00610127">
              <w:rPr>
                <w:szCs w:val="24"/>
              </w:rPr>
              <w:t xml:space="preserve">Lundi </w:t>
            </w:r>
            <w:r w:rsidR="00F87FA2" w:rsidRPr="00610127">
              <w:rPr>
                <w:szCs w:val="24"/>
              </w:rPr>
              <w:t>28</w:t>
            </w:r>
            <w:r w:rsidRPr="00610127">
              <w:rPr>
                <w:szCs w:val="24"/>
              </w:rPr>
              <w:t xml:space="preserve"> </w:t>
            </w:r>
            <w:r w:rsidR="00F87FA2" w:rsidRPr="00610127">
              <w:rPr>
                <w:szCs w:val="24"/>
              </w:rPr>
              <w:t>mars</w:t>
            </w:r>
            <w:r w:rsidRPr="00610127">
              <w:rPr>
                <w:szCs w:val="24"/>
              </w:rPr>
              <w:t xml:space="preserve"> 202</w:t>
            </w:r>
            <w:r w:rsidR="00F87FA2" w:rsidRPr="00610127">
              <w:rPr>
                <w:szCs w:val="24"/>
              </w:rPr>
              <w:t>2</w:t>
            </w:r>
            <w:r w:rsidRPr="00610127">
              <w:rPr>
                <w:szCs w:val="24"/>
              </w:rPr>
              <w:t xml:space="preserve">, de </w:t>
            </w:r>
            <w:r w:rsidR="00F87FA2" w:rsidRPr="00610127">
              <w:rPr>
                <w:szCs w:val="24"/>
              </w:rPr>
              <w:t>9</w:t>
            </w:r>
            <w:r w:rsidRPr="00610127">
              <w:rPr>
                <w:szCs w:val="24"/>
              </w:rPr>
              <w:t xml:space="preserve"> h </w:t>
            </w:r>
            <w:r w:rsidR="00F87FA2" w:rsidRPr="00610127">
              <w:rPr>
                <w:szCs w:val="24"/>
              </w:rPr>
              <w:t>35</w:t>
            </w:r>
            <w:r w:rsidRPr="00610127">
              <w:rPr>
                <w:szCs w:val="24"/>
              </w:rPr>
              <w:t xml:space="preserve"> à 1</w:t>
            </w:r>
            <w:r w:rsidR="00F87FA2" w:rsidRPr="00610127">
              <w:rPr>
                <w:szCs w:val="24"/>
              </w:rPr>
              <w:t>2</w:t>
            </w:r>
            <w:r w:rsidRPr="00610127">
              <w:rPr>
                <w:szCs w:val="24"/>
              </w:rPr>
              <w:t xml:space="preserve"> h 5</w:t>
            </w:r>
            <w:r w:rsidR="00F87FA2" w:rsidRPr="00610127">
              <w:rPr>
                <w:szCs w:val="24"/>
              </w:rPr>
              <w:t>0</w:t>
            </w:r>
          </w:p>
        </w:tc>
      </w:tr>
      <w:tr w:rsidR="00F667BD" w:rsidRPr="00610127" w14:paraId="7BF0B797" w14:textId="77777777">
        <w:trPr>
          <w:cantSplit/>
        </w:trPr>
        <w:tc>
          <w:tcPr>
            <w:tcW w:w="10173" w:type="dxa"/>
            <w:gridSpan w:val="2"/>
          </w:tcPr>
          <w:p w14:paraId="2ED6A7D1" w14:textId="77777777" w:rsidR="00F667BD" w:rsidRPr="00610127" w:rsidRDefault="00F667BD" w:rsidP="00217650">
            <w:pPr>
              <w:pStyle w:val="Title2"/>
            </w:pPr>
            <w:r w:rsidRPr="00610127">
              <w:rPr>
                <w:b/>
                <w:bCs/>
                <w:caps w:val="0"/>
                <w:sz w:val="24"/>
                <w:szCs w:val="24"/>
              </w:rPr>
              <w:t>Président</w:t>
            </w:r>
            <w:r w:rsidRPr="00610127">
              <w:rPr>
                <w:caps w:val="0"/>
                <w:sz w:val="24"/>
                <w:szCs w:val="24"/>
              </w:rPr>
              <w:t xml:space="preserve">: M. S. </w:t>
            </w:r>
            <w:r w:rsidR="00921C5F" w:rsidRPr="00610127">
              <w:rPr>
                <w:caps w:val="0"/>
                <w:sz w:val="24"/>
                <w:szCs w:val="24"/>
              </w:rPr>
              <w:t>BIN GHELAITA</w:t>
            </w:r>
            <w:r w:rsidRPr="00610127">
              <w:rPr>
                <w:caps w:val="0"/>
                <w:sz w:val="24"/>
                <w:szCs w:val="24"/>
              </w:rPr>
              <w:t xml:space="preserve"> (Émirats arabes unis)</w:t>
            </w:r>
          </w:p>
        </w:tc>
      </w:tr>
      <w:bookmarkEnd w:id="7"/>
    </w:tbl>
    <w:p w14:paraId="5CC024AC" w14:textId="77777777" w:rsidR="00F667BD" w:rsidRPr="00610127" w:rsidRDefault="00F667BD" w:rsidP="00217650"/>
    <w:tbl>
      <w:tblPr>
        <w:tblW w:w="10172" w:type="dxa"/>
        <w:tblLook w:val="0000" w:firstRow="0" w:lastRow="0" w:firstColumn="0" w:lastColumn="0" w:noHBand="0" w:noVBand="0"/>
      </w:tblPr>
      <w:tblGrid>
        <w:gridCol w:w="502"/>
        <w:gridCol w:w="7267"/>
        <w:gridCol w:w="2403"/>
      </w:tblGrid>
      <w:tr w:rsidR="00F667BD" w:rsidRPr="00610127" w14:paraId="16AE9FC9" w14:textId="77777777" w:rsidTr="00F667BD">
        <w:tc>
          <w:tcPr>
            <w:tcW w:w="247" w:type="pct"/>
          </w:tcPr>
          <w:p w14:paraId="524BCE66" w14:textId="77777777" w:rsidR="00F667BD" w:rsidRPr="00610127" w:rsidRDefault="00F667BD" w:rsidP="002176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rPr>
                <w:b/>
                <w:szCs w:val="24"/>
              </w:rPr>
            </w:pPr>
            <w:r w:rsidRPr="00610127">
              <w:rPr>
                <w:szCs w:val="24"/>
              </w:rPr>
              <w:br w:type="page"/>
            </w:r>
            <w:r w:rsidRPr="00610127">
              <w:rPr>
                <w:szCs w:val="24"/>
              </w:rPr>
              <w:br w:type="page"/>
            </w:r>
          </w:p>
        </w:tc>
        <w:tc>
          <w:tcPr>
            <w:tcW w:w="3572" w:type="pct"/>
          </w:tcPr>
          <w:p w14:paraId="4139F8D2" w14:textId="77777777" w:rsidR="00F667BD" w:rsidRPr="00610127" w:rsidRDefault="00F667BD" w:rsidP="00217650">
            <w:pPr>
              <w:pStyle w:val="Tablehead"/>
              <w:jc w:val="left"/>
              <w:rPr>
                <w:sz w:val="24"/>
                <w:szCs w:val="24"/>
              </w:rPr>
            </w:pPr>
            <w:bookmarkStart w:id="8" w:name="lt_pId014"/>
            <w:r w:rsidRPr="00610127">
              <w:rPr>
                <w:sz w:val="24"/>
                <w:szCs w:val="24"/>
              </w:rPr>
              <w:t>Sujets traités</w:t>
            </w:r>
            <w:bookmarkEnd w:id="8"/>
          </w:p>
        </w:tc>
        <w:tc>
          <w:tcPr>
            <w:tcW w:w="1181" w:type="pct"/>
          </w:tcPr>
          <w:p w14:paraId="680B5AFE" w14:textId="77777777" w:rsidR="00F667BD" w:rsidRPr="00610127" w:rsidRDefault="00F667BD" w:rsidP="00217650">
            <w:pPr>
              <w:pStyle w:val="Tablehead"/>
              <w:rPr>
                <w:sz w:val="24"/>
                <w:szCs w:val="24"/>
              </w:rPr>
            </w:pPr>
            <w:bookmarkStart w:id="9" w:name="lt_pId015"/>
            <w:r w:rsidRPr="00610127">
              <w:rPr>
                <w:sz w:val="24"/>
                <w:szCs w:val="24"/>
              </w:rPr>
              <w:t>Documents</w:t>
            </w:r>
            <w:bookmarkEnd w:id="9"/>
          </w:p>
        </w:tc>
      </w:tr>
      <w:tr w:rsidR="00F667BD" w:rsidRPr="00610127" w14:paraId="749AA674" w14:textId="77777777" w:rsidTr="00F667BD">
        <w:tc>
          <w:tcPr>
            <w:tcW w:w="247" w:type="pct"/>
          </w:tcPr>
          <w:p w14:paraId="4434AFDF" w14:textId="77777777" w:rsidR="00F667BD" w:rsidRPr="00610127" w:rsidRDefault="00F667BD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</w:t>
            </w:r>
          </w:p>
        </w:tc>
        <w:tc>
          <w:tcPr>
            <w:tcW w:w="3572" w:type="pct"/>
          </w:tcPr>
          <w:p w14:paraId="344BCD49" w14:textId="77777777" w:rsidR="00F667BD" w:rsidRPr="00610127" w:rsidRDefault="00F667BD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 xml:space="preserve">Rapport du Groupe de travail du </w:t>
            </w:r>
            <w:r w:rsidR="00C95E46" w:rsidRPr="00610127">
              <w:rPr>
                <w:sz w:val="24"/>
                <w:szCs w:val="24"/>
              </w:rPr>
              <w:t>C</w:t>
            </w:r>
            <w:r w:rsidRPr="00610127">
              <w:rPr>
                <w:sz w:val="24"/>
                <w:szCs w:val="24"/>
              </w:rPr>
              <w:t>onseil chargé d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>élaborer le plan stratégique et le plan financier pour la période 2024-2027 (GTC-SFP)</w:t>
            </w:r>
          </w:p>
        </w:tc>
        <w:tc>
          <w:tcPr>
            <w:tcW w:w="1181" w:type="pct"/>
          </w:tcPr>
          <w:p w14:paraId="5B0F4A1A" w14:textId="77777777" w:rsidR="00F667BD" w:rsidRPr="00610127" w:rsidRDefault="00BB0142" w:rsidP="00217650">
            <w:pPr>
              <w:pStyle w:val="Tabletext"/>
              <w:jc w:val="center"/>
              <w:rPr>
                <w:rStyle w:val="Hyperlink"/>
                <w:sz w:val="24"/>
                <w:szCs w:val="24"/>
              </w:rPr>
            </w:pPr>
            <w:hyperlink r:id="rId8" w:history="1">
              <w:r w:rsidR="00F667BD" w:rsidRPr="00610127">
                <w:rPr>
                  <w:rStyle w:val="Hyperlink"/>
                  <w:sz w:val="24"/>
                  <w:szCs w:val="24"/>
                </w:rPr>
                <w:t>C22/27(Rév.2)</w:t>
              </w:r>
            </w:hyperlink>
          </w:p>
        </w:tc>
      </w:tr>
      <w:tr w:rsidR="00F667BD" w:rsidRPr="00610127" w14:paraId="5F6A0A9A" w14:textId="77777777" w:rsidTr="00F667BD">
        <w:tc>
          <w:tcPr>
            <w:tcW w:w="247" w:type="pct"/>
          </w:tcPr>
          <w:p w14:paraId="6BF09644" w14:textId="77777777" w:rsidR="00F667BD" w:rsidRPr="00610127" w:rsidRDefault="00F667BD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</w:t>
            </w:r>
          </w:p>
        </w:tc>
        <w:tc>
          <w:tcPr>
            <w:tcW w:w="3572" w:type="pct"/>
          </w:tcPr>
          <w:p w14:paraId="07C19EBA" w14:textId="77777777" w:rsidR="00F667BD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 xml:space="preserve">Sommet </w:t>
            </w:r>
            <w:r w:rsidR="00C95E46" w:rsidRPr="00610127">
              <w:rPr>
                <w:sz w:val="24"/>
                <w:szCs w:val="24"/>
              </w:rPr>
              <w:t>m</w:t>
            </w:r>
            <w:r w:rsidRPr="00610127">
              <w:rPr>
                <w:sz w:val="24"/>
                <w:szCs w:val="24"/>
              </w:rPr>
              <w:t xml:space="preserve">ondial sur la </w:t>
            </w:r>
            <w:r w:rsidR="00C95E46" w:rsidRPr="00610127">
              <w:rPr>
                <w:sz w:val="24"/>
                <w:szCs w:val="24"/>
              </w:rPr>
              <w:t>s</w:t>
            </w:r>
            <w:r w:rsidRPr="00610127">
              <w:rPr>
                <w:sz w:val="24"/>
                <w:szCs w:val="24"/>
              </w:rPr>
              <w:t>ociété de l</w:t>
            </w:r>
            <w:r w:rsidR="00B83ECD" w:rsidRPr="00610127">
              <w:rPr>
                <w:sz w:val="24"/>
                <w:szCs w:val="24"/>
              </w:rPr>
              <w:t>'</w:t>
            </w:r>
            <w:r w:rsidR="00C95E46" w:rsidRPr="00610127">
              <w:rPr>
                <w:sz w:val="24"/>
                <w:szCs w:val="24"/>
              </w:rPr>
              <w:t>i</w:t>
            </w:r>
            <w:r w:rsidRPr="00610127">
              <w:rPr>
                <w:sz w:val="24"/>
                <w:szCs w:val="24"/>
              </w:rPr>
              <w:t>nformation (SMSI)+20: le SMSI après 2025 – feuille de route pour le SMSI+20</w:t>
            </w:r>
          </w:p>
        </w:tc>
        <w:tc>
          <w:tcPr>
            <w:tcW w:w="1181" w:type="pct"/>
          </w:tcPr>
          <w:p w14:paraId="29F2E7F7" w14:textId="77777777" w:rsidR="00597542" w:rsidRPr="00610127" w:rsidRDefault="00BB0142" w:rsidP="00217650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hyperlink r:id="rId9" w:history="1">
              <w:r w:rsidR="00597542" w:rsidRPr="00610127">
                <w:rPr>
                  <w:rStyle w:val="Hyperlink"/>
                  <w:sz w:val="24"/>
                  <w:szCs w:val="24"/>
                </w:rPr>
                <w:t>C22/59</w:t>
              </w:r>
            </w:hyperlink>
            <w:r w:rsidR="00597542" w:rsidRPr="00610127">
              <w:rPr>
                <w:sz w:val="24"/>
                <w:szCs w:val="24"/>
              </w:rPr>
              <w:t>,</w:t>
            </w:r>
          </w:p>
          <w:p w14:paraId="66B9B084" w14:textId="77777777" w:rsidR="00597542" w:rsidRPr="00610127" w:rsidRDefault="00BB0142" w:rsidP="00217650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hyperlink r:id="rId10" w:history="1">
              <w:r w:rsidR="00597542" w:rsidRPr="00610127">
                <w:rPr>
                  <w:rStyle w:val="Hyperlink"/>
                  <w:sz w:val="24"/>
                  <w:szCs w:val="24"/>
                </w:rPr>
                <w:t>C22/74</w:t>
              </w:r>
            </w:hyperlink>
            <w:r w:rsidR="00597542" w:rsidRPr="00610127">
              <w:rPr>
                <w:sz w:val="24"/>
                <w:szCs w:val="24"/>
              </w:rPr>
              <w:t>,</w:t>
            </w:r>
          </w:p>
          <w:p w14:paraId="7CB5A439" w14:textId="77777777" w:rsidR="00F667BD" w:rsidRPr="00610127" w:rsidRDefault="00BB0142" w:rsidP="00217650">
            <w:pPr>
              <w:pStyle w:val="Tabletext"/>
              <w:spacing w:before="0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597542" w:rsidRPr="00610127">
                <w:rPr>
                  <w:rStyle w:val="Hyperlink"/>
                  <w:sz w:val="24"/>
                  <w:szCs w:val="24"/>
                </w:rPr>
                <w:t>C22/76</w:t>
              </w:r>
            </w:hyperlink>
          </w:p>
        </w:tc>
      </w:tr>
      <w:tr w:rsidR="00F667BD" w:rsidRPr="00610127" w14:paraId="5DC363ED" w14:textId="77777777" w:rsidTr="00F667BD">
        <w:tc>
          <w:tcPr>
            <w:tcW w:w="247" w:type="pct"/>
          </w:tcPr>
          <w:p w14:paraId="0225A55E" w14:textId="77777777" w:rsidR="00F667BD" w:rsidRPr="00610127" w:rsidRDefault="00F667BD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</w:t>
            </w:r>
          </w:p>
        </w:tc>
        <w:tc>
          <w:tcPr>
            <w:tcW w:w="3572" w:type="pct"/>
          </w:tcPr>
          <w:p w14:paraId="7945BE71" w14:textId="77777777" w:rsidR="00F667BD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Projet de lignes directrices relatives à l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>utilisation, par l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 xml:space="preserve">UIT, du Programme </w:t>
            </w:r>
            <w:r w:rsidR="001722EE" w:rsidRPr="00610127">
              <w:rPr>
                <w:sz w:val="24"/>
                <w:szCs w:val="24"/>
              </w:rPr>
              <w:t>m</w:t>
            </w:r>
            <w:r w:rsidRPr="00610127">
              <w:rPr>
                <w:sz w:val="24"/>
                <w:szCs w:val="24"/>
              </w:rPr>
              <w:t xml:space="preserve">ondial </w:t>
            </w:r>
            <w:r w:rsidR="001722EE" w:rsidRPr="00610127">
              <w:rPr>
                <w:sz w:val="24"/>
                <w:szCs w:val="24"/>
              </w:rPr>
              <w:t>c</w:t>
            </w:r>
            <w:r w:rsidRPr="00610127">
              <w:rPr>
                <w:sz w:val="24"/>
                <w:szCs w:val="24"/>
              </w:rPr>
              <w:t xml:space="preserve">ybersécurité </w:t>
            </w:r>
            <w:r w:rsidR="00430758" w:rsidRPr="00610127">
              <w:rPr>
                <w:sz w:val="24"/>
                <w:szCs w:val="24"/>
              </w:rPr>
              <w:t xml:space="preserve">(GCA) </w:t>
            </w:r>
            <w:r w:rsidRPr="00610127">
              <w:rPr>
                <w:sz w:val="24"/>
                <w:szCs w:val="24"/>
              </w:rPr>
              <w:t>(suite)</w:t>
            </w:r>
          </w:p>
        </w:tc>
        <w:tc>
          <w:tcPr>
            <w:tcW w:w="1181" w:type="pct"/>
          </w:tcPr>
          <w:p w14:paraId="03A7F735" w14:textId="77777777" w:rsidR="00F667BD" w:rsidRPr="00610127" w:rsidRDefault="00BB0142" w:rsidP="00217650">
            <w:pPr>
              <w:pStyle w:val="Tabletext"/>
              <w:jc w:val="center"/>
              <w:rPr>
                <w:sz w:val="24"/>
                <w:szCs w:val="24"/>
              </w:rPr>
            </w:pPr>
            <w:hyperlink r:id="rId12" w:history="1">
              <w:r w:rsidR="00597542" w:rsidRPr="00610127">
                <w:rPr>
                  <w:rStyle w:val="Hyperlink"/>
                  <w:sz w:val="24"/>
                  <w:szCs w:val="24"/>
                </w:rPr>
                <w:t>C22/32(Rév.2)</w:t>
              </w:r>
            </w:hyperlink>
          </w:p>
        </w:tc>
      </w:tr>
      <w:tr w:rsidR="00F667BD" w:rsidRPr="00610127" w14:paraId="1868D008" w14:textId="77777777" w:rsidTr="00F667BD">
        <w:tc>
          <w:tcPr>
            <w:tcW w:w="247" w:type="pct"/>
          </w:tcPr>
          <w:p w14:paraId="2BDD535D" w14:textId="77777777" w:rsidR="00F667BD" w:rsidRPr="00610127" w:rsidRDefault="00F667BD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4</w:t>
            </w:r>
          </w:p>
        </w:tc>
        <w:tc>
          <w:tcPr>
            <w:tcW w:w="3572" w:type="pct"/>
          </w:tcPr>
          <w:p w14:paraId="64D3EF93" w14:textId="77777777" w:rsidR="00F667BD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Rapport sur la mise en œuvre de la politique et du cadre de l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>UIT en matière d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>accessibilité</w:t>
            </w:r>
          </w:p>
        </w:tc>
        <w:tc>
          <w:tcPr>
            <w:tcW w:w="1181" w:type="pct"/>
          </w:tcPr>
          <w:p w14:paraId="319ABD9C" w14:textId="77777777" w:rsidR="00F667BD" w:rsidRPr="00610127" w:rsidRDefault="00BB0142" w:rsidP="00217650">
            <w:pPr>
              <w:pStyle w:val="Tabletext"/>
              <w:jc w:val="center"/>
              <w:rPr>
                <w:sz w:val="24"/>
                <w:szCs w:val="24"/>
              </w:rPr>
            </w:pPr>
            <w:hyperlink r:id="rId13" w:history="1">
              <w:r w:rsidR="00597542" w:rsidRPr="00610127">
                <w:rPr>
                  <w:rStyle w:val="Hyperlink"/>
                  <w:sz w:val="24"/>
                  <w:szCs w:val="24"/>
                </w:rPr>
                <w:t>C22/13(Rév.1)</w:t>
              </w:r>
            </w:hyperlink>
          </w:p>
        </w:tc>
      </w:tr>
      <w:tr w:rsidR="00F667BD" w:rsidRPr="00610127" w14:paraId="000505B6" w14:textId="77777777" w:rsidTr="00F667BD">
        <w:tc>
          <w:tcPr>
            <w:tcW w:w="247" w:type="pct"/>
          </w:tcPr>
          <w:p w14:paraId="08018BE4" w14:textId="77777777" w:rsidR="00F667BD" w:rsidRPr="00610127" w:rsidRDefault="00F667BD" w:rsidP="00217650">
            <w:pPr>
              <w:pStyle w:val="Tabletext"/>
              <w:rPr>
                <w:rFonts w:eastAsia="MS Mincho" w:cs="Calibri"/>
                <w:sz w:val="24"/>
                <w:szCs w:val="24"/>
              </w:rPr>
            </w:pPr>
            <w:r w:rsidRPr="00610127">
              <w:rPr>
                <w:rFonts w:eastAsia="MS Mincho" w:cs="Calibri"/>
                <w:sz w:val="24"/>
                <w:szCs w:val="24"/>
              </w:rPr>
              <w:t>5</w:t>
            </w:r>
          </w:p>
        </w:tc>
        <w:tc>
          <w:tcPr>
            <w:tcW w:w="3572" w:type="pct"/>
          </w:tcPr>
          <w:p w14:paraId="3E605A28" w14:textId="77777777" w:rsidR="00F667BD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Activités de l</w:t>
            </w:r>
            <w:r w:rsidR="00B83ECD" w:rsidRPr="00610127">
              <w:rPr>
                <w:sz w:val="24"/>
                <w:szCs w:val="24"/>
              </w:rPr>
              <w:t>'</w:t>
            </w:r>
            <w:r w:rsidRPr="00610127">
              <w:rPr>
                <w:sz w:val="24"/>
                <w:szCs w:val="24"/>
              </w:rPr>
              <w:t>UIT relatives à la Résolution 70 (Rév. Dubaï, 2018) de la Conférence de plénipotentiaires</w:t>
            </w:r>
          </w:p>
        </w:tc>
        <w:tc>
          <w:tcPr>
            <w:tcW w:w="1181" w:type="pct"/>
          </w:tcPr>
          <w:p w14:paraId="116F9071" w14:textId="77777777" w:rsidR="00F667BD" w:rsidRPr="00610127" w:rsidRDefault="00BB0142" w:rsidP="00217650">
            <w:pPr>
              <w:pStyle w:val="Tabletext"/>
              <w:jc w:val="center"/>
              <w:rPr>
                <w:sz w:val="24"/>
                <w:szCs w:val="24"/>
              </w:rPr>
            </w:pPr>
            <w:hyperlink r:id="rId14" w:history="1">
              <w:r w:rsidR="00597542" w:rsidRPr="00610127">
                <w:rPr>
                  <w:rStyle w:val="Hyperlink"/>
                  <w:sz w:val="24"/>
                  <w:szCs w:val="24"/>
                </w:rPr>
                <w:t>C22/6</w:t>
              </w:r>
            </w:hyperlink>
          </w:p>
        </w:tc>
      </w:tr>
      <w:tr w:rsidR="00F667BD" w:rsidRPr="00610127" w14:paraId="1D985686" w14:textId="77777777" w:rsidTr="00F667BD">
        <w:tc>
          <w:tcPr>
            <w:tcW w:w="247" w:type="pct"/>
          </w:tcPr>
          <w:p w14:paraId="5BB8D59B" w14:textId="77777777" w:rsidR="00F667BD" w:rsidRPr="00610127" w:rsidRDefault="00F667BD" w:rsidP="00217650">
            <w:pPr>
              <w:pStyle w:val="Tabletext"/>
              <w:rPr>
                <w:rFonts w:eastAsia="MS Mincho" w:cs="Calibri"/>
                <w:sz w:val="24"/>
                <w:szCs w:val="24"/>
              </w:rPr>
            </w:pPr>
            <w:r w:rsidRPr="00610127">
              <w:rPr>
                <w:rFonts w:eastAsia="MS Mincho" w:cs="Calibri"/>
                <w:sz w:val="24"/>
                <w:szCs w:val="24"/>
              </w:rPr>
              <w:t>6</w:t>
            </w:r>
          </w:p>
        </w:tc>
        <w:tc>
          <w:tcPr>
            <w:tcW w:w="3572" w:type="pct"/>
          </w:tcPr>
          <w:p w14:paraId="5CE787E1" w14:textId="77777777" w:rsidR="00F667BD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Rapport final du Groupe d</w:t>
            </w:r>
            <w:r w:rsidR="00B83ECD" w:rsidRPr="00610127">
              <w:rPr>
                <w:sz w:val="24"/>
                <w:szCs w:val="24"/>
              </w:rPr>
              <w:t>'</w:t>
            </w:r>
            <w:r w:rsidR="00E05F81" w:rsidRPr="00610127">
              <w:rPr>
                <w:sz w:val="24"/>
                <w:szCs w:val="24"/>
              </w:rPr>
              <w:t>e</w:t>
            </w:r>
            <w:r w:rsidRPr="00610127">
              <w:rPr>
                <w:sz w:val="24"/>
                <w:szCs w:val="24"/>
              </w:rPr>
              <w:t xml:space="preserve">xperts sur le Règlement des </w:t>
            </w:r>
            <w:r w:rsidR="00E05F81" w:rsidRPr="00610127">
              <w:rPr>
                <w:sz w:val="24"/>
                <w:szCs w:val="24"/>
              </w:rPr>
              <w:t>t</w:t>
            </w:r>
            <w:r w:rsidRPr="00610127">
              <w:rPr>
                <w:sz w:val="24"/>
                <w:szCs w:val="24"/>
              </w:rPr>
              <w:t xml:space="preserve">élécommunications </w:t>
            </w:r>
            <w:r w:rsidR="00E05F81" w:rsidRPr="00610127">
              <w:rPr>
                <w:sz w:val="24"/>
                <w:szCs w:val="24"/>
              </w:rPr>
              <w:t>i</w:t>
            </w:r>
            <w:r w:rsidRPr="00610127">
              <w:rPr>
                <w:sz w:val="24"/>
                <w:szCs w:val="24"/>
              </w:rPr>
              <w:t>nternationales (EG-RTI) au Conseil à sa session de</w:t>
            </w:r>
            <w:r w:rsidR="00797724" w:rsidRPr="00610127">
              <w:rPr>
                <w:sz w:val="24"/>
                <w:szCs w:val="24"/>
              </w:rPr>
              <w:t> </w:t>
            </w:r>
            <w:r w:rsidRPr="00610127">
              <w:rPr>
                <w:sz w:val="24"/>
                <w:szCs w:val="24"/>
              </w:rPr>
              <w:t>2022</w:t>
            </w:r>
          </w:p>
        </w:tc>
        <w:tc>
          <w:tcPr>
            <w:tcW w:w="1181" w:type="pct"/>
          </w:tcPr>
          <w:p w14:paraId="3954B202" w14:textId="77777777" w:rsidR="00597542" w:rsidRPr="00610127" w:rsidRDefault="00BB0142" w:rsidP="00217650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hyperlink r:id="rId15" w:history="1">
              <w:r w:rsidR="00597542" w:rsidRPr="00610127">
                <w:rPr>
                  <w:rStyle w:val="Hyperlink"/>
                  <w:sz w:val="24"/>
                  <w:szCs w:val="24"/>
                </w:rPr>
                <w:t>C22/26</w:t>
              </w:r>
            </w:hyperlink>
            <w:r w:rsidR="00597542" w:rsidRPr="00610127">
              <w:rPr>
                <w:sz w:val="24"/>
                <w:szCs w:val="24"/>
              </w:rPr>
              <w:t>,</w:t>
            </w:r>
          </w:p>
          <w:p w14:paraId="013DC674" w14:textId="77777777" w:rsidR="00597542" w:rsidRPr="00610127" w:rsidRDefault="00BB0142" w:rsidP="00217650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hyperlink r:id="rId16" w:history="1">
              <w:r w:rsidR="00597542" w:rsidRPr="00610127">
                <w:rPr>
                  <w:rStyle w:val="Hyperlink"/>
                  <w:sz w:val="24"/>
                  <w:szCs w:val="24"/>
                </w:rPr>
                <w:t>C22/67</w:t>
              </w:r>
            </w:hyperlink>
            <w:r w:rsidR="00597542" w:rsidRPr="00610127">
              <w:rPr>
                <w:sz w:val="24"/>
                <w:szCs w:val="24"/>
              </w:rPr>
              <w:t>,</w:t>
            </w:r>
          </w:p>
          <w:p w14:paraId="39F30DCF" w14:textId="77777777" w:rsidR="00597542" w:rsidRPr="00610127" w:rsidRDefault="00BB0142" w:rsidP="00217650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hyperlink r:id="rId17" w:history="1">
              <w:r w:rsidR="00597542" w:rsidRPr="00610127">
                <w:rPr>
                  <w:rStyle w:val="Hyperlink"/>
                  <w:sz w:val="24"/>
                  <w:szCs w:val="24"/>
                </w:rPr>
                <w:t>C22/72</w:t>
              </w:r>
            </w:hyperlink>
            <w:r w:rsidR="00597542" w:rsidRPr="00610127">
              <w:rPr>
                <w:sz w:val="24"/>
                <w:szCs w:val="24"/>
              </w:rPr>
              <w:t>,</w:t>
            </w:r>
          </w:p>
          <w:p w14:paraId="3C65847C" w14:textId="77777777" w:rsidR="00F667BD" w:rsidRPr="00610127" w:rsidRDefault="00BB0142" w:rsidP="00217650">
            <w:pPr>
              <w:pStyle w:val="Tabletext"/>
              <w:spacing w:before="0" w:after="0"/>
              <w:jc w:val="center"/>
              <w:rPr>
                <w:color w:val="0000FF"/>
                <w:u w:val="single"/>
              </w:rPr>
            </w:pPr>
            <w:hyperlink r:id="rId18" w:history="1">
              <w:r w:rsidR="00597542" w:rsidRPr="00610127">
                <w:rPr>
                  <w:rStyle w:val="Hyperlink"/>
                  <w:sz w:val="24"/>
                  <w:szCs w:val="24"/>
                </w:rPr>
                <w:t>C22/75</w:t>
              </w:r>
            </w:hyperlink>
          </w:p>
        </w:tc>
      </w:tr>
      <w:tr w:rsidR="00276FFF" w:rsidRPr="00610127" w14:paraId="69BB8F23" w14:textId="77777777" w:rsidTr="00F667BD">
        <w:tc>
          <w:tcPr>
            <w:tcW w:w="247" w:type="pct"/>
          </w:tcPr>
          <w:p w14:paraId="783C2579" w14:textId="77777777" w:rsidR="00276FFF" w:rsidRPr="00610127" w:rsidRDefault="00276FFF" w:rsidP="00217650">
            <w:pPr>
              <w:pStyle w:val="Tabletext"/>
              <w:rPr>
                <w:rFonts w:eastAsia="MS Mincho" w:cs="Calibri"/>
                <w:sz w:val="24"/>
                <w:szCs w:val="24"/>
              </w:rPr>
            </w:pPr>
            <w:r w:rsidRPr="00610127">
              <w:rPr>
                <w:rFonts w:eastAsia="MS Mincho" w:cs="Calibri"/>
                <w:sz w:val="24"/>
                <w:szCs w:val="24"/>
              </w:rPr>
              <w:t>7</w:t>
            </w:r>
          </w:p>
        </w:tc>
        <w:tc>
          <w:tcPr>
            <w:tcW w:w="3572" w:type="pct"/>
          </w:tcPr>
          <w:p w14:paraId="36768825" w14:textId="77777777" w:rsidR="00276FFF" w:rsidRPr="00610127" w:rsidRDefault="00276FFF" w:rsidP="00217650">
            <w:pPr>
              <w:pStyle w:val="Tabletex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Déclarations des ministres et des conseillers</w:t>
            </w:r>
          </w:p>
        </w:tc>
        <w:tc>
          <w:tcPr>
            <w:tcW w:w="1181" w:type="pct"/>
          </w:tcPr>
          <w:p w14:paraId="7C51D093" w14:textId="77777777" w:rsidR="00276FFF" w:rsidRPr="00610127" w:rsidRDefault="00276FFF" w:rsidP="00217650">
            <w:pPr>
              <w:pStyle w:val="Tabletext"/>
              <w:spacing w:after="0"/>
              <w:jc w:val="center"/>
              <w:rPr>
                <w:rStyle w:val="Hyperlink"/>
              </w:rPr>
            </w:pPr>
            <w:r w:rsidRPr="00610127">
              <w:rPr>
                <w:sz w:val="24"/>
                <w:szCs w:val="24"/>
              </w:rPr>
              <w:t>–</w:t>
            </w:r>
          </w:p>
        </w:tc>
      </w:tr>
    </w:tbl>
    <w:p w14:paraId="5B6F15BE" w14:textId="77777777" w:rsidR="00276FFF" w:rsidRPr="00610127" w:rsidRDefault="00276FFF" w:rsidP="00217650">
      <w:r w:rsidRPr="00610127">
        <w:br w:type="page"/>
      </w:r>
    </w:p>
    <w:p w14:paraId="4FA206AB" w14:textId="77777777" w:rsidR="00276FFF" w:rsidRPr="00610127" w:rsidRDefault="00276FFF" w:rsidP="00217650">
      <w:pPr>
        <w:pStyle w:val="Heading1"/>
      </w:pPr>
      <w:r w:rsidRPr="00610127">
        <w:lastRenderedPageBreak/>
        <w:t>1</w:t>
      </w:r>
      <w:r w:rsidRPr="00610127">
        <w:tab/>
        <w:t xml:space="preserve">Rapport du Groupe de travail du </w:t>
      </w:r>
      <w:r w:rsidR="004473CC" w:rsidRPr="00610127">
        <w:t xml:space="preserve">Conseil </w:t>
      </w:r>
      <w:r w:rsidRPr="00610127">
        <w:t>chargé d</w:t>
      </w:r>
      <w:r w:rsidR="00B83ECD" w:rsidRPr="00610127">
        <w:t>'</w:t>
      </w:r>
      <w:r w:rsidRPr="00610127">
        <w:t xml:space="preserve">élaborer le plan stratégique et le plan financier pour la période 2024-2027 (GTC-SFP) </w:t>
      </w:r>
      <w:r w:rsidRPr="00610127">
        <w:rPr>
          <w:rFonts w:asciiTheme="minorHAnsi" w:hAnsiTheme="minorHAnsi"/>
          <w:szCs w:val="28"/>
        </w:rPr>
        <w:t>(Document</w:t>
      </w:r>
      <w:r w:rsidR="00D01E5C" w:rsidRPr="00610127">
        <w:rPr>
          <w:rFonts w:asciiTheme="minorHAnsi" w:hAnsiTheme="minorHAnsi"/>
          <w:szCs w:val="28"/>
        </w:rPr>
        <w:t> </w:t>
      </w:r>
      <w:r w:rsidRPr="00610127">
        <w:rPr>
          <w:rFonts w:asciiTheme="minorHAnsi" w:hAnsiTheme="minorHAnsi"/>
          <w:szCs w:val="28"/>
        </w:rPr>
        <w:t>C22/27(Rév.2))</w:t>
      </w:r>
    </w:p>
    <w:p w14:paraId="15E6B680" w14:textId="77777777" w:rsidR="00276FFF" w:rsidRPr="00610127" w:rsidRDefault="00276FFF" w:rsidP="00217650">
      <w:r w:rsidRPr="00610127">
        <w:t>1.1</w:t>
      </w:r>
      <w:r w:rsidRPr="00610127">
        <w:tab/>
      </w:r>
      <w:r w:rsidR="009A5780" w:rsidRPr="00610127">
        <w:t xml:space="preserve">Le </w:t>
      </w:r>
      <w:r w:rsidR="00792BB8" w:rsidRPr="00610127">
        <w:t>P</w:t>
      </w:r>
      <w:r w:rsidR="009A5780" w:rsidRPr="00610127">
        <w:t>résident du GTC-SFP</w:t>
      </w:r>
      <w:r w:rsidRPr="00610127">
        <w:t xml:space="preserve"> </w:t>
      </w:r>
      <w:r w:rsidR="009A5780" w:rsidRPr="00610127">
        <w:t xml:space="preserve">présente le </w:t>
      </w:r>
      <w:r w:rsidR="00604ACB" w:rsidRPr="00610127">
        <w:t>D</w:t>
      </w:r>
      <w:r w:rsidRPr="00610127">
        <w:t xml:space="preserve">ocument </w:t>
      </w:r>
      <w:hyperlink r:id="rId19" w:history="1">
        <w:r w:rsidRPr="00610127">
          <w:rPr>
            <w:rStyle w:val="Hyperlink"/>
          </w:rPr>
          <w:t>C22/27(Rév.2)</w:t>
        </w:r>
      </w:hyperlink>
      <w:r w:rsidRPr="00610127">
        <w:t xml:space="preserve">, </w:t>
      </w:r>
      <w:r w:rsidR="009A5780" w:rsidRPr="00610127">
        <w:t xml:space="preserve">qui résume les travaux </w:t>
      </w:r>
      <w:r w:rsidR="004473CC" w:rsidRPr="00610127">
        <w:t xml:space="preserve">menés </w:t>
      </w:r>
      <w:r w:rsidR="009A5780" w:rsidRPr="00610127">
        <w:t>par le groupe</w:t>
      </w:r>
      <w:r w:rsidRPr="00610127">
        <w:t xml:space="preserve">, </w:t>
      </w:r>
      <w:r w:rsidR="009A5780" w:rsidRPr="00610127">
        <w:t xml:space="preserve">ainsi que les </w:t>
      </w:r>
      <w:r w:rsidRPr="00610127">
        <w:t>r</w:t>
      </w:r>
      <w:r w:rsidR="009A5780" w:rsidRPr="00610127">
        <w:t>é</w:t>
      </w:r>
      <w:r w:rsidRPr="00610127">
        <w:t>sult</w:t>
      </w:r>
      <w:r w:rsidR="009A5780" w:rsidRPr="00610127">
        <w:t>at</w:t>
      </w:r>
      <w:r w:rsidRPr="00610127">
        <w:t xml:space="preserve">s </w:t>
      </w:r>
      <w:r w:rsidR="009A5780" w:rsidRPr="00610127">
        <w:t xml:space="preserve">des quatre </w:t>
      </w:r>
      <w:r w:rsidR="004473CC" w:rsidRPr="00610127">
        <w:t>réunions</w:t>
      </w:r>
      <w:r w:rsidR="009A5780" w:rsidRPr="00610127">
        <w:t xml:space="preserve"> tenues de s</w:t>
      </w:r>
      <w:r w:rsidRPr="00610127">
        <w:t>eptembr</w:t>
      </w:r>
      <w:r w:rsidR="009A5780" w:rsidRPr="00610127">
        <w:t>e</w:t>
      </w:r>
      <w:r w:rsidRPr="00610127">
        <w:t xml:space="preserve"> 2021 </w:t>
      </w:r>
      <w:r w:rsidR="009A5780" w:rsidRPr="00610127">
        <w:t>à mars</w:t>
      </w:r>
      <w:r w:rsidR="00604ACB" w:rsidRPr="00610127">
        <w:t> </w:t>
      </w:r>
      <w:r w:rsidRPr="00610127">
        <w:t xml:space="preserve">2022. </w:t>
      </w:r>
      <w:r w:rsidR="00FB5C0A" w:rsidRPr="00610127">
        <w:t>La durée de</w:t>
      </w:r>
      <w:r w:rsidR="004473CC" w:rsidRPr="00610127">
        <w:t>s réunions</w:t>
      </w:r>
      <w:r w:rsidR="00797724" w:rsidRPr="00610127">
        <w:t xml:space="preserve"> </w:t>
      </w:r>
      <w:r w:rsidR="00FB5C0A" w:rsidRPr="00610127">
        <w:t>a été limitée</w:t>
      </w:r>
      <w:r w:rsidR="004473CC" w:rsidRPr="00610127">
        <w:t>,</w:t>
      </w:r>
      <w:r w:rsidR="00FB5C0A" w:rsidRPr="00610127">
        <w:t xml:space="preserve"> </w:t>
      </w:r>
      <w:r w:rsidR="002C1AED" w:rsidRPr="00610127">
        <w:t xml:space="preserve">notamment </w:t>
      </w:r>
      <w:r w:rsidR="00FB5C0A" w:rsidRPr="00610127">
        <w:t>en raison</w:t>
      </w:r>
      <w:r w:rsidR="002C1AED" w:rsidRPr="00610127">
        <w:t xml:space="preserve"> </w:t>
      </w:r>
      <w:r w:rsidR="00FB5C0A" w:rsidRPr="00610127">
        <w:t xml:space="preserve">des </w:t>
      </w:r>
      <w:r w:rsidRPr="00610127">
        <w:t xml:space="preserve">restrictions </w:t>
      </w:r>
      <w:r w:rsidR="00FB5C0A" w:rsidRPr="00610127">
        <w:t xml:space="preserve">liées à la pandémie de </w:t>
      </w:r>
      <w:r w:rsidRPr="00610127">
        <w:t>COVID</w:t>
      </w:r>
      <w:r w:rsidRPr="00610127">
        <w:noBreakHyphen/>
        <w:t>19</w:t>
      </w:r>
      <w:r w:rsidR="004473CC" w:rsidRPr="00610127">
        <w:t>,</w:t>
      </w:r>
      <w:r w:rsidR="00797724" w:rsidRPr="00610127">
        <w:t xml:space="preserve"> </w:t>
      </w:r>
      <w:r w:rsidR="004473CC" w:rsidRPr="00610127">
        <w:t>et</w:t>
      </w:r>
      <w:r w:rsidR="00797724" w:rsidRPr="00610127">
        <w:t xml:space="preserve"> </w:t>
      </w:r>
      <w:r w:rsidR="004473CC" w:rsidRPr="00610127">
        <w:t xml:space="preserve">le </w:t>
      </w:r>
      <w:r w:rsidR="00FB5C0A" w:rsidRPr="00610127">
        <w:t xml:space="preserve">groupe </w:t>
      </w:r>
      <w:r w:rsidR="004473CC" w:rsidRPr="00610127">
        <w:t>a essentiellement mené ses</w:t>
      </w:r>
      <w:r w:rsidR="00797724" w:rsidRPr="00610127">
        <w:t xml:space="preserve"> </w:t>
      </w:r>
      <w:r w:rsidR="004473CC" w:rsidRPr="00610127">
        <w:t xml:space="preserve">travaux </w:t>
      </w:r>
      <w:r w:rsidR="00FB5C0A" w:rsidRPr="00610127">
        <w:t>en ligne</w:t>
      </w:r>
      <w:r w:rsidRPr="00610127">
        <w:t xml:space="preserve">. </w:t>
      </w:r>
      <w:r w:rsidR="008452CE" w:rsidRPr="00610127">
        <w:t xml:space="preserve">Le projet de Plan </w:t>
      </w:r>
      <w:r w:rsidRPr="00610127">
        <w:t>strat</w:t>
      </w:r>
      <w:r w:rsidR="008452CE" w:rsidRPr="00610127">
        <w:t>é</w:t>
      </w:r>
      <w:r w:rsidRPr="00610127">
        <w:t>gi</w:t>
      </w:r>
      <w:r w:rsidR="008452CE" w:rsidRPr="00610127">
        <w:t>que</w:t>
      </w:r>
      <w:r w:rsidRPr="00610127">
        <w:t xml:space="preserve"> </w:t>
      </w:r>
      <w:r w:rsidR="008452CE" w:rsidRPr="00610127">
        <w:t>de l</w:t>
      </w:r>
      <w:r w:rsidR="00B83ECD" w:rsidRPr="00610127">
        <w:t>'</w:t>
      </w:r>
      <w:r w:rsidRPr="00610127">
        <w:t xml:space="preserve">Union </w:t>
      </w:r>
      <w:r w:rsidR="008452CE" w:rsidRPr="00610127">
        <w:t xml:space="preserve">pour la période </w:t>
      </w:r>
      <w:r w:rsidRPr="00610127">
        <w:t xml:space="preserve">2024-2027 </w:t>
      </w:r>
      <w:r w:rsidR="002C1AED" w:rsidRPr="00610127">
        <w:t>et</w:t>
      </w:r>
      <w:r w:rsidRPr="00610127">
        <w:t xml:space="preserve"> </w:t>
      </w:r>
      <w:r w:rsidR="008452CE" w:rsidRPr="00610127">
        <w:t xml:space="preserve">les propositions </w:t>
      </w:r>
      <w:r w:rsidR="004473CC" w:rsidRPr="00610127">
        <w:t>de modification de</w:t>
      </w:r>
      <w:r w:rsidR="008452CE" w:rsidRPr="00610127">
        <w:t xml:space="preserve"> la </w:t>
      </w:r>
      <w:r w:rsidRPr="00610127">
        <w:t>R</w:t>
      </w:r>
      <w:r w:rsidR="008452CE" w:rsidRPr="00610127">
        <w:t>é</w:t>
      </w:r>
      <w:r w:rsidRPr="00610127">
        <w:t>solution 71 (R</w:t>
      </w:r>
      <w:r w:rsidR="00125793" w:rsidRPr="00610127">
        <w:t>é</w:t>
      </w:r>
      <w:r w:rsidRPr="00610127">
        <w:t>v. Duba</w:t>
      </w:r>
      <w:r w:rsidR="008452CE" w:rsidRPr="00610127">
        <w:t>ï</w:t>
      </w:r>
      <w:r w:rsidRPr="00610127">
        <w:t xml:space="preserve">, 2018) </w:t>
      </w:r>
      <w:r w:rsidR="008452CE" w:rsidRPr="00610127">
        <w:t xml:space="preserve">de la </w:t>
      </w:r>
      <w:r w:rsidRPr="00610127">
        <w:t>Conf</w:t>
      </w:r>
      <w:r w:rsidR="008452CE" w:rsidRPr="00610127">
        <w:t>é</w:t>
      </w:r>
      <w:r w:rsidRPr="00610127">
        <w:t xml:space="preserve">rence </w:t>
      </w:r>
      <w:r w:rsidR="008452CE" w:rsidRPr="00610127">
        <w:t>de plénipotentiaires</w:t>
      </w:r>
      <w:r w:rsidR="00797724" w:rsidRPr="00610127">
        <w:t xml:space="preserve"> </w:t>
      </w:r>
      <w:r w:rsidR="004473CC" w:rsidRPr="00610127">
        <w:t>font l</w:t>
      </w:r>
      <w:r w:rsidR="00B83ECD" w:rsidRPr="00610127">
        <w:t>'</w:t>
      </w:r>
      <w:r w:rsidR="004473CC" w:rsidRPr="00610127">
        <w:t>objet des</w:t>
      </w:r>
      <w:r w:rsidR="008452CE" w:rsidRPr="00610127">
        <w:t xml:space="preserve"> </w:t>
      </w:r>
      <w:r w:rsidRPr="00610127">
        <w:t>Annexes</w:t>
      </w:r>
      <w:r w:rsidR="008452CE" w:rsidRPr="00610127">
        <w:t> </w:t>
      </w:r>
      <w:r w:rsidRPr="00610127">
        <w:t>1</w:t>
      </w:r>
      <w:r w:rsidR="00797724" w:rsidRPr="00610127">
        <w:t> </w:t>
      </w:r>
      <w:r w:rsidR="008452CE" w:rsidRPr="00610127">
        <w:t xml:space="preserve">à </w:t>
      </w:r>
      <w:r w:rsidRPr="00610127">
        <w:t xml:space="preserve">4 </w:t>
      </w:r>
      <w:r w:rsidR="008452CE" w:rsidRPr="00610127">
        <w:t>du rapport</w:t>
      </w:r>
      <w:r w:rsidRPr="00610127">
        <w:t xml:space="preserve">. </w:t>
      </w:r>
      <w:r w:rsidR="008452CE" w:rsidRPr="00610127">
        <w:t>Ledit projet est</w:t>
      </w:r>
      <w:r w:rsidR="004473CC" w:rsidRPr="00610127">
        <w:t xml:space="preserve"> nettement</w:t>
      </w:r>
      <w:r w:rsidR="008452CE" w:rsidRPr="00610127">
        <w:t xml:space="preserve"> plus court que </w:t>
      </w:r>
      <w:r w:rsidR="00A42710" w:rsidRPr="00610127">
        <w:t xml:space="preserve">le </w:t>
      </w:r>
      <w:r w:rsidR="00BD4BBB" w:rsidRPr="00610127">
        <w:t>p</w:t>
      </w:r>
      <w:r w:rsidR="00A42710" w:rsidRPr="00610127">
        <w:t>lan stratégique de l</w:t>
      </w:r>
      <w:r w:rsidR="00B83ECD" w:rsidRPr="00610127">
        <w:t>'</w:t>
      </w:r>
      <w:r w:rsidR="00A42710" w:rsidRPr="00610127">
        <w:t xml:space="preserve">UIT pour la période </w:t>
      </w:r>
      <w:r w:rsidRPr="00610127">
        <w:t>2020-2023</w:t>
      </w:r>
      <w:r w:rsidR="00A42710" w:rsidRPr="00610127">
        <w:t xml:space="preserve"> et </w:t>
      </w:r>
      <w:r w:rsidR="004473CC" w:rsidRPr="00610127">
        <w:t xml:space="preserve">est axé </w:t>
      </w:r>
      <w:r w:rsidR="00A42710" w:rsidRPr="00610127">
        <w:t>sur des éléments de haut niveau ainsi que sur</w:t>
      </w:r>
      <w:r w:rsidR="00797724" w:rsidRPr="00610127">
        <w:t xml:space="preserve"> </w:t>
      </w:r>
      <w:r w:rsidR="004473CC" w:rsidRPr="00610127">
        <w:t xml:space="preserve">les incidences </w:t>
      </w:r>
      <w:r w:rsidR="00A42710" w:rsidRPr="00610127">
        <w:t>des travaux de l</w:t>
      </w:r>
      <w:r w:rsidR="00B83ECD" w:rsidRPr="00610127">
        <w:t>'</w:t>
      </w:r>
      <w:r w:rsidR="00A42710" w:rsidRPr="00610127">
        <w:t xml:space="preserve">UIT, plutôt que sur </w:t>
      </w:r>
      <w:r w:rsidR="002C1AED" w:rsidRPr="00610127">
        <w:t xml:space="preserve">des </w:t>
      </w:r>
      <w:r w:rsidR="00A42710" w:rsidRPr="00610127">
        <w:t xml:space="preserve">renseignements </w:t>
      </w:r>
      <w:r w:rsidR="004473CC" w:rsidRPr="00610127">
        <w:t>d</w:t>
      </w:r>
      <w:r w:rsidR="00B83ECD" w:rsidRPr="00610127">
        <w:t>'</w:t>
      </w:r>
      <w:r w:rsidR="004473CC" w:rsidRPr="00610127">
        <w:t>ordre pratique</w:t>
      </w:r>
      <w:r w:rsidRPr="00610127">
        <w:t xml:space="preserve">. </w:t>
      </w:r>
      <w:r w:rsidR="00A42710" w:rsidRPr="00610127">
        <w:t>L</w:t>
      </w:r>
      <w:r w:rsidR="004473CC" w:rsidRPr="00610127">
        <w:t>a</w:t>
      </w:r>
      <w:r w:rsidR="00797724" w:rsidRPr="00610127">
        <w:t xml:space="preserve"> </w:t>
      </w:r>
      <w:r w:rsidR="00A42710" w:rsidRPr="00610127">
        <w:t>seul</w:t>
      </w:r>
      <w:r w:rsidR="004473CC" w:rsidRPr="00610127">
        <w:t>e</w:t>
      </w:r>
      <w:r w:rsidR="00A42710" w:rsidRPr="00610127">
        <w:t xml:space="preserve"> </w:t>
      </w:r>
      <w:r w:rsidR="004473CC" w:rsidRPr="00610127">
        <w:rPr>
          <w:color w:val="000000"/>
        </w:rPr>
        <w:t>question</w:t>
      </w:r>
      <w:r w:rsidR="00797724" w:rsidRPr="00610127">
        <w:rPr>
          <w:color w:val="000000"/>
        </w:rPr>
        <w:t xml:space="preserve"> </w:t>
      </w:r>
      <w:r w:rsidR="004473CC" w:rsidRPr="00610127">
        <w:rPr>
          <w:color w:val="000000"/>
        </w:rPr>
        <w:t xml:space="preserve">de fond </w:t>
      </w:r>
      <w:r w:rsidR="00A42710" w:rsidRPr="00610127">
        <w:t xml:space="preserve">du projet de plan </w:t>
      </w:r>
      <w:r w:rsidR="004473CC" w:rsidRPr="00610127">
        <w:t xml:space="preserve">qui doit encore </w:t>
      </w:r>
      <w:r w:rsidR="004473CC" w:rsidRPr="00610127">
        <w:rPr>
          <w:color w:val="000000"/>
        </w:rPr>
        <w:t>faire l</w:t>
      </w:r>
      <w:r w:rsidR="00B83ECD" w:rsidRPr="00610127">
        <w:rPr>
          <w:color w:val="000000"/>
        </w:rPr>
        <w:t>'</w:t>
      </w:r>
      <w:r w:rsidR="004473CC" w:rsidRPr="00610127">
        <w:rPr>
          <w:color w:val="000000"/>
        </w:rPr>
        <w:t>objet d</w:t>
      </w:r>
      <w:r w:rsidR="00B83ECD" w:rsidRPr="00610127">
        <w:rPr>
          <w:color w:val="000000"/>
        </w:rPr>
        <w:t>'</w:t>
      </w:r>
      <w:r w:rsidR="004473CC" w:rsidRPr="00610127">
        <w:rPr>
          <w:color w:val="000000"/>
        </w:rPr>
        <w:t>une décision</w:t>
      </w:r>
      <w:r w:rsidR="004473CC" w:rsidRPr="00610127" w:rsidDel="004473CC">
        <w:t xml:space="preserve"> </w:t>
      </w:r>
      <w:r w:rsidR="00A42710" w:rsidRPr="00610127">
        <w:t xml:space="preserve">est </w:t>
      </w:r>
      <w:r w:rsidR="004473CC" w:rsidRPr="00610127">
        <w:t>de savoir s</w:t>
      </w:r>
      <w:r w:rsidR="00B83ECD" w:rsidRPr="00610127">
        <w:t>'</w:t>
      </w:r>
      <w:r w:rsidR="004473CC" w:rsidRPr="00610127">
        <w:t xml:space="preserve">il y a lieu </w:t>
      </w:r>
      <w:r w:rsidR="00A42710" w:rsidRPr="00610127">
        <w:t>d</w:t>
      </w:r>
      <w:r w:rsidR="00B83ECD" w:rsidRPr="00610127">
        <w:t>'</w:t>
      </w:r>
      <w:r w:rsidR="00A42710" w:rsidRPr="00610127">
        <w:t>inclure ou non</w:t>
      </w:r>
      <w:r w:rsidR="00797724" w:rsidRPr="00610127">
        <w:t xml:space="preserve"> </w:t>
      </w:r>
      <w:r w:rsidR="00A42710" w:rsidRPr="00610127">
        <w:t xml:space="preserve">la </w:t>
      </w:r>
      <w:r w:rsidRPr="00610127">
        <w:t>cybers</w:t>
      </w:r>
      <w:r w:rsidR="000A000E" w:rsidRPr="00610127">
        <w:t>é</w:t>
      </w:r>
      <w:r w:rsidRPr="00610127">
        <w:t>curit</w:t>
      </w:r>
      <w:r w:rsidR="00A42710" w:rsidRPr="00610127">
        <w:t xml:space="preserve">é </w:t>
      </w:r>
      <w:r w:rsidR="00DC16A5" w:rsidRPr="00610127">
        <w:t xml:space="preserve">en tant que </w:t>
      </w:r>
      <w:r w:rsidR="00A42710" w:rsidRPr="00610127">
        <w:t xml:space="preserve">priorité thématique </w:t>
      </w:r>
      <w:r w:rsidR="00DC16A5" w:rsidRPr="00610127">
        <w:t>distincte</w:t>
      </w:r>
      <w:r w:rsidRPr="00610127">
        <w:t>.</w:t>
      </w:r>
    </w:p>
    <w:p w14:paraId="4EF400F3" w14:textId="77777777" w:rsidR="00276FFF" w:rsidRPr="00610127" w:rsidRDefault="00276FFF" w:rsidP="00217650">
      <w:r w:rsidRPr="00610127">
        <w:t>1.2</w:t>
      </w:r>
      <w:r w:rsidRPr="00610127">
        <w:tab/>
      </w:r>
      <w:r w:rsidR="004F68AC" w:rsidRPr="00610127">
        <w:t>Les conseillers saluent les travaux</w:t>
      </w:r>
      <w:r w:rsidR="00797724" w:rsidRPr="00610127">
        <w:t xml:space="preserve"> </w:t>
      </w:r>
      <w:r w:rsidR="003B59E3" w:rsidRPr="00610127">
        <w:t xml:space="preserve">menés par </w:t>
      </w:r>
      <w:r w:rsidR="004F68AC" w:rsidRPr="00610127">
        <w:t>le GTC-SFP</w:t>
      </w:r>
      <w:r w:rsidRPr="00610127">
        <w:t xml:space="preserve"> </w:t>
      </w:r>
      <w:r w:rsidR="003B59E3" w:rsidRPr="00610127">
        <w:t xml:space="preserve">pour </w:t>
      </w:r>
      <w:r w:rsidR="003B59E3" w:rsidRPr="00610127">
        <w:rPr>
          <w:color w:val="000000"/>
        </w:rPr>
        <w:t>faire en sorte que l</w:t>
      </w:r>
      <w:r w:rsidR="00B83ECD" w:rsidRPr="00610127">
        <w:rPr>
          <w:color w:val="000000"/>
        </w:rPr>
        <w:t>'</w:t>
      </w:r>
      <w:r w:rsidR="003B59E3" w:rsidRPr="00610127">
        <w:rPr>
          <w:color w:val="000000"/>
        </w:rPr>
        <w:t>UIT soit en adéquation avec sa mission</w:t>
      </w:r>
      <w:r w:rsidR="004F68AC" w:rsidRPr="00610127">
        <w:t>,</w:t>
      </w:r>
      <w:r w:rsidR="00797724" w:rsidRPr="00610127">
        <w:t xml:space="preserve"> </w:t>
      </w:r>
      <w:r w:rsidR="003B59E3" w:rsidRPr="00610127">
        <w:t>l</w:t>
      </w:r>
      <w:r w:rsidR="00B83ECD" w:rsidRPr="00610127">
        <w:t>'</w:t>
      </w:r>
      <w:r w:rsidR="003B59E3" w:rsidRPr="00610127">
        <w:t>Union,</w:t>
      </w:r>
      <w:r w:rsidR="00797724" w:rsidRPr="00610127">
        <w:t xml:space="preserve"> </w:t>
      </w:r>
      <w:r w:rsidR="004F68AC" w:rsidRPr="00610127">
        <w:t xml:space="preserve">en tant </w:t>
      </w:r>
      <w:r w:rsidR="003B59E3" w:rsidRPr="00610127">
        <w:t>qu</w:t>
      </w:r>
      <w:r w:rsidR="00B83ECD" w:rsidRPr="00610127">
        <w:t>'</w:t>
      </w:r>
      <w:r w:rsidR="003B59E3" w:rsidRPr="00610127">
        <w:t xml:space="preserve">institution </w:t>
      </w:r>
      <w:r w:rsidR="004F68AC" w:rsidRPr="00610127">
        <w:t xml:space="preserve">spécialisée des Nations unies </w:t>
      </w:r>
      <w:r w:rsidR="003B59E3" w:rsidRPr="00610127">
        <w:t xml:space="preserve">chargée </w:t>
      </w:r>
      <w:r w:rsidR="00AE7C1B" w:rsidRPr="00610127">
        <w:t>du développement</w:t>
      </w:r>
      <w:r w:rsidR="00753730" w:rsidRPr="00610127">
        <w:t xml:space="preserve"> des</w:t>
      </w:r>
      <w:r w:rsidR="00797724" w:rsidRPr="00610127">
        <w:t xml:space="preserve"> </w:t>
      </w:r>
      <w:r w:rsidR="004F68AC" w:rsidRPr="00610127">
        <w:t xml:space="preserve">TIC </w:t>
      </w:r>
      <w:r w:rsidR="003B59E3" w:rsidRPr="00610127">
        <w:t xml:space="preserve">a en faveur du </w:t>
      </w:r>
      <w:r w:rsidR="004F68AC" w:rsidRPr="00610127">
        <w:t xml:space="preserve">développement durable et </w:t>
      </w:r>
      <w:r w:rsidR="003B59E3" w:rsidRPr="00610127">
        <w:t>de la réalisation des</w:t>
      </w:r>
      <w:r w:rsidR="004F68AC" w:rsidRPr="00610127">
        <w:t xml:space="preserve"> ODD</w:t>
      </w:r>
      <w:r w:rsidRPr="00610127">
        <w:t>,</w:t>
      </w:r>
      <w:r w:rsidR="00797724" w:rsidRPr="00610127">
        <w:t xml:space="preserve"> </w:t>
      </w:r>
      <w:r w:rsidR="003B59E3" w:rsidRPr="00610127">
        <w:t>étant particulièrement bien placée</w:t>
      </w:r>
      <w:r w:rsidR="00F12466" w:rsidRPr="00610127">
        <w:t xml:space="preserve"> pour </w:t>
      </w:r>
      <w:r w:rsidR="00AE7C1B" w:rsidRPr="00610127">
        <w:t>promouvoir</w:t>
      </w:r>
      <w:r w:rsidR="00F12466" w:rsidRPr="00610127">
        <w:t xml:space="preserve"> le programme </w:t>
      </w:r>
      <w:r w:rsidR="00AE7C1B" w:rsidRPr="00610127">
        <w:t xml:space="preserve">commun en matière </w:t>
      </w:r>
      <w:r w:rsidR="00F12466" w:rsidRPr="00610127">
        <w:t xml:space="preserve">de connectivité et </w:t>
      </w:r>
      <w:r w:rsidR="002C1AED" w:rsidRPr="00610127">
        <w:t xml:space="preserve">de </w:t>
      </w:r>
      <w:r w:rsidR="00F12466" w:rsidRPr="00610127">
        <w:t>transformation numérique</w:t>
      </w:r>
      <w:r w:rsidRPr="00610127">
        <w:t xml:space="preserve">. </w:t>
      </w:r>
      <w:r w:rsidR="00F12466" w:rsidRPr="00610127">
        <w:t xml:space="preserve">Un conseiller </w:t>
      </w:r>
      <w:r w:rsidR="00753730" w:rsidRPr="00610127">
        <w:t>souligne</w:t>
      </w:r>
      <w:r w:rsidR="006D52C0" w:rsidRPr="00610127">
        <w:t xml:space="preserve"> que</w:t>
      </w:r>
      <w:r w:rsidRPr="00610127">
        <w:t xml:space="preserve"> </w:t>
      </w:r>
      <w:r w:rsidR="007F5511" w:rsidRPr="00610127">
        <w:t xml:space="preserve">les </w:t>
      </w:r>
      <w:r w:rsidR="006D52C0" w:rsidRPr="00610127">
        <w:t xml:space="preserve">Résolutions </w:t>
      </w:r>
      <w:r w:rsidRPr="00610127">
        <w:t>25 (R</w:t>
      </w:r>
      <w:r w:rsidR="00125793" w:rsidRPr="00610127">
        <w:t>é</w:t>
      </w:r>
      <w:r w:rsidRPr="00610127">
        <w:t>v.</w:t>
      </w:r>
      <w:r w:rsidR="00797724" w:rsidRPr="00610127">
        <w:t> </w:t>
      </w:r>
      <w:r w:rsidRPr="00610127">
        <w:t>Duba</w:t>
      </w:r>
      <w:r w:rsidR="006D52C0" w:rsidRPr="00610127">
        <w:t>ï</w:t>
      </w:r>
      <w:r w:rsidRPr="00610127">
        <w:t>, 2018), 140 (R</w:t>
      </w:r>
      <w:r w:rsidR="00125793" w:rsidRPr="00610127">
        <w:t>é</w:t>
      </w:r>
      <w:r w:rsidRPr="00610127">
        <w:t>v. Duba</w:t>
      </w:r>
      <w:r w:rsidR="006D52C0" w:rsidRPr="00610127">
        <w:t>ï</w:t>
      </w:r>
      <w:r w:rsidRPr="00610127">
        <w:t xml:space="preserve">, 2018) </w:t>
      </w:r>
      <w:r w:rsidR="006D52C0" w:rsidRPr="00610127">
        <w:t>et</w:t>
      </w:r>
      <w:r w:rsidRPr="00610127">
        <w:t xml:space="preserve"> 151 (R</w:t>
      </w:r>
      <w:r w:rsidR="00125793" w:rsidRPr="00610127">
        <w:t>é</w:t>
      </w:r>
      <w:r w:rsidRPr="00610127">
        <w:t>v. Duba</w:t>
      </w:r>
      <w:r w:rsidR="006D52C0" w:rsidRPr="00610127">
        <w:t>ï</w:t>
      </w:r>
      <w:r w:rsidRPr="00610127">
        <w:t xml:space="preserve">, 2018) </w:t>
      </w:r>
      <w:r w:rsidR="006D52C0" w:rsidRPr="00610127">
        <w:t>de la PP mériteraient d</w:t>
      </w:r>
      <w:r w:rsidR="00B83ECD" w:rsidRPr="00610127">
        <w:t>'</w:t>
      </w:r>
      <w:r w:rsidR="006D52C0" w:rsidRPr="00610127">
        <w:t xml:space="preserve">être examinées plus en </w:t>
      </w:r>
      <w:r w:rsidR="00410AEC" w:rsidRPr="00610127">
        <w:t>détail</w:t>
      </w:r>
      <w:r w:rsidRPr="00610127">
        <w:t xml:space="preserve">. </w:t>
      </w:r>
      <w:r w:rsidR="00DD092A" w:rsidRPr="00610127">
        <w:t xml:space="preserve">Une autre conseillère </w:t>
      </w:r>
      <w:r w:rsidR="00252252" w:rsidRPr="00610127">
        <w:t xml:space="preserve">suggère que le projet de </w:t>
      </w:r>
      <w:r w:rsidR="00753730" w:rsidRPr="00610127">
        <w:t>plan</w:t>
      </w:r>
      <w:r w:rsidR="00797724" w:rsidRPr="00610127">
        <w:t xml:space="preserve"> </w:t>
      </w:r>
      <w:r w:rsidR="00753730" w:rsidRPr="00610127">
        <w:t>stratégique</w:t>
      </w:r>
      <w:r w:rsidR="00797724" w:rsidRPr="00610127">
        <w:t xml:space="preserve"> </w:t>
      </w:r>
      <w:r w:rsidR="002C1AED" w:rsidRPr="00610127">
        <w:t>et</w:t>
      </w:r>
      <w:r w:rsidRPr="00610127">
        <w:t xml:space="preserve"> </w:t>
      </w:r>
      <w:r w:rsidR="00753730" w:rsidRPr="00610127">
        <w:t>de plan financier</w:t>
      </w:r>
      <w:r w:rsidR="00797724" w:rsidRPr="00610127">
        <w:t xml:space="preserve"> </w:t>
      </w:r>
      <w:r w:rsidR="00252252" w:rsidRPr="00610127">
        <w:t xml:space="preserve">soit </w:t>
      </w:r>
      <w:r w:rsidR="00753730" w:rsidRPr="00610127">
        <w:t>communiqué au</w:t>
      </w:r>
      <w:r w:rsidR="00252252" w:rsidRPr="00610127">
        <w:t xml:space="preserve"> CCIG et</w:t>
      </w:r>
      <w:r w:rsidR="00797724" w:rsidRPr="00610127">
        <w:t xml:space="preserve"> </w:t>
      </w:r>
      <w:r w:rsidR="00753730" w:rsidRPr="00610127">
        <w:t xml:space="preserve">au </w:t>
      </w:r>
      <w:r w:rsidR="00252252" w:rsidRPr="00610127">
        <w:t xml:space="preserve">Vérificateur extérieur </w:t>
      </w:r>
      <w:r w:rsidR="00753730" w:rsidRPr="00610127">
        <w:t xml:space="preserve">des comptes, </w:t>
      </w:r>
      <w:r w:rsidR="00252252" w:rsidRPr="00610127">
        <w:t>afin qu</w:t>
      </w:r>
      <w:r w:rsidR="00B83ECD" w:rsidRPr="00610127">
        <w:t>'</w:t>
      </w:r>
      <w:r w:rsidR="00252252" w:rsidRPr="00610127">
        <w:t>ils puissent</w:t>
      </w:r>
      <w:r w:rsidR="00797724" w:rsidRPr="00610127">
        <w:t xml:space="preserve"> </w:t>
      </w:r>
      <w:r w:rsidR="00753730" w:rsidRPr="00610127">
        <w:t>faire connaître leur avis</w:t>
      </w:r>
      <w:r w:rsidR="00252252" w:rsidRPr="00610127">
        <w:t xml:space="preserve"> à cet égard</w:t>
      </w:r>
      <w:r w:rsidRPr="00610127">
        <w:t xml:space="preserve">, </w:t>
      </w:r>
      <w:r w:rsidR="00252252" w:rsidRPr="00610127">
        <w:t>étant donné qu</w:t>
      </w:r>
      <w:r w:rsidR="00B83ECD" w:rsidRPr="00610127">
        <w:t>'</w:t>
      </w:r>
      <w:r w:rsidR="00252252" w:rsidRPr="00610127">
        <w:t xml:space="preserve">ils ont </w:t>
      </w:r>
      <w:r w:rsidR="00753730" w:rsidRPr="00610127">
        <w:t>procédé à plusieurs analyses</w:t>
      </w:r>
      <w:r w:rsidR="00797724" w:rsidRPr="00610127">
        <w:t xml:space="preserve"> </w:t>
      </w:r>
      <w:r w:rsidR="00753730" w:rsidRPr="00610127">
        <w:t>sur la</w:t>
      </w:r>
      <w:r w:rsidR="00B93212" w:rsidRPr="00610127">
        <w:t xml:space="preserve"> gouvernance et les </w:t>
      </w:r>
      <w:r w:rsidR="00252252" w:rsidRPr="00610127">
        <w:t xml:space="preserve">approches </w:t>
      </w:r>
      <w:r w:rsidR="00B93212" w:rsidRPr="00610127">
        <w:t>stratégiques actuelles</w:t>
      </w:r>
      <w:r w:rsidRPr="00610127">
        <w:t xml:space="preserve">. </w:t>
      </w:r>
      <w:r w:rsidR="00B93212" w:rsidRPr="00610127">
        <w:t>Un conseiller</w:t>
      </w:r>
      <w:r w:rsidR="00797724" w:rsidRPr="00610127">
        <w:t xml:space="preserve"> </w:t>
      </w:r>
      <w:r w:rsidR="00753730" w:rsidRPr="00610127">
        <w:t xml:space="preserve">insiste </w:t>
      </w:r>
      <w:r w:rsidR="00B93212" w:rsidRPr="00610127">
        <w:t>sur l</w:t>
      </w:r>
      <w:r w:rsidR="00B83ECD" w:rsidRPr="00610127">
        <w:t>'</w:t>
      </w:r>
      <w:r w:rsidRPr="00610127">
        <w:t>importance</w:t>
      </w:r>
      <w:r w:rsidR="007C62B9" w:rsidRPr="00610127">
        <w:t xml:space="preserve"> que revêt, pour son administration,</w:t>
      </w:r>
      <w:r w:rsidR="00797724" w:rsidRPr="00610127">
        <w:t xml:space="preserve"> </w:t>
      </w:r>
      <w:r w:rsidR="00753730" w:rsidRPr="00610127">
        <w:t xml:space="preserve">la </w:t>
      </w:r>
      <w:r w:rsidR="000B5E90" w:rsidRPr="00610127">
        <w:t>présence régionale de l</w:t>
      </w:r>
      <w:r w:rsidR="00B83ECD" w:rsidRPr="00610127">
        <w:t>'</w:t>
      </w:r>
      <w:r w:rsidR="000B5E90" w:rsidRPr="00610127">
        <w:t>UIT et</w:t>
      </w:r>
      <w:r w:rsidR="00797724" w:rsidRPr="00610127">
        <w:t xml:space="preserve"> </w:t>
      </w:r>
      <w:r w:rsidR="00753730" w:rsidRPr="00610127">
        <w:rPr>
          <w:color w:val="000000"/>
        </w:rPr>
        <w:t>l</w:t>
      </w:r>
      <w:r w:rsidR="00B83ECD" w:rsidRPr="00610127">
        <w:rPr>
          <w:color w:val="000000"/>
        </w:rPr>
        <w:t>'</w:t>
      </w:r>
      <w:r w:rsidR="00753730" w:rsidRPr="00610127">
        <w:rPr>
          <w:color w:val="000000"/>
        </w:rPr>
        <w:t xml:space="preserve">approche </w:t>
      </w:r>
      <w:r w:rsidR="007C62B9" w:rsidRPr="00610127">
        <w:rPr>
          <w:color w:val="000000"/>
        </w:rPr>
        <w:t>fondée sur le principe d</w:t>
      </w:r>
      <w:r w:rsidR="00B83ECD" w:rsidRPr="00610127">
        <w:rPr>
          <w:color w:val="000000"/>
        </w:rPr>
        <w:t>'</w:t>
      </w:r>
      <w:r w:rsidR="007C62B9" w:rsidRPr="00610127">
        <w:rPr>
          <w:color w:val="000000"/>
        </w:rPr>
        <w:t>une</w:t>
      </w:r>
      <w:r w:rsidR="00797724" w:rsidRPr="00610127">
        <w:rPr>
          <w:color w:val="000000"/>
        </w:rPr>
        <w:t xml:space="preserve"> </w:t>
      </w:r>
      <w:r w:rsidR="009B3AA6" w:rsidRPr="00610127">
        <w:rPr>
          <w:color w:val="000000"/>
        </w:rPr>
        <w:t>"</w:t>
      </w:r>
      <w:r w:rsidR="00753730" w:rsidRPr="00610127">
        <w:rPr>
          <w:color w:val="000000"/>
        </w:rPr>
        <w:t>UIT unie dans l</w:t>
      </w:r>
      <w:r w:rsidR="00B83ECD" w:rsidRPr="00610127">
        <w:rPr>
          <w:color w:val="000000"/>
        </w:rPr>
        <w:t>'</w:t>
      </w:r>
      <w:r w:rsidR="00753730" w:rsidRPr="00610127">
        <w:rPr>
          <w:color w:val="000000"/>
        </w:rPr>
        <w:t>action</w:t>
      </w:r>
      <w:r w:rsidR="009B3AA6" w:rsidRPr="00610127">
        <w:rPr>
          <w:color w:val="000000"/>
        </w:rPr>
        <w:t>".</w:t>
      </w:r>
      <w:r w:rsidR="00797724" w:rsidRPr="00610127">
        <w:rPr>
          <w:color w:val="000000"/>
        </w:rPr>
        <w:t xml:space="preserve"> </w:t>
      </w:r>
      <w:r w:rsidR="00DC16A5" w:rsidRPr="00610127">
        <w:t>Deux conseillers se disent favorables à l</w:t>
      </w:r>
      <w:r w:rsidR="00B83ECD" w:rsidRPr="00610127">
        <w:t>'</w:t>
      </w:r>
      <w:r w:rsidRPr="00610127">
        <w:t>inclusion</w:t>
      </w:r>
      <w:r w:rsidR="00797724" w:rsidRPr="00610127">
        <w:t xml:space="preserve"> </w:t>
      </w:r>
      <w:r w:rsidR="00DC16A5" w:rsidRPr="00610127">
        <w:t xml:space="preserve">de la </w:t>
      </w:r>
      <w:r w:rsidRPr="00610127">
        <w:t>cybers</w:t>
      </w:r>
      <w:r w:rsidR="00DC16A5" w:rsidRPr="00610127">
        <w:t>é</w:t>
      </w:r>
      <w:r w:rsidRPr="00610127">
        <w:t>curit</w:t>
      </w:r>
      <w:r w:rsidR="00DC16A5" w:rsidRPr="00610127">
        <w:t>é</w:t>
      </w:r>
      <w:r w:rsidR="00797724" w:rsidRPr="00610127">
        <w:t xml:space="preserve"> </w:t>
      </w:r>
      <w:r w:rsidR="007C62B9" w:rsidRPr="00610127">
        <w:t>dans le</w:t>
      </w:r>
      <w:r w:rsidR="00797724" w:rsidRPr="00610127">
        <w:t xml:space="preserve"> </w:t>
      </w:r>
      <w:r w:rsidR="00DC16A5" w:rsidRPr="00610127">
        <w:t xml:space="preserve">projet de plan en tant que priorité thématique </w:t>
      </w:r>
      <w:r w:rsidR="00577D1F" w:rsidRPr="00610127">
        <w:t>distincte</w:t>
      </w:r>
      <w:r w:rsidR="007C62B9" w:rsidRPr="00610127">
        <w:t>,</w:t>
      </w:r>
      <w:r w:rsidR="00577D1F" w:rsidRPr="00610127">
        <w:t xml:space="preserve"> </w:t>
      </w:r>
      <w:r w:rsidR="00C609EA" w:rsidRPr="00610127">
        <w:t>compte tenu</w:t>
      </w:r>
      <w:r w:rsidR="00797724" w:rsidRPr="00610127">
        <w:t xml:space="preserve"> </w:t>
      </w:r>
      <w:r w:rsidR="00C609EA" w:rsidRPr="00610127">
        <w:t xml:space="preserve">des vulnérabilités </w:t>
      </w:r>
      <w:r w:rsidR="007C62B9" w:rsidRPr="00610127">
        <w:t>croissantes associées à</w:t>
      </w:r>
      <w:r w:rsidR="00C609EA" w:rsidRPr="00610127">
        <w:t xml:space="preserve"> l</w:t>
      </w:r>
      <w:r w:rsidR="00B83ECD" w:rsidRPr="00610127">
        <w:t>'</w:t>
      </w:r>
      <w:r w:rsidR="00C609EA" w:rsidRPr="00610127">
        <w:t>essor et</w:t>
      </w:r>
      <w:r w:rsidR="00797724" w:rsidRPr="00610127">
        <w:t xml:space="preserve"> </w:t>
      </w:r>
      <w:r w:rsidR="007C62B9" w:rsidRPr="00610127">
        <w:t>à</w:t>
      </w:r>
      <w:r w:rsidR="00797724" w:rsidRPr="00610127">
        <w:t xml:space="preserve"> </w:t>
      </w:r>
      <w:r w:rsidR="00C609EA" w:rsidRPr="00610127">
        <w:t>l</w:t>
      </w:r>
      <w:r w:rsidR="00B83ECD" w:rsidRPr="00610127">
        <w:t>'</w:t>
      </w:r>
      <w:r w:rsidR="00C609EA" w:rsidRPr="00610127">
        <w:t xml:space="preserve">adoption </w:t>
      </w:r>
      <w:r w:rsidR="007C62B9" w:rsidRPr="00610127">
        <w:t xml:space="preserve">constantes </w:t>
      </w:r>
      <w:r w:rsidR="00C609EA" w:rsidRPr="00610127">
        <w:t>de nouvelles TIC</w:t>
      </w:r>
      <w:r w:rsidRPr="00610127">
        <w:t xml:space="preserve">. </w:t>
      </w:r>
      <w:r w:rsidR="00935A97" w:rsidRPr="00610127">
        <w:t>Un autre conseiller met en avant l</w:t>
      </w:r>
      <w:r w:rsidR="00B83ECD" w:rsidRPr="00610127">
        <w:t>'</w:t>
      </w:r>
      <w:r w:rsidRPr="00610127">
        <w:t xml:space="preserve">importance </w:t>
      </w:r>
      <w:r w:rsidR="00935A97" w:rsidRPr="00610127">
        <w:t>de</w:t>
      </w:r>
      <w:r w:rsidR="00797724" w:rsidRPr="00610127">
        <w:t xml:space="preserve"> </w:t>
      </w:r>
      <w:r w:rsidR="00935A97" w:rsidRPr="00610127">
        <w:t xml:space="preserve">priorités </w:t>
      </w:r>
      <w:r w:rsidRPr="00610127">
        <w:t>th</w:t>
      </w:r>
      <w:r w:rsidR="00935A97" w:rsidRPr="00610127">
        <w:t>é</w:t>
      </w:r>
      <w:r w:rsidRPr="00610127">
        <w:t>mati</w:t>
      </w:r>
      <w:r w:rsidR="00935A97" w:rsidRPr="00610127">
        <w:t>ques</w:t>
      </w:r>
      <w:r w:rsidRPr="00610127">
        <w:t xml:space="preserve"> </w:t>
      </w:r>
      <w:r w:rsidR="007C62B9" w:rsidRPr="00610127">
        <w:t xml:space="preserve">transversales, </w:t>
      </w:r>
      <w:r w:rsidR="00935A97" w:rsidRPr="00610127">
        <w:t xml:space="preserve">qui </w:t>
      </w:r>
      <w:r w:rsidR="007C62B9" w:rsidRPr="00610127">
        <w:t xml:space="preserve">enverraient un </w:t>
      </w:r>
      <w:r w:rsidR="004E40D5" w:rsidRPr="00610127">
        <w:t>message très</w:t>
      </w:r>
      <w:r w:rsidR="00797724" w:rsidRPr="00610127">
        <w:t xml:space="preserve"> </w:t>
      </w:r>
      <w:r w:rsidR="004E40D5" w:rsidRPr="00610127">
        <w:t>fort</w:t>
      </w:r>
      <w:r w:rsidR="007C62B9" w:rsidRPr="00610127">
        <w:t xml:space="preserve"> </w:t>
      </w:r>
      <w:r w:rsidR="004E40D5" w:rsidRPr="00610127">
        <w:t>s</w:t>
      </w:r>
      <w:r w:rsidR="00B83ECD" w:rsidRPr="00610127">
        <w:t>'</w:t>
      </w:r>
      <w:r w:rsidR="004E40D5" w:rsidRPr="00610127">
        <w:t xml:space="preserve">agissant de </w:t>
      </w:r>
      <w:r w:rsidR="00935A97" w:rsidRPr="00610127">
        <w:t>la mission de l</w:t>
      </w:r>
      <w:r w:rsidR="00B83ECD" w:rsidRPr="00610127">
        <w:t>'</w:t>
      </w:r>
      <w:r w:rsidRPr="00610127">
        <w:t>Union.</w:t>
      </w:r>
      <w:r w:rsidR="00797724" w:rsidRPr="00610127">
        <w:t xml:space="preserve"> </w:t>
      </w:r>
      <w:r w:rsidR="007C62B9" w:rsidRPr="00610127">
        <w:t xml:space="preserve">Un </w:t>
      </w:r>
      <w:r w:rsidR="002F6308" w:rsidRPr="00610127">
        <w:t xml:space="preserve">conseiller ajoute </w:t>
      </w:r>
      <w:r w:rsidR="007C62B9" w:rsidRPr="00610127">
        <w:t>qu</w:t>
      </w:r>
      <w:r w:rsidR="00B83ECD" w:rsidRPr="00610127">
        <w:t>'</w:t>
      </w:r>
      <w:r w:rsidR="007C62B9" w:rsidRPr="00610127">
        <w:t>il est nécess</w:t>
      </w:r>
      <w:r w:rsidR="004E40D5" w:rsidRPr="00610127">
        <w:t>a</w:t>
      </w:r>
      <w:r w:rsidR="007C62B9" w:rsidRPr="00610127">
        <w:t xml:space="preserve">ire de clarifier </w:t>
      </w:r>
      <w:r w:rsidR="002F6308" w:rsidRPr="00610127">
        <w:t>les critères objectifs</w:t>
      </w:r>
      <w:r w:rsidR="00797724" w:rsidRPr="00610127">
        <w:t xml:space="preserve"> </w:t>
      </w:r>
      <w:r w:rsidR="007C62B9" w:rsidRPr="00610127">
        <w:t>régissant la mise en place</w:t>
      </w:r>
      <w:r w:rsidR="002F6308" w:rsidRPr="00610127">
        <w:t xml:space="preserve"> de nouveaux bureaux de zone</w:t>
      </w:r>
      <w:r w:rsidRPr="00610127">
        <w:t>.</w:t>
      </w:r>
    </w:p>
    <w:p w14:paraId="01D549D1" w14:textId="77777777" w:rsidR="00276FFF" w:rsidRPr="00610127" w:rsidRDefault="00276FFF" w:rsidP="00217650">
      <w:r w:rsidRPr="00610127">
        <w:t>1.3</w:t>
      </w:r>
      <w:r w:rsidRPr="00610127">
        <w:tab/>
      </w:r>
      <w:r w:rsidR="00792BB8" w:rsidRPr="00610127">
        <w:t xml:space="preserve">En réponse aux </w:t>
      </w:r>
      <w:r w:rsidRPr="00610127">
        <w:t xml:space="preserve">questions </w:t>
      </w:r>
      <w:r w:rsidR="00792BB8" w:rsidRPr="00610127">
        <w:t>d</w:t>
      </w:r>
      <w:r w:rsidR="00B83ECD" w:rsidRPr="00610127">
        <w:t>'</w:t>
      </w:r>
      <w:r w:rsidR="00792BB8" w:rsidRPr="00610127">
        <w:t>un conseiller concernant l</w:t>
      </w:r>
      <w:r w:rsidR="00B83ECD" w:rsidRPr="00610127">
        <w:t>'</w:t>
      </w:r>
      <w:r w:rsidR="00792BB8" w:rsidRPr="00610127">
        <w:t>analyse </w:t>
      </w:r>
      <w:r w:rsidRPr="00610127">
        <w:t xml:space="preserve">SWOT </w:t>
      </w:r>
      <w:r w:rsidR="00792BB8" w:rsidRPr="00610127">
        <w:t>figurant</w:t>
      </w:r>
      <w:r w:rsidR="00797724" w:rsidRPr="00610127">
        <w:t xml:space="preserve"> </w:t>
      </w:r>
      <w:r w:rsidR="004E40D5" w:rsidRPr="00610127">
        <w:t>dans</w:t>
      </w:r>
      <w:r w:rsidR="00797724" w:rsidRPr="00610127">
        <w:t xml:space="preserve"> </w:t>
      </w:r>
      <w:r w:rsidR="00792BB8" w:rsidRPr="00610127">
        <w:t>l</w:t>
      </w:r>
      <w:r w:rsidR="00B83ECD" w:rsidRPr="00610127">
        <w:t>'</w:t>
      </w:r>
      <w:r w:rsidRPr="00610127">
        <w:t>Appendi</w:t>
      </w:r>
      <w:r w:rsidR="00792BB8" w:rsidRPr="00610127">
        <w:t>ce</w:t>
      </w:r>
      <w:r w:rsidR="00656DE8" w:rsidRPr="00610127">
        <w:t> </w:t>
      </w:r>
      <w:r w:rsidRPr="00610127">
        <w:t xml:space="preserve">A </w:t>
      </w:r>
      <w:r w:rsidR="00792BB8" w:rsidRPr="00610127">
        <w:t xml:space="preserve">du </w:t>
      </w:r>
      <w:r w:rsidRPr="00610127">
        <w:t>Document</w:t>
      </w:r>
      <w:r w:rsidR="00656DE8" w:rsidRPr="00610127">
        <w:t> </w:t>
      </w:r>
      <w:r w:rsidRPr="00610127">
        <w:t>C22/27(R</w:t>
      </w:r>
      <w:r w:rsidR="00125793" w:rsidRPr="00610127">
        <w:t>é</w:t>
      </w:r>
      <w:r w:rsidRPr="00610127">
        <w:t xml:space="preserve">v.2), </w:t>
      </w:r>
      <w:r w:rsidR="00792BB8" w:rsidRPr="00610127">
        <w:t>le Président du GTC-SFP</w:t>
      </w:r>
      <w:r w:rsidRPr="00610127">
        <w:t xml:space="preserve"> </w:t>
      </w:r>
      <w:r w:rsidR="00792BB8" w:rsidRPr="00610127">
        <w:t>explique que l</w:t>
      </w:r>
      <w:r w:rsidR="00B83ECD" w:rsidRPr="00610127">
        <w:t>'</w:t>
      </w:r>
      <w:r w:rsidR="00792BB8" w:rsidRPr="00610127">
        <w:t xml:space="preserve">analyse </w:t>
      </w:r>
      <w:r w:rsidRPr="00610127">
        <w:t>SWO</w:t>
      </w:r>
      <w:r w:rsidR="00792BB8" w:rsidRPr="00610127">
        <w:t>T</w:t>
      </w:r>
      <w:r w:rsidRPr="00610127">
        <w:t xml:space="preserve">, </w:t>
      </w:r>
      <w:r w:rsidR="00E80D8F" w:rsidRPr="00610127">
        <w:t>qui devait à l</w:t>
      </w:r>
      <w:r w:rsidR="00B83ECD" w:rsidRPr="00610127">
        <w:t>'</w:t>
      </w:r>
      <w:r w:rsidR="00E80D8F" w:rsidRPr="00610127">
        <w:t>origine faire partie de l</w:t>
      </w:r>
      <w:r w:rsidR="00B83ECD" w:rsidRPr="00610127">
        <w:t>'</w:t>
      </w:r>
      <w:r w:rsidR="00E80D8F" w:rsidRPr="00610127">
        <w:t xml:space="preserve">analyse de la </w:t>
      </w:r>
      <w:r w:rsidRPr="00610127">
        <w:t xml:space="preserve">situation </w:t>
      </w:r>
      <w:r w:rsidR="00E80D8F" w:rsidRPr="00610127">
        <w:t xml:space="preserve">figurant </w:t>
      </w:r>
      <w:r w:rsidR="004E40D5" w:rsidRPr="00610127">
        <w:t>dans</w:t>
      </w:r>
      <w:r w:rsidR="00797724" w:rsidRPr="00610127">
        <w:t xml:space="preserve"> </w:t>
      </w:r>
      <w:r w:rsidR="00E80D8F" w:rsidRPr="00610127">
        <w:t>l</w:t>
      </w:r>
      <w:r w:rsidR="00B83ECD" w:rsidRPr="00610127">
        <w:t>'</w:t>
      </w:r>
      <w:r w:rsidRPr="00610127">
        <w:t>Annex</w:t>
      </w:r>
      <w:r w:rsidR="00E80D8F" w:rsidRPr="00610127">
        <w:t>e</w:t>
      </w:r>
      <w:r w:rsidR="00656DE8" w:rsidRPr="00610127">
        <w:t> </w:t>
      </w:r>
      <w:r w:rsidRPr="00610127">
        <w:t xml:space="preserve">2 </w:t>
      </w:r>
      <w:r w:rsidR="00E80D8F" w:rsidRPr="00610127">
        <w:t>du projet</w:t>
      </w:r>
      <w:r w:rsidRPr="00610127">
        <w:t xml:space="preserve">, </w:t>
      </w:r>
      <w:r w:rsidR="00E80D8F" w:rsidRPr="00610127">
        <w:t xml:space="preserve">a </w:t>
      </w:r>
      <w:r w:rsidR="004E40D5" w:rsidRPr="00610127">
        <w:t xml:space="preserve">finalement </w:t>
      </w:r>
      <w:r w:rsidR="00E80D8F" w:rsidRPr="00610127">
        <w:t xml:space="preserve">été examinée trop tard </w:t>
      </w:r>
      <w:r w:rsidR="004E40D5" w:rsidRPr="00610127">
        <w:rPr>
          <w:color w:val="000000"/>
        </w:rPr>
        <w:t xml:space="preserve">dans le cadre du processus visant à </w:t>
      </w:r>
      <w:r w:rsidR="00E80D8F" w:rsidRPr="00610127">
        <w:t>parvenir à un consensus</w:t>
      </w:r>
      <w:r w:rsidRPr="00610127">
        <w:t xml:space="preserve">, </w:t>
      </w:r>
      <w:r w:rsidR="00E80D8F" w:rsidRPr="00610127">
        <w:t>d</w:t>
      </w:r>
      <w:r w:rsidR="00B83ECD" w:rsidRPr="00610127">
        <w:t>'</w:t>
      </w:r>
      <w:r w:rsidR="00E80D8F" w:rsidRPr="00610127">
        <w:t>où les crochets</w:t>
      </w:r>
      <w:r w:rsidRPr="00610127">
        <w:t xml:space="preserve">. </w:t>
      </w:r>
      <w:r w:rsidR="00D060B2" w:rsidRPr="00610127">
        <w:t>Cependant</w:t>
      </w:r>
      <w:r w:rsidRPr="00610127">
        <w:t xml:space="preserve">, </w:t>
      </w:r>
      <w:r w:rsidR="00D060B2" w:rsidRPr="00610127">
        <w:t xml:space="preserve">étant donné </w:t>
      </w:r>
      <w:r w:rsidR="004E40D5" w:rsidRPr="00610127">
        <w:t xml:space="preserve">que cette analyse </w:t>
      </w:r>
      <w:r w:rsidR="00D060B2" w:rsidRPr="00610127">
        <w:t>fourni</w:t>
      </w:r>
      <w:r w:rsidR="004E40D5" w:rsidRPr="00610127">
        <w:t>t</w:t>
      </w:r>
      <w:r w:rsidR="00797724" w:rsidRPr="00610127">
        <w:t xml:space="preserve"> </w:t>
      </w:r>
      <w:r w:rsidR="00D060B2" w:rsidRPr="00610127">
        <w:t xml:space="preserve">des informations </w:t>
      </w:r>
      <w:r w:rsidR="004E40D5" w:rsidRPr="00610127">
        <w:t xml:space="preserve">très </w:t>
      </w:r>
      <w:r w:rsidR="00D060B2" w:rsidRPr="00610127">
        <w:t xml:space="preserve">utiles </w:t>
      </w:r>
      <w:r w:rsidR="004E40D5" w:rsidRPr="00610127">
        <w:t>pour</w:t>
      </w:r>
      <w:r w:rsidR="00D060B2" w:rsidRPr="00610127">
        <w:t xml:space="preserve"> la compr</w:t>
      </w:r>
      <w:r w:rsidR="00A92C0F" w:rsidRPr="00610127">
        <w:t>é</w:t>
      </w:r>
      <w:r w:rsidR="00D060B2" w:rsidRPr="00610127">
        <w:t>hension du</w:t>
      </w:r>
      <w:r w:rsidR="00797724" w:rsidRPr="00610127">
        <w:t xml:space="preserve"> </w:t>
      </w:r>
      <w:r w:rsidR="004E40D5" w:rsidRPr="00610127">
        <w:t>plan</w:t>
      </w:r>
      <w:r w:rsidRPr="00610127">
        <w:t xml:space="preserve">, </w:t>
      </w:r>
      <w:r w:rsidR="00D060B2" w:rsidRPr="00610127">
        <w:t>elle a été conservée dans le rapport</w:t>
      </w:r>
      <w:r w:rsidR="00797724" w:rsidRPr="00610127">
        <w:t xml:space="preserve"> </w:t>
      </w:r>
      <w:r w:rsidR="004E40D5" w:rsidRPr="00610127">
        <w:t xml:space="preserve">à des </w:t>
      </w:r>
      <w:r w:rsidR="00A92C0F" w:rsidRPr="00610127">
        <w:t>fins de référence</w:t>
      </w:r>
      <w:r w:rsidR="00797724" w:rsidRPr="00610127">
        <w:t>.</w:t>
      </w:r>
    </w:p>
    <w:p w14:paraId="6E7D7ABD" w14:textId="77777777" w:rsidR="00276FFF" w:rsidRPr="00610127" w:rsidRDefault="00276FFF" w:rsidP="00217650">
      <w:r w:rsidRPr="00610127">
        <w:t>1.4</w:t>
      </w:r>
      <w:r w:rsidRPr="00610127">
        <w:tab/>
      </w:r>
      <w:r w:rsidR="00EF1B90" w:rsidRPr="00610127">
        <w:t xml:space="preserve">Le Directeur du BR déclare que les deux buts </w:t>
      </w:r>
      <w:r w:rsidRPr="00610127">
        <w:t>strat</w:t>
      </w:r>
      <w:r w:rsidR="00EF1B90" w:rsidRPr="00610127">
        <w:t>é</w:t>
      </w:r>
      <w:r w:rsidRPr="00610127">
        <w:t>g</w:t>
      </w:r>
      <w:r w:rsidR="00EF1B90" w:rsidRPr="00610127">
        <w:t xml:space="preserve">iques </w:t>
      </w:r>
      <w:r w:rsidR="004E40D5" w:rsidRPr="00610127">
        <w:t xml:space="preserve">précis </w:t>
      </w:r>
      <w:r w:rsidR="00EF1B90" w:rsidRPr="00610127">
        <w:t xml:space="preserve">définis dans </w:t>
      </w:r>
      <w:r w:rsidR="003F12F9" w:rsidRPr="00610127">
        <w:t xml:space="preserve">le </w:t>
      </w:r>
      <w:r w:rsidR="00EF1B90" w:rsidRPr="00610127">
        <w:t xml:space="preserve">projet de plan stratégique </w:t>
      </w:r>
      <w:r w:rsidR="004E6F7E" w:rsidRPr="00610127">
        <w:t>contribuer</w:t>
      </w:r>
      <w:r w:rsidR="004E40D5" w:rsidRPr="00610127">
        <w:t xml:space="preserve">ont </w:t>
      </w:r>
      <w:r w:rsidR="004E6F7E" w:rsidRPr="00610127">
        <w:t xml:space="preserve">à surmonter les </w:t>
      </w:r>
      <w:r w:rsidR="008D454A" w:rsidRPr="00610127">
        <w:t>problèmes rencontrés</w:t>
      </w:r>
      <w:r w:rsidR="00EF1B90" w:rsidRPr="00610127">
        <w:t xml:space="preserve"> ces dernières années</w:t>
      </w:r>
      <w:r w:rsidR="00797724" w:rsidRPr="00610127">
        <w:t xml:space="preserve"> </w:t>
      </w:r>
      <w:r w:rsidR="008D454A" w:rsidRPr="00610127">
        <w:t xml:space="preserve">pour </w:t>
      </w:r>
      <w:r w:rsidR="00EF1B90" w:rsidRPr="00610127">
        <w:t xml:space="preserve">informer le </w:t>
      </w:r>
      <w:r w:rsidR="008D454A" w:rsidRPr="00610127">
        <w:t xml:space="preserve">grand </w:t>
      </w:r>
      <w:r w:rsidR="00EF1B90" w:rsidRPr="00610127">
        <w:t>public du rôle de l</w:t>
      </w:r>
      <w:r w:rsidR="00B83ECD" w:rsidRPr="00610127">
        <w:t>'</w:t>
      </w:r>
      <w:r w:rsidR="00EF1B90" w:rsidRPr="00610127">
        <w:t>UIT</w:t>
      </w:r>
      <w:r w:rsidRPr="00610127">
        <w:t xml:space="preserve">. </w:t>
      </w:r>
      <w:r w:rsidR="002B11F9" w:rsidRPr="00610127">
        <w:t xml:space="preserve">Les crochets </w:t>
      </w:r>
      <w:r w:rsidR="00656DE8" w:rsidRPr="00610127">
        <w:t xml:space="preserve">figurant </w:t>
      </w:r>
      <w:r w:rsidR="002B11F9" w:rsidRPr="00610127">
        <w:t xml:space="preserve">dans le </w:t>
      </w:r>
      <w:r w:rsidRPr="00610127">
        <w:t xml:space="preserve">Document C22/27, </w:t>
      </w:r>
      <w:r w:rsidR="002B11F9" w:rsidRPr="00610127">
        <w:t xml:space="preserve">et notamment dans son </w:t>
      </w:r>
      <w:r w:rsidRPr="00610127">
        <w:t>Annex</w:t>
      </w:r>
      <w:r w:rsidR="002B11F9" w:rsidRPr="00610127">
        <w:t>e</w:t>
      </w:r>
      <w:r w:rsidRPr="00610127">
        <w:t xml:space="preserve"> 1, indi</w:t>
      </w:r>
      <w:r w:rsidR="002B11F9" w:rsidRPr="00610127">
        <w:t xml:space="preserve">quent </w:t>
      </w:r>
      <w:r w:rsidR="008D454A" w:rsidRPr="00610127">
        <w:t>qu</w:t>
      </w:r>
      <w:r w:rsidR="00B83ECD" w:rsidRPr="00610127">
        <w:t>'</w:t>
      </w:r>
      <w:r w:rsidR="008D454A" w:rsidRPr="00610127">
        <w:t>aucun</w:t>
      </w:r>
      <w:r w:rsidR="00797724" w:rsidRPr="00610127">
        <w:t xml:space="preserve"> </w:t>
      </w:r>
      <w:r w:rsidRPr="00610127">
        <w:t xml:space="preserve">consensus </w:t>
      </w:r>
      <w:r w:rsidR="008D454A" w:rsidRPr="00610127">
        <w:t xml:space="preserve">ne se dégage </w:t>
      </w:r>
      <w:r w:rsidR="002B11F9" w:rsidRPr="00610127">
        <w:t xml:space="preserve">sur </w:t>
      </w:r>
      <w:r w:rsidR="008D454A" w:rsidRPr="00610127">
        <w:t>la question de savoir s</w:t>
      </w:r>
      <w:r w:rsidR="00B83ECD" w:rsidRPr="00610127">
        <w:t>'</w:t>
      </w:r>
      <w:r w:rsidR="008D454A" w:rsidRPr="00610127">
        <w:t>il y a lieu de faire figurer</w:t>
      </w:r>
      <w:r w:rsidR="00797724" w:rsidRPr="00610127">
        <w:t xml:space="preserve"> </w:t>
      </w:r>
      <w:r w:rsidR="002B11F9" w:rsidRPr="00610127">
        <w:t>de</w:t>
      </w:r>
      <w:r w:rsidR="008D454A" w:rsidRPr="00610127">
        <w:t>s</w:t>
      </w:r>
      <w:r w:rsidR="00797724" w:rsidRPr="00610127">
        <w:t xml:space="preserve"> </w:t>
      </w:r>
      <w:r w:rsidR="008D454A" w:rsidRPr="00610127">
        <w:t>points précis</w:t>
      </w:r>
      <w:r w:rsidR="002B11F9" w:rsidRPr="00610127">
        <w:t xml:space="preserve"> dans le projet de </w:t>
      </w:r>
      <w:r w:rsidRPr="00610127">
        <w:t>plan</w:t>
      </w:r>
      <w:r w:rsidR="002B11F9" w:rsidRPr="00610127">
        <w:t xml:space="preserve"> stratégique</w:t>
      </w:r>
      <w:r w:rsidRPr="00610127">
        <w:t>.</w:t>
      </w:r>
      <w:r w:rsidR="00797724" w:rsidRPr="00610127">
        <w:t xml:space="preserve"> </w:t>
      </w:r>
      <w:r w:rsidR="00864C02" w:rsidRPr="00610127">
        <w:t>Les membres</w:t>
      </w:r>
      <w:r w:rsidR="00797724" w:rsidRPr="00610127">
        <w:t xml:space="preserve"> </w:t>
      </w:r>
      <w:r w:rsidR="002B11F9" w:rsidRPr="00610127">
        <w:t xml:space="preserve">du </w:t>
      </w:r>
      <w:r w:rsidR="00656DE8" w:rsidRPr="00610127">
        <w:t>GTC</w:t>
      </w:r>
      <w:r w:rsidRPr="00610127">
        <w:t>-SFP</w:t>
      </w:r>
      <w:r w:rsidR="00864C02" w:rsidRPr="00610127">
        <w:t xml:space="preserve"> </w:t>
      </w:r>
      <w:r w:rsidR="00864C02" w:rsidRPr="00610127">
        <w:rPr>
          <w:color w:val="000000"/>
        </w:rPr>
        <w:t>se sont accordés à reconnaître</w:t>
      </w:r>
      <w:r w:rsidR="00864C02" w:rsidRPr="00610127">
        <w:t xml:space="preserve"> </w:t>
      </w:r>
      <w:r w:rsidR="002B11F9" w:rsidRPr="00610127">
        <w:t>que ces questions dev</w:t>
      </w:r>
      <w:r w:rsidR="00864C02" w:rsidRPr="00610127">
        <w:t>r</w:t>
      </w:r>
      <w:r w:rsidR="002B11F9" w:rsidRPr="00610127">
        <w:t xml:space="preserve">aient </w:t>
      </w:r>
      <w:r w:rsidR="00656DE8" w:rsidRPr="00610127">
        <w:t xml:space="preserve">être </w:t>
      </w:r>
      <w:r w:rsidR="002B11F9" w:rsidRPr="00610127">
        <w:t>réglées</w:t>
      </w:r>
      <w:r w:rsidR="00797724" w:rsidRPr="00610127">
        <w:t xml:space="preserve"> </w:t>
      </w:r>
      <w:r w:rsidR="008D454A" w:rsidRPr="00610127">
        <w:t>par</w:t>
      </w:r>
      <w:r w:rsidR="00797724" w:rsidRPr="00610127">
        <w:t xml:space="preserve"> </w:t>
      </w:r>
      <w:r w:rsidR="002B11F9" w:rsidRPr="00610127">
        <w:t>la Conférence de plénipotentiaires</w:t>
      </w:r>
      <w:r w:rsidRPr="00610127">
        <w:t>.</w:t>
      </w:r>
    </w:p>
    <w:p w14:paraId="5EDA9E1F" w14:textId="77777777" w:rsidR="00276FFF" w:rsidRPr="00610127" w:rsidRDefault="00276FFF" w:rsidP="00217650">
      <w:r w:rsidRPr="00610127">
        <w:lastRenderedPageBreak/>
        <w:t>1.5</w:t>
      </w:r>
      <w:r w:rsidRPr="00610127">
        <w:tab/>
      </w:r>
      <w:r w:rsidR="00864C02" w:rsidRPr="00610127">
        <w:t xml:space="preserve">Certains conseillers </w:t>
      </w:r>
      <w:r w:rsidR="00864C02" w:rsidRPr="00610127">
        <w:rPr>
          <w:color w:val="000000"/>
        </w:rPr>
        <w:t>notent avec préoccupation,</w:t>
      </w:r>
      <w:r w:rsidR="00864C02" w:rsidRPr="00610127">
        <w:t xml:space="preserve"> étant donné que</w:t>
      </w:r>
      <w:r w:rsidR="00417B94" w:rsidRPr="00610127">
        <w:t xml:space="preserve"> la date limite de soumission du projet de plan stratégique</w:t>
      </w:r>
      <w:r w:rsidR="00797724" w:rsidRPr="00610127">
        <w:t xml:space="preserve"> </w:t>
      </w:r>
      <w:r w:rsidR="00864C02" w:rsidRPr="00610127">
        <w:t>à</w:t>
      </w:r>
      <w:r w:rsidR="00797724" w:rsidRPr="00610127">
        <w:t xml:space="preserve"> </w:t>
      </w:r>
      <w:r w:rsidR="00417B94" w:rsidRPr="00610127">
        <w:t xml:space="preserve">la </w:t>
      </w:r>
      <w:r w:rsidRPr="00610127">
        <w:t>PP-22</w:t>
      </w:r>
      <w:r w:rsidR="00864C02" w:rsidRPr="00610127">
        <w:t xml:space="preserve"> est</w:t>
      </w:r>
      <w:r w:rsidR="00797724" w:rsidRPr="00610127">
        <w:t xml:space="preserve"> </w:t>
      </w:r>
      <w:r w:rsidR="00417B94" w:rsidRPr="00610127">
        <w:t>fixée au 26 mai 2022</w:t>
      </w:r>
      <w:r w:rsidR="00864C02" w:rsidRPr="00610127">
        <w:t xml:space="preserve"> </w:t>
      </w:r>
      <w:r w:rsidR="00417B94" w:rsidRPr="00610127">
        <w:t>et</w:t>
      </w:r>
      <w:r w:rsidR="00797724" w:rsidRPr="00610127">
        <w:t xml:space="preserve"> </w:t>
      </w:r>
      <w:r w:rsidR="00417B94" w:rsidRPr="00610127">
        <w:t xml:space="preserve">que la </w:t>
      </w:r>
      <w:r w:rsidR="002B211C" w:rsidRPr="00610127">
        <w:t>CMDT</w:t>
      </w:r>
      <w:r w:rsidRPr="00610127">
        <w:t xml:space="preserve"> </w:t>
      </w:r>
      <w:r w:rsidR="00417B94" w:rsidRPr="00610127">
        <w:t>doit se tenir en juin</w:t>
      </w:r>
      <w:r w:rsidRPr="00610127">
        <w:t>,</w:t>
      </w:r>
      <w:r w:rsidR="00797724" w:rsidRPr="00610127">
        <w:t xml:space="preserve"> </w:t>
      </w:r>
      <w:r w:rsidR="00864C02" w:rsidRPr="00610127">
        <w:rPr>
          <w:color w:val="000000"/>
        </w:rPr>
        <w:t>qu</w:t>
      </w:r>
      <w:r w:rsidR="00B83ECD" w:rsidRPr="00610127">
        <w:rPr>
          <w:color w:val="000000"/>
        </w:rPr>
        <w:t>'</w:t>
      </w:r>
      <w:r w:rsidR="00864C02" w:rsidRPr="00610127">
        <w:rPr>
          <w:color w:val="000000"/>
        </w:rPr>
        <w:t>il est difficile de déterminer</w:t>
      </w:r>
      <w:r w:rsidR="00864C02" w:rsidRPr="00610127" w:rsidDel="00864C02">
        <w:t xml:space="preserve"> </w:t>
      </w:r>
      <w:r w:rsidR="00864C02" w:rsidRPr="00610127">
        <w:t xml:space="preserve">la façon dont </w:t>
      </w:r>
      <w:r w:rsidR="0031400E" w:rsidRPr="00610127">
        <w:t>la contribution de l</w:t>
      </w:r>
      <w:r w:rsidR="00B83ECD" w:rsidRPr="00610127">
        <w:t>'</w:t>
      </w:r>
      <w:r w:rsidR="002B211C" w:rsidRPr="00610127">
        <w:t>UIT</w:t>
      </w:r>
      <w:r w:rsidRPr="00610127">
        <w:t xml:space="preserve">-D </w:t>
      </w:r>
      <w:r w:rsidR="0031400E" w:rsidRPr="00610127">
        <w:t>peut être incorporé</w:t>
      </w:r>
      <w:r w:rsidR="00656DE8" w:rsidRPr="00610127">
        <w:t>e</w:t>
      </w:r>
      <w:r w:rsidRPr="00610127">
        <w:t xml:space="preserve">. </w:t>
      </w:r>
      <w:r w:rsidR="0088019D" w:rsidRPr="00610127">
        <w:t xml:space="preserve">Un </w:t>
      </w:r>
      <w:r w:rsidRPr="00610127">
        <w:t>m</w:t>
      </w:r>
      <w:r w:rsidR="0088019D" w:rsidRPr="00610127">
        <w:t>é</w:t>
      </w:r>
      <w:r w:rsidRPr="00610127">
        <w:t>canism</w:t>
      </w:r>
      <w:r w:rsidR="0088019D" w:rsidRPr="00610127">
        <w:t>e</w:t>
      </w:r>
      <w:r w:rsidRPr="00610127">
        <w:t xml:space="preserve"> </w:t>
      </w:r>
      <w:r w:rsidR="0088019D" w:rsidRPr="00610127">
        <w:t>est nécessaire</w:t>
      </w:r>
      <w:r w:rsidR="00797724" w:rsidRPr="00610127">
        <w:t xml:space="preserve"> </w:t>
      </w:r>
      <w:r w:rsidR="0017213C" w:rsidRPr="00610127">
        <w:t xml:space="preserve">à cette fin, </w:t>
      </w:r>
      <w:r w:rsidR="0088019D" w:rsidRPr="00610127">
        <w:t xml:space="preserve">et </w:t>
      </w:r>
      <w:r w:rsidR="0017213C" w:rsidRPr="00610127">
        <w:t xml:space="preserve">pour </w:t>
      </w:r>
      <w:r w:rsidR="0088019D" w:rsidRPr="00610127">
        <w:t xml:space="preserve">éviter que </w:t>
      </w:r>
      <w:r w:rsidR="0017213C" w:rsidRPr="00610127">
        <w:t>l</w:t>
      </w:r>
      <w:r w:rsidR="00B83ECD" w:rsidRPr="00610127">
        <w:t>'</w:t>
      </w:r>
      <w:r w:rsidR="0017213C" w:rsidRPr="00610127">
        <w:t>élaboration de la version finale</w:t>
      </w:r>
      <w:r w:rsidR="0088019D" w:rsidRPr="00610127">
        <w:t xml:space="preserve"> du projet ne prenne trop de temps </w:t>
      </w:r>
      <w:r w:rsidR="00957403" w:rsidRPr="00610127">
        <w:t xml:space="preserve">durant la </w:t>
      </w:r>
      <w:r w:rsidRPr="00610127">
        <w:t>PP</w:t>
      </w:r>
      <w:r w:rsidR="0088019D" w:rsidRPr="00610127">
        <w:t>.</w:t>
      </w:r>
    </w:p>
    <w:p w14:paraId="03F0E69A" w14:textId="77777777" w:rsidR="00276FFF" w:rsidRPr="00610127" w:rsidRDefault="00276FFF" w:rsidP="00217650">
      <w:r w:rsidRPr="00610127">
        <w:t>1.6</w:t>
      </w:r>
      <w:r w:rsidRPr="00610127">
        <w:tab/>
      </w:r>
      <w:r w:rsidR="004E7634" w:rsidRPr="00610127">
        <w:t xml:space="preserve">Le </w:t>
      </w:r>
      <w:r w:rsidR="00604ACB" w:rsidRPr="00610127">
        <w:t>P</w:t>
      </w:r>
      <w:r w:rsidR="004E7634" w:rsidRPr="00610127">
        <w:t>résident du GCT</w:t>
      </w:r>
      <w:r w:rsidRPr="00610127">
        <w:t>-SFP</w:t>
      </w:r>
      <w:r w:rsidR="00797724" w:rsidRPr="00610127">
        <w:t xml:space="preserve"> </w:t>
      </w:r>
      <w:r w:rsidR="0017213C" w:rsidRPr="00610127">
        <w:t>souligne</w:t>
      </w:r>
      <w:r w:rsidR="00797724" w:rsidRPr="00610127">
        <w:t xml:space="preserve"> </w:t>
      </w:r>
      <w:r w:rsidR="004E7634" w:rsidRPr="00610127">
        <w:t>que</w:t>
      </w:r>
      <w:r w:rsidR="0017213C" w:rsidRPr="00610127">
        <w:t xml:space="preserve"> le groupe s</w:t>
      </w:r>
      <w:r w:rsidR="00B83ECD" w:rsidRPr="00610127">
        <w:t>'</w:t>
      </w:r>
      <w:r w:rsidR="0017213C" w:rsidRPr="00610127">
        <w:t>est acquitté de</w:t>
      </w:r>
      <w:r w:rsidR="00797724" w:rsidRPr="00610127">
        <w:t xml:space="preserve"> </w:t>
      </w:r>
      <w:r w:rsidR="004E7634" w:rsidRPr="00610127">
        <w:t xml:space="preserve">la principale tâche </w:t>
      </w:r>
      <w:r w:rsidR="0017213C" w:rsidRPr="00610127">
        <w:t>qui lui était confiée</w:t>
      </w:r>
      <w:r w:rsidR="004E7634" w:rsidRPr="00610127">
        <w:t xml:space="preserve">, à savoir </w:t>
      </w:r>
      <w:r w:rsidR="0017213C" w:rsidRPr="00610127">
        <w:t>établir la version finale du</w:t>
      </w:r>
      <w:r w:rsidR="00797724" w:rsidRPr="00610127">
        <w:t xml:space="preserve"> </w:t>
      </w:r>
      <w:r w:rsidR="004E7634" w:rsidRPr="00610127">
        <w:t>projet de plan stratégique avant la s</w:t>
      </w:r>
      <w:r w:rsidR="00CC1B3D" w:rsidRPr="00610127">
        <w:t>ession</w:t>
      </w:r>
      <w:r w:rsidR="004E7634" w:rsidRPr="00610127">
        <w:t xml:space="preserve"> </w:t>
      </w:r>
      <w:r w:rsidR="0017213C" w:rsidRPr="00610127">
        <w:t xml:space="preserve">actuelle </w:t>
      </w:r>
      <w:r w:rsidR="004E7634" w:rsidRPr="00610127">
        <w:t>du Conseil,</w:t>
      </w:r>
      <w:r w:rsidR="00797724" w:rsidRPr="00610127">
        <w:t xml:space="preserve"> </w:t>
      </w:r>
      <w:r w:rsidR="004E7634" w:rsidRPr="00610127">
        <w:t>et qu</w:t>
      </w:r>
      <w:r w:rsidR="00B83ECD" w:rsidRPr="00610127">
        <w:t>'</w:t>
      </w:r>
      <w:r w:rsidR="004E7634" w:rsidRPr="00610127">
        <w:t xml:space="preserve">aucune autre </w:t>
      </w:r>
      <w:r w:rsidR="0017213C" w:rsidRPr="00610127">
        <w:t>activité</w:t>
      </w:r>
      <w:r w:rsidR="00797724" w:rsidRPr="00610127">
        <w:t xml:space="preserve"> </w:t>
      </w:r>
      <w:r w:rsidR="004E7634" w:rsidRPr="00610127">
        <w:t>n</w:t>
      </w:r>
      <w:r w:rsidR="00B83ECD" w:rsidRPr="00610127">
        <w:t>'</w:t>
      </w:r>
      <w:r w:rsidR="004E7634" w:rsidRPr="00610127">
        <w:t>est prévue</w:t>
      </w:r>
      <w:r w:rsidRPr="00610127">
        <w:t xml:space="preserve">. </w:t>
      </w:r>
      <w:r w:rsidR="0017213C" w:rsidRPr="00610127">
        <w:t>Il est certes regrettable que</w:t>
      </w:r>
      <w:r w:rsidR="00965218" w:rsidRPr="00610127">
        <w:t xml:space="preserve"> la CMDT</w:t>
      </w:r>
      <w:r w:rsidR="0052416A" w:rsidRPr="00610127">
        <w:t>, dont les dates ont été reportées,</w:t>
      </w:r>
      <w:r w:rsidR="00965218" w:rsidRPr="00610127">
        <w:t xml:space="preserve"> se tienne après la session du Conseil</w:t>
      </w:r>
      <w:r w:rsidRPr="00610127">
        <w:t xml:space="preserve">, </w:t>
      </w:r>
      <w:r w:rsidR="0052416A" w:rsidRPr="00610127">
        <w:t xml:space="preserve">mais </w:t>
      </w:r>
      <w:r w:rsidR="00965218" w:rsidRPr="00610127">
        <w:t>la contribution de l</w:t>
      </w:r>
      <w:r w:rsidR="00B83ECD" w:rsidRPr="00610127">
        <w:t>'</w:t>
      </w:r>
      <w:r w:rsidR="00ED7560" w:rsidRPr="00610127">
        <w:t>UIT-D</w:t>
      </w:r>
      <w:r w:rsidRPr="00610127">
        <w:t xml:space="preserve"> </w:t>
      </w:r>
      <w:r w:rsidR="00965218" w:rsidRPr="00610127">
        <w:t>a</w:t>
      </w:r>
      <w:r w:rsidR="00797724" w:rsidRPr="00610127">
        <w:t xml:space="preserve"> </w:t>
      </w:r>
      <w:r w:rsidR="00965218" w:rsidRPr="00610127">
        <w:t xml:space="preserve">été </w:t>
      </w:r>
      <w:r w:rsidR="0052416A" w:rsidRPr="00610127">
        <w:t xml:space="preserve">dûment </w:t>
      </w:r>
      <w:r w:rsidR="00965218" w:rsidRPr="00610127">
        <w:t>prise en compte lors de</w:t>
      </w:r>
      <w:r w:rsidR="00797724" w:rsidRPr="00610127">
        <w:t xml:space="preserve"> </w:t>
      </w:r>
      <w:r w:rsidR="0052416A" w:rsidRPr="00610127">
        <w:t>l</w:t>
      </w:r>
      <w:r w:rsidR="00B83ECD" w:rsidRPr="00610127">
        <w:t>'</w:t>
      </w:r>
      <w:r w:rsidR="0052416A" w:rsidRPr="00610127">
        <w:t>élaboration</w:t>
      </w:r>
      <w:r w:rsidR="00965218" w:rsidRPr="00610127">
        <w:t xml:space="preserve"> du projet</w:t>
      </w:r>
      <w:r w:rsidRPr="00610127">
        <w:t>.</w:t>
      </w:r>
    </w:p>
    <w:p w14:paraId="4BCB6588" w14:textId="77777777" w:rsidR="00276FFF" w:rsidRPr="00610127" w:rsidRDefault="00276FFF" w:rsidP="00217650">
      <w:r w:rsidRPr="00610127">
        <w:t>1.7</w:t>
      </w:r>
      <w:r w:rsidRPr="00610127">
        <w:tab/>
      </w:r>
      <w:r w:rsidR="008376C3" w:rsidRPr="00610127">
        <w:t>Le représentant du Secrétariat gé</w:t>
      </w:r>
      <w:r w:rsidRPr="00610127">
        <w:t>n</w:t>
      </w:r>
      <w:r w:rsidR="008376C3" w:rsidRPr="00610127">
        <w:t>é</w:t>
      </w:r>
      <w:r w:rsidRPr="00610127">
        <w:t xml:space="preserve">ral </w:t>
      </w:r>
      <w:r w:rsidR="008376C3" w:rsidRPr="00610127">
        <w:t>précise que, d</w:t>
      </w:r>
      <w:r w:rsidR="00B83ECD" w:rsidRPr="00610127">
        <w:t>'</w:t>
      </w:r>
      <w:r w:rsidR="008376C3" w:rsidRPr="00610127">
        <w:t xml:space="preserve">un point de vue réglementaire, le projet de plan stratégique doit être soumis à la </w:t>
      </w:r>
      <w:r w:rsidRPr="00610127">
        <w:t xml:space="preserve">PP </w:t>
      </w:r>
      <w:r w:rsidR="008376C3" w:rsidRPr="00610127">
        <w:t>quatre mois à l</w:t>
      </w:r>
      <w:r w:rsidR="00B83ECD" w:rsidRPr="00610127">
        <w:t>'</w:t>
      </w:r>
      <w:r w:rsidR="008376C3" w:rsidRPr="00610127">
        <w:t>avance</w:t>
      </w:r>
      <w:r w:rsidRPr="00610127">
        <w:t xml:space="preserve">. </w:t>
      </w:r>
      <w:r w:rsidR="008376C3" w:rsidRPr="00610127">
        <w:t xml:space="preserve">Il incombe aux États </w:t>
      </w:r>
      <w:r w:rsidR="00B47C91" w:rsidRPr="00610127">
        <w:t xml:space="preserve">Membres </w:t>
      </w:r>
      <w:r w:rsidR="008376C3" w:rsidRPr="00610127">
        <w:t xml:space="preserve">de décider comment les </w:t>
      </w:r>
      <w:r w:rsidRPr="00610127">
        <w:t xml:space="preserve">contributions </w:t>
      </w:r>
      <w:r w:rsidR="00174E95" w:rsidRPr="00610127">
        <w:t xml:space="preserve">émanant </w:t>
      </w:r>
      <w:r w:rsidR="008376C3" w:rsidRPr="00610127">
        <w:t>de</w:t>
      </w:r>
      <w:r w:rsidR="00174E95" w:rsidRPr="00610127">
        <w:t>s</w:t>
      </w:r>
      <w:r w:rsidR="008376C3" w:rsidRPr="00610127">
        <w:t xml:space="preserve"> </w:t>
      </w:r>
      <w:r w:rsidRPr="00610127">
        <w:t>conf</w:t>
      </w:r>
      <w:r w:rsidR="008376C3" w:rsidRPr="00610127">
        <w:t>é</w:t>
      </w:r>
      <w:r w:rsidRPr="00610127">
        <w:t xml:space="preserve">rences </w:t>
      </w:r>
      <w:r w:rsidR="00174E95" w:rsidRPr="00610127">
        <w:t>q</w:t>
      </w:r>
      <w:r w:rsidR="00797724" w:rsidRPr="00610127">
        <w:t>u</w:t>
      </w:r>
      <w:r w:rsidR="00174E95" w:rsidRPr="00610127">
        <w:t>i se tiennent dans l</w:t>
      </w:r>
      <w:r w:rsidR="00B83ECD" w:rsidRPr="00610127">
        <w:t>'</w:t>
      </w:r>
      <w:r w:rsidR="00174E95" w:rsidRPr="00610127">
        <w:t>intervalle</w:t>
      </w:r>
      <w:r w:rsidR="00797724" w:rsidRPr="00610127">
        <w:t xml:space="preserve"> </w:t>
      </w:r>
      <w:r w:rsidR="008376C3" w:rsidRPr="00610127">
        <w:t xml:space="preserve">peuvent être soumises à la </w:t>
      </w:r>
      <w:r w:rsidRPr="00610127">
        <w:t xml:space="preserve">PP. </w:t>
      </w:r>
      <w:r w:rsidR="008376C3" w:rsidRPr="00610127">
        <w:t xml:space="preserve">Le </w:t>
      </w:r>
      <w:r w:rsidR="00174E95" w:rsidRPr="00610127">
        <w:t xml:space="preserve">secrétariat </w:t>
      </w:r>
      <w:r w:rsidR="008376C3" w:rsidRPr="00610127">
        <w:t xml:space="preserve">fournira </w:t>
      </w:r>
      <w:r w:rsidR="00174E95" w:rsidRPr="00610127">
        <w:t>tout</w:t>
      </w:r>
      <w:r w:rsidR="00797724" w:rsidRPr="00610127">
        <w:t xml:space="preserve"> </w:t>
      </w:r>
      <w:r w:rsidR="00174E95" w:rsidRPr="00610127">
        <w:t>l</w:t>
      </w:r>
      <w:r w:rsidR="00B83ECD" w:rsidRPr="00610127">
        <w:t>'</w:t>
      </w:r>
      <w:r w:rsidR="00174E95" w:rsidRPr="00610127">
        <w:t xml:space="preserve">appui </w:t>
      </w:r>
      <w:r w:rsidR="008376C3" w:rsidRPr="00610127">
        <w:t>nécessaire</w:t>
      </w:r>
      <w:r w:rsidRPr="00610127">
        <w:t>.</w:t>
      </w:r>
    </w:p>
    <w:p w14:paraId="5502E61A" w14:textId="77777777" w:rsidR="00276FFF" w:rsidRPr="00610127" w:rsidRDefault="00276FFF" w:rsidP="00217650">
      <w:r w:rsidRPr="00610127">
        <w:t>1.8</w:t>
      </w:r>
      <w:r w:rsidRPr="00610127">
        <w:tab/>
      </w:r>
      <w:r w:rsidR="009A2782" w:rsidRPr="00610127">
        <w:t>Le Directeur du</w:t>
      </w:r>
      <w:r w:rsidRPr="00610127">
        <w:t xml:space="preserve"> BR </w:t>
      </w:r>
      <w:r w:rsidR="009A2782" w:rsidRPr="00610127">
        <w:t>rappelle qu</w:t>
      </w:r>
      <w:r w:rsidR="00B83ECD" w:rsidRPr="00610127">
        <w:t>'</w:t>
      </w:r>
      <w:r w:rsidR="00174E95" w:rsidRPr="00610127">
        <w:t>à des occasions précédentes</w:t>
      </w:r>
      <w:r w:rsidR="009A2782" w:rsidRPr="00610127">
        <w:t>, lorsque la CMDT s</w:t>
      </w:r>
      <w:r w:rsidR="00B83ECD" w:rsidRPr="00610127">
        <w:t>'</w:t>
      </w:r>
      <w:r w:rsidR="009A2782" w:rsidRPr="00610127">
        <w:t>est tenue après la session du Conseil</w:t>
      </w:r>
      <w:r w:rsidRPr="00610127">
        <w:t xml:space="preserve"> </w:t>
      </w:r>
      <w:r w:rsidR="003548AF" w:rsidRPr="00610127">
        <w:t>lors de</w:t>
      </w:r>
      <w:r w:rsidR="00797724" w:rsidRPr="00610127">
        <w:t xml:space="preserve"> </w:t>
      </w:r>
      <w:r w:rsidR="009A2782" w:rsidRPr="00610127">
        <w:t>l</w:t>
      </w:r>
      <w:r w:rsidR="00B83ECD" w:rsidRPr="00610127">
        <w:t>'</w:t>
      </w:r>
      <w:r w:rsidR="009A2782" w:rsidRPr="00610127">
        <w:t xml:space="preserve">année </w:t>
      </w:r>
      <w:r w:rsidR="00174E95" w:rsidRPr="00610127">
        <w:rPr>
          <w:color w:val="000000"/>
        </w:rPr>
        <w:t>où a lieu une</w:t>
      </w:r>
      <w:r w:rsidR="00797724" w:rsidRPr="00610127">
        <w:rPr>
          <w:color w:val="000000"/>
        </w:rPr>
        <w:t xml:space="preserve"> </w:t>
      </w:r>
      <w:r w:rsidR="009A2782" w:rsidRPr="00610127">
        <w:t>Conférence de plénipotentiaires</w:t>
      </w:r>
      <w:r w:rsidRPr="00610127">
        <w:t xml:space="preserve">, </w:t>
      </w:r>
      <w:r w:rsidR="009A2782" w:rsidRPr="00610127">
        <w:t>la contribution de l</w:t>
      </w:r>
      <w:r w:rsidR="00B83ECD" w:rsidRPr="00610127">
        <w:t>'</w:t>
      </w:r>
      <w:r w:rsidR="00ED7560" w:rsidRPr="00610127">
        <w:t>UIT-D</w:t>
      </w:r>
      <w:r w:rsidR="009A2782" w:rsidRPr="00610127">
        <w:t xml:space="preserve"> au projet stratégique a été examinée et adoptée</w:t>
      </w:r>
      <w:r w:rsidR="00797724" w:rsidRPr="00610127">
        <w:t xml:space="preserve"> </w:t>
      </w:r>
      <w:r w:rsidR="003548AF" w:rsidRPr="00610127">
        <w:t>par</w:t>
      </w:r>
      <w:r w:rsidR="009A2782" w:rsidRPr="00610127">
        <w:t xml:space="preserve"> la </w:t>
      </w:r>
      <w:r w:rsidRPr="00610127">
        <w:t>PP</w:t>
      </w:r>
      <w:r w:rsidR="00ED7560" w:rsidRPr="00610127">
        <w:t xml:space="preserve"> </w:t>
      </w:r>
      <w:r w:rsidR="00174E95" w:rsidRPr="00610127">
        <w:t>proprement dite</w:t>
      </w:r>
      <w:r w:rsidRPr="00610127">
        <w:t xml:space="preserve">. </w:t>
      </w:r>
      <w:r w:rsidR="000216BB" w:rsidRPr="00610127">
        <w:t>Il convient également de souligner que</w:t>
      </w:r>
      <w:r w:rsidR="00ED7560" w:rsidRPr="00610127">
        <w:t xml:space="preserve">, même si </w:t>
      </w:r>
      <w:r w:rsidR="00A81DBD" w:rsidRPr="00610127">
        <w:t xml:space="preserve">des éléments </w:t>
      </w:r>
      <w:r w:rsidR="00990D2E" w:rsidRPr="00610127">
        <w:t xml:space="preserve">peuvent évidemment </w:t>
      </w:r>
      <w:r w:rsidR="00ED7560" w:rsidRPr="00610127">
        <w:t xml:space="preserve">être </w:t>
      </w:r>
      <w:r w:rsidR="00A81DBD" w:rsidRPr="00610127">
        <w:t>ajoutés ou modifiés lors de la CMDT</w:t>
      </w:r>
      <w:r w:rsidR="00ED7560" w:rsidRPr="00610127">
        <w:t>,</w:t>
      </w:r>
      <w:r w:rsidRPr="00610127">
        <w:t xml:space="preserve"> </w:t>
      </w:r>
      <w:r w:rsidR="000216BB" w:rsidRPr="00610127">
        <w:t>les contributions de l</w:t>
      </w:r>
      <w:r w:rsidR="00B83ECD" w:rsidRPr="00610127">
        <w:t>'</w:t>
      </w:r>
      <w:r w:rsidR="00ED7560" w:rsidRPr="00610127">
        <w:t>UIT-D</w:t>
      </w:r>
      <w:r w:rsidRPr="00610127">
        <w:t xml:space="preserve"> </w:t>
      </w:r>
      <w:r w:rsidR="000216BB" w:rsidRPr="00610127">
        <w:t>découlant de réunions du GCDT</w:t>
      </w:r>
      <w:r w:rsidRPr="00610127">
        <w:t xml:space="preserve"> </w:t>
      </w:r>
      <w:r w:rsidR="000216BB" w:rsidRPr="00610127">
        <w:t>ont déjà été prises en compt</w:t>
      </w:r>
      <w:r w:rsidR="00A81DBD" w:rsidRPr="00610127">
        <w:t>e</w:t>
      </w:r>
      <w:r w:rsidR="00174E95" w:rsidRPr="00610127">
        <w:t>, de sorte qu</w:t>
      </w:r>
      <w:r w:rsidR="00B83ECD" w:rsidRPr="00610127">
        <w:t>'</w:t>
      </w:r>
      <w:r w:rsidR="00174E95" w:rsidRPr="00610127">
        <w:t>une bonne harmonisation</w:t>
      </w:r>
      <w:r w:rsidR="00797724" w:rsidRPr="00610127">
        <w:t xml:space="preserve"> </w:t>
      </w:r>
      <w:r w:rsidR="00990D2E" w:rsidRPr="00610127">
        <w:t>devrai</w:t>
      </w:r>
      <w:r w:rsidR="003548AF" w:rsidRPr="00610127">
        <w:t>t déjà exister</w:t>
      </w:r>
      <w:r w:rsidR="00797724" w:rsidRPr="00610127">
        <w:t>.</w:t>
      </w:r>
    </w:p>
    <w:p w14:paraId="6B424929" w14:textId="77777777" w:rsidR="00276FFF" w:rsidRPr="00610127" w:rsidRDefault="00276FFF" w:rsidP="00217650">
      <w:r w:rsidRPr="00610127">
        <w:t>1.9</w:t>
      </w:r>
      <w:r w:rsidRPr="00610127">
        <w:tab/>
      </w:r>
      <w:r w:rsidR="00B8081D" w:rsidRPr="00610127">
        <w:t>Un conseiller met en avant que la CMDT est l</w:t>
      </w:r>
      <w:r w:rsidR="00B83ECD" w:rsidRPr="00610127">
        <w:t>'</w:t>
      </w:r>
      <w:r w:rsidR="00B8081D" w:rsidRPr="00610127">
        <w:t>organe suprême de l</w:t>
      </w:r>
      <w:r w:rsidR="00B83ECD" w:rsidRPr="00610127">
        <w:t>'</w:t>
      </w:r>
      <w:r w:rsidR="00393CA3" w:rsidRPr="00610127">
        <w:t>UIT</w:t>
      </w:r>
      <w:r w:rsidRPr="00610127">
        <w:t xml:space="preserve">-D </w:t>
      </w:r>
      <w:r w:rsidR="00B8081D" w:rsidRPr="00610127">
        <w:t xml:space="preserve">et que ses commentaires sur le projet de plan stratégique peuvent être transmis directement à la </w:t>
      </w:r>
      <w:r w:rsidRPr="00610127">
        <w:t xml:space="preserve">PP </w:t>
      </w:r>
      <w:r w:rsidR="00393CA3" w:rsidRPr="00610127">
        <w:t xml:space="preserve">et </w:t>
      </w:r>
      <w:r w:rsidR="00D64894" w:rsidRPr="00610127">
        <w:t>débattus lors de celle-ci</w:t>
      </w:r>
      <w:r w:rsidRPr="00610127">
        <w:t xml:space="preserve">, </w:t>
      </w:r>
      <w:r w:rsidR="00D64894" w:rsidRPr="00610127">
        <w:t xml:space="preserve">comme cela </w:t>
      </w:r>
      <w:r w:rsidR="00393CA3" w:rsidRPr="00610127">
        <w:t xml:space="preserve">a </w:t>
      </w:r>
      <w:r w:rsidR="00D64894" w:rsidRPr="00610127">
        <w:t>déjà été le cas</w:t>
      </w:r>
      <w:r w:rsidRPr="00610127">
        <w:t xml:space="preserve">. </w:t>
      </w:r>
      <w:r w:rsidR="00B8081D" w:rsidRPr="00610127">
        <w:t xml:space="preserve">Une autre conseillère </w:t>
      </w:r>
      <w:r w:rsidR="002A21E5" w:rsidRPr="00610127">
        <w:t xml:space="preserve">déclare pouvoir </w:t>
      </w:r>
      <w:r w:rsidR="003548AF" w:rsidRPr="00610127">
        <w:t xml:space="preserve">se rallier à </w:t>
      </w:r>
      <w:r w:rsidR="002A21E5" w:rsidRPr="00610127">
        <w:t xml:space="preserve">cette </w:t>
      </w:r>
      <w:r w:rsidR="003548AF" w:rsidRPr="00610127">
        <w:t>manière de procéder</w:t>
      </w:r>
      <w:r w:rsidRPr="00610127">
        <w:t xml:space="preserve">, </w:t>
      </w:r>
      <w:r w:rsidR="002A21E5" w:rsidRPr="00610127">
        <w:t xml:space="preserve">étant entendu que les contributions au projet de plan </w:t>
      </w:r>
      <w:r w:rsidRPr="00610127">
        <w:t>strat</w:t>
      </w:r>
      <w:r w:rsidR="002A21E5" w:rsidRPr="00610127">
        <w:t>é</w:t>
      </w:r>
      <w:r w:rsidRPr="00610127">
        <w:t>gi</w:t>
      </w:r>
      <w:r w:rsidR="002A21E5" w:rsidRPr="00610127">
        <w:t>que</w:t>
      </w:r>
      <w:r w:rsidRPr="00610127">
        <w:t xml:space="preserve"> </w:t>
      </w:r>
      <w:r w:rsidR="002A21E5" w:rsidRPr="00610127">
        <w:t>émanant d</w:t>
      </w:r>
      <w:r w:rsidR="004501F5" w:rsidRPr="00610127">
        <w:t>e la</w:t>
      </w:r>
      <w:r w:rsidR="002A21E5" w:rsidRPr="00610127">
        <w:t xml:space="preserve"> CMDT</w:t>
      </w:r>
      <w:r w:rsidR="00797724" w:rsidRPr="00610127">
        <w:t xml:space="preserve"> </w:t>
      </w:r>
      <w:r w:rsidR="003548AF" w:rsidRPr="00610127">
        <w:t>pourront</w:t>
      </w:r>
      <w:r w:rsidR="00797724" w:rsidRPr="00610127">
        <w:t xml:space="preserve"> </w:t>
      </w:r>
      <w:r w:rsidR="002A21E5" w:rsidRPr="00610127">
        <w:t xml:space="preserve">être </w:t>
      </w:r>
      <w:r w:rsidR="00BF7854" w:rsidRPr="00610127">
        <w:t>diffusées par le</w:t>
      </w:r>
      <w:r w:rsidR="002966BB" w:rsidRPr="00610127">
        <w:t xml:space="preserve"> S</w:t>
      </w:r>
      <w:r w:rsidRPr="00610127">
        <w:t>ecr</w:t>
      </w:r>
      <w:r w:rsidR="002966BB" w:rsidRPr="00610127">
        <w:t>é</w:t>
      </w:r>
      <w:r w:rsidRPr="00610127">
        <w:t>tariat</w:t>
      </w:r>
      <w:r w:rsidR="00B47C91" w:rsidRPr="00610127">
        <w:t xml:space="preserve"> </w:t>
      </w:r>
      <w:r w:rsidR="002966BB" w:rsidRPr="00610127">
        <w:t>afin de permettre</w:t>
      </w:r>
      <w:r w:rsidR="00797724" w:rsidRPr="00610127">
        <w:t xml:space="preserve"> </w:t>
      </w:r>
      <w:r w:rsidR="002966BB" w:rsidRPr="00610127">
        <w:t xml:space="preserve">des </w:t>
      </w:r>
      <w:r w:rsidRPr="00610127">
        <w:t>discussion</w:t>
      </w:r>
      <w:r w:rsidR="002966BB" w:rsidRPr="00610127">
        <w:t>s</w:t>
      </w:r>
      <w:r w:rsidRPr="00610127">
        <w:t xml:space="preserve"> </w:t>
      </w:r>
      <w:r w:rsidR="002966BB" w:rsidRPr="00610127">
        <w:t xml:space="preserve">par </w:t>
      </w:r>
      <w:r w:rsidRPr="00610127">
        <w:t>correspond</w:t>
      </w:r>
      <w:r w:rsidR="002966BB" w:rsidRPr="00610127">
        <w:t>a</w:t>
      </w:r>
      <w:r w:rsidRPr="00610127">
        <w:t xml:space="preserve">nce </w:t>
      </w:r>
      <w:r w:rsidR="002966BB" w:rsidRPr="00610127">
        <w:t xml:space="preserve">en vue de la </w:t>
      </w:r>
      <w:r w:rsidRPr="00610127">
        <w:t>PP.</w:t>
      </w:r>
    </w:p>
    <w:p w14:paraId="68FDA24D" w14:textId="77777777" w:rsidR="00276FFF" w:rsidRPr="00610127" w:rsidRDefault="00276FFF" w:rsidP="00217650">
      <w:r w:rsidRPr="00610127">
        <w:t>1.10</w:t>
      </w:r>
      <w:r w:rsidRPr="00610127">
        <w:tab/>
      </w:r>
      <w:r w:rsidR="00A47F82" w:rsidRPr="00610127">
        <w:t xml:space="preserve">Le </w:t>
      </w:r>
      <w:r w:rsidRPr="00610127">
        <w:t>S</w:t>
      </w:r>
      <w:r w:rsidR="00A47F82" w:rsidRPr="00610127">
        <w:t>e</w:t>
      </w:r>
      <w:r w:rsidRPr="00610127">
        <w:t>cr</w:t>
      </w:r>
      <w:r w:rsidR="00A47F82" w:rsidRPr="00610127">
        <w:t>é</w:t>
      </w:r>
      <w:r w:rsidRPr="00610127">
        <w:t>ta</w:t>
      </w:r>
      <w:r w:rsidR="00A47F82" w:rsidRPr="00610127">
        <w:t xml:space="preserve">ire général </w:t>
      </w:r>
      <w:r w:rsidR="003548AF" w:rsidRPr="00610127">
        <w:t xml:space="preserve">souligne </w:t>
      </w:r>
      <w:r w:rsidR="00A47F82" w:rsidRPr="00610127">
        <w:t>que la contribution de l</w:t>
      </w:r>
      <w:r w:rsidR="00B83ECD" w:rsidRPr="00610127">
        <w:t>'</w:t>
      </w:r>
      <w:r w:rsidR="00ED7560" w:rsidRPr="00610127">
        <w:t>UIT-D</w:t>
      </w:r>
      <w:r w:rsidRPr="00610127">
        <w:t xml:space="preserve"> </w:t>
      </w:r>
      <w:r w:rsidR="00A47F82" w:rsidRPr="00610127">
        <w:t>est</w:t>
      </w:r>
      <w:r w:rsidR="00797724" w:rsidRPr="00610127">
        <w:t xml:space="preserve"> </w:t>
      </w:r>
      <w:r w:rsidR="003548AF" w:rsidRPr="00610127">
        <w:t>primordiale</w:t>
      </w:r>
      <w:r w:rsidRPr="00610127">
        <w:t xml:space="preserve">. </w:t>
      </w:r>
      <w:r w:rsidR="00A47F82" w:rsidRPr="00610127">
        <w:t>Même si</w:t>
      </w:r>
      <w:r w:rsidR="00797724" w:rsidRPr="00610127">
        <w:t xml:space="preserve"> </w:t>
      </w:r>
      <w:r w:rsidR="003548AF" w:rsidRPr="00610127">
        <w:t xml:space="preserve">les vues </w:t>
      </w:r>
      <w:r w:rsidR="00A47F82" w:rsidRPr="00610127">
        <w:t>du Secteur</w:t>
      </w:r>
      <w:r w:rsidR="00797724" w:rsidRPr="00610127">
        <w:t xml:space="preserve"> </w:t>
      </w:r>
      <w:r w:rsidR="003548AF" w:rsidRPr="00610127">
        <w:t xml:space="preserve">ont </w:t>
      </w:r>
      <w:r w:rsidR="00A47F82" w:rsidRPr="00610127">
        <w:t>déjà</w:t>
      </w:r>
      <w:r w:rsidR="003F12F9" w:rsidRPr="00610127">
        <w:t xml:space="preserve"> été</w:t>
      </w:r>
      <w:r w:rsidR="00A47F82" w:rsidRPr="00610127">
        <w:t xml:space="preserve"> prise</w:t>
      </w:r>
      <w:r w:rsidR="00010C6D" w:rsidRPr="00610127">
        <w:t>s</w:t>
      </w:r>
      <w:r w:rsidR="00A47F82" w:rsidRPr="00610127">
        <w:t xml:space="preserve"> en compte </w:t>
      </w:r>
      <w:r w:rsidR="003548AF" w:rsidRPr="00610127">
        <w:t>lors de l</w:t>
      </w:r>
      <w:r w:rsidR="00B83ECD" w:rsidRPr="00610127">
        <w:t>'</w:t>
      </w:r>
      <w:r w:rsidR="003548AF" w:rsidRPr="00610127">
        <w:t>élaboration</w:t>
      </w:r>
      <w:r w:rsidR="00797724" w:rsidRPr="00610127">
        <w:t xml:space="preserve"> </w:t>
      </w:r>
      <w:r w:rsidR="00A47F82" w:rsidRPr="00610127">
        <w:t>du projet</w:t>
      </w:r>
      <w:r w:rsidRPr="00610127">
        <w:t xml:space="preserve">, </w:t>
      </w:r>
      <w:r w:rsidR="004501F5" w:rsidRPr="00610127">
        <w:t xml:space="preserve">le Secrétaire </w:t>
      </w:r>
      <w:r w:rsidR="00231620" w:rsidRPr="00610127">
        <w:t xml:space="preserve">général </w:t>
      </w:r>
      <w:r w:rsidR="00753B53" w:rsidRPr="00610127">
        <w:t>est favorable à</w:t>
      </w:r>
      <w:r w:rsidR="00A47F82" w:rsidRPr="00610127">
        <w:t xml:space="preserve"> l</w:t>
      </w:r>
      <w:r w:rsidR="00B83ECD" w:rsidRPr="00610127">
        <w:t>'</w:t>
      </w:r>
      <w:r w:rsidRPr="00610127">
        <w:t>id</w:t>
      </w:r>
      <w:r w:rsidR="00A47F82" w:rsidRPr="00610127">
        <w:t>ée</w:t>
      </w:r>
      <w:r w:rsidRPr="00610127">
        <w:t xml:space="preserve"> </w:t>
      </w:r>
      <w:r w:rsidR="00753B53" w:rsidRPr="00610127">
        <w:t xml:space="preserve">que la CMDT apporte une contribution </w:t>
      </w:r>
      <w:r w:rsidRPr="00610127">
        <w:t>sp</w:t>
      </w:r>
      <w:r w:rsidR="00753B53" w:rsidRPr="00610127">
        <w:t>é</w:t>
      </w:r>
      <w:r w:rsidRPr="00610127">
        <w:t>cifi</w:t>
      </w:r>
      <w:r w:rsidR="00753B53" w:rsidRPr="00610127">
        <w:t>que</w:t>
      </w:r>
      <w:r w:rsidRPr="00610127">
        <w:t xml:space="preserve"> </w:t>
      </w:r>
      <w:r w:rsidR="00753B53" w:rsidRPr="00610127">
        <w:t xml:space="preserve">pour la </w:t>
      </w:r>
      <w:r w:rsidRPr="00610127">
        <w:t xml:space="preserve">PP. </w:t>
      </w:r>
      <w:r w:rsidR="003548AF" w:rsidRPr="00610127">
        <w:t>Il fait</w:t>
      </w:r>
      <w:r w:rsidR="00797724" w:rsidRPr="00610127">
        <w:t xml:space="preserve"> </w:t>
      </w:r>
      <w:r w:rsidR="003548AF" w:rsidRPr="00610127">
        <w:t>également observer</w:t>
      </w:r>
      <w:r w:rsidR="00797724" w:rsidRPr="00610127">
        <w:t xml:space="preserve">, </w:t>
      </w:r>
      <w:r w:rsidR="003548AF" w:rsidRPr="00610127">
        <w:t>comme le</w:t>
      </w:r>
      <w:r w:rsidR="00401AA9" w:rsidRPr="00610127">
        <w:t xml:space="preserve"> </w:t>
      </w:r>
      <w:r w:rsidR="003548AF" w:rsidRPr="00610127">
        <w:t>V</w:t>
      </w:r>
      <w:r w:rsidR="00401AA9" w:rsidRPr="00610127">
        <w:t>érificateur</w:t>
      </w:r>
      <w:r w:rsidR="003548AF" w:rsidRPr="00610127">
        <w:rPr>
          <w:color w:val="000000"/>
        </w:rPr>
        <w:t xml:space="preserve"> extérieur</w:t>
      </w:r>
      <w:r w:rsidR="00797724" w:rsidRPr="00610127">
        <w:rPr>
          <w:color w:val="000000"/>
        </w:rPr>
        <w:t xml:space="preserve"> </w:t>
      </w:r>
      <w:r w:rsidR="00401AA9" w:rsidRPr="00610127">
        <w:t xml:space="preserve">et </w:t>
      </w:r>
      <w:r w:rsidR="00403FAB" w:rsidRPr="00610127">
        <w:t>le</w:t>
      </w:r>
      <w:r w:rsidR="00797724" w:rsidRPr="00610127">
        <w:t xml:space="preserve"> </w:t>
      </w:r>
      <w:r w:rsidR="00401AA9" w:rsidRPr="00610127">
        <w:t>CCIG</w:t>
      </w:r>
      <w:r w:rsidR="00403FAB" w:rsidRPr="00610127">
        <w:t xml:space="preserve"> sont présents</w:t>
      </w:r>
      <w:r w:rsidR="00401AA9" w:rsidRPr="00610127">
        <w:t xml:space="preserve">, </w:t>
      </w:r>
      <w:r w:rsidR="00403FAB" w:rsidRPr="00610127">
        <w:t xml:space="preserve">que </w:t>
      </w:r>
      <w:r w:rsidR="00401AA9" w:rsidRPr="00610127">
        <w:t>le projet de plan stratégique</w:t>
      </w:r>
      <w:r w:rsidR="00797724" w:rsidRPr="00610127">
        <w:t xml:space="preserve"> </w:t>
      </w:r>
      <w:r w:rsidR="00403FAB" w:rsidRPr="00610127">
        <w:t xml:space="preserve">peut </w:t>
      </w:r>
      <w:r w:rsidR="00401AA9" w:rsidRPr="00610127">
        <w:t xml:space="preserve">leur être transmis </w:t>
      </w:r>
      <w:r w:rsidR="00403FAB" w:rsidRPr="00610127">
        <w:t>immédiatement</w:t>
      </w:r>
      <w:r w:rsidRPr="00610127">
        <w:t>.</w:t>
      </w:r>
    </w:p>
    <w:p w14:paraId="65486047" w14:textId="77777777" w:rsidR="00276FFF" w:rsidRPr="00610127" w:rsidRDefault="00276FFF" w:rsidP="00217650">
      <w:r w:rsidRPr="00610127">
        <w:t>1.11</w:t>
      </w:r>
      <w:r w:rsidRPr="00610127">
        <w:tab/>
      </w:r>
      <w:r w:rsidR="0017550C" w:rsidRPr="00610127">
        <w:t>À la lumière des discussions</w:t>
      </w:r>
      <w:r w:rsidRPr="00610127">
        <w:t xml:space="preserve">, </w:t>
      </w:r>
      <w:r w:rsidR="0017550C" w:rsidRPr="00610127">
        <w:t xml:space="preserve">le Président considère que le </w:t>
      </w:r>
      <w:r w:rsidR="00E31512" w:rsidRPr="00610127">
        <w:t xml:space="preserve">Conseil décide de </w:t>
      </w:r>
      <w:r w:rsidR="0017550C" w:rsidRPr="00610127">
        <w:t>transmettr</w:t>
      </w:r>
      <w:r w:rsidR="00E31512" w:rsidRPr="00610127">
        <w:t>e</w:t>
      </w:r>
      <w:r w:rsidR="0017550C" w:rsidRPr="00610127">
        <w:t xml:space="preserve"> le projet de plan stratégique pour la période </w:t>
      </w:r>
      <w:r w:rsidRPr="00610127">
        <w:t>2024-2027</w:t>
      </w:r>
      <w:r w:rsidR="00797724" w:rsidRPr="00610127">
        <w:t xml:space="preserve"> </w:t>
      </w:r>
      <w:r w:rsidR="00403FAB" w:rsidRPr="00610127">
        <w:t xml:space="preserve">figurant dans le </w:t>
      </w:r>
      <w:r w:rsidRPr="00610127">
        <w:t>Document C22/27(R</w:t>
      </w:r>
      <w:r w:rsidR="00125793" w:rsidRPr="00610127">
        <w:t>é</w:t>
      </w:r>
      <w:r w:rsidRPr="00610127">
        <w:t xml:space="preserve">v.2) </w:t>
      </w:r>
      <w:r w:rsidR="0017550C" w:rsidRPr="00610127">
        <w:t xml:space="preserve">et ses </w:t>
      </w:r>
      <w:r w:rsidRPr="00610127">
        <w:t xml:space="preserve">annexes, </w:t>
      </w:r>
      <w:r w:rsidR="0017550C" w:rsidRPr="00610127">
        <w:t xml:space="preserve">y compris le projet de texte proposé </w:t>
      </w:r>
      <w:r w:rsidR="00E31512" w:rsidRPr="00610127">
        <w:t xml:space="preserve">pour le </w:t>
      </w:r>
      <w:r w:rsidR="0017550C" w:rsidRPr="00610127">
        <w:t xml:space="preserve">corps de la </w:t>
      </w:r>
      <w:r w:rsidRPr="00610127">
        <w:t>R</w:t>
      </w:r>
      <w:r w:rsidR="0017550C" w:rsidRPr="00610127">
        <w:t>é</w:t>
      </w:r>
      <w:r w:rsidRPr="00610127">
        <w:t>solution 71 (R</w:t>
      </w:r>
      <w:r w:rsidR="00125793" w:rsidRPr="00610127">
        <w:t>é</w:t>
      </w:r>
      <w:r w:rsidRPr="00610127">
        <w:t>v.</w:t>
      </w:r>
      <w:r w:rsidR="00797724" w:rsidRPr="00610127">
        <w:t> </w:t>
      </w:r>
      <w:r w:rsidRPr="00610127">
        <w:t>Bucarest,</w:t>
      </w:r>
      <w:r w:rsidR="00797724" w:rsidRPr="00610127">
        <w:t> </w:t>
      </w:r>
      <w:r w:rsidRPr="00610127">
        <w:t xml:space="preserve">2022), </w:t>
      </w:r>
      <w:r w:rsidR="0017550C" w:rsidRPr="00610127">
        <w:t>à la Conférence de plénipotentiaires</w:t>
      </w:r>
      <w:r w:rsidR="00E31512" w:rsidRPr="00610127">
        <w:t>,</w:t>
      </w:r>
      <w:r w:rsidR="00797724" w:rsidRPr="00610127">
        <w:t xml:space="preserve"> </w:t>
      </w:r>
      <w:r w:rsidR="00D20D09" w:rsidRPr="00610127">
        <w:t>d</w:t>
      </w:r>
      <w:r w:rsidR="00B83ECD" w:rsidRPr="00610127">
        <w:t>'</w:t>
      </w:r>
      <w:r w:rsidR="00D20D09" w:rsidRPr="00610127">
        <w:t xml:space="preserve">inviter le </w:t>
      </w:r>
      <w:r w:rsidR="00403FAB" w:rsidRPr="00610127">
        <w:t xml:space="preserve">secrétariat </w:t>
      </w:r>
      <w:r w:rsidR="00D20D09" w:rsidRPr="00610127">
        <w:t>à</w:t>
      </w:r>
      <w:r w:rsidR="00797724" w:rsidRPr="00610127">
        <w:t xml:space="preserve"> </w:t>
      </w:r>
      <w:r w:rsidR="00403FAB" w:rsidRPr="00610127">
        <w:t xml:space="preserve">communiquer </w:t>
      </w:r>
      <w:r w:rsidR="00D20D09" w:rsidRPr="00610127">
        <w:t xml:space="preserve">le projet de plan stratégique </w:t>
      </w:r>
      <w:r w:rsidR="00403FAB" w:rsidRPr="00610127">
        <w:t>au</w:t>
      </w:r>
      <w:r w:rsidR="00797724" w:rsidRPr="00610127">
        <w:t xml:space="preserve"> </w:t>
      </w:r>
      <w:r w:rsidR="00D20D09" w:rsidRPr="00610127">
        <w:t>CCIG et</w:t>
      </w:r>
      <w:r w:rsidR="00403FAB" w:rsidRPr="00610127">
        <w:t xml:space="preserve"> au</w:t>
      </w:r>
      <w:r w:rsidR="00797724" w:rsidRPr="00610127">
        <w:t xml:space="preserve"> </w:t>
      </w:r>
      <w:r w:rsidR="00D20D09" w:rsidRPr="00610127">
        <w:t xml:space="preserve">Vérificateur extérieur </w:t>
      </w:r>
      <w:r w:rsidR="00017265" w:rsidRPr="00610127">
        <w:t>pour observations</w:t>
      </w:r>
      <w:r w:rsidR="00797724" w:rsidRPr="00610127">
        <w:t xml:space="preserve"> </w:t>
      </w:r>
      <w:r w:rsidR="00017265" w:rsidRPr="00610127">
        <w:t>et</w:t>
      </w:r>
      <w:r w:rsidR="00797724" w:rsidRPr="00610127">
        <w:t xml:space="preserve"> </w:t>
      </w:r>
      <w:r w:rsidR="00D20D09" w:rsidRPr="00610127">
        <w:t>que les conclusions de la CMDT</w:t>
      </w:r>
      <w:r w:rsidRPr="00610127">
        <w:t xml:space="preserve"> </w:t>
      </w:r>
      <w:r w:rsidR="00D20D09" w:rsidRPr="00610127">
        <w:t xml:space="preserve">relatives au plan </w:t>
      </w:r>
      <w:r w:rsidRPr="00610127">
        <w:t>strat</w:t>
      </w:r>
      <w:r w:rsidR="00D20D09" w:rsidRPr="00610127">
        <w:t>é</w:t>
      </w:r>
      <w:r w:rsidRPr="00610127">
        <w:t>gi</w:t>
      </w:r>
      <w:r w:rsidR="00D20D09" w:rsidRPr="00610127">
        <w:t>que</w:t>
      </w:r>
      <w:r w:rsidRPr="00610127">
        <w:t xml:space="preserve"> </w:t>
      </w:r>
      <w:r w:rsidR="00D20D09" w:rsidRPr="00610127">
        <w:t>seront transmise</w:t>
      </w:r>
      <w:r w:rsidR="00E31512" w:rsidRPr="00610127">
        <w:t>s</w:t>
      </w:r>
      <w:r w:rsidR="00D20D09" w:rsidRPr="00610127">
        <w:t xml:space="preserve"> </w:t>
      </w:r>
      <w:r w:rsidRPr="00610127">
        <w:t>direct</w:t>
      </w:r>
      <w:r w:rsidR="00711CF2" w:rsidRPr="00610127">
        <w:t>ement</w:t>
      </w:r>
      <w:r w:rsidRPr="00610127">
        <w:t xml:space="preserve"> </w:t>
      </w:r>
      <w:r w:rsidR="00711CF2" w:rsidRPr="00610127">
        <w:t>à la Conférence de plénipotentiaires en vue de leur examen</w:t>
      </w:r>
      <w:r w:rsidRPr="00610127">
        <w:t>.</w:t>
      </w:r>
    </w:p>
    <w:p w14:paraId="24A26ABF" w14:textId="77777777" w:rsidR="00276FFF" w:rsidRPr="00610127" w:rsidRDefault="00276FFF" w:rsidP="00217650">
      <w:r w:rsidRPr="00610127">
        <w:t>1.12</w:t>
      </w:r>
      <w:r w:rsidRPr="00610127">
        <w:tab/>
      </w:r>
      <w:r w:rsidRPr="00610127">
        <w:rPr>
          <w:rFonts w:eastAsia="MS Mincho"/>
        </w:rPr>
        <w:t xml:space="preserve">Il en est ainsi </w:t>
      </w:r>
      <w:r w:rsidRPr="00610127">
        <w:rPr>
          <w:rFonts w:eastAsia="MS Mincho"/>
          <w:b/>
          <w:bCs/>
        </w:rPr>
        <w:t>décidé</w:t>
      </w:r>
      <w:r w:rsidRPr="00610127">
        <w:rPr>
          <w:rFonts w:eastAsia="MS Mincho"/>
        </w:rPr>
        <w:t>.</w:t>
      </w:r>
    </w:p>
    <w:p w14:paraId="05E5EAE5" w14:textId="77777777" w:rsidR="00276FFF" w:rsidRPr="00610127" w:rsidRDefault="00276FFF" w:rsidP="00217650">
      <w:pPr>
        <w:pStyle w:val="Heading1"/>
      </w:pPr>
      <w:r w:rsidRPr="00610127">
        <w:lastRenderedPageBreak/>
        <w:t>2</w:t>
      </w:r>
      <w:r w:rsidRPr="00610127">
        <w:tab/>
        <w:t xml:space="preserve">Sommet </w:t>
      </w:r>
      <w:r w:rsidR="00231620" w:rsidRPr="00610127">
        <w:t>m</w:t>
      </w:r>
      <w:r w:rsidRPr="00610127">
        <w:t xml:space="preserve">ondial sur la </w:t>
      </w:r>
      <w:r w:rsidR="00231620" w:rsidRPr="00610127">
        <w:t>s</w:t>
      </w:r>
      <w:r w:rsidRPr="00610127">
        <w:t>ociété de l</w:t>
      </w:r>
      <w:r w:rsidR="00B83ECD" w:rsidRPr="00610127">
        <w:t>'</w:t>
      </w:r>
      <w:r w:rsidR="00231620" w:rsidRPr="00610127">
        <w:t>i</w:t>
      </w:r>
      <w:r w:rsidRPr="00610127">
        <w:t>nformation (SMSI)+20: le SMSI après</w:t>
      </w:r>
      <w:r w:rsidR="00D01E5C" w:rsidRPr="00610127">
        <w:t> </w:t>
      </w:r>
      <w:r w:rsidRPr="00610127">
        <w:t>2025 – feuille de route pour le SMSI+20 (Documents C22/59, C22/74 et</w:t>
      </w:r>
      <w:r w:rsidR="00D01E5C" w:rsidRPr="00610127">
        <w:t> </w:t>
      </w:r>
      <w:r w:rsidRPr="00610127">
        <w:t>C22/76)</w:t>
      </w:r>
    </w:p>
    <w:p w14:paraId="60710DEF" w14:textId="77777777" w:rsidR="00276FFF" w:rsidRPr="00610127" w:rsidRDefault="00276FFF" w:rsidP="00217650">
      <w:r w:rsidRPr="00610127">
        <w:t>2.1</w:t>
      </w:r>
      <w:r w:rsidRPr="00610127">
        <w:tab/>
      </w:r>
      <w:r w:rsidR="004C0E2D" w:rsidRPr="00610127">
        <w:t xml:space="preserve">La représentante du Secrétariat général présente le </w:t>
      </w:r>
      <w:r w:rsidRPr="00610127">
        <w:t xml:space="preserve">Document </w:t>
      </w:r>
      <w:hyperlink r:id="rId20" w:history="1">
        <w:r w:rsidRPr="00610127">
          <w:rPr>
            <w:rStyle w:val="Hyperlink"/>
          </w:rPr>
          <w:t>C22/59</w:t>
        </w:r>
      </w:hyperlink>
      <w:r w:rsidRPr="00610127">
        <w:t xml:space="preserve">, </w:t>
      </w:r>
      <w:r w:rsidR="004C0E2D" w:rsidRPr="00610127">
        <w:t>qui expose la feuille de route du Secrétaire général concernant le rôle que l</w:t>
      </w:r>
      <w:r w:rsidR="00B83ECD" w:rsidRPr="00610127">
        <w:t>'</w:t>
      </w:r>
      <w:r w:rsidR="004C0E2D" w:rsidRPr="00610127">
        <w:t>UIT jouera durant le processus d</w:t>
      </w:r>
      <w:r w:rsidR="00B83ECD" w:rsidRPr="00610127">
        <w:t>'</w:t>
      </w:r>
      <w:r w:rsidR="006D50F5" w:rsidRPr="00610127">
        <w:t>examen</w:t>
      </w:r>
      <w:r w:rsidR="004C0E2D" w:rsidRPr="00610127">
        <w:t xml:space="preserve"> du SMSI</w:t>
      </w:r>
      <w:r w:rsidRPr="00610127">
        <w:t xml:space="preserve">+20 </w:t>
      </w:r>
      <w:r w:rsidR="004C0E2D" w:rsidRPr="00610127">
        <w:t>et sa préparation</w:t>
      </w:r>
      <w:r w:rsidRPr="00610127">
        <w:t xml:space="preserve">, </w:t>
      </w:r>
      <w:r w:rsidR="00F2170F" w:rsidRPr="00610127">
        <w:t xml:space="preserve">y compris un calendrier répertoriant </w:t>
      </w:r>
      <w:r w:rsidR="00564279" w:rsidRPr="00610127">
        <w:t xml:space="preserve">les </w:t>
      </w:r>
      <w:r w:rsidR="00F2170F" w:rsidRPr="00610127">
        <w:t>réunions et conférences</w:t>
      </w:r>
      <w:r w:rsidR="00564279" w:rsidRPr="00610127">
        <w:t xml:space="preserve"> </w:t>
      </w:r>
      <w:r w:rsidR="000249CF" w:rsidRPr="00610127">
        <w:t>pertinentes de l</w:t>
      </w:r>
      <w:r w:rsidR="00B83ECD" w:rsidRPr="00610127">
        <w:t>'</w:t>
      </w:r>
      <w:r w:rsidR="000249CF" w:rsidRPr="00610127">
        <w:t>UIT et les autres réunions et conférences</w:t>
      </w:r>
      <w:r w:rsidRPr="00610127">
        <w:t xml:space="preserve">. </w:t>
      </w:r>
      <w:r w:rsidR="00F2170F" w:rsidRPr="00610127">
        <w:t xml:space="preserve">Une </w:t>
      </w:r>
      <w:r w:rsidR="00DF76A4" w:rsidRPr="00610127">
        <w:t>séance</w:t>
      </w:r>
      <w:r w:rsidR="00797724" w:rsidRPr="00610127">
        <w:t xml:space="preserve"> </w:t>
      </w:r>
      <w:r w:rsidR="00181E95" w:rsidRPr="00610127">
        <w:t>spéciale portant sur le</w:t>
      </w:r>
      <w:r w:rsidR="00D01E5C" w:rsidRPr="00610127">
        <w:t> </w:t>
      </w:r>
      <w:r w:rsidR="00181E95" w:rsidRPr="00610127">
        <w:t>SMSI</w:t>
      </w:r>
      <w:r w:rsidRPr="00610127">
        <w:t xml:space="preserve">+20 </w:t>
      </w:r>
      <w:r w:rsidR="00181E95" w:rsidRPr="00610127">
        <w:t>s</w:t>
      </w:r>
      <w:r w:rsidR="00B83ECD" w:rsidRPr="00610127">
        <w:t>'</w:t>
      </w:r>
      <w:r w:rsidR="00181E95" w:rsidRPr="00610127">
        <w:t xml:space="preserve">est tenue le </w:t>
      </w:r>
      <w:r w:rsidRPr="00610127">
        <w:t xml:space="preserve">24 </w:t>
      </w:r>
      <w:r w:rsidR="00181E95" w:rsidRPr="00610127">
        <w:t xml:space="preserve">mars </w:t>
      </w:r>
      <w:r w:rsidRPr="00610127">
        <w:t>2022</w:t>
      </w:r>
      <w:r w:rsidR="000249CF" w:rsidRPr="00610127">
        <w:t>,</w:t>
      </w:r>
      <w:r w:rsidR="00181E95" w:rsidRPr="00610127">
        <w:t xml:space="preserve"> sous la présidence de M. </w:t>
      </w:r>
      <w:r w:rsidRPr="00610127">
        <w:t>Mansour Al-Qurashi (Arabi</w:t>
      </w:r>
      <w:r w:rsidR="00181E95" w:rsidRPr="00610127">
        <w:t>e</w:t>
      </w:r>
      <w:r w:rsidR="00D01E5C" w:rsidRPr="00610127">
        <w:t> </w:t>
      </w:r>
      <w:r w:rsidR="00181E95" w:rsidRPr="00610127">
        <w:t>saoudite</w:t>
      </w:r>
      <w:r w:rsidRPr="00610127">
        <w:t xml:space="preserve">), </w:t>
      </w:r>
      <w:r w:rsidR="00604ACB" w:rsidRPr="00610127">
        <w:t>V</w:t>
      </w:r>
      <w:r w:rsidR="00181E95" w:rsidRPr="00610127">
        <w:t>ice-</w:t>
      </w:r>
      <w:r w:rsidR="00604ACB" w:rsidRPr="00610127">
        <w:t>P</w:t>
      </w:r>
      <w:r w:rsidR="00181E95" w:rsidRPr="00610127">
        <w:t>résident</w:t>
      </w:r>
      <w:r w:rsidRPr="00610127">
        <w:t xml:space="preserve"> </w:t>
      </w:r>
      <w:r w:rsidR="00181E95" w:rsidRPr="00610127">
        <w:t>du G</w:t>
      </w:r>
      <w:r w:rsidR="00F2170F" w:rsidRPr="00610127">
        <w:t>TC-SMSI/ODD</w:t>
      </w:r>
      <w:r w:rsidRPr="00610127">
        <w:t xml:space="preserve">, </w:t>
      </w:r>
      <w:r w:rsidR="00632FAD" w:rsidRPr="00610127">
        <w:t xml:space="preserve">dans le but </w:t>
      </w:r>
      <w:r w:rsidR="000249CF" w:rsidRPr="00610127">
        <w:t>de fournir</w:t>
      </w:r>
      <w:r w:rsidR="00797724" w:rsidRPr="00610127">
        <w:t xml:space="preserve"> </w:t>
      </w:r>
      <w:r w:rsidR="00632FAD" w:rsidRPr="00610127">
        <w:t>au Conseil de plus amples informations en ce qui concerne le processus.</w:t>
      </w:r>
    </w:p>
    <w:p w14:paraId="6C30733F" w14:textId="6EA9F293" w:rsidR="00276FFF" w:rsidRPr="00610127" w:rsidRDefault="00276FFF" w:rsidP="00217650">
      <w:r w:rsidRPr="00610127">
        <w:t>2.2</w:t>
      </w:r>
      <w:r w:rsidRPr="00610127">
        <w:tab/>
      </w:r>
      <w:r w:rsidR="00AE184A" w:rsidRPr="00610127">
        <w:t xml:space="preserve">La conseillère de la Fédération de Russie présente le </w:t>
      </w:r>
      <w:r w:rsidRPr="00610127">
        <w:t xml:space="preserve">Document </w:t>
      </w:r>
      <w:hyperlink r:id="rId21" w:history="1">
        <w:r w:rsidRPr="00610127">
          <w:rPr>
            <w:rStyle w:val="Hyperlink"/>
          </w:rPr>
          <w:t>C22/74</w:t>
        </w:r>
      </w:hyperlink>
      <w:r w:rsidRPr="00610127">
        <w:t xml:space="preserve">, </w:t>
      </w:r>
      <w:r w:rsidR="00984FC0" w:rsidRPr="00610127">
        <w:t xml:space="preserve">qui contient une </w:t>
      </w:r>
      <w:r w:rsidRPr="00610127">
        <w:t xml:space="preserve">contribution </w:t>
      </w:r>
      <w:r w:rsidR="00984FC0" w:rsidRPr="00610127">
        <w:t xml:space="preserve">de son </w:t>
      </w:r>
      <w:r w:rsidRPr="00610127">
        <w:t xml:space="preserve">administration </w:t>
      </w:r>
      <w:r w:rsidR="006A4824" w:rsidRPr="00610127">
        <w:t>proposant de</w:t>
      </w:r>
      <w:r w:rsidR="000249CF" w:rsidRPr="00610127">
        <w:t>s</w:t>
      </w:r>
      <w:r w:rsidR="006A4824" w:rsidRPr="00610127">
        <w:t xml:space="preserve"> travaux</w:t>
      </w:r>
      <w:r w:rsidR="000249CF" w:rsidRPr="00610127">
        <w:t xml:space="preserve"> futurs</w:t>
      </w:r>
      <w:r w:rsidR="006A4824" w:rsidRPr="00610127">
        <w:t xml:space="preserve"> </w:t>
      </w:r>
      <w:r w:rsidR="000249CF" w:rsidRPr="00610127">
        <w:t>concernant</w:t>
      </w:r>
      <w:r w:rsidR="006A4824" w:rsidRPr="00610127">
        <w:t xml:space="preserve"> la mise en œuvre des conclusions </w:t>
      </w:r>
      <w:r w:rsidR="00B55A05" w:rsidRPr="00610127">
        <w:t>du SMSI et</w:t>
      </w:r>
      <w:r w:rsidR="00797724" w:rsidRPr="00610127">
        <w:t xml:space="preserve"> </w:t>
      </w:r>
      <w:r w:rsidR="00B55A05" w:rsidRPr="00610127">
        <w:t>la réalisation des ODD</w:t>
      </w:r>
      <w:r w:rsidR="000249CF" w:rsidRPr="00610127">
        <w:t>, les activités</w:t>
      </w:r>
      <w:r w:rsidR="00797724" w:rsidRPr="00610127">
        <w:t xml:space="preserve"> </w:t>
      </w:r>
      <w:r w:rsidRPr="00610127">
        <w:t>pr</w:t>
      </w:r>
      <w:r w:rsidR="00B55A05" w:rsidRPr="00610127">
        <w:t>é</w:t>
      </w:r>
      <w:r w:rsidRPr="00610127">
        <w:t>parat</w:t>
      </w:r>
      <w:r w:rsidR="000249CF" w:rsidRPr="00610127">
        <w:t>oires en vue de</w:t>
      </w:r>
      <w:r w:rsidR="00B55A05" w:rsidRPr="00610127">
        <w:t xml:space="preserve"> la </w:t>
      </w:r>
      <w:r w:rsidRPr="00610127">
        <w:t xml:space="preserve">PP-22, </w:t>
      </w:r>
      <w:r w:rsidR="00B55A05" w:rsidRPr="00610127">
        <w:t xml:space="preserve">qui sera la seule </w:t>
      </w:r>
      <w:r w:rsidR="000249CF" w:rsidRPr="00610127">
        <w:t>C</w:t>
      </w:r>
      <w:r w:rsidR="00B55A05" w:rsidRPr="00610127">
        <w:t xml:space="preserve">onférence de </w:t>
      </w:r>
      <w:r w:rsidRPr="00610127">
        <w:t>pl</w:t>
      </w:r>
      <w:r w:rsidR="00B55A05" w:rsidRPr="00610127">
        <w:t>é</w:t>
      </w:r>
      <w:r w:rsidRPr="00610127">
        <w:t>nipotentia</w:t>
      </w:r>
      <w:r w:rsidR="00B55A05" w:rsidRPr="00610127">
        <w:t xml:space="preserve">ires avant </w:t>
      </w:r>
      <w:r w:rsidR="005E21AE" w:rsidRPr="00610127">
        <w:t>la réunion de haut niveau de l</w:t>
      </w:r>
      <w:r w:rsidR="00B83ECD" w:rsidRPr="00610127">
        <w:t>'</w:t>
      </w:r>
      <w:r w:rsidR="005E21AE" w:rsidRPr="00610127">
        <w:t>Assemblée générale des Nations Unies portant sur l</w:t>
      </w:r>
      <w:r w:rsidR="00B83ECD" w:rsidRPr="00610127">
        <w:t>'</w:t>
      </w:r>
      <w:r w:rsidR="005E21AE" w:rsidRPr="00610127">
        <w:t>examen d</w:t>
      </w:r>
      <w:r w:rsidR="00B83ECD" w:rsidRPr="00610127">
        <w:t>'</w:t>
      </w:r>
      <w:r w:rsidR="005E21AE" w:rsidRPr="00610127">
        <w:t>ensemble de la mise en œuvre des conclusions du SMSI</w:t>
      </w:r>
      <w:r w:rsidRPr="00610127">
        <w:t>,</w:t>
      </w:r>
      <w:r w:rsidR="000249CF" w:rsidRPr="00610127">
        <w:t xml:space="preserve"> qui</w:t>
      </w:r>
      <w:r w:rsidR="00797724" w:rsidRPr="00610127">
        <w:t xml:space="preserve"> </w:t>
      </w:r>
      <w:r w:rsidR="005E21AE" w:rsidRPr="00610127">
        <w:t xml:space="preserve">se tiendra en </w:t>
      </w:r>
      <w:r w:rsidRPr="00610127">
        <w:t>2025</w:t>
      </w:r>
      <w:r w:rsidR="000249CF" w:rsidRPr="00610127">
        <w:t xml:space="preserve">, </w:t>
      </w:r>
      <w:r w:rsidR="005E21AE" w:rsidRPr="00610127">
        <w:t xml:space="preserve">et </w:t>
      </w:r>
      <w:r w:rsidR="000249CF" w:rsidRPr="00610127">
        <w:t>les travaux préparatoires</w:t>
      </w:r>
      <w:r w:rsidRPr="00610127">
        <w:t xml:space="preserve"> </w:t>
      </w:r>
      <w:r w:rsidR="000249CF" w:rsidRPr="00610127">
        <w:t xml:space="preserve">en vue de </w:t>
      </w:r>
      <w:r w:rsidR="005E21AE" w:rsidRPr="00610127">
        <w:t>la réunion de haut niveau</w:t>
      </w:r>
      <w:r w:rsidR="00797724" w:rsidRPr="00610127">
        <w:t xml:space="preserve"> </w:t>
      </w:r>
      <w:r w:rsidR="000249CF" w:rsidRPr="00610127">
        <w:t>proprement dite</w:t>
      </w:r>
      <w:r w:rsidR="00D01E5C" w:rsidRPr="00610127">
        <w:t>.</w:t>
      </w:r>
      <w:r w:rsidR="00ED6175" w:rsidRPr="00610127">
        <w:t xml:space="preserve"> Il a été proposé d'appuyer, dans son ensemble, le projet de feuille de route de l'UIT sur le SMSI+20 et d'envisager de s'appuyer sur les réussites de la plate-forme préparatoire multi-parties prenantes du SMSI+10 en </w:t>
      </w:r>
      <w:r w:rsidR="007B2893" w:rsidRPr="00610127">
        <w:t xml:space="preserve">vue des </w:t>
      </w:r>
      <w:r w:rsidR="005E7281" w:rsidRPr="00610127">
        <w:t>préparatifs</w:t>
      </w:r>
      <w:r w:rsidR="00ED6175" w:rsidRPr="00610127">
        <w:t xml:space="preserve"> du SMSI+20 prévu en 2025.</w:t>
      </w:r>
      <w:r w:rsidR="002F235C">
        <w:t xml:space="preserve"> Le </w:t>
      </w:r>
      <w:r w:rsidR="00A60C4C" w:rsidRPr="00610127">
        <w:t>GTC</w:t>
      </w:r>
      <w:r w:rsidR="0006526D" w:rsidRPr="00610127">
        <w:noBreakHyphen/>
      </w:r>
      <w:r w:rsidR="00A60C4C" w:rsidRPr="00610127">
        <w:t xml:space="preserve">SMSI/ODD joue un rôle important dans la mise en œuvre des résultats du SMSI. Il a donc été proposé </w:t>
      </w:r>
      <w:r w:rsidR="00E50F07" w:rsidRPr="00610127">
        <w:t>que</w:t>
      </w:r>
      <w:r w:rsidR="00845426" w:rsidRPr="00610127">
        <w:t xml:space="preserve"> ses travaux</w:t>
      </w:r>
      <w:r w:rsidR="00E50F07" w:rsidRPr="00610127">
        <w:t xml:space="preserve"> se poursuivent</w:t>
      </w:r>
      <w:r w:rsidR="00845426" w:rsidRPr="00610127">
        <w:t xml:space="preserve">. Il a été suggéré de réviser </w:t>
      </w:r>
      <w:r w:rsidR="00814EC9" w:rsidRPr="00610127">
        <w:t>la Résolution 140 (Rév.</w:t>
      </w:r>
      <w:r w:rsidR="0006526D" w:rsidRPr="00610127">
        <w:t> </w:t>
      </w:r>
      <w:r w:rsidR="00814EC9" w:rsidRPr="00610127">
        <w:t>Dubaï,</w:t>
      </w:r>
      <w:r w:rsidR="0006526D" w:rsidRPr="00610127">
        <w:t> </w:t>
      </w:r>
      <w:r w:rsidR="00814EC9" w:rsidRPr="00610127">
        <w:t>2018)</w:t>
      </w:r>
      <w:r w:rsidR="00CF318F" w:rsidRPr="00610127">
        <w:t xml:space="preserve"> de la Conférence de plénipotentiaires, intitulée "Rôle de l'UIT dans la mise en œuvre des résultats du Sommet mondial sur la société de l'information et du Programme de développement durable à l'horizon 2030 ainsi que dans le</w:t>
      </w:r>
      <w:r w:rsidR="00904ED5" w:rsidRPr="00610127">
        <w:t>s</w:t>
      </w:r>
      <w:r w:rsidR="00CF318F" w:rsidRPr="00610127">
        <w:t xml:space="preserve"> processus de suivi et d'examen associés", afin d'y inclure des paragraphes communs à tous les Secteurs et ainsi de raccourcir substantiellement les résolutions pertinentes de</w:t>
      </w:r>
      <w:r w:rsidR="00516056" w:rsidRPr="00610127">
        <w:t xml:space="preserve"> chaque</w:t>
      </w:r>
      <w:r w:rsidR="00CF318F" w:rsidRPr="00610127">
        <w:t xml:space="preserve"> </w:t>
      </w:r>
      <w:r w:rsidR="00E50F07" w:rsidRPr="00610127">
        <w:t>S</w:t>
      </w:r>
      <w:r w:rsidR="00CF318F" w:rsidRPr="00610127">
        <w:t>ecteur. De plus, il a été suggéré d'examiner les questions soulevées au cours de la PP-22.</w:t>
      </w:r>
    </w:p>
    <w:p w14:paraId="19C22788" w14:textId="77777777" w:rsidR="00276FFF" w:rsidRPr="00610127" w:rsidRDefault="00276FFF" w:rsidP="00217650">
      <w:r w:rsidRPr="00610127">
        <w:t>2.3</w:t>
      </w:r>
      <w:r w:rsidRPr="00610127">
        <w:tab/>
      </w:r>
      <w:r w:rsidR="004A4B16" w:rsidRPr="00610127">
        <w:t xml:space="preserve">Le conseiller des États-Unis présente le </w:t>
      </w:r>
      <w:r w:rsidRPr="00610127">
        <w:t xml:space="preserve">Document </w:t>
      </w:r>
      <w:hyperlink r:id="rId22" w:history="1">
        <w:r w:rsidRPr="00610127">
          <w:rPr>
            <w:rStyle w:val="Hyperlink"/>
          </w:rPr>
          <w:t>C22/76</w:t>
        </w:r>
      </w:hyperlink>
      <w:r w:rsidR="000249CF" w:rsidRPr="00610127">
        <w:t>, qui est</w:t>
      </w:r>
      <w:r w:rsidR="00797724" w:rsidRPr="00610127">
        <w:t xml:space="preserve"> </w:t>
      </w:r>
      <w:r w:rsidR="004A4B16" w:rsidRPr="00610127">
        <w:t xml:space="preserve">une </w:t>
      </w:r>
      <w:r w:rsidRPr="00610127">
        <w:t xml:space="preserve">contribution </w:t>
      </w:r>
      <w:r w:rsidR="004A4B16" w:rsidRPr="00610127">
        <w:t xml:space="preserve">de son </w:t>
      </w:r>
      <w:r w:rsidRPr="00610127">
        <w:t>administration</w:t>
      </w:r>
      <w:r w:rsidR="00D01E5C" w:rsidRPr="00610127">
        <w:t xml:space="preserve"> </w:t>
      </w:r>
      <w:r w:rsidR="000249CF" w:rsidRPr="00610127">
        <w:t>dans laquelle celle-ci juge</w:t>
      </w:r>
      <w:r w:rsidR="004A4B16" w:rsidRPr="00610127">
        <w:t xml:space="preserve"> prématuré </w:t>
      </w:r>
      <w:r w:rsidR="000249CF" w:rsidRPr="00610127">
        <w:t xml:space="preserve">que </w:t>
      </w:r>
      <w:r w:rsidR="004A4B16" w:rsidRPr="00610127">
        <w:t>le Conseil</w:t>
      </w:r>
      <w:r w:rsidR="00797724" w:rsidRPr="00610127">
        <w:t xml:space="preserve"> </w:t>
      </w:r>
      <w:r w:rsidR="006D456D" w:rsidRPr="00610127">
        <w:t>décide</w:t>
      </w:r>
      <w:r w:rsidR="00797724" w:rsidRPr="00610127">
        <w:t xml:space="preserve"> </w:t>
      </w:r>
      <w:r w:rsidR="006D456D" w:rsidRPr="00610127">
        <w:t>du</w:t>
      </w:r>
      <w:r w:rsidR="00DC0B4F" w:rsidRPr="00610127">
        <w:t xml:space="preserve"> rôle que l</w:t>
      </w:r>
      <w:r w:rsidR="00B83ECD" w:rsidRPr="00610127">
        <w:t>'</w:t>
      </w:r>
      <w:r w:rsidR="00DC0B4F" w:rsidRPr="00610127">
        <w:t>UIT jouera</w:t>
      </w:r>
      <w:r w:rsidR="00797724" w:rsidRPr="00610127">
        <w:t xml:space="preserve"> </w:t>
      </w:r>
      <w:r w:rsidR="000249CF" w:rsidRPr="00610127">
        <w:t>dans le cadre</w:t>
      </w:r>
      <w:r w:rsidR="00DC0B4F" w:rsidRPr="00610127">
        <w:t xml:space="preserve"> du SMSI</w:t>
      </w:r>
      <w:r w:rsidRPr="00610127">
        <w:t xml:space="preserve">+20 </w:t>
      </w:r>
      <w:r w:rsidR="00DC0B4F" w:rsidRPr="00610127">
        <w:t>et</w:t>
      </w:r>
      <w:r w:rsidR="00797724" w:rsidRPr="00610127">
        <w:t xml:space="preserve"> </w:t>
      </w:r>
      <w:r w:rsidRPr="00610127">
        <w:t>adopt</w:t>
      </w:r>
      <w:r w:rsidR="00DC0B4F" w:rsidRPr="00610127">
        <w:t>er</w:t>
      </w:r>
      <w:r w:rsidRPr="00610127">
        <w:t xml:space="preserve"> </w:t>
      </w:r>
      <w:r w:rsidR="00DC0B4F" w:rsidRPr="00610127">
        <w:t xml:space="preserve">la feuille </w:t>
      </w:r>
      <w:r w:rsidR="00591DF6" w:rsidRPr="00610127">
        <w:t xml:space="preserve">de route </w:t>
      </w:r>
      <w:r w:rsidR="00DC0B4F" w:rsidRPr="00610127">
        <w:t xml:space="preserve">exposée dans le </w:t>
      </w:r>
      <w:r w:rsidRPr="00610127">
        <w:t xml:space="preserve">Document C22/59. </w:t>
      </w:r>
      <w:r w:rsidR="00DF76A4" w:rsidRPr="00610127">
        <w:t xml:space="preserve">Faute de temps, la </w:t>
      </w:r>
      <w:r w:rsidR="00B3074F" w:rsidRPr="00610127">
        <w:t>feuille</w:t>
      </w:r>
      <w:r w:rsidR="0019617B" w:rsidRPr="00610127">
        <w:t xml:space="preserve"> de route n</w:t>
      </w:r>
      <w:r w:rsidR="00B83ECD" w:rsidRPr="00610127">
        <w:t>'</w:t>
      </w:r>
      <w:r w:rsidR="0019617B" w:rsidRPr="00610127">
        <w:t xml:space="preserve">a </w:t>
      </w:r>
      <w:r w:rsidR="006F6BF9" w:rsidRPr="00610127">
        <w:t xml:space="preserve">pas </w:t>
      </w:r>
      <w:r w:rsidR="0019617B" w:rsidRPr="00610127">
        <w:t xml:space="preserve">pu être suffisamment examinée depuis que </w:t>
      </w:r>
      <w:r w:rsidR="00DF76A4" w:rsidRPr="00610127">
        <w:t>son élaboration</w:t>
      </w:r>
      <w:r w:rsidR="0019617B" w:rsidRPr="00610127">
        <w:t xml:space="preserve"> a été demandée par le </w:t>
      </w:r>
      <w:r w:rsidR="00C7795C" w:rsidRPr="00610127">
        <w:t>GTC-SMSI/ODD</w:t>
      </w:r>
      <w:r w:rsidRPr="00610127">
        <w:t xml:space="preserve"> </w:t>
      </w:r>
      <w:r w:rsidR="00C7795C" w:rsidRPr="00610127">
        <w:t xml:space="preserve">en janvier </w:t>
      </w:r>
      <w:r w:rsidRPr="00610127">
        <w:t>2022</w:t>
      </w:r>
      <w:r w:rsidR="00591DF6" w:rsidRPr="00610127">
        <w:t>.</w:t>
      </w:r>
      <w:r w:rsidRPr="00610127">
        <w:t xml:space="preserve"> </w:t>
      </w:r>
      <w:r w:rsidR="00C7795C" w:rsidRPr="00610127">
        <w:t>En outre</w:t>
      </w:r>
      <w:r w:rsidRPr="00610127">
        <w:t>,</w:t>
      </w:r>
      <w:r w:rsidR="00797724" w:rsidRPr="00610127">
        <w:t xml:space="preserve"> </w:t>
      </w:r>
      <w:r w:rsidR="00DF76A4" w:rsidRPr="00610127">
        <w:t xml:space="preserve">le </w:t>
      </w:r>
      <w:r w:rsidR="00962A51" w:rsidRPr="00610127">
        <w:t>r</w:t>
      </w:r>
      <w:r w:rsidR="009F645B" w:rsidRPr="00610127">
        <w:t>ô</w:t>
      </w:r>
      <w:r w:rsidR="00962A51" w:rsidRPr="00610127">
        <w:t xml:space="preserve">le </w:t>
      </w:r>
      <w:r w:rsidR="00DF76A4" w:rsidRPr="00610127">
        <w:t>de</w:t>
      </w:r>
      <w:r w:rsidR="00797724" w:rsidRPr="00610127">
        <w:t xml:space="preserve"> </w:t>
      </w:r>
      <w:r w:rsidR="00962A51" w:rsidRPr="00610127">
        <w:t>l</w:t>
      </w:r>
      <w:r w:rsidR="00B83ECD" w:rsidRPr="00610127">
        <w:t>'</w:t>
      </w:r>
      <w:r w:rsidR="00962A51" w:rsidRPr="00610127">
        <w:t>UIT</w:t>
      </w:r>
      <w:r w:rsidR="00797724" w:rsidRPr="00610127">
        <w:t xml:space="preserve"> </w:t>
      </w:r>
      <w:r w:rsidR="00DF76A4" w:rsidRPr="00610127">
        <w:t>dans le cadre du</w:t>
      </w:r>
      <w:r w:rsidR="00D01E5C" w:rsidRPr="00610127">
        <w:t> </w:t>
      </w:r>
      <w:r w:rsidR="00962A51" w:rsidRPr="00610127">
        <w:t>SMSI</w:t>
      </w:r>
      <w:r w:rsidRPr="00610127">
        <w:t>+20</w:t>
      </w:r>
      <w:r w:rsidR="00DF76A4" w:rsidRPr="00610127">
        <w:t xml:space="preserve"> devra faire l</w:t>
      </w:r>
      <w:r w:rsidR="00B83ECD" w:rsidRPr="00610127">
        <w:t>'</w:t>
      </w:r>
      <w:r w:rsidR="00DF76A4" w:rsidRPr="00610127">
        <w:t>objet d</w:t>
      </w:r>
      <w:r w:rsidR="00B83ECD" w:rsidRPr="00610127">
        <w:t>'</w:t>
      </w:r>
      <w:r w:rsidR="00DF76A4" w:rsidRPr="00610127">
        <w:t>une décision de la Conférence de plénipotentiaires compte tenu de sa Résolution 140 (Rév. Dubaï, 2018)</w:t>
      </w:r>
      <w:r w:rsidRPr="00610127">
        <w:t xml:space="preserve">. </w:t>
      </w:r>
      <w:r w:rsidR="009F645B" w:rsidRPr="00610127">
        <w:t>La</w:t>
      </w:r>
      <w:r w:rsidR="00DF76A4" w:rsidRPr="00610127">
        <w:t xml:space="preserve"> séance</w:t>
      </w:r>
      <w:r w:rsidRPr="00610127">
        <w:t xml:space="preserve"> </w:t>
      </w:r>
      <w:r w:rsidR="009F645B" w:rsidRPr="00610127">
        <w:t xml:space="preserve">spéciale du </w:t>
      </w:r>
      <w:r w:rsidRPr="00610127">
        <w:t xml:space="preserve">24 </w:t>
      </w:r>
      <w:r w:rsidR="009F645B" w:rsidRPr="00610127">
        <w:t xml:space="preserve">mars a permis </w:t>
      </w:r>
      <w:r w:rsidR="00DF76A4" w:rsidRPr="00610127">
        <w:t xml:space="preserve">de mener </w:t>
      </w:r>
      <w:r w:rsidR="009F645B" w:rsidRPr="00610127">
        <w:t xml:space="preserve">des discussions </w:t>
      </w:r>
      <w:r w:rsidR="00222689" w:rsidRPr="00610127">
        <w:t>fructueuses</w:t>
      </w:r>
      <w:r w:rsidR="009F645B" w:rsidRPr="00610127">
        <w:t xml:space="preserve">. </w:t>
      </w:r>
      <w:r w:rsidR="00222689" w:rsidRPr="00610127">
        <w:t>À cet égard</w:t>
      </w:r>
      <w:r w:rsidRPr="00610127">
        <w:t xml:space="preserve">, </w:t>
      </w:r>
      <w:r w:rsidR="00222689" w:rsidRPr="00610127">
        <w:t>il serait</w:t>
      </w:r>
      <w:r w:rsidR="00797724" w:rsidRPr="00610127">
        <w:t xml:space="preserve"> </w:t>
      </w:r>
      <w:r w:rsidR="00DF76A4" w:rsidRPr="00610127">
        <w:t xml:space="preserve">utile </w:t>
      </w:r>
      <w:r w:rsidR="00222689" w:rsidRPr="00610127">
        <w:t xml:space="preserve">que le Secrétariat général mette à jour le </w:t>
      </w:r>
      <w:r w:rsidRPr="00610127">
        <w:t xml:space="preserve">Document C22/59 </w:t>
      </w:r>
      <w:r w:rsidR="00DF76A4" w:rsidRPr="00610127">
        <w:t>compte tenu</w:t>
      </w:r>
      <w:r w:rsidR="00797724" w:rsidRPr="00610127">
        <w:t xml:space="preserve"> </w:t>
      </w:r>
      <w:r w:rsidR="00222689" w:rsidRPr="00610127">
        <w:t xml:space="preserve">des </w:t>
      </w:r>
      <w:r w:rsidRPr="00610127">
        <w:t xml:space="preserve">questions </w:t>
      </w:r>
      <w:r w:rsidR="00DF76A4" w:rsidRPr="00610127">
        <w:t xml:space="preserve">soulevées </w:t>
      </w:r>
      <w:r w:rsidR="00222689" w:rsidRPr="00610127">
        <w:t xml:space="preserve">et des </w:t>
      </w:r>
      <w:r w:rsidRPr="00610127">
        <w:t>information</w:t>
      </w:r>
      <w:r w:rsidR="00222689" w:rsidRPr="00610127">
        <w:t>s</w:t>
      </w:r>
      <w:r w:rsidRPr="00610127">
        <w:t xml:space="preserve"> </w:t>
      </w:r>
      <w:r w:rsidR="00222689" w:rsidRPr="00610127">
        <w:t xml:space="preserve">demandées lors de ladite </w:t>
      </w:r>
      <w:r w:rsidR="00DF76A4" w:rsidRPr="00610127">
        <w:t>séance</w:t>
      </w:r>
      <w:r w:rsidRPr="00610127">
        <w:t xml:space="preserve">. </w:t>
      </w:r>
      <w:r w:rsidR="00222689" w:rsidRPr="00610127">
        <w:t>Pour l</w:t>
      </w:r>
      <w:r w:rsidR="00B83ECD" w:rsidRPr="00610127">
        <w:t>'</w:t>
      </w:r>
      <w:r w:rsidR="00222689" w:rsidRPr="00610127">
        <w:t>heure</w:t>
      </w:r>
      <w:r w:rsidRPr="00610127">
        <w:t xml:space="preserve">, </w:t>
      </w:r>
      <w:r w:rsidR="00A87B59" w:rsidRPr="00610127">
        <w:t xml:space="preserve">le Conseil devrait prendre </w:t>
      </w:r>
      <w:r w:rsidRPr="00610127">
        <w:t>note</w:t>
      </w:r>
      <w:r w:rsidR="00A87B59" w:rsidRPr="00610127">
        <w:t xml:space="preserve"> de la feuille de route, plutôt que</w:t>
      </w:r>
      <w:r w:rsidR="00797724" w:rsidRPr="00610127">
        <w:t xml:space="preserve"> </w:t>
      </w:r>
      <w:r w:rsidR="00A87B59" w:rsidRPr="00610127">
        <w:t>l</w:t>
      </w:r>
      <w:r w:rsidR="00B83ECD" w:rsidRPr="00610127">
        <w:t>'</w:t>
      </w:r>
      <w:r w:rsidR="00A87B59" w:rsidRPr="00610127">
        <w:t>approuver, et demander davantage d</w:t>
      </w:r>
      <w:r w:rsidR="00B83ECD" w:rsidRPr="00610127">
        <w:t>'</w:t>
      </w:r>
      <w:r w:rsidR="00A87B59" w:rsidRPr="00610127">
        <w:t xml:space="preserve">informations </w:t>
      </w:r>
      <w:r w:rsidR="008D247D" w:rsidRPr="00610127">
        <w:t>avant</w:t>
      </w:r>
      <w:r w:rsidR="00A87B59" w:rsidRPr="00610127">
        <w:t xml:space="preserve"> la PP-22</w:t>
      </w:r>
      <w:r w:rsidRPr="00610127">
        <w:t>.</w:t>
      </w:r>
    </w:p>
    <w:p w14:paraId="7F6A18C8" w14:textId="77777777" w:rsidR="00610127" w:rsidRDefault="00276FFF" w:rsidP="00217650">
      <w:r w:rsidRPr="00610127">
        <w:t>2.4</w:t>
      </w:r>
      <w:r w:rsidRPr="00610127">
        <w:tab/>
      </w:r>
      <w:r w:rsidR="00460573" w:rsidRPr="00610127">
        <w:t>Le conseiller de l</w:t>
      </w:r>
      <w:r w:rsidR="00B83ECD" w:rsidRPr="00610127">
        <w:t>'</w:t>
      </w:r>
      <w:r w:rsidR="00460573" w:rsidRPr="00610127">
        <w:t>Arabie saoudite</w:t>
      </w:r>
      <w:r w:rsidRPr="00610127">
        <w:t xml:space="preserve">, </w:t>
      </w:r>
      <w:r w:rsidR="00460573" w:rsidRPr="00610127">
        <w:t xml:space="preserve">qui a présidé la </w:t>
      </w:r>
      <w:r w:rsidR="008D247D" w:rsidRPr="00610127">
        <w:t xml:space="preserve">séance </w:t>
      </w:r>
      <w:r w:rsidR="00460573" w:rsidRPr="00610127">
        <w:t xml:space="preserve">spéciale du </w:t>
      </w:r>
      <w:r w:rsidRPr="00610127">
        <w:t xml:space="preserve">24 </w:t>
      </w:r>
      <w:r w:rsidR="00460573" w:rsidRPr="00610127">
        <w:t>mars</w:t>
      </w:r>
      <w:r w:rsidRPr="00610127">
        <w:t xml:space="preserve">, </w:t>
      </w:r>
      <w:r w:rsidR="00460573" w:rsidRPr="00610127">
        <w:t>rend compte des conclusions de cette dernière</w:t>
      </w:r>
      <w:r w:rsidRPr="00610127">
        <w:t xml:space="preserve">. </w:t>
      </w:r>
      <w:r w:rsidR="00460573" w:rsidRPr="00610127">
        <w:t xml:space="preserve">Quelque </w:t>
      </w:r>
      <w:r w:rsidRPr="00610127">
        <w:t xml:space="preserve">25 </w:t>
      </w:r>
      <w:r w:rsidR="00460573" w:rsidRPr="00610127">
        <w:t>conseillers y ont assisté en</w:t>
      </w:r>
      <w:r w:rsidR="00797724" w:rsidRPr="00610127">
        <w:t xml:space="preserve"> </w:t>
      </w:r>
      <w:r w:rsidR="008D247D" w:rsidRPr="00610127">
        <w:t>présentiel</w:t>
      </w:r>
      <w:r w:rsidRPr="00610127">
        <w:t xml:space="preserve">, </w:t>
      </w:r>
      <w:r w:rsidR="00460573" w:rsidRPr="00610127">
        <w:t>tandis que d</w:t>
      </w:r>
      <w:r w:rsidR="00B83ECD" w:rsidRPr="00610127">
        <w:t>'</w:t>
      </w:r>
      <w:r w:rsidR="00460573" w:rsidRPr="00610127">
        <w:t>autres y ont participé de manière virtuelle</w:t>
      </w:r>
      <w:r w:rsidRPr="00610127">
        <w:t xml:space="preserve">. </w:t>
      </w:r>
      <w:r w:rsidR="0018270A" w:rsidRPr="00610127">
        <w:t>La poursuite de la mise en œuvre des</w:t>
      </w:r>
      <w:r w:rsidR="00797724" w:rsidRPr="00610127">
        <w:t xml:space="preserve"> </w:t>
      </w:r>
      <w:r w:rsidR="008D247D" w:rsidRPr="00610127">
        <w:t xml:space="preserve">résultats </w:t>
      </w:r>
      <w:r w:rsidR="000541AB" w:rsidRPr="00610127">
        <w:t>du</w:t>
      </w:r>
      <w:r w:rsidR="00D01E5C" w:rsidRPr="00610127">
        <w:t> </w:t>
      </w:r>
      <w:r w:rsidR="000541AB" w:rsidRPr="00610127">
        <w:t>SMSI</w:t>
      </w:r>
      <w:r w:rsidR="0018270A" w:rsidRPr="00610127">
        <w:t xml:space="preserve"> </w:t>
      </w:r>
      <w:r w:rsidR="000541AB" w:rsidRPr="00610127">
        <w:t xml:space="preserve">et de </w:t>
      </w:r>
      <w:r w:rsidR="008D247D" w:rsidRPr="00610127">
        <w:t>l</w:t>
      </w:r>
      <w:r w:rsidR="00B83ECD" w:rsidRPr="00610127">
        <w:t>'</w:t>
      </w:r>
      <w:r w:rsidR="008D247D" w:rsidRPr="00610127">
        <w:t>intensification</w:t>
      </w:r>
      <w:r w:rsidR="000541AB" w:rsidRPr="00610127">
        <w:t xml:space="preserve"> des </w:t>
      </w:r>
      <w:r w:rsidRPr="00610127">
        <w:t>efforts</w:t>
      </w:r>
      <w:r w:rsidR="00797724" w:rsidRPr="00610127">
        <w:t xml:space="preserve"> </w:t>
      </w:r>
      <w:r w:rsidR="008D247D" w:rsidRPr="00610127">
        <w:t>pour établir un lien entre</w:t>
      </w:r>
      <w:r w:rsidR="00797724" w:rsidRPr="00610127">
        <w:t xml:space="preserve"> </w:t>
      </w:r>
      <w:r w:rsidR="000541AB" w:rsidRPr="00610127">
        <w:t xml:space="preserve">la mise en œuvre du SMSI et </w:t>
      </w:r>
      <w:r w:rsidR="008D247D" w:rsidRPr="00610127">
        <w:t xml:space="preserve">les travaux portant sur </w:t>
      </w:r>
      <w:r w:rsidR="000541AB" w:rsidRPr="00610127">
        <w:t xml:space="preserve">la réalisation des ODD </w:t>
      </w:r>
      <w:r w:rsidR="008D247D" w:rsidRPr="00610127">
        <w:t xml:space="preserve">a </w:t>
      </w:r>
      <w:r w:rsidR="000541AB" w:rsidRPr="00610127">
        <w:t>fait l</w:t>
      </w:r>
      <w:r w:rsidR="00B83ECD" w:rsidRPr="00610127">
        <w:t>'</w:t>
      </w:r>
      <w:r w:rsidR="000541AB" w:rsidRPr="00610127">
        <w:t>objet d</w:t>
      </w:r>
      <w:r w:rsidR="00B83ECD" w:rsidRPr="00610127">
        <w:t>'</w:t>
      </w:r>
      <w:r w:rsidR="000541AB" w:rsidRPr="00610127">
        <w:t>une large adhésion</w:t>
      </w:r>
      <w:r w:rsidRPr="00610127">
        <w:t xml:space="preserve">. </w:t>
      </w:r>
      <w:r w:rsidR="00FF60BD" w:rsidRPr="00610127">
        <w:t xml:space="preserve">Le Secrétariat </w:t>
      </w:r>
      <w:r w:rsidR="00610127">
        <w:br w:type="page"/>
      </w:r>
    </w:p>
    <w:p w14:paraId="487358C2" w14:textId="3EAC9F5A" w:rsidR="00276FFF" w:rsidRPr="00610127" w:rsidRDefault="00FF60BD" w:rsidP="00217650">
      <w:r w:rsidRPr="00610127">
        <w:lastRenderedPageBreak/>
        <w:t>g</w:t>
      </w:r>
      <w:r w:rsidR="00F471DD" w:rsidRPr="00610127">
        <w:t>é</w:t>
      </w:r>
      <w:r w:rsidRPr="00610127">
        <w:t>n</w:t>
      </w:r>
      <w:r w:rsidR="00F471DD" w:rsidRPr="00610127">
        <w:t>é</w:t>
      </w:r>
      <w:r w:rsidRPr="00610127">
        <w:t>ral a reçu</w:t>
      </w:r>
      <w:r w:rsidR="00797724" w:rsidRPr="00610127">
        <w:t xml:space="preserve"> </w:t>
      </w:r>
      <w:r w:rsidR="008D247D" w:rsidRPr="00610127">
        <w:t>plusieurs</w:t>
      </w:r>
      <w:r w:rsidR="00797724" w:rsidRPr="00610127">
        <w:t xml:space="preserve"> </w:t>
      </w:r>
      <w:r w:rsidR="00276FFF" w:rsidRPr="00610127">
        <w:t>comment</w:t>
      </w:r>
      <w:r w:rsidRPr="00610127">
        <w:t>aire</w:t>
      </w:r>
      <w:r w:rsidR="00276FFF" w:rsidRPr="00610127">
        <w:t xml:space="preserve">s </w:t>
      </w:r>
      <w:r w:rsidRPr="00610127">
        <w:t xml:space="preserve">de la part des États </w:t>
      </w:r>
      <w:r w:rsidR="00B47C91" w:rsidRPr="00610127">
        <w:t xml:space="preserve">Membres </w:t>
      </w:r>
      <w:r w:rsidRPr="00610127">
        <w:t>du Conseil</w:t>
      </w:r>
      <w:r w:rsidR="00276FFF" w:rsidRPr="00610127">
        <w:t xml:space="preserve">. </w:t>
      </w:r>
      <w:r w:rsidRPr="00610127">
        <w:t xml:space="preserve">Il a été proposé que le Conseil </w:t>
      </w:r>
      <w:r w:rsidR="00DD408D" w:rsidRPr="00610127">
        <w:t xml:space="preserve">prenne </w:t>
      </w:r>
      <w:r w:rsidRPr="00610127">
        <w:t xml:space="preserve">note du </w:t>
      </w:r>
      <w:r w:rsidR="00276FFF" w:rsidRPr="00610127">
        <w:t xml:space="preserve">Document C22/59 </w:t>
      </w:r>
      <w:r w:rsidRPr="00610127">
        <w:t>et demande au Secrétariat général</w:t>
      </w:r>
      <w:r w:rsidR="0039020D" w:rsidRPr="00610127">
        <w:t xml:space="preserve"> de</w:t>
      </w:r>
      <w:r w:rsidRPr="00610127">
        <w:t xml:space="preserve"> </w:t>
      </w:r>
      <w:r w:rsidR="008D247D" w:rsidRPr="00610127">
        <w:t xml:space="preserve">le soumettre </w:t>
      </w:r>
      <w:r w:rsidRPr="00610127">
        <w:t xml:space="preserve">à la </w:t>
      </w:r>
      <w:r w:rsidR="00276FFF" w:rsidRPr="00610127">
        <w:t>PP</w:t>
      </w:r>
      <w:r w:rsidR="008D247D" w:rsidRPr="00610127">
        <w:t>,</w:t>
      </w:r>
      <w:r w:rsidR="00797724" w:rsidRPr="00610127">
        <w:t xml:space="preserve"> </w:t>
      </w:r>
      <w:r w:rsidR="008D247D" w:rsidRPr="00610127">
        <w:t>assorti des mises</w:t>
      </w:r>
      <w:r w:rsidRPr="00610127">
        <w:t xml:space="preserve"> à jour</w:t>
      </w:r>
      <w:r w:rsidR="008D247D" w:rsidRPr="00610127">
        <w:t xml:space="preserve"> nécessaires</w:t>
      </w:r>
      <w:r w:rsidR="00276FFF" w:rsidRPr="00610127">
        <w:t>.</w:t>
      </w:r>
    </w:p>
    <w:p w14:paraId="0C20E7D7" w14:textId="77777777" w:rsidR="00276FFF" w:rsidRPr="00610127" w:rsidRDefault="00276FFF" w:rsidP="00217650">
      <w:r w:rsidRPr="00610127">
        <w:t>2.5</w:t>
      </w:r>
      <w:r w:rsidRPr="00610127">
        <w:tab/>
      </w:r>
      <w:r w:rsidR="00C55328" w:rsidRPr="00610127">
        <w:t xml:space="preserve">Les conseillers appuient sans réserve la </w:t>
      </w:r>
      <w:r w:rsidR="00BF6521" w:rsidRPr="00610127">
        <w:t xml:space="preserve">poursuite de la </w:t>
      </w:r>
      <w:r w:rsidR="00C55328" w:rsidRPr="00610127">
        <w:t>mise en œuvre</w:t>
      </w:r>
      <w:r w:rsidR="00797724" w:rsidRPr="00610127">
        <w:t xml:space="preserve"> </w:t>
      </w:r>
      <w:r w:rsidR="00C55328" w:rsidRPr="00610127">
        <w:t>des</w:t>
      </w:r>
      <w:r w:rsidR="00797724" w:rsidRPr="00610127">
        <w:t xml:space="preserve"> </w:t>
      </w:r>
      <w:r w:rsidR="00BF6521" w:rsidRPr="00610127">
        <w:t xml:space="preserve">résultats </w:t>
      </w:r>
      <w:r w:rsidR="00C55328" w:rsidRPr="00610127">
        <w:t xml:space="preserve">du SMSI et </w:t>
      </w:r>
      <w:r w:rsidR="00BF6521" w:rsidRPr="00610127">
        <w:t xml:space="preserve">le </w:t>
      </w:r>
      <w:r w:rsidR="00BF6521" w:rsidRPr="00610127">
        <w:rPr>
          <w:color w:val="000000"/>
        </w:rPr>
        <w:t>processus d</w:t>
      </w:r>
      <w:r w:rsidR="00B83ECD" w:rsidRPr="00610127">
        <w:rPr>
          <w:color w:val="000000"/>
        </w:rPr>
        <w:t>'</w:t>
      </w:r>
      <w:r w:rsidR="00BF6521" w:rsidRPr="00610127">
        <w:rPr>
          <w:color w:val="000000"/>
        </w:rPr>
        <w:t>examen</w:t>
      </w:r>
      <w:r w:rsidR="00BF6521" w:rsidRPr="00610127" w:rsidDel="00BF6521">
        <w:t xml:space="preserve"> </w:t>
      </w:r>
      <w:r w:rsidR="00C55328" w:rsidRPr="00610127">
        <w:t>d</w:t>
      </w:r>
      <w:r w:rsidR="00B83ECD" w:rsidRPr="00610127">
        <w:t>'</w:t>
      </w:r>
      <w:r w:rsidR="00C55328" w:rsidRPr="00610127">
        <w:t>ensemble, et saluent la contribution que l</w:t>
      </w:r>
      <w:r w:rsidR="00B83ECD" w:rsidRPr="00610127">
        <w:t>'</w:t>
      </w:r>
      <w:r w:rsidR="00C55328" w:rsidRPr="00610127">
        <w:t>UIT a apporté</w:t>
      </w:r>
      <w:r w:rsidR="003F12F9" w:rsidRPr="00610127">
        <w:t>e</w:t>
      </w:r>
      <w:r w:rsidR="00C55328" w:rsidRPr="00610127">
        <w:t xml:space="preserve"> à ce jour</w:t>
      </w:r>
      <w:r w:rsidRPr="00610127">
        <w:t xml:space="preserve">, </w:t>
      </w:r>
      <w:r w:rsidR="00C55328" w:rsidRPr="00610127">
        <w:t xml:space="preserve">tout en soulignant </w:t>
      </w:r>
      <w:r w:rsidR="00BF6521" w:rsidRPr="00610127">
        <w:t xml:space="preserve">combien il importe </w:t>
      </w:r>
      <w:r w:rsidR="00C55328" w:rsidRPr="00610127">
        <w:t>d</w:t>
      </w:r>
      <w:r w:rsidR="00B83ECD" w:rsidRPr="00610127">
        <w:t>'</w:t>
      </w:r>
      <w:r w:rsidR="00C55328" w:rsidRPr="00610127">
        <w:t>exploiter les TIC pour édifier des sociétés de l</w:t>
      </w:r>
      <w:r w:rsidR="00B83ECD" w:rsidRPr="00610127">
        <w:t>'</w:t>
      </w:r>
      <w:r w:rsidR="00C55328" w:rsidRPr="00610127">
        <w:t>information et du savoir inclusives</w:t>
      </w:r>
      <w:r w:rsidRPr="00610127">
        <w:t xml:space="preserve">. </w:t>
      </w:r>
      <w:r w:rsidR="0041533D" w:rsidRPr="00610127">
        <w:t xml:space="preserve">Le </w:t>
      </w:r>
      <w:r w:rsidR="00BF6521" w:rsidRPr="00610127">
        <w:t>fait que</w:t>
      </w:r>
      <w:r w:rsidR="00797724" w:rsidRPr="00610127">
        <w:t xml:space="preserve"> </w:t>
      </w:r>
      <w:r w:rsidR="00A42344" w:rsidRPr="00610127">
        <w:t>l</w:t>
      </w:r>
      <w:r w:rsidR="00B83ECD" w:rsidRPr="00610127">
        <w:t>'</w:t>
      </w:r>
      <w:r w:rsidRPr="00610127">
        <w:t>Union</w:t>
      </w:r>
      <w:r w:rsidR="00A42344" w:rsidRPr="00610127">
        <w:t xml:space="preserve"> </w:t>
      </w:r>
      <w:r w:rsidR="00BF6521" w:rsidRPr="00610127">
        <w:rPr>
          <w:color w:val="000000"/>
        </w:rPr>
        <w:t>assure la présidence</w:t>
      </w:r>
      <w:r w:rsidR="00BF6521" w:rsidRPr="00610127">
        <w:t xml:space="preserve"> </w:t>
      </w:r>
      <w:r w:rsidR="00A42344" w:rsidRPr="00610127">
        <w:t xml:space="preserve">du </w:t>
      </w:r>
      <w:r w:rsidR="00C55328" w:rsidRPr="00610127">
        <w:t>Groupe des Nations Unies sur la société de l</w:t>
      </w:r>
      <w:r w:rsidR="00B83ECD" w:rsidRPr="00610127">
        <w:t>'</w:t>
      </w:r>
      <w:r w:rsidR="00C55328" w:rsidRPr="00610127">
        <w:t>information</w:t>
      </w:r>
      <w:r w:rsidRPr="00610127">
        <w:t xml:space="preserve"> </w:t>
      </w:r>
      <w:r w:rsidR="00BF6521" w:rsidRPr="00610127">
        <w:t>offrira de nouvelles possibilités à cet égard</w:t>
      </w:r>
      <w:r w:rsidRPr="00610127">
        <w:t xml:space="preserve">. </w:t>
      </w:r>
      <w:r w:rsidR="00FE5507" w:rsidRPr="00610127">
        <w:t>Certains conseiller</w:t>
      </w:r>
      <w:r w:rsidR="004223DC" w:rsidRPr="00610127">
        <w:t>s</w:t>
      </w:r>
      <w:r w:rsidR="00FE5507" w:rsidRPr="00610127">
        <w:t xml:space="preserve"> </w:t>
      </w:r>
      <w:r w:rsidR="00BF6521" w:rsidRPr="00610127">
        <w:t>insistent sur le fait qu</w:t>
      </w:r>
      <w:r w:rsidR="00B83ECD" w:rsidRPr="00610127">
        <w:t>'</w:t>
      </w:r>
      <w:r w:rsidR="00BF6521" w:rsidRPr="00610127">
        <w:t>il est</w:t>
      </w:r>
      <w:r w:rsidR="00797724" w:rsidRPr="00610127">
        <w:t xml:space="preserve"> </w:t>
      </w:r>
      <w:r w:rsidR="00FE5507" w:rsidRPr="00610127">
        <w:t>importan</w:t>
      </w:r>
      <w:r w:rsidR="00BF6521" w:rsidRPr="00610127">
        <w:t>t</w:t>
      </w:r>
      <w:r w:rsidR="00797724" w:rsidRPr="00610127">
        <w:t xml:space="preserve"> </w:t>
      </w:r>
      <w:r w:rsidR="00FE5507" w:rsidRPr="00610127">
        <w:t>d</w:t>
      </w:r>
      <w:r w:rsidR="00B83ECD" w:rsidRPr="00610127">
        <w:t>'</w:t>
      </w:r>
      <w:r w:rsidR="00FE5507" w:rsidRPr="00610127">
        <w:t xml:space="preserve">adopter, </w:t>
      </w:r>
      <w:r w:rsidR="00BF6521" w:rsidRPr="00610127">
        <w:t>dans le cadre du</w:t>
      </w:r>
      <w:r w:rsidR="00797724" w:rsidRPr="00610127">
        <w:t xml:space="preserve"> </w:t>
      </w:r>
      <w:r w:rsidR="00FE5507" w:rsidRPr="00610127">
        <w:t>processus d</w:t>
      </w:r>
      <w:r w:rsidR="00B83ECD" w:rsidRPr="00610127">
        <w:t>'</w:t>
      </w:r>
      <w:r w:rsidR="00FE5507" w:rsidRPr="00610127">
        <w:t xml:space="preserve">examen, une approche </w:t>
      </w:r>
      <w:r w:rsidRPr="00610127">
        <w:t>multi</w:t>
      </w:r>
      <w:r w:rsidR="00FA0662" w:rsidRPr="00610127">
        <w:noBreakHyphen/>
      </w:r>
      <w:r w:rsidR="00FE5507" w:rsidRPr="00610127">
        <w:t xml:space="preserve">parties prenantes qui </w:t>
      </w:r>
      <w:r w:rsidR="00B6386E" w:rsidRPr="00610127">
        <w:t>évite</w:t>
      </w:r>
      <w:r w:rsidR="00797724" w:rsidRPr="00610127">
        <w:t xml:space="preserve"> </w:t>
      </w:r>
      <w:r w:rsidR="00C87A57" w:rsidRPr="00610127">
        <w:t xml:space="preserve">la </w:t>
      </w:r>
      <w:r w:rsidR="00B6386E" w:rsidRPr="00610127">
        <w:t xml:space="preserve">prise de décisions </w:t>
      </w:r>
      <w:r w:rsidR="00C87A57" w:rsidRPr="00610127">
        <w:t>selon une approche</w:t>
      </w:r>
      <w:r w:rsidR="00797724" w:rsidRPr="00610127">
        <w:t xml:space="preserve"> </w:t>
      </w:r>
      <w:r w:rsidR="00B6386E" w:rsidRPr="00610127">
        <w:t>descendante</w:t>
      </w:r>
      <w:r w:rsidR="00C87A57" w:rsidRPr="00610127">
        <w:t xml:space="preserve">. </w:t>
      </w:r>
      <w:r w:rsidR="00B6386E" w:rsidRPr="00610127">
        <w:t>Plusieurs conseillers</w:t>
      </w:r>
      <w:r w:rsidR="00797724" w:rsidRPr="00610127">
        <w:t xml:space="preserve"> </w:t>
      </w:r>
      <w:r w:rsidR="00C87A57" w:rsidRPr="00610127">
        <w:t xml:space="preserve">rappellent </w:t>
      </w:r>
      <w:r w:rsidR="00B6386E" w:rsidRPr="00610127">
        <w:t>l</w:t>
      </w:r>
      <w:r w:rsidR="00B83ECD" w:rsidRPr="00610127">
        <w:t>'</w:t>
      </w:r>
      <w:r w:rsidR="00B6386E" w:rsidRPr="00610127">
        <w:t xml:space="preserve">importance de déployer des </w:t>
      </w:r>
      <w:r w:rsidRPr="00610127">
        <w:t xml:space="preserve">efforts </w:t>
      </w:r>
      <w:r w:rsidR="00B6386E" w:rsidRPr="00610127">
        <w:t xml:space="preserve">à un niveau régional </w:t>
      </w:r>
      <w:r w:rsidR="00A07586" w:rsidRPr="00610127">
        <w:t>et</w:t>
      </w:r>
      <w:r w:rsidR="00C87A57" w:rsidRPr="00610127">
        <w:t xml:space="preserve"> les</w:t>
      </w:r>
      <w:r w:rsidR="00797724" w:rsidRPr="00610127">
        <w:t xml:space="preserve"> </w:t>
      </w:r>
      <w:r w:rsidR="00C87A57" w:rsidRPr="00610127">
        <w:rPr>
          <w:color w:val="000000"/>
        </w:rPr>
        <w:t>possibilités d</w:t>
      </w:r>
      <w:r w:rsidR="00B83ECD" w:rsidRPr="00610127">
        <w:rPr>
          <w:color w:val="000000"/>
        </w:rPr>
        <w:t>'</w:t>
      </w:r>
      <w:r w:rsidR="00C87A57" w:rsidRPr="00610127">
        <w:rPr>
          <w:color w:val="000000"/>
        </w:rPr>
        <w:t>établir des liens avec</w:t>
      </w:r>
      <w:r w:rsidR="00797724" w:rsidRPr="00610127">
        <w:rPr>
          <w:color w:val="000000"/>
        </w:rPr>
        <w:t xml:space="preserve"> </w:t>
      </w:r>
      <w:r w:rsidR="00C87A57" w:rsidRPr="00610127">
        <w:t>les travaux sur les</w:t>
      </w:r>
      <w:r w:rsidR="00A07586" w:rsidRPr="00610127">
        <w:t xml:space="preserve"> </w:t>
      </w:r>
      <w:r w:rsidR="00B6386E" w:rsidRPr="00610127">
        <w:t>ODD</w:t>
      </w:r>
      <w:r w:rsidRPr="00610127">
        <w:t xml:space="preserve"> </w:t>
      </w:r>
      <w:r w:rsidR="00A07586" w:rsidRPr="00610127">
        <w:t>et</w:t>
      </w:r>
      <w:r w:rsidR="00797724" w:rsidRPr="00610127">
        <w:t xml:space="preserve"> </w:t>
      </w:r>
      <w:r w:rsidR="00A07586" w:rsidRPr="00610127">
        <w:t>l</w:t>
      </w:r>
      <w:r w:rsidR="00B83ECD" w:rsidRPr="00610127">
        <w:t>'</w:t>
      </w:r>
      <w:r w:rsidR="00B6386E" w:rsidRPr="00610127">
        <w:t>Agenda de Tunis pour la société de l</w:t>
      </w:r>
      <w:r w:rsidR="00B83ECD" w:rsidRPr="00610127">
        <w:t>'</w:t>
      </w:r>
      <w:r w:rsidR="00B6386E" w:rsidRPr="00610127">
        <w:t>information</w:t>
      </w:r>
      <w:r w:rsidRPr="00610127">
        <w:t xml:space="preserve">. </w:t>
      </w:r>
      <w:r w:rsidR="004168EB" w:rsidRPr="00610127">
        <w:t>L</w:t>
      </w:r>
      <w:r w:rsidR="00B83ECD" w:rsidRPr="00610127">
        <w:t>'</w:t>
      </w:r>
      <w:r w:rsidR="004168EB" w:rsidRPr="00610127">
        <w:t xml:space="preserve">un des conseillers plaide pour </w:t>
      </w:r>
      <w:r w:rsidR="00C87A57" w:rsidRPr="00610127">
        <w:t>un renforcement de la</w:t>
      </w:r>
      <w:r w:rsidR="004168EB" w:rsidRPr="00610127">
        <w:t xml:space="preserve"> coopération avec la Commission économique </w:t>
      </w:r>
      <w:r w:rsidR="00970027" w:rsidRPr="00610127">
        <w:t xml:space="preserve">des Nations Unies </w:t>
      </w:r>
      <w:r w:rsidR="004168EB" w:rsidRPr="00610127">
        <w:t>pour l</w:t>
      </w:r>
      <w:r w:rsidR="00B83ECD" w:rsidRPr="00610127">
        <w:t>'</w:t>
      </w:r>
      <w:r w:rsidR="004168EB" w:rsidRPr="00610127">
        <w:t>Amérique latine et les Caraïbes ainsi qu</w:t>
      </w:r>
      <w:r w:rsidR="00B83ECD" w:rsidRPr="00610127">
        <w:t>'</w:t>
      </w:r>
      <w:r w:rsidR="004168EB" w:rsidRPr="00610127">
        <w:t>avec le Secrétariat e</w:t>
      </w:r>
      <w:r w:rsidRPr="00610127">
        <w:t>x</w:t>
      </w:r>
      <w:r w:rsidR="004168EB" w:rsidRPr="00610127">
        <w:t>é</w:t>
      </w:r>
      <w:r w:rsidRPr="00610127">
        <w:t>cuti</w:t>
      </w:r>
      <w:r w:rsidR="00B75C99" w:rsidRPr="00610127">
        <w:t>f</w:t>
      </w:r>
      <w:r w:rsidR="00797724" w:rsidRPr="00610127">
        <w:t xml:space="preserve"> </w:t>
      </w:r>
      <w:r w:rsidR="00C87A57" w:rsidRPr="00610127">
        <w:t xml:space="preserve">pour le </w:t>
      </w:r>
      <w:r w:rsidR="004168EB" w:rsidRPr="00610127">
        <w:t>développement i</w:t>
      </w:r>
      <w:r w:rsidRPr="00610127">
        <w:t>nt</w:t>
      </w:r>
      <w:r w:rsidR="004168EB" w:rsidRPr="00610127">
        <w:t>é</w:t>
      </w:r>
      <w:r w:rsidRPr="00610127">
        <w:t xml:space="preserve">gral </w:t>
      </w:r>
      <w:r w:rsidR="004168EB" w:rsidRPr="00610127">
        <w:t>de l</w:t>
      </w:r>
      <w:r w:rsidR="00B83ECD" w:rsidRPr="00610127">
        <w:t>'</w:t>
      </w:r>
      <w:r w:rsidRPr="00610127">
        <w:t>Organi</w:t>
      </w:r>
      <w:r w:rsidR="004168EB" w:rsidRPr="00610127">
        <w:t>s</w:t>
      </w:r>
      <w:r w:rsidRPr="00610127">
        <w:t xml:space="preserve">ation </w:t>
      </w:r>
      <w:r w:rsidR="004168EB" w:rsidRPr="00610127">
        <w:t>des États américains</w:t>
      </w:r>
      <w:r w:rsidRPr="00610127">
        <w:t>.</w:t>
      </w:r>
    </w:p>
    <w:p w14:paraId="656AE304" w14:textId="0539E938" w:rsidR="00276FFF" w:rsidRPr="00610127" w:rsidRDefault="00276FFF" w:rsidP="00217650">
      <w:r w:rsidRPr="00610127">
        <w:t>2.6</w:t>
      </w:r>
      <w:r w:rsidRPr="00610127">
        <w:tab/>
      </w:r>
      <w:r w:rsidR="0058710D" w:rsidRPr="00610127">
        <w:t xml:space="preserve">Certains conseillers </w:t>
      </w:r>
      <w:r w:rsidR="00641844" w:rsidRPr="00610127">
        <w:t>appuient</w:t>
      </w:r>
      <w:r w:rsidR="0058710D" w:rsidRPr="00610127">
        <w:t xml:space="preserve"> la feuille de route exposée dans le </w:t>
      </w:r>
      <w:r w:rsidRPr="00610127">
        <w:t xml:space="preserve">Document C22/59, </w:t>
      </w:r>
      <w:r w:rsidR="00F5371A" w:rsidRPr="00610127">
        <w:t>tandis qu</w:t>
      </w:r>
      <w:r w:rsidR="00B83ECD" w:rsidRPr="00610127">
        <w:t>'</w:t>
      </w:r>
      <w:r w:rsidR="00F5371A" w:rsidRPr="00610127">
        <w:t xml:space="preserve">une conseillère fait remarquer </w:t>
      </w:r>
      <w:r w:rsidR="00E8323C" w:rsidRPr="00610127">
        <w:t xml:space="preserve">que </w:t>
      </w:r>
      <w:r w:rsidR="00641844" w:rsidRPr="00610127">
        <w:t xml:space="preserve">ce dernier </w:t>
      </w:r>
      <w:r w:rsidR="00F5371A" w:rsidRPr="00610127">
        <w:t>ne fait</w:t>
      </w:r>
      <w:r w:rsidR="00797724" w:rsidRPr="00610127">
        <w:t xml:space="preserve"> </w:t>
      </w:r>
      <w:r w:rsidR="00C87A57" w:rsidRPr="00610127">
        <w:t xml:space="preserve">nullement </w:t>
      </w:r>
      <w:r w:rsidR="00F5371A" w:rsidRPr="00610127">
        <w:t>mention de la recommandation du GTC-SMSI/ODD concernant le rôle de l</w:t>
      </w:r>
      <w:r w:rsidR="00B83ECD" w:rsidRPr="00610127">
        <w:t>'</w:t>
      </w:r>
      <w:r w:rsidR="00F5371A" w:rsidRPr="00610127">
        <w:t>UIT dans la mise en œuvre du SMSI et demande qu</w:t>
      </w:r>
      <w:r w:rsidR="00B83ECD" w:rsidRPr="00610127">
        <w:t>'</w:t>
      </w:r>
      <w:r w:rsidR="00953DD7" w:rsidRPr="00610127">
        <w:t>une référence à c</w:t>
      </w:r>
      <w:r w:rsidR="00F5371A" w:rsidRPr="00610127">
        <w:t>ell</w:t>
      </w:r>
      <w:r w:rsidR="00953DD7" w:rsidRPr="00610127">
        <w:t>e-ci</w:t>
      </w:r>
      <w:r w:rsidR="00F5371A" w:rsidRPr="00610127">
        <w:t xml:space="preserve"> y soit </w:t>
      </w:r>
      <w:r w:rsidR="00953DD7" w:rsidRPr="00610127">
        <w:t>ajoutée</w:t>
      </w:r>
      <w:r w:rsidRPr="00610127">
        <w:t xml:space="preserve">. </w:t>
      </w:r>
      <w:r w:rsidR="00E8323C" w:rsidRPr="00610127">
        <w:t>D</w:t>
      </w:r>
      <w:r w:rsidR="00B83ECD" w:rsidRPr="00610127">
        <w:t>'</w:t>
      </w:r>
      <w:r w:rsidR="00E8323C" w:rsidRPr="00610127">
        <w:t xml:space="preserve">autres conseillers </w:t>
      </w:r>
      <w:r w:rsidR="00C87A57" w:rsidRPr="00610127">
        <w:t>s</w:t>
      </w:r>
      <w:r w:rsidR="00B83ECD" w:rsidRPr="00610127">
        <w:t>'</w:t>
      </w:r>
      <w:r w:rsidR="00C87A57" w:rsidRPr="00610127">
        <w:t>associent aux vues et aux</w:t>
      </w:r>
      <w:r w:rsidR="00E8323C" w:rsidRPr="00610127">
        <w:t xml:space="preserve"> pr</w:t>
      </w:r>
      <w:r w:rsidR="007F3422" w:rsidRPr="00610127">
        <w:t>é</w:t>
      </w:r>
      <w:r w:rsidR="00E8323C" w:rsidRPr="00610127">
        <w:t>occupation</w:t>
      </w:r>
      <w:r w:rsidR="007F3422" w:rsidRPr="00610127">
        <w:t>s</w:t>
      </w:r>
      <w:r w:rsidR="00E8323C" w:rsidRPr="00610127">
        <w:t xml:space="preserve"> exprimées par l</w:t>
      </w:r>
      <w:r w:rsidR="00AB3752" w:rsidRPr="00610127">
        <w:t>a</w:t>
      </w:r>
      <w:r w:rsidR="00641844" w:rsidRPr="00610127">
        <w:t xml:space="preserve"> </w:t>
      </w:r>
      <w:r w:rsidR="00E8323C" w:rsidRPr="00610127">
        <w:t>conseill</w:t>
      </w:r>
      <w:r w:rsidR="00AB3752" w:rsidRPr="00610127">
        <w:t>ère</w:t>
      </w:r>
      <w:r w:rsidR="00E8323C" w:rsidRPr="00610127">
        <w:t xml:space="preserve"> des États</w:t>
      </w:r>
      <w:r w:rsidR="002F0519" w:rsidRPr="00610127">
        <w:t>-Unis</w:t>
      </w:r>
      <w:r w:rsidRPr="00610127">
        <w:t xml:space="preserve">. </w:t>
      </w:r>
      <w:r w:rsidR="00A56D34" w:rsidRPr="00610127">
        <w:t>Le conseiller de l</w:t>
      </w:r>
      <w:r w:rsidR="00B83ECD" w:rsidRPr="00610127">
        <w:t>'</w:t>
      </w:r>
      <w:r w:rsidR="00A56D34" w:rsidRPr="00610127">
        <w:t xml:space="preserve">Arabie saoudite </w:t>
      </w:r>
      <w:r w:rsidR="00CD528F" w:rsidRPr="00610127">
        <w:t xml:space="preserve">fait observer </w:t>
      </w:r>
      <w:r w:rsidR="00A56D34" w:rsidRPr="00610127">
        <w:t>que p</w:t>
      </w:r>
      <w:r w:rsidR="00EC1B85" w:rsidRPr="00610127">
        <w:t xml:space="preserve">lusieurs conseillers se disent favorables à la </w:t>
      </w:r>
      <w:r w:rsidRPr="00610127">
        <w:t>propos</w:t>
      </w:r>
      <w:r w:rsidR="00EC1B85" w:rsidRPr="00610127">
        <w:t xml:space="preserve">ition </w:t>
      </w:r>
      <w:r w:rsidR="00CD528F" w:rsidRPr="00610127">
        <w:t>issue</w:t>
      </w:r>
      <w:r w:rsidR="00EC1B85" w:rsidRPr="00610127">
        <w:t xml:space="preserve"> de la </w:t>
      </w:r>
      <w:r w:rsidR="00CD528F" w:rsidRPr="00610127">
        <w:t>séance</w:t>
      </w:r>
      <w:r w:rsidR="00797724" w:rsidRPr="00610127">
        <w:t xml:space="preserve"> </w:t>
      </w:r>
      <w:r w:rsidR="00EC1B85" w:rsidRPr="00610127">
        <w:t xml:space="preserve">spéciale du </w:t>
      </w:r>
      <w:r w:rsidRPr="00610127">
        <w:t>24 </w:t>
      </w:r>
      <w:r w:rsidR="00EC1B85" w:rsidRPr="00610127">
        <w:t>mars</w:t>
      </w:r>
      <w:r w:rsidRPr="00610127">
        <w:t>.</w:t>
      </w:r>
      <w:r w:rsidR="007F3422" w:rsidRPr="00610127">
        <w:t xml:space="preserve"> L</w:t>
      </w:r>
      <w:r w:rsidR="00B83ECD" w:rsidRPr="00610127">
        <w:t>'</w:t>
      </w:r>
      <w:r w:rsidR="007F3422" w:rsidRPr="00610127">
        <w:t xml:space="preserve">un des conseillers </w:t>
      </w:r>
      <w:r w:rsidR="00E56EDD" w:rsidRPr="00610127">
        <w:t>fait remarquer que le Forum du SMSI a été recommandé comme une plate</w:t>
      </w:r>
      <w:r w:rsidR="00610127" w:rsidRPr="00610127">
        <w:noBreakHyphen/>
      </w:r>
      <w:r w:rsidR="00E56EDD" w:rsidRPr="00610127">
        <w:t>forme multi-parties prenantes efficiente et efficace pour l'étude des grandes orientation</w:t>
      </w:r>
      <w:r w:rsidR="00D706C4" w:rsidRPr="00610127">
        <w:t>s</w:t>
      </w:r>
      <w:r w:rsidR="00E56EDD" w:rsidRPr="00610127">
        <w:t xml:space="preserve"> et </w:t>
      </w:r>
      <w:r w:rsidR="007F3422" w:rsidRPr="00610127">
        <w:t>estime que la feuille de route devrait être perçue comme un document évolutif et approuvé</w:t>
      </w:r>
      <w:r w:rsidR="00A56D34" w:rsidRPr="00610127">
        <w:t>e</w:t>
      </w:r>
      <w:r w:rsidR="007F3422" w:rsidRPr="00610127">
        <w:t xml:space="preserve"> </w:t>
      </w:r>
      <w:r w:rsidR="00CD528F" w:rsidRPr="00610127">
        <w:t>sur cette base</w:t>
      </w:r>
      <w:r w:rsidRPr="00610127">
        <w:t xml:space="preserve">, </w:t>
      </w:r>
      <w:r w:rsidR="007F3422" w:rsidRPr="00610127">
        <w:t xml:space="preserve">compte tenu </w:t>
      </w:r>
      <w:r w:rsidR="00CD528F" w:rsidRPr="00610127">
        <w:t xml:space="preserve">notamment </w:t>
      </w:r>
      <w:r w:rsidR="007F3422" w:rsidRPr="00610127">
        <w:t>des contraintes de temps</w:t>
      </w:r>
      <w:r w:rsidRPr="00610127">
        <w:t>,</w:t>
      </w:r>
      <w:r w:rsidR="00797724" w:rsidRPr="00610127">
        <w:t xml:space="preserve"> </w:t>
      </w:r>
      <w:r w:rsidR="00CD528F" w:rsidRPr="00610127">
        <w:t>afin de pouvoir</w:t>
      </w:r>
      <w:r w:rsidR="007F3422" w:rsidRPr="00610127">
        <w:t xml:space="preserve"> être transmis</w:t>
      </w:r>
      <w:r w:rsidR="00A56D34" w:rsidRPr="00610127">
        <w:t>e</w:t>
      </w:r>
      <w:r w:rsidR="007F3422" w:rsidRPr="00610127">
        <w:t xml:space="preserve"> à la Commission de la science et de la technique au service du développement</w:t>
      </w:r>
      <w:r w:rsidRPr="00610127">
        <w:t xml:space="preserve"> (CSTD) </w:t>
      </w:r>
      <w:r w:rsidR="007F3422" w:rsidRPr="00610127">
        <w:t xml:space="preserve">des Nations unies et au Forum du SMSI </w:t>
      </w:r>
      <w:r w:rsidR="00A56D34" w:rsidRPr="00610127">
        <w:t xml:space="preserve">pour </w:t>
      </w:r>
      <w:r w:rsidR="00CD528F" w:rsidRPr="00610127">
        <w:t>observations</w:t>
      </w:r>
      <w:r w:rsidR="0041533D" w:rsidRPr="00610127">
        <w:t>.</w:t>
      </w:r>
      <w:r w:rsidR="00797724" w:rsidRPr="00610127">
        <w:t xml:space="preserve"> </w:t>
      </w:r>
      <w:r w:rsidR="0098596E" w:rsidRPr="00610127">
        <w:t xml:space="preserve">Les conseillers sont clairement et unanimement </w:t>
      </w:r>
      <w:r w:rsidR="00DF2C09" w:rsidRPr="00610127">
        <w:t>favorables</w:t>
      </w:r>
      <w:r w:rsidR="00797724" w:rsidRPr="00610127">
        <w:t xml:space="preserve"> </w:t>
      </w:r>
      <w:r w:rsidR="00CD528F" w:rsidRPr="00610127">
        <w:t>à la poursuite</w:t>
      </w:r>
      <w:r w:rsidR="00797724" w:rsidRPr="00610127">
        <w:t xml:space="preserve"> </w:t>
      </w:r>
      <w:r w:rsidR="00DF2C09" w:rsidRPr="00610127">
        <w:t>des travaux du GCT</w:t>
      </w:r>
      <w:r w:rsidRPr="00610127">
        <w:t>-</w:t>
      </w:r>
      <w:r w:rsidR="00DF2C09" w:rsidRPr="00610127">
        <w:t xml:space="preserve">SMSI/ODD </w:t>
      </w:r>
      <w:r w:rsidR="00C75E16" w:rsidRPr="00610127">
        <w:t>dans le cadre d</w:t>
      </w:r>
      <w:r w:rsidR="00B83ECD" w:rsidRPr="00610127">
        <w:t>'</w:t>
      </w:r>
      <w:r w:rsidR="00DF2C09" w:rsidRPr="00610127">
        <w:t xml:space="preserve">un </w:t>
      </w:r>
      <w:r w:rsidR="00C75E16" w:rsidRPr="00610127">
        <w:t xml:space="preserve">nouveau </w:t>
      </w:r>
      <w:r w:rsidR="00DF2C09" w:rsidRPr="00610127">
        <w:t>mandat</w:t>
      </w:r>
      <w:r w:rsidRPr="00610127">
        <w:t>.</w:t>
      </w:r>
      <w:r w:rsidR="0098596E" w:rsidRPr="00610127">
        <w:t xml:space="preserve"> Ils reconnaissent la contribution de M. Minkin en tant que Président du </w:t>
      </w:r>
      <w:r w:rsidR="00362AF4" w:rsidRPr="00610127">
        <w:t>GTC</w:t>
      </w:r>
      <w:r w:rsidR="0098596E" w:rsidRPr="00610127">
        <w:t xml:space="preserve">-SMSI/ODD et de ses </w:t>
      </w:r>
      <w:r w:rsidR="00610127" w:rsidRPr="00610127">
        <w:t>v</w:t>
      </w:r>
      <w:r w:rsidR="0098596E" w:rsidRPr="00610127">
        <w:t>ice-</w:t>
      </w:r>
      <w:r w:rsidR="00610127" w:rsidRPr="00610127">
        <w:t>p</w:t>
      </w:r>
      <w:r w:rsidR="0098596E" w:rsidRPr="00610127">
        <w:t>résidents, compte tenu de leur contribution aux travaux du Groupe et de l'importance de ce dernier.</w:t>
      </w:r>
    </w:p>
    <w:p w14:paraId="50940E55" w14:textId="77777777" w:rsidR="00276FFF" w:rsidRPr="00610127" w:rsidRDefault="00276FFF" w:rsidP="00217650">
      <w:r w:rsidRPr="00610127">
        <w:t>2.7</w:t>
      </w:r>
      <w:r w:rsidRPr="00610127">
        <w:tab/>
      </w:r>
      <w:r w:rsidR="00621E48" w:rsidRPr="00610127">
        <w:t>Le Président considère que le Conseil décide de prendre note de la feuille de route étab</w:t>
      </w:r>
      <w:r w:rsidR="00571A7E" w:rsidRPr="00610127">
        <w:t>l</w:t>
      </w:r>
      <w:r w:rsidR="00621E48" w:rsidRPr="00610127">
        <w:t>ie par le Secrétaire général</w:t>
      </w:r>
      <w:r w:rsidR="00CD528F" w:rsidRPr="00610127">
        <w:t>,</w:t>
      </w:r>
      <w:r w:rsidR="00D01E5C" w:rsidRPr="00610127">
        <w:t xml:space="preserve"> </w:t>
      </w:r>
      <w:r w:rsidR="00621E48" w:rsidRPr="00610127">
        <w:t>de demander au</w:t>
      </w:r>
      <w:r w:rsidR="00797724" w:rsidRPr="00610127">
        <w:t xml:space="preserve"> </w:t>
      </w:r>
      <w:r w:rsidR="00CD528F" w:rsidRPr="00610127">
        <w:t>s</w:t>
      </w:r>
      <w:r w:rsidRPr="00610127">
        <w:t>ecr</w:t>
      </w:r>
      <w:r w:rsidR="00621E48" w:rsidRPr="00610127">
        <w:t>é</w:t>
      </w:r>
      <w:r w:rsidRPr="00610127">
        <w:t xml:space="preserve">tariat </w:t>
      </w:r>
      <w:r w:rsidR="00621E48" w:rsidRPr="00610127">
        <w:t xml:space="preserve">de mettre à jour le </w:t>
      </w:r>
      <w:r w:rsidRPr="00610127">
        <w:t>Document C22/59</w:t>
      </w:r>
      <w:r w:rsidR="00CD528F" w:rsidRPr="00610127">
        <w:t>,</w:t>
      </w:r>
      <w:r w:rsidRPr="00610127">
        <w:t xml:space="preserve"> </w:t>
      </w:r>
      <w:r w:rsidR="00621E48" w:rsidRPr="00610127">
        <w:t>afin de tenir compte de tou</w:t>
      </w:r>
      <w:r w:rsidR="0014638D" w:rsidRPr="00610127">
        <w:t>s</w:t>
      </w:r>
      <w:r w:rsidR="00621E48" w:rsidRPr="00610127">
        <w:t xml:space="preserve"> </w:t>
      </w:r>
      <w:r w:rsidRPr="00610127">
        <w:t>comment</w:t>
      </w:r>
      <w:r w:rsidR="00621E48" w:rsidRPr="00610127">
        <w:t>aire</w:t>
      </w:r>
      <w:r w:rsidR="0014638D" w:rsidRPr="00610127">
        <w:t>s</w:t>
      </w:r>
      <w:r w:rsidR="00621E48" w:rsidRPr="00610127">
        <w:t xml:space="preserve"> </w:t>
      </w:r>
      <w:r w:rsidR="00CD528F" w:rsidRPr="00610127">
        <w:t xml:space="preserve">formulés, </w:t>
      </w:r>
      <w:r w:rsidR="00621E48" w:rsidRPr="00610127">
        <w:t>et de le transmettre, accompagné du compte rendu de la réunion, à la Conférence de plénipotentiaires</w:t>
      </w:r>
      <w:r w:rsidR="00797724" w:rsidRPr="00610127">
        <w:t xml:space="preserve"> </w:t>
      </w:r>
      <w:r w:rsidR="00CD528F" w:rsidRPr="00610127">
        <w:t>et</w:t>
      </w:r>
      <w:r w:rsidR="00797724" w:rsidRPr="00610127">
        <w:t xml:space="preserve"> </w:t>
      </w:r>
      <w:r w:rsidR="00621E48" w:rsidRPr="00610127">
        <w:t>d</w:t>
      </w:r>
      <w:r w:rsidR="00B83ECD" w:rsidRPr="00610127">
        <w:t>'</w:t>
      </w:r>
      <w:r w:rsidR="00621E48" w:rsidRPr="00610127">
        <w:t>inviter le</w:t>
      </w:r>
      <w:r w:rsidR="00797724" w:rsidRPr="00610127">
        <w:t xml:space="preserve"> </w:t>
      </w:r>
      <w:r w:rsidR="00CD528F" w:rsidRPr="00610127">
        <w:t>s</w:t>
      </w:r>
      <w:r w:rsidRPr="00610127">
        <w:t>ecr</w:t>
      </w:r>
      <w:r w:rsidR="00621E48" w:rsidRPr="00610127">
        <w:t>é</w:t>
      </w:r>
      <w:r w:rsidRPr="00610127">
        <w:t xml:space="preserve">tariat </w:t>
      </w:r>
      <w:r w:rsidR="00621E48" w:rsidRPr="00610127">
        <w:t>à</w:t>
      </w:r>
      <w:r w:rsidR="00797724" w:rsidRPr="00610127">
        <w:t xml:space="preserve"> </w:t>
      </w:r>
      <w:r w:rsidR="00CD528F" w:rsidRPr="00610127">
        <w:t xml:space="preserve">communiquer </w:t>
      </w:r>
      <w:r w:rsidR="00621E48" w:rsidRPr="00610127">
        <w:t xml:space="preserve">le </w:t>
      </w:r>
      <w:r w:rsidRPr="00610127">
        <w:t>document</w:t>
      </w:r>
      <w:r w:rsidR="00797724" w:rsidRPr="00610127">
        <w:t xml:space="preserve"> </w:t>
      </w:r>
      <w:r w:rsidR="00CD528F" w:rsidRPr="00610127">
        <w:t>à</w:t>
      </w:r>
      <w:r w:rsidR="00797724" w:rsidRPr="00610127">
        <w:t xml:space="preserve"> </w:t>
      </w:r>
      <w:r w:rsidR="00621E48" w:rsidRPr="00610127">
        <w:t xml:space="preserve">la </w:t>
      </w:r>
      <w:r w:rsidRPr="00610127">
        <w:t xml:space="preserve">CSTD </w:t>
      </w:r>
      <w:r w:rsidR="00621E48" w:rsidRPr="00610127">
        <w:t xml:space="preserve">et </w:t>
      </w:r>
      <w:r w:rsidR="00CD528F" w:rsidRPr="00610127">
        <w:t>au</w:t>
      </w:r>
      <w:r w:rsidR="00797724" w:rsidRPr="00610127">
        <w:t xml:space="preserve"> </w:t>
      </w:r>
      <w:r w:rsidR="00621E48" w:rsidRPr="00610127">
        <w:t>Forum du SMSI</w:t>
      </w:r>
      <w:r w:rsidR="00CD528F" w:rsidRPr="00610127">
        <w:t>,</w:t>
      </w:r>
      <w:r w:rsidR="00621E48" w:rsidRPr="00610127">
        <w:t xml:space="preserve"> </w:t>
      </w:r>
      <w:r w:rsidR="00CD528F" w:rsidRPr="00610127">
        <w:t xml:space="preserve">afin </w:t>
      </w:r>
      <w:r w:rsidR="0095559E" w:rsidRPr="00610127">
        <w:t>de</w:t>
      </w:r>
      <w:r w:rsidR="00797724" w:rsidRPr="00610127">
        <w:t xml:space="preserve"> </w:t>
      </w:r>
      <w:r w:rsidR="00CD528F" w:rsidRPr="00610127">
        <w:t>d</w:t>
      </w:r>
      <w:r w:rsidR="00B83ECD" w:rsidRPr="00610127">
        <w:t>'</w:t>
      </w:r>
      <w:r w:rsidR="0095559E" w:rsidRPr="00610127">
        <w:t xml:space="preserve">y inclure les </w:t>
      </w:r>
      <w:r w:rsidRPr="00610127">
        <w:t>commen</w:t>
      </w:r>
      <w:r w:rsidR="0095559E" w:rsidRPr="00610127">
        <w:t>taires des différentes parties prenantes</w:t>
      </w:r>
      <w:r w:rsidRPr="00610127">
        <w:t>.</w:t>
      </w:r>
    </w:p>
    <w:p w14:paraId="5AF6B2B6" w14:textId="77777777" w:rsidR="00276FFF" w:rsidRPr="00610127" w:rsidRDefault="00276FFF" w:rsidP="00217650">
      <w:r w:rsidRPr="00610127">
        <w:t>2.8</w:t>
      </w:r>
      <w:r w:rsidRPr="00610127">
        <w:tab/>
      </w:r>
      <w:r w:rsidRPr="00610127">
        <w:rPr>
          <w:rFonts w:eastAsia="MS Mincho"/>
        </w:rPr>
        <w:t xml:space="preserve">Il en est ainsi </w:t>
      </w:r>
      <w:r w:rsidRPr="00610127">
        <w:rPr>
          <w:rFonts w:eastAsia="MS Mincho"/>
          <w:b/>
          <w:bCs/>
        </w:rPr>
        <w:t>décidé</w:t>
      </w:r>
      <w:r w:rsidRPr="00610127">
        <w:rPr>
          <w:rFonts w:eastAsia="MS Mincho"/>
        </w:rPr>
        <w:t>.</w:t>
      </w:r>
    </w:p>
    <w:p w14:paraId="0D7597C7" w14:textId="77777777" w:rsidR="00610127" w:rsidRDefault="00610127" w:rsidP="00217650">
      <w:pPr>
        <w:pStyle w:val="Heading1"/>
      </w:pPr>
      <w:r>
        <w:br w:type="page"/>
      </w:r>
    </w:p>
    <w:p w14:paraId="4532D62B" w14:textId="6190DCDB" w:rsidR="00276FFF" w:rsidRPr="00610127" w:rsidRDefault="00276FFF" w:rsidP="00217650">
      <w:pPr>
        <w:pStyle w:val="Heading1"/>
      </w:pPr>
      <w:r w:rsidRPr="00610127">
        <w:lastRenderedPageBreak/>
        <w:t>3</w:t>
      </w:r>
      <w:r w:rsidRPr="00610127">
        <w:tab/>
        <w:t>Projet de lignes directrices relatives à l</w:t>
      </w:r>
      <w:r w:rsidR="00B83ECD" w:rsidRPr="00610127">
        <w:t>'</w:t>
      </w:r>
      <w:r w:rsidRPr="00610127">
        <w:t>utilisation, par l</w:t>
      </w:r>
      <w:r w:rsidR="00B83ECD" w:rsidRPr="00610127">
        <w:t>'</w:t>
      </w:r>
      <w:r w:rsidRPr="00610127">
        <w:t xml:space="preserve">UIT, du Programme </w:t>
      </w:r>
      <w:r w:rsidR="00155050" w:rsidRPr="00610127">
        <w:t>m</w:t>
      </w:r>
      <w:r w:rsidRPr="00610127">
        <w:t xml:space="preserve">ondial </w:t>
      </w:r>
      <w:r w:rsidR="00155050" w:rsidRPr="00610127">
        <w:t>c</w:t>
      </w:r>
      <w:r w:rsidRPr="00610127">
        <w:t>ybersécurité</w:t>
      </w:r>
      <w:r w:rsidR="00220B20" w:rsidRPr="00610127">
        <w:t xml:space="preserve"> (GCA)</w:t>
      </w:r>
      <w:r w:rsidRPr="00610127">
        <w:t xml:space="preserve"> (suite) (Document C22/32(Rév.2))</w:t>
      </w:r>
    </w:p>
    <w:p w14:paraId="4A4F1898" w14:textId="77777777" w:rsidR="00276FFF" w:rsidRPr="00610127" w:rsidRDefault="00276FFF" w:rsidP="00217650">
      <w:r w:rsidRPr="00610127">
        <w:t>3.1</w:t>
      </w:r>
      <w:r w:rsidRPr="00610127">
        <w:tab/>
      </w:r>
      <w:r w:rsidR="00DF4B47" w:rsidRPr="00610127">
        <w:t xml:space="preserve">Le représentant du Secrétariat général présente le </w:t>
      </w:r>
      <w:r w:rsidRPr="00610127">
        <w:t xml:space="preserve">Document </w:t>
      </w:r>
      <w:hyperlink r:id="rId23" w:history="1">
        <w:r w:rsidRPr="00610127">
          <w:rPr>
            <w:rStyle w:val="Hyperlink"/>
          </w:rPr>
          <w:t>C22/32(R</w:t>
        </w:r>
        <w:r w:rsidR="00125793" w:rsidRPr="00610127">
          <w:rPr>
            <w:rStyle w:val="Hyperlink"/>
          </w:rPr>
          <w:t>é</w:t>
        </w:r>
        <w:r w:rsidRPr="00610127">
          <w:rPr>
            <w:rStyle w:val="Hyperlink"/>
          </w:rPr>
          <w:t>v.2)</w:t>
        </w:r>
      </w:hyperlink>
      <w:r w:rsidRPr="00610127">
        <w:t xml:space="preserve">, </w:t>
      </w:r>
      <w:r w:rsidR="00DF4B47" w:rsidRPr="00610127">
        <w:t>qui contient</w:t>
      </w:r>
      <w:r w:rsidRPr="00610127">
        <w:t xml:space="preserve"> </w:t>
      </w:r>
      <w:r w:rsidR="00DF4B47" w:rsidRPr="00610127">
        <w:t xml:space="preserve">la dernière </w:t>
      </w:r>
      <w:r w:rsidRPr="00610127">
        <w:t>version</w:t>
      </w:r>
      <w:r w:rsidR="00DF4B47" w:rsidRPr="00610127">
        <w:t xml:space="preserve"> du projet de lignes directrices</w:t>
      </w:r>
      <w:r w:rsidRPr="00610127">
        <w:t xml:space="preserve"> </w:t>
      </w:r>
      <w:r w:rsidR="00CD528F" w:rsidRPr="00610127">
        <w:rPr>
          <w:color w:val="000000"/>
        </w:rPr>
        <w:t>relatives à l</w:t>
      </w:r>
      <w:r w:rsidR="00B83ECD" w:rsidRPr="00610127">
        <w:rPr>
          <w:color w:val="000000"/>
        </w:rPr>
        <w:t>'</w:t>
      </w:r>
      <w:r w:rsidR="00CD528F" w:rsidRPr="00610127">
        <w:rPr>
          <w:color w:val="000000"/>
        </w:rPr>
        <w:t>utilisation du Programme</w:t>
      </w:r>
      <w:r w:rsidR="00797724" w:rsidRPr="00610127">
        <w:t xml:space="preserve"> </w:t>
      </w:r>
      <w:r w:rsidRPr="00610127">
        <w:rPr>
          <w:bCs/>
        </w:rPr>
        <w:t xml:space="preserve">GCA. </w:t>
      </w:r>
      <w:r w:rsidR="00051359" w:rsidRPr="00610127">
        <w:rPr>
          <w:bCs/>
        </w:rPr>
        <w:t xml:space="preserve">Un </w:t>
      </w:r>
      <w:r w:rsidR="00C31B1A" w:rsidRPr="00610127">
        <w:rPr>
          <w:bCs/>
        </w:rPr>
        <w:t xml:space="preserve">accord a été trouvé concernant toutes les parties </w:t>
      </w:r>
      <w:r w:rsidR="008E0BCE" w:rsidRPr="00610127">
        <w:rPr>
          <w:bCs/>
        </w:rPr>
        <w:t xml:space="preserve">en suspens </w:t>
      </w:r>
      <w:r w:rsidR="00C31B1A" w:rsidRPr="00610127">
        <w:rPr>
          <w:bCs/>
        </w:rPr>
        <w:t>du texte</w:t>
      </w:r>
      <w:r w:rsidR="00797724" w:rsidRPr="00610127">
        <w:rPr>
          <w:bCs/>
        </w:rPr>
        <w:t xml:space="preserve"> </w:t>
      </w:r>
      <w:r w:rsidR="00C31B1A" w:rsidRPr="00610127">
        <w:rPr>
          <w:bCs/>
        </w:rPr>
        <w:t xml:space="preserve">au cours de consultations informelles </w:t>
      </w:r>
      <w:r w:rsidR="000A690A" w:rsidRPr="00610127">
        <w:rPr>
          <w:bCs/>
        </w:rPr>
        <w:t>qui se sont tenues durant la</w:t>
      </w:r>
      <w:r w:rsidR="00797724" w:rsidRPr="00610127">
        <w:rPr>
          <w:bCs/>
        </w:rPr>
        <w:t xml:space="preserve"> </w:t>
      </w:r>
      <w:r w:rsidR="000A690A" w:rsidRPr="00610127">
        <w:rPr>
          <w:bCs/>
        </w:rPr>
        <w:t xml:space="preserve">session </w:t>
      </w:r>
      <w:r w:rsidR="00CD528F" w:rsidRPr="00610127">
        <w:rPr>
          <w:bCs/>
        </w:rPr>
        <w:t xml:space="preserve">actuelle </w:t>
      </w:r>
      <w:r w:rsidR="000A690A" w:rsidRPr="00610127">
        <w:rPr>
          <w:bCs/>
        </w:rPr>
        <w:t>du Conseil</w:t>
      </w:r>
      <w:r w:rsidRPr="00610127">
        <w:rPr>
          <w:bCs/>
        </w:rPr>
        <w:t>.</w:t>
      </w:r>
    </w:p>
    <w:p w14:paraId="576F6B6A" w14:textId="77777777" w:rsidR="00276FFF" w:rsidRPr="00610127" w:rsidRDefault="00276FFF" w:rsidP="00217650">
      <w:r w:rsidRPr="00610127">
        <w:t>3.2</w:t>
      </w:r>
      <w:r w:rsidRPr="00610127">
        <w:tab/>
      </w:r>
      <w:r w:rsidR="008B44C6" w:rsidRPr="00610127">
        <w:t>Les conseillers se</w:t>
      </w:r>
      <w:r w:rsidR="00797724" w:rsidRPr="00610127">
        <w:t xml:space="preserve"> </w:t>
      </w:r>
      <w:r w:rsidR="008B44C6" w:rsidRPr="00610127">
        <w:t>félicit</w:t>
      </w:r>
      <w:r w:rsidR="008E0BCE" w:rsidRPr="00610127">
        <w:t>ent</w:t>
      </w:r>
      <w:r w:rsidR="00797724" w:rsidRPr="00610127">
        <w:t xml:space="preserve"> </w:t>
      </w:r>
      <w:r w:rsidR="008B44C6" w:rsidRPr="00610127">
        <w:t xml:space="preserve">du document et du </w:t>
      </w:r>
      <w:r w:rsidRPr="00610127">
        <w:t xml:space="preserve">consensus </w:t>
      </w:r>
      <w:r w:rsidR="008E0BCE" w:rsidRPr="00610127">
        <w:t>qui a été</w:t>
      </w:r>
      <w:r w:rsidR="008B44C6" w:rsidRPr="00610127">
        <w:t xml:space="preserve"> trouvé</w:t>
      </w:r>
      <w:r w:rsidRPr="00610127">
        <w:t>.</w:t>
      </w:r>
    </w:p>
    <w:p w14:paraId="6878A66F" w14:textId="77777777" w:rsidR="00276FFF" w:rsidRPr="00610127" w:rsidRDefault="00276FFF" w:rsidP="00217650">
      <w:r w:rsidRPr="00610127">
        <w:t>3.3</w:t>
      </w:r>
      <w:r w:rsidRPr="00610127">
        <w:tab/>
      </w:r>
      <w:r w:rsidR="008B44C6" w:rsidRPr="00610127">
        <w:t xml:space="preserve">Le Conseil </w:t>
      </w:r>
      <w:r w:rsidR="008B44C6" w:rsidRPr="00610127">
        <w:rPr>
          <w:b/>
          <w:bCs/>
        </w:rPr>
        <w:t>approuve</w:t>
      </w:r>
      <w:r w:rsidRPr="00610127">
        <w:t xml:space="preserve"> </w:t>
      </w:r>
      <w:r w:rsidR="008B44C6" w:rsidRPr="00610127">
        <w:t xml:space="preserve">le projet de lignes directrices </w:t>
      </w:r>
      <w:r w:rsidR="008E0BCE" w:rsidRPr="00610127">
        <w:rPr>
          <w:color w:val="000000"/>
        </w:rPr>
        <w:t>relatives à l</w:t>
      </w:r>
      <w:r w:rsidR="00B83ECD" w:rsidRPr="00610127">
        <w:rPr>
          <w:color w:val="000000"/>
        </w:rPr>
        <w:t>'</w:t>
      </w:r>
      <w:r w:rsidR="008E0BCE" w:rsidRPr="00610127">
        <w:rPr>
          <w:color w:val="000000"/>
        </w:rPr>
        <w:t>utilisation du Programme</w:t>
      </w:r>
      <w:r w:rsidR="00797724" w:rsidRPr="00610127">
        <w:t xml:space="preserve"> </w:t>
      </w:r>
      <w:r w:rsidRPr="00610127">
        <w:rPr>
          <w:bCs/>
        </w:rPr>
        <w:t>GCA</w:t>
      </w:r>
      <w:r w:rsidR="00797724" w:rsidRPr="00610127">
        <w:rPr>
          <w:bCs/>
        </w:rPr>
        <w:t xml:space="preserve"> </w:t>
      </w:r>
      <w:r w:rsidR="008E0BCE" w:rsidRPr="00610127">
        <w:rPr>
          <w:bCs/>
        </w:rPr>
        <w:t>figurant</w:t>
      </w:r>
      <w:r w:rsidR="00797724" w:rsidRPr="00610127">
        <w:rPr>
          <w:bCs/>
        </w:rPr>
        <w:t xml:space="preserve"> </w:t>
      </w:r>
      <w:r w:rsidR="00616952" w:rsidRPr="00610127">
        <w:rPr>
          <w:bCs/>
        </w:rPr>
        <w:t xml:space="preserve">dans le </w:t>
      </w:r>
      <w:r w:rsidRPr="00610127">
        <w:rPr>
          <w:bCs/>
        </w:rPr>
        <w:t>Document C22/32(R</w:t>
      </w:r>
      <w:r w:rsidR="00125793" w:rsidRPr="00610127">
        <w:rPr>
          <w:bCs/>
        </w:rPr>
        <w:t>é</w:t>
      </w:r>
      <w:r w:rsidRPr="00610127">
        <w:rPr>
          <w:bCs/>
        </w:rPr>
        <w:t xml:space="preserve">v.2) </w:t>
      </w:r>
      <w:r w:rsidR="00616952" w:rsidRPr="00610127">
        <w:rPr>
          <w:bCs/>
        </w:rPr>
        <w:t xml:space="preserve">et </w:t>
      </w:r>
      <w:r w:rsidR="00616952" w:rsidRPr="00610127">
        <w:rPr>
          <w:b/>
        </w:rPr>
        <w:t>décide</w:t>
      </w:r>
      <w:r w:rsidRPr="00610127">
        <w:rPr>
          <w:bCs/>
        </w:rPr>
        <w:t xml:space="preserve"> </w:t>
      </w:r>
      <w:r w:rsidR="00616952" w:rsidRPr="00610127">
        <w:rPr>
          <w:bCs/>
        </w:rPr>
        <w:t>de le transmettre à la Conférence de plénipotentiaires pour examen</w:t>
      </w:r>
      <w:r w:rsidRPr="00610127">
        <w:rPr>
          <w:bCs/>
        </w:rPr>
        <w:t>.</w:t>
      </w:r>
    </w:p>
    <w:p w14:paraId="7795E3DC" w14:textId="77777777" w:rsidR="00276FFF" w:rsidRPr="00610127" w:rsidRDefault="00276FFF" w:rsidP="00217650">
      <w:pPr>
        <w:pStyle w:val="Heading1"/>
      </w:pPr>
      <w:r w:rsidRPr="00610127">
        <w:t>4</w:t>
      </w:r>
      <w:r w:rsidRPr="00610127">
        <w:tab/>
        <w:t>Rapport sur la mise en œuvre de la politique et du cadre de l</w:t>
      </w:r>
      <w:r w:rsidR="00B83ECD" w:rsidRPr="00610127">
        <w:t>'</w:t>
      </w:r>
      <w:r w:rsidRPr="00610127">
        <w:t>UIT en matière d</w:t>
      </w:r>
      <w:r w:rsidR="00B83ECD" w:rsidRPr="00610127">
        <w:t>'</w:t>
      </w:r>
      <w:r w:rsidRPr="00610127">
        <w:t>accessibilité (Document C22/13(Rév.1))</w:t>
      </w:r>
    </w:p>
    <w:p w14:paraId="4C537292" w14:textId="77777777" w:rsidR="00276FFF" w:rsidRPr="00610127" w:rsidRDefault="00276FFF" w:rsidP="00217650">
      <w:r w:rsidRPr="00610127">
        <w:t>4.1</w:t>
      </w:r>
      <w:r w:rsidRPr="00610127">
        <w:tab/>
      </w:r>
      <w:r w:rsidR="00864C76" w:rsidRPr="00610127">
        <w:t>Le représentant</w:t>
      </w:r>
      <w:r w:rsidRPr="00610127">
        <w:t xml:space="preserve"> </w:t>
      </w:r>
      <w:r w:rsidR="00864C76" w:rsidRPr="00610127">
        <w:t>du Département de la planification stratégique et des relations avec les Membres</w:t>
      </w:r>
      <w:r w:rsidRPr="00610127">
        <w:t xml:space="preserve"> </w:t>
      </w:r>
      <w:r w:rsidR="00864C76" w:rsidRPr="00610127">
        <w:t xml:space="preserve">présente le </w:t>
      </w:r>
      <w:r w:rsidRPr="00610127">
        <w:t xml:space="preserve">Document </w:t>
      </w:r>
      <w:hyperlink r:id="rId24" w:history="1">
        <w:r w:rsidRPr="00610127">
          <w:rPr>
            <w:rStyle w:val="Hyperlink"/>
          </w:rPr>
          <w:t>C22/13(Rév.1)</w:t>
        </w:r>
      </w:hyperlink>
      <w:r w:rsidRPr="00610127">
        <w:t xml:space="preserve">, </w:t>
      </w:r>
      <w:r w:rsidR="00864C76" w:rsidRPr="00610127">
        <w:t>qui contient le premier rapport sur la mise en œuvre de la politique de l</w:t>
      </w:r>
      <w:r w:rsidR="00B83ECD" w:rsidRPr="00610127">
        <w:t>'</w:t>
      </w:r>
      <w:r w:rsidR="00864C76" w:rsidRPr="00610127">
        <w:t>UIT en matière d</w:t>
      </w:r>
      <w:r w:rsidR="00B83ECD" w:rsidRPr="00610127">
        <w:t>'</w:t>
      </w:r>
      <w:r w:rsidR="00864C76" w:rsidRPr="00610127">
        <w:t xml:space="preserve">accessibilité </w:t>
      </w:r>
      <w:r w:rsidR="003F5B60" w:rsidRPr="00610127">
        <w:t>et</w:t>
      </w:r>
      <w:r w:rsidR="00797724" w:rsidRPr="00610127">
        <w:t xml:space="preserve"> </w:t>
      </w:r>
      <w:r w:rsidR="008E0BCE" w:rsidRPr="00610127">
        <w:t xml:space="preserve">des activités </w:t>
      </w:r>
      <w:r w:rsidR="00864C76" w:rsidRPr="00610127">
        <w:t>connexes</w:t>
      </w:r>
      <w:r w:rsidRPr="00610127">
        <w:t xml:space="preserve">. </w:t>
      </w:r>
      <w:r w:rsidR="008A632F" w:rsidRPr="00610127">
        <w:t xml:space="preserve">Il </w:t>
      </w:r>
      <w:r w:rsidR="008E0BCE" w:rsidRPr="00610127">
        <w:t xml:space="preserve">note </w:t>
      </w:r>
      <w:r w:rsidR="008A632F" w:rsidRPr="00610127">
        <w:t>que</w:t>
      </w:r>
      <w:r w:rsidRPr="00610127">
        <w:t xml:space="preserve">, </w:t>
      </w:r>
      <w:r w:rsidR="008A632F" w:rsidRPr="00610127">
        <w:t xml:space="preserve">depuis la </w:t>
      </w:r>
      <w:r w:rsidRPr="00610127">
        <w:t>publication</w:t>
      </w:r>
      <w:r w:rsidR="008A632F" w:rsidRPr="00610127">
        <w:t xml:space="preserve"> du rapport</w:t>
      </w:r>
      <w:r w:rsidRPr="00610127">
        <w:t xml:space="preserve">, </w:t>
      </w:r>
      <w:r w:rsidR="008A632F" w:rsidRPr="00610127">
        <w:t>le personnel de l</w:t>
      </w:r>
      <w:r w:rsidR="00B83ECD" w:rsidRPr="00610127">
        <w:t>'</w:t>
      </w:r>
      <w:r w:rsidR="008A632F" w:rsidRPr="00610127">
        <w:t>UIT est</w:t>
      </w:r>
      <w:r w:rsidR="00797724" w:rsidRPr="00610127">
        <w:t xml:space="preserve"> </w:t>
      </w:r>
      <w:r w:rsidR="008A632F" w:rsidRPr="00610127">
        <w:t>tenu de suivre une formation en matière d</w:t>
      </w:r>
      <w:r w:rsidR="00B83ECD" w:rsidRPr="00610127">
        <w:t>'</w:t>
      </w:r>
      <w:r w:rsidRPr="00610127">
        <w:t>accessibilit</w:t>
      </w:r>
      <w:r w:rsidR="008A632F" w:rsidRPr="00610127">
        <w:t>é</w:t>
      </w:r>
      <w:r w:rsidRPr="00610127">
        <w:t>.</w:t>
      </w:r>
    </w:p>
    <w:p w14:paraId="385F2A6C" w14:textId="77777777" w:rsidR="00276FFF" w:rsidRPr="00610127" w:rsidRDefault="00276FFF" w:rsidP="00217650">
      <w:r w:rsidRPr="00610127">
        <w:t>4.2</w:t>
      </w:r>
      <w:r w:rsidRPr="00610127">
        <w:tab/>
      </w:r>
      <w:r w:rsidR="000D25E4" w:rsidRPr="00610127">
        <w:t xml:space="preserve">Les </w:t>
      </w:r>
      <w:r w:rsidR="00BA65E6" w:rsidRPr="00610127">
        <w:t>conseill</w:t>
      </w:r>
      <w:r w:rsidR="000D25E4" w:rsidRPr="00610127">
        <w:t xml:space="preserve">ers </w:t>
      </w:r>
      <w:r w:rsidR="008E0BCE" w:rsidRPr="00610127">
        <w:t>souscrivent</w:t>
      </w:r>
      <w:r w:rsidR="00797724" w:rsidRPr="00610127">
        <w:t xml:space="preserve"> </w:t>
      </w:r>
      <w:r w:rsidR="000D25E4" w:rsidRPr="00610127">
        <w:t xml:space="preserve">sans réserve </w:t>
      </w:r>
      <w:r w:rsidR="008E0BCE" w:rsidRPr="00610127">
        <w:t>aux</w:t>
      </w:r>
      <w:r w:rsidR="00797724" w:rsidRPr="00610127">
        <w:t xml:space="preserve"> </w:t>
      </w:r>
      <w:r w:rsidR="000D25E4" w:rsidRPr="00610127">
        <w:t>travaux que l</w:t>
      </w:r>
      <w:r w:rsidR="00B83ECD" w:rsidRPr="00610127">
        <w:t>'</w:t>
      </w:r>
      <w:r w:rsidR="000D25E4" w:rsidRPr="00610127">
        <w:t>UIT a effectués en vue d</w:t>
      </w:r>
      <w:r w:rsidR="00B83ECD" w:rsidRPr="00610127">
        <w:t>'</w:t>
      </w:r>
      <w:r w:rsidR="000D25E4" w:rsidRPr="00610127">
        <w:t>améliorer l</w:t>
      </w:r>
      <w:r w:rsidR="00B83ECD" w:rsidRPr="00610127">
        <w:t>'</w:t>
      </w:r>
      <w:r w:rsidRPr="00610127">
        <w:t>accessibilit</w:t>
      </w:r>
      <w:r w:rsidR="000D25E4" w:rsidRPr="00610127">
        <w:t>é</w:t>
      </w:r>
      <w:r w:rsidRPr="00610127">
        <w:t xml:space="preserve">. </w:t>
      </w:r>
      <w:r w:rsidR="000D25E4" w:rsidRPr="00610127">
        <w:t xml:space="preserve">Le </w:t>
      </w:r>
      <w:r w:rsidR="00BA65E6" w:rsidRPr="00610127">
        <w:t>conseill</w:t>
      </w:r>
      <w:r w:rsidR="000D25E4" w:rsidRPr="00610127">
        <w:t>er de l</w:t>
      </w:r>
      <w:r w:rsidR="00B83ECD" w:rsidRPr="00610127">
        <w:t>'</w:t>
      </w:r>
      <w:r w:rsidRPr="00610127">
        <w:t>Ital</w:t>
      </w:r>
      <w:r w:rsidR="000D25E4" w:rsidRPr="00610127">
        <w:t>ie</w:t>
      </w:r>
      <w:r w:rsidRPr="00610127">
        <w:t xml:space="preserve"> annonce </w:t>
      </w:r>
      <w:r w:rsidR="000D25E4" w:rsidRPr="00610127">
        <w:t>que le Groupe de coordination intersectorielle a nommé</w:t>
      </w:r>
      <w:r w:rsidR="003F5B60" w:rsidRPr="00610127">
        <w:t>, lors de sa dernière réunion,</w:t>
      </w:r>
      <w:r w:rsidR="000D25E4" w:rsidRPr="00610127">
        <w:t xml:space="preserve"> un </w:t>
      </w:r>
      <w:r w:rsidR="008E0BCE" w:rsidRPr="00610127">
        <w:t xml:space="preserve">coordonnateur </w:t>
      </w:r>
      <w:r w:rsidR="000D25E4" w:rsidRPr="00610127">
        <w:t>charg</w:t>
      </w:r>
      <w:r w:rsidR="003F5B60" w:rsidRPr="00610127">
        <w:t>é</w:t>
      </w:r>
      <w:r w:rsidR="000D25E4" w:rsidRPr="00610127">
        <w:t xml:space="preserve"> des questions d</w:t>
      </w:r>
      <w:r w:rsidR="00B83ECD" w:rsidRPr="00610127">
        <w:t>'</w:t>
      </w:r>
      <w:r w:rsidRPr="00610127">
        <w:t>accessibilit</w:t>
      </w:r>
      <w:r w:rsidR="000D25E4" w:rsidRPr="00610127">
        <w:t>é</w:t>
      </w:r>
      <w:r w:rsidRPr="00610127">
        <w:t xml:space="preserve">. </w:t>
      </w:r>
      <w:r w:rsidR="00367D6C" w:rsidRPr="00610127">
        <w:t>Un autre conseiller</w:t>
      </w:r>
      <w:r w:rsidR="00797724" w:rsidRPr="00610127">
        <w:t xml:space="preserve"> </w:t>
      </w:r>
      <w:r w:rsidR="008E0BCE" w:rsidRPr="00610127">
        <w:t xml:space="preserve">fait observer </w:t>
      </w:r>
      <w:r w:rsidR="00367D6C" w:rsidRPr="00610127">
        <w:t xml:space="preserve">que, pour </w:t>
      </w:r>
      <w:r w:rsidR="00B84FE6" w:rsidRPr="00610127">
        <w:t>que l</w:t>
      </w:r>
      <w:r w:rsidR="00B83ECD" w:rsidRPr="00610127">
        <w:t>'</w:t>
      </w:r>
      <w:r w:rsidRPr="00610127">
        <w:t>accessibilit</w:t>
      </w:r>
      <w:r w:rsidR="00367D6C" w:rsidRPr="00610127">
        <w:t xml:space="preserve">é </w:t>
      </w:r>
      <w:r w:rsidR="00B84FE6" w:rsidRPr="00610127">
        <w:t xml:space="preserve">soit </w:t>
      </w:r>
      <w:r w:rsidR="00367D6C" w:rsidRPr="00610127">
        <w:t>efficace</w:t>
      </w:r>
      <w:r w:rsidRPr="00610127">
        <w:t xml:space="preserve">, </w:t>
      </w:r>
      <w:r w:rsidR="00367D6C" w:rsidRPr="00610127">
        <w:t xml:space="preserve">il faut garantir </w:t>
      </w:r>
      <w:r w:rsidR="00B84FE6" w:rsidRPr="00610127">
        <w:t>l</w:t>
      </w:r>
      <w:r w:rsidR="00B83ECD" w:rsidRPr="00610127">
        <w:t>'</w:t>
      </w:r>
      <w:r w:rsidR="00367D6C" w:rsidRPr="00610127">
        <w:t>égalité d</w:t>
      </w:r>
      <w:r w:rsidR="00B83ECD" w:rsidRPr="00610127">
        <w:t>'</w:t>
      </w:r>
      <w:r w:rsidR="00367D6C" w:rsidRPr="00610127">
        <w:t>accès aux TIC à toutes</w:t>
      </w:r>
      <w:r w:rsidR="00B84FE6" w:rsidRPr="00610127">
        <w:t xml:space="preserve"> les</w:t>
      </w:r>
      <w:r w:rsidR="00367D6C" w:rsidRPr="00610127">
        <w:t xml:space="preserve"> personnes, </w:t>
      </w:r>
      <w:r w:rsidR="00B84FE6" w:rsidRPr="00610127">
        <w:rPr>
          <w:color w:val="000000"/>
        </w:rPr>
        <w:t>avec ou sans handicap</w:t>
      </w:r>
      <w:r w:rsidR="00367D6C" w:rsidRPr="00610127">
        <w:t xml:space="preserve">, </w:t>
      </w:r>
      <w:r w:rsidR="00B84FE6" w:rsidRPr="00610127">
        <w:t>dans toutes les régions du monde</w:t>
      </w:r>
      <w:r w:rsidR="00D01E5C" w:rsidRPr="00610127">
        <w:t>.</w:t>
      </w:r>
    </w:p>
    <w:p w14:paraId="35EB53D7" w14:textId="77777777" w:rsidR="00276FFF" w:rsidRPr="00610127" w:rsidRDefault="00276FFF" w:rsidP="00217650">
      <w:pPr>
        <w:rPr>
          <w:bCs/>
        </w:rPr>
      </w:pPr>
      <w:r w:rsidRPr="00610127">
        <w:t>4.3</w:t>
      </w:r>
      <w:r w:rsidRPr="00610127">
        <w:tab/>
      </w:r>
      <w:r w:rsidR="00367D6C" w:rsidRPr="00610127">
        <w:t xml:space="preserve">Le Conseil </w:t>
      </w:r>
      <w:r w:rsidR="00367D6C" w:rsidRPr="00610127">
        <w:rPr>
          <w:b/>
          <w:bCs/>
        </w:rPr>
        <w:t>prend note</w:t>
      </w:r>
      <w:r w:rsidR="00367D6C" w:rsidRPr="00610127">
        <w:t xml:space="preserve"> du rapport contenu dans le </w:t>
      </w:r>
      <w:r w:rsidRPr="00610127">
        <w:t>Document C22/13(R</w:t>
      </w:r>
      <w:r w:rsidR="00125793" w:rsidRPr="00610127">
        <w:t>é</w:t>
      </w:r>
      <w:r w:rsidRPr="00610127">
        <w:t>v.1).</w:t>
      </w:r>
    </w:p>
    <w:p w14:paraId="1FFC3A72" w14:textId="77777777" w:rsidR="00276FFF" w:rsidRPr="00610127" w:rsidRDefault="00276FFF" w:rsidP="00217650">
      <w:pPr>
        <w:pStyle w:val="Heading1"/>
      </w:pPr>
      <w:r w:rsidRPr="00610127">
        <w:t>5</w:t>
      </w:r>
      <w:r w:rsidRPr="00610127">
        <w:tab/>
      </w:r>
      <w:r w:rsidR="00BA443D" w:rsidRPr="00610127">
        <w:t>Activités de l</w:t>
      </w:r>
      <w:r w:rsidR="00B83ECD" w:rsidRPr="00610127">
        <w:t>'</w:t>
      </w:r>
      <w:r w:rsidR="00BA443D" w:rsidRPr="00610127">
        <w:t xml:space="preserve">UIT relatives à la Résolution 70 (Rév. Dubaï, 2018) de la Conférence de plénipotentiaires </w:t>
      </w:r>
      <w:r w:rsidRPr="00610127">
        <w:t>(</w:t>
      </w:r>
      <w:bookmarkStart w:id="10" w:name="_Hlk99880317"/>
      <w:r w:rsidRPr="00610127">
        <w:t>Document C22/6</w:t>
      </w:r>
      <w:bookmarkEnd w:id="10"/>
      <w:r w:rsidRPr="00610127">
        <w:t>)</w:t>
      </w:r>
    </w:p>
    <w:p w14:paraId="2A5AEB00" w14:textId="77777777" w:rsidR="00276FFF" w:rsidRPr="00610127" w:rsidRDefault="00276FFF" w:rsidP="00217650">
      <w:r w:rsidRPr="00610127">
        <w:t>5.1</w:t>
      </w:r>
      <w:r w:rsidRPr="00610127">
        <w:tab/>
      </w:r>
      <w:r w:rsidR="006C2FE0" w:rsidRPr="00610127">
        <w:t>L</w:t>
      </w:r>
      <w:r w:rsidR="00814DC1" w:rsidRPr="00610127">
        <w:t>a</w:t>
      </w:r>
      <w:r w:rsidR="006C2FE0" w:rsidRPr="00610127">
        <w:t xml:space="preserve"> représentant</w:t>
      </w:r>
      <w:r w:rsidR="00814DC1" w:rsidRPr="00610127">
        <w:t>e</w:t>
      </w:r>
      <w:r w:rsidR="006C2FE0" w:rsidRPr="00610127">
        <w:t xml:space="preserve"> du Secrétariat général présente le </w:t>
      </w:r>
      <w:r w:rsidRPr="00610127">
        <w:t xml:space="preserve">Document </w:t>
      </w:r>
      <w:hyperlink r:id="rId25" w:history="1">
        <w:r w:rsidRPr="00610127">
          <w:rPr>
            <w:rStyle w:val="Hyperlink"/>
          </w:rPr>
          <w:t>C22/6</w:t>
        </w:r>
      </w:hyperlink>
      <w:r w:rsidRPr="00610127">
        <w:t xml:space="preserve">, </w:t>
      </w:r>
      <w:r w:rsidR="006C2FE0" w:rsidRPr="00610127">
        <w:t>qui</w:t>
      </w:r>
      <w:r w:rsidR="00797724" w:rsidRPr="00610127">
        <w:t xml:space="preserve"> </w:t>
      </w:r>
      <w:r w:rsidR="00B84FE6" w:rsidRPr="00610127">
        <w:t>présente brièvement</w:t>
      </w:r>
      <w:r w:rsidR="00797724" w:rsidRPr="00610127">
        <w:t xml:space="preserve"> </w:t>
      </w:r>
      <w:r w:rsidR="006C2FE0" w:rsidRPr="00610127">
        <w:t xml:space="preserve">les </w:t>
      </w:r>
      <w:r w:rsidRPr="00610127">
        <w:t>activit</w:t>
      </w:r>
      <w:r w:rsidR="006C2FE0" w:rsidRPr="00610127">
        <w:t>és</w:t>
      </w:r>
      <w:r w:rsidRPr="00610127">
        <w:t xml:space="preserve"> </w:t>
      </w:r>
      <w:r w:rsidR="006C2FE0" w:rsidRPr="00610127">
        <w:t xml:space="preserve">récentes et les </w:t>
      </w:r>
      <w:r w:rsidR="00B84FE6" w:rsidRPr="00610127">
        <w:t>faits nouveaux survenus à l</w:t>
      </w:r>
      <w:r w:rsidR="00B83ECD" w:rsidRPr="00610127">
        <w:t>'</w:t>
      </w:r>
      <w:r w:rsidR="00B84FE6" w:rsidRPr="00610127">
        <w:t>UIT concernant</w:t>
      </w:r>
      <w:r w:rsidR="00831CE5" w:rsidRPr="00610127">
        <w:t xml:space="preserve"> </w:t>
      </w:r>
      <w:r w:rsidR="006C2FE0" w:rsidRPr="00610127">
        <w:t xml:space="preserve">la </w:t>
      </w:r>
      <w:r w:rsidRPr="00610127">
        <w:t>R</w:t>
      </w:r>
      <w:r w:rsidR="006C2FE0" w:rsidRPr="00610127">
        <w:t>é</w:t>
      </w:r>
      <w:r w:rsidRPr="00610127">
        <w:t>solution 70 (R</w:t>
      </w:r>
      <w:r w:rsidR="00125793" w:rsidRPr="00610127">
        <w:t>é</w:t>
      </w:r>
      <w:r w:rsidRPr="00610127">
        <w:t>v. Duba</w:t>
      </w:r>
      <w:r w:rsidR="006C2FE0" w:rsidRPr="00610127">
        <w:t>ï</w:t>
      </w:r>
      <w:r w:rsidRPr="00610127">
        <w:t>, 2018)</w:t>
      </w:r>
      <w:r w:rsidR="00797724" w:rsidRPr="00610127">
        <w:t xml:space="preserve"> </w:t>
      </w:r>
      <w:r w:rsidR="00B84FE6" w:rsidRPr="00610127">
        <w:t>et comprend</w:t>
      </w:r>
      <w:r w:rsidR="00797724" w:rsidRPr="00610127">
        <w:t xml:space="preserve"> </w:t>
      </w:r>
      <w:r w:rsidR="00831CE5" w:rsidRPr="00610127">
        <w:t xml:space="preserve">une version </w:t>
      </w:r>
      <w:r w:rsidRPr="00610127">
        <w:t>r</w:t>
      </w:r>
      <w:r w:rsidR="00831CE5" w:rsidRPr="00610127">
        <w:t>é</w:t>
      </w:r>
      <w:r w:rsidRPr="00610127">
        <w:t>vis</w:t>
      </w:r>
      <w:r w:rsidR="00831CE5" w:rsidRPr="00610127">
        <w:t>ée</w:t>
      </w:r>
      <w:r w:rsidRPr="00610127">
        <w:t xml:space="preserve"> </w:t>
      </w:r>
      <w:r w:rsidR="00831CE5" w:rsidRPr="00610127">
        <w:t>de la politique d</w:t>
      </w:r>
      <w:r w:rsidR="00B83ECD" w:rsidRPr="00610127">
        <w:t>'</w:t>
      </w:r>
      <w:r w:rsidR="00831CE5" w:rsidRPr="00610127">
        <w:t>intégration du principe de l</w:t>
      </w:r>
      <w:r w:rsidR="00B83ECD" w:rsidRPr="00610127">
        <w:t>'</w:t>
      </w:r>
      <w:r w:rsidR="00831CE5" w:rsidRPr="00610127">
        <w:t>égalité hommes/femmes (GEM) de l</w:t>
      </w:r>
      <w:r w:rsidR="00B83ECD" w:rsidRPr="00610127">
        <w:t>'</w:t>
      </w:r>
      <w:r w:rsidR="00831CE5" w:rsidRPr="00610127">
        <w:t>UIT</w:t>
      </w:r>
      <w:r w:rsidRPr="00610127">
        <w:t xml:space="preserve">. </w:t>
      </w:r>
      <w:r w:rsidR="00A640B7" w:rsidRPr="00610127">
        <w:t>Elle</w:t>
      </w:r>
      <w:r w:rsidR="00090191" w:rsidRPr="00610127">
        <w:t xml:space="preserve"> </w:t>
      </w:r>
      <w:r w:rsidR="00814DC1" w:rsidRPr="00610127">
        <w:t xml:space="preserve">invite les États </w:t>
      </w:r>
      <w:r w:rsidR="00071CC2" w:rsidRPr="00610127">
        <w:t xml:space="preserve">Membres </w:t>
      </w:r>
      <w:r w:rsidR="00814DC1" w:rsidRPr="00610127">
        <w:t xml:space="preserve">à </w:t>
      </w:r>
      <w:r w:rsidR="00A640B7" w:rsidRPr="00610127">
        <w:t xml:space="preserve">désigner </w:t>
      </w:r>
      <w:r w:rsidR="00814DC1" w:rsidRPr="00610127">
        <w:t xml:space="preserve">des déléguées à la </w:t>
      </w:r>
      <w:r w:rsidRPr="00610127">
        <w:t>PP-22</w:t>
      </w:r>
      <w:r w:rsidR="00A640B7" w:rsidRPr="00610127">
        <w:t>,</w:t>
      </w:r>
      <w:r w:rsidRPr="00610127">
        <w:t xml:space="preserve"> </w:t>
      </w:r>
      <w:r w:rsidR="00380989" w:rsidRPr="00610127">
        <w:t>pour qu</w:t>
      </w:r>
      <w:r w:rsidR="00B83ECD" w:rsidRPr="00610127">
        <w:t>'</w:t>
      </w:r>
      <w:r w:rsidR="00380989" w:rsidRPr="00610127">
        <w:t>elles</w:t>
      </w:r>
      <w:r w:rsidR="00A640B7" w:rsidRPr="00610127">
        <w:t xml:space="preserve"> suivent</w:t>
      </w:r>
      <w:r w:rsidR="00380989" w:rsidRPr="00610127">
        <w:t xml:space="preserve"> u</w:t>
      </w:r>
      <w:r w:rsidR="00814DC1" w:rsidRPr="00610127">
        <w:t>ne formation</w:t>
      </w:r>
      <w:r w:rsidR="00090191" w:rsidRPr="00610127">
        <w:t xml:space="preserve">, </w:t>
      </w:r>
      <w:r w:rsidR="00A640B7" w:rsidRPr="00610127">
        <w:t>dans le cadre d</w:t>
      </w:r>
      <w:r w:rsidR="00B83ECD" w:rsidRPr="00610127">
        <w:t>'</w:t>
      </w:r>
      <w:r w:rsidR="00A640B7" w:rsidRPr="00610127">
        <w:t>une initiative</w:t>
      </w:r>
      <w:r w:rsidR="00A640B7" w:rsidRPr="00610127" w:rsidDel="00A640B7">
        <w:t xml:space="preserve"> </w:t>
      </w:r>
      <w:r w:rsidR="00090191" w:rsidRPr="00610127">
        <w:t>conjointe de l</w:t>
      </w:r>
      <w:r w:rsidR="00B83ECD" w:rsidRPr="00610127">
        <w:t>'</w:t>
      </w:r>
      <w:r w:rsidR="00090191" w:rsidRPr="00610127">
        <w:t>UIT et de l</w:t>
      </w:r>
      <w:r w:rsidR="00B83ECD" w:rsidRPr="00610127">
        <w:t>'</w:t>
      </w:r>
      <w:r w:rsidR="00090191" w:rsidRPr="00610127">
        <w:t xml:space="preserve">Australie, </w:t>
      </w:r>
      <w:r w:rsidR="00A640B7" w:rsidRPr="00610127">
        <w:t>visant à favoriser</w:t>
      </w:r>
      <w:r w:rsidR="00090191" w:rsidRPr="00610127">
        <w:t xml:space="preserve"> la prise en compte </w:t>
      </w:r>
      <w:r w:rsidR="00A640B7" w:rsidRPr="00610127">
        <w:t>de la</w:t>
      </w:r>
      <w:r w:rsidR="00797724" w:rsidRPr="00610127">
        <w:t xml:space="preserve"> </w:t>
      </w:r>
      <w:r w:rsidR="00A640B7" w:rsidRPr="00610127">
        <w:t>problématique</w:t>
      </w:r>
      <w:r w:rsidR="00797724" w:rsidRPr="00610127">
        <w:t xml:space="preserve"> </w:t>
      </w:r>
      <w:r w:rsidR="00090191" w:rsidRPr="00610127">
        <w:t>hommes</w:t>
      </w:r>
      <w:r w:rsidR="00071CC2" w:rsidRPr="00610127">
        <w:noBreakHyphen/>
      </w:r>
      <w:r w:rsidR="00090191" w:rsidRPr="00610127">
        <w:t>femmes</w:t>
      </w:r>
      <w:r w:rsidRPr="00610127">
        <w:t>.</w:t>
      </w:r>
    </w:p>
    <w:p w14:paraId="7CF632B1" w14:textId="77777777" w:rsidR="00276FFF" w:rsidRPr="00610127" w:rsidRDefault="00276FFF" w:rsidP="00217650">
      <w:r w:rsidRPr="00610127">
        <w:t>5.2</w:t>
      </w:r>
      <w:r w:rsidRPr="00610127">
        <w:tab/>
      </w:r>
      <w:r w:rsidR="00B3045F" w:rsidRPr="00610127">
        <w:t xml:space="preserve">Les </w:t>
      </w:r>
      <w:r w:rsidR="00BA65E6" w:rsidRPr="00610127">
        <w:t>conseill</w:t>
      </w:r>
      <w:r w:rsidR="00B3045F" w:rsidRPr="00610127">
        <w:t>ers</w:t>
      </w:r>
      <w:r w:rsidR="00797724" w:rsidRPr="00610127">
        <w:t xml:space="preserve"> </w:t>
      </w:r>
      <w:r w:rsidR="00A640B7" w:rsidRPr="00610127">
        <w:t xml:space="preserve">appuient </w:t>
      </w:r>
      <w:r w:rsidR="00B3045F" w:rsidRPr="00610127">
        <w:t>sans réserve les efforts déployés par l</w:t>
      </w:r>
      <w:r w:rsidR="00B83ECD" w:rsidRPr="00610127">
        <w:t>'</w:t>
      </w:r>
      <w:r w:rsidR="00B3045F" w:rsidRPr="00610127">
        <w:t>UIT en faveur de l</w:t>
      </w:r>
      <w:r w:rsidR="00B83ECD" w:rsidRPr="00610127">
        <w:t>'</w:t>
      </w:r>
      <w:r w:rsidR="00B3045F" w:rsidRPr="00610127">
        <w:t>égalité hommes-femmes et de l</w:t>
      </w:r>
      <w:r w:rsidR="00B83ECD" w:rsidRPr="00610127">
        <w:t>'</w:t>
      </w:r>
      <w:r w:rsidR="00B3045F" w:rsidRPr="00610127">
        <w:t>intégration de ce principe et décrivent certaines des activités menées par leur pays</w:t>
      </w:r>
      <w:r w:rsidRPr="00610127">
        <w:t xml:space="preserve"> </w:t>
      </w:r>
      <w:r w:rsidR="00B3045F" w:rsidRPr="00610127">
        <w:t xml:space="preserve">aux niveaux </w:t>
      </w:r>
      <w:r w:rsidRPr="00610127">
        <w:t>national, r</w:t>
      </w:r>
      <w:r w:rsidR="00B3045F" w:rsidRPr="00610127">
        <w:t>é</w:t>
      </w:r>
      <w:r w:rsidRPr="00610127">
        <w:t xml:space="preserve">gional </w:t>
      </w:r>
      <w:r w:rsidR="00B3045F" w:rsidRPr="00610127">
        <w:t xml:space="preserve">et </w:t>
      </w:r>
      <w:r w:rsidRPr="00610127">
        <w:t xml:space="preserve">international </w:t>
      </w:r>
      <w:r w:rsidR="00FC544B" w:rsidRPr="00610127">
        <w:t>en vue d</w:t>
      </w:r>
      <w:r w:rsidR="00B83ECD" w:rsidRPr="00610127">
        <w:t>'</w:t>
      </w:r>
      <w:r w:rsidR="00FC544B" w:rsidRPr="00610127">
        <w:t>atteindre ces objectifs</w:t>
      </w:r>
      <w:r w:rsidRPr="00610127">
        <w:t xml:space="preserve">. </w:t>
      </w:r>
      <w:r w:rsidR="00FC544B" w:rsidRPr="00610127">
        <w:t>Une conseillère se dit particulièrement favorable à l</w:t>
      </w:r>
      <w:r w:rsidR="00B83ECD" w:rsidRPr="00610127">
        <w:t>'</w:t>
      </w:r>
      <w:r w:rsidR="00FC544B" w:rsidRPr="00610127">
        <w:t xml:space="preserve">inclusion de dispositions </w:t>
      </w:r>
      <w:r w:rsidR="00E41F5D" w:rsidRPr="00610127">
        <w:t>en matière de contrôle</w:t>
      </w:r>
      <w:r w:rsidR="00797724" w:rsidRPr="00610127">
        <w:t xml:space="preserve"> </w:t>
      </w:r>
      <w:r w:rsidR="00FC544B" w:rsidRPr="00610127">
        <w:t xml:space="preserve">et </w:t>
      </w:r>
      <w:r w:rsidR="00AE32BE" w:rsidRPr="00610127">
        <w:t xml:space="preserve">de </w:t>
      </w:r>
      <w:r w:rsidR="00FC544B" w:rsidRPr="00610127">
        <w:t xml:space="preserve">transparence dans la politique </w:t>
      </w:r>
      <w:r w:rsidRPr="00610127">
        <w:t>GE</w:t>
      </w:r>
      <w:r w:rsidR="00FC544B" w:rsidRPr="00610127">
        <w:t>M révisée</w:t>
      </w:r>
      <w:r w:rsidRPr="00610127">
        <w:t>.</w:t>
      </w:r>
    </w:p>
    <w:p w14:paraId="6F8AE82D" w14:textId="77777777" w:rsidR="002F235C" w:rsidRDefault="002F235C" w:rsidP="00217650">
      <w:r>
        <w:br w:type="page"/>
      </w:r>
    </w:p>
    <w:p w14:paraId="0C03AC63" w14:textId="1C5121D0" w:rsidR="00276FFF" w:rsidRPr="00610127" w:rsidRDefault="00276FFF" w:rsidP="00217650">
      <w:r w:rsidRPr="00610127">
        <w:lastRenderedPageBreak/>
        <w:t>5.3</w:t>
      </w:r>
      <w:r w:rsidRPr="00610127">
        <w:tab/>
      </w:r>
      <w:r w:rsidR="00FC544B" w:rsidRPr="00610127">
        <w:t xml:space="preserve">Une conseillère </w:t>
      </w:r>
      <w:r w:rsidRPr="00610127">
        <w:t xml:space="preserve">propose </w:t>
      </w:r>
      <w:r w:rsidR="00FC544B" w:rsidRPr="00610127">
        <w:t xml:space="preserve">que la politique GEM révisée </w:t>
      </w:r>
      <w:r w:rsidR="003F12F9" w:rsidRPr="00610127">
        <w:t>soit</w:t>
      </w:r>
      <w:r w:rsidR="00E41F5D" w:rsidRPr="00610127">
        <w:t xml:space="preserve"> modifiée pour</w:t>
      </w:r>
      <w:r w:rsidR="00797724" w:rsidRPr="00610127">
        <w:t xml:space="preserve"> </w:t>
      </w:r>
      <w:r w:rsidRPr="00610127">
        <w:t>stipul</w:t>
      </w:r>
      <w:r w:rsidR="00FC544B" w:rsidRPr="00610127">
        <w:t>er</w:t>
      </w:r>
      <w:r w:rsidRPr="00610127">
        <w:t xml:space="preserve"> </w:t>
      </w:r>
      <w:r w:rsidR="003E6CD6" w:rsidRPr="00610127">
        <w:t xml:space="preserve">que les </w:t>
      </w:r>
      <w:r w:rsidR="007B3A04" w:rsidRPr="00610127">
        <w:t>limites financières devraient être prises en compte lors de la mise en œuvre de la politique</w:t>
      </w:r>
      <w:r w:rsidR="00E41F5D" w:rsidRPr="00610127">
        <w:t xml:space="preserve"> et</w:t>
      </w:r>
      <w:r w:rsidR="00797724" w:rsidRPr="00610127">
        <w:t xml:space="preserve"> </w:t>
      </w:r>
      <w:r w:rsidR="007B3A04" w:rsidRPr="00610127">
        <w:t xml:space="preserve">que les dispositions du numéro 154 de la </w:t>
      </w:r>
      <w:r w:rsidRPr="00610127">
        <w:t>Constitution</w:t>
      </w:r>
      <w:r w:rsidR="007B3A04" w:rsidRPr="00610127">
        <w:t xml:space="preserve"> de l</w:t>
      </w:r>
      <w:r w:rsidR="00B83ECD" w:rsidRPr="00610127">
        <w:t>'</w:t>
      </w:r>
      <w:r w:rsidR="007B3A04" w:rsidRPr="00610127">
        <w:t>UIT</w:t>
      </w:r>
      <w:r w:rsidRPr="00610127">
        <w:t xml:space="preserve">, </w:t>
      </w:r>
      <w:r w:rsidR="00E41F5D" w:rsidRPr="00610127">
        <w:t xml:space="preserve">qui </w:t>
      </w:r>
      <w:r w:rsidR="007B3A04" w:rsidRPr="00610127">
        <w:t>port</w:t>
      </w:r>
      <w:r w:rsidR="00E41F5D" w:rsidRPr="00610127">
        <w:t>ent</w:t>
      </w:r>
      <w:r w:rsidR="00797724" w:rsidRPr="00610127">
        <w:t xml:space="preserve"> </w:t>
      </w:r>
      <w:r w:rsidR="007B3A04" w:rsidRPr="00610127">
        <w:t xml:space="preserve">sur </w:t>
      </w:r>
      <w:r w:rsidR="00970027" w:rsidRPr="00610127">
        <w:t xml:space="preserve">la </w:t>
      </w:r>
      <w:r w:rsidR="007B3A04" w:rsidRPr="00610127">
        <w:t>nécessité d</w:t>
      </w:r>
      <w:r w:rsidR="00B83ECD" w:rsidRPr="00610127">
        <w:t>'</w:t>
      </w:r>
      <w:r w:rsidR="007B3A04" w:rsidRPr="00610127">
        <w:t>assurer à l</w:t>
      </w:r>
      <w:r w:rsidR="00B83ECD" w:rsidRPr="00610127">
        <w:t>'</w:t>
      </w:r>
      <w:r w:rsidR="007B3A04" w:rsidRPr="00610127">
        <w:t>Union les services de personnes possédant les plus hautes qualités d</w:t>
      </w:r>
      <w:r w:rsidR="00B83ECD" w:rsidRPr="00610127">
        <w:t>'</w:t>
      </w:r>
      <w:r w:rsidR="007B3A04" w:rsidRPr="00610127">
        <w:t>efficacité, de compétence et d</w:t>
      </w:r>
      <w:r w:rsidR="00B83ECD" w:rsidRPr="00610127">
        <w:t>'</w:t>
      </w:r>
      <w:r w:rsidR="007B3A04" w:rsidRPr="00610127">
        <w:t>intégrité</w:t>
      </w:r>
      <w:r w:rsidR="00651401" w:rsidRPr="00610127">
        <w:t>,</w:t>
      </w:r>
      <w:r w:rsidR="007B3A04" w:rsidRPr="00610127">
        <w:t xml:space="preserve"> </w:t>
      </w:r>
      <w:r w:rsidR="00CD58D1" w:rsidRPr="00610127">
        <w:t>ainsi que</w:t>
      </w:r>
      <w:r w:rsidR="007B3A04" w:rsidRPr="00610127">
        <w:t xml:space="preserve"> sur l</w:t>
      </w:r>
      <w:r w:rsidR="00B83ECD" w:rsidRPr="00610127">
        <w:t>'</w:t>
      </w:r>
      <w:r w:rsidR="007B3A04" w:rsidRPr="00610127">
        <w:t>importance d</w:t>
      </w:r>
      <w:r w:rsidR="00B83ECD" w:rsidRPr="00610127">
        <w:t>'</w:t>
      </w:r>
      <w:r w:rsidR="007B3A04" w:rsidRPr="00610127">
        <w:t>un recrutement effectué sur une base géographique aussi large que possible</w:t>
      </w:r>
      <w:r w:rsidRPr="00610127">
        <w:t>,</w:t>
      </w:r>
      <w:r w:rsidR="003F12F9" w:rsidRPr="00610127">
        <w:t xml:space="preserve"> </w:t>
      </w:r>
      <w:r w:rsidR="00E41F5D" w:rsidRPr="00610127">
        <w:t xml:space="preserve">soient </w:t>
      </w:r>
      <w:r w:rsidR="007B3A04" w:rsidRPr="00610127">
        <w:t>appliqu</w:t>
      </w:r>
      <w:r w:rsidR="00E41F5D" w:rsidRPr="00610127">
        <w:t>ées</w:t>
      </w:r>
      <w:r w:rsidR="00797724" w:rsidRPr="00610127">
        <w:t xml:space="preserve"> </w:t>
      </w:r>
      <w:r w:rsidR="009F3E3E" w:rsidRPr="00610127">
        <w:t>lors de la mise</w:t>
      </w:r>
      <w:r w:rsidR="007B3A04" w:rsidRPr="00610127">
        <w:t xml:space="preserve"> en œuvre </w:t>
      </w:r>
      <w:r w:rsidR="009F3E3E" w:rsidRPr="00610127">
        <w:t>d</w:t>
      </w:r>
      <w:r w:rsidR="00B83ECD" w:rsidRPr="00610127">
        <w:t>'</w:t>
      </w:r>
      <w:r w:rsidR="007B3A04" w:rsidRPr="00610127">
        <w:t>une app</w:t>
      </w:r>
      <w:r w:rsidR="00980A51" w:rsidRPr="00610127">
        <w:t xml:space="preserve">roche </w:t>
      </w:r>
      <w:r w:rsidR="009F3E3E" w:rsidRPr="00610127">
        <w:t>soucieuse de</w:t>
      </w:r>
      <w:r w:rsidR="00797724" w:rsidRPr="00610127">
        <w:t xml:space="preserve"> </w:t>
      </w:r>
      <w:r w:rsidR="00980A51" w:rsidRPr="00610127">
        <w:t>l</w:t>
      </w:r>
      <w:r w:rsidR="00B83ECD" w:rsidRPr="00610127">
        <w:t>'</w:t>
      </w:r>
      <w:r w:rsidR="00980A51" w:rsidRPr="00610127">
        <w:t>égalité hommes-femmes</w:t>
      </w:r>
      <w:r w:rsidR="007B3A04" w:rsidRPr="00610127">
        <w:t xml:space="preserve"> </w:t>
      </w:r>
      <w:r w:rsidR="00980A51" w:rsidRPr="00610127">
        <w:t xml:space="preserve">dans </w:t>
      </w:r>
      <w:r w:rsidR="009F3E3E" w:rsidRPr="00610127">
        <w:t>l</w:t>
      </w:r>
      <w:r w:rsidR="00B83ECD" w:rsidRPr="00610127">
        <w:t>'</w:t>
      </w:r>
      <w:r w:rsidR="009F3E3E" w:rsidRPr="00610127">
        <w:t>application</w:t>
      </w:r>
      <w:r w:rsidR="00980A51" w:rsidRPr="00610127">
        <w:t xml:space="preserve"> des politiques et des pratiques de gestion des ressources humaines</w:t>
      </w:r>
      <w:r w:rsidRPr="00610127">
        <w:t xml:space="preserve">. </w:t>
      </w:r>
      <w:r w:rsidR="00980A51" w:rsidRPr="00610127">
        <w:t>Une autre conseillère s</w:t>
      </w:r>
      <w:r w:rsidR="009F3E3E" w:rsidRPr="00610127">
        <w:t>e dit</w:t>
      </w:r>
      <w:r w:rsidR="00797724" w:rsidRPr="00610127">
        <w:t xml:space="preserve"> </w:t>
      </w:r>
      <w:r w:rsidR="00980A51" w:rsidRPr="00610127">
        <w:t>oppos</w:t>
      </w:r>
      <w:r w:rsidR="009F3E3E" w:rsidRPr="00610127">
        <w:t>é</w:t>
      </w:r>
      <w:r w:rsidR="00980A51" w:rsidRPr="00610127">
        <w:t>e à cette proposition</w:t>
      </w:r>
      <w:r w:rsidRPr="00610127">
        <w:t>.</w:t>
      </w:r>
    </w:p>
    <w:p w14:paraId="03F8FDA7" w14:textId="77777777" w:rsidR="00276FFF" w:rsidRPr="00610127" w:rsidRDefault="00276FFF" w:rsidP="00217650">
      <w:r w:rsidRPr="00610127">
        <w:t>5.4</w:t>
      </w:r>
      <w:r w:rsidRPr="00610127">
        <w:tab/>
      </w:r>
      <w:r w:rsidR="00044117" w:rsidRPr="00610127">
        <w:t xml:space="preserve">Le Conseil </w:t>
      </w:r>
      <w:r w:rsidR="00044117" w:rsidRPr="00610127">
        <w:rPr>
          <w:b/>
          <w:bCs/>
        </w:rPr>
        <w:t>prend note</w:t>
      </w:r>
      <w:r w:rsidR="00044117" w:rsidRPr="00610127">
        <w:t xml:space="preserve"> du rapport figurant dans le </w:t>
      </w:r>
      <w:r w:rsidRPr="00610127">
        <w:t xml:space="preserve">Document C22/6 </w:t>
      </w:r>
      <w:r w:rsidR="00044117" w:rsidRPr="00610127">
        <w:t xml:space="preserve">et </w:t>
      </w:r>
      <w:r w:rsidR="00044117" w:rsidRPr="00610127">
        <w:rPr>
          <w:b/>
          <w:bCs/>
        </w:rPr>
        <w:t>approuve</w:t>
      </w:r>
      <w:r w:rsidRPr="00610127">
        <w:t xml:space="preserve"> </w:t>
      </w:r>
      <w:r w:rsidR="00044117" w:rsidRPr="00610127">
        <w:t>la version révisée de la Politique d</w:t>
      </w:r>
      <w:r w:rsidR="00B83ECD" w:rsidRPr="00610127">
        <w:t>'</w:t>
      </w:r>
      <w:r w:rsidR="00044117" w:rsidRPr="00610127">
        <w:t>intégration du principe de l</w:t>
      </w:r>
      <w:r w:rsidR="00B83ECD" w:rsidRPr="00610127">
        <w:t>'</w:t>
      </w:r>
      <w:r w:rsidR="00044117" w:rsidRPr="00610127">
        <w:t>égalité hommes-femmes</w:t>
      </w:r>
      <w:r w:rsidRPr="00610127">
        <w:t xml:space="preserve"> </w:t>
      </w:r>
      <w:r w:rsidR="00044117" w:rsidRPr="00610127">
        <w:t>figurant</w:t>
      </w:r>
      <w:r w:rsidR="00797724" w:rsidRPr="00610127">
        <w:t xml:space="preserve"> </w:t>
      </w:r>
      <w:r w:rsidR="009F3E3E" w:rsidRPr="00610127">
        <w:t>dans</w:t>
      </w:r>
      <w:r w:rsidR="00797724" w:rsidRPr="00610127">
        <w:t xml:space="preserve"> </w:t>
      </w:r>
      <w:r w:rsidR="00044117" w:rsidRPr="00610127">
        <w:t>l</w:t>
      </w:r>
      <w:r w:rsidR="00B83ECD" w:rsidRPr="00610127">
        <w:t>'</w:t>
      </w:r>
      <w:r w:rsidR="00044117" w:rsidRPr="00610127">
        <w:t>Annexe</w:t>
      </w:r>
      <w:r w:rsidRPr="00610127">
        <w:t xml:space="preserve"> </w:t>
      </w:r>
      <w:r w:rsidR="00044117" w:rsidRPr="00610127">
        <w:t xml:space="preserve">du </w:t>
      </w:r>
      <w:r w:rsidRPr="00610127">
        <w:t>document.</w:t>
      </w:r>
    </w:p>
    <w:p w14:paraId="02279F2D" w14:textId="77777777" w:rsidR="00276FFF" w:rsidRPr="00610127" w:rsidRDefault="00276FFF" w:rsidP="00217650">
      <w:pPr>
        <w:pStyle w:val="Heading1"/>
      </w:pPr>
      <w:r w:rsidRPr="00610127">
        <w:t>6</w:t>
      </w:r>
      <w:r w:rsidRPr="00610127">
        <w:tab/>
      </w:r>
      <w:r w:rsidR="00BA443D" w:rsidRPr="00610127">
        <w:t>Rapport final du Groupe d</w:t>
      </w:r>
      <w:r w:rsidR="00B83ECD" w:rsidRPr="00610127">
        <w:t>'</w:t>
      </w:r>
      <w:r w:rsidR="00E05F81" w:rsidRPr="00610127">
        <w:t>e</w:t>
      </w:r>
      <w:r w:rsidR="00BA443D" w:rsidRPr="00610127">
        <w:t xml:space="preserve">xperts sur le Règlement des </w:t>
      </w:r>
      <w:r w:rsidR="00E05F81" w:rsidRPr="00610127">
        <w:t>t</w:t>
      </w:r>
      <w:r w:rsidR="00BA443D" w:rsidRPr="00610127">
        <w:t xml:space="preserve">élécommunications </w:t>
      </w:r>
      <w:r w:rsidR="00E05F81" w:rsidRPr="00610127">
        <w:t>i</w:t>
      </w:r>
      <w:r w:rsidR="00BA443D" w:rsidRPr="00610127">
        <w:t>nternationales (EG-RTI) au Conseil à sa session de 2022</w:t>
      </w:r>
      <w:r w:rsidRPr="00610127">
        <w:t xml:space="preserve"> (Documents</w:t>
      </w:r>
      <w:r w:rsidR="00D01E5C" w:rsidRPr="00610127">
        <w:t> </w:t>
      </w:r>
      <w:r w:rsidRPr="00610127">
        <w:t>C22/26,</w:t>
      </w:r>
      <w:r w:rsidR="00D01E5C" w:rsidRPr="00610127">
        <w:t> </w:t>
      </w:r>
      <w:r w:rsidRPr="00610127">
        <w:t xml:space="preserve">C22/67, C22/72 </w:t>
      </w:r>
      <w:r w:rsidR="00BA443D" w:rsidRPr="00610127">
        <w:t>et</w:t>
      </w:r>
      <w:r w:rsidRPr="00610127">
        <w:t xml:space="preserve"> C22/75)</w:t>
      </w:r>
    </w:p>
    <w:p w14:paraId="45123AF8" w14:textId="77777777" w:rsidR="00276FFF" w:rsidRPr="00610127" w:rsidRDefault="00276FFF" w:rsidP="00217650">
      <w:r w:rsidRPr="00610127">
        <w:t>6.1</w:t>
      </w:r>
      <w:r w:rsidRPr="00610127">
        <w:tab/>
      </w:r>
      <w:r w:rsidR="00E05F81" w:rsidRPr="00610127">
        <w:t>Le Président du Groupe </w:t>
      </w:r>
      <w:r w:rsidRPr="00610127">
        <w:t>EG-</w:t>
      </w:r>
      <w:r w:rsidR="00042141" w:rsidRPr="00610127">
        <w:t>RTI</w:t>
      </w:r>
      <w:r w:rsidRPr="00610127">
        <w:t xml:space="preserve"> pr</w:t>
      </w:r>
      <w:r w:rsidR="00E05F81" w:rsidRPr="00610127">
        <w:t>é</w:t>
      </w:r>
      <w:r w:rsidRPr="00610127">
        <w:t xml:space="preserve">sente </w:t>
      </w:r>
      <w:r w:rsidR="00E05F81" w:rsidRPr="00610127">
        <w:t xml:space="preserve">le </w:t>
      </w:r>
      <w:r w:rsidRPr="00610127">
        <w:t xml:space="preserve">Document </w:t>
      </w:r>
      <w:hyperlink r:id="rId26" w:history="1">
        <w:r w:rsidRPr="00610127">
          <w:rPr>
            <w:rStyle w:val="Hyperlink"/>
          </w:rPr>
          <w:t>C22/26</w:t>
        </w:r>
      </w:hyperlink>
      <w:r w:rsidRPr="00610127">
        <w:t xml:space="preserve">, </w:t>
      </w:r>
      <w:r w:rsidR="00E05F81" w:rsidRPr="00610127">
        <w:t xml:space="preserve">qui contient le rapport final du </w:t>
      </w:r>
      <w:r w:rsidR="006D2A49" w:rsidRPr="00610127">
        <w:t>G</w:t>
      </w:r>
      <w:r w:rsidR="00E05F81" w:rsidRPr="00610127">
        <w:t>roupe</w:t>
      </w:r>
      <w:r w:rsidRPr="00610127">
        <w:t xml:space="preserve">. </w:t>
      </w:r>
      <w:r w:rsidR="006D2A49" w:rsidRPr="00610127">
        <w:t xml:space="preserve">Il relève que le </w:t>
      </w:r>
      <w:r w:rsidRPr="00610127">
        <w:t>Group</w:t>
      </w:r>
      <w:r w:rsidR="006D2A49" w:rsidRPr="00610127">
        <w:t>e</w:t>
      </w:r>
      <w:r w:rsidRPr="00610127">
        <w:t xml:space="preserve"> </w:t>
      </w:r>
      <w:r w:rsidR="006D2A49" w:rsidRPr="00610127">
        <w:t xml:space="preserve">a </w:t>
      </w:r>
      <w:r w:rsidR="009F3E3E" w:rsidRPr="00610127">
        <w:t>examiné chacune des</w:t>
      </w:r>
      <w:r w:rsidR="006D2A49" w:rsidRPr="00610127">
        <w:t xml:space="preserve"> dispositions du </w:t>
      </w:r>
      <w:r w:rsidR="00970027" w:rsidRPr="00610127">
        <w:t>Règlement </w:t>
      </w:r>
      <w:r w:rsidR="00651401" w:rsidRPr="00610127">
        <w:t>RTI</w:t>
      </w:r>
      <w:r w:rsidRPr="00610127">
        <w:t xml:space="preserve"> </w:t>
      </w:r>
      <w:r w:rsidR="009F3E3E" w:rsidRPr="00610127">
        <w:t>conformément à</w:t>
      </w:r>
      <w:r w:rsidR="006D2A49" w:rsidRPr="00610127">
        <w:t xml:space="preserve"> son mandat</w:t>
      </w:r>
      <w:r w:rsidR="00797724" w:rsidRPr="00610127">
        <w:t xml:space="preserve"> </w:t>
      </w:r>
      <w:r w:rsidR="006D2A49" w:rsidRPr="00610127">
        <w:t>et souligne qu</w:t>
      </w:r>
      <w:r w:rsidR="00B83ECD" w:rsidRPr="00610127">
        <w:t>'</w:t>
      </w:r>
      <w:r w:rsidR="006D2A49" w:rsidRPr="00610127">
        <w:t xml:space="preserve">aucun </w:t>
      </w:r>
      <w:r w:rsidRPr="00610127">
        <w:t xml:space="preserve">consensus </w:t>
      </w:r>
      <w:r w:rsidR="006D2A49" w:rsidRPr="00610127">
        <w:t>n</w:t>
      </w:r>
      <w:r w:rsidR="00B83ECD" w:rsidRPr="00610127">
        <w:t>'</w:t>
      </w:r>
      <w:r w:rsidR="006D2A49" w:rsidRPr="00610127">
        <w:t xml:space="preserve">a été </w:t>
      </w:r>
      <w:r w:rsidR="009F3E3E" w:rsidRPr="00610127">
        <w:t xml:space="preserve">trouvé </w:t>
      </w:r>
      <w:r w:rsidR="006D2A49" w:rsidRPr="00610127">
        <w:t>en ce qui concerne ledit Règlement</w:t>
      </w:r>
      <w:r w:rsidRPr="00610127">
        <w:t>.</w:t>
      </w:r>
    </w:p>
    <w:p w14:paraId="676D09B8" w14:textId="77777777" w:rsidR="00276FFF" w:rsidRPr="00610127" w:rsidRDefault="00276FFF" w:rsidP="00071CC2">
      <w:pPr>
        <w:keepNext/>
        <w:keepLines/>
      </w:pPr>
      <w:r w:rsidRPr="00610127">
        <w:t>6.2</w:t>
      </w:r>
      <w:r w:rsidRPr="00610127">
        <w:tab/>
      </w:r>
      <w:r w:rsidR="009222D5" w:rsidRPr="00610127">
        <w:t xml:space="preserve">La </w:t>
      </w:r>
      <w:r w:rsidR="00BA65E6" w:rsidRPr="00610127">
        <w:t>conseill</w:t>
      </w:r>
      <w:r w:rsidR="009222D5" w:rsidRPr="00610127">
        <w:t>ère de l</w:t>
      </w:r>
      <w:r w:rsidR="00B83ECD" w:rsidRPr="00610127">
        <w:t>'</w:t>
      </w:r>
      <w:r w:rsidR="009222D5" w:rsidRPr="00610127">
        <w:t xml:space="preserve">Égypte présente une proposition de </w:t>
      </w:r>
      <w:r w:rsidR="00B95A1D" w:rsidRPr="00610127">
        <w:t>son pays</w:t>
      </w:r>
      <w:r w:rsidR="009222D5" w:rsidRPr="00610127">
        <w:t xml:space="preserve"> et du Koweït</w:t>
      </w:r>
      <w:r w:rsidR="00797724" w:rsidRPr="00610127">
        <w:t xml:space="preserve"> </w:t>
      </w:r>
      <w:r w:rsidR="009F3E3E" w:rsidRPr="00610127">
        <w:t>(</w:t>
      </w:r>
      <w:r w:rsidRPr="00610127">
        <w:t>Document</w:t>
      </w:r>
      <w:r w:rsidR="00D01E5C" w:rsidRPr="00610127">
        <w:t> </w:t>
      </w:r>
      <w:hyperlink r:id="rId27" w:history="1">
        <w:r w:rsidRPr="00610127">
          <w:rPr>
            <w:rStyle w:val="Hyperlink"/>
          </w:rPr>
          <w:t>C22/67</w:t>
        </w:r>
      </w:hyperlink>
      <w:r w:rsidR="009F3E3E" w:rsidRPr="00610127">
        <w:t>)</w:t>
      </w:r>
      <w:r w:rsidR="00797724" w:rsidRPr="00610127">
        <w:t xml:space="preserve"> </w:t>
      </w:r>
      <w:r w:rsidR="009222D5" w:rsidRPr="00610127">
        <w:t xml:space="preserve">visant à créer un </w:t>
      </w:r>
      <w:r w:rsidR="00804221" w:rsidRPr="00610127">
        <w:t xml:space="preserve">nouveau </w:t>
      </w:r>
      <w:r w:rsidR="009222D5" w:rsidRPr="00610127">
        <w:t>groupe d</w:t>
      </w:r>
      <w:r w:rsidR="00B83ECD" w:rsidRPr="00610127">
        <w:t>'</w:t>
      </w:r>
      <w:r w:rsidR="009222D5" w:rsidRPr="00610127">
        <w:t>experts sur le RTI</w:t>
      </w:r>
      <w:r w:rsidR="00804221" w:rsidRPr="00610127">
        <w:t>,</w:t>
      </w:r>
      <w:r w:rsidR="00797724" w:rsidRPr="00610127">
        <w:t xml:space="preserve"> </w:t>
      </w:r>
      <w:r w:rsidR="00804221" w:rsidRPr="00610127">
        <w:t>afin</w:t>
      </w:r>
      <w:r w:rsidR="00797724" w:rsidRPr="00610127">
        <w:t xml:space="preserve"> </w:t>
      </w:r>
      <w:r w:rsidR="00B95A1D" w:rsidRPr="00610127">
        <w:t>de trouver</w:t>
      </w:r>
      <w:r w:rsidR="009222D5" w:rsidRPr="00610127">
        <w:t xml:space="preserve"> un </w:t>
      </w:r>
      <w:r w:rsidRPr="00610127">
        <w:t xml:space="preserve">consensus. </w:t>
      </w:r>
      <w:r w:rsidR="009222D5" w:rsidRPr="00610127">
        <w:t>Le RTI constitue un</w:t>
      </w:r>
      <w:r w:rsidR="00797724" w:rsidRPr="00610127">
        <w:t xml:space="preserve"> </w:t>
      </w:r>
      <w:r w:rsidR="00804221" w:rsidRPr="00610127">
        <w:t xml:space="preserve">instrument indispensable </w:t>
      </w:r>
      <w:r w:rsidR="009222D5" w:rsidRPr="00610127">
        <w:t xml:space="preserve">pour régir les </w:t>
      </w:r>
      <w:r w:rsidRPr="00610127">
        <w:t xml:space="preserve">relations </w:t>
      </w:r>
      <w:r w:rsidR="009222D5" w:rsidRPr="00610127">
        <w:t>entre les États</w:t>
      </w:r>
      <w:r w:rsidR="00797724" w:rsidRPr="00610127">
        <w:t xml:space="preserve"> </w:t>
      </w:r>
      <w:r w:rsidR="00804221" w:rsidRPr="00610127">
        <w:t xml:space="preserve">Membres </w:t>
      </w:r>
      <w:r w:rsidR="009222D5" w:rsidRPr="00610127">
        <w:t xml:space="preserve">concernant les </w:t>
      </w:r>
      <w:r w:rsidRPr="00610127">
        <w:t>t</w:t>
      </w:r>
      <w:r w:rsidR="009222D5" w:rsidRPr="00610127">
        <w:t>é</w:t>
      </w:r>
      <w:r w:rsidRPr="00610127">
        <w:t>l</w:t>
      </w:r>
      <w:r w:rsidR="009222D5" w:rsidRPr="00610127">
        <w:t>é</w:t>
      </w:r>
      <w:r w:rsidRPr="00610127">
        <w:t>communications</w:t>
      </w:r>
      <w:r w:rsidR="009222D5" w:rsidRPr="00610127">
        <w:t xml:space="preserve"> et les TIC et </w:t>
      </w:r>
      <w:r w:rsidR="001870A8" w:rsidRPr="00610127">
        <w:t>pour atteindre les ODD</w:t>
      </w:r>
      <w:r w:rsidRPr="00610127">
        <w:t xml:space="preserve">. </w:t>
      </w:r>
      <w:r w:rsidR="00CD55CC" w:rsidRPr="00610127">
        <w:t>La portée du</w:t>
      </w:r>
      <w:r w:rsidR="00D01E5C" w:rsidRPr="00610127">
        <w:t> </w:t>
      </w:r>
      <w:r w:rsidR="00CD55CC" w:rsidRPr="00610127">
        <w:t>RTI</w:t>
      </w:r>
      <w:r w:rsidRPr="00610127">
        <w:t xml:space="preserve"> </w:t>
      </w:r>
      <w:r w:rsidR="00CD55CC" w:rsidRPr="00610127">
        <w:t xml:space="preserve">devrait </w:t>
      </w:r>
      <w:r w:rsidR="00804221" w:rsidRPr="00610127">
        <w:rPr>
          <w:color w:val="000000"/>
        </w:rPr>
        <w:t xml:space="preserve">être limitée </w:t>
      </w:r>
      <w:r w:rsidR="00CD55CC" w:rsidRPr="00610127">
        <w:t xml:space="preserve">aux États </w:t>
      </w:r>
      <w:r w:rsidR="00071CC2" w:rsidRPr="00610127">
        <w:t>Membres</w:t>
      </w:r>
      <w:r w:rsidRPr="00610127">
        <w:t xml:space="preserve">, </w:t>
      </w:r>
      <w:r w:rsidR="00CD55CC" w:rsidRPr="00610127">
        <w:t>qui pourraient ensuite adopter des politiques et des réglementations visant à garantir que les exploitations mettent en œuvre le RTI</w:t>
      </w:r>
      <w:r w:rsidRPr="00610127">
        <w:t xml:space="preserve">. </w:t>
      </w:r>
      <w:r w:rsidR="00FF7861" w:rsidRPr="00610127">
        <w:t>En outre</w:t>
      </w:r>
      <w:r w:rsidRPr="00610127">
        <w:t xml:space="preserve">, </w:t>
      </w:r>
      <w:r w:rsidR="00FF7861" w:rsidRPr="00610127">
        <w:t>l</w:t>
      </w:r>
      <w:r w:rsidR="00B83ECD" w:rsidRPr="00610127">
        <w:t>'</w:t>
      </w:r>
      <w:r w:rsidRPr="00610127">
        <w:t xml:space="preserve">existence </w:t>
      </w:r>
      <w:r w:rsidR="00FF7861" w:rsidRPr="00610127">
        <w:t xml:space="preserve">de deux versions du RTI </w:t>
      </w:r>
      <w:r w:rsidR="00BF4F94" w:rsidRPr="00610127">
        <w:t>nui</w:t>
      </w:r>
      <w:r w:rsidR="0066656B" w:rsidRPr="00610127">
        <w:t>t</w:t>
      </w:r>
      <w:r w:rsidR="00BF4F94" w:rsidRPr="00610127">
        <w:t xml:space="preserve"> </w:t>
      </w:r>
      <w:r w:rsidR="00FF7861" w:rsidRPr="00610127">
        <w:t>à l</w:t>
      </w:r>
      <w:r w:rsidR="00B83ECD" w:rsidRPr="00610127">
        <w:t>'</w:t>
      </w:r>
      <w:r w:rsidR="00FF7861" w:rsidRPr="00610127">
        <w:t>image de l</w:t>
      </w:r>
      <w:r w:rsidR="00B83ECD" w:rsidRPr="00610127">
        <w:t>'</w:t>
      </w:r>
      <w:r w:rsidR="00FF7861" w:rsidRPr="00610127">
        <w:t>UIT</w:t>
      </w:r>
      <w:r w:rsidRPr="00610127">
        <w:t xml:space="preserve">, </w:t>
      </w:r>
      <w:r w:rsidR="0066656B" w:rsidRPr="00610127">
        <w:t xml:space="preserve">et </w:t>
      </w:r>
      <w:r w:rsidR="00830E4B" w:rsidRPr="00610127">
        <w:t xml:space="preserve">la </w:t>
      </w:r>
      <w:r w:rsidR="0066656B" w:rsidRPr="00610127">
        <w:t xml:space="preserve">Conférence mondiale des télécommunications internationales (CMTI) </w:t>
      </w:r>
      <w:r w:rsidR="00830E4B" w:rsidRPr="00610127">
        <w:t xml:space="preserve">ne devrait se tenir </w:t>
      </w:r>
      <w:r w:rsidR="00804221" w:rsidRPr="00610127">
        <w:t xml:space="preserve">à nouveau </w:t>
      </w:r>
      <w:r w:rsidR="00830E4B" w:rsidRPr="00610127">
        <w:t>que lorsqu</w:t>
      </w:r>
      <w:r w:rsidR="00B83ECD" w:rsidRPr="00610127">
        <w:t>'</w:t>
      </w:r>
      <w:r w:rsidR="00830E4B" w:rsidRPr="00610127">
        <w:t xml:space="preserve">une seule version </w:t>
      </w:r>
      <w:r w:rsidR="00631651" w:rsidRPr="00610127">
        <w:t xml:space="preserve">du </w:t>
      </w:r>
      <w:r w:rsidR="00830E4B" w:rsidRPr="00610127">
        <w:t xml:space="preserve">RTI </w:t>
      </w:r>
      <w:r w:rsidR="00631651" w:rsidRPr="00610127">
        <w:t xml:space="preserve">aura </w:t>
      </w:r>
      <w:r w:rsidR="00804221" w:rsidRPr="00610127">
        <w:rPr>
          <w:color w:val="000000"/>
        </w:rPr>
        <w:t>fait l</w:t>
      </w:r>
      <w:r w:rsidR="00B83ECD" w:rsidRPr="00610127">
        <w:rPr>
          <w:color w:val="000000"/>
        </w:rPr>
        <w:t>'</w:t>
      </w:r>
      <w:r w:rsidR="00804221" w:rsidRPr="00610127">
        <w:rPr>
          <w:color w:val="000000"/>
        </w:rPr>
        <w:t>objet d</w:t>
      </w:r>
      <w:r w:rsidR="00B83ECD" w:rsidRPr="00610127">
        <w:rPr>
          <w:color w:val="000000"/>
        </w:rPr>
        <w:t>'</w:t>
      </w:r>
      <w:r w:rsidR="00804221" w:rsidRPr="00610127">
        <w:rPr>
          <w:color w:val="000000"/>
        </w:rPr>
        <w:t>un accord</w:t>
      </w:r>
      <w:r w:rsidR="00071CC2" w:rsidRPr="00610127">
        <w:rPr>
          <w:color w:val="000000"/>
        </w:rPr>
        <w:t>.</w:t>
      </w:r>
      <w:r w:rsidR="00797724" w:rsidRPr="00610127">
        <w:t xml:space="preserve"> </w:t>
      </w:r>
      <w:r w:rsidR="00C334C4" w:rsidRPr="00610127">
        <w:t>Le</w:t>
      </w:r>
      <w:r w:rsidR="008A015C" w:rsidRPr="00610127">
        <w:t xml:space="preserve"> groupe d</w:t>
      </w:r>
      <w:r w:rsidR="00B83ECD" w:rsidRPr="00610127">
        <w:t>'</w:t>
      </w:r>
      <w:r w:rsidR="008A015C" w:rsidRPr="00610127">
        <w:t>experts</w:t>
      </w:r>
      <w:r w:rsidR="00C334C4" w:rsidRPr="00610127">
        <w:rPr>
          <w:color w:val="000000"/>
        </w:rPr>
        <w:t xml:space="preserve"> est le mieux placé</w:t>
      </w:r>
      <w:r w:rsidR="00797724" w:rsidRPr="00610127">
        <w:rPr>
          <w:color w:val="000000"/>
        </w:rPr>
        <w:t xml:space="preserve"> </w:t>
      </w:r>
      <w:r w:rsidR="00C334C4" w:rsidRPr="00610127">
        <w:rPr>
          <w:color w:val="000000"/>
        </w:rPr>
        <w:t>pour</w:t>
      </w:r>
      <w:r w:rsidR="008A015C" w:rsidRPr="00610127">
        <w:t xml:space="preserve"> r</w:t>
      </w:r>
      <w:r w:rsidR="00C334C4" w:rsidRPr="00610127">
        <w:t>é</w:t>
      </w:r>
      <w:r w:rsidR="008A015C" w:rsidRPr="00610127">
        <w:t>gle</w:t>
      </w:r>
      <w:r w:rsidR="00C334C4" w:rsidRPr="00610127">
        <w:t>r</w:t>
      </w:r>
      <w:r w:rsidR="00797724" w:rsidRPr="00610127">
        <w:t xml:space="preserve"> </w:t>
      </w:r>
      <w:r w:rsidR="00C334C4" w:rsidRPr="00610127">
        <w:t>le problème</w:t>
      </w:r>
      <w:r w:rsidR="008A015C" w:rsidRPr="00610127">
        <w:t xml:space="preserve"> de la marche à suivre concernant le RTI</w:t>
      </w:r>
      <w:r w:rsidRPr="00610127">
        <w:t>.</w:t>
      </w:r>
    </w:p>
    <w:p w14:paraId="5D1ACF94" w14:textId="77777777" w:rsidR="00276FFF" w:rsidRPr="00610127" w:rsidRDefault="00276FFF" w:rsidP="00217650">
      <w:r w:rsidRPr="00610127">
        <w:t>6.3</w:t>
      </w:r>
      <w:r w:rsidRPr="00610127">
        <w:tab/>
      </w:r>
      <w:r w:rsidR="001F4226" w:rsidRPr="00610127">
        <w:t xml:space="preserve">Le </w:t>
      </w:r>
      <w:r w:rsidR="00BA65E6" w:rsidRPr="00610127">
        <w:t>conseill</w:t>
      </w:r>
      <w:r w:rsidR="001F4226" w:rsidRPr="00610127">
        <w:t xml:space="preserve">er de la Chine </w:t>
      </w:r>
      <w:r w:rsidRPr="00610127">
        <w:t>pr</w:t>
      </w:r>
      <w:r w:rsidR="001F4226" w:rsidRPr="00610127">
        <w:t>é</w:t>
      </w:r>
      <w:r w:rsidRPr="00610127">
        <w:t>sente</w:t>
      </w:r>
      <w:r w:rsidR="001F4226" w:rsidRPr="00610127">
        <w:t xml:space="preserve"> le</w:t>
      </w:r>
      <w:r w:rsidRPr="00610127">
        <w:t xml:space="preserve"> Document </w:t>
      </w:r>
      <w:hyperlink r:id="rId28" w:history="1">
        <w:r w:rsidRPr="00610127">
          <w:rPr>
            <w:rStyle w:val="Hyperlink"/>
          </w:rPr>
          <w:t>C22/72</w:t>
        </w:r>
      </w:hyperlink>
      <w:r w:rsidRPr="00610127">
        <w:t xml:space="preserve">, </w:t>
      </w:r>
      <w:r w:rsidR="00C334C4" w:rsidRPr="00610127">
        <w:t xml:space="preserve">dans lequel il est </w:t>
      </w:r>
      <w:r w:rsidR="001F4226" w:rsidRPr="00610127">
        <w:t>recommand</w:t>
      </w:r>
      <w:r w:rsidR="00C334C4" w:rsidRPr="00610127">
        <w:t>é</w:t>
      </w:r>
      <w:r w:rsidR="00797724" w:rsidRPr="00610127">
        <w:t xml:space="preserve"> </w:t>
      </w:r>
      <w:r w:rsidR="001F4226" w:rsidRPr="00610127">
        <w:t>que le groupe d</w:t>
      </w:r>
      <w:r w:rsidR="00B83ECD" w:rsidRPr="00610127">
        <w:t>'</w:t>
      </w:r>
      <w:r w:rsidR="001F4226" w:rsidRPr="00610127">
        <w:t>experts poursuive l</w:t>
      </w:r>
      <w:r w:rsidR="00B83ECD" w:rsidRPr="00610127">
        <w:t>'</w:t>
      </w:r>
      <w:r w:rsidR="001F4226" w:rsidRPr="00610127">
        <w:t>examen du RTI et</w:t>
      </w:r>
      <w:r w:rsidR="00797724" w:rsidRPr="00610127">
        <w:t xml:space="preserve"> </w:t>
      </w:r>
      <w:r w:rsidR="00C334C4" w:rsidRPr="00610127">
        <w:t xml:space="preserve">les </w:t>
      </w:r>
      <w:r w:rsidR="001F4226" w:rsidRPr="00610127">
        <w:t>travaux connexes</w:t>
      </w:r>
      <w:r w:rsidRPr="00610127">
        <w:t xml:space="preserve">. </w:t>
      </w:r>
      <w:r w:rsidR="001F4226" w:rsidRPr="00610127">
        <w:t xml:space="preserve">Le RTI </w:t>
      </w:r>
      <w:r w:rsidR="00437527" w:rsidRPr="00610127">
        <w:t>demeure le seul traité</w:t>
      </w:r>
      <w:r w:rsidR="00C334C4" w:rsidRPr="00610127">
        <w:rPr>
          <w:color w:val="000000"/>
        </w:rPr>
        <w:t xml:space="preserve"> de portée mondiale</w:t>
      </w:r>
      <w:r w:rsidR="00437527" w:rsidRPr="00610127">
        <w:t xml:space="preserve"> international établissant des principes généraux</w:t>
      </w:r>
      <w:r w:rsidR="00797724" w:rsidRPr="00610127">
        <w:t xml:space="preserve"> </w:t>
      </w:r>
      <w:r w:rsidR="00A60659" w:rsidRPr="00610127">
        <w:t xml:space="preserve">destinés </w:t>
      </w:r>
      <w:r w:rsidR="00437527" w:rsidRPr="00610127">
        <w:t xml:space="preserve">à </w:t>
      </w:r>
      <w:r w:rsidR="00C334C4" w:rsidRPr="00610127">
        <w:t xml:space="preserve">faciliter </w:t>
      </w:r>
      <w:r w:rsidR="00437527" w:rsidRPr="00610127">
        <w:t>la fourniture et</w:t>
      </w:r>
      <w:r w:rsidR="00797724" w:rsidRPr="00610127">
        <w:t xml:space="preserve"> </w:t>
      </w:r>
      <w:r w:rsidR="00437527" w:rsidRPr="00610127">
        <w:t>l</w:t>
      </w:r>
      <w:r w:rsidR="00B83ECD" w:rsidRPr="00610127">
        <w:t>'</w:t>
      </w:r>
      <w:r w:rsidR="00437527" w:rsidRPr="00610127">
        <w:t>exploitation des télécommunications internationales, et contribue à promouvoir l</w:t>
      </w:r>
      <w:r w:rsidR="00B83ECD" w:rsidRPr="00610127">
        <w:t>'</w:t>
      </w:r>
      <w:r w:rsidR="00437527" w:rsidRPr="00610127">
        <w:t>efficacité, l</w:t>
      </w:r>
      <w:r w:rsidR="00B83ECD" w:rsidRPr="00610127">
        <w:t>'</w:t>
      </w:r>
      <w:r w:rsidR="00437527" w:rsidRPr="00610127">
        <w:t>utilité et la disponibilité des réseaux, infrastructures et services de télécommunication internationaux</w:t>
      </w:r>
      <w:r w:rsidRPr="00610127">
        <w:t xml:space="preserve">, </w:t>
      </w:r>
      <w:r w:rsidR="00437527" w:rsidRPr="00610127">
        <w:t>notamment dans les pays en développement</w:t>
      </w:r>
      <w:r w:rsidRPr="00610127">
        <w:t xml:space="preserve">. </w:t>
      </w:r>
      <w:r w:rsidR="00EF4449" w:rsidRPr="00610127">
        <w:t xml:space="preserve">Un environnement juridique et réglementaire </w:t>
      </w:r>
      <w:r w:rsidR="00A60659" w:rsidRPr="00610127">
        <w:rPr>
          <w:color w:val="000000"/>
        </w:rPr>
        <w:t>permettant de suivre l</w:t>
      </w:r>
      <w:r w:rsidR="00B83ECD" w:rsidRPr="00610127">
        <w:rPr>
          <w:color w:val="000000"/>
        </w:rPr>
        <w:t>'</w:t>
      </w:r>
      <w:r w:rsidR="00A60659" w:rsidRPr="00610127">
        <w:rPr>
          <w:color w:val="000000"/>
        </w:rPr>
        <w:t>évolution rapide</w:t>
      </w:r>
      <w:r w:rsidR="00A60659" w:rsidRPr="00610127" w:rsidDel="00A60659">
        <w:t xml:space="preserve"> </w:t>
      </w:r>
      <w:r w:rsidR="00A60659" w:rsidRPr="00610127">
        <w:t xml:space="preserve">de </w:t>
      </w:r>
      <w:r w:rsidR="00EF4449" w:rsidRPr="00610127">
        <w:t>l</w:t>
      </w:r>
      <w:r w:rsidR="00B83ECD" w:rsidRPr="00610127">
        <w:t>'</w:t>
      </w:r>
      <w:r w:rsidR="00EF4449" w:rsidRPr="00610127">
        <w:t xml:space="preserve">écosystème de TIC doit également être </w:t>
      </w:r>
      <w:r w:rsidR="00A60659" w:rsidRPr="00610127">
        <w:t>mis en place</w:t>
      </w:r>
      <w:r w:rsidR="00D01E5C" w:rsidRPr="00610127">
        <w:t>.</w:t>
      </w:r>
    </w:p>
    <w:p w14:paraId="689A44A5" w14:textId="77777777" w:rsidR="00276FFF" w:rsidRPr="00610127" w:rsidRDefault="00276FFF" w:rsidP="00217650">
      <w:r w:rsidRPr="00610127">
        <w:t>6.4</w:t>
      </w:r>
      <w:r w:rsidRPr="00610127">
        <w:tab/>
      </w:r>
      <w:r w:rsidR="00DF0394" w:rsidRPr="00610127">
        <w:t xml:space="preserve">La </w:t>
      </w:r>
      <w:r w:rsidR="00BA65E6" w:rsidRPr="00610127">
        <w:t>conseill</w:t>
      </w:r>
      <w:r w:rsidR="00DF0394" w:rsidRPr="00610127">
        <w:t xml:space="preserve">ère des États-Unis présente le </w:t>
      </w:r>
      <w:r w:rsidRPr="00610127">
        <w:t xml:space="preserve">Document </w:t>
      </w:r>
      <w:hyperlink r:id="rId29" w:history="1">
        <w:r w:rsidRPr="00610127">
          <w:rPr>
            <w:rStyle w:val="Hyperlink"/>
          </w:rPr>
          <w:t>C22/75</w:t>
        </w:r>
      </w:hyperlink>
      <w:r w:rsidRPr="00610127">
        <w:t xml:space="preserve">, </w:t>
      </w:r>
      <w:r w:rsidR="00DF0394" w:rsidRPr="00610127">
        <w:t xml:space="preserve">qui contient une </w:t>
      </w:r>
      <w:r w:rsidRPr="00610127">
        <w:t xml:space="preserve">contribution </w:t>
      </w:r>
      <w:r w:rsidR="00DF0394" w:rsidRPr="00610127">
        <w:t xml:space="preserve">des États-Unis et du </w:t>
      </w:r>
      <w:r w:rsidRPr="00610127">
        <w:t xml:space="preserve">Canada. </w:t>
      </w:r>
      <w:r w:rsidR="00AF4816" w:rsidRPr="00610127">
        <w:t xml:space="preserve">Le rapport </w:t>
      </w:r>
      <w:r w:rsidR="00A60659" w:rsidRPr="00610127">
        <w:t>faisant l</w:t>
      </w:r>
      <w:r w:rsidR="00B83ECD" w:rsidRPr="00610127">
        <w:t>'</w:t>
      </w:r>
      <w:r w:rsidR="00A60659" w:rsidRPr="00610127">
        <w:t>objet du</w:t>
      </w:r>
      <w:r w:rsidR="00797724" w:rsidRPr="00610127">
        <w:t xml:space="preserve"> </w:t>
      </w:r>
      <w:r w:rsidRPr="00610127">
        <w:t xml:space="preserve">Document C22/26 </w:t>
      </w:r>
      <w:r w:rsidR="00AF4816" w:rsidRPr="00610127">
        <w:t xml:space="preserve">reflète </w:t>
      </w:r>
      <w:r w:rsidR="00A60659" w:rsidRPr="00610127">
        <w:t>fidèlement</w:t>
      </w:r>
      <w:r w:rsidR="00AF4816" w:rsidRPr="00610127">
        <w:t xml:space="preserve"> </w:t>
      </w:r>
      <w:r w:rsidR="00357D72" w:rsidRPr="00610127">
        <w:t xml:space="preserve">toutes </w:t>
      </w:r>
      <w:r w:rsidR="00AF4816" w:rsidRPr="00610127">
        <w:t>les</w:t>
      </w:r>
      <w:r w:rsidR="00797724" w:rsidRPr="00610127">
        <w:t xml:space="preserve"> </w:t>
      </w:r>
      <w:r w:rsidR="00A60659" w:rsidRPr="00610127">
        <w:t xml:space="preserve">vues </w:t>
      </w:r>
      <w:r w:rsidR="00AF4816" w:rsidRPr="00610127">
        <w:t xml:space="preserve">exprimées lors des réunions du groupe </w:t>
      </w:r>
      <w:r w:rsidRPr="00610127">
        <w:t>EG-</w:t>
      </w:r>
      <w:r w:rsidR="00AF4816" w:rsidRPr="00610127">
        <w:t>RTI</w:t>
      </w:r>
      <w:r w:rsidRPr="00610127">
        <w:t xml:space="preserve">, </w:t>
      </w:r>
      <w:r w:rsidR="00AF4816" w:rsidRPr="00610127">
        <w:t>y compris l</w:t>
      </w:r>
      <w:r w:rsidR="00B83ECD" w:rsidRPr="00610127">
        <w:t>'</w:t>
      </w:r>
      <w:r w:rsidR="00AF4816" w:rsidRPr="00610127">
        <w:t>absence de consensus sur l</w:t>
      </w:r>
      <w:r w:rsidR="00B83ECD" w:rsidRPr="00610127">
        <w:t>'</w:t>
      </w:r>
      <w:r w:rsidR="00AF4816" w:rsidRPr="00610127">
        <w:t>avenir du RTI et du groupe d</w:t>
      </w:r>
      <w:r w:rsidR="00B83ECD" w:rsidRPr="00610127">
        <w:t>'</w:t>
      </w:r>
      <w:r w:rsidR="00AF4816" w:rsidRPr="00610127">
        <w:t>experts</w:t>
      </w:r>
      <w:r w:rsidRPr="00610127">
        <w:t xml:space="preserve">. </w:t>
      </w:r>
      <w:r w:rsidR="00A60659" w:rsidRPr="00610127">
        <w:rPr>
          <w:color w:val="000000"/>
        </w:rPr>
        <w:t>La seule possibilité qui s</w:t>
      </w:r>
      <w:r w:rsidR="00B83ECD" w:rsidRPr="00610127">
        <w:rPr>
          <w:color w:val="000000"/>
        </w:rPr>
        <w:t>'</w:t>
      </w:r>
      <w:r w:rsidR="00A60659" w:rsidRPr="00610127">
        <w:rPr>
          <w:color w:val="000000"/>
        </w:rPr>
        <w:t>offre au</w:t>
      </w:r>
      <w:r w:rsidR="00797724" w:rsidRPr="00610127">
        <w:rPr>
          <w:color w:val="000000"/>
        </w:rPr>
        <w:t xml:space="preserve"> </w:t>
      </w:r>
      <w:r w:rsidRPr="00610127">
        <w:t>Co</w:t>
      </w:r>
      <w:r w:rsidR="00AF4816" w:rsidRPr="00610127">
        <w:t xml:space="preserve">nseil est donc de prendre note du rapport et de le transmettre à la </w:t>
      </w:r>
      <w:r w:rsidRPr="00610127">
        <w:t>PP-22.</w:t>
      </w:r>
    </w:p>
    <w:p w14:paraId="119C9C6D" w14:textId="77777777" w:rsidR="002F235C" w:rsidRDefault="002F235C" w:rsidP="00217650">
      <w:r>
        <w:br w:type="page"/>
      </w:r>
    </w:p>
    <w:p w14:paraId="01484CA8" w14:textId="2FF6C924" w:rsidR="00276FFF" w:rsidRPr="00610127" w:rsidRDefault="00276FFF" w:rsidP="00217650">
      <w:r w:rsidRPr="00610127">
        <w:lastRenderedPageBreak/>
        <w:t>6.5</w:t>
      </w:r>
      <w:r w:rsidRPr="00610127">
        <w:tab/>
      </w:r>
      <w:r w:rsidR="00AB3267" w:rsidRPr="00610127">
        <w:t xml:space="preserve">Le </w:t>
      </w:r>
      <w:r w:rsidR="00BA65E6" w:rsidRPr="00610127">
        <w:t>conseill</w:t>
      </w:r>
      <w:r w:rsidR="00AB3267" w:rsidRPr="00610127">
        <w:t xml:space="preserve">er du </w:t>
      </w:r>
      <w:r w:rsidRPr="00610127">
        <w:t>Canada, co</w:t>
      </w:r>
      <w:r w:rsidR="003A7747" w:rsidRPr="00610127">
        <w:t xml:space="preserve">auteur du </w:t>
      </w:r>
      <w:r w:rsidRPr="00610127">
        <w:t xml:space="preserve">Document C22/75, </w:t>
      </w:r>
      <w:r w:rsidR="003A7747" w:rsidRPr="00610127">
        <w:t>rappelle qu</w:t>
      </w:r>
      <w:r w:rsidR="00B83ECD" w:rsidRPr="00610127">
        <w:t>'</w:t>
      </w:r>
      <w:r w:rsidR="003A7747" w:rsidRPr="00610127">
        <w:t>aucun des deux derniers groupes d</w:t>
      </w:r>
      <w:r w:rsidR="00B83ECD" w:rsidRPr="00610127">
        <w:t>'</w:t>
      </w:r>
      <w:r w:rsidR="003A7747" w:rsidRPr="00610127">
        <w:t>experts n</w:t>
      </w:r>
      <w:r w:rsidR="00B83ECD" w:rsidRPr="00610127">
        <w:t>'</w:t>
      </w:r>
      <w:r w:rsidR="003A7747" w:rsidRPr="00610127">
        <w:t xml:space="preserve">est parvenu à trouver un </w:t>
      </w:r>
      <w:r w:rsidRPr="00610127">
        <w:t xml:space="preserve">consensus </w:t>
      </w:r>
      <w:r w:rsidR="003A7747" w:rsidRPr="00610127">
        <w:t>et que</w:t>
      </w:r>
      <w:r w:rsidR="00883212" w:rsidRPr="00610127">
        <w:t xml:space="preserve"> selon l</w:t>
      </w:r>
      <w:r w:rsidR="00B83ECD" w:rsidRPr="00610127">
        <w:t>'</w:t>
      </w:r>
      <w:r w:rsidR="00883212" w:rsidRPr="00610127">
        <w:t>avis juridique</w:t>
      </w:r>
      <w:r w:rsidR="003A7747" w:rsidRPr="00610127">
        <w:t xml:space="preserve"> </w:t>
      </w:r>
      <w:r w:rsidR="00883212" w:rsidRPr="00610127">
        <w:t xml:space="preserve">transmis aux </w:t>
      </w:r>
      <w:r w:rsidR="003A7747" w:rsidRPr="00610127">
        <w:t>membres du groupe d</w:t>
      </w:r>
      <w:r w:rsidR="00B83ECD" w:rsidRPr="00610127">
        <w:t>'</w:t>
      </w:r>
      <w:r w:rsidR="003A7747" w:rsidRPr="00610127">
        <w:t>experts</w:t>
      </w:r>
      <w:r w:rsidR="00883212" w:rsidRPr="00610127">
        <w:t>,</w:t>
      </w:r>
      <w:r w:rsidR="003A7747" w:rsidRPr="00610127">
        <w:t xml:space="preserve"> </w:t>
      </w:r>
      <w:r w:rsidR="00951276" w:rsidRPr="00610127">
        <w:t>il n</w:t>
      </w:r>
      <w:r w:rsidR="00B83ECD" w:rsidRPr="00610127">
        <w:t>'</w:t>
      </w:r>
      <w:r w:rsidR="00951276" w:rsidRPr="00610127">
        <w:t>existe aucune divergence</w:t>
      </w:r>
      <w:r w:rsidR="00951276" w:rsidRPr="00610127" w:rsidDel="00883212">
        <w:t xml:space="preserve"> </w:t>
      </w:r>
      <w:r w:rsidR="00951276" w:rsidRPr="00610127">
        <w:t>entre</w:t>
      </w:r>
      <w:r w:rsidR="00797724" w:rsidRPr="00610127">
        <w:t xml:space="preserve"> </w:t>
      </w:r>
      <w:r w:rsidR="00074585" w:rsidRPr="00610127">
        <w:t xml:space="preserve">les deux </w:t>
      </w:r>
      <w:r w:rsidRPr="00610127">
        <w:t xml:space="preserve">versions </w:t>
      </w:r>
      <w:r w:rsidR="00074585" w:rsidRPr="00610127">
        <w:t>du RTI</w:t>
      </w:r>
      <w:r w:rsidRPr="00610127">
        <w:t xml:space="preserve">. </w:t>
      </w:r>
      <w:r w:rsidR="00074585" w:rsidRPr="00610127">
        <w:t>De plus, aucune donnée empirique ne permet d</w:t>
      </w:r>
      <w:r w:rsidR="00B83ECD" w:rsidRPr="00610127">
        <w:t>'</w:t>
      </w:r>
      <w:r w:rsidR="00074585" w:rsidRPr="00610127">
        <w:t xml:space="preserve">affirmer que les États </w:t>
      </w:r>
      <w:r w:rsidR="007C4DCB" w:rsidRPr="00610127">
        <w:t xml:space="preserve">Membres </w:t>
      </w:r>
      <w:r w:rsidR="00074585" w:rsidRPr="00610127">
        <w:t>rencontrent des problèmes à cet égard</w:t>
      </w:r>
      <w:r w:rsidRPr="00610127">
        <w:t xml:space="preserve">. </w:t>
      </w:r>
      <w:r w:rsidR="00074585" w:rsidRPr="00610127">
        <w:t xml:space="preserve">Une </w:t>
      </w:r>
      <w:r w:rsidR="00BA65E6" w:rsidRPr="00610127">
        <w:t>conseill</w:t>
      </w:r>
      <w:r w:rsidR="00074585" w:rsidRPr="00610127">
        <w:t xml:space="preserve">ère </w:t>
      </w:r>
      <w:r w:rsidR="00951276" w:rsidRPr="00610127">
        <w:t xml:space="preserve">souscrit à </w:t>
      </w:r>
      <w:r w:rsidR="00074585" w:rsidRPr="00610127">
        <w:t xml:space="preserve">cette </w:t>
      </w:r>
      <w:r w:rsidRPr="00610127">
        <w:t>position</w:t>
      </w:r>
      <w:r w:rsidR="00951276" w:rsidRPr="00610127">
        <w:t xml:space="preserve"> et fait valoir</w:t>
      </w:r>
      <w:r w:rsidR="00AF24B8" w:rsidRPr="00610127">
        <w:t xml:space="preserve"> que les travaux du groupe d</w:t>
      </w:r>
      <w:r w:rsidR="00B83ECD" w:rsidRPr="00610127">
        <w:t>'</w:t>
      </w:r>
      <w:r w:rsidR="00AF24B8" w:rsidRPr="00610127">
        <w:t>experts nécessitent des ressources importantes et que le RTI n</w:t>
      </w:r>
      <w:r w:rsidR="00B83ECD" w:rsidRPr="00610127">
        <w:t>'</w:t>
      </w:r>
      <w:r w:rsidR="00AF24B8" w:rsidRPr="00610127">
        <w:t>est plus nécessaire</w:t>
      </w:r>
      <w:r w:rsidR="00951276" w:rsidRPr="00610127">
        <w:t>,</w:t>
      </w:r>
      <w:r w:rsidR="00AF24B8" w:rsidRPr="00610127">
        <w:t xml:space="preserve"> étant donné qu</w:t>
      </w:r>
      <w:r w:rsidR="00B83ECD" w:rsidRPr="00610127">
        <w:t>'</w:t>
      </w:r>
      <w:r w:rsidR="00AF24B8" w:rsidRPr="00610127">
        <w:t xml:space="preserve">il a été </w:t>
      </w:r>
      <w:r w:rsidR="00951276" w:rsidRPr="00610127">
        <w:t xml:space="preserve">en grande partie </w:t>
      </w:r>
      <w:r w:rsidR="00AF24B8" w:rsidRPr="00610127">
        <w:t xml:space="preserve">remplacé par des </w:t>
      </w:r>
      <w:r w:rsidR="00951276" w:rsidRPr="00610127">
        <w:rPr>
          <w:color w:val="000000"/>
        </w:rPr>
        <w:t>accords commerciaux</w:t>
      </w:r>
      <w:r w:rsidR="00D01E5C" w:rsidRPr="00610127">
        <w:rPr>
          <w:color w:val="000000"/>
        </w:rPr>
        <w:t>.</w:t>
      </w:r>
    </w:p>
    <w:p w14:paraId="4DB16CEC" w14:textId="77777777" w:rsidR="00276FFF" w:rsidRPr="00610127" w:rsidRDefault="00276FFF" w:rsidP="00217650">
      <w:r w:rsidRPr="00610127">
        <w:t>6.6</w:t>
      </w:r>
      <w:r w:rsidRPr="00610127">
        <w:tab/>
      </w:r>
      <w:r w:rsidR="00E96155" w:rsidRPr="00610127">
        <w:t xml:space="preserve">Plusieurs </w:t>
      </w:r>
      <w:r w:rsidR="00BA65E6" w:rsidRPr="00610127">
        <w:t>conseill</w:t>
      </w:r>
      <w:r w:rsidR="00E96155" w:rsidRPr="00610127">
        <w:t>ers appuient sans réserve la poursuite des travaux menés par le groupe d</w:t>
      </w:r>
      <w:r w:rsidR="00B83ECD" w:rsidRPr="00610127">
        <w:t>'</w:t>
      </w:r>
      <w:r w:rsidRPr="00610127">
        <w:t>expert</w:t>
      </w:r>
      <w:r w:rsidR="00E96155" w:rsidRPr="00610127">
        <w:t>s</w:t>
      </w:r>
      <w:r w:rsidRPr="00610127">
        <w:t>,</w:t>
      </w:r>
      <w:r w:rsidR="00797724" w:rsidRPr="00610127">
        <w:t xml:space="preserve"> </w:t>
      </w:r>
      <w:r w:rsidR="00E96155" w:rsidRPr="00610127">
        <w:t>estim</w:t>
      </w:r>
      <w:r w:rsidR="00951276" w:rsidRPr="00610127">
        <w:t>ant que</w:t>
      </w:r>
      <w:r w:rsidR="00797724" w:rsidRPr="00610127">
        <w:t xml:space="preserve"> </w:t>
      </w:r>
      <w:r w:rsidR="00E96155" w:rsidRPr="00610127">
        <w:t xml:space="preserve">le RTI </w:t>
      </w:r>
      <w:r w:rsidR="00951276" w:rsidRPr="00610127">
        <w:t>est essentiel pour les</w:t>
      </w:r>
      <w:r w:rsidR="00E96155" w:rsidRPr="00610127">
        <w:t xml:space="preserve"> </w:t>
      </w:r>
      <w:r w:rsidRPr="00610127">
        <w:t>t</w:t>
      </w:r>
      <w:r w:rsidR="00E96155" w:rsidRPr="00610127">
        <w:t>é</w:t>
      </w:r>
      <w:r w:rsidRPr="00610127">
        <w:t>l</w:t>
      </w:r>
      <w:r w:rsidR="00E96155" w:rsidRPr="00610127">
        <w:t>é</w:t>
      </w:r>
      <w:r w:rsidRPr="00610127">
        <w:t>communications</w:t>
      </w:r>
      <w:r w:rsidR="00E96155" w:rsidRPr="00610127">
        <w:t xml:space="preserve"> dans le monde,</w:t>
      </w:r>
      <w:r w:rsidRPr="00610127">
        <w:t xml:space="preserve"> </w:t>
      </w:r>
      <w:r w:rsidR="00951276" w:rsidRPr="00610127">
        <w:t>et beaucoup</w:t>
      </w:r>
      <w:r w:rsidR="00E96155" w:rsidRPr="00610127">
        <w:t xml:space="preserve"> d</w:t>
      </w:r>
      <w:r w:rsidR="00B83ECD" w:rsidRPr="00610127">
        <w:t>'</w:t>
      </w:r>
      <w:r w:rsidR="00951276" w:rsidRPr="00610127">
        <w:t xml:space="preserve">entre </w:t>
      </w:r>
      <w:r w:rsidR="001979A1" w:rsidRPr="00610127">
        <w:t xml:space="preserve">eux </w:t>
      </w:r>
      <w:r w:rsidR="00E96155" w:rsidRPr="00610127">
        <w:t>plaid</w:t>
      </w:r>
      <w:r w:rsidR="00604ACB" w:rsidRPr="00610127">
        <w:t>e</w:t>
      </w:r>
      <w:r w:rsidR="00E96155" w:rsidRPr="00610127">
        <w:t>nt pour</w:t>
      </w:r>
      <w:r w:rsidR="00797724" w:rsidRPr="00610127">
        <w:t xml:space="preserve"> </w:t>
      </w:r>
      <w:r w:rsidR="00951276" w:rsidRPr="00610127">
        <w:t>l</w:t>
      </w:r>
      <w:r w:rsidR="00B83ECD" w:rsidRPr="00610127">
        <w:t>'</w:t>
      </w:r>
      <w:r w:rsidR="00951276" w:rsidRPr="00610127">
        <w:t>élaboration</w:t>
      </w:r>
      <w:r w:rsidR="00E96155" w:rsidRPr="00610127">
        <w:t xml:space="preserve"> d</w:t>
      </w:r>
      <w:r w:rsidR="00B83ECD" w:rsidRPr="00610127">
        <w:t>'</w:t>
      </w:r>
      <w:r w:rsidR="00E96155" w:rsidRPr="00610127">
        <w:t>une version unique</w:t>
      </w:r>
      <w:r w:rsidR="00797724" w:rsidRPr="00610127">
        <w:t xml:space="preserve"> </w:t>
      </w:r>
      <w:r w:rsidR="00951276" w:rsidRPr="00610127">
        <w:t>prenant</w:t>
      </w:r>
      <w:r w:rsidR="001979A1" w:rsidRPr="00610127">
        <w:t xml:space="preserve"> en compte les dernières évolutions de ce domaine</w:t>
      </w:r>
      <w:r w:rsidRPr="00610127">
        <w:t xml:space="preserve">. </w:t>
      </w:r>
      <w:r w:rsidR="00F62560" w:rsidRPr="00610127">
        <w:t xml:space="preserve">De nouvelles approches </w:t>
      </w:r>
      <w:r w:rsidR="00951276" w:rsidRPr="00610127">
        <w:t>s</w:t>
      </w:r>
      <w:r w:rsidR="00B83ECD" w:rsidRPr="00610127">
        <w:t>'</w:t>
      </w:r>
      <w:r w:rsidR="00951276" w:rsidRPr="00610127">
        <w:t>imposent</w:t>
      </w:r>
      <w:r w:rsidR="00F62560" w:rsidRPr="00610127">
        <w:t xml:space="preserve"> pour surmonter les divergen</w:t>
      </w:r>
      <w:r w:rsidR="00BE064B" w:rsidRPr="00610127">
        <w:t>c</w:t>
      </w:r>
      <w:r w:rsidR="00F62560" w:rsidRPr="00610127">
        <w:t>es à ce sujet</w:t>
      </w:r>
      <w:r w:rsidRPr="00610127">
        <w:t xml:space="preserve">. </w:t>
      </w:r>
      <w:r w:rsidR="00BE064B" w:rsidRPr="00610127">
        <w:t xml:space="preserve">Un </w:t>
      </w:r>
      <w:r w:rsidR="00BA65E6" w:rsidRPr="00610127">
        <w:t>conseill</w:t>
      </w:r>
      <w:r w:rsidR="00BE064B" w:rsidRPr="00610127">
        <w:t xml:space="preserve">er </w:t>
      </w:r>
      <w:r w:rsidR="00916AF8" w:rsidRPr="00610127">
        <w:t xml:space="preserve">fait valoir </w:t>
      </w:r>
      <w:r w:rsidR="00BE064B" w:rsidRPr="00610127">
        <w:t>que le groupe d</w:t>
      </w:r>
      <w:r w:rsidR="00B83ECD" w:rsidRPr="00610127">
        <w:t>'</w:t>
      </w:r>
      <w:r w:rsidR="00BE064B" w:rsidRPr="00610127">
        <w:t xml:space="preserve">experts </w:t>
      </w:r>
      <w:r w:rsidR="00AB5DB4" w:rsidRPr="00610127">
        <w:t xml:space="preserve">doit encore terminer son mandat conformément à la </w:t>
      </w:r>
      <w:r w:rsidRPr="00610127">
        <w:t>R</w:t>
      </w:r>
      <w:r w:rsidR="00AB5DB4" w:rsidRPr="00610127">
        <w:t>é</w:t>
      </w:r>
      <w:r w:rsidRPr="00610127">
        <w:t>solution 146 (R</w:t>
      </w:r>
      <w:r w:rsidR="00125793" w:rsidRPr="00610127">
        <w:t>é</w:t>
      </w:r>
      <w:r w:rsidRPr="00610127">
        <w:t>v. Duba</w:t>
      </w:r>
      <w:r w:rsidR="00AB5DB4" w:rsidRPr="00610127">
        <w:t>ï</w:t>
      </w:r>
      <w:r w:rsidRPr="00610127">
        <w:t xml:space="preserve">, 2018) </w:t>
      </w:r>
      <w:r w:rsidR="00916AF8" w:rsidRPr="00610127">
        <w:t xml:space="preserve">de la Conférence de plénipotentiaires </w:t>
      </w:r>
      <w:r w:rsidR="00AB5DB4" w:rsidRPr="00610127">
        <w:t xml:space="preserve">et à la Résolution </w:t>
      </w:r>
      <w:r w:rsidRPr="00610127">
        <w:t>1379</w:t>
      </w:r>
      <w:r w:rsidR="00916AF8" w:rsidRPr="00610127">
        <w:t xml:space="preserve"> du Conseil</w:t>
      </w:r>
      <w:r w:rsidR="00797724" w:rsidRPr="00610127">
        <w:t xml:space="preserve"> </w:t>
      </w:r>
      <w:r w:rsidRPr="00610127">
        <w:t>(</w:t>
      </w:r>
      <w:r w:rsidR="00AB5DB4" w:rsidRPr="00610127">
        <w:t xml:space="preserve">modifiée en </w:t>
      </w:r>
      <w:r w:rsidRPr="00610127">
        <w:t xml:space="preserve">2019), </w:t>
      </w:r>
      <w:r w:rsidR="00AB5DB4" w:rsidRPr="00610127">
        <w:t>tandis que d</w:t>
      </w:r>
      <w:r w:rsidR="00B83ECD" w:rsidRPr="00610127">
        <w:t>'</w:t>
      </w:r>
      <w:r w:rsidR="00AB5DB4" w:rsidRPr="00610127">
        <w:t>autres</w:t>
      </w:r>
      <w:r w:rsidR="00797724" w:rsidRPr="00610127">
        <w:t xml:space="preserve"> </w:t>
      </w:r>
      <w:r w:rsidR="00916AF8" w:rsidRPr="00610127">
        <w:t>sont de l</w:t>
      </w:r>
      <w:r w:rsidR="00B83ECD" w:rsidRPr="00610127">
        <w:t>'</w:t>
      </w:r>
      <w:r w:rsidR="00916AF8" w:rsidRPr="00610127">
        <w:t>avis contraire</w:t>
      </w:r>
      <w:r w:rsidRPr="00610127">
        <w:t xml:space="preserve">. </w:t>
      </w:r>
      <w:r w:rsidR="00AB5DB4" w:rsidRPr="00610127">
        <w:t>Certaines conseillères propose</w:t>
      </w:r>
      <w:r w:rsidR="00ED221B" w:rsidRPr="00610127">
        <w:t>nt</w:t>
      </w:r>
      <w:r w:rsidR="00AB5DB4" w:rsidRPr="00610127">
        <w:t xml:space="preserve"> que le mandat du groupe d</w:t>
      </w:r>
      <w:r w:rsidR="00B83ECD" w:rsidRPr="00610127">
        <w:t>'</w:t>
      </w:r>
      <w:r w:rsidR="00AB5DB4" w:rsidRPr="00610127">
        <w:t>experts soit mis à jour</w:t>
      </w:r>
      <w:r w:rsidRPr="00610127">
        <w:t>.</w:t>
      </w:r>
    </w:p>
    <w:p w14:paraId="2AAC73CD" w14:textId="77777777" w:rsidR="00276FFF" w:rsidRPr="00610127" w:rsidRDefault="00276FFF" w:rsidP="007C4DCB">
      <w:pPr>
        <w:keepNext/>
        <w:keepLines/>
      </w:pPr>
      <w:r w:rsidRPr="00610127">
        <w:t>6.7</w:t>
      </w:r>
      <w:r w:rsidRPr="00610127">
        <w:tab/>
      </w:r>
      <w:r w:rsidR="00B82E7F" w:rsidRPr="00610127">
        <w:t xml:space="preserve">Un </w:t>
      </w:r>
      <w:r w:rsidR="00BA65E6" w:rsidRPr="00610127">
        <w:t>conseill</w:t>
      </w:r>
      <w:r w:rsidR="00B82E7F" w:rsidRPr="00610127">
        <w:t xml:space="preserve">er </w:t>
      </w:r>
      <w:r w:rsidRPr="00610127">
        <w:t xml:space="preserve">propose </w:t>
      </w:r>
      <w:r w:rsidR="00B82E7F" w:rsidRPr="00610127">
        <w:t xml:space="preserve">que le rapport </w:t>
      </w:r>
      <w:r w:rsidR="00916AF8" w:rsidRPr="00610127">
        <w:t>fasse état des</w:t>
      </w:r>
      <w:r w:rsidR="00797724" w:rsidRPr="00610127">
        <w:t xml:space="preserve"> </w:t>
      </w:r>
      <w:r w:rsidR="00B82E7F" w:rsidRPr="00610127">
        <w:t>circonstances difficiles dans lesquelles</w:t>
      </w:r>
      <w:r w:rsidR="00797724" w:rsidRPr="00610127">
        <w:t xml:space="preserve"> </w:t>
      </w:r>
      <w:r w:rsidR="00B82E7F" w:rsidRPr="00610127">
        <w:t xml:space="preserve">les </w:t>
      </w:r>
      <w:r w:rsidRPr="00610127">
        <w:t>discussions</w:t>
      </w:r>
      <w:r w:rsidR="00916AF8" w:rsidRPr="00610127">
        <w:t xml:space="preserve"> ont eu lieu</w:t>
      </w:r>
      <w:r w:rsidRPr="00610127">
        <w:t>,</w:t>
      </w:r>
      <w:r w:rsidR="00797724" w:rsidRPr="00610127">
        <w:t xml:space="preserve"> </w:t>
      </w:r>
      <w:r w:rsidR="00B82E7F" w:rsidRPr="00610127">
        <w:t>en raison</w:t>
      </w:r>
      <w:r w:rsidR="00797724" w:rsidRPr="00610127">
        <w:t xml:space="preserve"> </w:t>
      </w:r>
      <w:r w:rsidR="00916AF8" w:rsidRPr="00610127">
        <w:t>du</w:t>
      </w:r>
      <w:r w:rsidR="00B82E7F" w:rsidRPr="00610127">
        <w:t xml:space="preserve"> </w:t>
      </w:r>
      <w:r w:rsidRPr="00610127">
        <w:t>COVID-19</w:t>
      </w:r>
      <w:r w:rsidR="00B82E7F" w:rsidRPr="00610127">
        <w:t>,</w:t>
      </w:r>
      <w:r w:rsidRPr="00610127">
        <w:t xml:space="preserve"> </w:t>
      </w:r>
      <w:r w:rsidR="00B82E7F" w:rsidRPr="00610127">
        <w:t xml:space="preserve">qui, selon son </w:t>
      </w:r>
      <w:r w:rsidRPr="00610127">
        <w:t>administration</w:t>
      </w:r>
      <w:r w:rsidR="00B82E7F" w:rsidRPr="00610127">
        <w:t>,</w:t>
      </w:r>
      <w:r w:rsidR="00797724" w:rsidRPr="00610127">
        <w:t xml:space="preserve"> </w:t>
      </w:r>
      <w:r w:rsidR="00916AF8" w:rsidRPr="00610127">
        <w:t xml:space="preserve">ont </w:t>
      </w:r>
      <w:r w:rsidR="00B82E7F" w:rsidRPr="00610127">
        <w:t>eu</w:t>
      </w:r>
      <w:r w:rsidR="00797724" w:rsidRPr="00610127">
        <w:t xml:space="preserve"> </w:t>
      </w:r>
      <w:r w:rsidR="00916AF8" w:rsidRPr="00610127">
        <w:t>des incidences</w:t>
      </w:r>
      <w:r w:rsidRPr="00610127">
        <w:t xml:space="preserve"> </w:t>
      </w:r>
      <w:r w:rsidR="0054473C" w:rsidRPr="00610127">
        <w:t>sur le</w:t>
      </w:r>
      <w:r w:rsidR="00916AF8" w:rsidRPr="00610127">
        <w:t>s</w:t>
      </w:r>
      <w:r w:rsidR="00797724" w:rsidRPr="00610127">
        <w:t xml:space="preserve"> </w:t>
      </w:r>
      <w:r w:rsidR="0054473C" w:rsidRPr="00610127">
        <w:t>résultats</w:t>
      </w:r>
      <w:r w:rsidRPr="00610127">
        <w:t xml:space="preserve">. </w:t>
      </w:r>
      <w:r w:rsidR="00813E32" w:rsidRPr="00610127">
        <w:t xml:space="preserve">Un autre </w:t>
      </w:r>
      <w:r w:rsidR="00BA65E6" w:rsidRPr="00610127">
        <w:t>conseill</w:t>
      </w:r>
      <w:r w:rsidR="00813E32" w:rsidRPr="00610127">
        <w:t>er regrette que</w:t>
      </w:r>
      <w:r w:rsidRPr="00610127">
        <w:t xml:space="preserve">, </w:t>
      </w:r>
      <w:r w:rsidR="00813E32" w:rsidRPr="00610127">
        <w:t>faute de consensus</w:t>
      </w:r>
      <w:r w:rsidRPr="00610127">
        <w:t xml:space="preserve">, </w:t>
      </w:r>
      <w:r w:rsidR="00CF1057" w:rsidRPr="00610127">
        <w:t>le groupe d</w:t>
      </w:r>
      <w:r w:rsidR="00B83ECD" w:rsidRPr="00610127">
        <w:t>'</w:t>
      </w:r>
      <w:r w:rsidRPr="00610127">
        <w:t>expert</w:t>
      </w:r>
      <w:r w:rsidR="00CF1057" w:rsidRPr="00610127">
        <w:t>s</w:t>
      </w:r>
      <w:r w:rsidRPr="00610127">
        <w:t xml:space="preserve"> </w:t>
      </w:r>
      <w:r w:rsidR="00CF1057" w:rsidRPr="00610127">
        <w:t>n</w:t>
      </w:r>
      <w:r w:rsidR="00B83ECD" w:rsidRPr="00610127">
        <w:t>'</w:t>
      </w:r>
      <w:r w:rsidR="00CF1057" w:rsidRPr="00610127">
        <w:t>ait pas eu la</w:t>
      </w:r>
      <w:r w:rsidR="00797724" w:rsidRPr="00610127">
        <w:t xml:space="preserve"> </w:t>
      </w:r>
      <w:r w:rsidR="00916AF8" w:rsidRPr="00610127">
        <w:t xml:space="preserve">possibilité </w:t>
      </w:r>
      <w:r w:rsidR="00CF1057" w:rsidRPr="00610127">
        <w:t>de débattre de</w:t>
      </w:r>
      <w:r w:rsidR="00916AF8" w:rsidRPr="00610127">
        <w:t>s</w:t>
      </w:r>
      <w:r w:rsidR="00CF1057" w:rsidRPr="00610127">
        <w:t xml:space="preserve"> questions de fond concernant les véritables problèmes </w:t>
      </w:r>
      <w:r w:rsidR="00FB0945" w:rsidRPr="00610127">
        <w:t>aux</w:t>
      </w:r>
      <w:r w:rsidR="00CF1057" w:rsidRPr="00610127">
        <w:t>que</w:t>
      </w:r>
      <w:r w:rsidR="00FB0945" w:rsidRPr="00610127">
        <w:t>ls</w:t>
      </w:r>
      <w:r w:rsidR="00CF1057" w:rsidRPr="00610127">
        <w:t xml:space="preserve"> les pays ont pu </w:t>
      </w:r>
      <w:r w:rsidR="00916AF8" w:rsidRPr="00610127">
        <w:t>remédier</w:t>
      </w:r>
      <w:r w:rsidR="00797724" w:rsidRPr="00610127">
        <w:t xml:space="preserve"> </w:t>
      </w:r>
      <w:r w:rsidR="00CF1057" w:rsidRPr="00610127">
        <w:t>grâce au RTI</w:t>
      </w:r>
      <w:r w:rsidRPr="00610127">
        <w:t xml:space="preserve">. </w:t>
      </w:r>
      <w:r w:rsidR="009C645D" w:rsidRPr="00610127">
        <w:t>Enfin, u</w:t>
      </w:r>
      <w:r w:rsidR="00B146B8" w:rsidRPr="00610127">
        <w:t>n</w:t>
      </w:r>
      <w:r w:rsidR="00797724" w:rsidRPr="00610127">
        <w:t xml:space="preserve"> </w:t>
      </w:r>
      <w:r w:rsidR="00916AF8" w:rsidRPr="00610127">
        <w:t xml:space="preserve">autre </w:t>
      </w:r>
      <w:r w:rsidR="00BA65E6" w:rsidRPr="00610127">
        <w:t>conseill</w:t>
      </w:r>
      <w:r w:rsidR="00B146B8" w:rsidRPr="00610127">
        <w:t xml:space="preserve">er </w:t>
      </w:r>
      <w:r w:rsidRPr="00610127">
        <w:t xml:space="preserve">encourage </w:t>
      </w:r>
      <w:r w:rsidR="00B146B8" w:rsidRPr="00610127">
        <w:t>le groupe d</w:t>
      </w:r>
      <w:r w:rsidR="00B83ECD" w:rsidRPr="00610127">
        <w:t>'</w:t>
      </w:r>
      <w:r w:rsidRPr="00610127">
        <w:t>expert</w:t>
      </w:r>
      <w:r w:rsidR="00B146B8" w:rsidRPr="00610127">
        <w:t>s</w:t>
      </w:r>
      <w:r w:rsidRPr="00610127">
        <w:t xml:space="preserve"> </w:t>
      </w:r>
      <w:r w:rsidR="00B146B8" w:rsidRPr="00610127">
        <w:t xml:space="preserve">à étudier les </w:t>
      </w:r>
      <w:r w:rsidRPr="00610127">
        <w:t xml:space="preserve">applications </w:t>
      </w:r>
      <w:r w:rsidR="00B146B8" w:rsidRPr="00610127">
        <w:t>concrètes du RTI</w:t>
      </w:r>
      <w:r w:rsidR="00916AF8" w:rsidRPr="00610127">
        <w:t>,</w:t>
      </w:r>
      <w:r w:rsidR="00B146B8" w:rsidRPr="00610127">
        <w:t xml:space="preserve"> afin de déterminer s</w:t>
      </w:r>
      <w:r w:rsidR="00B83ECD" w:rsidRPr="00610127">
        <w:t>'</w:t>
      </w:r>
      <w:r w:rsidR="00B146B8" w:rsidRPr="00610127">
        <w:t>il est toujours nécessaire</w:t>
      </w:r>
      <w:r w:rsidRPr="00610127">
        <w:t>.</w:t>
      </w:r>
    </w:p>
    <w:p w14:paraId="34E34B27" w14:textId="77777777" w:rsidR="00276FFF" w:rsidRPr="00610127" w:rsidRDefault="00276FFF" w:rsidP="00217650">
      <w:r w:rsidRPr="00610127">
        <w:t>6.8</w:t>
      </w:r>
      <w:r w:rsidRPr="00610127">
        <w:tab/>
      </w:r>
      <w:r w:rsidR="00D01E5C" w:rsidRPr="00610127">
        <w:t>Étant</w:t>
      </w:r>
      <w:r w:rsidR="00916AF8" w:rsidRPr="00610127">
        <w:t xml:space="preserve"> donné </w:t>
      </w:r>
      <w:r w:rsidR="009C645D" w:rsidRPr="00610127">
        <w:t>qu</w:t>
      </w:r>
      <w:r w:rsidR="00B83ECD" w:rsidRPr="00610127">
        <w:t>'</w:t>
      </w:r>
      <w:r w:rsidR="009C645D" w:rsidRPr="00610127">
        <w:t xml:space="preserve">aucun </w:t>
      </w:r>
      <w:r w:rsidRPr="00610127">
        <w:t xml:space="preserve">consensus </w:t>
      </w:r>
      <w:r w:rsidR="009C645D" w:rsidRPr="00610127">
        <w:t>n</w:t>
      </w:r>
      <w:r w:rsidR="00B83ECD" w:rsidRPr="00610127">
        <w:t>'</w:t>
      </w:r>
      <w:r w:rsidR="009C645D" w:rsidRPr="00610127">
        <w:t>a été trouvé au sein du groupe d</w:t>
      </w:r>
      <w:r w:rsidR="00B83ECD" w:rsidRPr="00610127">
        <w:t>'</w:t>
      </w:r>
      <w:r w:rsidR="009C645D" w:rsidRPr="00610127">
        <w:t>experts</w:t>
      </w:r>
      <w:r w:rsidRPr="00610127">
        <w:t xml:space="preserve">, </w:t>
      </w:r>
      <w:r w:rsidR="009C645D" w:rsidRPr="00610127">
        <w:t xml:space="preserve">les </w:t>
      </w:r>
      <w:r w:rsidR="00BA65E6" w:rsidRPr="00610127">
        <w:t>conseill</w:t>
      </w:r>
      <w:r w:rsidR="009C645D" w:rsidRPr="00610127">
        <w:t xml:space="preserve">ers </w:t>
      </w:r>
      <w:r w:rsidR="007D4036" w:rsidRPr="00610127">
        <w:t xml:space="preserve">conviennent </w:t>
      </w:r>
      <w:r w:rsidR="009C645D" w:rsidRPr="00610127">
        <w:t xml:space="preserve">que </w:t>
      </w:r>
      <w:r w:rsidR="007D4036" w:rsidRPr="00610127">
        <w:t>toute décision concernant</w:t>
      </w:r>
      <w:r w:rsidR="00797724" w:rsidRPr="00610127">
        <w:t xml:space="preserve"> </w:t>
      </w:r>
      <w:r w:rsidR="007D4036" w:rsidRPr="00610127">
        <w:t>l</w:t>
      </w:r>
      <w:r w:rsidR="00B83ECD" w:rsidRPr="00610127">
        <w:t>'</w:t>
      </w:r>
      <w:r w:rsidR="009C645D" w:rsidRPr="00610127">
        <w:t xml:space="preserve">avenir </w:t>
      </w:r>
      <w:r w:rsidR="007D4036" w:rsidRPr="00610127">
        <w:t>du groupe</w:t>
      </w:r>
      <w:r w:rsidR="00797724" w:rsidRPr="00610127">
        <w:t xml:space="preserve"> </w:t>
      </w:r>
      <w:r w:rsidR="007D4036" w:rsidRPr="00610127">
        <w:rPr>
          <w:color w:val="000000"/>
        </w:rPr>
        <w:t>doit être prise</w:t>
      </w:r>
      <w:r w:rsidR="00797724" w:rsidRPr="00610127">
        <w:t xml:space="preserve"> </w:t>
      </w:r>
      <w:r w:rsidR="007D4036" w:rsidRPr="00610127">
        <w:t xml:space="preserve">par </w:t>
      </w:r>
      <w:r w:rsidR="00EF3747" w:rsidRPr="00610127">
        <w:t xml:space="preserve">la </w:t>
      </w:r>
      <w:r w:rsidRPr="00610127">
        <w:t>PP-22.</w:t>
      </w:r>
    </w:p>
    <w:p w14:paraId="0EC6DC2E" w14:textId="77777777" w:rsidR="00276FFF" w:rsidRPr="00610127" w:rsidRDefault="00276FFF" w:rsidP="00217650">
      <w:r w:rsidRPr="00610127">
        <w:t>6.9</w:t>
      </w:r>
      <w:r w:rsidRPr="00610127">
        <w:tab/>
      </w:r>
      <w:r w:rsidR="00C6604F" w:rsidRPr="00610127">
        <w:t xml:space="preserve">Le Conseil </w:t>
      </w:r>
      <w:r w:rsidR="00C6604F" w:rsidRPr="00610127">
        <w:rPr>
          <w:b/>
          <w:bCs/>
        </w:rPr>
        <w:t>prend note</w:t>
      </w:r>
      <w:r w:rsidRPr="00610127">
        <w:t xml:space="preserve"> </w:t>
      </w:r>
      <w:r w:rsidR="00C6604F" w:rsidRPr="00610127">
        <w:t xml:space="preserve">du rapport figurant dans le </w:t>
      </w:r>
      <w:r w:rsidRPr="00610127">
        <w:t xml:space="preserve">Document C22/26 </w:t>
      </w:r>
      <w:r w:rsidR="00C6604F" w:rsidRPr="00610127">
        <w:t xml:space="preserve">et </w:t>
      </w:r>
      <w:r w:rsidR="00C6604F" w:rsidRPr="00610127">
        <w:rPr>
          <w:b/>
          <w:bCs/>
        </w:rPr>
        <w:t>décide</w:t>
      </w:r>
      <w:r w:rsidRPr="00610127">
        <w:t xml:space="preserve"> </w:t>
      </w:r>
      <w:r w:rsidR="00C6604F" w:rsidRPr="00610127">
        <w:t xml:space="preserve">de </w:t>
      </w:r>
      <w:r w:rsidR="007D4036" w:rsidRPr="00610127">
        <w:t xml:space="preserve">le </w:t>
      </w:r>
      <w:r w:rsidR="00C6604F" w:rsidRPr="00610127">
        <w:t>transmettre</w:t>
      </w:r>
      <w:r w:rsidR="007D4036" w:rsidRPr="00610127">
        <w:t>, conjointement avec</w:t>
      </w:r>
      <w:r w:rsidR="00797724" w:rsidRPr="00610127">
        <w:t xml:space="preserve"> </w:t>
      </w:r>
      <w:r w:rsidR="00C6604F" w:rsidRPr="00610127">
        <w:t>le compte rendu de la séance</w:t>
      </w:r>
      <w:r w:rsidR="007D4036" w:rsidRPr="00610127">
        <w:t>,</w:t>
      </w:r>
      <w:r w:rsidR="00C6604F" w:rsidRPr="00610127">
        <w:t xml:space="preserve"> à la Conférence de plénipotentiaires</w:t>
      </w:r>
      <w:r w:rsidRPr="00610127">
        <w:t>.</w:t>
      </w:r>
    </w:p>
    <w:p w14:paraId="7DF98F59" w14:textId="77777777" w:rsidR="00276FFF" w:rsidRPr="00610127" w:rsidRDefault="00276FFF" w:rsidP="00217650">
      <w:pPr>
        <w:pStyle w:val="Heading1"/>
      </w:pPr>
      <w:r w:rsidRPr="00610127">
        <w:t>7</w:t>
      </w:r>
      <w:r w:rsidRPr="00610127">
        <w:tab/>
      </w:r>
      <w:r w:rsidR="00BA443D" w:rsidRPr="00610127">
        <w:t>Déclarations des ministres et des conseillers</w:t>
      </w:r>
    </w:p>
    <w:p w14:paraId="69FD43D6" w14:textId="77777777" w:rsidR="00276FFF" w:rsidRPr="00610127" w:rsidRDefault="00276FFF" w:rsidP="00217650">
      <w:r w:rsidRPr="00610127">
        <w:t>7.1</w:t>
      </w:r>
      <w:r w:rsidRPr="00610127">
        <w:tab/>
      </w:r>
      <w:r w:rsidR="00AC75A3" w:rsidRPr="00610127">
        <w:t xml:space="preserve">Dans leurs </w:t>
      </w:r>
      <w:r w:rsidR="0056037D" w:rsidRPr="00610127">
        <w:t>déclarations</w:t>
      </w:r>
      <w:r w:rsidR="00AC75A3" w:rsidRPr="00610127">
        <w:t xml:space="preserve">, </w:t>
      </w:r>
      <w:r w:rsidRPr="00610127">
        <w:t>M</w:t>
      </w:r>
      <w:r w:rsidR="0056037D" w:rsidRPr="00610127">
        <w:t>.</w:t>
      </w:r>
      <w:r w:rsidRPr="00610127">
        <w:t> Ebrima</w:t>
      </w:r>
      <w:r w:rsidR="0056037D" w:rsidRPr="00610127">
        <w:t> </w:t>
      </w:r>
      <w:r w:rsidRPr="00610127">
        <w:t>Sillah (Minist</w:t>
      </w:r>
      <w:r w:rsidR="0056037D" w:rsidRPr="00610127">
        <w:t>re</w:t>
      </w:r>
      <w:r w:rsidRPr="00610127">
        <w:t xml:space="preserve"> </w:t>
      </w:r>
      <w:r w:rsidR="0056037D" w:rsidRPr="00610127">
        <w:t>des infrastructures d</w:t>
      </w:r>
      <w:r w:rsidR="005D6DE2" w:rsidRPr="00610127">
        <w:t>e l</w:t>
      </w:r>
      <w:r w:rsidR="00B83ECD" w:rsidRPr="00610127">
        <w:t>'</w:t>
      </w:r>
      <w:r w:rsidR="0056037D" w:rsidRPr="00610127">
        <w:t>i</w:t>
      </w:r>
      <w:r w:rsidRPr="00610127">
        <w:t xml:space="preserve">nformation </w:t>
      </w:r>
      <w:r w:rsidR="0056037D" w:rsidRPr="00610127">
        <w:t xml:space="preserve">et de </w:t>
      </w:r>
      <w:r w:rsidR="005D6DE2" w:rsidRPr="00610127">
        <w:t xml:space="preserve">la </w:t>
      </w:r>
      <w:r w:rsidR="0056037D" w:rsidRPr="00610127">
        <w:t>c</w:t>
      </w:r>
      <w:r w:rsidRPr="00610127">
        <w:t>ommunication</w:t>
      </w:r>
      <w:r w:rsidR="0056037D" w:rsidRPr="00610127">
        <w:t xml:space="preserve"> de la </w:t>
      </w:r>
      <w:r w:rsidRPr="00610127">
        <w:t>Gambi</w:t>
      </w:r>
      <w:r w:rsidR="0056037D" w:rsidRPr="00610127">
        <w:t>e</w:t>
      </w:r>
      <w:r w:rsidRPr="00610127">
        <w:t>)</w:t>
      </w:r>
      <w:r w:rsidR="00AC75A3" w:rsidRPr="00610127">
        <w:t xml:space="preserve"> </w:t>
      </w:r>
      <w:r w:rsidR="0056037D" w:rsidRPr="00610127">
        <w:t xml:space="preserve">annonce que son </w:t>
      </w:r>
      <w:r w:rsidRPr="00610127">
        <w:t xml:space="preserve">administration </w:t>
      </w:r>
      <w:r w:rsidR="0056037D" w:rsidRPr="00610127">
        <w:t xml:space="preserve">soumettra la </w:t>
      </w:r>
      <w:r w:rsidRPr="00610127">
        <w:t xml:space="preserve">candidature </w:t>
      </w:r>
      <w:r w:rsidR="005D6DE2" w:rsidRPr="00610127">
        <w:t>de</w:t>
      </w:r>
      <w:r w:rsidR="00797724" w:rsidRPr="00610127">
        <w:t xml:space="preserve"> </w:t>
      </w:r>
      <w:r w:rsidR="005D6DE2" w:rsidRPr="00610127">
        <w:t>M.</w:t>
      </w:r>
      <w:r w:rsidR="00D01E5C" w:rsidRPr="00610127">
        <w:t> </w:t>
      </w:r>
      <w:r w:rsidRPr="00610127">
        <w:t xml:space="preserve">Muhammadou M. O. Kah </w:t>
      </w:r>
      <w:r w:rsidR="00AC75A3" w:rsidRPr="00610127">
        <w:t xml:space="preserve">au </w:t>
      </w:r>
      <w:r w:rsidR="0056037D" w:rsidRPr="00610127">
        <w:t xml:space="preserve">poste de </w:t>
      </w:r>
      <w:r w:rsidRPr="00610127">
        <w:t>Direct</w:t>
      </w:r>
      <w:r w:rsidR="0056037D" w:rsidRPr="00610127">
        <w:t>eur</w:t>
      </w:r>
      <w:r w:rsidRPr="00610127">
        <w:t xml:space="preserve"> </w:t>
      </w:r>
      <w:r w:rsidR="0056037D" w:rsidRPr="00610127">
        <w:t xml:space="preserve">du </w:t>
      </w:r>
      <w:r w:rsidRPr="00610127">
        <w:t xml:space="preserve">BDT </w:t>
      </w:r>
      <w:r w:rsidR="0056037D" w:rsidRPr="00610127">
        <w:t xml:space="preserve">à la </w:t>
      </w:r>
      <w:r w:rsidRPr="00610127">
        <w:t xml:space="preserve">PP-22, </w:t>
      </w:r>
      <w:r w:rsidR="0056037D" w:rsidRPr="00610127">
        <w:t xml:space="preserve">et le </w:t>
      </w:r>
      <w:r w:rsidR="00BA65E6" w:rsidRPr="00610127">
        <w:t>conseill</w:t>
      </w:r>
      <w:r w:rsidR="0056037D" w:rsidRPr="00610127">
        <w:t xml:space="preserve">er du </w:t>
      </w:r>
      <w:r w:rsidRPr="00610127">
        <w:t>S</w:t>
      </w:r>
      <w:r w:rsidR="0056037D" w:rsidRPr="00610127">
        <w:t>é</w:t>
      </w:r>
      <w:r w:rsidRPr="00610127">
        <w:t>n</w:t>
      </w:r>
      <w:r w:rsidR="0056037D" w:rsidRPr="00610127">
        <w:t>é</w:t>
      </w:r>
      <w:r w:rsidRPr="00610127">
        <w:t>gal</w:t>
      </w:r>
      <w:r w:rsidR="00AC75A3" w:rsidRPr="00610127">
        <w:t xml:space="preserve"> </w:t>
      </w:r>
      <w:r w:rsidR="0056037D" w:rsidRPr="00610127">
        <w:t>déclare que son pays</w:t>
      </w:r>
      <w:r w:rsidR="00797724" w:rsidRPr="00610127">
        <w:t xml:space="preserve"> </w:t>
      </w:r>
      <w:r w:rsidR="005D6DE2" w:rsidRPr="00610127">
        <w:t>a l</w:t>
      </w:r>
      <w:r w:rsidR="00B83ECD" w:rsidRPr="00610127">
        <w:t>'</w:t>
      </w:r>
      <w:r w:rsidR="005D6DE2" w:rsidRPr="00610127">
        <w:t xml:space="preserve">intention de </w:t>
      </w:r>
      <w:r w:rsidR="0056037D" w:rsidRPr="00610127">
        <w:t>présente</w:t>
      </w:r>
      <w:r w:rsidR="00AC75A3" w:rsidRPr="00610127">
        <w:t>r</w:t>
      </w:r>
      <w:r w:rsidR="0056037D" w:rsidRPr="00610127">
        <w:t xml:space="preserve"> </w:t>
      </w:r>
      <w:r w:rsidR="00AC75A3" w:rsidRPr="00610127">
        <w:t xml:space="preserve">sa candidature en vue de sa </w:t>
      </w:r>
      <w:r w:rsidRPr="00610127">
        <w:t>r</w:t>
      </w:r>
      <w:r w:rsidR="00AC75A3" w:rsidRPr="00610127">
        <w:t>éé</w:t>
      </w:r>
      <w:r w:rsidRPr="00610127">
        <w:t xml:space="preserve">lection </w:t>
      </w:r>
      <w:r w:rsidR="004B49E6" w:rsidRPr="00610127">
        <w:t xml:space="preserve">au </w:t>
      </w:r>
      <w:r w:rsidR="00AC75A3" w:rsidRPr="00610127">
        <w:t>Conseil pour la région Afrique</w:t>
      </w:r>
      <w:r w:rsidRPr="00610127">
        <w:t>.</w:t>
      </w:r>
    </w:p>
    <w:p w14:paraId="34206859" w14:textId="77777777" w:rsidR="00BA443D" w:rsidRPr="00610127" w:rsidRDefault="00BA443D" w:rsidP="00CC38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663"/>
        </w:tabs>
        <w:spacing w:before="840"/>
        <w:rPr>
          <w:rFonts w:eastAsia="MS Mincho"/>
        </w:rPr>
      </w:pPr>
      <w:r w:rsidRPr="00610127">
        <w:rPr>
          <w:rFonts w:eastAsia="MS Mincho"/>
        </w:rPr>
        <w:t>Le Secrétaire général:</w:t>
      </w:r>
      <w:r w:rsidRPr="00610127">
        <w:rPr>
          <w:rFonts w:eastAsia="MS Mincho"/>
        </w:rPr>
        <w:tab/>
        <w:t>Le Président:</w:t>
      </w:r>
      <w:r w:rsidRPr="00610127">
        <w:rPr>
          <w:rFonts w:eastAsia="MS Mincho"/>
        </w:rPr>
        <w:br/>
        <w:t>H. ZHAO</w:t>
      </w:r>
      <w:r w:rsidRPr="00610127">
        <w:rPr>
          <w:rFonts w:eastAsia="MS Mincho"/>
        </w:rPr>
        <w:tab/>
        <w:t>S. BIN GHELAITA</w:t>
      </w:r>
    </w:p>
    <w:sectPr w:rsidR="00BA443D" w:rsidRPr="00610127" w:rsidSect="005C3890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6474" w14:textId="77777777" w:rsidR="00403BBE" w:rsidRDefault="00403BBE">
      <w:r>
        <w:separator/>
      </w:r>
    </w:p>
  </w:endnote>
  <w:endnote w:type="continuationSeparator" w:id="0">
    <w:p w14:paraId="53EA2E11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122F" w14:textId="77777777" w:rsidR="00732045" w:rsidRDefault="00064720">
    <w:pPr>
      <w:pStyle w:val="Footer"/>
    </w:pPr>
    <w:r>
      <w:t>Document2</w:t>
    </w:r>
    <w:r w:rsidR="00732045">
      <w:tab/>
    </w:r>
    <w:r w:rsidR="00023E58">
      <w:t>06.05.22</w:t>
    </w:r>
    <w:r w:rsidR="00732045">
      <w:tab/>
    </w:r>
    <w:r>
      <w:t>18.07.00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867" w14:textId="4BDE2220" w:rsidR="00732045" w:rsidRDefault="00BB0142" w:rsidP="0006526D">
    <w:pPr>
      <w:pStyle w:val="Footer"/>
    </w:pPr>
    <w:r w:rsidRPr="00BB0142">
      <w:rPr>
        <w:color w:val="F2F2F2" w:themeColor="background1" w:themeShade="F2"/>
      </w:rPr>
      <w:fldChar w:fldCharType="begin"/>
    </w:r>
    <w:r w:rsidRPr="00BB0142">
      <w:rPr>
        <w:color w:val="F2F2F2" w:themeColor="background1" w:themeShade="F2"/>
      </w:rPr>
      <w:instrText xml:space="preserve"> FILENAME \p  \* MERGEFORMAT </w:instrText>
    </w:r>
    <w:r w:rsidRPr="00BB0142">
      <w:rPr>
        <w:color w:val="F2F2F2" w:themeColor="background1" w:themeShade="F2"/>
      </w:rPr>
      <w:fldChar w:fldCharType="separate"/>
    </w:r>
    <w:r w:rsidR="00610127" w:rsidRPr="00BB0142">
      <w:rPr>
        <w:color w:val="F2F2F2" w:themeColor="background1" w:themeShade="F2"/>
      </w:rPr>
      <w:t>P:\FRA\SG\CONSEIL\C22\000\090V2F.docx</w:t>
    </w:r>
    <w:r w:rsidRPr="00BB0142">
      <w:rPr>
        <w:color w:val="F2F2F2" w:themeColor="background1" w:themeShade="F2"/>
      </w:rPr>
      <w:fldChar w:fldCharType="end"/>
    </w:r>
    <w:r w:rsidR="0006526D" w:rsidRPr="00BB0142">
      <w:rPr>
        <w:color w:val="F2F2F2" w:themeColor="background1" w:themeShade="F2"/>
      </w:rPr>
      <w:t xml:space="preserve"> </w:t>
    </w:r>
    <w:r w:rsidR="00276FFF" w:rsidRPr="00BB0142">
      <w:rPr>
        <w:color w:val="F2F2F2" w:themeColor="background1" w:themeShade="F2"/>
      </w:rPr>
      <w:t>(503275)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EAF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6B8B" w14:textId="77777777" w:rsidR="00403BBE" w:rsidRDefault="00403BBE">
      <w:r>
        <w:t>____________________</w:t>
      </w:r>
    </w:p>
  </w:footnote>
  <w:footnote w:type="continuationSeparator" w:id="0">
    <w:p w14:paraId="22638735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2128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8CDE76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E71D" w14:textId="749F33F5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F235C">
      <w:rPr>
        <w:noProof/>
      </w:rPr>
      <w:t>8</w:t>
    </w:r>
    <w:r>
      <w:rPr>
        <w:noProof/>
      </w:rPr>
      <w:fldChar w:fldCharType="end"/>
    </w:r>
  </w:p>
  <w:p w14:paraId="5D091F79" w14:textId="77777777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BA443D">
      <w:t>90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0C6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F6E7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9A3C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A0D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CA5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74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BC9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44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28E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5A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545054">
    <w:abstractNumId w:val="9"/>
  </w:num>
  <w:num w:numId="2" w16cid:durableId="1147740983">
    <w:abstractNumId w:val="7"/>
  </w:num>
  <w:num w:numId="3" w16cid:durableId="1706521896">
    <w:abstractNumId w:val="6"/>
  </w:num>
  <w:num w:numId="4" w16cid:durableId="379214333">
    <w:abstractNumId w:val="5"/>
  </w:num>
  <w:num w:numId="5" w16cid:durableId="556092103">
    <w:abstractNumId w:val="4"/>
  </w:num>
  <w:num w:numId="6" w16cid:durableId="1230725353">
    <w:abstractNumId w:val="8"/>
  </w:num>
  <w:num w:numId="7" w16cid:durableId="651449855">
    <w:abstractNumId w:val="3"/>
  </w:num>
  <w:num w:numId="8" w16cid:durableId="691688984">
    <w:abstractNumId w:val="2"/>
  </w:num>
  <w:num w:numId="9" w16cid:durableId="1360356449">
    <w:abstractNumId w:val="1"/>
  </w:num>
  <w:num w:numId="10" w16cid:durableId="77313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0"/>
    <w:rsid w:val="00010C6D"/>
    <w:rsid w:val="00017265"/>
    <w:rsid w:val="000216BB"/>
    <w:rsid w:val="00023E58"/>
    <w:rsid w:val="000249CF"/>
    <w:rsid w:val="00042141"/>
    <w:rsid w:val="00044117"/>
    <w:rsid w:val="00051359"/>
    <w:rsid w:val="000541AB"/>
    <w:rsid w:val="00064720"/>
    <w:rsid w:val="0006526D"/>
    <w:rsid w:val="00071CC2"/>
    <w:rsid w:val="00074585"/>
    <w:rsid w:val="00084C01"/>
    <w:rsid w:val="00090191"/>
    <w:rsid w:val="000953FD"/>
    <w:rsid w:val="000976E3"/>
    <w:rsid w:val="000A000E"/>
    <w:rsid w:val="000A13A9"/>
    <w:rsid w:val="000A690A"/>
    <w:rsid w:val="000B5E90"/>
    <w:rsid w:val="000D0D0A"/>
    <w:rsid w:val="000D25E4"/>
    <w:rsid w:val="00101BD1"/>
    <w:rsid w:val="00103163"/>
    <w:rsid w:val="00106B19"/>
    <w:rsid w:val="00115D93"/>
    <w:rsid w:val="001247A8"/>
    <w:rsid w:val="00125793"/>
    <w:rsid w:val="001378C0"/>
    <w:rsid w:val="0014194B"/>
    <w:rsid w:val="00143770"/>
    <w:rsid w:val="0014638D"/>
    <w:rsid w:val="00155050"/>
    <w:rsid w:val="00164884"/>
    <w:rsid w:val="0017213C"/>
    <w:rsid w:val="001722EE"/>
    <w:rsid w:val="00174E95"/>
    <w:rsid w:val="0017550C"/>
    <w:rsid w:val="00181E95"/>
    <w:rsid w:val="0018270A"/>
    <w:rsid w:val="0018694A"/>
    <w:rsid w:val="001870A8"/>
    <w:rsid w:val="00191D38"/>
    <w:rsid w:val="0019617B"/>
    <w:rsid w:val="001979A1"/>
    <w:rsid w:val="001A3287"/>
    <w:rsid w:val="001A357C"/>
    <w:rsid w:val="001A6508"/>
    <w:rsid w:val="001D4C31"/>
    <w:rsid w:val="001E4D21"/>
    <w:rsid w:val="001F4226"/>
    <w:rsid w:val="00207CD1"/>
    <w:rsid w:val="00217650"/>
    <w:rsid w:val="00220B20"/>
    <w:rsid w:val="0022221C"/>
    <w:rsid w:val="00222689"/>
    <w:rsid w:val="0022660B"/>
    <w:rsid w:val="00231620"/>
    <w:rsid w:val="002358AC"/>
    <w:rsid w:val="0024605B"/>
    <w:rsid w:val="002477A2"/>
    <w:rsid w:val="00252252"/>
    <w:rsid w:val="00263A51"/>
    <w:rsid w:val="00267E02"/>
    <w:rsid w:val="00276FFF"/>
    <w:rsid w:val="002966BB"/>
    <w:rsid w:val="002A21E5"/>
    <w:rsid w:val="002A5D44"/>
    <w:rsid w:val="002B11F9"/>
    <w:rsid w:val="002B211C"/>
    <w:rsid w:val="002B5612"/>
    <w:rsid w:val="002B6ACE"/>
    <w:rsid w:val="002C1AED"/>
    <w:rsid w:val="002D6023"/>
    <w:rsid w:val="002E0BC4"/>
    <w:rsid w:val="002F0519"/>
    <w:rsid w:val="002F1B76"/>
    <w:rsid w:val="002F235C"/>
    <w:rsid w:val="002F6308"/>
    <w:rsid w:val="0031400E"/>
    <w:rsid w:val="00325F12"/>
    <w:rsid w:val="0033568E"/>
    <w:rsid w:val="0035043F"/>
    <w:rsid w:val="003548AF"/>
    <w:rsid w:val="00355FF5"/>
    <w:rsid w:val="00357D72"/>
    <w:rsid w:val="00361350"/>
    <w:rsid w:val="00362AF4"/>
    <w:rsid w:val="00367D6C"/>
    <w:rsid w:val="00375C4E"/>
    <w:rsid w:val="00380989"/>
    <w:rsid w:val="0039020D"/>
    <w:rsid w:val="00393CA3"/>
    <w:rsid w:val="003A7747"/>
    <w:rsid w:val="003B59E3"/>
    <w:rsid w:val="003B7D0B"/>
    <w:rsid w:val="003C07D0"/>
    <w:rsid w:val="003C3FAE"/>
    <w:rsid w:val="003E4728"/>
    <w:rsid w:val="003E6CD6"/>
    <w:rsid w:val="003E6E86"/>
    <w:rsid w:val="003F12F9"/>
    <w:rsid w:val="003F387D"/>
    <w:rsid w:val="003F5B60"/>
    <w:rsid w:val="00401AA9"/>
    <w:rsid w:val="004038CB"/>
    <w:rsid w:val="00403BBE"/>
    <w:rsid w:val="00403FAB"/>
    <w:rsid w:val="0040546F"/>
    <w:rsid w:val="00410AEC"/>
    <w:rsid w:val="00411F60"/>
    <w:rsid w:val="0041533D"/>
    <w:rsid w:val="004168EB"/>
    <w:rsid w:val="00417B94"/>
    <w:rsid w:val="004223DC"/>
    <w:rsid w:val="0042404A"/>
    <w:rsid w:val="00430758"/>
    <w:rsid w:val="00437527"/>
    <w:rsid w:val="004437CB"/>
    <w:rsid w:val="0044618F"/>
    <w:rsid w:val="004473CC"/>
    <w:rsid w:val="00447CED"/>
    <w:rsid w:val="004501F5"/>
    <w:rsid w:val="00460573"/>
    <w:rsid w:val="0046769A"/>
    <w:rsid w:val="00475FB3"/>
    <w:rsid w:val="00487160"/>
    <w:rsid w:val="004A09C1"/>
    <w:rsid w:val="004A4B16"/>
    <w:rsid w:val="004A67A5"/>
    <w:rsid w:val="004B49E6"/>
    <w:rsid w:val="004C0E2D"/>
    <w:rsid w:val="004C37A9"/>
    <w:rsid w:val="004D1D50"/>
    <w:rsid w:val="004E40D5"/>
    <w:rsid w:val="004E6F7E"/>
    <w:rsid w:val="004E7243"/>
    <w:rsid w:val="004E7634"/>
    <w:rsid w:val="004F259E"/>
    <w:rsid w:val="004F68AC"/>
    <w:rsid w:val="00511F1D"/>
    <w:rsid w:val="00516056"/>
    <w:rsid w:val="00520F36"/>
    <w:rsid w:val="0052416A"/>
    <w:rsid w:val="0053293C"/>
    <w:rsid w:val="00540615"/>
    <w:rsid w:val="00540A6D"/>
    <w:rsid w:val="0054158B"/>
    <w:rsid w:val="0054473C"/>
    <w:rsid w:val="00556105"/>
    <w:rsid w:val="005578DB"/>
    <w:rsid w:val="0056037D"/>
    <w:rsid w:val="00564279"/>
    <w:rsid w:val="00571A7E"/>
    <w:rsid w:val="00571EEA"/>
    <w:rsid w:val="00575417"/>
    <w:rsid w:val="005768E1"/>
    <w:rsid w:val="00577D1F"/>
    <w:rsid w:val="0058710D"/>
    <w:rsid w:val="00591DF6"/>
    <w:rsid w:val="00597542"/>
    <w:rsid w:val="005A2731"/>
    <w:rsid w:val="005A354B"/>
    <w:rsid w:val="005B1938"/>
    <w:rsid w:val="005B5AD4"/>
    <w:rsid w:val="005C3890"/>
    <w:rsid w:val="005D3B22"/>
    <w:rsid w:val="005D6DE2"/>
    <w:rsid w:val="005E21AE"/>
    <w:rsid w:val="005E5F55"/>
    <w:rsid w:val="005E7281"/>
    <w:rsid w:val="005F7BFE"/>
    <w:rsid w:val="00600017"/>
    <w:rsid w:val="00604ACB"/>
    <w:rsid w:val="00610127"/>
    <w:rsid w:val="00616952"/>
    <w:rsid w:val="00620119"/>
    <w:rsid w:val="00621E48"/>
    <w:rsid w:val="006235CA"/>
    <w:rsid w:val="00631651"/>
    <w:rsid w:val="00632FAD"/>
    <w:rsid w:val="00641844"/>
    <w:rsid w:val="00651401"/>
    <w:rsid w:val="00656614"/>
    <w:rsid w:val="00656DE8"/>
    <w:rsid w:val="006643AB"/>
    <w:rsid w:val="0066656B"/>
    <w:rsid w:val="006A4824"/>
    <w:rsid w:val="006C2FE0"/>
    <w:rsid w:val="006D2A49"/>
    <w:rsid w:val="006D456D"/>
    <w:rsid w:val="006D50F5"/>
    <w:rsid w:val="006D52C0"/>
    <w:rsid w:val="006F0A53"/>
    <w:rsid w:val="006F6BF9"/>
    <w:rsid w:val="00711CF2"/>
    <w:rsid w:val="007210CD"/>
    <w:rsid w:val="00732045"/>
    <w:rsid w:val="0073359A"/>
    <w:rsid w:val="007369DB"/>
    <w:rsid w:val="00753730"/>
    <w:rsid w:val="00753B53"/>
    <w:rsid w:val="00792BB8"/>
    <w:rsid w:val="007956C2"/>
    <w:rsid w:val="00797724"/>
    <w:rsid w:val="007A187E"/>
    <w:rsid w:val="007B2893"/>
    <w:rsid w:val="007B3A04"/>
    <w:rsid w:val="007C4DCB"/>
    <w:rsid w:val="007C62B9"/>
    <w:rsid w:val="007C72C2"/>
    <w:rsid w:val="007D4036"/>
    <w:rsid w:val="007D4436"/>
    <w:rsid w:val="007F257A"/>
    <w:rsid w:val="007F3422"/>
    <w:rsid w:val="007F3665"/>
    <w:rsid w:val="007F5511"/>
    <w:rsid w:val="00800037"/>
    <w:rsid w:val="00804221"/>
    <w:rsid w:val="00813E32"/>
    <w:rsid w:val="00814DC1"/>
    <w:rsid w:val="00814EC9"/>
    <w:rsid w:val="00830E4B"/>
    <w:rsid w:val="00831CE5"/>
    <w:rsid w:val="0083391C"/>
    <w:rsid w:val="008376C3"/>
    <w:rsid w:val="00843226"/>
    <w:rsid w:val="008452CE"/>
    <w:rsid w:val="00845426"/>
    <w:rsid w:val="00861D73"/>
    <w:rsid w:val="00864C02"/>
    <w:rsid w:val="00864C76"/>
    <w:rsid w:val="008673AD"/>
    <w:rsid w:val="0088019D"/>
    <w:rsid w:val="00883212"/>
    <w:rsid w:val="00897553"/>
    <w:rsid w:val="008A015C"/>
    <w:rsid w:val="008A4E87"/>
    <w:rsid w:val="008A500A"/>
    <w:rsid w:val="008A632F"/>
    <w:rsid w:val="008B44C6"/>
    <w:rsid w:val="008D247D"/>
    <w:rsid w:val="008D454A"/>
    <w:rsid w:val="008D76E6"/>
    <w:rsid w:val="008E0BCE"/>
    <w:rsid w:val="008E4D9A"/>
    <w:rsid w:val="00904ED5"/>
    <w:rsid w:val="00916AF8"/>
    <w:rsid w:val="00921C5F"/>
    <w:rsid w:val="009222D5"/>
    <w:rsid w:val="0092392D"/>
    <w:rsid w:val="0093234A"/>
    <w:rsid w:val="00935A97"/>
    <w:rsid w:val="00951276"/>
    <w:rsid w:val="00953DD7"/>
    <w:rsid w:val="0095559E"/>
    <w:rsid w:val="00956A78"/>
    <w:rsid w:val="00957403"/>
    <w:rsid w:val="00962A51"/>
    <w:rsid w:val="00965218"/>
    <w:rsid w:val="00970027"/>
    <w:rsid w:val="0097363B"/>
    <w:rsid w:val="00980A51"/>
    <w:rsid w:val="009830CF"/>
    <w:rsid w:val="00984FC0"/>
    <w:rsid w:val="0098596E"/>
    <w:rsid w:val="00990D2E"/>
    <w:rsid w:val="00991EFB"/>
    <w:rsid w:val="009A2782"/>
    <w:rsid w:val="009A5780"/>
    <w:rsid w:val="009B3AA6"/>
    <w:rsid w:val="009B5E84"/>
    <w:rsid w:val="009B61A9"/>
    <w:rsid w:val="009C307F"/>
    <w:rsid w:val="009C353C"/>
    <w:rsid w:val="009C645D"/>
    <w:rsid w:val="009D7A6F"/>
    <w:rsid w:val="009F3E3E"/>
    <w:rsid w:val="009F645B"/>
    <w:rsid w:val="00A07586"/>
    <w:rsid w:val="00A2113E"/>
    <w:rsid w:val="00A23A51"/>
    <w:rsid w:val="00A24607"/>
    <w:rsid w:val="00A25CD3"/>
    <w:rsid w:val="00A322F9"/>
    <w:rsid w:val="00A40813"/>
    <w:rsid w:val="00A42344"/>
    <w:rsid w:val="00A42710"/>
    <w:rsid w:val="00A47F82"/>
    <w:rsid w:val="00A56D34"/>
    <w:rsid w:val="00A60659"/>
    <w:rsid w:val="00A60C4C"/>
    <w:rsid w:val="00A640B7"/>
    <w:rsid w:val="00A709FE"/>
    <w:rsid w:val="00A81DBD"/>
    <w:rsid w:val="00A82767"/>
    <w:rsid w:val="00A87B59"/>
    <w:rsid w:val="00A92C0F"/>
    <w:rsid w:val="00AA1119"/>
    <w:rsid w:val="00AA332F"/>
    <w:rsid w:val="00AA7BBB"/>
    <w:rsid w:val="00AB3267"/>
    <w:rsid w:val="00AB3752"/>
    <w:rsid w:val="00AB5DB4"/>
    <w:rsid w:val="00AB64A8"/>
    <w:rsid w:val="00AC0266"/>
    <w:rsid w:val="00AC75A3"/>
    <w:rsid w:val="00AD24EC"/>
    <w:rsid w:val="00AE184A"/>
    <w:rsid w:val="00AE32BE"/>
    <w:rsid w:val="00AE5A54"/>
    <w:rsid w:val="00AE7C1B"/>
    <w:rsid w:val="00AF23A4"/>
    <w:rsid w:val="00AF24B8"/>
    <w:rsid w:val="00AF4816"/>
    <w:rsid w:val="00AF581B"/>
    <w:rsid w:val="00B146B8"/>
    <w:rsid w:val="00B3045F"/>
    <w:rsid w:val="00B3074F"/>
    <w:rsid w:val="00B309F9"/>
    <w:rsid w:val="00B32B60"/>
    <w:rsid w:val="00B47C91"/>
    <w:rsid w:val="00B55A05"/>
    <w:rsid w:val="00B61619"/>
    <w:rsid w:val="00B6386E"/>
    <w:rsid w:val="00B75C99"/>
    <w:rsid w:val="00B8081D"/>
    <w:rsid w:val="00B82E7F"/>
    <w:rsid w:val="00B83ECD"/>
    <w:rsid w:val="00B84FE6"/>
    <w:rsid w:val="00B93212"/>
    <w:rsid w:val="00B95A1D"/>
    <w:rsid w:val="00B97882"/>
    <w:rsid w:val="00BA443D"/>
    <w:rsid w:val="00BA65E6"/>
    <w:rsid w:val="00BB0142"/>
    <w:rsid w:val="00BB4545"/>
    <w:rsid w:val="00BD4BBB"/>
    <w:rsid w:val="00BD5873"/>
    <w:rsid w:val="00BE064B"/>
    <w:rsid w:val="00BF4F94"/>
    <w:rsid w:val="00BF6521"/>
    <w:rsid w:val="00BF7854"/>
    <w:rsid w:val="00C01A00"/>
    <w:rsid w:val="00C04BE3"/>
    <w:rsid w:val="00C25D29"/>
    <w:rsid w:val="00C27A7C"/>
    <w:rsid w:val="00C31B1A"/>
    <w:rsid w:val="00C334C4"/>
    <w:rsid w:val="00C55328"/>
    <w:rsid w:val="00C609EA"/>
    <w:rsid w:val="00C6604F"/>
    <w:rsid w:val="00C75E16"/>
    <w:rsid w:val="00C7795C"/>
    <w:rsid w:val="00C87A57"/>
    <w:rsid w:val="00C95E46"/>
    <w:rsid w:val="00CA08ED"/>
    <w:rsid w:val="00CA3570"/>
    <w:rsid w:val="00CB4C1D"/>
    <w:rsid w:val="00CC1B3D"/>
    <w:rsid w:val="00CC380F"/>
    <w:rsid w:val="00CD528F"/>
    <w:rsid w:val="00CD55CC"/>
    <w:rsid w:val="00CD58D1"/>
    <w:rsid w:val="00CF1057"/>
    <w:rsid w:val="00CF183B"/>
    <w:rsid w:val="00CF318F"/>
    <w:rsid w:val="00CF3A9F"/>
    <w:rsid w:val="00D01E5C"/>
    <w:rsid w:val="00D02047"/>
    <w:rsid w:val="00D060B2"/>
    <w:rsid w:val="00D20D09"/>
    <w:rsid w:val="00D375CD"/>
    <w:rsid w:val="00D553A2"/>
    <w:rsid w:val="00D61D5C"/>
    <w:rsid w:val="00D64894"/>
    <w:rsid w:val="00D706C4"/>
    <w:rsid w:val="00D774D3"/>
    <w:rsid w:val="00D841CD"/>
    <w:rsid w:val="00D904E8"/>
    <w:rsid w:val="00DA08C3"/>
    <w:rsid w:val="00DB1A94"/>
    <w:rsid w:val="00DB5A3E"/>
    <w:rsid w:val="00DC0B4F"/>
    <w:rsid w:val="00DC16A5"/>
    <w:rsid w:val="00DC22AA"/>
    <w:rsid w:val="00DD092A"/>
    <w:rsid w:val="00DD408D"/>
    <w:rsid w:val="00DF0394"/>
    <w:rsid w:val="00DF2C09"/>
    <w:rsid w:val="00DF4B47"/>
    <w:rsid w:val="00DF74DD"/>
    <w:rsid w:val="00DF76A4"/>
    <w:rsid w:val="00E05F81"/>
    <w:rsid w:val="00E25AD0"/>
    <w:rsid w:val="00E31512"/>
    <w:rsid w:val="00E408FC"/>
    <w:rsid w:val="00E412BC"/>
    <w:rsid w:val="00E41F5D"/>
    <w:rsid w:val="00E50F07"/>
    <w:rsid w:val="00E56EDD"/>
    <w:rsid w:val="00E70604"/>
    <w:rsid w:val="00E80D8F"/>
    <w:rsid w:val="00E8323C"/>
    <w:rsid w:val="00E96155"/>
    <w:rsid w:val="00EB11E8"/>
    <w:rsid w:val="00EB6350"/>
    <w:rsid w:val="00EC1B85"/>
    <w:rsid w:val="00ED221B"/>
    <w:rsid w:val="00ED6175"/>
    <w:rsid w:val="00ED7560"/>
    <w:rsid w:val="00EF1B90"/>
    <w:rsid w:val="00EF3747"/>
    <w:rsid w:val="00EF4449"/>
    <w:rsid w:val="00F12466"/>
    <w:rsid w:val="00F15B57"/>
    <w:rsid w:val="00F2170F"/>
    <w:rsid w:val="00F427DB"/>
    <w:rsid w:val="00F471DD"/>
    <w:rsid w:val="00F5371A"/>
    <w:rsid w:val="00F62560"/>
    <w:rsid w:val="00F667BD"/>
    <w:rsid w:val="00F87FA2"/>
    <w:rsid w:val="00FA0662"/>
    <w:rsid w:val="00FA5EB1"/>
    <w:rsid w:val="00FA7439"/>
    <w:rsid w:val="00FB0945"/>
    <w:rsid w:val="00FB3A58"/>
    <w:rsid w:val="00FB5C0A"/>
    <w:rsid w:val="00FB72C7"/>
    <w:rsid w:val="00FC32D7"/>
    <w:rsid w:val="00FC4EC0"/>
    <w:rsid w:val="00FC544B"/>
    <w:rsid w:val="00FD4D70"/>
    <w:rsid w:val="00FE1BD1"/>
    <w:rsid w:val="00FE5507"/>
    <w:rsid w:val="00FF0181"/>
    <w:rsid w:val="00FF60B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C8397"/>
  <w15:docId w15:val="{13B84A1E-01E7-4484-85BF-192D610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75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609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09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09EA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9EA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797724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3944</Words>
  <Characters>21698</Characters>
  <Application>Microsoft Office Word</Application>
  <DocSecurity>4</DocSecurity>
  <Lines>180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25591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cinquième séance plénière</dc:title>
  <dc:subject>Conseil 2022</dc:subject>
  <dc:creator>French</dc:creator>
  <cp:keywords>C2022, C22, Council-22</cp:keywords>
  <dc:description/>
  <cp:lastModifiedBy>Xue, Kun</cp:lastModifiedBy>
  <cp:revision>2</cp:revision>
  <cp:lastPrinted>2000-07-18T08:55:00Z</cp:lastPrinted>
  <dcterms:created xsi:type="dcterms:W3CDTF">2022-06-09T14:48:00Z</dcterms:created>
  <dcterms:modified xsi:type="dcterms:W3CDTF">2022-06-09T14:48:00Z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