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C567FA" w14:paraId="008B6A45" w14:textId="77777777">
        <w:trPr>
          <w:cantSplit/>
        </w:trPr>
        <w:tc>
          <w:tcPr>
            <w:tcW w:w="6912" w:type="dxa"/>
          </w:tcPr>
          <w:p w14:paraId="2DCB2497" w14:textId="77777777" w:rsidR="00520F36" w:rsidRPr="00C567FA" w:rsidRDefault="00520F36" w:rsidP="007D536E">
            <w:pPr>
              <w:spacing w:before="360"/>
            </w:pPr>
            <w:r w:rsidRPr="00C567FA">
              <w:rPr>
                <w:b/>
                <w:bCs/>
                <w:sz w:val="30"/>
                <w:szCs w:val="30"/>
              </w:rPr>
              <w:t>Conseil 20</w:t>
            </w:r>
            <w:r w:rsidR="009C353C" w:rsidRPr="00C567FA">
              <w:rPr>
                <w:b/>
                <w:bCs/>
                <w:sz w:val="30"/>
                <w:szCs w:val="30"/>
              </w:rPr>
              <w:t>2</w:t>
            </w:r>
            <w:r w:rsidR="0083391C" w:rsidRPr="00C567FA">
              <w:rPr>
                <w:b/>
                <w:bCs/>
                <w:sz w:val="30"/>
                <w:szCs w:val="30"/>
              </w:rPr>
              <w:t>2</w:t>
            </w:r>
            <w:r w:rsidRPr="00C567FA">
              <w:rPr>
                <w:rFonts w:ascii="Verdana" w:hAnsi="Verdana"/>
                <w:b/>
                <w:bCs/>
                <w:sz w:val="26"/>
                <w:szCs w:val="26"/>
              </w:rPr>
              <w:br/>
            </w:r>
            <w:r w:rsidR="0083391C" w:rsidRPr="00C567FA">
              <w:rPr>
                <w:b/>
                <w:bCs/>
                <w:sz w:val="26"/>
                <w:szCs w:val="26"/>
              </w:rPr>
              <w:t>Genève</w:t>
            </w:r>
            <w:r w:rsidRPr="00C567FA">
              <w:rPr>
                <w:b/>
                <w:bCs/>
                <w:sz w:val="26"/>
                <w:szCs w:val="26"/>
              </w:rPr>
              <w:t xml:space="preserve">, </w:t>
            </w:r>
            <w:r w:rsidR="0083391C" w:rsidRPr="00C567FA">
              <w:rPr>
                <w:b/>
                <w:bCs/>
                <w:sz w:val="26"/>
                <w:szCs w:val="26"/>
              </w:rPr>
              <w:t>21</w:t>
            </w:r>
            <w:r w:rsidRPr="00C567FA">
              <w:rPr>
                <w:b/>
                <w:bCs/>
                <w:sz w:val="26"/>
                <w:szCs w:val="26"/>
              </w:rPr>
              <w:t>-</w:t>
            </w:r>
            <w:r w:rsidR="0083391C" w:rsidRPr="00C567FA">
              <w:rPr>
                <w:b/>
                <w:bCs/>
                <w:sz w:val="26"/>
                <w:szCs w:val="26"/>
              </w:rPr>
              <w:t>31</w:t>
            </w:r>
            <w:r w:rsidR="00106B19" w:rsidRPr="00C567FA">
              <w:rPr>
                <w:b/>
                <w:bCs/>
                <w:sz w:val="26"/>
                <w:szCs w:val="26"/>
              </w:rPr>
              <w:t xml:space="preserve"> </w:t>
            </w:r>
            <w:r w:rsidR="0083391C" w:rsidRPr="00C567FA">
              <w:rPr>
                <w:b/>
                <w:bCs/>
                <w:sz w:val="26"/>
                <w:szCs w:val="26"/>
              </w:rPr>
              <w:t>mars</w:t>
            </w:r>
            <w:r w:rsidRPr="00C567FA">
              <w:rPr>
                <w:b/>
                <w:bCs/>
                <w:sz w:val="26"/>
                <w:szCs w:val="26"/>
              </w:rPr>
              <w:t xml:space="preserve"> 20</w:t>
            </w:r>
            <w:r w:rsidR="009C353C" w:rsidRPr="00C567FA">
              <w:rPr>
                <w:b/>
                <w:bCs/>
                <w:sz w:val="26"/>
                <w:szCs w:val="26"/>
              </w:rPr>
              <w:t>2</w:t>
            </w:r>
            <w:r w:rsidR="0083391C" w:rsidRPr="00C567FA">
              <w:rPr>
                <w:b/>
                <w:bCs/>
                <w:sz w:val="26"/>
                <w:szCs w:val="26"/>
              </w:rPr>
              <w:t>2</w:t>
            </w:r>
          </w:p>
        </w:tc>
        <w:tc>
          <w:tcPr>
            <w:tcW w:w="3261" w:type="dxa"/>
          </w:tcPr>
          <w:p w14:paraId="65476F73" w14:textId="77777777" w:rsidR="00520F36" w:rsidRPr="00C567FA" w:rsidRDefault="009C353C" w:rsidP="007D536E">
            <w:pPr>
              <w:spacing w:before="0"/>
            </w:pPr>
            <w:bookmarkStart w:id="0" w:name="ditulogo"/>
            <w:bookmarkEnd w:id="0"/>
            <w:r w:rsidRPr="00C567FA">
              <w:rPr>
                <w:noProof/>
                <w:lang w:val="en-US"/>
              </w:rPr>
              <w:drawing>
                <wp:inline distT="0" distB="0" distL="0" distR="0" wp14:anchorId="5CABF5D6" wp14:editId="4C03060E">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C567FA" w14:paraId="2D6AA6C3" w14:textId="77777777" w:rsidTr="002932F3">
        <w:trPr>
          <w:cantSplit/>
          <w:trHeight w:val="20"/>
        </w:trPr>
        <w:tc>
          <w:tcPr>
            <w:tcW w:w="6912" w:type="dxa"/>
            <w:tcBorders>
              <w:bottom w:val="single" w:sz="12" w:space="0" w:color="auto"/>
            </w:tcBorders>
            <w:vAlign w:val="center"/>
          </w:tcPr>
          <w:p w14:paraId="7F788439" w14:textId="77777777" w:rsidR="00520F36" w:rsidRPr="00C567FA" w:rsidRDefault="00520F36" w:rsidP="007D536E">
            <w:pPr>
              <w:spacing w:before="0"/>
              <w:rPr>
                <w:b/>
                <w:bCs/>
                <w:sz w:val="26"/>
                <w:szCs w:val="26"/>
              </w:rPr>
            </w:pPr>
          </w:p>
        </w:tc>
        <w:tc>
          <w:tcPr>
            <w:tcW w:w="3261" w:type="dxa"/>
            <w:tcBorders>
              <w:bottom w:val="single" w:sz="12" w:space="0" w:color="auto"/>
            </w:tcBorders>
          </w:tcPr>
          <w:p w14:paraId="4D757086" w14:textId="77777777" w:rsidR="00520F36" w:rsidRPr="00C567FA" w:rsidRDefault="00520F36" w:rsidP="007D536E">
            <w:pPr>
              <w:spacing w:before="0"/>
              <w:rPr>
                <w:b/>
                <w:bCs/>
              </w:rPr>
            </w:pPr>
          </w:p>
        </w:tc>
      </w:tr>
      <w:tr w:rsidR="00520F36" w:rsidRPr="00C567FA" w14:paraId="5383B293" w14:textId="77777777">
        <w:trPr>
          <w:cantSplit/>
          <w:trHeight w:val="20"/>
        </w:trPr>
        <w:tc>
          <w:tcPr>
            <w:tcW w:w="6912" w:type="dxa"/>
            <w:tcBorders>
              <w:top w:val="single" w:sz="12" w:space="0" w:color="auto"/>
            </w:tcBorders>
          </w:tcPr>
          <w:p w14:paraId="6F8C57C3" w14:textId="77777777" w:rsidR="00520F36" w:rsidRPr="00C567FA" w:rsidRDefault="00520F36" w:rsidP="007D536E">
            <w:pPr>
              <w:spacing w:before="0"/>
              <w:rPr>
                <w:smallCaps/>
                <w:sz w:val="22"/>
              </w:rPr>
            </w:pPr>
          </w:p>
        </w:tc>
        <w:tc>
          <w:tcPr>
            <w:tcW w:w="3261" w:type="dxa"/>
            <w:tcBorders>
              <w:top w:val="single" w:sz="12" w:space="0" w:color="auto"/>
            </w:tcBorders>
          </w:tcPr>
          <w:p w14:paraId="760FB445" w14:textId="77777777" w:rsidR="00520F36" w:rsidRPr="00C567FA" w:rsidRDefault="00520F36" w:rsidP="007D536E">
            <w:pPr>
              <w:spacing w:before="0"/>
              <w:rPr>
                <w:b/>
                <w:bCs/>
              </w:rPr>
            </w:pPr>
          </w:p>
        </w:tc>
      </w:tr>
      <w:tr w:rsidR="00520F36" w:rsidRPr="00C567FA" w14:paraId="679EDE77" w14:textId="77777777">
        <w:trPr>
          <w:cantSplit/>
          <w:trHeight w:val="20"/>
        </w:trPr>
        <w:tc>
          <w:tcPr>
            <w:tcW w:w="6912" w:type="dxa"/>
            <w:vMerge w:val="restart"/>
          </w:tcPr>
          <w:p w14:paraId="7E66A6D0" w14:textId="46C678DD" w:rsidR="00520F36" w:rsidRPr="00C567FA" w:rsidRDefault="006D0B3D" w:rsidP="007D536E">
            <w:pPr>
              <w:spacing w:before="0"/>
              <w:rPr>
                <w:rFonts w:cs="Times"/>
                <w:b/>
                <w:bCs/>
                <w:szCs w:val="24"/>
              </w:rPr>
            </w:pPr>
            <w:bookmarkStart w:id="1" w:name="dnum" w:colFirst="1" w:colLast="1"/>
            <w:bookmarkStart w:id="2" w:name="dmeeting" w:colFirst="0" w:colLast="0"/>
            <w:r w:rsidRPr="00C567FA">
              <w:rPr>
                <w:rFonts w:cs="Times"/>
                <w:b/>
                <w:bCs/>
                <w:szCs w:val="24"/>
              </w:rPr>
              <w:t>Point de l</w:t>
            </w:r>
            <w:r w:rsidR="007D536E">
              <w:rPr>
                <w:rFonts w:cs="Times"/>
                <w:b/>
                <w:bCs/>
                <w:szCs w:val="24"/>
              </w:rPr>
              <w:t>'</w:t>
            </w:r>
            <w:r w:rsidRPr="00C567FA">
              <w:rPr>
                <w:rFonts w:cs="Times"/>
                <w:b/>
                <w:bCs/>
                <w:szCs w:val="24"/>
              </w:rPr>
              <w:t>ordre du jour: PL 3.</w:t>
            </w:r>
            <w:r w:rsidR="00FB16A8" w:rsidRPr="00C567FA">
              <w:rPr>
                <w:rFonts w:cs="Times"/>
                <w:b/>
                <w:bCs/>
                <w:szCs w:val="24"/>
              </w:rPr>
              <w:t>2</w:t>
            </w:r>
          </w:p>
        </w:tc>
        <w:tc>
          <w:tcPr>
            <w:tcW w:w="3261" w:type="dxa"/>
          </w:tcPr>
          <w:p w14:paraId="431A6B9A" w14:textId="77777777" w:rsidR="00520F36" w:rsidRPr="00C567FA" w:rsidRDefault="006D0B3D" w:rsidP="007D536E">
            <w:pPr>
              <w:spacing w:before="0"/>
              <w:rPr>
                <w:b/>
                <w:bCs/>
              </w:rPr>
            </w:pPr>
            <w:r w:rsidRPr="00C567FA">
              <w:rPr>
                <w:b/>
                <w:bCs/>
              </w:rPr>
              <w:t>Document C22/</w:t>
            </w:r>
            <w:r w:rsidR="00FB16A8" w:rsidRPr="00C567FA">
              <w:rPr>
                <w:b/>
                <w:bCs/>
              </w:rPr>
              <w:t>88</w:t>
            </w:r>
            <w:r w:rsidRPr="00C567FA">
              <w:rPr>
                <w:b/>
                <w:bCs/>
              </w:rPr>
              <w:t>-F</w:t>
            </w:r>
          </w:p>
        </w:tc>
      </w:tr>
      <w:tr w:rsidR="00520F36" w:rsidRPr="00C567FA" w14:paraId="2C493361" w14:textId="77777777">
        <w:trPr>
          <w:cantSplit/>
          <w:trHeight w:val="20"/>
        </w:trPr>
        <w:tc>
          <w:tcPr>
            <w:tcW w:w="6912" w:type="dxa"/>
            <w:vMerge/>
          </w:tcPr>
          <w:p w14:paraId="54C96E2B" w14:textId="77777777" w:rsidR="00520F36" w:rsidRPr="00C567FA" w:rsidRDefault="00520F36" w:rsidP="007D536E">
            <w:pPr>
              <w:shd w:val="solid" w:color="FFFFFF" w:fill="FFFFFF"/>
              <w:spacing w:before="180"/>
              <w:rPr>
                <w:smallCaps/>
              </w:rPr>
            </w:pPr>
            <w:bookmarkStart w:id="3" w:name="ddate" w:colFirst="1" w:colLast="1"/>
            <w:bookmarkEnd w:id="1"/>
            <w:bookmarkEnd w:id="2"/>
          </w:p>
        </w:tc>
        <w:tc>
          <w:tcPr>
            <w:tcW w:w="3261" w:type="dxa"/>
          </w:tcPr>
          <w:p w14:paraId="4E9459E3" w14:textId="77777777" w:rsidR="00520F36" w:rsidRPr="00C567FA" w:rsidRDefault="00FB16A8" w:rsidP="007D536E">
            <w:pPr>
              <w:spacing w:before="0"/>
              <w:rPr>
                <w:b/>
                <w:bCs/>
              </w:rPr>
            </w:pPr>
            <w:r w:rsidRPr="00C567FA">
              <w:rPr>
                <w:b/>
                <w:bCs/>
              </w:rPr>
              <w:t>30</w:t>
            </w:r>
            <w:r w:rsidR="006D0B3D" w:rsidRPr="00C567FA">
              <w:rPr>
                <w:b/>
                <w:bCs/>
              </w:rPr>
              <w:t xml:space="preserve"> mars 2022</w:t>
            </w:r>
          </w:p>
        </w:tc>
      </w:tr>
      <w:tr w:rsidR="00520F36" w:rsidRPr="00C567FA" w14:paraId="58467C53" w14:textId="77777777">
        <w:trPr>
          <w:cantSplit/>
          <w:trHeight w:val="20"/>
        </w:trPr>
        <w:tc>
          <w:tcPr>
            <w:tcW w:w="6912" w:type="dxa"/>
            <w:vMerge/>
          </w:tcPr>
          <w:p w14:paraId="0F44E8E2" w14:textId="77777777" w:rsidR="00520F36" w:rsidRPr="00C567FA" w:rsidRDefault="00520F36" w:rsidP="007D536E">
            <w:pPr>
              <w:shd w:val="solid" w:color="FFFFFF" w:fill="FFFFFF"/>
              <w:spacing w:before="180"/>
              <w:rPr>
                <w:smallCaps/>
              </w:rPr>
            </w:pPr>
            <w:bookmarkStart w:id="4" w:name="dorlang" w:colFirst="1" w:colLast="1"/>
            <w:bookmarkEnd w:id="3"/>
          </w:p>
        </w:tc>
        <w:tc>
          <w:tcPr>
            <w:tcW w:w="3261" w:type="dxa"/>
          </w:tcPr>
          <w:p w14:paraId="61A6D501" w14:textId="77777777" w:rsidR="00520F36" w:rsidRPr="00C567FA" w:rsidRDefault="00520F36" w:rsidP="007D536E">
            <w:pPr>
              <w:spacing w:before="0"/>
              <w:rPr>
                <w:b/>
                <w:bCs/>
              </w:rPr>
            </w:pPr>
            <w:r w:rsidRPr="00C567FA">
              <w:rPr>
                <w:b/>
                <w:bCs/>
              </w:rPr>
              <w:t>Original: anglais</w:t>
            </w:r>
          </w:p>
        </w:tc>
      </w:tr>
      <w:tr w:rsidR="00520F36" w:rsidRPr="00C567FA" w14:paraId="1437FF20" w14:textId="77777777">
        <w:trPr>
          <w:cantSplit/>
        </w:trPr>
        <w:tc>
          <w:tcPr>
            <w:tcW w:w="10173" w:type="dxa"/>
            <w:gridSpan w:val="2"/>
          </w:tcPr>
          <w:p w14:paraId="231C6AC0" w14:textId="77777777" w:rsidR="00520F36" w:rsidRPr="00C567FA" w:rsidRDefault="00520F36" w:rsidP="007D536E">
            <w:pPr>
              <w:pStyle w:val="Source"/>
            </w:pPr>
            <w:bookmarkStart w:id="5" w:name="dsource" w:colFirst="0" w:colLast="0"/>
            <w:bookmarkEnd w:id="4"/>
          </w:p>
        </w:tc>
      </w:tr>
      <w:tr w:rsidR="00520F36" w:rsidRPr="00C567FA" w14:paraId="02D621BB" w14:textId="77777777">
        <w:trPr>
          <w:cantSplit/>
        </w:trPr>
        <w:tc>
          <w:tcPr>
            <w:tcW w:w="10173" w:type="dxa"/>
            <w:gridSpan w:val="2"/>
          </w:tcPr>
          <w:p w14:paraId="43432B04" w14:textId="30F818CA" w:rsidR="00520F36" w:rsidRPr="00C567FA" w:rsidRDefault="006D0B3D" w:rsidP="007D536E">
            <w:pPr>
              <w:pStyle w:val="Title1"/>
            </w:pPr>
            <w:bookmarkStart w:id="6" w:name="dtitle1" w:colFirst="0" w:colLast="0"/>
            <w:bookmarkEnd w:id="5"/>
            <w:r w:rsidRPr="00C567FA">
              <w:t>rapport de la présidente de la commission PERMANENTE</w:t>
            </w:r>
            <w:r w:rsidRPr="00C567FA">
              <w:br/>
              <w:t>DE L</w:t>
            </w:r>
            <w:r w:rsidR="007D536E">
              <w:t>'</w:t>
            </w:r>
            <w:r w:rsidRPr="00C567FA">
              <w:t>ADMINISTRATION ET DE LA GESTION</w:t>
            </w:r>
          </w:p>
        </w:tc>
      </w:tr>
    </w:tbl>
    <w:bookmarkEnd w:id="6"/>
    <w:p w14:paraId="6BD8BE46" w14:textId="276B5765" w:rsidR="006D0B3D" w:rsidRPr="00C567FA" w:rsidRDefault="006D0B3D" w:rsidP="007D536E">
      <w:pPr>
        <w:spacing w:before="360"/>
      </w:pPr>
      <w:r w:rsidRPr="00C567FA">
        <w:t>La Commission permanente de l</w:t>
      </w:r>
      <w:r w:rsidR="007D536E">
        <w:t>'</w:t>
      </w:r>
      <w:r w:rsidRPr="00C567FA">
        <w:t xml:space="preserve">administration et de la gestion a tenu </w:t>
      </w:r>
      <w:r w:rsidR="00FB16A8" w:rsidRPr="00C567FA">
        <w:t>huit</w:t>
      </w:r>
      <w:r w:rsidRPr="00C567FA">
        <w:t xml:space="preserve"> séances au cours desquelles elle a analysé et examiné 47 documents, dont neuf documents d</w:t>
      </w:r>
      <w:r w:rsidR="007D536E">
        <w:t>'</w:t>
      </w:r>
      <w:r w:rsidRPr="00C567FA">
        <w:t>information (INF) et deux documents temporaires (DT). La Commission recommande au Conseil d</w:t>
      </w:r>
      <w:r w:rsidR="007D536E">
        <w:t>'</w:t>
      </w:r>
      <w:r w:rsidRPr="00C567FA">
        <w:t>adopter deux</w:t>
      </w:r>
      <w:r w:rsidR="00B03CD9" w:rsidRPr="00C567FA">
        <w:t> </w:t>
      </w:r>
      <w:r w:rsidRPr="00C567FA">
        <w:t>Résolutions et une Décision, reproduites à l</w:t>
      </w:r>
      <w:r w:rsidR="007D536E">
        <w:t>'</w:t>
      </w:r>
      <w:r w:rsidRPr="00C567FA">
        <w:t>annexe du présent rapport.</w:t>
      </w:r>
    </w:p>
    <w:p w14:paraId="75087E3D" w14:textId="77777777" w:rsidR="006D0B3D" w:rsidRPr="00C567FA" w:rsidRDefault="006D0B3D" w:rsidP="007D536E">
      <w:pPr>
        <w:pStyle w:val="Heading1"/>
      </w:pPr>
      <w:bookmarkStart w:id="7" w:name="_Hlk11747024"/>
      <w:r w:rsidRPr="00C567FA">
        <w:t>1</w:t>
      </w:r>
      <w:r w:rsidRPr="00C567FA">
        <w:tab/>
        <w:t>Déclaration du Conseil du personnel</w:t>
      </w:r>
    </w:p>
    <w:p w14:paraId="61DFCFD6" w14:textId="34DD491C" w:rsidR="006D0B3D" w:rsidRPr="00C567FA" w:rsidRDefault="006D0B3D" w:rsidP="007D536E">
      <w:r w:rsidRPr="00C567FA">
        <w:t>1.1</w:t>
      </w:r>
      <w:r w:rsidRPr="00C567FA">
        <w:tab/>
        <w:t>Conformément à la Résolution 51 (Rév. Minneapolis, 1998) de la Conférence de plénipotentiaires, M. Maximillian Jacobson-Gonzalez, Président du Conseil du personnel, a présenté une déclaration, dont le texte figure à l</w:t>
      </w:r>
      <w:r w:rsidR="007D536E">
        <w:t>'</w:t>
      </w:r>
      <w:r w:rsidRPr="00C567FA">
        <w:t xml:space="preserve">adresse: </w:t>
      </w:r>
      <w:r w:rsidR="00FB16A8" w:rsidRPr="00C567FA">
        <w:br/>
      </w:r>
      <w:hyperlink r:id="rId9" w:history="1">
        <w:r w:rsidR="00FB16A8" w:rsidRPr="00C567FA">
          <w:rPr>
            <w:rStyle w:val="Hyperlink"/>
          </w:rPr>
          <w:t>https://www.itu.int/md/S22-CL-INF-0015/en</w:t>
        </w:r>
      </w:hyperlink>
      <w:r w:rsidRPr="00C567FA">
        <w:t>.</w:t>
      </w:r>
    </w:p>
    <w:p w14:paraId="62353150" w14:textId="77777777" w:rsidR="006D0B3D" w:rsidRPr="00C567FA" w:rsidRDefault="006D0B3D" w:rsidP="007D536E">
      <w:pPr>
        <w:pStyle w:val="Heading1"/>
      </w:pPr>
      <w:r w:rsidRPr="00C567FA">
        <w:t>2</w:t>
      </w:r>
      <w:r w:rsidRPr="00C567FA">
        <w:tab/>
        <w:t xml:space="preserve">Rapport de la Présidente du Groupe de travail du Conseil sur les ressources financières et les ressources humaines (Document </w:t>
      </w:r>
      <w:hyperlink r:id="rId10" w:history="1">
        <w:r w:rsidRPr="00C567FA">
          <w:rPr>
            <w:rStyle w:val="Hyperlink"/>
            <w:bCs/>
          </w:rPr>
          <w:t>C22/50</w:t>
        </w:r>
      </w:hyperlink>
      <w:r w:rsidRPr="00C567FA">
        <w:t>)</w:t>
      </w:r>
    </w:p>
    <w:p w14:paraId="2DB1AB79" w14:textId="57D77E77" w:rsidR="006D0B3D" w:rsidRPr="00C567FA" w:rsidRDefault="006D0B3D" w:rsidP="007D536E">
      <w:r w:rsidRPr="00C567FA">
        <w:t>2.1</w:t>
      </w:r>
      <w:r w:rsidRPr="00C567FA">
        <w:tab/>
        <w:t>La Présidente du Groupe de travail du Conseil sur les ressources financières et les ressources humaines (GTC-FHR), Mme Vernita D. Harris (États-Unis d</w:t>
      </w:r>
      <w:r w:rsidR="007D536E">
        <w:t>'</w:t>
      </w:r>
      <w:r w:rsidRPr="00C567FA">
        <w:t>Amérique) a présenté le document, qui récapitule les délibérations des réunions du GTC-FHR tenues les</w:t>
      </w:r>
      <w:r w:rsidR="00A34BDA">
        <w:t xml:space="preserve"> 20 et 21 septembre 2021 et les </w:t>
      </w:r>
      <w:r w:rsidRPr="00C567FA">
        <w:t>11</w:t>
      </w:r>
      <w:r w:rsidR="00B03CD9" w:rsidRPr="00C567FA">
        <w:t> </w:t>
      </w:r>
      <w:r w:rsidRPr="00C567FA">
        <w:t>et 12 janvier 2022. Elle a appelé l</w:t>
      </w:r>
      <w:r w:rsidR="007D536E">
        <w:t>'</w:t>
      </w:r>
      <w:r w:rsidRPr="00C567FA">
        <w:t>attention sur les questions qui devront être examinées plus avant à la session de 2022 du Conseil.</w:t>
      </w:r>
    </w:p>
    <w:p w14:paraId="140BF988" w14:textId="77777777" w:rsidR="006D0B3D" w:rsidRPr="00C567FA" w:rsidRDefault="006D0B3D" w:rsidP="007D536E">
      <w:pPr>
        <w:rPr>
          <w:b/>
          <w:bCs/>
        </w:rPr>
      </w:pPr>
      <w:r w:rsidRPr="00C567FA">
        <w:t>2.2</w:t>
      </w:r>
      <w:r w:rsidRPr="00C567FA">
        <w:tab/>
        <w:t>Les questions suivantes ont été examinées aux réunions du GTC-FHR:</w:t>
      </w:r>
    </w:p>
    <w:p w14:paraId="2A708F34" w14:textId="154766A3" w:rsidR="006D0B3D" w:rsidRPr="00C567FA" w:rsidRDefault="00A34BDA" w:rsidP="007D536E">
      <w:pPr>
        <w:pStyle w:val="Headingb"/>
      </w:pPr>
      <w:r>
        <w:tab/>
      </w:r>
      <w:r w:rsidR="006D0B3D" w:rsidRPr="00C567FA">
        <w:t>Incidences de la pandémie de COVID-19 sur le fonctionnement et les activités de l</w:t>
      </w:r>
      <w:r w:rsidR="007D536E">
        <w:t>'</w:t>
      </w:r>
      <w:r w:rsidR="006D0B3D" w:rsidRPr="00C567FA">
        <w:t xml:space="preserve">UIT (Document </w:t>
      </w:r>
      <w:hyperlink r:id="rId11" w:history="1">
        <w:r w:rsidR="006D0B3D" w:rsidRPr="00C567FA">
          <w:rPr>
            <w:rStyle w:val="Hyperlink"/>
            <w:bCs/>
          </w:rPr>
          <w:t>CWG-FHR-14/5</w:t>
        </w:r>
      </w:hyperlink>
      <w:r w:rsidR="006D0B3D" w:rsidRPr="00C567FA">
        <w:t>)</w:t>
      </w:r>
    </w:p>
    <w:p w14:paraId="3B328B98" w14:textId="00BB2E3A" w:rsidR="006D0B3D" w:rsidRPr="00C567FA" w:rsidRDefault="006D0B3D" w:rsidP="007D536E">
      <w:pPr>
        <w:rPr>
          <w:b/>
          <w:bCs/>
        </w:rPr>
      </w:pPr>
      <w:r w:rsidRPr="00C567FA">
        <w:t>2.3</w:t>
      </w:r>
      <w:r w:rsidRPr="00C567FA">
        <w:tab/>
        <w:t xml:space="preserve">Le </w:t>
      </w:r>
      <w:r w:rsidR="00B03CD9" w:rsidRPr="00C567FA">
        <w:t>S</w:t>
      </w:r>
      <w:r w:rsidRPr="00C567FA">
        <w:t>ecrétariat a présenté le document relatif aux incidences de la pandémie de COVID-19 sur le fonctionnement et les activités de l</w:t>
      </w:r>
      <w:r w:rsidR="007D536E">
        <w:t>'</w:t>
      </w:r>
      <w:r w:rsidRPr="00C567FA">
        <w:t xml:space="preserve">UIT. </w:t>
      </w:r>
      <w:r w:rsidRPr="00C567FA">
        <w:rPr>
          <w:b/>
          <w:bCs/>
        </w:rPr>
        <w:t>La question devra être débattue plus avant à la prochaine réunion du GTC-FHR</w:t>
      </w:r>
      <w:r w:rsidRPr="00C567FA">
        <w:t>.</w:t>
      </w:r>
    </w:p>
    <w:p w14:paraId="1D22078F" w14:textId="34D47CB9" w:rsidR="006D0B3D" w:rsidRPr="00C567FA" w:rsidRDefault="00A34BDA" w:rsidP="007D536E">
      <w:pPr>
        <w:pStyle w:val="Headingb"/>
      </w:pPr>
      <w:r>
        <w:lastRenderedPageBreak/>
        <w:tab/>
      </w:r>
      <w:r w:rsidR="006D0B3D" w:rsidRPr="00C567FA">
        <w:t>Contribution de l</w:t>
      </w:r>
      <w:r w:rsidR="007D536E">
        <w:t>'</w:t>
      </w:r>
      <w:r w:rsidR="006D0B3D" w:rsidRPr="00C567FA">
        <w:t>Australie et du Canada – Réunions virtuelles et hybrides (Document</w:t>
      </w:r>
      <w:r w:rsidR="00B03CD9" w:rsidRPr="00C567FA">
        <w:t> </w:t>
      </w:r>
      <w:hyperlink r:id="rId12" w:history="1">
        <w:r w:rsidR="006D0B3D" w:rsidRPr="00C567FA">
          <w:rPr>
            <w:rStyle w:val="Hyperlink"/>
            <w:bCs/>
          </w:rPr>
          <w:t>CWG</w:t>
        </w:r>
        <w:r w:rsidR="00F66524" w:rsidRPr="00C567FA">
          <w:rPr>
            <w:rStyle w:val="Hyperlink"/>
            <w:bCs/>
          </w:rPr>
          <w:noBreakHyphen/>
        </w:r>
        <w:r w:rsidR="006D0B3D" w:rsidRPr="00C567FA">
          <w:rPr>
            <w:rStyle w:val="Hyperlink"/>
            <w:bCs/>
          </w:rPr>
          <w:t>FHR</w:t>
        </w:r>
        <w:r w:rsidR="00F66524" w:rsidRPr="00C567FA">
          <w:rPr>
            <w:rStyle w:val="Hyperlink"/>
            <w:bCs/>
          </w:rPr>
          <w:noBreakHyphen/>
        </w:r>
        <w:r w:rsidR="006D0B3D" w:rsidRPr="00C567FA">
          <w:rPr>
            <w:rStyle w:val="Hyperlink"/>
          </w:rPr>
          <w:t>15/19</w:t>
        </w:r>
      </w:hyperlink>
      <w:r w:rsidR="006D0B3D" w:rsidRPr="00C567FA">
        <w:t>)</w:t>
      </w:r>
    </w:p>
    <w:p w14:paraId="3D88BB69" w14:textId="7D400CAD" w:rsidR="006D0B3D" w:rsidRPr="00C567FA" w:rsidRDefault="006D0B3D" w:rsidP="007D536E">
      <w:r w:rsidRPr="00C567FA">
        <w:t>2.4</w:t>
      </w:r>
      <w:r w:rsidRPr="00C567FA">
        <w:tab/>
        <w:t>Il a été proposé que le GTC-FHR recommande des mesures, pour examen par le Conseil de l</w:t>
      </w:r>
      <w:r w:rsidR="007D536E">
        <w:t>'</w:t>
      </w:r>
      <w:r w:rsidRPr="00C567FA">
        <w:t>UIT, concernant l</w:t>
      </w:r>
      <w:r w:rsidR="007D536E">
        <w:t>'</w:t>
      </w:r>
      <w:r w:rsidRPr="00C567FA">
        <w:t>élaboration de procédures, de règles et de lignes directrices, portant notamment sur la gouvernance et la gestion adaptées des réunions virtuelles et hybrides, qui permettent aux participants aux réunions d</w:t>
      </w:r>
      <w:r w:rsidR="007D536E">
        <w:t>'</w:t>
      </w:r>
      <w:r w:rsidRPr="00C567FA">
        <w:t>être traités sur un pied d</w:t>
      </w:r>
      <w:r w:rsidR="007D536E">
        <w:t>'</w:t>
      </w:r>
      <w:r w:rsidRPr="00C567FA">
        <w:t>égalité et de participer aux réunions sans discrimination, garantissant un traitement sur un pied d</w:t>
      </w:r>
      <w:r w:rsidR="007D536E">
        <w:t>'</w:t>
      </w:r>
      <w:r w:rsidRPr="00C567FA">
        <w:t xml:space="preserve">égalité et sans discrimination. </w:t>
      </w:r>
      <w:r w:rsidRPr="00C567FA">
        <w:rPr>
          <w:b/>
          <w:bCs/>
        </w:rPr>
        <w:t>La proposition sera transmise au Conseil à sa session de 2022 pour qu</w:t>
      </w:r>
      <w:r w:rsidR="007D536E">
        <w:rPr>
          <w:b/>
          <w:bCs/>
        </w:rPr>
        <w:t>'</w:t>
      </w:r>
      <w:r w:rsidRPr="00C567FA">
        <w:rPr>
          <w:b/>
          <w:bCs/>
        </w:rPr>
        <w:t>il l</w:t>
      </w:r>
      <w:r w:rsidR="007D536E">
        <w:rPr>
          <w:b/>
          <w:bCs/>
        </w:rPr>
        <w:t>'</w:t>
      </w:r>
      <w:r w:rsidRPr="00C567FA">
        <w:rPr>
          <w:b/>
          <w:bCs/>
        </w:rPr>
        <w:t>examine plus avant</w:t>
      </w:r>
      <w:r w:rsidRPr="00C567FA">
        <w:t>.</w:t>
      </w:r>
    </w:p>
    <w:p w14:paraId="418A8968" w14:textId="604D0A57" w:rsidR="006D0B3D" w:rsidRPr="00C567FA" w:rsidRDefault="00A34BDA" w:rsidP="007D536E">
      <w:pPr>
        <w:pStyle w:val="Headingb"/>
      </w:pPr>
      <w:r>
        <w:tab/>
      </w:r>
      <w:r w:rsidR="006D0B3D" w:rsidRPr="00C567FA">
        <w:t xml:space="preserve">Activités demandées mais non budgétées (UMAC) (Document </w:t>
      </w:r>
      <w:hyperlink r:id="rId13" w:history="1">
        <w:r w:rsidR="006D0B3D" w:rsidRPr="00C567FA">
          <w:rPr>
            <w:rStyle w:val="Hyperlink"/>
            <w:bCs/>
          </w:rPr>
          <w:t>CWG-FHR-14/10</w:t>
        </w:r>
      </w:hyperlink>
      <w:r w:rsidR="006D0B3D" w:rsidRPr="00C567FA">
        <w:t>)</w:t>
      </w:r>
    </w:p>
    <w:bookmarkEnd w:id="7"/>
    <w:p w14:paraId="7AC62196" w14:textId="4B80ED8D" w:rsidR="006D0B3D" w:rsidRPr="00C567FA" w:rsidRDefault="006D0B3D" w:rsidP="007D536E">
      <w:r w:rsidRPr="00C567FA">
        <w:t>2.5</w:t>
      </w:r>
      <w:r w:rsidRPr="00C567FA">
        <w:tab/>
        <w:t xml:space="preserve">Le </w:t>
      </w:r>
      <w:r w:rsidR="00B03CD9" w:rsidRPr="00C567FA">
        <w:t>S</w:t>
      </w:r>
      <w:r w:rsidRPr="00C567FA">
        <w:t>ecrétariat a présenté le document et fourni une mise à jour du Document C21/49 relatif aux activités demandées mais non budgétées, comme le Conseil l</w:t>
      </w:r>
      <w:r w:rsidR="007D536E">
        <w:t>'</w:t>
      </w:r>
      <w:r w:rsidRPr="00C567FA">
        <w:t>a demandé à sa session de 2021, notamment concernant la continuité des activités et la gestion de l</w:t>
      </w:r>
      <w:r w:rsidR="007D536E">
        <w:t>'</w:t>
      </w:r>
      <w:r w:rsidRPr="00C567FA">
        <w:t>information (Documents</w:t>
      </w:r>
      <w:r w:rsidR="00B03CD9" w:rsidRPr="00C567FA">
        <w:t> </w:t>
      </w:r>
      <w:r w:rsidRPr="00C567FA">
        <w:t xml:space="preserve">C20/53, CWG-FHR-12/3 et C21/49), en soulignant le caractère essentiel de ces activités et la nécessité de dégager des ressources pour les réaliser. Un calendrier de financement révisé pour la période 2022-2027 a aussi été présenté par le </w:t>
      </w:r>
      <w:r w:rsidR="007F2D4D" w:rsidRPr="00C567FA">
        <w:t>S</w:t>
      </w:r>
      <w:r w:rsidRPr="00C567FA">
        <w:t>ecrétariat au GTC-FHR en janvier</w:t>
      </w:r>
      <w:r w:rsidR="00B03CD9" w:rsidRPr="00C567FA">
        <w:t> </w:t>
      </w:r>
      <w:r w:rsidRPr="00C567FA">
        <w:t>2022.</w:t>
      </w:r>
    </w:p>
    <w:p w14:paraId="1E036A49" w14:textId="1ADA95E9" w:rsidR="006D0B3D" w:rsidRPr="00C567FA" w:rsidRDefault="00A34BDA" w:rsidP="007D536E">
      <w:pPr>
        <w:pStyle w:val="Headingb"/>
      </w:pPr>
      <w:r>
        <w:tab/>
      </w:r>
      <w:r w:rsidR="006D0B3D" w:rsidRPr="00C567FA">
        <w:t>Rapport de mise en œuvre du Plan HRSP pour la période 2019-2021 (Document </w:t>
      </w:r>
      <w:hyperlink r:id="rId14" w:history="1">
        <w:r w:rsidR="006D0B3D" w:rsidRPr="00C567FA">
          <w:rPr>
            <w:rStyle w:val="Hyperlink"/>
            <w:bCs/>
          </w:rPr>
          <w:t>C21/54</w:t>
        </w:r>
      </w:hyperlink>
      <w:r w:rsidR="006D0B3D" w:rsidRPr="00C567FA">
        <w:t>)</w:t>
      </w:r>
    </w:p>
    <w:p w14:paraId="0411307D" w14:textId="4A69AC2B" w:rsidR="006D0B3D" w:rsidRPr="00C567FA" w:rsidRDefault="006D0B3D" w:rsidP="007D536E">
      <w:r w:rsidRPr="00C567FA">
        <w:t>2.6</w:t>
      </w:r>
      <w:r w:rsidRPr="00C567FA">
        <w:tab/>
        <w:t>Aucune observation n</w:t>
      </w:r>
      <w:r w:rsidR="007D536E">
        <w:t>'</w:t>
      </w:r>
      <w:r w:rsidRPr="00C567FA">
        <w:t xml:space="preserve">a été formulée concernant le rapport présenté par le </w:t>
      </w:r>
      <w:r w:rsidR="00B03CD9" w:rsidRPr="00C567FA">
        <w:t>S</w:t>
      </w:r>
      <w:r w:rsidRPr="00C567FA">
        <w:t>ecrétariat.</w:t>
      </w:r>
    </w:p>
    <w:p w14:paraId="227DE734" w14:textId="6AB090E2" w:rsidR="006D0B3D" w:rsidRPr="00C567FA" w:rsidRDefault="00A34BDA" w:rsidP="007D536E">
      <w:pPr>
        <w:pStyle w:val="Headingb"/>
      </w:pPr>
      <w:r>
        <w:tab/>
      </w:r>
      <w:r w:rsidR="006D0B3D" w:rsidRPr="00C567FA">
        <w:t>Présentation des projets de Chartes en matière de vérification, d</w:t>
      </w:r>
      <w:r w:rsidR="007D536E">
        <w:t>'</w:t>
      </w:r>
      <w:r w:rsidR="006D0B3D" w:rsidRPr="00C567FA">
        <w:t>investigation et d</w:t>
      </w:r>
      <w:r w:rsidR="007D536E">
        <w:t>'</w:t>
      </w:r>
      <w:r w:rsidR="006D0B3D" w:rsidRPr="00C567FA">
        <w:t>éthique</w:t>
      </w:r>
    </w:p>
    <w:p w14:paraId="531B8DC8" w14:textId="43DBE3EE" w:rsidR="006D0B3D" w:rsidRPr="00C567FA" w:rsidRDefault="006D0B3D" w:rsidP="007D536E">
      <w:r w:rsidRPr="00C567FA">
        <w:t>2.7</w:t>
      </w:r>
      <w:r w:rsidRPr="00C567FA">
        <w:tab/>
        <w:t>Les projets de Chartes en matière de vérification et d</w:t>
      </w:r>
      <w:r w:rsidR="007D536E">
        <w:t>'</w:t>
      </w:r>
      <w:r w:rsidRPr="00C567FA">
        <w:t>éthique ont été mis à disposition. La Charte en matière d</w:t>
      </w:r>
      <w:r w:rsidR="007D536E">
        <w:t>'</w:t>
      </w:r>
      <w:r w:rsidRPr="00C567FA">
        <w:t>investigation devait être présentée au nouveau Chef de l</w:t>
      </w:r>
      <w:r w:rsidR="007D536E">
        <w:t>'</w:t>
      </w:r>
      <w:r w:rsidRPr="00C567FA">
        <w:t>Unité d</w:t>
      </w:r>
      <w:r w:rsidR="007D536E">
        <w:t>'</w:t>
      </w:r>
      <w:r w:rsidRPr="00C567FA">
        <w:t>investigation, qui a récemment intégré l</w:t>
      </w:r>
      <w:r w:rsidR="007D536E">
        <w:t>'</w:t>
      </w:r>
      <w:r w:rsidRPr="00C567FA">
        <w:t>UIT.</w:t>
      </w:r>
    </w:p>
    <w:p w14:paraId="631B0DF7" w14:textId="27E0696D" w:rsidR="006D0B3D" w:rsidRPr="00C567FA" w:rsidRDefault="00A34BDA" w:rsidP="007D536E">
      <w:pPr>
        <w:pStyle w:val="Headingb"/>
      </w:pPr>
      <w:r>
        <w:tab/>
      </w:r>
      <w:r w:rsidR="006D0B3D" w:rsidRPr="00C567FA">
        <w:t>Rapport d</w:t>
      </w:r>
      <w:r w:rsidR="007D536E">
        <w:t>'</w:t>
      </w:r>
      <w:r w:rsidR="006D0B3D" w:rsidRPr="00C567FA">
        <w:t xml:space="preserve">activité sur la mise en œuvre des Décisions 600 et 601 du Conseil (UIFN, IIN) (Document </w:t>
      </w:r>
      <w:hyperlink r:id="rId15" w:history="1">
        <w:r w:rsidR="006D0B3D" w:rsidRPr="00C567FA">
          <w:rPr>
            <w:rStyle w:val="Hyperlink"/>
            <w:bCs/>
          </w:rPr>
          <w:t>CWG-FHR-14/6</w:t>
        </w:r>
      </w:hyperlink>
      <w:r w:rsidR="006D0B3D" w:rsidRPr="00C567FA">
        <w:t xml:space="preserve">) et perception des recettes provenant des ressources internationales de numérotage (Document </w:t>
      </w:r>
      <w:hyperlink r:id="rId16" w:history="1">
        <w:r w:rsidR="006D0B3D" w:rsidRPr="00C567FA">
          <w:rPr>
            <w:rStyle w:val="Hyperlink"/>
            <w:bCs/>
          </w:rPr>
          <w:t>CWG-FHR-14/7</w:t>
        </w:r>
      </w:hyperlink>
      <w:r w:rsidR="006D0B3D" w:rsidRPr="00C567FA">
        <w:t>)</w:t>
      </w:r>
    </w:p>
    <w:p w14:paraId="1FF3B48B" w14:textId="1AD9BBD9" w:rsidR="006D0B3D" w:rsidRPr="00C567FA" w:rsidRDefault="006D0B3D" w:rsidP="007D536E">
      <w:r w:rsidRPr="00C567FA">
        <w:t>2.8</w:t>
      </w:r>
      <w:r w:rsidRPr="00C567FA">
        <w:tab/>
        <w:t xml:space="preserve">Le </w:t>
      </w:r>
      <w:r w:rsidR="00B03CD9" w:rsidRPr="00C567FA">
        <w:t>S</w:t>
      </w:r>
      <w:r w:rsidRPr="00C567FA">
        <w:t>ecrétariat a présenté le rapport, qui constitue une base claire pour traiter les questions de non-paiement liées aux ressources de numérotage et à l</w:t>
      </w:r>
      <w:r w:rsidR="007D536E">
        <w:t>'</w:t>
      </w:r>
      <w:r w:rsidRPr="00C567FA">
        <w:t>application de délais dans le système de facturation lors de la perception de recettes liées aux numéros INR, afin de garantir une mise en œuvre cohérente et efficace.</w:t>
      </w:r>
    </w:p>
    <w:p w14:paraId="6361FCFB" w14:textId="24606435" w:rsidR="006D0B3D" w:rsidRPr="00C567FA" w:rsidRDefault="00A34BDA" w:rsidP="007D536E">
      <w:pPr>
        <w:pStyle w:val="Headingb"/>
      </w:pPr>
      <w:r>
        <w:tab/>
      </w:r>
      <w:r w:rsidR="006D0B3D" w:rsidRPr="00C567FA">
        <w:t xml:space="preserve">Processus de recrutement </w:t>
      </w:r>
      <w:r w:rsidR="00B03CD9" w:rsidRPr="00C567FA">
        <w:t>–</w:t>
      </w:r>
      <w:r w:rsidR="006D0B3D" w:rsidRPr="00C567FA">
        <w:t xml:space="preserve"> Réduction de la période de mise au concours (Document</w:t>
      </w:r>
      <w:r w:rsidR="00B03CD9" w:rsidRPr="00C567FA">
        <w:t> </w:t>
      </w:r>
      <w:hyperlink r:id="rId17" w:history="1">
        <w:r w:rsidR="006D0B3D" w:rsidRPr="00C567FA">
          <w:rPr>
            <w:rStyle w:val="Hyperlink"/>
            <w:bCs/>
          </w:rPr>
          <w:t>CWG</w:t>
        </w:r>
        <w:r w:rsidR="00F66524" w:rsidRPr="00C567FA">
          <w:rPr>
            <w:rStyle w:val="Hyperlink"/>
            <w:bCs/>
          </w:rPr>
          <w:noBreakHyphen/>
        </w:r>
        <w:r w:rsidR="006D0B3D" w:rsidRPr="00C567FA">
          <w:rPr>
            <w:rStyle w:val="Hyperlink"/>
            <w:bCs/>
          </w:rPr>
          <w:t>FHR</w:t>
        </w:r>
        <w:r w:rsidR="00F66524" w:rsidRPr="00C567FA">
          <w:rPr>
            <w:rStyle w:val="Hyperlink"/>
            <w:bCs/>
          </w:rPr>
          <w:noBreakHyphen/>
        </w:r>
        <w:r w:rsidR="006D0B3D" w:rsidRPr="00C567FA">
          <w:rPr>
            <w:rStyle w:val="Hyperlink"/>
          </w:rPr>
          <w:t>15/9</w:t>
        </w:r>
      </w:hyperlink>
      <w:r w:rsidR="006D0B3D" w:rsidRPr="00C567FA">
        <w:t>)</w:t>
      </w:r>
    </w:p>
    <w:p w14:paraId="413303C6" w14:textId="0C9BF38F" w:rsidR="006D0B3D" w:rsidRPr="00C567FA" w:rsidRDefault="006D0B3D" w:rsidP="007D536E">
      <w:r w:rsidRPr="00C567FA">
        <w:t>2.9</w:t>
      </w:r>
      <w:r w:rsidRPr="00C567FA">
        <w:tab/>
        <w:t xml:space="preserve">Le </w:t>
      </w:r>
      <w:r w:rsidR="00B03CD9" w:rsidRPr="00C567FA">
        <w:t>S</w:t>
      </w:r>
      <w:r w:rsidRPr="00C567FA">
        <w:t>ecrétariat a proposé de ramener de deux à un mois la période de mise au concours en externe pour les emplois de la catégorie professionnelle (P1 à D2), ce qui nécessite une modification du Statut du personnel à soumettre au Conseil pour approbation. Des statistiques sur le nombre de candidats pendant la période de vacance de poste et des données de comparaison avec d</w:t>
      </w:r>
      <w:r w:rsidR="007D536E">
        <w:t>'</w:t>
      </w:r>
      <w:r w:rsidRPr="00C567FA">
        <w:t>autres organisations ont été présentées. Des renseignements complémentaires sur le calendrier complet du processus de recrutement seront présentés à la prochaine réunion.</w:t>
      </w:r>
    </w:p>
    <w:p w14:paraId="5D248D8F" w14:textId="50BCA820" w:rsidR="006D0B3D" w:rsidRPr="00C567FA" w:rsidRDefault="00A34BDA" w:rsidP="007D536E">
      <w:pPr>
        <w:pStyle w:val="Headingb"/>
      </w:pPr>
      <w:r>
        <w:lastRenderedPageBreak/>
        <w:tab/>
      </w:r>
      <w:r w:rsidR="006D0B3D" w:rsidRPr="00C567FA">
        <w:t>Contribution de l</w:t>
      </w:r>
      <w:r w:rsidR="007D536E">
        <w:t>'</w:t>
      </w:r>
      <w:r w:rsidR="006D0B3D" w:rsidRPr="00C567FA">
        <w:t>Australie et du Canada – Procédure de recrutement – Proposition visant à réduire la période de mise au concours des emplois vacants à l</w:t>
      </w:r>
      <w:r w:rsidR="007D536E">
        <w:t>'</w:t>
      </w:r>
      <w:r w:rsidR="006D0B3D" w:rsidRPr="00C567FA">
        <w:t>UIT (Document</w:t>
      </w:r>
      <w:r w:rsidR="00CA3BC0" w:rsidRPr="00C567FA">
        <w:t> </w:t>
      </w:r>
      <w:hyperlink r:id="rId18" w:history="1">
        <w:r w:rsidR="006D0B3D" w:rsidRPr="00C567FA">
          <w:rPr>
            <w:rStyle w:val="Hyperlink"/>
            <w:bCs/>
          </w:rPr>
          <w:t>CWG</w:t>
        </w:r>
        <w:r w:rsidR="00CA3BC0" w:rsidRPr="00C567FA">
          <w:rPr>
            <w:rStyle w:val="Hyperlink"/>
            <w:bCs/>
          </w:rPr>
          <w:noBreakHyphen/>
        </w:r>
        <w:r w:rsidR="006D0B3D" w:rsidRPr="00C567FA">
          <w:rPr>
            <w:rStyle w:val="Hyperlink"/>
            <w:bCs/>
          </w:rPr>
          <w:t>FHR</w:t>
        </w:r>
        <w:r w:rsidR="00CA3BC0" w:rsidRPr="00C567FA">
          <w:rPr>
            <w:rStyle w:val="Hyperlink"/>
          </w:rPr>
          <w:noBreakHyphen/>
        </w:r>
        <w:r w:rsidR="006D0B3D" w:rsidRPr="00C567FA">
          <w:rPr>
            <w:rStyle w:val="Hyperlink"/>
          </w:rPr>
          <w:t>15/16</w:t>
        </w:r>
      </w:hyperlink>
      <w:r w:rsidR="006D0B3D" w:rsidRPr="00C567FA">
        <w:t>)</w:t>
      </w:r>
    </w:p>
    <w:p w14:paraId="5E577D7D" w14:textId="518EB339" w:rsidR="006D0B3D" w:rsidRPr="00C567FA" w:rsidRDefault="006D0B3D" w:rsidP="007D536E">
      <w:r w:rsidRPr="00C567FA">
        <w:t>2.10</w:t>
      </w:r>
      <w:r w:rsidRPr="00C567FA">
        <w:tab/>
        <w:t>L</w:t>
      </w:r>
      <w:r w:rsidR="007D536E">
        <w:t>'</w:t>
      </w:r>
      <w:r w:rsidRPr="00C567FA">
        <w:t xml:space="preserve">Australie et le Canada ont souscrit à la proposition du </w:t>
      </w:r>
      <w:r w:rsidR="00CA3BC0" w:rsidRPr="00C567FA">
        <w:t>S</w:t>
      </w:r>
      <w:r w:rsidRPr="00C567FA">
        <w:t>ecrétariat visant à ramener de deux</w:t>
      </w:r>
      <w:r w:rsidR="00CA3BC0" w:rsidRPr="00C567FA">
        <w:t> </w:t>
      </w:r>
      <w:r w:rsidRPr="00C567FA">
        <w:t>à un mois la période de mise au concours, conformément à la pratique adoptée par d</w:t>
      </w:r>
      <w:r w:rsidR="007D536E">
        <w:t>'</w:t>
      </w:r>
      <w:r w:rsidRPr="00C567FA">
        <w:t>autres organisations du système des Nations Unies, pour faire de l</w:t>
      </w:r>
      <w:r w:rsidR="007D536E">
        <w:t>'</w:t>
      </w:r>
      <w:r w:rsidRPr="00C567FA">
        <w:t>UIT un lieu de travail attrayant et supprimer les obstacles inutiles à la procédure de recrutement.</w:t>
      </w:r>
    </w:p>
    <w:p w14:paraId="5D761CBE" w14:textId="4B16AAAE" w:rsidR="006D0B3D" w:rsidRPr="00C567FA" w:rsidRDefault="00A34BDA" w:rsidP="007D536E">
      <w:pPr>
        <w:pStyle w:val="Headingb"/>
      </w:pPr>
      <w:r>
        <w:tab/>
      </w:r>
      <w:r w:rsidR="006D0B3D" w:rsidRPr="00C567FA">
        <w:t>Avancement dans le grade pour les fonctionnaires des catégories professionnelle et supérieure</w:t>
      </w:r>
      <w:r w:rsidR="00F51166" w:rsidRPr="00C567FA">
        <w:t xml:space="preserve"> (Document </w:t>
      </w:r>
      <w:hyperlink r:id="rId19" w:history="1">
        <w:r w:rsidR="00F51166" w:rsidRPr="00C567FA">
          <w:rPr>
            <w:rStyle w:val="Hyperlink"/>
          </w:rPr>
          <w:t>CWG-FHR-15/8(Rév.1)</w:t>
        </w:r>
      </w:hyperlink>
      <w:r w:rsidR="00F51166" w:rsidRPr="00C567FA">
        <w:rPr>
          <w:u w:val="single"/>
        </w:rPr>
        <w:t>)</w:t>
      </w:r>
    </w:p>
    <w:p w14:paraId="17399A4A" w14:textId="7890A739" w:rsidR="006D0B3D" w:rsidRPr="00C567FA" w:rsidRDefault="006D0B3D" w:rsidP="007D536E">
      <w:r w:rsidRPr="00C567FA">
        <w:t>2.11</w:t>
      </w:r>
      <w:r w:rsidRPr="00C567FA">
        <w:tab/>
        <w:t xml:space="preserve">Le </w:t>
      </w:r>
      <w:r w:rsidR="00CA3BC0" w:rsidRPr="00C567FA">
        <w:t>S</w:t>
      </w:r>
      <w:r w:rsidRPr="00C567FA">
        <w:t>ecrétariat a proposé de modifier le Statut du personnel dans le but d</w:t>
      </w:r>
      <w:r w:rsidR="007D536E">
        <w:t>'</w:t>
      </w:r>
      <w:r w:rsidRPr="00C567FA">
        <w:t>aligner la périodicité des augmentations de traitement pour la classe D1 avec le Régime commun des traitements, indemnités et autres prestations des Nations Unies, tel qu</w:t>
      </w:r>
      <w:r w:rsidR="007D536E">
        <w:t>'</w:t>
      </w:r>
      <w:r w:rsidRPr="00C567FA">
        <w:t>établi par la Commission de la fonction publique internationale (CFPI). La proposition avait pour objet de supprimer ce niveau de détail dans le Statut du personnel et de faire référence à la norme de la CFPI. Outre la proposition, il a été prévu d</w:t>
      </w:r>
      <w:r w:rsidR="007D536E">
        <w:t>'</w:t>
      </w:r>
      <w:r w:rsidRPr="00C567FA">
        <w:t>adjoindre le texte suivant au Statut du personnel: "Le Secrétaire général informera les fonctionnaires chaque année en cas de modification de la périodicité des augmentations de traitement".</w:t>
      </w:r>
    </w:p>
    <w:p w14:paraId="17E0C6A0" w14:textId="310DCAEB" w:rsidR="006D0B3D" w:rsidRPr="00C567FA" w:rsidRDefault="00A34BDA" w:rsidP="007D536E">
      <w:pPr>
        <w:pStyle w:val="Headingb"/>
      </w:pPr>
      <w:r>
        <w:tab/>
      </w:r>
      <w:r w:rsidR="006D0B3D" w:rsidRPr="00C567FA">
        <w:t>Résumé de l</w:t>
      </w:r>
      <w:r w:rsidR="007D536E">
        <w:t>'</w:t>
      </w:r>
      <w:r w:rsidR="006D0B3D" w:rsidRPr="00C567FA">
        <w:t>état d</w:t>
      </w:r>
      <w:r w:rsidR="007D536E">
        <w:t>'</w:t>
      </w:r>
      <w:r w:rsidR="006D0B3D" w:rsidRPr="00C567FA">
        <w:t>avancement des Recommandations de PwC dans le cadre de la vérification juricomptable de l</w:t>
      </w:r>
      <w:r w:rsidR="007D536E">
        <w:t>'</w:t>
      </w:r>
      <w:r w:rsidR="006D0B3D" w:rsidRPr="00C567FA">
        <w:t xml:space="preserve">UIT (Documents </w:t>
      </w:r>
      <w:hyperlink r:id="rId20" w:history="1">
        <w:r w:rsidR="006D0B3D" w:rsidRPr="00C567FA">
          <w:rPr>
            <w:rStyle w:val="Hyperlink"/>
            <w:bCs/>
          </w:rPr>
          <w:t>CWG-FHR 14/9</w:t>
        </w:r>
      </w:hyperlink>
      <w:r w:rsidR="006D0B3D" w:rsidRPr="00C567FA">
        <w:t xml:space="preserve">, </w:t>
      </w:r>
      <w:hyperlink r:id="rId21" w:history="1">
        <w:r w:rsidR="006D0B3D" w:rsidRPr="00C567FA">
          <w:rPr>
            <w:rStyle w:val="Hyperlink"/>
            <w:bCs/>
          </w:rPr>
          <w:t>CWG-FHR 14/11</w:t>
        </w:r>
      </w:hyperlink>
      <w:r w:rsidR="006D0B3D" w:rsidRPr="00C567FA">
        <w:t xml:space="preserve"> et</w:t>
      </w:r>
      <w:r>
        <w:t> </w:t>
      </w:r>
      <w:hyperlink r:id="rId22" w:history="1">
        <w:r w:rsidR="006D0B3D" w:rsidRPr="00C567FA">
          <w:rPr>
            <w:rStyle w:val="Hyperlink"/>
            <w:bCs/>
          </w:rPr>
          <w:t>CWG</w:t>
        </w:r>
        <w:r w:rsidR="00CA3BC0" w:rsidRPr="00C567FA">
          <w:rPr>
            <w:rStyle w:val="Hyperlink"/>
            <w:bCs/>
          </w:rPr>
          <w:noBreakHyphen/>
        </w:r>
        <w:r w:rsidR="006D0B3D" w:rsidRPr="00C567FA">
          <w:rPr>
            <w:rStyle w:val="Hyperlink"/>
            <w:bCs/>
          </w:rPr>
          <w:t>FHR-</w:t>
        </w:r>
        <w:r w:rsidR="006D0B3D" w:rsidRPr="00C567FA">
          <w:rPr>
            <w:rStyle w:val="Hyperlink"/>
          </w:rPr>
          <w:t>15/3</w:t>
        </w:r>
      </w:hyperlink>
      <w:r w:rsidR="006D0B3D" w:rsidRPr="00C567FA">
        <w:t>)</w:t>
      </w:r>
    </w:p>
    <w:p w14:paraId="2530B561" w14:textId="46F04AB9" w:rsidR="006D0B3D" w:rsidRPr="00C567FA" w:rsidRDefault="006D0B3D" w:rsidP="007D536E">
      <w:r w:rsidRPr="00C567FA">
        <w:t>2.12</w:t>
      </w:r>
      <w:r w:rsidRPr="00C567FA">
        <w:tab/>
        <w:t>Le représentant de PwC a fait un exposé oral sur la vérification juricomptable de l</w:t>
      </w:r>
      <w:r w:rsidR="007D536E">
        <w:t>'</w:t>
      </w:r>
      <w:r w:rsidRPr="00C567FA">
        <w:t xml:space="preserve">UIT. Le </w:t>
      </w:r>
      <w:r w:rsidR="00CA3BC0" w:rsidRPr="00C567FA">
        <w:t>S</w:t>
      </w:r>
      <w:r w:rsidRPr="00C567FA">
        <w:t>ecrétariat a présenté un récapitulatif de l</w:t>
      </w:r>
      <w:r w:rsidR="007D536E">
        <w:t>'</w:t>
      </w:r>
      <w:r w:rsidRPr="00C567FA">
        <w:t>état d</w:t>
      </w:r>
      <w:r w:rsidR="007D536E">
        <w:t>'</w:t>
      </w:r>
      <w:r w:rsidRPr="00C567FA">
        <w:t>avancement de la mise en œuvre des recommandations de PwC dans le rapport de la vérification juricomptable. En décembre 2021, 44% des 71 recommandations étaient achevées; 46% étaient cours d</w:t>
      </w:r>
      <w:r w:rsidR="007D536E">
        <w:t>'</w:t>
      </w:r>
      <w:r w:rsidRPr="00C567FA">
        <w:t>exécution et 10% devaient être engagées d</w:t>
      </w:r>
      <w:r w:rsidR="007D536E">
        <w:t>'</w:t>
      </w:r>
      <w:r w:rsidRPr="00C567FA">
        <w:t>ici à fin 2022.</w:t>
      </w:r>
    </w:p>
    <w:p w14:paraId="58AB0821" w14:textId="1C9DFC4D" w:rsidR="006D0B3D" w:rsidRPr="00C567FA" w:rsidRDefault="00A34BDA" w:rsidP="007D536E">
      <w:pPr>
        <w:pStyle w:val="Headingb"/>
      </w:pPr>
      <w:r>
        <w:tab/>
      </w:r>
      <w:r w:rsidR="006D0B3D" w:rsidRPr="00C567FA">
        <w:t>Fraude et questions connexes (point permanent de l</w:t>
      </w:r>
      <w:r w:rsidR="007D536E">
        <w:t>'</w:t>
      </w:r>
      <w:r w:rsidR="006D0B3D" w:rsidRPr="00C567FA">
        <w:t>ordre du jour): rapport du Groupe de travail de l</w:t>
      </w:r>
      <w:r w:rsidR="007D536E">
        <w:t>'</w:t>
      </w:r>
      <w:r w:rsidR="006D0B3D" w:rsidRPr="00C567FA">
        <w:t xml:space="preserve">UIT sur les contrôles internes (Document </w:t>
      </w:r>
      <w:hyperlink r:id="rId23" w:history="1">
        <w:r w:rsidR="006D0B3D" w:rsidRPr="00C567FA">
          <w:rPr>
            <w:rStyle w:val="Hyperlink"/>
            <w:bCs/>
          </w:rPr>
          <w:t>CWG-FHR-</w:t>
        </w:r>
        <w:r w:rsidR="006D0B3D" w:rsidRPr="00C567FA">
          <w:rPr>
            <w:rStyle w:val="Hyperlink"/>
          </w:rPr>
          <w:t>15/14</w:t>
        </w:r>
      </w:hyperlink>
      <w:r w:rsidR="006D0B3D" w:rsidRPr="00C567FA">
        <w:t>)</w:t>
      </w:r>
    </w:p>
    <w:p w14:paraId="3463B52D" w14:textId="7F1FD98F" w:rsidR="006D0B3D" w:rsidRPr="00C567FA" w:rsidRDefault="006D0B3D" w:rsidP="007D536E">
      <w:r w:rsidRPr="00C567FA">
        <w:t>2.13</w:t>
      </w:r>
      <w:r w:rsidRPr="00C567FA">
        <w:tab/>
        <w:t xml:space="preserve">Le </w:t>
      </w:r>
      <w:r w:rsidR="00CA3BC0" w:rsidRPr="00C567FA">
        <w:t>S</w:t>
      </w:r>
      <w:r w:rsidRPr="00C567FA">
        <w:t>ecrétariat a présenté un rapport d</w:t>
      </w:r>
      <w:r w:rsidR="007D536E">
        <w:t>'</w:t>
      </w:r>
      <w:r w:rsidRPr="00C567FA">
        <w:t>activité pour 2021 sur l</w:t>
      </w:r>
      <w:r w:rsidR="007D536E">
        <w:t>'</w:t>
      </w:r>
      <w:r w:rsidRPr="00C567FA">
        <w:t>éthique, l</w:t>
      </w:r>
      <w:r w:rsidR="007D536E">
        <w:t>'</w:t>
      </w:r>
      <w:r w:rsidRPr="00C567FA">
        <w:t>amélioration de la gestion de projets, le tableau de bord de la conformité à l</w:t>
      </w:r>
      <w:r w:rsidR="007D536E">
        <w:t>'</w:t>
      </w:r>
      <w:r w:rsidRPr="00C567FA">
        <w:t>échelle de l</w:t>
      </w:r>
      <w:r w:rsidR="007D536E">
        <w:t>'</w:t>
      </w:r>
      <w:r w:rsidRPr="00C567FA">
        <w:t>UIT, la pondération des mesures d</w:t>
      </w:r>
      <w:r w:rsidR="007D536E">
        <w:t>'</w:t>
      </w:r>
      <w:r w:rsidRPr="00C567FA">
        <w:t>atténuation, le nouveau système de recrutement électronique, les procédures de mise en concurrence pour la sélection des consultants, les nouvelles lignes directrices en matière de recrutement et de sélection et la mise en œuvre du projet IT4BDT.</w:t>
      </w:r>
    </w:p>
    <w:p w14:paraId="702A5B5B" w14:textId="64E138C4" w:rsidR="006D0B3D" w:rsidRPr="00C567FA" w:rsidRDefault="00A34BDA" w:rsidP="007D536E">
      <w:pPr>
        <w:pStyle w:val="Headingb"/>
        <w:rPr>
          <w:bCs/>
        </w:rPr>
      </w:pPr>
      <w:bookmarkStart w:id="8" w:name="lt_pId074"/>
      <w:r>
        <w:rPr>
          <w:bCs/>
        </w:rPr>
        <w:tab/>
      </w:r>
      <w:r w:rsidR="006D0B3D" w:rsidRPr="00C567FA">
        <w:rPr>
          <w:bCs/>
        </w:rPr>
        <w:t xml:space="preserve">Cadre de responsabilité (Documents </w:t>
      </w:r>
      <w:hyperlink r:id="rId24" w:history="1">
        <w:r w:rsidR="006D0B3D" w:rsidRPr="00C567FA">
          <w:rPr>
            <w:rStyle w:val="Hyperlink"/>
            <w:bCs/>
          </w:rPr>
          <w:t>CWG-FHR-14/2</w:t>
        </w:r>
      </w:hyperlink>
      <w:r w:rsidR="006D0B3D" w:rsidRPr="00C567FA">
        <w:rPr>
          <w:bCs/>
        </w:rPr>
        <w:t xml:space="preserve">, </w:t>
      </w:r>
      <w:hyperlink r:id="rId25" w:history="1">
        <w:r w:rsidR="006D0B3D" w:rsidRPr="00C567FA">
          <w:rPr>
            <w:rStyle w:val="Hyperlink"/>
            <w:bCs/>
          </w:rPr>
          <w:t>CWG-FHR-14/INF-1</w:t>
        </w:r>
      </w:hyperlink>
      <w:bookmarkEnd w:id="8"/>
      <w:r w:rsidR="00CA3BC0" w:rsidRPr="00C567FA">
        <w:t xml:space="preserve"> </w:t>
      </w:r>
      <w:r w:rsidR="006D0B3D" w:rsidRPr="00C567FA">
        <w:rPr>
          <w:bCs/>
        </w:rPr>
        <w:t>et</w:t>
      </w:r>
      <w:r>
        <w:rPr>
          <w:bCs/>
        </w:rPr>
        <w:t> </w:t>
      </w:r>
      <w:hyperlink r:id="rId26" w:history="1">
        <w:r w:rsidR="006D0B3D" w:rsidRPr="00C567FA">
          <w:rPr>
            <w:rStyle w:val="Hyperlink"/>
            <w:bCs/>
          </w:rPr>
          <w:t>CWG</w:t>
        </w:r>
        <w:r w:rsidR="00CA3BC0" w:rsidRPr="00C567FA">
          <w:rPr>
            <w:rStyle w:val="Hyperlink"/>
            <w:bCs/>
          </w:rPr>
          <w:noBreakHyphen/>
        </w:r>
        <w:r w:rsidR="006D0B3D" w:rsidRPr="00C567FA">
          <w:rPr>
            <w:rStyle w:val="Hyperlink"/>
            <w:bCs/>
          </w:rPr>
          <w:t>FHR</w:t>
        </w:r>
        <w:r w:rsidR="00CA3BC0" w:rsidRPr="00C567FA">
          <w:rPr>
            <w:rStyle w:val="Hyperlink"/>
          </w:rPr>
          <w:noBreakHyphen/>
        </w:r>
        <w:r w:rsidR="006D0B3D" w:rsidRPr="00C567FA">
          <w:rPr>
            <w:rStyle w:val="Hyperlink"/>
            <w:bCs/>
          </w:rPr>
          <w:t>15/5</w:t>
        </w:r>
      </w:hyperlink>
      <w:r w:rsidR="006D0B3D" w:rsidRPr="00C567FA">
        <w:rPr>
          <w:bCs/>
        </w:rPr>
        <w:t>)</w:t>
      </w:r>
    </w:p>
    <w:p w14:paraId="23FFB45C" w14:textId="4A5BE0BB" w:rsidR="006D0B3D" w:rsidRPr="00C567FA" w:rsidRDefault="006D0B3D" w:rsidP="007D536E">
      <w:r w:rsidRPr="00C567FA">
        <w:t>2.14</w:t>
      </w:r>
      <w:r w:rsidRPr="00C567FA">
        <w:tab/>
        <w:t xml:space="preserve">Le </w:t>
      </w:r>
      <w:r w:rsidR="00CA3BC0" w:rsidRPr="00C567FA">
        <w:t>S</w:t>
      </w:r>
      <w:r w:rsidRPr="00C567FA">
        <w:t>ecrétariat a présenté les documents relatifs au nouveau modèle et cadre de responsabilité de l</w:t>
      </w:r>
      <w:r w:rsidR="007D536E">
        <w:t>'</w:t>
      </w:r>
      <w:r w:rsidRPr="00C567FA">
        <w:t>UIT, qui sera soumis à la session de 2022 du Conseil pour approbation et sera traduit en un ordre de service.</w:t>
      </w:r>
    </w:p>
    <w:p w14:paraId="23B70278" w14:textId="46E833CA" w:rsidR="006D0B3D" w:rsidRPr="00C567FA" w:rsidRDefault="00A34BDA" w:rsidP="007D536E">
      <w:pPr>
        <w:pStyle w:val="Headingb"/>
        <w:keepNext w:val="0"/>
        <w:keepLines w:val="0"/>
      </w:pPr>
      <w:r>
        <w:tab/>
      </w:r>
      <w:r w:rsidR="006D0B3D" w:rsidRPr="00C567FA">
        <w:t xml:space="preserve">Lignes directrices sur les contributions en nature (Documents </w:t>
      </w:r>
      <w:hyperlink r:id="rId27" w:history="1">
        <w:r w:rsidR="006D0B3D" w:rsidRPr="00C567FA">
          <w:rPr>
            <w:rStyle w:val="Hyperlink"/>
            <w:bCs/>
          </w:rPr>
          <w:t>CWG-FHR 14/3</w:t>
        </w:r>
      </w:hyperlink>
      <w:r w:rsidR="006D0B3D" w:rsidRPr="00C567FA">
        <w:t xml:space="preserve"> et</w:t>
      </w:r>
      <w:r>
        <w:t> </w:t>
      </w:r>
      <w:hyperlink r:id="rId28" w:history="1">
        <w:r w:rsidR="006D0B3D" w:rsidRPr="00C567FA">
          <w:rPr>
            <w:rStyle w:val="Hyperlink"/>
            <w:bCs/>
          </w:rPr>
          <w:t>CWG</w:t>
        </w:r>
        <w:r w:rsidR="00CA3BC0" w:rsidRPr="00C567FA">
          <w:rPr>
            <w:rStyle w:val="Hyperlink"/>
            <w:bCs/>
          </w:rPr>
          <w:noBreakHyphen/>
        </w:r>
        <w:r w:rsidR="006D0B3D" w:rsidRPr="00C567FA">
          <w:rPr>
            <w:rStyle w:val="Hyperlink"/>
            <w:bCs/>
          </w:rPr>
          <w:t>FHR</w:t>
        </w:r>
        <w:r w:rsidR="00CA3BC0" w:rsidRPr="00C567FA">
          <w:rPr>
            <w:rStyle w:val="Hyperlink"/>
            <w:bCs/>
          </w:rPr>
          <w:noBreakHyphen/>
        </w:r>
        <w:r w:rsidR="006D0B3D" w:rsidRPr="00C567FA">
          <w:rPr>
            <w:rStyle w:val="Hyperlink"/>
            <w:bCs/>
          </w:rPr>
          <w:t>15/4</w:t>
        </w:r>
      </w:hyperlink>
      <w:r w:rsidR="006D0B3D" w:rsidRPr="00C567FA">
        <w:t xml:space="preserve">) et Modifications du Règlement financier et des Règles financières (Documents </w:t>
      </w:r>
      <w:hyperlink r:id="rId29" w:history="1">
        <w:r w:rsidR="006D0B3D" w:rsidRPr="00C567FA">
          <w:rPr>
            <w:rStyle w:val="Hyperlink"/>
            <w:bCs/>
          </w:rPr>
          <w:t>CWG-FHR 14/4</w:t>
        </w:r>
      </w:hyperlink>
      <w:r w:rsidR="006D0B3D" w:rsidRPr="00C567FA">
        <w:t xml:space="preserve"> et </w:t>
      </w:r>
      <w:hyperlink r:id="rId30" w:history="1">
        <w:r w:rsidR="006D0B3D" w:rsidRPr="00C567FA">
          <w:rPr>
            <w:rStyle w:val="Hyperlink"/>
            <w:bCs/>
          </w:rPr>
          <w:t>CWG-FHR-15/6</w:t>
        </w:r>
      </w:hyperlink>
      <w:r w:rsidR="006D0B3D" w:rsidRPr="00C567FA">
        <w:t>)</w:t>
      </w:r>
    </w:p>
    <w:p w14:paraId="33EE6411" w14:textId="77777777" w:rsidR="00A34BDA" w:rsidRDefault="00A34BDA" w:rsidP="007D536E">
      <w:r>
        <w:br w:type="page"/>
      </w:r>
    </w:p>
    <w:p w14:paraId="3EE66F4A" w14:textId="23654DAE" w:rsidR="006D0B3D" w:rsidRPr="00C567FA" w:rsidRDefault="006D0B3D" w:rsidP="007D536E">
      <w:r w:rsidRPr="00C567FA">
        <w:lastRenderedPageBreak/>
        <w:t>2.15</w:t>
      </w:r>
      <w:r w:rsidRPr="00C567FA">
        <w:tab/>
        <w:t xml:space="preserve">Le </w:t>
      </w:r>
      <w:r w:rsidR="00CA3BC0" w:rsidRPr="00C567FA">
        <w:t>S</w:t>
      </w:r>
      <w:r w:rsidRPr="00C567FA">
        <w:t xml:space="preserve">ecrétariat a présenté les documents relatifs aux lignes directrices sur les contributions en nature, qui ont été élaborés sur la base de la contribution de la Fédération de Russie lors de la session du GTC-FHR en 2021 (Document CWG-FHR-12/15). Le </w:t>
      </w:r>
      <w:r w:rsidR="00CA3BC0" w:rsidRPr="00C567FA">
        <w:t>S</w:t>
      </w:r>
      <w:r w:rsidRPr="00C567FA">
        <w:t>ecrétariat a indiqué qu</w:t>
      </w:r>
      <w:r w:rsidR="007D536E">
        <w:t>'</w:t>
      </w:r>
      <w:r w:rsidRPr="00C567FA">
        <w:t>il fournirait des renseignements supplémentaires sur les lignes directrices relatives aux contributions en nature et que de nouvelles discussions devraient avoir lieu, tout en encourageant les États</w:t>
      </w:r>
      <w:r w:rsidR="00CA3BC0" w:rsidRPr="00C567FA">
        <w:t> M</w:t>
      </w:r>
      <w:r w:rsidRPr="00C567FA">
        <w:t>embres à soumettre leurs commentaires et propositions sur le projet de lignes directrices à l</w:t>
      </w:r>
      <w:r w:rsidR="007D536E">
        <w:t>'</w:t>
      </w:r>
      <w:r w:rsidRPr="00C567FA">
        <w:t>étude. De ce fait, les Documents CWG-FHR-14/4 et CWG-FHR-15/6 sur les modifications du Règlement financier et des Règles financières n</w:t>
      </w:r>
      <w:r w:rsidR="007D536E">
        <w:t>'</w:t>
      </w:r>
      <w:r w:rsidRPr="00C567FA">
        <w:t>ont pas été examinés lors de ces sessions.</w:t>
      </w:r>
    </w:p>
    <w:p w14:paraId="29483E7B" w14:textId="58ADE979" w:rsidR="006D0B3D" w:rsidRPr="00C567FA" w:rsidRDefault="00A34BDA" w:rsidP="007D536E">
      <w:pPr>
        <w:pStyle w:val="Headingb"/>
      </w:pPr>
      <w:r>
        <w:tab/>
      </w:r>
      <w:r w:rsidR="006D0B3D" w:rsidRPr="00C567FA">
        <w:t>Examen de l</w:t>
      </w:r>
      <w:r w:rsidR="007D536E">
        <w:t>'</w:t>
      </w:r>
      <w:r w:rsidR="006D0B3D" w:rsidRPr="00C567FA">
        <w:t>élaboration de l</w:t>
      </w:r>
      <w:r w:rsidR="007D536E">
        <w:t>'</w:t>
      </w:r>
      <w:r w:rsidR="006D0B3D" w:rsidRPr="00C567FA">
        <w:t>avant-projet de Plan financier ainsi que des modifications apportées à la Décision 5 (Produits et charges de l</w:t>
      </w:r>
      <w:r w:rsidR="007D536E">
        <w:t>'</w:t>
      </w:r>
      <w:r w:rsidR="006D0B3D" w:rsidRPr="00C567FA">
        <w:t>Union pour la période 2024-2027) (Document</w:t>
      </w:r>
      <w:r w:rsidR="0073776F" w:rsidRPr="00C567FA">
        <w:t> </w:t>
      </w:r>
      <w:hyperlink r:id="rId31" w:history="1">
        <w:r w:rsidR="006D0B3D" w:rsidRPr="00C567FA">
          <w:rPr>
            <w:rStyle w:val="Hyperlink"/>
            <w:bCs/>
          </w:rPr>
          <w:t>CWG-FHR-15/10</w:t>
        </w:r>
      </w:hyperlink>
      <w:r w:rsidR="006D0B3D" w:rsidRPr="00C567FA">
        <w:t>) et Montant préliminaire de l</w:t>
      </w:r>
      <w:r w:rsidR="007D536E">
        <w:t>'</w:t>
      </w:r>
      <w:r w:rsidR="006D0B3D" w:rsidRPr="00C567FA">
        <w:t>unité contributive (Document</w:t>
      </w:r>
      <w:r w:rsidR="00CA3BC0" w:rsidRPr="00C567FA">
        <w:t> </w:t>
      </w:r>
      <w:hyperlink r:id="rId32" w:history="1">
        <w:r w:rsidR="006D0B3D" w:rsidRPr="00C567FA">
          <w:rPr>
            <w:rStyle w:val="Hyperlink"/>
            <w:bCs/>
          </w:rPr>
          <w:t>CWG</w:t>
        </w:r>
        <w:r w:rsidR="0073776F" w:rsidRPr="00C567FA">
          <w:rPr>
            <w:rStyle w:val="Hyperlink"/>
            <w:bCs/>
          </w:rPr>
          <w:noBreakHyphen/>
        </w:r>
        <w:r w:rsidR="006D0B3D" w:rsidRPr="00C567FA">
          <w:rPr>
            <w:rStyle w:val="Hyperlink"/>
            <w:bCs/>
          </w:rPr>
          <w:t>FHR-15/11(Rév.1)</w:t>
        </w:r>
      </w:hyperlink>
      <w:r w:rsidR="006D0B3D" w:rsidRPr="00C567FA">
        <w:t>)</w:t>
      </w:r>
    </w:p>
    <w:p w14:paraId="5391AAEE" w14:textId="7CD194CD" w:rsidR="006D0B3D" w:rsidRPr="00C567FA" w:rsidRDefault="006D0B3D" w:rsidP="007D536E">
      <w:pPr>
        <w:rPr>
          <w:bCs/>
        </w:rPr>
      </w:pPr>
      <w:r w:rsidRPr="00C567FA">
        <w:t>2.16</w:t>
      </w:r>
      <w:r w:rsidRPr="00C567FA">
        <w:tab/>
        <w:t xml:space="preserve">Le </w:t>
      </w:r>
      <w:r w:rsidR="00CA3BC0" w:rsidRPr="00C567FA">
        <w:t>S</w:t>
      </w:r>
      <w:r w:rsidRPr="00C567FA">
        <w:t>ecrétariat a présenté le Document CWG-FHR-15/10 sur l</w:t>
      </w:r>
      <w:r w:rsidR="007D536E">
        <w:t>'</w:t>
      </w:r>
      <w:r w:rsidRPr="00C567FA">
        <w:t xml:space="preserve">avant-projet de Plan financier pour 2024-2027, qui présente un déficit (produits moins charges) de 25,4 millions de CHF. Des efforts supplémentaires seront déployés pour présenter un projet de Plan financier équilibré au Conseil 2022. Le </w:t>
      </w:r>
      <w:r w:rsidR="00CA3BC0" w:rsidRPr="00C567FA">
        <w:t>S</w:t>
      </w:r>
      <w:r w:rsidRPr="00C567FA">
        <w:t xml:space="preserve">ecrétariat a également présenté le Document </w:t>
      </w:r>
      <w:r w:rsidRPr="00C567FA">
        <w:rPr>
          <w:bCs/>
        </w:rPr>
        <w:t>CWG-FHR-15/11(Rév.1) indiquant le montant préliminaire de l</w:t>
      </w:r>
      <w:r w:rsidR="007D536E">
        <w:rPr>
          <w:bCs/>
        </w:rPr>
        <w:t>'</w:t>
      </w:r>
      <w:r w:rsidRPr="00C567FA">
        <w:rPr>
          <w:bCs/>
        </w:rPr>
        <w:t>unité contributive.</w:t>
      </w:r>
    </w:p>
    <w:p w14:paraId="165759C9" w14:textId="1C71FE75" w:rsidR="006D0B3D" w:rsidRPr="00C567FA" w:rsidRDefault="00A34BDA" w:rsidP="007D536E">
      <w:pPr>
        <w:pStyle w:val="Headingb"/>
      </w:pPr>
      <w:r>
        <w:tab/>
      </w:r>
      <w:r w:rsidR="006D0B3D" w:rsidRPr="00C567FA">
        <w:t>Contribution des États-Unis d</w:t>
      </w:r>
      <w:r w:rsidR="007D536E">
        <w:t>'</w:t>
      </w:r>
      <w:r w:rsidR="006D0B3D" w:rsidRPr="00C567FA">
        <w:t>Amérique</w:t>
      </w:r>
      <w:r w:rsidR="00B03CD9" w:rsidRPr="00C567FA">
        <w:t xml:space="preserve"> – </w:t>
      </w:r>
      <w:r w:rsidR="006D0B3D" w:rsidRPr="00C567FA">
        <w:t xml:space="preserve">Nouvelle approche potentielle relative à la gestion des risques financiers liés à la construction (Document </w:t>
      </w:r>
      <w:hyperlink r:id="rId33" w:history="1">
        <w:r w:rsidR="006D0B3D" w:rsidRPr="00C567FA">
          <w:rPr>
            <w:rStyle w:val="Hyperlink"/>
          </w:rPr>
          <w:t>CWG-FHR-15/21</w:t>
        </w:r>
      </w:hyperlink>
      <w:r w:rsidR="006D0B3D" w:rsidRPr="00C567FA">
        <w:t>)</w:t>
      </w:r>
    </w:p>
    <w:p w14:paraId="301C2805" w14:textId="221B8402" w:rsidR="006D0B3D" w:rsidRPr="00C567FA" w:rsidRDefault="006D0B3D" w:rsidP="007D536E">
      <w:pPr>
        <w:rPr>
          <w:bCs/>
        </w:rPr>
      </w:pPr>
      <w:r w:rsidRPr="00C567FA">
        <w:rPr>
          <w:bCs/>
        </w:rPr>
        <w:t>2.17</w:t>
      </w:r>
      <w:r w:rsidRPr="00C567FA">
        <w:rPr>
          <w:bCs/>
        </w:rPr>
        <w:tab/>
        <w:t>Le délégué des États-Unis d</w:t>
      </w:r>
      <w:r w:rsidR="007D536E">
        <w:rPr>
          <w:bCs/>
        </w:rPr>
        <w:t>'</w:t>
      </w:r>
      <w:r w:rsidRPr="00C567FA">
        <w:rPr>
          <w:bCs/>
        </w:rPr>
        <w:t>Amérique a présenté le document dans lequel il est proposé que le Groupe de gestion financière de l</w:t>
      </w:r>
      <w:r w:rsidR="007D536E">
        <w:rPr>
          <w:bCs/>
        </w:rPr>
        <w:t>'</w:t>
      </w:r>
      <w:r w:rsidRPr="00C567FA">
        <w:rPr>
          <w:bCs/>
        </w:rPr>
        <w:t>UIT recueille davantage de renseignements sur les coûts éventuels du recours à une police d</w:t>
      </w:r>
      <w:r w:rsidR="007D536E">
        <w:rPr>
          <w:bCs/>
        </w:rPr>
        <w:t>'</w:t>
      </w:r>
      <w:r w:rsidRPr="00C567FA">
        <w:rPr>
          <w:bCs/>
        </w:rPr>
        <w:t>assurance, afin de transférer les risques comme solution de remplacement au Fonds pour le registre des risques, et qu</w:t>
      </w:r>
      <w:r w:rsidR="007D536E">
        <w:rPr>
          <w:bCs/>
        </w:rPr>
        <w:t>'</w:t>
      </w:r>
      <w:r w:rsidRPr="00C567FA">
        <w:rPr>
          <w:bCs/>
        </w:rPr>
        <w:t>il fasse rapport à la session de 2022 du Conseil. Étant donné que les délégués ont souscrit à cette proposition, elle sera soumise à la session de 2022 du Conseil pour approbation.</w:t>
      </w:r>
    </w:p>
    <w:p w14:paraId="433823E7" w14:textId="12883F97" w:rsidR="006D0B3D" w:rsidRPr="00C567FA" w:rsidRDefault="00A34BDA" w:rsidP="007D536E">
      <w:pPr>
        <w:pStyle w:val="Headingb"/>
        <w:rPr>
          <w:bCs/>
        </w:rPr>
      </w:pPr>
      <w:r>
        <w:tab/>
      </w:r>
      <w:r w:rsidR="006D0B3D" w:rsidRPr="00C567FA">
        <w:t>Renforcement de la présence régionale (Résolution 25 (Rév. Dubaï, 2018)) – État d</w:t>
      </w:r>
      <w:r w:rsidR="007D536E">
        <w:t>'</w:t>
      </w:r>
      <w:r w:rsidR="006D0B3D" w:rsidRPr="00C567FA">
        <w:t xml:space="preserve">avancement de la mise en œuvre de la présence régionale (Documents </w:t>
      </w:r>
      <w:hyperlink r:id="rId34" w:history="1">
        <w:r w:rsidR="006D0B3D" w:rsidRPr="00C567FA">
          <w:rPr>
            <w:rStyle w:val="Hyperlink"/>
          </w:rPr>
          <w:t>CWG-FHR-14/18</w:t>
        </w:r>
      </w:hyperlink>
      <w:r w:rsidR="006D0B3D" w:rsidRPr="00C567FA">
        <w:t xml:space="preserve">, </w:t>
      </w:r>
      <w:hyperlink r:id="rId35" w:history="1">
        <w:r w:rsidR="006D0B3D" w:rsidRPr="00C567FA">
          <w:rPr>
            <w:rStyle w:val="Hyperlink"/>
          </w:rPr>
          <w:t>CWG-FHR-15/13</w:t>
        </w:r>
      </w:hyperlink>
      <w:r w:rsidR="006D0B3D" w:rsidRPr="00C567FA">
        <w:t>) et contribution du Mexique – Renforcement de la présence régionale de l</w:t>
      </w:r>
      <w:r w:rsidR="007D536E">
        <w:t>'</w:t>
      </w:r>
      <w:r w:rsidR="006D0B3D" w:rsidRPr="00C567FA">
        <w:t>UIT (Document</w:t>
      </w:r>
      <w:r w:rsidR="0073776F" w:rsidRPr="00C567FA">
        <w:t> </w:t>
      </w:r>
      <w:hyperlink r:id="rId36" w:history="1">
        <w:r w:rsidR="006D0B3D" w:rsidRPr="00C567FA">
          <w:rPr>
            <w:rStyle w:val="Hyperlink"/>
          </w:rPr>
          <w:t>CWG</w:t>
        </w:r>
        <w:r w:rsidR="0073776F" w:rsidRPr="00C567FA">
          <w:rPr>
            <w:rStyle w:val="Hyperlink"/>
          </w:rPr>
          <w:noBreakHyphen/>
        </w:r>
        <w:r w:rsidR="006D0B3D" w:rsidRPr="00C567FA">
          <w:rPr>
            <w:rStyle w:val="Hyperlink"/>
          </w:rPr>
          <w:t>FHR-15/20</w:t>
        </w:r>
      </w:hyperlink>
      <w:r w:rsidR="006D0B3D" w:rsidRPr="00C567FA">
        <w:t>)</w:t>
      </w:r>
    </w:p>
    <w:p w14:paraId="5BC637D2" w14:textId="489C4925" w:rsidR="006D0B3D" w:rsidRPr="00C567FA" w:rsidRDefault="006D0B3D" w:rsidP="007D536E">
      <w:pPr>
        <w:rPr>
          <w:bCs/>
        </w:rPr>
      </w:pPr>
      <w:r w:rsidRPr="00C567FA">
        <w:rPr>
          <w:bCs/>
        </w:rPr>
        <w:t>2.18</w:t>
      </w:r>
      <w:r w:rsidRPr="00C567FA">
        <w:rPr>
          <w:bCs/>
        </w:rPr>
        <w:tab/>
        <w:t xml:space="preserve">Le Document CWG-FHR-15/13 a été présenté par le </w:t>
      </w:r>
      <w:r w:rsidR="00CA3BC0" w:rsidRPr="00C567FA">
        <w:rPr>
          <w:bCs/>
        </w:rPr>
        <w:t>S</w:t>
      </w:r>
      <w:r w:rsidRPr="00C567FA">
        <w:rPr>
          <w:bCs/>
        </w:rPr>
        <w:t>ecrétariat, qui a conseillé au groupe que</w:t>
      </w:r>
      <w:r w:rsidR="00CA3BC0" w:rsidRPr="00C567FA">
        <w:rPr>
          <w:bCs/>
        </w:rPr>
        <w:t xml:space="preserve"> le</w:t>
      </w:r>
      <w:r w:rsidRPr="00C567FA">
        <w:rPr>
          <w:bCs/>
        </w:rPr>
        <w:t xml:space="preserve"> tableau de bord qu</w:t>
      </w:r>
      <w:r w:rsidR="007D536E">
        <w:rPr>
          <w:bCs/>
        </w:rPr>
        <w:t>'</w:t>
      </w:r>
      <w:r w:rsidRPr="00C567FA">
        <w:rPr>
          <w:bCs/>
        </w:rPr>
        <w:t>il a publié reste accessible sur le site web. Ce tableau de bord indique l</w:t>
      </w:r>
      <w:r w:rsidR="007D536E">
        <w:rPr>
          <w:bCs/>
        </w:rPr>
        <w:t>'</w:t>
      </w:r>
      <w:r w:rsidRPr="00C567FA">
        <w:rPr>
          <w:bCs/>
        </w:rPr>
        <w:t>état d</w:t>
      </w:r>
      <w:r w:rsidR="007D536E">
        <w:rPr>
          <w:bCs/>
        </w:rPr>
        <w:t>'</w:t>
      </w:r>
      <w:r w:rsidRPr="00C567FA">
        <w:rPr>
          <w:bCs/>
        </w:rPr>
        <w:t>avancement du programme de travail relatif au rapport PwC (d</w:t>
      </w:r>
      <w:r w:rsidR="007D536E">
        <w:rPr>
          <w:bCs/>
        </w:rPr>
        <w:t>'</w:t>
      </w:r>
      <w:r w:rsidRPr="00C567FA">
        <w:rPr>
          <w:bCs/>
        </w:rPr>
        <w:t xml:space="preserve">après les décisions prises par le GTC-FHR sur recommandation du groupe ad hoc sur la présence régionale). Le </w:t>
      </w:r>
      <w:r w:rsidR="00CA63BC" w:rsidRPr="00C567FA">
        <w:rPr>
          <w:bCs/>
        </w:rPr>
        <w:t>S</w:t>
      </w:r>
      <w:r w:rsidRPr="00C567FA">
        <w:rPr>
          <w:bCs/>
        </w:rPr>
        <w:t>ecrétariat devrait poursuivre ses travaux sur la mise en œuvre des recommandations de PwC.</w:t>
      </w:r>
    </w:p>
    <w:p w14:paraId="5E586A80" w14:textId="272441DD" w:rsidR="006D0B3D" w:rsidRPr="00C567FA" w:rsidRDefault="006D0B3D" w:rsidP="007D536E">
      <w:pPr>
        <w:rPr>
          <w:bCs/>
        </w:rPr>
      </w:pPr>
      <w:r w:rsidRPr="00C567FA">
        <w:rPr>
          <w:bCs/>
        </w:rPr>
        <w:t>2.19</w:t>
      </w:r>
      <w:r w:rsidRPr="00C567FA">
        <w:rPr>
          <w:bCs/>
        </w:rPr>
        <w:tab/>
        <w:t>Le délégué du Mexique a présenté le Document CWG-FHR-15/20, qui contient des propositions sur le positionnement stratégique de la présence régionale, ce qui inclut la décentralisation des fonctionnaires de l</w:t>
      </w:r>
      <w:r w:rsidR="007D536E">
        <w:rPr>
          <w:bCs/>
        </w:rPr>
        <w:t>'</w:t>
      </w:r>
      <w:r w:rsidRPr="00C567FA">
        <w:rPr>
          <w:bCs/>
        </w:rPr>
        <w:t>UIT, l</w:t>
      </w:r>
      <w:r w:rsidR="007D536E">
        <w:rPr>
          <w:bCs/>
        </w:rPr>
        <w:t>'</w:t>
      </w:r>
      <w:r w:rsidRPr="00C567FA">
        <w:rPr>
          <w:bCs/>
        </w:rPr>
        <w:t xml:space="preserve">expansion de la présence en Amérique du Nord et la soumission par les trois bureaux régionaux de rapports au Vice-Secrétaire général. Le </w:t>
      </w:r>
      <w:r w:rsidR="00CA63BC" w:rsidRPr="00C567FA">
        <w:rPr>
          <w:bCs/>
        </w:rPr>
        <w:t>S</w:t>
      </w:r>
      <w:r w:rsidRPr="00C567FA">
        <w:rPr>
          <w:bCs/>
        </w:rPr>
        <w:t>ecrétariat a fait valoir que si les bureaux régionaux rendent compte au BDT, celui-ci estime relever de l</w:t>
      </w:r>
      <w:r w:rsidR="007D536E">
        <w:rPr>
          <w:bCs/>
        </w:rPr>
        <w:t>'</w:t>
      </w:r>
      <w:r w:rsidRPr="00C567FA">
        <w:rPr>
          <w:bCs/>
        </w:rPr>
        <w:t>UIT unie dans l</w:t>
      </w:r>
      <w:r w:rsidR="007D536E">
        <w:rPr>
          <w:bCs/>
        </w:rPr>
        <w:t>'</w:t>
      </w:r>
      <w:r w:rsidRPr="00C567FA">
        <w:rPr>
          <w:bCs/>
        </w:rPr>
        <w:t>action, et qu</w:t>
      </w:r>
      <w:r w:rsidR="007D536E">
        <w:rPr>
          <w:bCs/>
        </w:rPr>
        <w:t>'</w:t>
      </w:r>
      <w:r w:rsidRPr="00C567FA">
        <w:rPr>
          <w:bCs/>
        </w:rPr>
        <w:t xml:space="preserve">il existe une coordination intersectorielle robuste et efficace. Néanmoins, le </w:t>
      </w:r>
      <w:r w:rsidR="00CA63BC" w:rsidRPr="00C567FA">
        <w:rPr>
          <w:bCs/>
        </w:rPr>
        <w:t>S</w:t>
      </w:r>
      <w:r w:rsidRPr="00C567FA">
        <w:rPr>
          <w:bCs/>
        </w:rPr>
        <w:t>ecrétariat est disposé à étudier la possibilité que la présence régionale rende compte au Vice</w:t>
      </w:r>
      <w:r w:rsidR="00CA63BC" w:rsidRPr="00C567FA">
        <w:rPr>
          <w:bCs/>
        </w:rPr>
        <w:noBreakHyphen/>
      </w:r>
      <w:r w:rsidRPr="00C567FA">
        <w:rPr>
          <w:bCs/>
        </w:rPr>
        <w:t>Secrétaire général et à établir un rapport sur la question. Un délégué s</w:t>
      </w:r>
      <w:r w:rsidR="007D536E">
        <w:rPr>
          <w:bCs/>
        </w:rPr>
        <w:t>'</w:t>
      </w:r>
      <w:r w:rsidRPr="00C567FA">
        <w:rPr>
          <w:bCs/>
        </w:rPr>
        <w:t>est déclaré favorable aux dispositions actuelles plaçant la présence régionale sous la responsabilité du BDT.</w:t>
      </w:r>
    </w:p>
    <w:p w14:paraId="00FA89F8" w14:textId="77777777" w:rsidR="006D0B3D" w:rsidRPr="00C567FA" w:rsidRDefault="006D0B3D" w:rsidP="007D536E">
      <w:pPr>
        <w:rPr>
          <w:bCs/>
        </w:rPr>
      </w:pPr>
      <w:r w:rsidRPr="00C567FA">
        <w:rPr>
          <w:bCs/>
        </w:rPr>
        <w:lastRenderedPageBreak/>
        <w:t>2.20</w:t>
      </w:r>
      <w:r w:rsidRPr="00C567FA">
        <w:rPr>
          <w:bCs/>
        </w:rPr>
        <w:tab/>
        <w:t>Les propositions du Mexique ne relèvent pas du mandat du GTC-FHR et devraient être traitées dans le cadre des préparatifs de la Conférence de plénipotentiaires.</w:t>
      </w:r>
    </w:p>
    <w:p w14:paraId="268B9DED" w14:textId="39AE8193" w:rsidR="006D0B3D" w:rsidRPr="00C567FA" w:rsidRDefault="00A34BDA" w:rsidP="007D536E">
      <w:pPr>
        <w:pStyle w:val="Headingb"/>
      </w:pPr>
      <w:r>
        <w:tab/>
      </w:r>
      <w:r w:rsidR="006D0B3D" w:rsidRPr="00C567FA">
        <w:t>Tableau de bord de la conformité à l</w:t>
      </w:r>
      <w:r w:rsidR="007D536E">
        <w:t>'</w:t>
      </w:r>
      <w:r w:rsidR="006D0B3D" w:rsidRPr="00C567FA">
        <w:t>échelle de l</w:t>
      </w:r>
      <w:r w:rsidR="007D536E">
        <w:t>'</w:t>
      </w:r>
      <w:r w:rsidR="006D0B3D" w:rsidRPr="00C567FA">
        <w:t xml:space="preserve">UIT: suivi des recommandations du Vérificateur extérieur des comptes et du CCIG (Document </w:t>
      </w:r>
      <w:hyperlink r:id="rId37" w:history="1">
        <w:r w:rsidR="006D0B3D" w:rsidRPr="00C567FA">
          <w:rPr>
            <w:rStyle w:val="Hyperlink"/>
            <w:bCs/>
          </w:rPr>
          <w:t>CWG-FHR-15/12</w:t>
        </w:r>
      </w:hyperlink>
      <w:r w:rsidR="006D0B3D" w:rsidRPr="00C567FA">
        <w:t>)</w:t>
      </w:r>
    </w:p>
    <w:p w14:paraId="553654BB" w14:textId="6B876E89" w:rsidR="006D0B3D" w:rsidRPr="00C567FA" w:rsidRDefault="006D0B3D" w:rsidP="007D536E">
      <w:r w:rsidRPr="00C567FA">
        <w:t>2.21</w:t>
      </w:r>
      <w:r w:rsidRPr="00C567FA">
        <w:tab/>
        <w:t xml:space="preserve">Le </w:t>
      </w:r>
      <w:r w:rsidR="00CA63BC" w:rsidRPr="00C567FA">
        <w:t>S</w:t>
      </w:r>
      <w:r w:rsidRPr="00C567FA">
        <w:t>ecrétariat a présenté le document sur le suivi de la conformité et le tableau de bord de l</w:t>
      </w:r>
      <w:r w:rsidR="007D536E">
        <w:t>'</w:t>
      </w:r>
      <w:r w:rsidRPr="00C567FA">
        <w:t>UIT, pour information. Le nouvel outil, créé en février 2021, montre de façon précise l</w:t>
      </w:r>
      <w:r w:rsidR="007D536E">
        <w:t>'</w:t>
      </w:r>
      <w:r w:rsidRPr="00C567FA">
        <w:t>état d</w:t>
      </w:r>
      <w:r w:rsidR="007D536E">
        <w:t>'</w:t>
      </w:r>
      <w:r w:rsidRPr="00C567FA">
        <w:t>avancement de la conformité aux recommandations des entités de contrôle suivantes: le Vérificateur extérieur, le Comité consultatif indépendant pour les questions de gestion (CCIG), le Corps commun d</w:t>
      </w:r>
      <w:r w:rsidR="007D536E">
        <w:t>'</w:t>
      </w:r>
      <w:r w:rsidRPr="00C567FA">
        <w:t>inspection (CCI), l</w:t>
      </w:r>
      <w:r w:rsidR="007D536E">
        <w:t>'</w:t>
      </w:r>
      <w:r w:rsidRPr="00C567FA">
        <w:t>Unité de l</w:t>
      </w:r>
      <w:r w:rsidR="007D536E">
        <w:t>'</w:t>
      </w:r>
      <w:r w:rsidRPr="00C567FA">
        <w:t>audit interne et la vérification juricomptable. Un rapport sur l</w:t>
      </w:r>
      <w:r w:rsidR="007D536E">
        <w:t>'</w:t>
      </w:r>
      <w:r w:rsidRPr="00C567FA">
        <w:t>état d</w:t>
      </w:r>
      <w:r w:rsidR="007D536E">
        <w:t>'</w:t>
      </w:r>
      <w:r w:rsidRPr="00C567FA">
        <w:t>avancement de la conformité en décembre 2021 à l</w:t>
      </w:r>
      <w:r w:rsidR="007D536E">
        <w:t>'</w:t>
      </w:r>
      <w:r w:rsidRPr="00C567FA">
        <w:t>ensemble des recommandations du Vérificateur extérieur et du CCIG a été présenté.</w:t>
      </w:r>
    </w:p>
    <w:p w14:paraId="205D61CA" w14:textId="60C8AE99" w:rsidR="006D0B3D" w:rsidRPr="00C567FA" w:rsidRDefault="00A34BDA" w:rsidP="007D536E">
      <w:pPr>
        <w:pStyle w:val="Headingb"/>
      </w:pPr>
      <w:r>
        <w:tab/>
      </w:r>
      <w:r w:rsidR="006D0B3D" w:rsidRPr="00C567FA">
        <w:t>Rapports du CCI sur les questions concernant l</w:t>
      </w:r>
      <w:r w:rsidR="007D536E">
        <w:t>'</w:t>
      </w:r>
      <w:r w:rsidR="006D0B3D" w:rsidRPr="00C567FA">
        <w:t>ensemble du système des Nations Unies pour 2020-2021 et recommandations à l</w:t>
      </w:r>
      <w:r w:rsidR="007D536E">
        <w:t>'</w:t>
      </w:r>
      <w:r w:rsidR="006D0B3D" w:rsidRPr="00C567FA">
        <w:t xml:space="preserve">intention des chefs de secrétariat et des organes délibérants (Document </w:t>
      </w:r>
      <w:hyperlink r:id="rId38" w:history="1">
        <w:r w:rsidR="006D0B3D" w:rsidRPr="00C567FA">
          <w:rPr>
            <w:rStyle w:val="Hyperlink"/>
            <w:bCs/>
          </w:rPr>
          <w:t>CWG-FHR-15/2</w:t>
        </w:r>
      </w:hyperlink>
      <w:r w:rsidR="006D0B3D" w:rsidRPr="00C567FA">
        <w:t>)</w:t>
      </w:r>
    </w:p>
    <w:p w14:paraId="397D4811" w14:textId="77777777" w:rsidR="006D0B3D" w:rsidRPr="00C567FA" w:rsidRDefault="006D0B3D" w:rsidP="007D536E">
      <w:r w:rsidRPr="00C567FA">
        <w:t>2.22</w:t>
      </w:r>
      <w:r w:rsidRPr="00C567FA">
        <w:tab/>
        <w:t>Un document actualisé indiquant les incidences financières sera présenté par le Secrétariat à la session de 2022 du Conseil.</w:t>
      </w:r>
    </w:p>
    <w:p w14:paraId="16428B2C" w14:textId="3EC10900" w:rsidR="006D0B3D" w:rsidRPr="00C567FA" w:rsidRDefault="00A34BDA" w:rsidP="007D536E">
      <w:pPr>
        <w:pStyle w:val="Headingb"/>
      </w:pPr>
      <w:r>
        <w:tab/>
      </w:r>
      <w:r w:rsidR="006D0B3D" w:rsidRPr="00C567FA">
        <w:t>Statut personnel aux fins du versement de prestations par l</w:t>
      </w:r>
      <w:r w:rsidR="007D536E">
        <w:t>'</w:t>
      </w:r>
      <w:r w:rsidR="006D0B3D" w:rsidRPr="00C567FA">
        <w:t>UIT (Document</w:t>
      </w:r>
      <w:r w:rsidR="00CA63BC" w:rsidRPr="00C567FA">
        <w:t> </w:t>
      </w:r>
      <w:hyperlink r:id="rId39" w:history="1">
        <w:r w:rsidR="006D0B3D" w:rsidRPr="00C567FA">
          <w:rPr>
            <w:rStyle w:val="Hyperlink"/>
            <w:bCs/>
          </w:rPr>
          <w:t>CWG</w:t>
        </w:r>
        <w:r w:rsidR="00CA63BC" w:rsidRPr="00C567FA">
          <w:rPr>
            <w:rStyle w:val="Hyperlink"/>
            <w:bCs/>
          </w:rPr>
          <w:noBreakHyphen/>
        </w:r>
        <w:r w:rsidR="006D0B3D" w:rsidRPr="00C567FA">
          <w:rPr>
            <w:rStyle w:val="Hyperlink"/>
            <w:bCs/>
          </w:rPr>
          <w:t>FHR</w:t>
        </w:r>
        <w:r w:rsidR="00CA63BC" w:rsidRPr="00C567FA">
          <w:rPr>
            <w:rStyle w:val="Hyperlink"/>
          </w:rPr>
          <w:noBreakHyphen/>
        </w:r>
        <w:r w:rsidR="006D0B3D" w:rsidRPr="00C567FA">
          <w:rPr>
            <w:rStyle w:val="Hyperlink"/>
            <w:bCs/>
          </w:rPr>
          <w:t>15/7</w:t>
        </w:r>
      </w:hyperlink>
      <w:r w:rsidR="006D0B3D" w:rsidRPr="00C567FA">
        <w:t>)</w:t>
      </w:r>
    </w:p>
    <w:p w14:paraId="11E1C60B" w14:textId="589EC021" w:rsidR="006D0B3D" w:rsidRPr="00C567FA" w:rsidRDefault="006D0B3D" w:rsidP="007D536E">
      <w:r w:rsidRPr="00C567FA">
        <w:t>2.23</w:t>
      </w:r>
      <w:r w:rsidR="00CA63BC" w:rsidRPr="00C567FA">
        <w:tab/>
      </w:r>
      <w:r w:rsidRPr="00C567FA">
        <w:t xml:space="preserve">Le </w:t>
      </w:r>
      <w:r w:rsidR="00CA63BC" w:rsidRPr="00C567FA">
        <w:t>S</w:t>
      </w:r>
      <w:r w:rsidRPr="00C567FA">
        <w:t>ecrétariat a présenté le document, qui contient une proposition visant à modifier le Statut du personnel pour permettre la reconnaissance des partenariats domestiques pour s</w:t>
      </w:r>
      <w:r w:rsidR="007D536E">
        <w:t>'</w:t>
      </w:r>
      <w:r w:rsidRPr="00C567FA">
        <w:t xml:space="preserve">aligner sur les autres organisations du système des Nations Unies. Cependant, il a été convenu que la traduction anglaise du Statut et du Règlement du personnel devrait être alignée sur la version française, le français étant la langue </w:t>
      </w:r>
      <w:r w:rsidR="00CA63BC" w:rsidRPr="00C567FA">
        <w:t>"</w:t>
      </w:r>
      <w:r w:rsidRPr="00C567FA">
        <w:t>de référence</w:t>
      </w:r>
      <w:r w:rsidR="00CA63BC" w:rsidRPr="00C567FA">
        <w:t>"</w:t>
      </w:r>
      <w:r w:rsidRPr="00C567FA">
        <w:t>.</w:t>
      </w:r>
    </w:p>
    <w:p w14:paraId="1D774A2C" w14:textId="5CDD05BA" w:rsidR="006D0B3D" w:rsidRPr="00C567FA" w:rsidRDefault="00A34BDA" w:rsidP="007D536E">
      <w:pPr>
        <w:pStyle w:val="Headingb"/>
      </w:pPr>
      <w:r>
        <w:tab/>
      </w:r>
      <w:r w:rsidR="006D0B3D" w:rsidRPr="00C567FA">
        <w:t>Contribution de l</w:t>
      </w:r>
      <w:r w:rsidR="007D536E">
        <w:t>'</w:t>
      </w:r>
      <w:r w:rsidR="006D0B3D" w:rsidRPr="00C567FA">
        <w:t xml:space="preserve">Australie et du Canada – </w:t>
      </w:r>
      <w:r w:rsidR="00CA63BC" w:rsidRPr="00C567FA">
        <w:t>S</w:t>
      </w:r>
      <w:r w:rsidR="006D0B3D" w:rsidRPr="00C567FA">
        <w:t>tatut personnel aux fins du versement de prestations par l</w:t>
      </w:r>
      <w:r w:rsidR="007D536E">
        <w:t>'</w:t>
      </w:r>
      <w:r w:rsidR="006D0B3D" w:rsidRPr="00C567FA">
        <w:t xml:space="preserve">UIT (Document </w:t>
      </w:r>
      <w:hyperlink r:id="rId40" w:history="1">
        <w:r w:rsidR="006D0B3D" w:rsidRPr="00C567FA">
          <w:rPr>
            <w:rStyle w:val="Hyperlink"/>
            <w:bCs/>
          </w:rPr>
          <w:t>CWG-FHR-15/18</w:t>
        </w:r>
      </w:hyperlink>
      <w:r w:rsidR="006D0B3D" w:rsidRPr="00C567FA">
        <w:t>)</w:t>
      </w:r>
    </w:p>
    <w:p w14:paraId="046539FA" w14:textId="1663FE9C" w:rsidR="006D0B3D" w:rsidRPr="00C567FA" w:rsidRDefault="006D0B3D" w:rsidP="007D536E">
      <w:r w:rsidRPr="00C567FA">
        <w:t>2.24</w:t>
      </w:r>
      <w:r w:rsidRPr="00C567FA">
        <w:tab/>
        <w:t>L</w:t>
      </w:r>
      <w:r w:rsidR="007D536E">
        <w:t>'</w:t>
      </w:r>
      <w:r w:rsidRPr="00C567FA">
        <w:t>Australie et le Canada ont leur proposition visant à remplacer les mots "mari et femme" par le mot "conjoints" dans le Statut du personnel de l</w:t>
      </w:r>
      <w:r w:rsidR="007D536E">
        <w:t>'</w:t>
      </w:r>
      <w:r w:rsidRPr="00C567FA">
        <w:t xml:space="preserve">UIT. </w:t>
      </w:r>
      <w:r w:rsidRPr="00C567FA">
        <w:rPr>
          <w:b/>
        </w:rPr>
        <w:t>Un débat supplémentaire est nécessaire dans</w:t>
      </w:r>
      <w:r w:rsidR="00B03CD9" w:rsidRPr="00C567FA">
        <w:rPr>
          <w:b/>
        </w:rPr>
        <w:t xml:space="preserve"> </w:t>
      </w:r>
      <w:r w:rsidRPr="00C567FA">
        <w:rPr>
          <w:b/>
        </w:rPr>
        <w:t>la mesure où l</w:t>
      </w:r>
      <w:r w:rsidR="007D536E">
        <w:rPr>
          <w:b/>
        </w:rPr>
        <w:t>'</w:t>
      </w:r>
      <w:r w:rsidRPr="00C567FA">
        <w:rPr>
          <w:b/>
        </w:rPr>
        <w:t>on n</w:t>
      </w:r>
      <w:r w:rsidR="007D536E">
        <w:rPr>
          <w:b/>
        </w:rPr>
        <w:t>'</w:t>
      </w:r>
      <w:r w:rsidRPr="00C567FA">
        <w:rPr>
          <w:b/>
        </w:rPr>
        <w:t>est pas parvenu à un consensus</w:t>
      </w:r>
      <w:r w:rsidRPr="00C567FA">
        <w:rPr>
          <w:bCs/>
        </w:rPr>
        <w:t>.</w:t>
      </w:r>
    </w:p>
    <w:p w14:paraId="3A6DE3F1" w14:textId="04026A5D" w:rsidR="006D0B3D" w:rsidRPr="00C567FA" w:rsidRDefault="00A34BDA" w:rsidP="007D536E">
      <w:pPr>
        <w:pStyle w:val="Headingb"/>
      </w:pPr>
      <w:r>
        <w:tab/>
      </w:r>
      <w:r w:rsidR="006D0B3D" w:rsidRPr="00C567FA">
        <w:t>Contribution de l</w:t>
      </w:r>
      <w:r w:rsidR="007D536E">
        <w:t>'</w:t>
      </w:r>
      <w:r w:rsidR="006D0B3D" w:rsidRPr="00C567FA">
        <w:t xml:space="preserve">Australie, du Canada et la Nouvelle-Zélande – </w:t>
      </w:r>
      <w:r w:rsidR="00CA63BC" w:rsidRPr="00C567FA">
        <w:t>U</w:t>
      </w:r>
      <w:r w:rsidR="006D0B3D" w:rsidRPr="00C567FA">
        <w:t>tilisation de termes neutres dans les textes de l</w:t>
      </w:r>
      <w:r w:rsidR="007D536E">
        <w:t>'</w:t>
      </w:r>
      <w:r w:rsidR="006D0B3D" w:rsidRPr="00C567FA">
        <w:t xml:space="preserve">UIT (Document </w:t>
      </w:r>
      <w:hyperlink r:id="rId41" w:history="1">
        <w:r w:rsidR="006D0B3D" w:rsidRPr="00C567FA">
          <w:rPr>
            <w:rStyle w:val="Hyperlink"/>
            <w:bCs/>
          </w:rPr>
          <w:t>CWG-FHR-15/17</w:t>
        </w:r>
      </w:hyperlink>
      <w:r w:rsidR="006D0B3D" w:rsidRPr="00C567FA">
        <w:t>)</w:t>
      </w:r>
    </w:p>
    <w:p w14:paraId="24CE7044" w14:textId="1BA0E897" w:rsidR="006D0B3D" w:rsidRPr="00C567FA" w:rsidRDefault="006D0B3D" w:rsidP="007D536E">
      <w:r w:rsidRPr="00C567FA">
        <w:t>2.25</w:t>
      </w:r>
      <w:r w:rsidRPr="00C567FA">
        <w:tab/>
        <w:t>L</w:t>
      </w:r>
      <w:r w:rsidR="007D536E">
        <w:t>'</w:t>
      </w:r>
      <w:r w:rsidRPr="00C567FA">
        <w:t>Australie, le Canada et la Nouvelle-Zélande ont proposé de supprimer la Décision 500 du Conseil et d</w:t>
      </w:r>
      <w:r w:rsidR="007D536E">
        <w:t>'</w:t>
      </w:r>
      <w:r w:rsidRPr="00C567FA">
        <w:t>adopter une nouvelle Décision du Conseil décrivant l</w:t>
      </w:r>
      <w:r w:rsidR="007D536E">
        <w:t>'</w:t>
      </w:r>
      <w:r w:rsidRPr="00C567FA">
        <w:t>utilisation de termes neutres dans les textes de l</w:t>
      </w:r>
      <w:r w:rsidR="007D536E">
        <w:t>'</w:t>
      </w:r>
      <w:r w:rsidRPr="00C567FA">
        <w:t xml:space="preserve">UIT. </w:t>
      </w:r>
      <w:r w:rsidRPr="00C567FA">
        <w:rPr>
          <w:b/>
        </w:rPr>
        <w:t>Il n</w:t>
      </w:r>
      <w:r w:rsidR="007D536E">
        <w:rPr>
          <w:b/>
        </w:rPr>
        <w:t>'</w:t>
      </w:r>
      <w:r w:rsidRPr="00C567FA">
        <w:rPr>
          <w:b/>
        </w:rPr>
        <w:t>y a pas eu de consensus, et un débat supplémentaire est nécessaire</w:t>
      </w:r>
      <w:r w:rsidRPr="00C567FA">
        <w:rPr>
          <w:bCs/>
        </w:rPr>
        <w:t>.</w:t>
      </w:r>
    </w:p>
    <w:p w14:paraId="1EB5A0C5" w14:textId="66C565A1" w:rsidR="006D0B3D" w:rsidRPr="00C567FA" w:rsidRDefault="00A34BDA" w:rsidP="007D536E">
      <w:pPr>
        <w:pStyle w:val="Headingb"/>
      </w:pPr>
      <w:r>
        <w:tab/>
      </w:r>
      <w:r w:rsidR="006D0B3D" w:rsidRPr="00C567FA">
        <w:t xml:space="preserve">Contribution de la Fédération de Russie – </w:t>
      </w:r>
      <w:r w:rsidR="00CA63BC" w:rsidRPr="00C567FA">
        <w:t>A</w:t>
      </w:r>
      <w:r w:rsidR="006D0B3D" w:rsidRPr="00C567FA">
        <w:t xml:space="preserve">vant-projet de Décision 11 (Rév. Dubaï, 2018) sur la création et la gestion des Groupes de travail du Conseil (Document </w:t>
      </w:r>
      <w:hyperlink r:id="rId42" w:history="1">
        <w:r w:rsidR="006D0B3D" w:rsidRPr="00C567FA">
          <w:rPr>
            <w:rStyle w:val="Hyperlink"/>
            <w:bCs/>
          </w:rPr>
          <w:t>CWG-FHR-15/15</w:t>
        </w:r>
      </w:hyperlink>
      <w:r w:rsidR="006D0B3D" w:rsidRPr="00C567FA">
        <w:t>)</w:t>
      </w:r>
    </w:p>
    <w:p w14:paraId="38E564A8" w14:textId="4D525487" w:rsidR="006D0B3D" w:rsidRPr="00C567FA" w:rsidRDefault="006D0B3D" w:rsidP="007D536E">
      <w:r w:rsidRPr="00C567FA">
        <w:t>2.26</w:t>
      </w:r>
      <w:r w:rsidR="00CA63BC" w:rsidRPr="00C567FA">
        <w:tab/>
      </w:r>
      <w:r w:rsidRPr="00C567FA">
        <w:t>Les délégués ont été invités à envoyer à la Fédération de Russie leurs commentaires sur la proposition de révision de la Décision 11 telle qu</w:t>
      </w:r>
      <w:r w:rsidR="007D536E">
        <w:t>'</w:t>
      </w:r>
      <w:r w:rsidRPr="00C567FA">
        <w:t>elle figure dans le document.</w:t>
      </w:r>
    </w:p>
    <w:p w14:paraId="5353589F" w14:textId="30E07C5B" w:rsidR="006D0B3D" w:rsidRDefault="006D0B3D" w:rsidP="007D536E">
      <w:pPr>
        <w:spacing w:after="240"/>
      </w:pPr>
      <w:r w:rsidRPr="00C567FA">
        <w:t>2.27</w:t>
      </w:r>
      <w:r w:rsidRPr="00C567FA">
        <w:tab/>
        <w:t>Plusieurs délégués ont remercié la Présidente du GTC-FHR pour le rapport.</w:t>
      </w:r>
    </w:p>
    <w:p w14:paraId="2F0F8EAB" w14:textId="50430BEC" w:rsidR="00A34BDA" w:rsidRDefault="00A34BDA" w:rsidP="007D536E">
      <w:pPr>
        <w:spacing w:after="240"/>
      </w:pPr>
      <w:r>
        <w:br w:type="page"/>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CA63BC" w:rsidRPr="00C567FA" w14:paraId="0CA7D3E0" w14:textId="77777777" w:rsidTr="002932F3">
        <w:tc>
          <w:tcPr>
            <w:tcW w:w="9017" w:type="dxa"/>
            <w:tcBorders>
              <w:top w:val="single" w:sz="4" w:space="0" w:color="auto"/>
              <w:bottom w:val="single" w:sz="4" w:space="0" w:color="auto"/>
            </w:tcBorders>
          </w:tcPr>
          <w:p w14:paraId="3F7BB290" w14:textId="77777777" w:rsidR="00CA63BC" w:rsidRPr="00C567FA" w:rsidRDefault="00CA63BC" w:rsidP="007D536E">
            <w:pPr>
              <w:pStyle w:val="Headingb"/>
              <w:keepNext w:val="0"/>
              <w:keepLines w:val="0"/>
              <w:rPr>
                <w:i/>
                <w:iCs/>
              </w:rPr>
            </w:pPr>
            <w:r w:rsidRPr="00C567FA">
              <w:rPr>
                <w:i/>
                <w:iCs/>
              </w:rPr>
              <w:lastRenderedPageBreak/>
              <w:t>Recommandation</w:t>
            </w:r>
          </w:p>
          <w:p w14:paraId="077E203F" w14:textId="726CF230" w:rsidR="00CA63BC" w:rsidRPr="00C567FA" w:rsidRDefault="00CA63BC" w:rsidP="007D536E">
            <w:pPr>
              <w:spacing w:after="120"/>
              <w:rPr>
                <w:rFonts w:cs="Calibri"/>
                <w:szCs w:val="24"/>
              </w:rPr>
            </w:pPr>
            <w:r w:rsidRPr="00C567FA">
              <w:t>2.28</w:t>
            </w:r>
            <w:r w:rsidRPr="00C567FA">
              <w:tab/>
              <w:t>La Commission recommande au Conseil de prendre note des travaux du GTC</w:t>
            </w:r>
            <w:r w:rsidRPr="00C567FA">
              <w:noBreakHyphen/>
              <w:t>FHR présentés dans le Document C22/50, d</w:t>
            </w:r>
            <w:r w:rsidR="007D536E">
              <w:t>'</w:t>
            </w:r>
            <w:r w:rsidRPr="00C567FA">
              <w:t>examiner les mesures indiquées dans ce rapport, et de faire ses observations sur ces mesures, s</w:t>
            </w:r>
            <w:r w:rsidR="007D536E">
              <w:t>'</w:t>
            </w:r>
            <w:r w:rsidRPr="00C567FA">
              <w:t>il y a lieu.</w:t>
            </w:r>
          </w:p>
        </w:tc>
      </w:tr>
    </w:tbl>
    <w:p w14:paraId="1D77FAB0" w14:textId="57A1995B" w:rsidR="00536045" w:rsidRPr="00C567FA" w:rsidRDefault="00A34BDA" w:rsidP="007D536E">
      <w:pPr>
        <w:pStyle w:val="Headingb"/>
      </w:pPr>
      <w:r>
        <w:tab/>
      </w:r>
      <w:r w:rsidR="00536045" w:rsidRPr="00C567FA">
        <w:t>Contribution de l</w:t>
      </w:r>
      <w:r w:rsidR="007D536E">
        <w:t>'</w:t>
      </w:r>
      <w:r w:rsidR="00536045" w:rsidRPr="00C567FA">
        <w:t>Australie et du Canada – Proposition concernant l</w:t>
      </w:r>
      <w:r w:rsidR="007D536E">
        <w:t>'</w:t>
      </w:r>
      <w:r w:rsidR="00536045" w:rsidRPr="00C567FA">
        <w:t>analyse de la mise en œuvre de l</w:t>
      </w:r>
      <w:r w:rsidR="007D536E">
        <w:t>'</w:t>
      </w:r>
      <w:r w:rsidR="00536045" w:rsidRPr="00C567FA">
        <w:t>emploi d</w:t>
      </w:r>
      <w:r w:rsidR="007D536E">
        <w:t>'</w:t>
      </w:r>
      <w:r w:rsidR="00536045" w:rsidRPr="00C567FA">
        <w:t>un langage neutre du point de vue du genre dans les textes de l</w:t>
      </w:r>
      <w:r w:rsidR="007D536E">
        <w:t>'</w:t>
      </w:r>
      <w:r w:rsidR="00536045" w:rsidRPr="00C567FA">
        <w:t>UIT (Document </w:t>
      </w:r>
      <w:hyperlink r:id="rId43" w:history="1">
        <w:r w:rsidR="00536045" w:rsidRPr="00C567FA">
          <w:rPr>
            <w:rStyle w:val="Hyperlink"/>
          </w:rPr>
          <w:t>C22/68</w:t>
        </w:r>
      </w:hyperlink>
      <w:r w:rsidR="00536045" w:rsidRPr="00C567FA">
        <w:t>)</w:t>
      </w:r>
    </w:p>
    <w:p w14:paraId="1ED90243" w14:textId="069B6C2B" w:rsidR="00536045" w:rsidRPr="00C567FA" w:rsidRDefault="00536045" w:rsidP="007D536E">
      <w:r w:rsidRPr="00C567FA">
        <w:t>2.29</w:t>
      </w:r>
      <w:r w:rsidRPr="00C567FA">
        <w:tab/>
        <w:t>Le délégué de l</w:t>
      </w:r>
      <w:r w:rsidR="007D536E">
        <w:t>'</w:t>
      </w:r>
      <w:r w:rsidRPr="00C567FA">
        <w:t>Australie a présenté le document, dans lequel il est recommandé au Conseil de demander au secrétariat de l</w:t>
      </w:r>
      <w:r w:rsidR="007D536E">
        <w:t>'</w:t>
      </w:r>
      <w:r w:rsidRPr="00C567FA">
        <w:t>Union internationale des télécommunications (UIT) d</w:t>
      </w:r>
      <w:r w:rsidR="007D536E">
        <w:t>'</w:t>
      </w:r>
      <w:r w:rsidRPr="00C567FA">
        <w:t>examiner la mise en œuvre de l</w:t>
      </w:r>
      <w:r w:rsidR="007D536E">
        <w:t>'</w:t>
      </w:r>
      <w:r w:rsidRPr="00C567FA">
        <w:t>emploi d</w:t>
      </w:r>
      <w:r w:rsidR="007D536E">
        <w:t>'</w:t>
      </w:r>
      <w:r w:rsidRPr="00C567FA">
        <w:t>un langage neutre du point de vue du genre dans les futurs textes de l</w:t>
      </w:r>
      <w:r w:rsidR="007D536E">
        <w:t>'</w:t>
      </w:r>
      <w:r w:rsidRPr="00C567FA">
        <w:t>UIT, en vue d</w:t>
      </w:r>
      <w:r w:rsidR="007D536E">
        <w:t>'</w:t>
      </w:r>
      <w:r w:rsidRPr="00C567FA">
        <w:t>un examen approfondi de cette question par le Conseil, sans modifier la Constitution ni la Convention de l</w:t>
      </w:r>
      <w:r w:rsidR="007D536E">
        <w:t>'</w:t>
      </w:r>
      <w:r w:rsidRPr="00C567FA">
        <w:t>UIT à ce stade.</w:t>
      </w:r>
    </w:p>
    <w:p w14:paraId="06389365" w14:textId="250F9D0E" w:rsidR="00536045" w:rsidRPr="00C567FA" w:rsidRDefault="00536045" w:rsidP="007D536E">
      <w:r w:rsidRPr="00C567FA">
        <w:t>2.30</w:t>
      </w:r>
      <w:r w:rsidRPr="00C567FA">
        <w:tab/>
        <w:t>Il est proposé d</w:t>
      </w:r>
      <w:r w:rsidR="007D536E">
        <w:t>'</w:t>
      </w:r>
      <w:r w:rsidRPr="00C567FA">
        <w:t>envisager l</w:t>
      </w:r>
      <w:r w:rsidR="007D536E">
        <w:t>'</w:t>
      </w:r>
      <w:r w:rsidRPr="00C567FA">
        <w:t>utilisation d</w:t>
      </w:r>
      <w:r w:rsidR="007D536E">
        <w:t>'</w:t>
      </w:r>
      <w:r w:rsidRPr="00C567FA">
        <w:t>un langage neutre du point de vue du genre dans toutes les versions anglaises des documents de l</w:t>
      </w:r>
      <w:r w:rsidR="007D536E">
        <w:t>'</w:t>
      </w:r>
      <w:r w:rsidRPr="00C567FA">
        <w:t>UIT, et lorsque cela est possible, dans les versions arabe, chinoise, française, russe et espagnole de ces documents, ainsi que des expressions et termes suivants dans toutes les versions anglaises des documents de l</w:t>
      </w:r>
      <w:r w:rsidR="007D536E">
        <w:t>'</w:t>
      </w:r>
      <w:r w:rsidRPr="00C567FA">
        <w:t>UIT: "Chair" et "Vice-Chair" (au lieu de "Chairman" et "Vice-Chairman"), "they/their (en remplacement de "he/his" et she/her"), "spouse" (à la place de "wife" ou "husband"), "people" (au lieu de "mankind"), "workforce" ou "human resources" (pour remplacer "manpower").</w:t>
      </w:r>
    </w:p>
    <w:p w14:paraId="437B2F01" w14:textId="12B1A4C0" w:rsidR="00536045" w:rsidRPr="00C567FA" w:rsidRDefault="00536045" w:rsidP="007D536E">
      <w:r w:rsidRPr="00C567FA">
        <w:t>2.31</w:t>
      </w:r>
      <w:r w:rsidRPr="00C567FA">
        <w:tab/>
        <w:t>Il est en outre proposé de réfléchir aux incidences que pourrait avoir la suppression de la Décision 500 du Conseil, et d</w:t>
      </w:r>
      <w:r w:rsidR="007D536E">
        <w:t>'</w:t>
      </w:r>
      <w:r w:rsidRPr="00C567FA">
        <w:t>évaluer les options pour remplacer la note de bas de page figurant dans la Constitution et la Convention de l</w:t>
      </w:r>
      <w:r w:rsidR="007D536E">
        <w:t>'</w:t>
      </w:r>
      <w:r w:rsidRPr="00C567FA">
        <w:t>UIT, qui dispose actuellement que "les instruments fondamentaux de l</w:t>
      </w:r>
      <w:r w:rsidR="007D536E">
        <w:t>'</w:t>
      </w:r>
      <w:r w:rsidRPr="00C567FA">
        <w:t>Union (Constitution et Convention) doivent être considérés comme rédigés dans un langage non sexospécifique".</w:t>
      </w:r>
    </w:p>
    <w:p w14:paraId="67C724BC" w14:textId="77777777" w:rsidR="00536045" w:rsidRPr="00C567FA" w:rsidRDefault="00536045" w:rsidP="007D536E">
      <w:r w:rsidRPr="00C567FA">
        <w:t>2.32</w:t>
      </w:r>
      <w:r w:rsidRPr="00C567FA">
        <w:tab/>
        <w:t>Plusieurs délégués ont souscrit à la proposition, en particulier:</w:t>
      </w:r>
    </w:p>
    <w:p w14:paraId="5DD9254C" w14:textId="7DB6230D" w:rsidR="00536045" w:rsidRPr="00C567FA" w:rsidRDefault="00536045" w:rsidP="007D536E">
      <w:pPr>
        <w:pStyle w:val="enumlev1"/>
      </w:pPr>
      <w:r w:rsidRPr="00C567FA">
        <w:t>–</w:t>
      </w:r>
      <w:r w:rsidRPr="00C567FA">
        <w:tab/>
        <w:t>afin de faire état des travaux et des objectifs de l</w:t>
      </w:r>
      <w:r w:rsidR="007D536E">
        <w:t>'</w:t>
      </w:r>
      <w:r w:rsidRPr="00C567FA">
        <w:t>UIT en vue d</w:t>
      </w:r>
      <w:r w:rsidR="007D536E">
        <w:t>'</w:t>
      </w:r>
      <w:r w:rsidRPr="00C567FA">
        <w:t>intégrer et de promouvoir les principes d</w:t>
      </w:r>
      <w:r w:rsidR="007D536E">
        <w:t>'</w:t>
      </w:r>
      <w:r w:rsidRPr="00C567FA">
        <w:t>égalité entre les hommes et les femmes, de parité et d</w:t>
      </w:r>
      <w:r w:rsidR="007D536E">
        <w:t>'</w:t>
      </w:r>
      <w:r w:rsidRPr="00C567FA">
        <w:t>inclusion;</w:t>
      </w:r>
    </w:p>
    <w:p w14:paraId="6E78CF1D" w14:textId="124B054A" w:rsidR="00536045" w:rsidRPr="00C567FA" w:rsidRDefault="00536045" w:rsidP="007D536E">
      <w:pPr>
        <w:pStyle w:val="enumlev1"/>
      </w:pPr>
      <w:r w:rsidRPr="00C567FA">
        <w:t>–</w:t>
      </w:r>
      <w:r w:rsidRPr="00C567FA">
        <w:tab/>
        <w:t>afin d</w:t>
      </w:r>
      <w:r w:rsidR="007D536E">
        <w:t>'</w:t>
      </w:r>
      <w:r w:rsidRPr="00C567FA">
        <w:t>éviter toute forme de discrimination et d</w:t>
      </w:r>
      <w:r w:rsidR="007D536E">
        <w:t>'</w:t>
      </w:r>
      <w:r w:rsidRPr="00C567FA">
        <w:t>assurer l</w:t>
      </w:r>
      <w:r w:rsidR="007D536E">
        <w:t>'</w:t>
      </w:r>
      <w:r w:rsidRPr="00C567FA">
        <w:t>égalité des chances;</w:t>
      </w:r>
    </w:p>
    <w:p w14:paraId="2BAE8B11" w14:textId="03E377FF" w:rsidR="00536045" w:rsidRPr="00C567FA" w:rsidRDefault="00536045" w:rsidP="007D536E">
      <w:pPr>
        <w:pStyle w:val="enumlev1"/>
      </w:pPr>
      <w:r w:rsidRPr="00C567FA">
        <w:t>–</w:t>
      </w:r>
      <w:r w:rsidRPr="00C567FA">
        <w:tab/>
        <w:t>pour tenir compte du fait que l</w:t>
      </w:r>
      <w:r w:rsidR="007D536E">
        <w:t>'</w:t>
      </w:r>
      <w:r w:rsidRPr="00C567FA">
        <w:t>UIT est en retard par rapport à d</w:t>
      </w:r>
      <w:r w:rsidR="007D536E">
        <w:t>'</w:t>
      </w:r>
      <w:r w:rsidRPr="00C567FA">
        <w:t>autres institutions du système des Nations Unies qui ont déjà adopté cette initiative;</w:t>
      </w:r>
    </w:p>
    <w:p w14:paraId="6219C4A5" w14:textId="77777777" w:rsidR="00536045" w:rsidRPr="00C567FA" w:rsidRDefault="00536045" w:rsidP="007D536E">
      <w:pPr>
        <w:pStyle w:val="enumlev1"/>
      </w:pPr>
      <w:r w:rsidRPr="00C567FA">
        <w:t>–</w:t>
      </w:r>
      <w:r w:rsidRPr="00C567FA">
        <w:tab/>
        <w:t>pour suivre les bonnes pratiques et respecter les lignes directrices établies par le système des Nations Unies.</w:t>
      </w:r>
    </w:p>
    <w:p w14:paraId="1199D3FF" w14:textId="77777777" w:rsidR="00536045" w:rsidRPr="00C567FA" w:rsidRDefault="00536045" w:rsidP="007D536E">
      <w:r w:rsidRPr="00C567FA">
        <w:t>2.33</w:t>
      </w:r>
      <w:r w:rsidRPr="00C567FA">
        <w:tab/>
        <w:t>Cependant, plusieurs délégués se sont dit préoccupés par la proposition et ont mis en lumière les éléments suivants, dont il convient de tenir compte:</w:t>
      </w:r>
    </w:p>
    <w:p w14:paraId="5566A03F" w14:textId="53409E5E" w:rsidR="00536045" w:rsidRPr="00C567FA" w:rsidRDefault="00536045" w:rsidP="007D536E">
      <w:pPr>
        <w:pStyle w:val="enumlev1"/>
      </w:pPr>
      <w:r w:rsidRPr="00C567FA">
        <w:t>–</w:t>
      </w:r>
      <w:r w:rsidRPr="00C567FA">
        <w:tab/>
        <w:t>nécessité d</w:t>
      </w:r>
      <w:r w:rsidR="007D536E">
        <w:t>'</w:t>
      </w:r>
      <w:r w:rsidRPr="00C567FA">
        <w:t>obtenir plus de données au sujet de la proposition;</w:t>
      </w:r>
    </w:p>
    <w:p w14:paraId="5D1E7D15" w14:textId="68087A62" w:rsidR="00536045" w:rsidRPr="00C567FA" w:rsidRDefault="00536045" w:rsidP="007D536E">
      <w:pPr>
        <w:pStyle w:val="enumlev1"/>
      </w:pPr>
      <w:r w:rsidRPr="00C567FA">
        <w:t>–</w:t>
      </w:r>
      <w:r w:rsidRPr="00C567FA">
        <w:tab/>
        <w:t>nécessité de prendre le temps d</w:t>
      </w:r>
      <w:r w:rsidR="007D536E">
        <w:t>'</w:t>
      </w:r>
      <w:r w:rsidRPr="00C567FA">
        <w:t>examiner la proposition;</w:t>
      </w:r>
    </w:p>
    <w:p w14:paraId="75B1738E" w14:textId="77777777" w:rsidR="00536045" w:rsidRPr="00C567FA" w:rsidRDefault="00536045" w:rsidP="007D536E">
      <w:pPr>
        <w:pStyle w:val="enumlev1"/>
      </w:pPr>
      <w:r w:rsidRPr="00C567FA">
        <w:t>–</w:t>
      </w:r>
      <w:r w:rsidRPr="00C567FA">
        <w:tab/>
        <w:t>probabilité que les différences et les spécificités en matière de genre masculin ou féminin varient dans les autres langues officielles;</w:t>
      </w:r>
    </w:p>
    <w:p w14:paraId="33AB0220" w14:textId="77777777" w:rsidR="00536045" w:rsidRPr="00C567FA" w:rsidRDefault="00536045" w:rsidP="007D536E">
      <w:pPr>
        <w:pStyle w:val="enumlev1"/>
      </w:pPr>
      <w:r w:rsidRPr="00C567FA">
        <w:t>–</w:t>
      </w:r>
      <w:r w:rsidRPr="00C567FA">
        <w:tab/>
        <w:t>nombre de documents à réviser;</w:t>
      </w:r>
    </w:p>
    <w:p w14:paraId="427D6310" w14:textId="77777777" w:rsidR="00536045" w:rsidRPr="00C567FA" w:rsidRDefault="00536045" w:rsidP="007D536E">
      <w:pPr>
        <w:pStyle w:val="enumlev1"/>
      </w:pPr>
      <w:r w:rsidRPr="00C567FA">
        <w:t>–</w:t>
      </w:r>
      <w:r w:rsidRPr="00C567FA">
        <w:tab/>
        <w:t>incidences sur le plan financier;</w:t>
      </w:r>
    </w:p>
    <w:p w14:paraId="5F4E23B1" w14:textId="021FC4DD" w:rsidR="00536045" w:rsidRPr="00C567FA" w:rsidRDefault="00536045" w:rsidP="007D536E">
      <w:pPr>
        <w:pStyle w:val="enumlev1"/>
      </w:pPr>
      <w:r w:rsidRPr="00C567FA">
        <w:lastRenderedPageBreak/>
        <w:t>–</w:t>
      </w:r>
      <w:r w:rsidRPr="00C567FA">
        <w:tab/>
        <w:t>examen de cette question au sein du Groupe de travail du Conseil sur l</w:t>
      </w:r>
      <w:r w:rsidR="007D536E">
        <w:t>'</w:t>
      </w:r>
      <w:r w:rsidRPr="00C567FA">
        <w:t>utilisation des langues (GTC-LANG), tout en évitant la répétition des tâches avec le Département de la planification stratégique et des relations avec les membres (SPM).</w:t>
      </w:r>
    </w:p>
    <w:p w14:paraId="53BC370F" w14:textId="676D0C23" w:rsidR="00536045" w:rsidRPr="00C567FA" w:rsidRDefault="00536045" w:rsidP="007D536E">
      <w:pPr>
        <w:keepLines/>
      </w:pPr>
      <w:r w:rsidRPr="00C567FA">
        <w:t>2.34</w:t>
      </w:r>
      <w:r w:rsidRPr="00C567FA">
        <w:tab/>
        <w:t>Le Secrétariat fournira des informations supplémentaires, notamment au sujet des incidences financières de la proposition, au cours de la séance du vendredi 25 mars 2022, lors de l</w:t>
      </w:r>
      <w:r w:rsidR="007D536E">
        <w:t>'</w:t>
      </w:r>
      <w:r w:rsidRPr="00C567FA">
        <w:t>examen des documents liés aux ressources humaines. Il a aussi été souligné que la proposition concerne les documents futurs, et non la Constitution et la Convention de l</w:t>
      </w:r>
      <w:r w:rsidR="007D536E">
        <w:t>'</w:t>
      </w:r>
      <w:r w:rsidRPr="00C567FA">
        <w:t>UIT. En outre, le secrétariat a informé les délégués que les lignes directrices des Nations Unies relatives à l</w:t>
      </w:r>
      <w:r w:rsidR="007D536E">
        <w:t>'</w:t>
      </w:r>
      <w:r w:rsidRPr="00C567FA">
        <w:t>utilisation d</w:t>
      </w:r>
      <w:r w:rsidR="007D536E">
        <w:t>'</w:t>
      </w:r>
      <w:r w:rsidRPr="00C567FA">
        <w:t>un langage neutre du point de vue du genre sont disponibles dans les six langues officielles de l</w:t>
      </w:r>
      <w:r w:rsidR="007D536E">
        <w:t>'</w:t>
      </w:r>
      <w:r w:rsidRPr="00C567FA">
        <w:t>ONU, et sont appliquées à l</w:t>
      </w:r>
      <w:r w:rsidR="007D536E">
        <w:t>'</w:t>
      </w:r>
      <w:r w:rsidRPr="00C567FA">
        <w:t>oral comme à l</w:t>
      </w:r>
      <w:r w:rsidR="007D536E">
        <w:t>'</w:t>
      </w:r>
      <w:r w:rsidRPr="00C567FA">
        <w:t>écrit, ainsi que dans les communications internes et externes. Ces lignes directrices contiennent aussi des supports visant à faire face aux difficultés rencontrées dans le contexte de l</w:t>
      </w:r>
      <w:r w:rsidR="007D536E">
        <w:t>'</w:t>
      </w:r>
      <w:r w:rsidRPr="00C567FA">
        <w:t>utilisation des différentes langues. Plusieurs institutions du système des Nations Unies ont élaboré leurs propres stratégies et lignes directrices, qui peuvent aussi être applicables à l</w:t>
      </w:r>
      <w:r w:rsidR="007D536E">
        <w:t>'</w:t>
      </w:r>
      <w:r w:rsidRPr="00C567FA">
        <w:t>UIT.</w:t>
      </w:r>
    </w:p>
    <w:p w14:paraId="76991AA7" w14:textId="77777777" w:rsidR="00536045" w:rsidRPr="00C567FA" w:rsidRDefault="00536045" w:rsidP="007D536E">
      <w:r w:rsidRPr="00C567FA">
        <w:t>2.35</w:t>
      </w:r>
      <w:r w:rsidRPr="00C567FA">
        <w:tab/>
        <w:t>À la suite de plusieurs interventions de délégués sur cette question, la Présidente a conclu que les consultations informelles se poursuivraient.</w:t>
      </w:r>
    </w:p>
    <w:p w14:paraId="6AA0818F" w14:textId="77777777" w:rsidR="00536045" w:rsidRPr="00C567FA" w:rsidRDefault="00536045" w:rsidP="007D536E">
      <w:r w:rsidRPr="00C567FA">
        <w:t>2.36</w:t>
      </w:r>
      <w:r w:rsidRPr="00C567FA">
        <w:tab/>
        <w:t>Les discussions ont repris le 25 mars 2022. La contribution soumise par le secrétariat sur le langage neutre du point de vue du genre (Document C22/INF/16) a été publiée à cette date.</w:t>
      </w:r>
    </w:p>
    <w:p w14:paraId="2A9745C2" w14:textId="38BCF495" w:rsidR="00536045" w:rsidRPr="00C567FA" w:rsidRDefault="00536045" w:rsidP="007D536E">
      <w:r w:rsidRPr="00C567FA">
        <w:t>2.37</w:t>
      </w:r>
      <w:r w:rsidRPr="00C567FA">
        <w:tab/>
        <w:t>Le délégué du Canada a souligné que la proposition vise seulement à demander à l</w:t>
      </w:r>
      <w:r w:rsidR="007D536E">
        <w:t>'</w:t>
      </w:r>
      <w:r w:rsidRPr="00C567FA">
        <w:t>UIT d</w:t>
      </w:r>
      <w:r w:rsidR="007D536E">
        <w:t>'</w:t>
      </w:r>
      <w:r w:rsidRPr="00C567FA">
        <w:t>examiner la mise en œuvre de l</w:t>
      </w:r>
      <w:r w:rsidR="007D536E">
        <w:t>'</w:t>
      </w:r>
      <w:r w:rsidRPr="00C567FA">
        <w:t>emploi d</w:t>
      </w:r>
      <w:r w:rsidR="007D536E">
        <w:t>'</w:t>
      </w:r>
      <w:r w:rsidRPr="00C567FA">
        <w:t>un langage neutre du point de vue du genre dans les futurs textes de l</w:t>
      </w:r>
      <w:r w:rsidR="007D536E">
        <w:t>'</w:t>
      </w:r>
      <w:r w:rsidRPr="00C567FA">
        <w:t>UIT, en vue d</w:t>
      </w:r>
      <w:r w:rsidR="007D536E">
        <w:t>'</w:t>
      </w:r>
      <w:r w:rsidRPr="00C567FA">
        <w:t>un examen approfondi de cette question par le Conseil, sans modifier la Constitution ni la Convention de l</w:t>
      </w:r>
      <w:r w:rsidR="007D536E">
        <w:t>'</w:t>
      </w:r>
      <w:r w:rsidRPr="00C567FA">
        <w:t>UIT à ce stade. Néanmoins, s</w:t>
      </w:r>
      <w:r w:rsidR="007D536E">
        <w:t>'</w:t>
      </w:r>
      <w:r w:rsidRPr="00C567FA">
        <w:t>il n</w:t>
      </w:r>
      <w:r w:rsidR="007D536E">
        <w:t>'</w:t>
      </w:r>
      <w:r w:rsidRPr="00C567FA">
        <w:t>a pas l</w:t>
      </w:r>
      <w:r w:rsidR="007D536E">
        <w:t>'</w:t>
      </w:r>
      <w:r w:rsidRPr="00C567FA">
        <w:t>intention de discuter plus avant de la question, l</w:t>
      </w:r>
      <w:r w:rsidR="007D536E">
        <w:t>'</w:t>
      </w:r>
      <w:r w:rsidRPr="00C567FA">
        <w:t>orateur se dit déçu du retard pris par l</w:t>
      </w:r>
      <w:r w:rsidR="007D536E">
        <w:t>'</w:t>
      </w:r>
      <w:r w:rsidRPr="00C567FA">
        <w:t>UIT à cet égard par rapport à d</w:t>
      </w:r>
      <w:r w:rsidR="007D536E">
        <w:t>'</w:t>
      </w:r>
      <w:r w:rsidRPr="00C567FA">
        <w:t>autres institutions du système des Nations Unies. La proposition sera soumise à la CITEL, qui la communiquera aux pays de la région Amériques. Un autre délégué a suggéré de prendre en considération, lors de la soumission de la proposition aux pays de la région, les différences linguistiques qui existent dans les six langues officielles de l</w:t>
      </w:r>
      <w:r w:rsidR="007D536E">
        <w:t>'</w:t>
      </w:r>
      <w:r w:rsidRPr="00C567FA">
        <w:t>UIT.</w:t>
      </w:r>
    </w:p>
    <w:p w14:paraId="085BF228" w14:textId="54439081" w:rsidR="00536045" w:rsidRPr="00C567FA" w:rsidRDefault="00536045" w:rsidP="007D536E">
      <w:r w:rsidRPr="00C567FA">
        <w:t>2.38</w:t>
      </w:r>
      <w:r w:rsidRPr="00C567FA">
        <w:tab/>
        <w:t>En l</w:t>
      </w:r>
      <w:r w:rsidR="007D536E">
        <w:t>'</w:t>
      </w:r>
      <w:r w:rsidRPr="00C567FA">
        <w:t>absence de consensus, la Présidente a conclu qu</w:t>
      </w:r>
      <w:r w:rsidR="007D536E">
        <w:t>'</w:t>
      </w:r>
      <w:r w:rsidRPr="00C567FA">
        <w:t xml:space="preserve">il </w:t>
      </w:r>
      <w:r w:rsidR="001E6F79">
        <w:t xml:space="preserve">ne serait pas </w:t>
      </w:r>
      <w:r w:rsidR="00010426">
        <w:t>constructif</w:t>
      </w:r>
      <w:r w:rsidRPr="00C567FA">
        <w:t xml:space="preserve"> de poursuivre les discussions </w:t>
      </w:r>
      <w:r w:rsidR="00010426">
        <w:t>à ce stade</w:t>
      </w:r>
      <w:r w:rsidRPr="00C567FA">
        <w:t>.</w:t>
      </w:r>
    </w:p>
    <w:p w14:paraId="4A65915E" w14:textId="64E5380E" w:rsidR="00536045" w:rsidRPr="00C567FA" w:rsidRDefault="00A34BDA" w:rsidP="007D536E">
      <w:pPr>
        <w:pStyle w:val="Headingb"/>
      </w:pPr>
      <w:r>
        <w:tab/>
      </w:r>
      <w:r w:rsidR="00536045" w:rsidRPr="00C567FA">
        <w:t>Rapport de la Présidente du Groupe de travail du Conseil sur les ressources financières et les ressources humaines: rapport quadriennal du GTC-FHR (</w:t>
      </w:r>
      <w:r w:rsidR="00956169" w:rsidRPr="00C567FA">
        <w:t>D</w:t>
      </w:r>
      <w:r w:rsidR="00536045" w:rsidRPr="00C567FA">
        <w:t xml:space="preserve">ocument </w:t>
      </w:r>
      <w:hyperlink r:id="rId44" w:history="1">
        <w:r w:rsidR="00536045" w:rsidRPr="00C567FA">
          <w:rPr>
            <w:rStyle w:val="Hyperlink"/>
          </w:rPr>
          <w:t>C22/54</w:t>
        </w:r>
      </w:hyperlink>
      <w:r w:rsidR="00536045" w:rsidRPr="00C567FA">
        <w:t>)</w:t>
      </w:r>
    </w:p>
    <w:p w14:paraId="35869CC3" w14:textId="62E644E5" w:rsidR="00536045" w:rsidRPr="00C567FA" w:rsidRDefault="00536045" w:rsidP="007D536E">
      <w:r w:rsidRPr="00C567FA">
        <w:t>2.39</w:t>
      </w:r>
      <w:r w:rsidRPr="00C567FA">
        <w:tab/>
        <w:t>La Présidente du Groupe de travail du Conseil sur les ressources financières et les ressources humaines (GTC-FHR), Mme Vernita D. Harris (États-Unis d</w:t>
      </w:r>
      <w:r w:rsidR="007D536E">
        <w:t>'</w:t>
      </w:r>
      <w:r w:rsidRPr="00C567FA">
        <w:t>Amérique), a présenté le rapport quadriennal du Groupe de travail du Conseil sur les ressources financières et les ressources humaines (GTC-FHR) à l</w:t>
      </w:r>
      <w:r w:rsidR="007D536E">
        <w:t>'</w:t>
      </w:r>
      <w:r w:rsidRPr="00C567FA">
        <w:t>intention des sessions de 2019, 2020, 2021 et 2022 du Conseil.</w:t>
      </w:r>
    </w:p>
    <w:p w14:paraId="0838C7F9" w14:textId="77777777" w:rsidR="00536045" w:rsidRPr="00C567FA" w:rsidRDefault="00536045" w:rsidP="007D536E">
      <w:r w:rsidRPr="00C567FA">
        <w:t>2.40</w:t>
      </w:r>
      <w:r w:rsidRPr="00C567FA">
        <w:tab/>
      </w:r>
      <w:r w:rsidR="00956169" w:rsidRPr="00C567FA">
        <w:t>L</w:t>
      </w:r>
      <w:r w:rsidRPr="00C567FA">
        <w:t>e mandat du GTC-FHR a été approuvé en vertu de la Décision 563, modifiée en 2019. Le groupe est ouvert à tous les États Membres et Membres de Secteur. Le mandat du groupe consiste notamment à:</w:t>
      </w:r>
    </w:p>
    <w:p w14:paraId="055C5ADA" w14:textId="4B151453" w:rsidR="00536045" w:rsidRPr="00C567FA" w:rsidRDefault="00536045" w:rsidP="007D536E">
      <w:pPr>
        <w:pStyle w:val="enumlev1"/>
      </w:pPr>
      <w:r w:rsidRPr="00C567FA">
        <w:t>–</w:t>
      </w:r>
      <w:r w:rsidRPr="00C567FA">
        <w:tab/>
        <w:t>s</w:t>
      </w:r>
      <w:r w:rsidR="007D536E">
        <w:t>'</w:t>
      </w:r>
      <w:r w:rsidRPr="00C567FA">
        <w:t>occuper de questions importantes relatives aux ressources financières et aux ressources humaines entre les sessions du Conseil, en particulier des questions qui nécessitent un réexamen et une modification éventuelle des instruments financiers de l</w:t>
      </w:r>
      <w:r w:rsidR="007D536E">
        <w:t>'</w:t>
      </w:r>
      <w:r w:rsidRPr="00C567FA">
        <w:t>UIT (Règlement financier et Règles financières) ainsi que des Statut et Règlement du personnel;</w:t>
      </w:r>
    </w:p>
    <w:p w14:paraId="431603EF" w14:textId="0A8AECFE" w:rsidR="00536045" w:rsidRPr="00C567FA" w:rsidRDefault="00536045" w:rsidP="007D536E">
      <w:pPr>
        <w:pStyle w:val="enumlev1"/>
      </w:pPr>
      <w:r w:rsidRPr="00C567FA">
        <w:lastRenderedPageBreak/>
        <w:t>–</w:t>
      </w:r>
      <w:r w:rsidRPr="00C567FA">
        <w:tab/>
        <w:t>veiller à ce que les recommandations pertinentes du Corps commun d</w:t>
      </w:r>
      <w:r w:rsidR="007D536E">
        <w:t>'</w:t>
      </w:r>
      <w:r w:rsidRPr="00C567FA">
        <w:t>inspection des Nations Unies, du Vérificateur extérieur des comptes et du Comité consultatif indépendant pour les questions de gestion (CCIG) ayant des incidences sur la gestion des ressources financières et des ressources humaines de l</w:t>
      </w:r>
      <w:r w:rsidR="007D536E">
        <w:t>'</w:t>
      </w:r>
      <w:r w:rsidRPr="00C567FA">
        <w:t>Union soient prises en considération;</w:t>
      </w:r>
    </w:p>
    <w:p w14:paraId="3EA1BE24" w14:textId="6491040C" w:rsidR="00536045" w:rsidRPr="00C567FA" w:rsidRDefault="00536045" w:rsidP="007D536E">
      <w:pPr>
        <w:pStyle w:val="enumlev1"/>
      </w:pPr>
      <w:r w:rsidRPr="00C567FA">
        <w:t>–</w:t>
      </w:r>
      <w:r w:rsidRPr="00C567FA">
        <w:tab/>
        <w:t>procéder, sur une base annuelle, à une évaluation de la mise en œuvre de la gestion axée sur les résultats, y compris l</w:t>
      </w:r>
      <w:r w:rsidR="007D536E">
        <w:t>'</w:t>
      </w:r>
      <w:r w:rsidRPr="00C567FA">
        <w:t>établissement d</w:t>
      </w:r>
      <w:r w:rsidR="007D536E">
        <w:t>'</w:t>
      </w:r>
      <w:r w:rsidRPr="00C567FA">
        <w:t>un ordre de priorité entre les activités et initiatives de l</w:t>
      </w:r>
      <w:r w:rsidR="007D536E">
        <w:t>'</w:t>
      </w:r>
      <w:r w:rsidRPr="00C567FA">
        <w:t>Union, compte tenu des critères spécifiques identifiés dans le Plan stratégique de l</w:t>
      </w:r>
      <w:r w:rsidR="007D536E">
        <w:t>'</w:t>
      </w:r>
      <w:r w:rsidRPr="00C567FA">
        <w:t>Union;</w:t>
      </w:r>
    </w:p>
    <w:p w14:paraId="5E084E82" w14:textId="348A96AC" w:rsidR="00536045" w:rsidRPr="00C567FA" w:rsidRDefault="00536045" w:rsidP="007D536E">
      <w:pPr>
        <w:pStyle w:val="enumlev1"/>
      </w:pPr>
      <w:r w:rsidRPr="00C567FA">
        <w:t>–</w:t>
      </w:r>
      <w:r w:rsidRPr="00C567FA">
        <w:tab/>
        <w:t>maintenir des relations étroites avec la direction de l</w:t>
      </w:r>
      <w:r w:rsidR="007D536E">
        <w:t>'</w:t>
      </w:r>
      <w:r w:rsidRPr="00C567FA">
        <w:t>UIT et le Conseil du personnel, afin de déterminer les questions d</w:t>
      </w:r>
      <w:r w:rsidR="007D536E">
        <w:t>'</w:t>
      </w:r>
      <w:r w:rsidRPr="00C567FA">
        <w:t>intérêt commun, en particulier celles pour lesquelles des avis et des orientations du Conseil sont requis et justifiés.</w:t>
      </w:r>
    </w:p>
    <w:p w14:paraId="7FB8AC7C" w14:textId="77777777" w:rsidR="00536045" w:rsidRPr="00C567FA" w:rsidRDefault="00536045" w:rsidP="007D536E">
      <w:r w:rsidRPr="00C567FA">
        <w:t>2.41</w:t>
      </w:r>
      <w:r w:rsidRPr="00C567FA">
        <w:tab/>
        <w:t>La composition du GTC-FHR est la suivante:</w:t>
      </w:r>
    </w:p>
    <w:p w14:paraId="6ABE1A63" w14:textId="77777777" w:rsidR="00536045" w:rsidRPr="00C567FA" w:rsidRDefault="00536045" w:rsidP="007D536E">
      <w:r w:rsidRPr="00C567FA">
        <w:t>9ème, 10ème et 11ème réunions:</w:t>
      </w:r>
    </w:p>
    <w:p w14:paraId="1A074639" w14:textId="77777777" w:rsidR="00536045" w:rsidRPr="00C567FA" w:rsidRDefault="00536045" w:rsidP="007D536E">
      <w:r w:rsidRPr="00C567FA">
        <w:t>Président: M. Dietmar Plesse (Allemagne)</w:t>
      </w:r>
    </w:p>
    <w:p w14:paraId="241DAEA8" w14:textId="77777777" w:rsidR="00536045" w:rsidRPr="00C567FA" w:rsidRDefault="00536045" w:rsidP="007D536E">
      <w:r w:rsidRPr="00C567FA">
        <w:t>Six Vice-Présidents:</w:t>
      </w:r>
    </w:p>
    <w:p w14:paraId="21C2347B" w14:textId="77777777" w:rsidR="00536045" w:rsidRPr="00C567FA" w:rsidRDefault="00536045" w:rsidP="007D536E">
      <w:pPr>
        <w:pStyle w:val="enumlev1"/>
      </w:pPr>
      <w:r w:rsidRPr="00C567FA">
        <w:t>–</w:t>
      </w:r>
      <w:r w:rsidRPr="00C567FA">
        <w:tab/>
        <w:t>Mme Seynabou Seck Cisse (Sénégal)</w:t>
      </w:r>
    </w:p>
    <w:p w14:paraId="3264172B" w14:textId="2D4740A8" w:rsidR="00536045" w:rsidRPr="00C567FA" w:rsidRDefault="00536045" w:rsidP="007D536E">
      <w:pPr>
        <w:pStyle w:val="enumlev1"/>
      </w:pPr>
      <w:r w:rsidRPr="00C567FA">
        <w:t>–</w:t>
      </w:r>
      <w:r w:rsidRPr="00C567FA">
        <w:tab/>
        <w:t>Mme Vernita D. Harris (États-Unis d</w:t>
      </w:r>
      <w:r w:rsidR="007D536E">
        <w:t>'</w:t>
      </w:r>
      <w:r w:rsidRPr="00C567FA">
        <w:t>Amérique)</w:t>
      </w:r>
    </w:p>
    <w:p w14:paraId="44D9A736" w14:textId="77777777" w:rsidR="00536045" w:rsidRPr="00C567FA" w:rsidRDefault="00536045" w:rsidP="007D536E">
      <w:pPr>
        <w:pStyle w:val="enumlev1"/>
      </w:pPr>
      <w:r w:rsidRPr="00C567FA">
        <w:t>–</w:t>
      </w:r>
      <w:r w:rsidRPr="00C567FA">
        <w:tab/>
        <w:t>M. Mohamed S. Ali Al Muathen (Émirats arabes unis)</w:t>
      </w:r>
    </w:p>
    <w:p w14:paraId="6CF08D3E" w14:textId="01DA844B" w:rsidR="00536045" w:rsidRPr="00C567FA" w:rsidRDefault="00536045" w:rsidP="007D536E">
      <w:pPr>
        <w:pStyle w:val="enumlev1"/>
      </w:pPr>
      <w:r w:rsidRPr="00C567FA">
        <w:t>–</w:t>
      </w:r>
      <w:r w:rsidRPr="00C567FA">
        <w:tab/>
        <w:t>Mme Archana Goyal Gulati (République de l</w:t>
      </w:r>
      <w:r w:rsidR="007D536E">
        <w:t>'</w:t>
      </w:r>
      <w:r w:rsidRPr="00C567FA">
        <w:t>Inde)</w:t>
      </w:r>
    </w:p>
    <w:p w14:paraId="6367806D" w14:textId="77777777" w:rsidR="00536045" w:rsidRPr="00C567FA" w:rsidRDefault="00536045" w:rsidP="007D536E">
      <w:pPr>
        <w:pStyle w:val="enumlev1"/>
      </w:pPr>
      <w:r w:rsidRPr="00C567FA">
        <w:t>–</w:t>
      </w:r>
      <w:r w:rsidRPr="00C567FA">
        <w:tab/>
        <w:t>M. Andreiy S. Zhivov (Fédération de Russie)</w:t>
      </w:r>
    </w:p>
    <w:p w14:paraId="14B6CE03" w14:textId="77777777" w:rsidR="00536045" w:rsidRPr="00C567FA" w:rsidRDefault="00536045" w:rsidP="007D536E">
      <w:pPr>
        <w:pStyle w:val="enumlev1"/>
      </w:pPr>
      <w:r w:rsidRPr="00C567FA">
        <w:t>–</w:t>
      </w:r>
      <w:r w:rsidRPr="00C567FA">
        <w:tab/>
        <w:t>M. Vilem Vesely (République tchèque)</w:t>
      </w:r>
    </w:p>
    <w:p w14:paraId="4409F898" w14:textId="77777777" w:rsidR="00536045" w:rsidRPr="00C567FA" w:rsidRDefault="00536045" w:rsidP="007D536E">
      <w:r w:rsidRPr="00C567FA">
        <w:t>12ème, 13ème, 14ème et 15ème réunions:</w:t>
      </w:r>
    </w:p>
    <w:p w14:paraId="4D92BF34" w14:textId="45FBCDCF" w:rsidR="00536045" w:rsidRPr="00C567FA" w:rsidRDefault="00536045" w:rsidP="007D536E">
      <w:r w:rsidRPr="00C567FA">
        <w:t>Présidente: Mme Vernita D. Harris (États-Unis d</w:t>
      </w:r>
      <w:r w:rsidR="007D536E">
        <w:t>'</w:t>
      </w:r>
      <w:r w:rsidRPr="00C567FA">
        <w:t>Amérique)</w:t>
      </w:r>
    </w:p>
    <w:p w14:paraId="11BDFB85" w14:textId="77777777" w:rsidR="00536045" w:rsidRPr="00C567FA" w:rsidRDefault="00536045" w:rsidP="007D536E">
      <w:r w:rsidRPr="00C567FA">
        <w:t>Six Vice-Présidents:</w:t>
      </w:r>
    </w:p>
    <w:p w14:paraId="4066D7B0" w14:textId="77777777" w:rsidR="00536045" w:rsidRPr="00C567FA" w:rsidRDefault="00536045" w:rsidP="007D536E">
      <w:pPr>
        <w:pStyle w:val="enumlev1"/>
      </w:pPr>
      <w:r w:rsidRPr="00C567FA">
        <w:t>–</w:t>
      </w:r>
      <w:r w:rsidRPr="00C567FA">
        <w:tab/>
        <w:t>Mme Seynabou Seck Cisse (Sénégal)</w:t>
      </w:r>
    </w:p>
    <w:p w14:paraId="446D4185" w14:textId="77777777" w:rsidR="00536045" w:rsidRPr="00C567FA" w:rsidRDefault="00536045" w:rsidP="007D536E">
      <w:pPr>
        <w:pStyle w:val="enumlev1"/>
      </w:pPr>
      <w:r w:rsidRPr="00C567FA">
        <w:t>–</w:t>
      </w:r>
      <w:r w:rsidRPr="00C567FA">
        <w:tab/>
        <w:t>Mme Xian Persaud (Bahamas) (12ème réunion seulement)</w:t>
      </w:r>
    </w:p>
    <w:p w14:paraId="2E776934" w14:textId="77777777" w:rsidR="00536045" w:rsidRPr="00C567FA" w:rsidRDefault="00536045" w:rsidP="007D536E">
      <w:pPr>
        <w:pStyle w:val="enumlev1"/>
      </w:pPr>
      <w:r w:rsidRPr="00C567FA">
        <w:t>–</w:t>
      </w:r>
      <w:r w:rsidRPr="00C567FA">
        <w:tab/>
        <w:t>M. Mohamed S. Ali Al Muathen Al Mazroei (Émirats arabes unis)</w:t>
      </w:r>
    </w:p>
    <w:p w14:paraId="360BBA38" w14:textId="4B7E0E46" w:rsidR="00536045" w:rsidRPr="00C567FA" w:rsidRDefault="00536045" w:rsidP="007D536E">
      <w:pPr>
        <w:pStyle w:val="enumlev1"/>
      </w:pPr>
      <w:r w:rsidRPr="00C567FA">
        <w:t>–</w:t>
      </w:r>
      <w:r w:rsidRPr="00C567FA">
        <w:tab/>
        <w:t>Mme Archana Goyal Gulati (République de l</w:t>
      </w:r>
      <w:r w:rsidR="007D536E">
        <w:t>'</w:t>
      </w:r>
      <w:r w:rsidRPr="00C567FA">
        <w:t>Inde)</w:t>
      </w:r>
    </w:p>
    <w:p w14:paraId="7AF3D75F" w14:textId="77777777" w:rsidR="00536045" w:rsidRPr="00C567FA" w:rsidRDefault="00536045" w:rsidP="007D536E">
      <w:pPr>
        <w:pStyle w:val="enumlev1"/>
      </w:pPr>
      <w:r w:rsidRPr="00C567FA">
        <w:t>–</w:t>
      </w:r>
      <w:r w:rsidRPr="00C567FA">
        <w:tab/>
        <w:t>Mme D. V. Kalyuga (Fédération de Russie)</w:t>
      </w:r>
    </w:p>
    <w:p w14:paraId="779A6054" w14:textId="77777777" w:rsidR="00536045" w:rsidRPr="00C567FA" w:rsidRDefault="00536045" w:rsidP="007D536E">
      <w:pPr>
        <w:pStyle w:val="enumlev1"/>
      </w:pPr>
      <w:r w:rsidRPr="00C567FA">
        <w:t>–</w:t>
      </w:r>
      <w:r w:rsidRPr="00C567FA">
        <w:tab/>
        <w:t>M. Vilem Vesely (République tchèque)</w:t>
      </w:r>
    </w:p>
    <w:p w14:paraId="786E6A6D" w14:textId="77777777" w:rsidR="00536045" w:rsidRPr="00C567FA" w:rsidRDefault="00536045" w:rsidP="007D536E">
      <w:r w:rsidRPr="00C567FA">
        <w:t>2.42</w:t>
      </w:r>
      <w:r w:rsidRPr="00C567FA">
        <w:tab/>
        <w:t>Les liens vers les documents relatifs aux principaux résultats des 9ème à 15ème réunions du GTC-FHR sont fournis dans le document.</w:t>
      </w:r>
    </w:p>
    <w:p w14:paraId="3EF5D7CD" w14:textId="34E13E2D" w:rsidR="00536045" w:rsidRDefault="00536045" w:rsidP="007D536E">
      <w:pPr>
        <w:spacing w:after="120"/>
      </w:pPr>
      <w:r w:rsidRPr="00C567FA">
        <w:t>2.43</w:t>
      </w:r>
      <w:r w:rsidRPr="00C567FA">
        <w:tab/>
        <w:t>Plusieurs délégués ont remercié Mme Harris d</w:t>
      </w:r>
      <w:r w:rsidR="007D536E">
        <w:t>'</w:t>
      </w:r>
      <w:r w:rsidRPr="00C567FA">
        <w:t>avoir présenté le rapport. Ils ont également remercié M. Dietmar Plesse pour sa précieuse contribution en qualité de Président du GTC-FHR au cours de ses 9ème, 10ème et 11ème réunions.</w:t>
      </w:r>
    </w:p>
    <w:p w14:paraId="2E756E4E" w14:textId="24173C6C" w:rsidR="00A34BDA" w:rsidRDefault="00A34BDA" w:rsidP="007D536E">
      <w:pPr>
        <w:spacing w:after="120"/>
      </w:pPr>
      <w:r>
        <w:br w:type="page"/>
      </w:r>
    </w:p>
    <w:tbl>
      <w:tblPr>
        <w:tblStyle w:val="TableGrid"/>
        <w:tblW w:w="0" w:type="auto"/>
        <w:tblLook w:val="04A0" w:firstRow="1" w:lastRow="0" w:firstColumn="1" w:lastColumn="0" w:noHBand="0" w:noVBand="1"/>
      </w:tblPr>
      <w:tblGrid>
        <w:gridCol w:w="9629"/>
      </w:tblGrid>
      <w:tr w:rsidR="00536045" w:rsidRPr="00C567FA" w14:paraId="09D004A6" w14:textId="77777777" w:rsidTr="002932F3">
        <w:tc>
          <w:tcPr>
            <w:tcW w:w="9629" w:type="dxa"/>
          </w:tcPr>
          <w:p w14:paraId="7864A537" w14:textId="77777777" w:rsidR="00536045" w:rsidRPr="00C567FA" w:rsidRDefault="00536045" w:rsidP="007D536E">
            <w:pPr>
              <w:pStyle w:val="Headingb"/>
              <w:keepNext w:val="0"/>
              <w:keepLines w:val="0"/>
              <w:rPr>
                <w:i/>
                <w:iCs/>
              </w:rPr>
            </w:pPr>
            <w:r w:rsidRPr="00C567FA">
              <w:rPr>
                <w:i/>
                <w:iCs/>
              </w:rPr>
              <w:lastRenderedPageBreak/>
              <w:t>Recommandation</w:t>
            </w:r>
          </w:p>
          <w:p w14:paraId="482335B4" w14:textId="427DA928" w:rsidR="00536045" w:rsidRPr="00C567FA" w:rsidRDefault="00536045" w:rsidP="007D536E">
            <w:pPr>
              <w:spacing w:after="120"/>
            </w:pPr>
            <w:r w:rsidRPr="00C567FA">
              <w:t>2.44</w:t>
            </w:r>
            <w:r w:rsidRPr="00C567FA">
              <w:tab/>
              <w:t>La Commission recommande au Conseil d</w:t>
            </w:r>
            <w:r w:rsidR="007D536E">
              <w:t>'</w:t>
            </w:r>
            <w:r w:rsidRPr="00C567FA">
              <w:t>examiner le présent rapport et de soumettre ses recommandations à la Conférence de plénipotentiaires, selon qu</w:t>
            </w:r>
            <w:r w:rsidR="007D536E">
              <w:t>'</w:t>
            </w:r>
            <w:r w:rsidRPr="00C567FA">
              <w:t>il convient, notamment en ce qui concerne la poursuite des activités du GTC-FHR pendant les quatre prochaines années.</w:t>
            </w:r>
          </w:p>
        </w:tc>
      </w:tr>
    </w:tbl>
    <w:p w14:paraId="0C4F0802" w14:textId="4C3630EB" w:rsidR="00F66524" w:rsidRPr="00C567FA" w:rsidRDefault="00F66524" w:rsidP="007D536E">
      <w:pPr>
        <w:pStyle w:val="Heading1"/>
      </w:pPr>
      <w:r w:rsidRPr="00C567FA">
        <w:t>3</w:t>
      </w:r>
      <w:r w:rsidRPr="00C567FA">
        <w:tab/>
        <w:t>Examen annuel des produits et des charges et mesures d</w:t>
      </w:r>
      <w:r w:rsidR="007D536E">
        <w:t>'</w:t>
      </w:r>
      <w:r w:rsidRPr="00C567FA">
        <w:t>efficacité (Document </w:t>
      </w:r>
      <w:hyperlink r:id="rId45" w:history="1">
        <w:r w:rsidRPr="00C567FA">
          <w:rPr>
            <w:rStyle w:val="Hyperlink"/>
          </w:rPr>
          <w:t>C22/9</w:t>
        </w:r>
      </w:hyperlink>
      <w:r w:rsidRPr="00C567FA">
        <w:t>)</w:t>
      </w:r>
    </w:p>
    <w:p w14:paraId="4EF2F4F1" w14:textId="49102456" w:rsidR="00F66524" w:rsidRPr="00C567FA" w:rsidRDefault="00F66524" w:rsidP="007D536E">
      <w:r w:rsidRPr="00C567FA">
        <w:t>3.1</w:t>
      </w:r>
      <w:r w:rsidRPr="00C567FA">
        <w:tab/>
        <w:t>Le Secrétariat a présenté l</w:t>
      </w:r>
      <w:r w:rsidR="007D536E">
        <w:t>'</w:t>
      </w:r>
      <w:r w:rsidRPr="00C567FA">
        <w:t>état d</w:t>
      </w:r>
      <w:r w:rsidR="007D536E">
        <w:t>'</w:t>
      </w:r>
      <w:r w:rsidRPr="00C567FA">
        <w:t>avancement de la mise en œuvre du budget pour 2022, conformément au numéro 73 de la Convention de l</w:t>
      </w:r>
      <w:r w:rsidR="007D536E">
        <w:t>'</w:t>
      </w:r>
      <w:r w:rsidRPr="00C567FA">
        <w:t xml:space="preserve">UIT et à la Résolution 1375. Conformément aux paragraphes 1, 2 et 3 du </w:t>
      </w:r>
      <w:r w:rsidRPr="00C567FA">
        <w:rPr>
          <w:i/>
          <w:iCs/>
        </w:rPr>
        <w:t>charge le Secrétaire général et les Directeurs des Bureaux</w:t>
      </w:r>
      <w:r w:rsidRPr="00C567FA">
        <w:t xml:space="preserve"> de la Décision 5 (Rév. Busan, 2014 et Rév. Dubaï, 2018) de la Conférence de plénipotentiaires, le document fait le point sur la mise en œuvre des mesures d</w:t>
      </w:r>
      <w:r w:rsidR="007D536E">
        <w:t>'</w:t>
      </w:r>
      <w:r w:rsidRPr="00C567FA">
        <w:t>efficacité décrites dans l</w:t>
      </w:r>
      <w:r w:rsidR="007D536E">
        <w:t>'</w:t>
      </w:r>
      <w:r w:rsidRPr="00C567FA">
        <w:t>Annexe 2 de ladite Décision 5 (Rév. Busan, 2014 et Rév. Dubaï, 2018).</w:t>
      </w:r>
    </w:p>
    <w:p w14:paraId="59AB8E93" w14:textId="16045112" w:rsidR="00F66524" w:rsidRPr="00C567FA" w:rsidRDefault="00F66524" w:rsidP="007D536E">
      <w:r w:rsidRPr="00C567FA">
        <w:t>3.2</w:t>
      </w:r>
      <w:r w:rsidRPr="00C567FA">
        <w:tab/>
        <w:t>Le budget actualisé pour la période 2022-2023 se chiffre à 326 795 000 CHF et se décompose comme suit: 163 601 000 CHF pour l</w:t>
      </w:r>
      <w:r w:rsidR="007D536E">
        <w:t>'</w:t>
      </w:r>
      <w:r w:rsidRPr="00C567FA">
        <w:t>année 2022 et 163 194 000 CHF pour l</w:t>
      </w:r>
      <w:r w:rsidR="007D536E">
        <w:t>'</w:t>
      </w:r>
      <w:r w:rsidRPr="00C567FA">
        <w:t>année 2023. Le montant de l</w:t>
      </w:r>
      <w:r w:rsidR="007D536E">
        <w:t>'</w:t>
      </w:r>
      <w:r w:rsidRPr="00C567FA">
        <w:t>unité contributive annuelle pour les États Membres reste fixé à 318 000 CHF depuis 2006 (croissance nominale zéro). Le budget est mis en œuvre conformément à l</w:t>
      </w:r>
      <w:r w:rsidR="007D536E">
        <w:t>'</w:t>
      </w:r>
      <w:r w:rsidRPr="00C567FA">
        <w:t>Article 10 du Règlement financier et des Règles financières.</w:t>
      </w:r>
    </w:p>
    <w:p w14:paraId="2589931E" w14:textId="21674D36" w:rsidR="00F66524" w:rsidRPr="00C567FA" w:rsidRDefault="00F66524" w:rsidP="007D536E">
      <w:r w:rsidRPr="00C567FA">
        <w:t>3.3</w:t>
      </w:r>
      <w:r w:rsidRPr="00C567FA">
        <w:tab/>
        <w:t>Compte tenu du report, de 2021 à 2022, de la Conférence mondiale de développement des télécommunications (CMDT) ainsi que du report, de 2021 à 2022, de la réunion interrégionale (IRM) de préparation en vue de la CMDT, le budget pour 2022 a été augmenté de 1 640 000 CHF, soit un budget actualisé pour 2022 s</w:t>
      </w:r>
      <w:r w:rsidR="007D536E">
        <w:t>'</w:t>
      </w:r>
      <w:r w:rsidRPr="00C567FA">
        <w:t>élevant à 163 601 000 CHF.</w:t>
      </w:r>
    </w:p>
    <w:p w14:paraId="29DDA716" w14:textId="644DCEEF" w:rsidR="00F66524" w:rsidRPr="00C567FA" w:rsidRDefault="00F66524" w:rsidP="007D536E">
      <w:r w:rsidRPr="00C567FA">
        <w:t>3.4</w:t>
      </w:r>
      <w:r w:rsidRPr="00C567FA">
        <w:tab/>
        <w:t>Le Tableau 1 présente le budget 2022 avec les charges effectives au 31 janvier 2022 et les prévisions des charges par Secteur jusqu</w:t>
      </w:r>
      <w:r w:rsidR="007D536E">
        <w:t>'</w:t>
      </w:r>
      <w:r w:rsidRPr="00C567FA">
        <w:t>au 31 décembre 2022. Le Tableau 2 donne le budget 2022 avec les prévisions des produits par source jusqu</w:t>
      </w:r>
      <w:r w:rsidR="007D536E">
        <w:t>'</w:t>
      </w:r>
      <w:r w:rsidRPr="00C567FA">
        <w:t>au 31 décembre 2022. Les prévisions figurant dans les Tableaux 1 et 2 ont été faites au 31 janvier 2022. Le montant des prévisions préliminaires des produits pour 2022, qui s</w:t>
      </w:r>
      <w:r w:rsidR="007D536E">
        <w:t>'</w:t>
      </w:r>
      <w:r w:rsidRPr="00C567FA">
        <w:t>élève à 159,9 millions CHF, est le même que le montant des charges prévues. Les prévisions des produits et les prévisions des charges sont inférieures de 3,7 millions CHF au budget actualisé pour 2022, qui s</w:t>
      </w:r>
      <w:r w:rsidR="007D536E">
        <w:t>'</w:t>
      </w:r>
      <w:r w:rsidRPr="00C567FA">
        <w:t>établit à 163,6 millions CHF.</w:t>
      </w:r>
    </w:p>
    <w:p w14:paraId="375FD1E2" w14:textId="77777777" w:rsidR="00F66524" w:rsidRPr="00C567FA" w:rsidRDefault="00F66524" w:rsidP="007D536E">
      <w:r w:rsidRPr="00C567FA">
        <w:t>3.5</w:t>
      </w:r>
      <w:r w:rsidRPr="00C567FA">
        <w:tab/>
        <w:t>Le Tableau 3 présente les contributions mises en recouvrement au 31 janvier 2022, dont le montant devrait être inférieur de 82 000 CHF environ à celui budgété.</w:t>
      </w:r>
    </w:p>
    <w:p w14:paraId="72038B3D" w14:textId="77777777" w:rsidR="00F66524" w:rsidRPr="00C567FA" w:rsidRDefault="00F66524" w:rsidP="007D536E">
      <w:r w:rsidRPr="00C567FA">
        <w:t>3.6</w:t>
      </w:r>
      <w:r w:rsidRPr="00C567FA">
        <w:tab/>
        <w:t>Le Tableau 4 présente la ventilation des produits tirés du recouvrement des coûts, qui, selon les estimations, devraient être inférieurs de 3,7 millions au montant prévu fin 2022, ce qui constitue la source principale de manque à gagner.</w:t>
      </w:r>
    </w:p>
    <w:p w14:paraId="0D018F96" w14:textId="4E644B3E" w:rsidR="00F66524" w:rsidRPr="00C567FA" w:rsidRDefault="00F66524" w:rsidP="007D536E">
      <w:r w:rsidRPr="00C567FA">
        <w:t>3.7</w:t>
      </w:r>
      <w:r w:rsidRPr="00C567FA">
        <w:tab/>
        <w:t>Le Tableau A présente les économies d</w:t>
      </w:r>
      <w:r w:rsidR="007D536E">
        <w:t>'</w:t>
      </w:r>
      <w:r w:rsidRPr="00C567FA">
        <w:t>un montant de 57,6 millions CHF réalisées grâce aux 30 mesures d</w:t>
      </w:r>
      <w:r w:rsidR="007D536E">
        <w:t>'</w:t>
      </w:r>
      <w:r w:rsidRPr="00C567FA">
        <w:t>efficacité telles qu</w:t>
      </w:r>
      <w:r w:rsidR="007D536E">
        <w:t>'</w:t>
      </w:r>
      <w:r w:rsidRPr="00C567FA">
        <w:t>indiquées dans l</w:t>
      </w:r>
      <w:r w:rsidR="007D536E">
        <w:t>'</w:t>
      </w:r>
      <w:r w:rsidRPr="00C567FA">
        <w:t>Annexe 2 de la Décision 5 (Rév. Busan, 2014) couvrant la période 2014-2019.</w:t>
      </w:r>
    </w:p>
    <w:p w14:paraId="0FEE1AAD" w14:textId="79A43819" w:rsidR="00F66524" w:rsidRPr="00C567FA" w:rsidRDefault="00F66524" w:rsidP="007D536E">
      <w:r w:rsidRPr="00C567FA">
        <w:t>3.8</w:t>
      </w:r>
      <w:r w:rsidRPr="00C567FA">
        <w:tab/>
        <w:t>Le Tableau B donne les économies effectives et prévues pour chacune des 27 mesures d</w:t>
      </w:r>
      <w:r w:rsidR="007D536E">
        <w:t>'</w:t>
      </w:r>
      <w:r w:rsidRPr="00C567FA">
        <w:t>efficacité identifiées dans l</w:t>
      </w:r>
      <w:r w:rsidR="007D536E">
        <w:t>'</w:t>
      </w:r>
      <w:r w:rsidRPr="00C567FA">
        <w:t>Annexe 2 de la Décision 5 (Rév. Dubaï, 2018), qui s</w:t>
      </w:r>
      <w:r w:rsidR="007D536E">
        <w:t>'</w:t>
      </w:r>
      <w:r w:rsidRPr="00C567FA">
        <w:t>élèvent à 13,9 millions CHF en 2020 et 11,9 millions CHF en 2021. Pour la période 2020-2023, une analyse complémentaire de ces mesures sera réalisée lors de la mise en œuvre du budget et servira de base pour l</w:t>
      </w:r>
      <w:r w:rsidR="007D536E">
        <w:t>'</w:t>
      </w:r>
      <w:r w:rsidRPr="00C567FA">
        <w:t>estimation actualisée des économies.</w:t>
      </w:r>
    </w:p>
    <w:p w14:paraId="3C8226A1" w14:textId="77777777" w:rsidR="00F66524" w:rsidRPr="00C567FA" w:rsidRDefault="00F66524" w:rsidP="007D536E">
      <w:r w:rsidRPr="00C567FA">
        <w:lastRenderedPageBreak/>
        <w:t>3.9</w:t>
      </w:r>
      <w:r w:rsidRPr="00C567FA">
        <w:tab/>
        <w:t>En réponse à des questions et des demandes de précisions émanant des délégués, le Secrétariat a fourni les informations suivantes:</w:t>
      </w:r>
    </w:p>
    <w:p w14:paraId="6810C8C6" w14:textId="4DCF6906" w:rsidR="00F66524" w:rsidRPr="00C567FA" w:rsidRDefault="00C567FA" w:rsidP="007D536E">
      <w:pPr>
        <w:pStyle w:val="enumlev1"/>
        <w:keepNext/>
        <w:keepLines/>
      </w:pPr>
      <w:r w:rsidRPr="00C567FA">
        <w:t>–</w:t>
      </w:r>
      <w:r w:rsidR="00F66524" w:rsidRPr="00C567FA">
        <w:tab/>
        <w:t>Recouvrement des coûts: les prévisions pour les produits tirés du recouvrement des coûts qui s</w:t>
      </w:r>
      <w:r w:rsidR="007D536E">
        <w:t>'</w:t>
      </w:r>
      <w:r w:rsidR="00F66524" w:rsidRPr="00C567FA">
        <w:t>élèvent à 29,7 millions CHF fin 2022 sont inférieures au montant budgété, essentiellement en raison de l</w:t>
      </w:r>
      <w:r w:rsidR="007D536E">
        <w:t>'</w:t>
      </w:r>
      <w:r w:rsidR="00F66524" w:rsidRPr="00C567FA">
        <w:t>absence de montants facturés à ITU Telecom, étant donné que cette manifestation n</w:t>
      </w:r>
      <w:r w:rsidR="007D536E">
        <w:t>'</w:t>
      </w:r>
      <w:r w:rsidR="00F66524" w:rsidRPr="00C567FA">
        <w:t>aura pas lieu en 2022, et d</w:t>
      </w:r>
      <w:r w:rsidR="007D536E">
        <w:t>'</w:t>
      </w:r>
      <w:r w:rsidR="00F66524" w:rsidRPr="00C567FA">
        <w:t>une baisse des produits provenant du traitement des fiches de notification des réseaux à satellite.</w:t>
      </w:r>
    </w:p>
    <w:p w14:paraId="66F34F69" w14:textId="4BFF0901" w:rsidR="00F66524" w:rsidRPr="00C567FA" w:rsidRDefault="00C567FA" w:rsidP="007D536E">
      <w:pPr>
        <w:pStyle w:val="enumlev1"/>
      </w:pPr>
      <w:r w:rsidRPr="00C567FA">
        <w:t>–</w:t>
      </w:r>
      <w:r w:rsidR="00F66524" w:rsidRPr="00C567FA">
        <w:tab/>
        <w:t>Génération de produits et réduction des charges. Un Café-découverte a été organisé par le Comité de coordination du Secrétariat, avec des représentants des trois Bureaux et du Secrétariat général, en vue de recueillir des idées sur des solutions pour générer des produits, réduire les charges et équilibrer le projet de Plan financier. Le Document C22/INF/13 présente des informations sur le processus et les résultats de ce Café</w:t>
      </w:r>
      <w:r w:rsidR="00F66524" w:rsidRPr="00C567FA">
        <w:noBreakHyphen/>
        <w:t>découverte. L</w:t>
      </w:r>
      <w:r w:rsidR="007D536E">
        <w:t>'</w:t>
      </w:r>
      <w:r w:rsidR="00F66524" w:rsidRPr="00C567FA">
        <w:t>équipe de direction procède actuellement à l</w:t>
      </w:r>
      <w:r w:rsidR="007D536E">
        <w:t>'</w:t>
      </w:r>
      <w:r w:rsidR="00F66524" w:rsidRPr="00C567FA">
        <w:t>analyse et à l</w:t>
      </w:r>
      <w:r w:rsidR="007D536E">
        <w:t>'</w:t>
      </w:r>
      <w:r w:rsidR="00F66524" w:rsidRPr="00C567FA">
        <w:t>évaluation des résultats pour déterminer les idées qui pourraient être mises en œuvre.</w:t>
      </w:r>
    </w:p>
    <w:p w14:paraId="1F3A562C" w14:textId="06AB44D8" w:rsidR="00F66524" w:rsidRPr="00C567FA" w:rsidRDefault="00C567FA" w:rsidP="007D536E">
      <w:pPr>
        <w:pStyle w:val="enumlev1"/>
      </w:pPr>
      <w:r w:rsidRPr="00C567FA">
        <w:t>–</w:t>
      </w:r>
      <w:r w:rsidR="00F66524" w:rsidRPr="00C567FA">
        <w:tab/>
        <w:t>Nouvelles mesures de réduction des charges. Le Secrétariat déploie lui aussi des efforts en vue de réduire les charges conformément aux mesures présentées dans l</w:t>
      </w:r>
      <w:r w:rsidR="007D536E">
        <w:t>'</w:t>
      </w:r>
      <w:r w:rsidR="00F66524" w:rsidRPr="00C567FA">
        <w:t>Annexe 2 de la Décision 5 (Rév. Busan, 2014).</w:t>
      </w:r>
    </w:p>
    <w:p w14:paraId="1C08A676" w14:textId="169FD11F" w:rsidR="00F66524" w:rsidRPr="00C567FA" w:rsidRDefault="00C567FA" w:rsidP="007D536E">
      <w:pPr>
        <w:pStyle w:val="enumlev1"/>
      </w:pPr>
      <w:r w:rsidRPr="00C567FA">
        <w:t>–</w:t>
      </w:r>
      <w:r w:rsidR="00F66524" w:rsidRPr="00C567FA">
        <w:tab/>
        <w:t>Autres sources de produits. Le Secrétariat poursuit ses efforts en vue de trouver d</w:t>
      </w:r>
      <w:r w:rsidR="007D536E">
        <w:t>'</w:t>
      </w:r>
      <w:r w:rsidR="00F66524" w:rsidRPr="00C567FA">
        <w:t>autres sources de produits et de continuer à mettre en œuvre la Résolution 158 (Rév. Busan, 201</w:t>
      </w:r>
      <w:r w:rsidR="00ED6E24" w:rsidRPr="00C567FA">
        <w:t>4</w:t>
      </w:r>
      <w:r w:rsidR="00F66524" w:rsidRPr="00C567FA">
        <w:t>) de la Conférence de plénipotentiaires ainsi que les Décisions 600 et 601.</w:t>
      </w:r>
    </w:p>
    <w:p w14:paraId="12E6B37E" w14:textId="34342AFD" w:rsidR="00F66524" w:rsidRPr="00C567FA" w:rsidRDefault="00C567FA" w:rsidP="007D536E">
      <w:pPr>
        <w:pStyle w:val="enumlev1"/>
      </w:pPr>
      <w:r w:rsidRPr="00C567FA">
        <w:t>–</w:t>
      </w:r>
      <w:r w:rsidR="00F66524" w:rsidRPr="00C567FA">
        <w:tab/>
        <w:t>Conséquences financières du COVID-19. Bien que des économies aient été réalisées sur les frais de déplacement pendant la pandémie, des charges supplémentaires imprévues ont dû être supportées concernant les mesures en matière de santé, de sécurité et de sûreté, avec des procédures de nettoyage spécial et l</w:t>
      </w:r>
      <w:r w:rsidR="007D536E">
        <w:t>'</w:t>
      </w:r>
      <w:r w:rsidR="00F66524" w:rsidRPr="00C567FA">
        <w:t>achat de matériel médical, sanitaire et de désinfection.</w:t>
      </w:r>
    </w:p>
    <w:p w14:paraId="3780AC36" w14:textId="3B6C397E" w:rsidR="00F66524" w:rsidRPr="00C567FA" w:rsidRDefault="00C567FA" w:rsidP="007D536E">
      <w:pPr>
        <w:pStyle w:val="enumlev1"/>
      </w:pPr>
      <w:r w:rsidRPr="00C567FA">
        <w:t>–</w:t>
      </w:r>
      <w:r w:rsidR="00F66524" w:rsidRPr="00C567FA">
        <w:tab/>
        <w:t>Charges pour le nouveau bâtiment. Certains coûts</w:t>
      </w:r>
      <w:r w:rsidR="00D90DF8">
        <w:t xml:space="preserve">, par exemple ceux liés </w:t>
      </w:r>
      <w:r w:rsidR="00F16CC7">
        <w:t xml:space="preserve">aux équipements informatiques et à la gestion </w:t>
      </w:r>
      <w:r w:rsidR="00D86502">
        <w:t>de l</w:t>
      </w:r>
      <w:r w:rsidR="007D536E">
        <w:t>'</w:t>
      </w:r>
      <w:r w:rsidR="00D86502">
        <w:t>information et des dossiers,</w:t>
      </w:r>
      <w:r w:rsidR="00F66524" w:rsidRPr="00C567FA">
        <w:t xml:space="preserve"> ne sont pas couverts par le prêt consenti par la Suisse, comme indiqué dans le Document C22/63 sur le projet de plan financier de l</w:t>
      </w:r>
      <w:r w:rsidR="007D536E">
        <w:t>'</w:t>
      </w:r>
      <w:r w:rsidR="00F66524" w:rsidRPr="00C567FA">
        <w:t>Union pour la période 2024-2027.</w:t>
      </w:r>
    </w:p>
    <w:p w14:paraId="5E5B5960" w14:textId="3D323982" w:rsidR="00F66524" w:rsidRPr="00C567FA" w:rsidRDefault="00C567FA" w:rsidP="007D536E">
      <w:pPr>
        <w:pStyle w:val="enumlev1"/>
      </w:pPr>
      <w:r w:rsidRPr="00C567FA">
        <w:t>–</w:t>
      </w:r>
      <w:r w:rsidR="00F66524" w:rsidRPr="00C567FA">
        <w:tab/>
      </w:r>
      <w:r w:rsidR="00F66524" w:rsidRPr="00C567FA">
        <w:rPr>
          <w:color w:val="000000"/>
        </w:rPr>
        <w:t>Assurance mutuelle contre la maladie et les accidents du personnel des Nations Unies (UNSMIS)</w:t>
      </w:r>
      <w:r w:rsidR="00F66524" w:rsidRPr="00C567FA">
        <w:t>: conformément à l</w:t>
      </w:r>
      <w:r w:rsidR="007D536E">
        <w:t>'</w:t>
      </w:r>
      <w:r w:rsidR="00F66524" w:rsidRPr="00C567FA">
        <w:t xml:space="preserve">accord sur la couverture </w:t>
      </w:r>
      <w:r w:rsidR="00F66524" w:rsidRPr="00C567FA">
        <w:rPr>
          <w:color w:val="000000"/>
        </w:rPr>
        <w:t>de l</w:t>
      </w:r>
      <w:r w:rsidR="007D536E">
        <w:rPr>
          <w:color w:val="000000"/>
        </w:rPr>
        <w:t>'</w:t>
      </w:r>
      <w:r w:rsidR="00F66524" w:rsidRPr="00C567FA">
        <w:rPr>
          <w:color w:val="000000"/>
        </w:rPr>
        <w:t>assurance maladie</w:t>
      </w:r>
      <w:r w:rsidR="00F66524" w:rsidRPr="00C567FA">
        <w:t xml:space="preserve"> du personnel de l</w:t>
      </w:r>
      <w:r w:rsidR="007D536E">
        <w:t>'</w:t>
      </w:r>
      <w:r w:rsidR="00F66524" w:rsidRPr="00C567FA">
        <w:t>UNSMIS, l</w:t>
      </w:r>
      <w:r w:rsidR="007D536E">
        <w:t>'</w:t>
      </w:r>
      <w:r w:rsidR="00F66524" w:rsidRPr="00C567FA">
        <w:t>UIT verse un montant de 1,6 million USD par an, comme indiqué dans le Tableau 1.1 du Document C22/63.</w:t>
      </w:r>
    </w:p>
    <w:p w14:paraId="718095D5" w14:textId="0FD14EA3" w:rsidR="00F66524" w:rsidRPr="00C567FA" w:rsidRDefault="00C567FA" w:rsidP="007D536E">
      <w:pPr>
        <w:pStyle w:val="enumlev1"/>
      </w:pPr>
      <w:r w:rsidRPr="00C567FA">
        <w:t>–</w:t>
      </w:r>
      <w:r w:rsidR="00F66524" w:rsidRPr="00C567FA">
        <w:tab/>
        <w:t>Informations mises à jour sur l</w:t>
      </w:r>
      <w:r w:rsidR="007D536E">
        <w:t>'</w:t>
      </w:r>
      <w:r w:rsidR="00F66524" w:rsidRPr="00C567FA">
        <w:t>ASHI. Le Groupe de travail des Nations Unies sur l</w:t>
      </w:r>
      <w:r w:rsidR="007D536E">
        <w:t>'</w:t>
      </w:r>
      <w:r w:rsidR="00F66524" w:rsidRPr="00C567FA">
        <w:t>ASHI, dont l</w:t>
      </w:r>
      <w:r w:rsidR="007D536E">
        <w:t>'</w:t>
      </w:r>
      <w:r w:rsidR="00F66524" w:rsidRPr="00C567FA">
        <w:t>UIT est membre, a transmis ses recommandations au Secrétaire général de l</w:t>
      </w:r>
      <w:r w:rsidR="007D536E">
        <w:t>'</w:t>
      </w:r>
      <w:r w:rsidR="00F66524" w:rsidRPr="00C567FA">
        <w:t>ONU. La décision de l</w:t>
      </w:r>
      <w:r w:rsidR="007D536E">
        <w:t>'</w:t>
      </w:r>
      <w:r w:rsidR="00F66524" w:rsidRPr="00C567FA">
        <w:t>Assemblée générale est attendue et servira de base à l</w:t>
      </w:r>
      <w:r w:rsidR="007D536E">
        <w:t>'</w:t>
      </w:r>
      <w:r w:rsidR="00F66524" w:rsidRPr="00C567FA">
        <w:t>UIT pour les prochaines étapes. Un montant est affecté afin de réalimenter le Fonds ASHI.</w:t>
      </w:r>
    </w:p>
    <w:p w14:paraId="6D010409" w14:textId="214433F6" w:rsidR="00F66524" w:rsidRPr="00C567FA" w:rsidRDefault="00C567FA" w:rsidP="007D536E">
      <w:pPr>
        <w:pStyle w:val="enumlev1"/>
      </w:pPr>
      <w:r w:rsidRPr="00C567FA">
        <w:t>–</w:t>
      </w:r>
      <w:r w:rsidR="00F66524" w:rsidRPr="00C567FA">
        <w:tab/>
        <w:t>Réseaux à satellite. Le Secrétariat a expliqué que la complexité des réseaux à satellite s</w:t>
      </w:r>
      <w:r w:rsidR="007D536E">
        <w:t>'</w:t>
      </w:r>
      <w:r w:rsidR="00F66524" w:rsidRPr="00C567FA">
        <w:t>était considérablement accrue. La qualité des fiches de notification reçues a en outre évolué. Par conséquent, il est nécessaire de procéder à une nouvelle analyse et évaluation de la Décision 482 relative à la mise en œuvre du recouvrement des coûts pour le traitement des fiches de notification des réseaux à satellite.</w:t>
      </w:r>
    </w:p>
    <w:p w14:paraId="7D74E055" w14:textId="77777777" w:rsidR="00A34BDA" w:rsidRDefault="00A34BDA" w:rsidP="007D536E">
      <w:pPr>
        <w:pStyle w:val="enumlev1"/>
      </w:pPr>
      <w:r>
        <w:br w:type="page"/>
      </w:r>
    </w:p>
    <w:p w14:paraId="5B04D09E" w14:textId="5A0B88F2" w:rsidR="00F66524" w:rsidRPr="00C567FA" w:rsidRDefault="00C567FA" w:rsidP="007D536E">
      <w:pPr>
        <w:pStyle w:val="enumlev1"/>
      </w:pPr>
      <w:r w:rsidRPr="00C567FA">
        <w:lastRenderedPageBreak/>
        <w:t>–</w:t>
      </w:r>
      <w:r w:rsidR="00F66524" w:rsidRPr="00C567FA">
        <w:tab/>
        <w:t>Le Secrétariat a fait part de sa satisfaction qu</w:t>
      </w:r>
      <w:r w:rsidR="007D536E">
        <w:t>'</w:t>
      </w:r>
      <w:r w:rsidR="00F66524" w:rsidRPr="00C567FA">
        <w:t>il soit reconnu, comme l</w:t>
      </w:r>
      <w:r w:rsidR="007D536E">
        <w:t>'</w:t>
      </w:r>
      <w:r w:rsidR="00F66524" w:rsidRPr="00C567FA">
        <w:t>a souligné un délégué, que certains déficits sont la conséquence d</w:t>
      </w:r>
      <w:r w:rsidR="007D536E">
        <w:t>'</w:t>
      </w:r>
      <w:r w:rsidR="00F66524" w:rsidRPr="00C567FA">
        <w:t>activités supplémentaires que les États Membres ont demandé au Secrétariat de mettre en œuvre mais qui ne sont pas financées, c</w:t>
      </w:r>
      <w:r w:rsidR="007D536E">
        <w:t>'</w:t>
      </w:r>
      <w:r w:rsidR="00F66524" w:rsidRPr="00C567FA">
        <w:t>est-à-dire des activités demandées mais non budgétées (UMAC). Les résultats de la CMDT qui se tiendra en juin 2022 à Kigali sont attendus en vue de leur intégration dans le Plan financier pour 2024-2027 qui sera présenté à la PP-22 (Bucarest).</w:t>
      </w:r>
    </w:p>
    <w:p w14:paraId="62C42745" w14:textId="03716FEF" w:rsidR="00F66524" w:rsidRPr="00C567FA" w:rsidRDefault="00C567FA" w:rsidP="007D536E">
      <w:pPr>
        <w:pStyle w:val="enumlev1"/>
        <w:spacing w:after="240"/>
      </w:pPr>
      <w:r w:rsidRPr="00C567FA">
        <w:t>–</w:t>
      </w:r>
      <w:r w:rsidR="00F66524" w:rsidRPr="00C567FA">
        <w:tab/>
        <w:t>Dépense de personnel. Le taux d</w:t>
      </w:r>
      <w:r w:rsidR="007D536E">
        <w:t>'</w:t>
      </w:r>
      <w:r w:rsidR="00F66524" w:rsidRPr="00C567FA">
        <w:t>emplois vacants de 5% a été appliqué à titre de mesure d</w:t>
      </w:r>
      <w:r w:rsidR="007D536E">
        <w:t>'</w:t>
      </w:r>
      <w:r w:rsidR="00F66524" w:rsidRPr="00C567FA">
        <w:t>efficacité. Par conséquent, le budget alloué pour le personnel reposait sur 95% des dépenses effectives uniquement et une partie des économies ont été utilisées pour compenser les dépenses.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66524" w:rsidRPr="00C567FA" w14:paraId="3B3B632F" w14:textId="77777777" w:rsidTr="002932F3">
        <w:tc>
          <w:tcPr>
            <w:tcW w:w="9350" w:type="dxa"/>
          </w:tcPr>
          <w:p w14:paraId="1A237529" w14:textId="77777777" w:rsidR="00F66524" w:rsidRPr="00C567FA" w:rsidRDefault="00F66524" w:rsidP="007D536E">
            <w:pPr>
              <w:pStyle w:val="Headingb"/>
              <w:rPr>
                <w:i/>
                <w:iCs/>
              </w:rPr>
            </w:pPr>
            <w:r w:rsidRPr="00C567FA">
              <w:br w:type="page"/>
            </w:r>
            <w:r w:rsidRPr="00C567FA">
              <w:rPr>
                <w:i/>
                <w:iCs/>
              </w:rPr>
              <w:t>Recommandation</w:t>
            </w:r>
          </w:p>
          <w:p w14:paraId="5D52595E" w14:textId="77777777" w:rsidR="00F66524" w:rsidRPr="00C567FA" w:rsidRDefault="00F66524" w:rsidP="007D536E">
            <w:pPr>
              <w:spacing w:after="120"/>
            </w:pPr>
            <w:r w:rsidRPr="00C567FA">
              <w:t>3.10</w:t>
            </w:r>
            <w:r w:rsidRPr="00C567FA">
              <w:tab/>
              <w:t>La Commission recommande que le Conseil approuve le Document C22/9.</w:t>
            </w:r>
          </w:p>
        </w:tc>
      </w:tr>
    </w:tbl>
    <w:p w14:paraId="7058DB76" w14:textId="77777777" w:rsidR="00F66524" w:rsidRPr="00C567FA" w:rsidRDefault="00F66524" w:rsidP="007D536E">
      <w:pPr>
        <w:pStyle w:val="Heading1"/>
      </w:pPr>
      <w:r w:rsidRPr="00C567FA">
        <w:t>4</w:t>
      </w:r>
      <w:r w:rsidRPr="00C567FA">
        <w:tab/>
        <w:t xml:space="preserve">Recouvrement des coûts pour le traitement des fiches de notification des réseaux à satellite </w:t>
      </w:r>
      <w:r w:rsidRPr="00C567FA">
        <w:rPr>
          <w:i/>
          <w:iCs/>
        </w:rPr>
        <w:t xml:space="preserve">(D 482(MOD)) </w:t>
      </w:r>
      <w:r w:rsidRPr="00C567FA">
        <w:t>(Document </w:t>
      </w:r>
      <w:hyperlink r:id="rId46" w:history="1">
        <w:r w:rsidRPr="00C567FA">
          <w:rPr>
            <w:rStyle w:val="Hyperlink"/>
          </w:rPr>
          <w:t>C22/16</w:t>
        </w:r>
      </w:hyperlink>
      <w:r w:rsidRPr="00C567FA">
        <w:t>)</w:t>
      </w:r>
    </w:p>
    <w:p w14:paraId="1BE83275" w14:textId="1FB88462" w:rsidR="00F66524" w:rsidRPr="00C567FA" w:rsidRDefault="00F66524" w:rsidP="007D536E">
      <w:r w:rsidRPr="00C567FA">
        <w:t>4.1</w:t>
      </w:r>
      <w:r w:rsidRPr="00C567FA">
        <w:tab/>
        <w:t>Le Document C22/16 est un rapport d</w:t>
      </w:r>
      <w:r w:rsidR="007D536E">
        <w:t>'</w:t>
      </w:r>
      <w:r w:rsidRPr="00C567FA">
        <w:t>activité sur la mise en œuvre du recouvrement des coûts pour le traitement des fiches de notification des réseaux à satellite conformément à la Décision 482 du Conseil (modifiée en 2020). Le Tableau 1 de ce document indique le montant total des factures établies, le montant des factures faisant l</w:t>
      </w:r>
      <w:r w:rsidR="007D536E">
        <w:t>'</w:t>
      </w:r>
      <w:r w:rsidRPr="00C567FA">
        <w:t>objet de franchises et le montant des paiements reçus en 2020 et 2021. Il convient de noter que le pourcentage des factures établies en 2020/2021 et acquittées dans les délais continue d</w:t>
      </w:r>
      <w:r w:rsidR="007D536E">
        <w:t>'</w:t>
      </w:r>
      <w:r w:rsidRPr="00C567FA">
        <w:t>être supérieur à 99%. En outre, il a été observé que la mise en œuvre de la Décision 482 par le Bureau des radiocommunications n</w:t>
      </w:r>
      <w:r w:rsidR="007D536E">
        <w:t>'</w:t>
      </w:r>
      <w:r w:rsidRPr="00C567FA">
        <w:t>a soulevé aucune difficulté d</w:t>
      </w:r>
      <w:r w:rsidR="007D536E">
        <w:t>'</w:t>
      </w:r>
      <w:r w:rsidRPr="00C567FA">
        <w:t>ordre administratif ou opérationnel touchant à des questions de fond, aussi bien en interne qu</w:t>
      </w:r>
      <w:r w:rsidR="007D536E">
        <w:t>'</w:t>
      </w:r>
      <w:r w:rsidRPr="00C567FA">
        <w:t>avec les administrations présentant des fiches de notification de réseaux à satellite.</w:t>
      </w:r>
    </w:p>
    <w:p w14:paraId="35E47E42" w14:textId="2C397143" w:rsidR="00F66524" w:rsidRPr="00C567FA" w:rsidRDefault="00F66524" w:rsidP="007D536E">
      <w:pPr>
        <w:spacing w:after="240"/>
      </w:pPr>
      <w:r w:rsidRPr="00C567FA">
        <w:t>4.2</w:t>
      </w:r>
      <w:r w:rsidRPr="00C567FA">
        <w:tab/>
        <w:t>Un délégué a posé une question concernant l</w:t>
      </w:r>
      <w:r w:rsidR="007D536E">
        <w:t>'</w:t>
      </w:r>
      <w:r w:rsidRPr="00C567FA">
        <w:t>avenir du Groupe d</w:t>
      </w:r>
      <w:r w:rsidR="007D536E">
        <w:t>'</w:t>
      </w:r>
      <w:r w:rsidRPr="00C567FA">
        <w:t>experts du Conseil sur la Décision 482. Le Directeur du BR a expliqué qu</w:t>
      </w:r>
      <w:r w:rsidR="007D536E">
        <w:t>'</w:t>
      </w:r>
      <w:r w:rsidRPr="00C567FA">
        <w:t>il s</w:t>
      </w:r>
      <w:r w:rsidR="007D536E">
        <w:t>'</w:t>
      </w:r>
      <w:r w:rsidRPr="00C567FA">
        <w:t>agit d</w:t>
      </w:r>
      <w:r w:rsidR="007D536E">
        <w:t>'</w:t>
      </w:r>
      <w:r w:rsidRPr="00C567FA">
        <w:t>un Groupe d</w:t>
      </w:r>
      <w:r w:rsidR="007D536E">
        <w:t>'</w:t>
      </w:r>
      <w:r w:rsidRPr="00C567FA">
        <w:t>experts convoqué par le Conseil dès lors qu</w:t>
      </w:r>
      <w:r w:rsidR="007D536E">
        <w:t>'</w:t>
      </w:r>
      <w:r w:rsidRPr="00C567FA">
        <w:t>il est établi qu</w:t>
      </w:r>
      <w:r w:rsidR="007D536E">
        <w:t>'</w:t>
      </w:r>
      <w:r w:rsidRPr="00C567FA">
        <w:t>il peut être nécessaire de réviser la Décision 482 du Conseil. Il a par conséquent proposé que le BR procède à une étude et soumette au Conseil, à sa session de 2023, une évaluation portant sur l</w:t>
      </w:r>
      <w:r w:rsidR="007D536E">
        <w:t>'</w:t>
      </w:r>
      <w:r w:rsidRPr="00C567FA">
        <w:t>opportunité de réviser à nouveau la Décision 482.</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6"/>
      </w:tblGrid>
      <w:tr w:rsidR="00F66524" w:rsidRPr="00C567FA" w14:paraId="51C5D333" w14:textId="77777777" w:rsidTr="002932F3">
        <w:tc>
          <w:tcPr>
            <w:tcW w:w="9016" w:type="dxa"/>
            <w:tcBorders>
              <w:top w:val="single" w:sz="4" w:space="0" w:color="auto"/>
              <w:bottom w:val="single" w:sz="4" w:space="0" w:color="auto"/>
            </w:tcBorders>
          </w:tcPr>
          <w:p w14:paraId="19CC75F5" w14:textId="77777777" w:rsidR="00F66524" w:rsidRPr="00C567FA" w:rsidRDefault="00F66524" w:rsidP="007D536E">
            <w:pPr>
              <w:pStyle w:val="Headingb"/>
              <w:rPr>
                <w:bCs/>
                <w:i/>
                <w:iCs/>
              </w:rPr>
            </w:pPr>
            <w:r w:rsidRPr="00C567FA">
              <w:rPr>
                <w:bCs/>
                <w:i/>
                <w:iCs/>
              </w:rPr>
              <w:t>Recommandation</w:t>
            </w:r>
          </w:p>
          <w:p w14:paraId="53D5F286" w14:textId="77777777" w:rsidR="00F66524" w:rsidRPr="00C567FA" w:rsidRDefault="00F66524" w:rsidP="007D536E">
            <w:pPr>
              <w:spacing w:after="120"/>
            </w:pPr>
            <w:r w:rsidRPr="00C567FA">
              <w:t>4.3</w:t>
            </w:r>
            <w:r w:rsidRPr="00C567FA">
              <w:tab/>
              <w:t>La Commission recommande que le Conseil prenne note du Document C22/16.</w:t>
            </w:r>
          </w:p>
        </w:tc>
      </w:tr>
    </w:tbl>
    <w:p w14:paraId="2D44212C" w14:textId="414B7677" w:rsidR="00F66524" w:rsidRPr="00C567FA" w:rsidRDefault="00A34BDA" w:rsidP="007D536E">
      <w:pPr>
        <w:pStyle w:val="Headingb"/>
        <w:tabs>
          <w:tab w:val="clear" w:pos="567"/>
          <w:tab w:val="clear" w:pos="1134"/>
          <w:tab w:val="clear" w:pos="1701"/>
          <w:tab w:val="clear" w:pos="2268"/>
          <w:tab w:val="clear" w:pos="2835"/>
        </w:tabs>
        <w:ind w:left="720" w:hanging="720"/>
      </w:pPr>
      <w:r>
        <w:tab/>
      </w:r>
      <w:r w:rsidR="00F66524" w:rsidRPr="00C567FA">
        <w:t>Participation provisoire d</w:t>
      </w:r>
      <w:r w:rsidR="007D536E">
        <w:t>'</w:t>
      </w:r>
      <w:r w:rsidR="00F66524" w:rsidRPr="00C567FA">
        <w:t>entités s</w:t>
      </w:r>
      <w:r w:rsidR="007D536E">
        <w:t>'</w:t>
      </w:r>
      <w:r w:rsidR="00F66524" w:rsidRPr="00C567FA">
        <w:t>occupant de questions de télécommunication aux activités de l</w:t>
      </w:r>
      <w:r w:rsidR="007D536E">
        <w:t>'</w:t>
      </w:r>
      <w:r w:rsidR="00F66524" w:rsidRPr="00C567FA">
        <w:t>UIT (Document </w:t>
      </w:r>
      <w:hyperlink r:id="rId47" w:history="1">
        <w:r w:rsidR="00F66524" w:rsidRPr="00C567FA">
          <w:rPr>
            <w:rStyle w:val="Hyperlink"/>
          </w:rPr>
          <w:t>C22/31</w:t>
        </w:r>
      </w:hyperlink>
      <w:r w:rsidR="00F66524" w:rsidRPr="00C567FA">
        <w:t>)</w:t>
      </w:r>
    </w:p>
    <w:p w14:paraId="2C8C1C34" w14:textId="09F6C169" w:rsidR="00A34BDA" w:rsidRDefault="007F6037" w:rsidP="007D536E">
      <w:pPr>
        <w:spacing w:after="240"/>
      </w:pPr>
      <w:r w:rsidRPr="007F6037">
        <w:t>4.4</w:t>
      </w:r>
      <w:r w:rsidRPr="007F6037">
        <w:tab/>
        <w:t>Le secrétariat a présenté le Document C22/31, dans lequel le Conseil est informé des noms des "entités s</w:t>
      </w:r>
      <w:r w:rsidR="007D536E">
        <w:t>'</w:t>
      </w:r>
      <w:r w:rsidRPr="007F6037">
        <w:t xml:space="preserve">occupant de questions de télécommunication" provisoirement incluses dans les listes des Membres de Secteur et des Associés qui sont admis à participer aux travaux des </w:t>
      </w:r>
      <w:r w:rsidR="00A34BDA">
        <w:br w:type="page"/>
      </w:r>
    </w:p>
    <w:p w14:paraId="29B96010" w14:textId="5DB1F78D" w:rsidR="007F6037" w:rsidRPr="007F6037" w:rsidRDefault="007F6037" w:rsidP="007D536E">
      <w:pPr>
        <w:spacing w:after="240"/>
      </w:pPr>
      <w:r w:rsidRPr="007F6037">
        <w:lastRenderedPageBreak/>
        <w:t>Secteurs. Au total, six demandes de participation en tant que Membre de Secteur et quatre demandes de participation en tant qu</w:t>
      </w:r>
      <w:r w:rsidR="007D536E">
        <w:t>'</w:t>
      </w:r>
      <w:r w:rsidRPr="007F6037">
        <w:t>Associé ont été reçues en 2021. Toutes ces entités ont été approuvées par leurs États Membres respectifs. Cette présentation n</w:t>
      </w:r>
      <w:r w:rsidR="007D536E">
        <w:t>'</w:t>
      </w:r>
      <w:r w:rsidRPr="007F6037">
        <w:t>a donné lieu à aucun commentaire.</w:t>
      </w:r>
    </w:p>
    <w:tbl>
      <w:tblPr>
        <w:tblW w:w="0" w:type="auto"/>
        <w:tblCellMar>
          <w:left w:w="0" w:type="dxa"/>
          <w:right w:w="0" w:type="dxa"/>
        </w:tblCellMar>
        <w:tblLook w:val="04A0" w:firstRow="1" w:lastRow="0" w:firstColumn="1" w:lastColumn="0" w:noHBand="0" w:noVBand="1"/>
      </w:tblPr>
      <w:tblGrid>
        <w:gridCol w:w="9017"/>
      </w:tblGrid>
      <w:tr w:rsidR="00F66524" w:rsidRPr="00C567FA" w14:paraId="379085C7" w14:textId="77777777" w:rsidTr="00F66524">
        <w:tc>
          <w:tcPr>
            <w:tcW w:w="9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71FCD" w14:textId="77777777" w:rsidR="00F66524" w:rsidRPr="00C567FA" w:rsidRDefault="00F66524" w:rsidP="007D536E">
            <w:pPr>
              <w:pStyle w:val="Headingb"/>
              <w:rPr>
                <w:bCs/>
                <w:i/>
                <w:iCs/>
              </w:rPr>
            </w:pPr>
            <w:r w:rsidRPr="00C567FA">
              <w:rPr>
                <w:bCs/>
                <w:i/>
                <w:iCs/>
              </w:rPr>
              <w:t>Recommandation</w:t>
            </w:r>
          </w:p>
          <w:p w14:paraId="717BDB14" w14:textId="70E6CAE1" w:rsidR="00F66524" w:rsidRPr="00C567FA" w:rsidRDefault="00F66524" w:rsidP="007D536E">
            <w:pPr>
              <w:spacing w:after="120"/>
            </w:pPr>
            <w:r w:rsidRPr="00C567FA">
              <w:t>4.5</w:t>
            </w:r>
            <w:r w:rsidRPr="00C567FA">
              <w:tab/>
            </w:r>
            <w:r w:rsidR="007F6037" w:rsidRPr="00C567FA">
              <w:t xml:space="preserve">La Commission recommande au Conseil </w:t>
            </w:r>
            <w:r w:rsidR="00653726">
              <w:t>d</w:t>
            </w:r>
            <w:r w:rsidR="007D536E">
              <w:t>'</w:t>
            </w:r>
            <w:r w:rsidR="00653726">
              <w:t xml:space="preserve">entériner </w:t>
            </w:r>
            <w:r w:rsidR="007F6037" w:rsidRPr="00C567FA">
              <w:t>les mesures prises par le Secrétaire général concernant l</w:t>
            </w:r>
            <w:r w:rsidR="007D536E">
              <w:t>'</w:t>
            </w:r>
            <w:r w:rsidR="007F6037" w:rsidRPr="00C567FA">
              <w:t>admission des entités s</w:t>
            </w:r>
            <w:r w:rsidR="007D536E">
              <w:t>'</w:t>
            </w:r>
            <w:r w:rsidR="007F6037" w:rsidRPr="00C567FA">
              <w:t>occupant de questions de télécommunication dont la liste figure dans l</w:t>
            </w:r>
            <w:r w:rsidR="007D536E">
              <w:t>'</w:t>
            </w:r>
            <w:r w:rsidR="007F6037" w:rsidRPr="00C567FA">
              <w:t>Annexe du Document C22/31.</w:t>
            </w:r>
          </w:p>
        </w:tc>
      </w:tr>
    </w:tbl>
    <w:p w14:paraId="3E68F258" w14:textId="24606F64" w:rsidR="007F6037" w:rsidRPr="00C567FA" w:rsidRDefault="00A34BDA" w:rsidP="007D536E">
      <w:pPr>
        <w:pStyle w:val="Headingb"/>
      </w:pPr>
      <w:r>
        <w:tab/>
      </w:r>
      <w:r w:rsidR="007F6037" w:rsidRPr="00C567FA">
        <w:t>Demandes d</w:t>
      </w:r>
      <w:r w:rsidR="007D536E">
        <w:t>'</w:t>
      </w:r>
      <w:r w:rsidR="007F6037" w:rsidRPr="00C567FA">
        <w:t>exonération de toute contribution au financement des dépenses relatives à la participation aux travaux de l</w:t>
      </w:r>
      <w:r w:rsidR="007D536E">
        <w:t>'</w:t>
      </w:r>
      <w:r w:rsidR="007F6037" w:rsidRPr="00C567FA">
        <w:t xml:space="preserve">UIT (Document </w:t>
      </w:r>
      <w:hyperlink r:id="rId48" w:history="1">
        <w:r w:rsidR="007F6037" w:rsidRPr="00C567FA">
          <w:rPr>
            <w:rStyle w:val="Hyperlink"/>
          </w:rPr>
          <w:t>C22/39</w:t>
        </w:r>
      </w:hyperlink>
      <w:r w:rsidR="007F6037" w:rsidRPr="00C567FA">
        <w:t>)</w:t>
      </w:r>
    </w:p>
    <w:p w14:paraId="5B25E5A5" w14:textId="551B9A52" w:rsidR="007F6037" w:rsidRPr="00C567FA" w:rsidRDefault="007F6037" w:rsidP="007D536E">
      <w:r w:rsidRPr="00C567FA">
        <w:t>4.6</w:t>
      </w:r>
      <w:r w:rsidRPr="00C567FA">
        <w:tab/>
        <w:t>Le secrétariat a présenté le Document C22/39, qui comprend de nouvelles demandes d</w:t>
      </w:r>
      <w:r w:rsidR="007D536E">
        <w:t>'</w:t>
      </w:r>
      <w:r w:rsidRPr="00C567FA">
        <w:t>exonération des contributions versées par les Membres de Secteur. Les exonérations de paiement des contributions sont accordées par le Conseil à la suite d</w:t>
      </w:r>
      <w:r w:rsidR="007D536E">
        <w:t>'</w:t>
      </w:r>
      <w:r w:rsidRPr="00C567FA">
        <w:t>une analyse des Secteurs concernés et d</w:t>
      </w:r>
      <w:r w:rsidR="007D536E">
        <w:t>'</w:t>
      </w:r>
      <w:r w:rsidRPr="00C567FA">
        <w:t>une recommandation du Secrétaire général.</w:t>
      </w:r>
    </w:p>
    <w:p w14:paraId="57E7D650" w14:textId="5242D8C4" w:rsidR="007F6037" w:rsidRPr="00C567FA" w:rsidRDefault="007F6037" w:rsidP="007D536E">
      <w:r w:rsidRPr="00C567FA">
        <w:t>4.7</w:t>
      </w:r>
      <w:r w:rsidRPr="00C567FA">
        <w:tab/>
        <w:t>Les principaux critères sont les suivants: l</w:t>
      </w:r>
      <w:r w:rsidR="007D536E">
        <w:t>'</w:t>
      </w:r>
      <w:r w:rsidRPr="00C567FA">
        <w:t>entité doit être une organisation à caractère international œuvrant dans le domaine des télécommunications/TIC; elle doit être juridiquement reconnue, être composée d</w:t>
      </w:r>
      <w:r w:rsidR="007D536E">
        <w:t>'</w:t>
      </w:r>
      <w:r w:rsidRPr="00C567FA">
        <w:t>un nombre important de membres, compter une présence importante et mener des activités importantes dans plusieurs États Membres; elle doit être à but non lucratif et représenter des membres œuvrant également dans un but non lucratif; enfin et doit offrir des avantages à l</w:t>
      </w:r>
      <w:r w:rsidR="007D536E">
        <w:t>'</w:t>
      </w:r>
      <w:r w:rsidRPr="00C567FA">
        <w:t>UIT en échange de l</w:t>
      </w:r>
      <w:r w:rsidR="007D536E">
        <w:t>'</w:t>
      </w:r>
      <w:r w:rsidRPr="00C567FA">
        <w:t>exonération. Si leur demande est approuvée, les entités concernées deviennent Membres de Secteur ou Associés au titre du numéro 231 de la Convention.</w:t>
      </w:r>
    </w:p>
    <w:p w14:paraId="7415A010" w14:textId="103D0D3A" w:rsidR="007F6037" w:rsidRPr="00C567FA" w:rsidRDefault="007F6037" w:rsidP="007D536E">
      <w:pPr>
        <w:spacing w:after="240"/>
      </w:pPr>
      <w:r w:rsidRPr="00C567FA">
        <w:t>4.8</w:t>
      </w:r>
      <w:r w:rsidRPr="00C567FA">
        <w:tab/>
        <w:t>Dans le Document 22/39, le Secrétaire général recommande au Conseil d</w:t>
      </w:r>
      <w:r w:rsidR="007D536E">
        <w:t>'</w:t>
      </w:r>
      <w:r w:rsidRPr="00C567FA">
        <w:t>approuver la demande formulée par l</w:t>
      </w:r>
      <w:r w:rsidR="007D536E">
        <w:t>'</w:t>
      </w:r>
      <w:r w:rsidRPr="00C567FA">
        <w:t>Organisation pour la coopération numérique en vue d</w:t>
      </w:r>
      <w:r w:rsidR="007D536E">
        <w:t>'</w:t>
      </w:r>
      <w:r w:rsidRPr="00C567FA">
        <w:t>être Membre du Secteur UIT-D avec exonération du paiement des contributions, étant donné qu</w:t>
      </w:r>
      <w:r w:rsidR="007D536E">
        <w:t>'</w:t>
      </w:r>
      <w:r w:rsidRPr="00C567FA">
        <w:t>elle est composée de sept États Membres fondateurs et qu</w:t>
      </w:r>
      <w:r w:rsidR="007D536E">
        <w:t>'</w:t>
      </w:r>
      <w:r w:rsidRPr="00C567FA">
        <w:t>elle s</w:t>
      </w:r>
      <w:r w:rsidR="007D536E">
        <w:t>'</w:t>
      </w:r>
      <w:r w:rsidRPr="00C567FA">
        <w:t>engage à offrir des avantages en contrepartie. Le Secrétaire général recommande de différer le traitement des demandes de la TSDSI et du Laboratoire IoT, jusqu</w:t>
      </w:r>
      <w:r w:rsidR="007D536E">
        <w:t>'</w:t>
      </w:r>
      <w:r w:rsidRPr="00C567FA">
        <w:t>à ce que la liste complète soit examinée, afin de garantir un traitement équitable pour toutes les entités similaires. Comme indiqué dans le Document d</w:t>
      </w:r>
      <w:r w:rsidR="007D536E">
        <w:t>'</w:t>
      </w:r>
      <w:r w:rsidRPr="00C567FA">
        <w:t>information</w:t>
      </w:r>
      <w:r w:rsidR="009118F9" w:rsidRPr="00C567FA">
        <w:t> </w:t>
      </w:r>
      <w:r w:rsidRPr="00C567FA">
        <w:t>C22/INF/10, "Rapport d</w:t>
      </w:r>
      <w:r w:rsidR="007D536E">
        <w:t>'</w:t>
      </w:r>
      <w:r w:rsidRPr="00C567FA">
        <w:t>activité sur l</w:t>
      </w:r>
      <w:r w:rsidR="007D536E">
        <w:t>'</w:t>
      </w:r>
      <w:r w:rsidRPr="00C567FA">
        <w:t>examen de la liste des entités exonérées", le secrétariat effectue actuellement cet examen et présentera un rapport sur ce sujet à la prochaine session du Conseil, qui se tiendra juste avant la PP-22.</w:t>
      </w:r>
    </w:p>
    <w:tbl>
      <w:tblPr>
        <w:tblW w:w="0" w:type="auto"/>
        <w:tblCellMar>
          <w:left w:w="0" w:type="dxa"/>
          <w:right w:w="0" w:type="dxa"/>
        </w:tblCellMar>
        <w:tblLook w:val="04A0" w:firstRow="1" w:lastRow="0" w:firstColumn="1" w:lastColumn="0" w:noHBand="0" w:noVBand="1"/>
      </w:tblPr>
      <w:tblGrid>
        <w:gridCol w:w="9017"/>
      </w:tblGrid>
      <w:tr w:rsidR="007F6037" w:rsidRPr="00C567FA" w14:paraId="70C02A44" w14:textId="77777777" w:rsidTr="002932F3">
        <w:tc>
          <w:tcPr>
            <w:tcW w:w="9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A8051" w14:textId="77777777" w:rsidR="007F6037" w:rsidRPr="00C567FA" w:rsidRDefault="007F6037" w:rsidP="007D536E">
            <w:pPr>
              <w:pStyle w:val="Headingb"/>
              <w:keepNext w:val="0"/>
              <w:keepLines w:val="0"/>
              <w:rPr>
                <w:i/>
                <w:iCs/>
              </w:rPr>
            </w:pPr>
            <w:r w:rsidRPr="00C567FA">
              <w:rPr>
                <w:i/>
                <w:iCs/>
              </w:rPr>
              <w:t>Recommandation</w:t>
            </w:r>
          </w:p>
          <w:p w14:paraId="3409A308" w14:textId="54066DE2" w:rsidR="007F6037" w:rsidRPr="00C567FA" w:rsidRDefault="007F6037" w:rsidP="007D536E">
            <w:pPr>
              <w:spacing w:after="120"/>
            </w:pPr>
            <w:r w:rsidRPr="00C567FA">
              <w:t>4.9</w:t>
            </w:r>
            <w:r w:rsidRPr="00C567FA">
              <w:tab/>
              <w:t>Suivant la recommandation du Secrétaire général, la Commission recommande au Conseil d</w:t>
            </w:r>
            <w:r w:rsidR="007D536E">
              <w:t>'</w:t>
            </w:r>
            <w:r w:rsidRPr="00C567FA">
              <w:t>approuver la demande formulée par l</w:t>
            </w:r>
            <w:r w:rsidR="007D536E">
              <w:t>'</w:t>
            </w:r>
            <w:r w:rsidRPr="00C567FA">
              <w:t>Organisation pour la coopération numérique en vue d</w:t>
            </w:r>
            <w:r w:rsidR="007D536E">
              <w:t>'</w:t>
            </w:r>
            <w:r w:rsidRPr="00C567FA">
              <w:t>être Membre du Secteur UIT-D avec exonération du paiement des contributions et de différer le traitement des demandes de la TSDSI et du Laboratoire IoT, jusqu</w:t>
            </w:r>
            <w:r w:rsidR="007D536E">
              <w:t>'</w:t>
            </w:r>
            <w:r w:rsidRPr="00C567FA">
              <w:t>à ce que la liste complète des entités exonérées soit examinée, et que le rapport correspondant soit présenté à la prochaine session du Conseil.</w:t>
            </w:r>
          </w:p>
        </w:tc>
      </w:tr>
    </w:tbl>
    <w:p w14:paraId="17227408" w14:textId="2B10482D" w:rsidR="007F6037" w:rsidRPr="00C567FA" w:rsidRDefault="00A34BDA" w:rsidP="007D536E">
      <w:pPr>
        <w:pStyle w:val="Headingb"/>
        <w:keepNext w:val="0"/>
        <w:keepLines w:val="0"/>
      </w:pPr>
      <w:r>
        <w:lastRenderedPageBreak/>
        <w:tab/>
      </w:r>
      <w:r w:rsidR="007F6037" w:rsidRPr="00C567FA">
        <w:t>Contribution de l</w:t>
      </w:r>
      <w:r w:rsidR="007D536E">
        <w:t>'</w:t>
      </w:r>
      <w:r w:rsidR="007F6037" w:rsidRPr="00C567FA">
        <w:t>Inde (République de l</w:t>
      </w:r>
      <w:r w:rsidR="007D536E">
        <w:t>'</w:t>
      </w:r>
      <w:r w:rsidR="007F6037" w:rsidRPr="00C567FA">
        <w:t>) – Participation des membres du secteur privé et des établissements universitaires aux travaux des Secteurs de l</w:t>
      </w:r>
      <w:r w:rsidR="007D536E">
        <w:t>'</w:t>
      </w:r>
      <w:r w:rsidR="007F6037" w:rsidRPr="00C567FA">
        <w:t>UIT, l</w:t>
      </w:r>
      <w:r w:rsidR="007D536E">
        <w:t>'</w:t>
      </w:r>
      <w:r w:rsidR="007F6037" w:rsidRPr="00C567FA">
        <w:t xml:space="preserve">accent étant mis sur les PMA, les PDSL, les PEID et les pays ayant des besoins particuliers (Document </w:t>
      </w:r>
      <w:hyperlink r:id="rId49" w:history="1">
        <w:r w:rsidR="007F6037" w:rsidRPr="00C567FA">
          <w:rPr>
            <w:rStyle w:val="Hyperlink"/>
          </w:rPr>
          <w:t>C22/79</w:t>
        </w:r>
      </w:hyperlink>
      <w:r w:rsidR="007F6037" w:rsidRPr="00C567FA">
        <w:t>)</w:t>
      </w:r>
    </w:p>
    <w:p w14:paraId="1FCA1E2A" w14:textId="76200043" w:rsidR="007F6037" w:rsidRPr="00C567FA" w:rsidRDefault="007F6037" w:rsidP="007D536E">
      <w:pPr>
        <w:keepLines/>
      </w:pPr>
      <w:r w:rsidRPr="00C567FA">
        <w:t>4.10</w:t>
      </w:r>
      <w:r w:rsidRPr="00C567FA">
        <w:tab/>
        <w:t>Le délégué de la République de l</w:t>
      </w:r>
      <w:r w:rsidR="007D536E">
        <w:t>'</w:t>
      </w:r>
      <w:r w:rsidRPr="00C567FA">
        <w:t>Inde a présenté le Document C22/79, qui met l</w:t>
      </w:r>
      <w:r w:rsidR="007D536E">
        <w:t>'</w:t>
      </w:r>
      <w:r w:rsidRPr="00C567FA">
        <w:t>accent sur les niveaux actuels de participation du secteur privé et des établissements universitaires aux activités de l</w:t>
      </w:r>
      <w:r w:rsidR="007D536E">
        <w:t>'</w:t>
      </w:r>
      <w:r w:rsidRPr="00C567FA">
        <w:t xml:space="preserve">UIT en fonction des catégories de pays (PMA, PDSL, PEID et pays ayant des besoins </w:t>
      </w:r>
      <w:r w:rsidRPr="00C567FA">
        <w:rPr>
          <w:bCs/>
        </w:rPr>
        <w:t>particuliers</w:t>
      </w:r>
      <w:r w:rsidRPr="00C567FA">
        <w:t>). Notant que malgré tous les efforts déployés à ce jour, leur présence en qualité de membres de l</w:t>
      </w:r>
      <w:r w:rsidR="007D536E">
        <w:t>'</w:t>
      </w:r>
      <w:r w:rsidRPr="00C567FA">
        <w:t>UIT demeure insuffisante, le délégué de la République de l</w:t>
      </w:r>
      <w:r w:rsidR="007D536E">
        <w:t>'</w:t>
      </w:r>
      <w:r w:rsidRPr="00C567FA">
        <w:t>Inde a formulé les recommandations suivantes:</w:t>
      </w:r>
    </w:p>
    <w:p w14:paraId="27F40122" w14:textId="77777777" w:rsidR="007F6037" w:rsidRPr="00C567FA" w:rsidRDefault="007F6037" w:rsidP="007D536E">
      <w:pPr>
        <w:pStyle w:val="enumlev1"/>
      </w:pPr>
      <w:r w:rsidRPr="00C567FA">
        <w:t>–</w:t>
      </w:r>
      <w:r w:rsidRPr="00C567FA">
        <w:tab/>
        <w:t>envisager de mettre en place un "Réseau pour le secteur privé et les établissements universitaires des PMA, des PDSL, des PEID et des pays ayant des besoins particuliers";</w:t>
      </w:r>
    </w:p>
    <w:p w14:paraId="56DC40F4" w14:textId="19FB9DFB" w:rsidR="007F6037" w:rsidRPr="00C567FA" w:rsidRDefault="007F6037" w:rsidP="007D536E">
      <w:pPr>
        <w:pStyle w:val="enumlev1"/>
      </w:pPr>
      <w:r w:rsidRPr="00C567FA">
        <w:t>–</w:t>
      </w:r>
      <w:r w:rsidRPr="00C567FA">
        <w:tab/>
        <w:t>développer la connaissance de l</w:t>
      </w:r>
      <w:r w:rsidR="007D536E">
        <w:t>'</w:t>
      </w:r>
      <w:r w:rsidRPr="00C567FA">
        <w:t>UIT sur les réseaux sociaux, le coordonnateur national pour l</w:t>
      </w:r>
      <w:r w:rsidR="007D536E">
        <w:t>'</w:t>
      </w:r>
      <w:r w:rsidRPr="00C567FA">
        <w:t>UIT et une équipe de l</w:t>
      </w:r>
      <w:r w:rsidR="007D536E">
        <w:t>'</w:t>
      </w:r>
      <w:r w:rsidRPr="00C567FA">
        <w:t>UIT jouant le rôle de facilitateurs;</w:t>
      </w:r>
    </w:p>
    <w:p w14:paraId="5AB4B50B" w14:textId="77777777" w:rsidR="007F6037" w:rsidRPr="00C567FA" w:rsidRDefault="007F6037" w:rsidP="007D536E">
      <w:pPr>
        <w:pStyle w:val="enumlev1"/>
      </w:pPr>
      <w:r w:rsidRPr="00C567FA">
        <w:t>–</w:t>
      </w:r>
      <w:r w:rsidRPr="00C567FA">
        <w:tab/>
        <w:t>établir un plan directeur pour la participation accrue des établissements universitaires et du secteur privé des PMA, des PDSL, des PEID et des pays ayant des besoins particuliers;</w:t>
      </w:r>
    </w:p>
    <w:p w14:paraId="6192501E" w14:textId="77777777" w:rsidR="007F6037" w:rsidRPr="00C567FA" w:rsidRDefault="007F6037" w:rsidP="007D536E">
      <w:pPr>
        <w:pStyle w:val="enumlev1"/>
      </w:pPr>
      <w:r w:rsidRPr="00C567FA">
        <w:t>–</w:t>
      </w:r>
      <w:r w:rsidRPr="00C567FA">
        <w:tab/>
        <w:t>réexaminer les contributions versées par les établissements universitaires et les entités du secteur privé des pays concernés;</w:t>
      </w:r>
    </w:p>
    <w:p w14:paraId="45188908" w14:textId="77777777" w:rsidR="007F6037" w:rsidRPr="00C567FA" w:rsidRDefault="007F6037" w:rsidP="007D536E">
      <w:pPr>
        <w:pStyle w:val="enumlev1"/>
      </w:pPr>
      <w:r w:rsidRPr="00C567FA">
        <w:t>–</w:t>
      </w:r>
      <w:r w:rsidRPr="00C567FA">
        <w:tab/>
        <w:t>lancer une Initiative mondiale pour le renforcement des capacités pour développer les activités centrées sur le secteur privé et les établissements universitaires dans les pays concernés; et</w:t>
      </w:r>
    </w:p>
    <w:p w14:paraId="594DD497" w14:textId="77777777" w:rsidR="007F6037" w:rsidRPr="00C567FA" w:rsidRDefault="007F6037" w:rsidP="007D536E">
      <w:pPr>
        <w:pStyle w:val="enumlev1"/>
      </w:pPr>
      <w:r w:rsidRPr="00C567FA">
        <w:t>–</w:t>
      </w:r>
      <w:r w:rsidRPr="00C567FA">
        <w:tab/>
        <w:t>déterminer les autres mesures nécessaires pour permettre une participation et un accompagnement accrus.</w:t>
      </w:r>
    </w:p>
    <w:p w14:paraId="19E19926" w14:textId="5283F18E" w:rsidR="007F6037" w:rsidRPr="00C567FA" w:rsidRDefault="007F6037" w:rsidP="007D536E">
      <w:pPr>
        <w:rPr>
          <w:bCs/>
        </w:rPr>
      </w:pPr>
      <w:r w:rsidRPr="00C567FA">
        <w:rPr>
          <w:bCs/>
        </w:rPr>
        <w:t>4.11</w:t>
      </w:r>
      <w:r w:rsidRPr="00C567FA">
        <w:rPr>
          <w:bCs/>
        </w:rPr>
        <w:tab/>
      </w:r>
      <w:r w:rsidR="00417530" w:rsidRPr="00C567FA">
        <w:rPr>
          <w:bCs/>
        </w:rPr>
        <w:t>Le délégué de l</w:t>
      </w:r>
      <w:r w:rsidR="007D536E">
        <w:rPr>
          <w:bCs/>
        </w:rPr>
        <w:t>'</w:t>
      </w:r>
      <w:r w:rsidR="00417530" w:rsidRPr="00C567FA">
        <w:rPr>
          <w:bCs/>
        </w:rPr>
        <w:t>Inde a informé le Conseil que cette contribution était importante à l</w:t>
      </w:r>
      <w:r w:rsidR="007D536E">
        <w:rPr>
          <w:bCs/>
        </w:rPr>
        <w:t>'</w:t>
      </w:r>
      <w:r w:rsidR="00417530" w:rsidRPr="00C567FA">
        <w:rPr>
          <w:bCs/>
        </w:rPr>
        <w:t>approche de la 5ème conférence sur les PMA prévue l</w:t>
      </w:r>
      <w:r w:rsidR="007D536E">
        <w:rPr>
          <w:bCs/>
        </w:rPr>
        <w:t>'</w:t>
      </w:r>
      <w:r w:rsidR="00417530" w:rsidRPr="00C567FA">
        <w:rPr>
          <w:bCs/>
        </w:rPr>
        <w:t>année prochaine, et que l</w:t>
      </w:r>
      <w:r w:rsidR="007D536E">
        <w:rPr>
          <w:bCs/>
        </w:rPr>
        <w:t>'</w:t>
      </w:r>
      <w:r w:rsidR="00417530" w:rsidRPr="00C567FA">
        <w:rPr>
          <w:bCs/>
        </w:rPr>
        <w:t>UIT devrait élaborer des contributions en vue de cette manifestation, en tenant compte des activités actuellement menées par l</w:t>
      </w:r>
      <w:r w:rsidR="007D536E">
        <w:rPr>
          <w:bCs/>
        </w:rPr>
        <w:t>'</w:t>
      </w:r>
      <w:r w:rsidR="00417530" w:rsidRPr="00C567FA">
        <w:rPr>
          <w:bCs/>
        </w:rPr>
        <w:t>UIT en faveur des PMA ainsi que de ses projets présentés dans les propositions mentionnées dans la contribution.</w:t>
      </w:r>
    </w:p>
    <w:p w14:paraId="7EBCF6AE" w14:textId="21620391" w:rsidR="007F6037" w:rsidRDefault="007F6037" w:rsidP="007D536E">
      <w:pPr>
        <w:spacing w:after="240"/>
      </w:pPr>
      <w:r w:rsidRPr="00C567FA">
        <w:t>4.12</w:t>
      </w:r>
      <w:r w:rsidRPr="00C567FA">
        <w:tab/>
        <w:t>Plusieurs délégués ont pris la parole pour remercier la République de l</w:t>
      </w:r>
      <w:r w:rsidR="007D536E">
        <w:t>'</w:t>
      </w:r>
      <w:r w:rsidRPr="00C567FA">
        <w:t>Inde de sa contribution et pour appuyer les propositions présentées dans le Document C22/79. Ils ont estimé important de mettre en œuvre ces propositions en raison de leur importance pour les PMA, les PDSL, les PEID et les pays ayant des besoins particuliers. Certains délégués ont pris note de la nécessité d</w:t>
      </w:r>
      <w:r w:rsidR="007D536E">
        <w:t>'</w:t>
      </w:r>
      <w:r w:rsidRPr="00C567FA">
        <w:t>examiner plus en détail la manière dont ces propositions pourraient être mises en œuvre et d</w:t>
      </w:r>
      <w:r w:rsidR="007D536E">
        <w:t>'</w:t>
      </w:r>
      <w:r w:rsidRPr="00C567FA">
        <w:t>analyser les incidences financières éventuelles, en particulier en ce qui concerne toute modification éventuelle des contributions versées par les membres. Un délégué a fait remarquer que le BDT pourrait examiner de plus près la manière de mettre en œuvre les recommandations, notamment en ce qui concerne les réseaux régionaux d</w:t>
      </w:r>
      <w:r w:rsidR="007D536E">
        <w:t>'</w:t>
      </w:r>
      <w:r w:rsidRPr="00C567FA">
        <w:t>établissements universitaires et du secteur privé. Un autre délégué a relevé que la mise en place de réseaux sociaux devrait incomber aux États Membres. Un délégué a noté que l</w:t>
      </w:r>
      <w:r w:rsidR="007D536E">
        <w:t>'</w:t>
      </w:r>
      <w:r w:rsidRPr="00C567FA">
        <w:t>exonération du paiement des contributions devait également être envisagée pour ces entités et un autre délégué a souligné qu</w:t>
      </w:r>
      <w:r w:rsidR="007D536E">
        <w:t>'</w:t>
      </w:r>
      <w:r w:rsidRPr="00C567FA">
        <w:t>en faisant appel aux établissements universitaires de ces pays en particulier, l</w:t>
      </w:r>
      <w:r w:rsidR="007D536E">
        <w:t>'</w:t>
      </w:r>
      <w:r w:rsidRPr="00C567FA">
        <w:t>UIT préparerait la prochaine génération d</w:t>
      </w:r>
      <w:r w:rsidR="007D536E">
        <w:t>'</w:t>
      </w:r>
      <w:r w:rsidRPr="00C567FA">
        <w:t>experts du secteur des TIC.</w:t>
      </w:r>
    </w:p>
    <w:p w14:paraId="0033255C" w14:textId="5DF8D37E" w:rsidR="00A34BDA" w:rsidRDefault="00A34BDA" w:rsidP="007D536E">
      <w:pPr>
        <w:spacing w:after="240"/>
      </w:pPr>
      <w:r>
        <w:br w:type="page"/>
      </w:r>
    </w:p>
    <w:tbl>
      <w:tblPr>
        <w:tblW w:w="0" w:type="auto"/>
        <w:tblCellMar>
          <w:left w:w="0" w:type="dxa"/>
          <w:right w:w="0" w:type="dxa"/>
        </w:tblCellMar>
        <w:tblLook w:val="04A0" w:firstRow="1" w:lastRow="0" w:firstColumn="1" w:lastColumn="0" w:noHBand="0" w:noVBand="1"/>
      </w:tblPr>
      <w:tblGrid>
        <w:gridCol w:w="9017"/>
      </w:tblGrid>
      <w:tr w:rsidR="007F6037" w:rsidRPr="00C567FA" w14:paraId="7E751503" w14:textId="77777777" w:rsidTr="002932F3">
        <w:tc>
          <w:tcPr>
            <w:tcW w:w="901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507409" w14:textId="77777777" w:rsidR="007F6037" w:rsidRPr="00C567FA" w:rsidRDefault="007F6037" w:rsidP="007D536E">
            <w:pPr>
              <w:pStyle w:val="Headingb"/>
              <w:keepNext w:val="0"/>
              <w:keepLines w:val="0"/>
              <w:rPr>
                <w:i/>
                <w:iCs/>
              </w:rPr>
            </w:pPr>
            <w:r w:rsidRPr="00C567FA">
              <w:rPr>
                <w:i/>
                <w:iCs/>
              </w:rPr>
              <w:lastRenderedPageBreak/>
              <w:t>Recommandation</w:t>
            </w:r>
          </w:p>
          <w:p w14:paraId="53805CCD" w14:textId="3E286350" w:rsidR="007F6037" w:rsidRPr="00C567FA" w:rsidRDefault="007F6037" w:rsidP="007D536E">
            <w:pPr>
              <w:spacing w:after="120"/>
            </w:pPr>
            <w:r w:rsidRPr="00C567FA">
              <w:t>4.13</w:t>
            </w:r>
            <w:r w:rsidRPr="00C567FA">
              <w:tab/>
              <w:t>Une mobilisation synchronisée et globale est importante pour renforcer l</w:t>
            </w:r>
            <w:r w:rsidR="007D536E">
              <w:t>'</w:t>
            </w:r>
            <w:r w:rsidRPr="00C567FA">
              <w:t>adhésion du secteur privé et des établissements universitaires issus des PMA, des PSDL, des PEID et des pays ayant des besoins particuliers, cette adhésion étant à l</w:t>
            </w:r>
            <w:r w:rsidR="007D536E">
              <w:t>'</w:t>
            </w:r>
            <w:r w:rsidRPr="00C567FA">
              <w:t>heure actuelle très faible. La Commission recommande au Conseil d</w:t>
            </w:r>
            <w:r w:rsidR="007D536E">
              <w:t>'</w:t>
            </w:r>
            <w:r w:rsidRPr="00C567FA">
              <w:t>examiner plus avant les recommandations figurant dans le Document C22/79 en vue d</w:t>
            </w:r>
            <w:r w:rsidR="007D536E">
              <w:t>'</w:t>
            </w:r>
            <w:r w:rsidRPr="00C567FA">
              <w:t>accroître la participation du secteur privé et des établissements universitaires des États membres appartenant aux catégories des PMA, des PDSL, des PEID et des pays ayant des besoins particuliers, y compris les incidences sur le plan de la mise en œuvre et des coûts.</w:t>
            </w:r>
            <w:r w:rsidR="007F50D5">
              <w:t xml:space="preserve"> I</w:t>
            </w:r>
            <w:r w:rsidRPr="00C567FA">
              <w:t xml:space="preserve">l est demandé au secrétariat de définir les modalités détaillées et de </w:t>
            </w:r>
            <w:r w:rsidR="00870AA8">
              <w:t>porter la question à l</w:t>
            </w:r>
            <w:r w:rsidR="007D536E">
              <w:t>'</w:t>
            </w:r>
            <w:r w:rsidR="00870AA8">
              <w:t>attention de</w:t>
            </w:r>
            <w:r w:rsidRPr="00C567FA">
              <w:t xml:space="preserve"> la CMDT et </w:t>
            </w:r>
            <w:r w:rsidR="00870AA8">
              <w:t>de</w:t>
            </w:r>
            <w:r w:rsidR="00870AA8" w:rsidRPr="00C567FA">
              <w:t xml:space="preserve"> </w:t>
            </w:r>
            <w:r w:rsidRPr="00C567FA">
              <w:t>la Conférence de plénipotentiaires. La République de l</w:t>
            </w:r>
            <w:r w:rsidR="007D536E">
              <w:t>'</w:t>
            </w:r>
            <w:r w:rsidRPr="00C567FA">
              <w:t>Inde et d</w:t>
            </w:r>
            <w:r w:rsidR="007D536E">
              <w:t>'</w:t>
            </w:r>
            <w:r w:rsidRPr="00C567FA">
              <w:t>autres membres sont également encouragés à fournir des contributions sur les activités et résolutions pertinentes traitées lors de ces conférences.</w:t>
            </w:r>
          </w:p>
        </w:tc>
      </w:tr>
    </w:tbl>
    <w:p w14:paraId="6CB40D8C" w14:textId="1EF3E686" w:rsidR="007F6037" w:rsidRPr="00C567FA" w:rsidRDefault="007F6037" w:rsidP="007D536E">
      <w:pPr>
        <w:pStyle w:val="Headingb"/>
      </w:pPr>
      <w:r w:rsidRPr="00C567FA">
        <w:t>Montant préliminaire de l</w:t>
      </w:r>
      <w:r w:rsidR="007D536E">
        <w:t>'</w:t>
      </w:r>
      <w:r w:rsidRPr="00C567FA">
        <w:t xml:space="preserve">unité contributive (Document </w:t>
      </w:r>
      <w:hyperlink r:id="rId50" w:history="1">
        <w:r w:rsidRPr="00C567FA">
          <w:rPr>
            <w:rStyle w:val="Hyperlink"/>
          </w:rPr>
          <w:t>C22/29</w:t>
        </w:r>
      </w:hyperlink>
      <w:r w:rsidRPr="00C567FA">
        <w:t>)</w:t>
      </w:r>
    </w:p>
    <w:p w14:paraId="52789EA2" w14:textId="4D85BC5B" w:rsidR="007F6037" w:rsidRPr="00C567FA" w:rsidRDefault="007F6037" w:rsidP="007D536E">
      <w:r w:rsidRPr="00C567FA">
        <w:t>4.1</w:t>
      </w:r>
      <w:r w:rsidR="005B06E1" w:rsidRPr="00C567FA">
        <w:t>4</w:t>
      </w:r>
      <w:r w:rsidRPr="00C567FA">
        <w:tab/>
        <w:t>Le secrétariat a présenté le document indiquant la classe de contribution provisoire des États Membres pour la période 2024-2027, par rapport à la période 2020-2023. Le montant de l</w:t>
      </w:r>
      <w:r w:rsidR="007D536E">
        <w:t>'</w:t>
      </w:r>
      <w:r w:rsidRPr="00C567FA">
        <w:t>unité contributive a été maintenu au même niveau par le Conseil à sa session de 2021, à savoir 318 000 CHF, pour la période 2024-2027.</w:t>
      </w:r>
    </w:p>
    <w:p w14:paraId="786A808B" w14:textId="5B4BCE26" w:rsidR="007F6037" w:rsidRPr="00C567FA" w:rsidRDefault="007F6037" w:rsidP="007D536E">
      <w:r w:rsidRPr="00C567FA">
        <w:t>4.1</w:t>
      </w:r>
      <w:r w:rsidR="005B06E1" w:rsidRPr="00C567FA">
        <w:t>5</w:t>
      </w:r>
      <w:r w:rsidRPr="00C567FA">
        <w:tab/>
        <w:t>Le Secrétaire général a invité les États Membres à annoncer leur classe de contribution provisoire pour la période 2024-2027 avant le 31 décembre 2021, afin de fournir des données fiables et réalistes au secrétariat en vue de mettre au point le projet de Plan financier pour la période 2024-2027, en vue de la Conférence de plénipotentiaires de 2022. Le projet de Plan financier pour la période 2024-2027 constitue une bonne référence pour la PP-22 en vue de l</w:t>
      </w:r>
      <w:r w:rsidR="007D536E">
        <w:t>'</w:t>
      </w:r>
      <w:r w:rsidRPr="00C567FA">
        <w:t>établissement du budget de l</w:t>
      </w:r>
      <w:r w:rsidR="007D536E">
        <w:t>'</w:t>
      </w:r>
      <w:r w:rsidRPr="00C567FA">
        <w:t>Union et des limites financières, après avoir pris en considération les aspects pertinents des travaux de l</w:t>
      </w:r>
      <w:r w:rsidR="007D536E">
        <w:t>'</w:t>
      </w:r>
      <w:r w:rsidRPr="00C567FA">
        <w:t>Union durant cette période.</w:t>
      </w:r>
    </w:p>
    <w:p w14:paraId="28D25094" w14:textId="28101B58" w:rsidR="007F6037" w:rsidRPr="00C567FA" w:rsidRDefault="007F6037" w:rsidP="007D536E">
      <w:r w:rsidRPr="00C567FA">
        <w:t>4.1</w:t>
      </w:r>
      <w:r w:rsidR="005B06E1" w:rsidRPr="00C567FA">
        <w:t>6</w:t>
      </w:r>
      <w:r w:rsidRPr="00C567FA">
        <w:tab/>
        <w:t>L</w:t>
      </w:r>
      <w:r w:rsidR="007D536E">
        <w:t>'</w:t>
      </w:r>
      <w:r w:rsidR="005B06E1" w:rsidRPr="00C567FA">
        <w:t>A</w:t>
      </w:r>
      <w:r w:rsidRPr="00C567FA">
        <w:t>nnexe 1 contient la liste des États Membres et le nombre d</w:t>
      </w:r>
      <w:r w:rsidR="007D536E">
        <w:t>'</w:t>
      </w:r>
      <w:r w:rsidRPr="00C567FA">
        <w:t>unités contributives correspondant pour la période 2020-2023 et le nombre d</w:t>
      </w:r>
      <w:r w:rsidR="007D536E">
        <w:t>'</w:t>
      </w:r>
      <w:r w:rsidRPr="00C567FA">
        <w:t>unités contributives provisoires pour la période 2024-2027. Dix-sept (17) États Membres ayant répondu qu</w:t>
      </w:r>
      <w:r w:rsidR="007D536E">
        <w:t>'</w:t>
      </w:r>
      <w:r w:rsidRPr="00C567FA">
        <w:t>ils conservaient le même nombre d</w:t>
      </w:r>
      <w:r w:rsidR="007D536E">
        <w:t>'</w:t>
      </w:r>
      <w:r w:rsidRPr="00C567FA">
        <w:t>unités contributives provisoires que pour la période 2020-2023, le nombre total d</w:t>
      </w:r>
      <w:r w:rsidR="007D536E">
        <w:t>'</w:t>
      </w:r>
      <w:r w:rsidRPr="00C567FA">
        <w:t>unités contributives reste inchangé, à savoir 343 11/16 unités au 31 décembre 2021.</w:t>
      </w:r>
    </w:p>
    <w:p w14:paraId="276A0FD0" w14:textId="4D0FEE54" w:rsidR="007F6037" w:rsidRPr="00C567FA" w:rsidRDefault="007F6037" w:rsidP="007D536E">
      <w:pPr>
        <w:spacing w:after="240"/>
        <w:rPr>
          <w:b/>
        </w:rPr>
      </w:pPr>
      <w:r w:rsidRPr="00C567FA">
        <w:t>4.1</w:t>
      </w:r>
      <w:r w:rsidR="005B06E1" w:rsidRPr="00C567FA">
        <w:t>7</w:t>
      </w:r>
      <w:r w:rsidRPr="00C567FA">
        <w:tab/>
        <w:t>Cette présentation n</w:t>
      </w:r>
      <w:r w:rsidR="007D536E">
        <w:t>'</w:t>
      </w:r>
      <w:r w:rsidRPr="00C567FA">
        <w:t>a donné lieu à aucun commentaire.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7F6037" w:rsidRPr="00C567FA" w14:paraId="5F71348A" w14:textId="77777777" w:rsidTr="002932F3">
        <w:tc>
          <w:tcPr>
            <w:tcW w:w="9017" w:type="dxa"/>
            <w:tcBorders>
              <w:top w:val="single" w:sz="4" w:space="0" w:color="auto"/>
              <w:bottom w:val="single" w:sz="4" w:space="0" w:color="auto"/>
            </w:tcBorders>
          </w:tcPr>
          <w:p w14:paraId="2AED746F" w14:textId="77777777" w:rsidR="007F6037" w:rsidRPr="00C567FA" w:rsidRDefault="007F6037" w:rsidP="007D536E">
            <w:pPr>
              <w:rPr>
                <w:b/>
                <w:bCs/>
                <w:i/>
                <w:iCs/>
              </w:rPr>
            </w:pPr>
            <w:r w:rsidRPr="00C567FA">
              <w:rPr>
                <w:b/>
                <w:bCs/>
                <w:i/>
                <w:iCs/>
              </w:rPr>
              <w:t>Recommandation</w:t>
            </w:r>
          </w:p>
          <w:p w14:paraId="72987FF1" w14:textId="77777777" w:rsidR="007F6037" w:rsidRPr="00C567FA" w:rsidRDefault="007F6037" w:rsidP="007D536E">
            <w:pPr>
              <w:spacing w:after="120"/>
            </w:pPr>
            <w:r w:rsidRPr="00C567FA">
              <w:t>4.1</w:t>
            </w:r>
            <w:r w:rsidR="005B06E1" w:rsidRPr="00C567FA">
              <w:t>8</w:t>
            </w:r>
            <w:r w:rsidRPr="00C567FA">
              <w:tab/>
              <w:t>La Commission recommande que le Conseil prenne note du Document C22/29.</w:t>
            </w:r>
          </w:p>
        </w:tc>
      </w:tr>
    </w:tbl>
    <w:p w14:paraId="14F972DE" w14:textId="106F3FE3" w:rsidR="007F6037" w:rsidRPr="00C567FA" w:rsidRDefault="000D0774" w:rsidP="007D536E">
      <w:pPr>
        <w:pStyle w:val="Headingb"/>
      </w:pPr>
      <w:r>
        <w:tab/>
      </w:r>
      <w:r w:rsidR="007F6037" w:rsidRPr="00C567FA">
        <w:t>Projet de plan financier de l</w:t>
      </w:r>
      <w:r w:rsidR="007D536E">
        <w:t>'</w:t>
      </w:r>
      <w:r w:rsidR="007F6037" w:rsidRPr="00C567FA">
        <w:t xml:space="preserve">Union pour la période 2024-2027 (Document </w:t>
      </w:r>
      <w:hyperlink r:id="rId51" w:history="1">
        <w:r w:rsidR="007F6037" w:rsidRPr="00C567FA">
          <w:rPr>
            <w:rStyle w:val="Hyperlink"/>
          </w:rPr>
          <w:t>C22/63</w:t>
        </w:r>
      </w:hyperlink>
      <w:r w:rsidR="007F6037" w:rsidRPr="00C567FA">
        <w:t>)</w:t>
      </w:r>
    </w:p>
    <w:p w14:paraId="40B8753B" w14:textId="71FDCB44" w:rsidR="007F6037" w:rsidRPr="00C567FA" w:rsidRDefault="007F6037" w:rsidP="007D536E">
      <w:bookmarkStart w:id="9" w:name="_Hlk99016101"/>
      <w:r w:rsidRPr="00C567FA">
        <w:rPr>
          <w:bCs/>
        </w:rPr>
        <w:t>4.1</w:t>
      </w:r>
      <w:r w:rsidR="005B06E1" w:rsidRPr="00C567FA">
        <w:rPr>
          <w:bCs/>
        </w:rPr>
        <w:t>9</w:t>
      </w:r>
      <w:r w:rsidRPr="00C567FA">
        <w:rPr>
          <w:bCs/>
        </w:rPr>
        <w:tab/>
        <w:t>Le secrétariat a présenté le projet de plan financier pour la période 2024-2027; les montants des produits et des charges s</w:t>
      </w:r>
      <w:r w:rsidR="007D536E">
        <w:rPr>
          <w:bCs/>
        </w:rPr>
        <w:t>'</w:t>
      </w:r>
      <w:r w:rsidRPr="00C567FA">
        <w:rPr>
          <w:bCs/>
        </w:rPr>
        <w:t>élèvent tous deux à 639,85 millions CHF (équilibré).</w:t>
      </w:r>
      <w:r w:rsidRPr="00C567FA">
        <w:t xml:space="preserve"> Le document contient l</w:t>
      </w:r>
      <w:r w:rsidR="007D536E">
        <w:t>'</w:t>
      </w:r>
      <w:r w:rsidRPr="00C567FA">
        <w:t>analyse préliminaire des écarts entre le plan financier pour la période 2020-2023 et les budgets 2020-2021 et 2022-2023.</w:t>
      </w:r>
    </w:p>
    <w:p w14:paraId="7F763651" w14:textId="34A66E12" w:rsidR="007F6037" w:rsidRPr="00C567FA" w:rsidRDefault="007F6037" w:rsidP="007D536E">
      <w:r w:rsidRPr="00C567FA">
        <w:lastRenderedPageBreak/>
        <w:t>4.</w:t>
      </w:r>
      <w:r w:rsidR="005B06E1" w:rsidRPr="00C567FA">
        <w:t>20</w:t>
      </w:r>
      <w:r w:rsidRPr="00C567FA">
        <w:tab/>
        <w:t>L</w:t>
      </w:r>
      <w:r w:rsidR="007D536E">
        <w:t>'</w:t>
      </w:r>
      <w:r w:rsidRPr="00C567FA">
        <w:t xml:space="preserve">avant-projet de plan financier pour la période 2024-2027 a été présenté et examiné par le Groupe de travail du Conseil sur les ressources financières et les ressources humaines (GTC-FHR) à sa 15ème réunion, tenue en janvier 2022 (Document </w:t>
      </w:r>
      <w:hyperlink r:id="rId52" w:history="1">
        <w:r w:rsidRPr="00C567FA">
          <w:rPr>
            <w:rStyle w:val="Hyperlink"/>
            <w:b/>
          </w:rPr>
          <w:t>CWG-FHR-15/10</w:t>
        </w:r>
      </w:hyperlink>
      <w:r w:rsidRPr="00C567FA">
        <w:t>).</w:t>
      </w:r>
    </w:p>
    <w:p w14:paraId="4FD409EE" w14:textId="4EC751AB" w:rsidR="007F6037" w:rsidRPr="00C567FA" w:rsidRDefault="007F6037" w:rsidP="007D536E">
      <w:pPr>
        <w:rPr>
          <w:bCs/>
        </w:rPr>
      </w:pPr>
      <w:r w:rsidRPr="00C567FA">
        <w:rPr>
          <w:bCs/>
        </w:rPr>
        <w:t>4.2</w:t>
      </w:r>
      <w:r w:rsidR="005B06E1" w:rsidRPr="00C567FA">
        <w:rPr>
          <w:bCs/>
        </w:rPr>
        <w:t>1</w:t>
      </w:r>
      <w:r w:rsidRPr="00C567FA">
        <w:rPr>
          <w:bCs/>
        </w:rPr>
        <w:tab/>
        <w:t>Le projet de plan financier pour la période 2024-2027 fournit à la Conférence de plénipotentiaires de 2022 un moyen d</w:t>
      </w:r>
      <w:r w:rsidR="007D536E">
        <w:rPr>
          <w:bCs/>
        </w:rPr>
        <w:t>'</w:t>
      </w:r>
      <w:r w:rsidRPr="00C567FA">
        <w:rPr>
          <w:bCs/>
        </w:rPr>
        <w:t>établir les bases du budget de l</w:t>
      </w:r>
      <w:r w:rsidR="007D536E">
        <w:rPr>
          <w:bCs/>
        </w:rPr>
        <w:t>'</w:t>
      </w:r>
      <w:r w:rsidRPr="00C567FA">
        <w:rPr>
          <w:bCs/>
        </w:rPr>
        <w:t>Union et de fixer les limites financières correspondantes pour la période allant jusqu</w:t>
      </w:r>
      <w:r w:rsidR="007D536E">
        <w:rPr>
          <w:bCs/>
        </w:rPr>
        <w:t>'</w:t>
      </w:r>
      <w:r w:rsidRPr="00C567FA">
        <w:rPr>
          <w:bCs/>
        </w:rPr>
        <w:t>à la Conférence de plénipotentiaires suivante, après avoir examiné tous les aspects pertinents des travaux de l</w:t>
      </w:r>
      <w:r w:rsidR="007D536E">
        <w:rPr>
          <w:bCs/>
        </w:rPr>
        <w:t>'</w:t>
      </w:r>
      <w:r w:rsidRPr="00C567FA">
        <w:rPr>
          <w:bCs/>
        </w:rPr>
        <w:t>Union durant cette période (numéro 51 de l</w:t>
      </w:r>
      <w:r w:rsidR="007D536E">
        <w:rPr>
          <w:bCs/>
        </w:rPr>
        <w:t>'</w:t>
      </w:r>
      <w:r w:rsidRPr="00C567FA">
        <w:rPr>
          <w:bCs/>
        </w:rPr>
        <w:t>article 8 de la Constitution). Il permettra aux États Membres de déterminer, à la fin de la Conférence de plénipotentiaires, le cadre de leurs engagements financiers envers l</w:t>
      </w:r>
      <w:r w:rsidR="007D536E">
        <w:rPr>
          <w:bCs/>
        </w:rPr>
        <w:t>'</w:t>
      </w:r>
      <w:r w:rsidRPr="00C567FA">
        <w:rPr>
          <w:bCs/>
        </w:rPr>
        <w:t>Union pour la période 2024-2027, sur la base du montant de l</w:t>
      </w:r>
      <w:r w:rsidR="007D536E">
        <w:rPr>
          <w:bCs/>
        </w:rPr>
        <w:t>'</w:t>
      </w:r>
      <w:r w:rsidRPr="00C567FA">
        <w:rPr>
          <w:bCs/>
        </w:rPr>
        <w:t>unité contributive approuvé, le montant provisoire de celle-ci étant fixé à 318 000 CHF.</w:t>
      </w:r>
    </w:p>
    <w:p w14:paraId="148DD1FF" w14:textId="77777777" w:rsidR="007F6037" w:rsidRPr="00C567FA" w:rsidRDefault="007F6037" w:rsidP="007D536E">
      <w:r w:rsidRPr="00C567FA">
        <w:t>4.2</w:t>
      </w:r>
      <w:r w:rsidR="005B06E1" w:rsidRPr="00C567FA">
        <w:t>2</w:t>
      </w:r>
      <w:r w:rsidRPr="00C567FA">
        <w:tab/>
        <w:t>Les éléments suivants ont été pris en compte dans le Plan financier pour la période 2024</w:t>
      </w:r>
      <w:r w:rsidRPr="00C567FA">
        <w:noBreakHyphen/>
        <w:t>2027:</w:t>
      </w:r>
    </w:p>
    <w:p w14:paraId="1FBDD1A5" w14:textId="77777777" w:rsidR="007F6037" w:rsidRPr="00C567FA" w:rsidRDefault="00C567FA" w:rsidP="007D536E">
      <w:pPr>
        <w:pStyle w:val="enumlev1"/>
      </w:pPr>
      <w:r w:rsidRPr="00C567FA">
        <w:t>–</w:t>
      </w:r>
      <w:r w:rsidR="007F6037" w:rsidRPr="00C567FA">
        <w:tab/>
        <w:t>financiers (selon les structures des produits et des charges indiquées dans le Règlement financier);</w:t>
      </w:r>
    </w:p>
    <w:p w14:paraId="50206EA6" w14:textId="77777777" w:rsidR="007F6037" w:rsidRPr="00C567FA" w:rsidRDefault="00C567FA" w:rsidP="007D536E">
      <w:pPr>
        <w:pStyle w:val="enumlev1"/>
      </w:pPr>
      <w:r w:rsidRPr="00C567FA">
        <w:t>–</w:t>
      </w:r>
      <w:r w:rsidR="007F6037" w:rsidRPr="00C567FA">
        <w:tab/>
        <w:t>axés sur les résultats (conformément à la structure du Plan stratégique).</w:t>
      </w:r>
    </w:p>
    <w:p w14:paraId="0741A9A1" w14:textId="21ABF7AB" w:rsidR="007F6037" w:rsidRPr="00C567FA" w:rsidRDefault="007F6037" w:rsidP="007D536E">
      <w:r w:rsidRPr="00C567FA">
        <w:t>4.2</w:t>
      </w:r>
      <w:r w:rsidR="005B06E1" w:rsidRPr="00C567FA">
        <w:t>3</w:t>
      </w:r>
      <w:r w:rsidRPr="00C567FA">
        <w:tab/>
        <w:t>Les paramètres essentiels nécessaires à l</w:t>
      </w:r>
      <w:r w:rsidR="007D536E">
        <w:t>'</w:t>
      </w:r>
      <w:r w:rsidRPr="00C567FA">
        <w:t>élaboration du Plan financier sont les suivants:</w:t>
      </w:r>
    </w:p>
    <w:p w14:paraId="7D15385C" w14:textId="77777777" w:rsidR="007F6037" w:rsidRPr="00C567FA" w:rsidRDefault="00C567FA" w:rsidP="007D536E">
      <w:pPr>
        <w:pStyle w:val="enumlev1"/>
      </w:pPr>
      <w:r w:rsidRPr="00C567FA">
        <w:t>–</w:t>
      </w:r>
      <w:r w:rsidR="007F6037" w:rsidRPr="00C567FA">
        <w:tab/>
        <w:t>Plan stratégique et domaines prioritaires;</w:t>
      </w:r>
    </w:p>
    <w:p w14:paraId="32202E70" w14:textId="566E7901" w:rsidR="007F6037" w:rsidRPr="00C567FA" w:rsidRDefault="00C567FA" w:rsidP="007D536E">
      <w:pPr>
        <w:pStyle w:val="enumlev1"/>
      </w:pPr>
      <w:r w:rsidRPr="00C567FA">
        <w:t>–</w:t>
      </w:r>
      <w:r w:rsidR="007F6037" w:rsidRPr="00C567FA">
        <w:tab/>
        <w:t>montant de l</w:t>
      </w:r>
      <w:r w:rsidR="007D536E">
        <w:t>'</w:t>
      </w:r>
      <w:r w:rsidR="007F6037" w:rsidRPr="00C567FA">
        <w:t>unité contributive;</w:t>
      </w:r>
    </w:p>
    <w:p w14:paraId="17A252D6" w14:textId="77777777" w:rsidR="007F6037" w:rsidRPr="00C567FA" w:rsidRDefault="00C567FA" w:rsidP="007D536E">
      <w:pPr>
        <w:pStyle w:val="enumlev1"/>
      </w:pPr>
      <w:r w:rsidRPr="00C567FA">
        <w:t>–</w:t>
      </w:r>
      <w:r w:rsidR="007F6037" w:rsidRPr="00C567FA">
        <w:tab/>
        <w:t>niveau global des produits pour la période considérée (plafond des charges);</w:t>
      </w:r>
    </w:p>
    <w:p w14:paraId="49508E8B" w14:textId="77777777" w:rsidR="007F6037" w:rsidRPr="00C567FA" w:rsidRDefault="00C567FA" w:rsidP="007D536E">
      <w:pPr>
        <w:pStyle w:val="enumlev1"/>
      </w:pPr>
      <w:r w:rsidRPr="00C567FA">
        <w:t>–</w:t>
      </w:r>
      <w:r w:rsidR="007F6037" w:rsidRPr="00C567FA">
        <w:tab/>
        <w:t>programme de travail.</w:t>
      </w:r>
    </w:p>
    <w:p w14:paraId="32794A2E" w14:textId="77777777" w:rsidR="007F6037" w:rsidRPr="00C567FA" w:rsidRDefault="007F6037" w:rsidP="007D536E">
      <w:r w:rsidRPr="00C567FA">
        <w:t>4.2</w:t>
      </w:r>
      <w:r w:rsidR="005B06E1" w:rsidRPr="00C567FA">
        <w:t>4</w:t>
      </w:r>
      <w:r w:rsidRPr="00C567FA">
        <w:tab/>
        <w:t>Les bases et hypothèses suivantes ont été prises en compte dans le projet de plan financier pour la période 2024-2027:</w:t>
      </w:r>
    </w:p>
    <w:p w14:paraId="721F9ED3" w14:textId="77777777" w:rsidR="007F6037" w:rsidRPr="00C567FA" w:rsidRDefault="00C567FA" w:rsidP="007D536E">
      <w:pPr>
        <w:pStyle w:val="enumlev1"/>
      </w:pPr>
      <w:r w:rsidRPr="00C567FA">
        <w:t>–</w:t>
      </w:r>
      <w:r w:rsidR="007F6037" w:rsidRPr="00C567FA">
        <w:tab/>
        <w:t>produits et charges budgétés pour 2022-2023;</w:t>
      </w:r>
    </w:p>
    <w:p w14:paraId="421CF5DF" w14:textId="77777777" w:rsidR="007F6037" w:rsidRPr="00C567FA" w:rsidRDefault="00C567FA" w:rsidP="007D536E">
      <w:pPr>
        <w:pStyle w:val="enumlev1"/>
      </w:pPr>
      <w:r w:rsidRPr="00C567FA">
        <w:t>–</w:t>
      </w:r>
      <w:r w:rsidR="007F6037" w:rsidRPr="00C567FA">
        <w:tab/>
        <w:t>état des produits au 1er janvier 2022 pour les contributions mises en recouvrement (États Membres, Membres de Secteur, Associés et établissements universitaires);</w:t>
      </w:r>
    </w:p>
    <w:p w14:paraId="6C11312B" w14:textId="1077F6B6" w:rsidR="007F6037" w:rsidRPr="00C567FA" w:rsidRDefault="00C567FA" w:rsidP="007D536E">
      <w:pPr>
        <w:pStyle w:val="enumlev1"/>
      </w:pPr>
      <w:r w:rsidRPr="00C567FA">
        <w:t>–</w:t>
      </w:r>
      <w:r w:rsidR="007F6037" w:rsidRPr="00C567FA">
        <w:tab/>
        <w:t>croissance nominale zéro du montant de l</w:t>
      </w:r>
      <w:r w:rsidR="007D536E">
        <w:t>'</w:t>
      </w:r>
      <w:r w:rsidR="007F6037" w:rsidRPr="00C567FA">
        <w:t>unité contributive, à savoir 318 000 CHF, qui reste inchangé depuis 2006;</w:t>
      </w:r>
    </w:p>
    <w:p w14:paraId="6A98318F" w14:textId="77777777" w:rsidR="007F6037" w:rsidRPr="00C567FA" w:rsidRDefault="00C567FA" w:rsidP="007D536E">
      <w:pPr>
        <w:pStyle w:val="enumlev1"/>
      </w:pPr>
      <w:r w:rsidRPr="00C567FA">
        <w:t>–</w:t>
      </w:r>
      <w:r w:rsidR="007F6037" w:rsidRPr="00C567FA">
        <w:tab/>
        <w:t>coûts de référence utilisés pour le budget 2022-2023;</w:t>
      </w:r>
    </w:p>
    <w:p w14:paraId="6BB22D5D" w14:textId="7DBBCF01" w:rsidR="007F6037" w:rsidRPr="00C567FA" w:rsidRDefault="00C567FA" w:rsidP="007D536E">
      <w:pPr>
        <w:pStyle w:val="enumlev1"/>
      </w:pPr>
      <w:r w:rsidRPr="00C567FA">
        <w:t>–</w:t>
      </w:r>
      <w:r w:rsidR="007F6037" w:rsidRPr="00C567FA">
        <w:tab/>
        <w:t>aucun taux d</w:t>
      </w:r>
      <w:r w:rsidR="007D536E">
        <w:t>'</w:t>
      </w:r>
      <w:r w:rsidR="007F6037" w:rsidRPr="00C567FA">
        <w:t>emplois vacants n</w:t>
      </w:r>
      <w:r w:rsidR="007D536E">
        <w:t>'</w:t>
      </w:r>
      <w:r w:rsidR="007F6037" w:rsidRPr="00C567FA">
        <w:t>a été appliqué, car le taux d</w:t>
      </w:r>
      <w:r w:rsidR="007D536E">
        <w:t>'</w:t>
      </w:r>
      <w:r w:rsidR="007F6037" w:rsidRPr="00C567FA">
        <w:t>emplois vacants de 5% prévu dans le Plan financier pour la période 2020-2023 n</w:t>
      </w:r>
      <w:r w:rsidR="007D536E">
        <w:t>'</w:t>
      </w:r>
      <w:r w:rsidR="007F6037" w:rsidRPr="00C567FA">
        <w:t>est plus réaliste et présente un risque en termes d</w:t>
      </w:r>
      <w:r w:rsidR="007D536E">
        <w:t>'</w:t>
      </w:r>
      <w:r w:rsidR="007F6037" w:rsidRPr="00C567FA">
        <w:t>exécution budgétaire. Le taux d</w:t>
      </w:r>
      <w:r w:rsidR="007D536E">
        <w:t>'</w:t>
      </w:r>
      <w:r w:rsidR="007F6037" w:rsidRPr="00C567FA">
        <w:t>emplois vacants doit être remplacé par un délai de recrutement théorique, mais réaliste;</w:t>
      </w:r>
    </w:p>
    <w:p w14:paraId="2D8330A3" w14:textId="18DF5FCE" w:rsidR="007F6037" w:rsidRPr="00C567FA" w:rsidRDefault="00C567FA" w:rsidP="007D536E">
      <w:pPr>
        <w:pStyle w:val="enumlev1"/>
      </w:pPr>
      <w:r w:rsidRPr="00C567FA">
        <w:t>–</w:t>
      </w:r>
      <w:r w:rsidR="007F6037" w:rsidRPr="00C567FA">
        <w:tab/>
        <w:t>les futures augmentations/diminutions possibles des coûts pour la période 2024-2027 (inflation, augmentation des traitements, coûts des prestations de santé, etc.) n</w:t>
      </w:r>
      <w:r w:rsidR="007D536E">
        <w:t>'</w:t>
      </w:r>
      <w:r w:rsidR="007F6037" w:rsidRPr="00C567FA">
        <w:t>ont pas été intégrées dans le projet de plan financier pour la période 2024-2027, mais pourront être intégrées, si nécessaire, lors de l</w:t>
      </w:r>
      <w:r w:rsidR="007D536E">
        <w:t>'</w:t>
      </w:r>
      <w:r w:rsidR="007F6037" w:rsidRPr="00C567FA">
        <w:t>élaboration des budgets pour 2024-2025 et 2026-2027.</w:t>
      </w:r>
    </w:p>
    <w:p w14:paraId="1CEDADC4" w14:textId="55B97C8B" w:rsidR="007F6037" w:rsidRPr="00C567FA" w:rsidRDefault="007F6037" w:rsidP="007D536E">
      <w:r w:rsidRPr="00C567FA">
        <w:rPr>
          <w:bCs/>
        </w:rPr>
        <w:t>4.2</w:t>
      </w:r>
      <w:r w:rsidR="005B06E1" w:rsidRPr="00C567FA">
        <w:rPr>
          <w:bCs/>
        </w:rPr>
        <w:t>5</w:t>
      </w:r>
      <w:r w:rsidRPr="00C567FA">
        <w:rPr>
          <w:bCs/>
        </w:rPr>
        <w:tab/>
        <w:t>Le Tableau 1 présente les charges par secteur et indique l</w:t>
      </w:r>
      <w:r w:rsidR="007D536E">
        <w:rPr>
          <w:bCs/>
        </w:rPr>
        <w:t>'</w:t>
      </w:r>
      <w:r w:rsidRPr="00C567FA">
        <w:rPr>
          <w:bCs/>
        </w:rPr>
        <w:t>écart entre le plan financier pour la période 2020-2023 et le plan financier pour la période 2024-2027 ainsi que l</w:t>
      </w:r>
      <w:r w:rsidR="007D536E">
        <w:rPr>
          <w:bCs/>
        </w:rPr>
        <w:t>'</w:t>
      </w:r>
      <w:r w:rsidRPr="00C567FA">
        <w:rPr>
          <w:bCs/>
        </w:rPr>
        <w:t xml:space="preserve">écart entre les charges budgétées pour 2020-2021+2022-2023 et le plan financier pour la période 2024-2027. </w:t>
      </w:r>
      <w:bookmarkStart w:id="10" w:name="_Hlk99010888"/>
      <w:r w:rsidRPr="00C567FA">
        <w:rPr>
          <w:bCs/>
        </w:rPr>
        <w:t>Les écarts concernant les charges sont principalement liés à l</w:t>
      </w:r>
      <w:r w:rsidR="007D536E">
        <w:rPr>
          <w:bCs/>
        </w:rPr>
        <w:t>'</w:t>
      </w:r>
      <w:r w:rsidRPr="00C567FA">
        <w:rPr>
          <w:bCs/>
        </w:rPr>
        <w:t>assurance maladie UNSMIS (plus 5,6 millions CHF), au nouveau bâtiment, à l</w:t>
      </w:r>
      <w:r w:rsidR="007D536E">
        <w:rPr>
          <w:bCs/>
        </w:rPr>
        <w:t>'</w:t>
      </w:r>
      <w:r w:rsidRPr="00C567FA">
        <w:rPr>
          <w:bCs/>
        </w:rPr>
        <w:t>annulation du taux d</w:t>
      </w:r>
      <w:r w:rsidR="007D536E">
        <w:rPr>
          <w:bCs/>
        </w:rPr>
        <w:t>'</w:t>
      </w:r>
      <w:r w:rsidRPr="00C567FA">
        <w:rPr>
          <w:bCs/>
        </w:rPr>
        <w:t xml:space="preserve">emplois vacants de 5% et à </w:t>
      </w:r>
      <w:r w:rsidRPr="00C567FA">
        <w:rPr>
          <w:bCs/>
        </w:rPr>
        <w:lastRenderedPageBreak/>
        <w:t>la mise en œuvre de diverses mesures d</w:t>
      </w:r>
      <w:r w:rsidR="007D536E">
        <w:rPr>
          <w:bCs/>
        </w:rPr>
        <w:t>'</w:t>
      </w:r>
      <w:r w:rsidRPr="00C567FA">
        <w:rPr>
          <w:bCs/>
        </w:rPr>
        <w:t>efficacité pour équilibrer le plan.</w:t>
      </w:r>
      <w:r w:rsidRPr="00C567FA">
        <w:t xml:space="preserve"> Une réduction globale de 17 millions CHF est proposée pour donner suffisamment de souplesse au Conseil et à la direction lors de l</w:t>
      </w:r>
      <w:r w:rsidR="007D536E">
        <w:t>'</w:t>
      </w:r>
      <w:r w:rsidRPr="00C567FA">
        <w:t xml:space="preserve">élaboration des budgets </w:t>
      </w:r>
      <w:r w:rsidRPr="00C567FA">
        <w:rPr>
          <w:bCs/>
        </w:rPr>
        <w:t xml:space="preserve">pour </w:t>
      </w:r>
      <w:r w:rsidRPr="00C567FA">
        <w:t>2024-2025 et 2026-2027,</w:t>
      </w:r>
      <w:r w:rsidR="005B06E1" w:rsidRPr="00C567FA">
        <w:t xml:space="preserve"> </w:t>
      </w:r>
      <w:r w:rsidRPr="00C567FA">
        <w:t>afin de réfléchir à de nouveaux moyens d</w:t>
      </w:r>
      <w:r w:rsidR="007D536E">
        <w:t>'</w:t>
      </w:r>
      <w:r w:rsidRPr="00C567FA">
        <w:t>équilibrer ces budgets.</w:t>
      </w:r>
    </w:p>
    <w:bookmarkEnd w:id="10"/>
    <w:p w14:paraId="652FF5CB" w14:textId="5019DAED" w:rsidR="007F6037" w:rsidRPr="00C567FA" w:rsidRDefault="007F6037" w:rsidP="007D536E">
      <w:pPr>
        <w:keepLines/>
      </w:pPr>
      <w:r w:rsidRPr="00C567FA">
        <w:t>4.2</w:t>
      </w:r>
      <w:r w:rsidR="005B06E1" w:rsidRPr="00C567FA">
        <w:t>6</w:t>
      </w:r>
      <w:r w:rsidRPr="00C567FA">
        <w:tab/>
        <w:t xml:space="preserve">Le </w:t>
      </w:r>
      <w:r w:rsidR="005B06E1" w:rsidRPr="00C567FA">
        <w:t>T</w:t>
      </w:r>
      <w:r w:rsidRPr="00C567FA">
        <w:t>ableau 2 dresse la liste des produits par source en indiquant l</w:t>
      </w:r>
      <w:r w:rsidR="007D536E">
        <w:t>'</w:t>
      </w:r>
      <w:r w:rsidRPr="00C567FA">
        <w:t>écart entre le plan financier pour la période 2020-2023 et le plan financier pour la période 2024-2027 ainsi que l</w:t>
      </w:r>
      <w:r w:rsidR="007D536E">
        <w:t>'</w:t>
      </w:r>
      <w:r w:rsidRPr="00C567FA">
        <w:t>écart entre les produits budgétés pour 2020-2021+2022-2023 et le plan financier pour la période</w:t>
      </w:r>
      <w:r w:rsidR="00A8573E" w:rsidRPr="00C567FA">
        <w:t> </w:t>
      </w:r>
      <w:r w:rsidRPr="00C567FA">
        <w:t>2024</w:t>
      </w:r>
      <w:r w:rsidR="005B06E1" w:rsidRPr="00C567FA">
        <w:noBreakHyphen/>
      </w:r>
      <w:r w:rsidRPr="00C567FA">
        <w:t>2027.</w:t>
      </w:r>
      <w:r w:rsidRPr="00C567FA">
        <w:rPr>
          <w:bCs/>
        </w:rPr>
        <w:t xml:space="preserve"> Une réduction des produits est attendue, principalement en raison de l</w:t>
      </w:r>
      <w:r w:rsidR="007D536E">
        <w:rPr>
          <w:bCs/>
        </w:rPr>
        <w:t>'</w:t>
      </w:r>
      <w:r w:rsidRPr="00C567FA">
        <w:rPr>
          <w:bCs/>
        </w:rPr>
        <w:t>absence d</w:t>
      </w:r>
      <w:r w:rsidR="007D536E">
        <w:rPr>
          <w:bCs/>
        </w:rPr>
        <w:t>'</w:t>
      </w:r>
      <w:r w:rsidRPr="00C567FA">
        <w:rPr>
          <w:bCs/>
        </w:rPr>
        <w:t>économies réalisées lors de l</w:t>
      </w:r>
      <w:r w:rsidR="007D536E">
        <w:rPr>
          <w:bCs/>
        </w:rPr>
        <w:t>'</w:t>
      </w:r>
      <w:r w:rsidRPr="00C567FA">
        <w:rPr>
          <w:bCs/>
        </w:rPr>
        <w:t>exécution du budget de l</w:t>
      </w:r>
      <w:r w:rsidR="007D536E">
        <w:rPr>
          <w:bCs/>
        </w:rPr>
        <w:t>'</w:t>
      </w:r>
      <w:r w:rsidRPr="00C567FA">
        <w:rPr>
          <w:bCs/>
        </w:rPr>
        <w:t>année précédente, étant donné qu</w:t>
      </w:r>
      <w:r w:rsidR="007D536E">
        <w:rPr>
          <w:bCs/>
        </w:rPr>
        <w:t>'</w:t>
      </w:r>
      <w:r w:rsidRPr="00C567FA">
        <w:rPr>
          <w:bCs/>
        </w:rPr>
        <w:t>aucun excédent significatif n</w:t>
      </w:r>
      <w:r w:rsidR="007D536E">
        <w:rPr>
          <w:bCs/>
        </w:rPr>
        <w:t>'</w:t>
      </w:r>
      <w:r w:rsidRPr="00C567FA">
        <w:rPr>
          <w:bCs/>
        </w:rPr>
        <w:t>a été dégagé.</w:t>
      </w:r>
      <w:r w:rsidRPr="00C567FA">
        <w:t xml:space="preserve"> Une autre cause de la diminution des produits est la baisse des produits au titre du recouvrement des coûts de l</w:t>
      </w:r>
      <w:r w:rsidR="007D536E">
        <w:t>'</w:t>
      </w:r>
      <w:r w:rsidRPr="00C567FA">
        <w:t>appui aux projets et du recouvrement des coûts des fiches de notification de réseaux à satellite. Cependant, cette baisse est en partie compensée par une hausse prévue des produits provenant de la vente des publications et par une mobilisation progressive des ressources pendant la période quadriennale, en vue de cofinancer certaines activités courantes.</w:t>
      </w:r>
    </w:p>
    <w:p w14:paraId="7BF5526C" w14:textId="46614193" w:rsidR="007F6037" w:rsidRPr="00C567FA" w:rsidRDefault="007F6037" w:rsidP="007D536E">
      <w:pPr>
        <w:rPr>
          <w:bCs/>
        </w:rPr>
      </w:pPr>
      <w:r w:rsidRPr="00C567FA">
        <w:t>4.2</w:t>
      </w:r>
      <w:r w:rsidR="005B06E1" w:rsidRPr="00C567FA">
        <w:t>7</w:t>
      </w:r>
      <w:r w:rsidRPr="00C567FA">
        <w:tab/>
        <w:t xml:space="preserve">Le </w:t>
      </w:r>
      <w:r w:rsidR="005B06E1" w:rsidRPr="00C567FA">
        <w:t>T</w:t>
      </w:r>
      <w:r w:rsidRPr="00C567FA">
        <w:t>ableau 3 présente les activités demandées mais non budgétées (UMAC), d</w:t>
      </w:r>
      <w:r w:rsidR="007D536E">
        <w:t>'</w:t>
      </w:r>
      <w:r w:rsidRPr="00C567FA">
        <w:t>un montant total de 31,7 millions CHF, qui correspondent aux principales variations du programme par rapport au budget et au plan financier actuels et qui n</w:t>
      </w:r>
      <w:r w:rsidR="007D536E">
        <w:t>'</w:t>
      </w:r>
      <w:r w:rsidRPr="00C567FA">
        <w:t>ont pas pu être financées dans le projet de plan financier pour la période 2024-2027 au stade actuel de son élaboration.</w:t>
      </w:r>
    </w:p>
    <w:p w14:paraId="0D67E5BC" w14:textId="77777777" w:rsidR="007F6037" w:rsidRPr="00C567FA" w:rsidRDefault="007F6037" w:rsidP="007D536E">
      <w:pPr>
        <w:rPr>
          <w:bCs/>
        </w:rPr>
      </w:pPr>
      <w:r w:rsidRPr="00C567FA">
        <w:rPr>
          <w:bCs/>
        </w:rPr>
        <w:t>4.2</w:t>
      </w:r>
      <w:r w:rsidR="005B06E1" w:rsidRPr="00C567FA">
        <w:rPr>
          <w:bCs/>
        </w:rPr>
        <w:t>8</w:t>
      </w:r>
      <w:r w:rsidRPr="00C567FA">
        <w:rPr>
          <w:bCs/>
        </w:rPr>
        <w:tab/>
        <w:t>Le Secrétariat a fourni les éclaircissements et les informations complémentaires ci-après, en réponse aux questions formulées par des délégués:</w:t>
      </w:r>
    </w:p>
    <w:p w14:paraId="65E5115F" w14:textId="314A702A" w:rsidR="007F6037" w:rsidRPr="00C567FA" w:rsidRDefault="00C567FA" w:rsidP="007D536E">
      <w:pPr>
        <w:pStyle w:val="enumlev1"/>
        <w:rPr>
          <w:bCs/>
        </w:rPr>
      </w:pPr>
      <w:r w:rsidRPr="00C567FA">
        <w:t>–</w:t>
      </w:r>
      <w:r w:rsidR="007F6037" w:rsidRPr="00C567FA">
        <w:tab/>
        <w:t>Le plan financier est lié au plan stratégique. Le projet de Résolution 71 a été élaboré par le</w:t>
      </w:r>
      <w:r w:rsidR="00A8573E" w:rsidRPr="00C567FA">
        <w:t> </w:t>
      </w:r>
      <w:r w:rsidR="007F6037" w:rsidRPr="00C567FA">
        <w:t>GTC chargé d</w:t>
      </w:r>
      <w:r w:rsidR="007D536E">
        <w:t>'</w:t>
      </w:r>
      <w:r w:rsidR="007F6037" w:rsidRPr="00C567FA">
        <w:t>élaborer le Plan stratégique et le Plan financier pour la période 2024-2027. Les résultats finals seront pris en compte dans la mise à jour du projet de plan financier pour la période 2024-2027.</w:t>
      </w:r>
    </w:p>
    <w:p w14:paraId="1FD84C92" w14:textId="3A8D3CD8" w:rsidR="007F6037" w:rsidRPr="00C567FA" w:rsidRDefault="00C567FA" w:rsidP="007D536E">
      <w:pPr>
        <w:pStyle w:val="enumlev1"/>
        <w:rPr>
          <w:bCs/>
        </w:rPr>
      </w:pPr>
      <w:r w:rsidRPr="00C567FA">
        <w:t>–</w:t>
      </w:r>
      <w:r w:rsidR="007F6037" w:rsidRPr="00C567FA">
        <w:tab/>
      </w:r>
      <w:r w:rsidR="007F6037" w:rsidRPr="00C567FA">
        <w:rPr>
          <w:bCs/>
        </w:rPr>
        <w:t>Inflation. Le budget de l</w:t>
      </w:r>
      <w:r w:rsidR="007D536E">
        <w:rPr>
          <w:bCs/>
        </w:rPr>
        <w:t>'</w:t>
      </w:r>
      <w:r w:rsidR="007F6037" w:rsidRPr="00C567FA">
        <w:rPr>
          <w:bCs/>
        </w:rPr>
        <w:t>UIT se compose essentiellement des traitements du personnel, qui représentent une part de 76%, et n</w:t>
      </w:r>
      <w:r w:rsidR="007D536E">
        <w:rPr>
          <w:bCs/>
        </w:rPr>
        <w:t>'</w:t>
      </w:r>
      <w:r w:rsidR="007F6037" w:rsidRPr="00C567FA">
        <w:rPr>
          <w:bCs/>
        </w:rPr>
        <w:t>est par conséquent pas touché par l</w:t>
      </w:r>
      <w:r w:rsidR="007D536E">
        <w:rPr>
          <w:bCs/>
        </w:rPr>
        <w:t>'</w:t>
      </w:r>
      <w:r w:rsidR="007F6037" w:rsidRPr="00C567FA">
        <w:rPr>
          <w:bCs/>
        </w:rPr>
        <w:t>inflation. Toutefois, le coût de l</w:t>
      </w:r>
      <w:r w:rsidR="007D536E">
        <w:rPr>
          <w:bCs/>
        </w:rPr>
        <w:t>'</w:t>
      </w:r>
      <w:r w:rsidR="007F6037" w:rsidRPr="00C567FA">
        <w:rPr>
          <w:bCs/>
        </w:rPr>
        <w:t>inflation sera pris en compte dans la construction du nouveau bâtiment.</w:t>
      </w:r>
    </w:p>
    <w:p w14:paraId="47FE3576" w14:textId="27BC1429" w:rsidR="007F6037" w:rsidRPr="00C567FA" w:rsidRDefault="00C567FA" w:rsidP="007D536E">
      <w:pPr>
        <w:pStyle w:val="enumlev1"/>
        <w:rPr>
          <w:bCs/>
        </w:rPr>
      </w:pPr>
      <w:r w:rsidRPr="00C567FA">
        <w:t>–</w:t>
      </w:r>
      <w:r w:rsidR="007F6037" w:rsidRPr="00C567FA">
        <w:tab/>
        <w:t>ASHI. Comme expliqué chaque année lors du Conseil, le secrétariat a une fois de plus souligné qu</w:t>
      </w:r>
      <w:r w:rsidR="007D536E">
        <w:t>'</w:t>
      </w:r>
      <w:r w:rsidR="007F6037" w:rsidRPr="00C567FA">
        <w:t>il n</w:t>
      </w:r>
      <w:r w:rsidR="007D536E">
        <w:t>'</w:t>
      </w:r>
      <w:r w:rsidR="007F6037" w:rsidRPr="00C567FA">
        <w:t>y avait pas de problème concernant le financement de l</w:t>
      </w:r>
      <w:r w:rsidR="007D536E">
        <w:t>'</w:t>
      </w:r>
      <w:r w:rsidR="007F6037" w:rsidRPr="00C567FA">
        <w:t>ASHI dans un avenir proche, puisque le budget prend en compte l</w:t>
      </w:r>
      <w:r w:rsidR="007D536E">
        <w:t>'</w:t>
      </w:r>
      <w:r w:rsidR="007F6037" w:rsidRPr="00C567FA">
        <w:t>assurance maladie du personnel. Les normes IPSAS exigent que l</w:t>
      </w:r>
      <w:r w:rsidR="007D536E">
        <w:t>'</w:t>
      </w:r>
      <w:r w:rsidR="007F6037" w:rsidRPr="00C567FA">
        <w:t>organisation offre une couverture d</w:t>
      </w:r>
      <w:r w:rsidR="007D536E">
        <w:t>'</w:t>
      </w:r>
      <w:r w:rsidR="007F6037" w:rsidRPr="00C567FA">
        <w:t>assurance maladie continue au personnel en activité et aux fonctionnaires retraités, même après la fermeture de l</w:t>
      </w:r>
      <w:r w:rsidR="007D536E">
        <w:t>'</w:t>
      </w:r>
      <w:r w:rsidR="007F6037" w:rsidRPr="00C567FA">
        <w:t>organisation. Le Conseil à sa session de 2010 a donc décidé de réapprovisionner le Fonds ASHI avec, pour commencer, un montant de 4 millions CHF transférés du Fonds de réserve. Le solde actuel du Fonds ASHI s</w:t>
      </w:r>
      <w:r w:rsidR="007D536E">
        <w:t>'</w:t>
      </w:r>
      <w:r w:rsidR="007F6037" w:rsidRPr="00C567FA">
        <w:t>élève à 13 millions CHF. À compter de 2022, tout le personnel engagé est tenu de verser une contribution de 5,35% à l</w:t>
      </w:r>
      <w:r w:rsidR="007D536E">
        <w:t>'</w:t>
      </w:r>
      <w:r w:rsidR="007F6037" w:rsidRPr="00C567FA">
        <w:t>ASHI, ce qui devrait couvrir les besoins d</w:t>
      </w:r>
      <w:r w:rsidR="007D536E">
        <w:t>'</w:t>
      </w:r>
      <w:r w:rsidR="007F6037" w:rsidRPr="00C567FA">
        <w:t>ici à 2030-2040. Les membres peuvent décider s</w:t>
      </w:r>
      <w:r w:rsidR="007D536E">
        <w:t>'</w:t>
      </w:r>
      <w:r w:rsidR="007F6037" w:rsidRPr="00C567FA">
        <w:t>il y a lieu de réapprovisionner régulièrement le Fonds ASHI. Le Groupe de travail des Nations Unies sur l</w:t>
      </w:r>
      <w:r w:rsidR="007D536E">
        <w:t>'</w:t>
      </w:r>
      <w:r w:rsidR="007F6037" w:rsidRPr="00C567FA">
        <w:t>ASHI, dont l</w:t>
      </w:r>
      <w:r w:rsidR="007D536E">
        <w:t>'</w:t>
      </w:r>
      <w:r w:rsidR="007F6037" w:rsidRPr="00C567FA">
        <w:t>UIT est membre, a transmis des recommandations au Secrétaire général de l</w:t>
      </w:r>
      <w:r w:rsidR="007D536E">
        <w:t>'</w:t>
      </w:r>
      <w:r w:rsidR="007F6037" w:rsidRPr="00C567FA">
        <w:t>ONU pour qu</w:t>
      </w:r>
      <w:r w:rsidR="007D536E">
        <w:t>'</w:t>
      </w:r>
      <w:r w:rsidR="007F6037" w:rsidRPr="00C567FA">
        <w:t>il les transmette à l</w:t>
      </w:r>
      <w:r w:rsidR="007D536E">
        <w:t>'</w:t>
      </w:r>
      <w:r w:rsidR="007F6037" w:rsidRPr="00C567FA">
        <w:t>Assemblée générale pour décision. L</w:t>
      </w:r>
      <w:r w:rsidR="007D536E">
        <w:t>'</w:t>
      </w:r>
      <w:r w:rsidR="007F6037" w:rsidRPr="00C567FA">
        <w:t>UIT tiendra compte du résultat de la décision pour définir les prochaines étapes à suivre.</w:t>
      </w:r>
    </w:p>
    <w:p w14:paraId="7E55C116" w14:textId="4EC2C67D" w:rsidR="007F6037" w:rsidRPr="00C567FA" w:rsidRDefault="00C567FA" w:rsidP="007D536E">
      <w:pPr>
        <w:pStyle w:val="enumlev1"/>
      </w:pPr>
      <w:r w:rsidRPr="00C567FA">
        <w:t>–</w:t>
      </w:r>
      <w:r w:rsidR="007F6037" w:rsidRPr="00C567FA">
        <w:tab/>
        <w:t>Fonds excédentaires. Étant donné que le taux d</w:t>
      </w:r>
      <w:r w:rsidR="007D536E">
        <w:t>'</w:t>
      </w:r>
      <w:r w:rsidR="007F6037" w:rsidRPr="00C567FA">
        <w:t>emplois vacants de 5% a été appliqué en tant que mesure d</w:t>
      </w:r>
      <w:r w:rsidR="007D536E">
        <w:t>'</w:t>
      </w:r>
      <w:r w:rsidR="007F6037" w:rsidRPr="00C567FA">
        <w:t>efficacité, le budget du personnel a été établi sur la base de 95% des coûts du personnel uniquement, de sorte qu</w:t>
      </w:r>
      <w:r w:rsidR="007D536E">
        <w:t>'</w:t>
      </w:r>
      <w:r w:rsidR="007F6037" w:rsidRPr="00C567FA">
        <w:t xml:space="preserve">une partie des économies a été utilisée pour </w:t>
      </w:r>
      <w:r w:rsidR="007F6037" w:rsidRPr="00C567FA">
        <w:lastRenderedPageBreak/>
        <w:t>compenser les coûts. Lors des années précédentes, le montant des économies a été plus important que dernièrement, en raison des retards dans le recrutement et de départs anticipés du personnel. En outre, les fonds excédentaires ont diminué ces dernières années en raison de la réduction des produits, y compris le recouvrement des coûts. Par exemple, il n</w:t>
      </w:r>
      <w:r w:rsidR="007D536E">
        <w:t>'</w:t>
      </w:r>
      <w:r w:rsidR="007F6037" w:rsidRPr="00C567FA">
        <w:t>y a pas eu de manifestations Telecom physiques en 2020 et en 2021, de sorte que le recouvrement des coûts d</w:t>
      </w:r>
      <w:r w:rsidR="007D536E">
        <w:t>'</w:t>
      </w:r>
      <w:r w:rsidR="007F6037" w:rsidRPr="00C567FA">
        <w:t>un montant de 1,5 million CHF par an n</w:t>
      </w:r>
      <w:r w:rsidR="007D536E">
        <w:t>'</w:t>
      </w:r>
      <w:r w:rsidR="007F6037" w:rsidRPr="00C567FA">
        <w:t>a pas été imputé à Telecom. Le secrétariat a informé les délégués qu</w:t>
      </w:r>
      <w:r w:rsidR="007D536E">
        <w:t>'</w:t>
      </w:r>
      <w:r w:rsidR="007F6037" w:rsidRPr="00C567FA">
        <w:t>à terme, il ne serait pas possible d</w:t>
      </w:r>
      <w:r w:rsidR="007D536E">
        <w:t>'</w:t>
      </w:r>
      <w:r w:rsidR="007F6037" w:rsidRPr="00C567FA">
        <w:t>utiliser les fonds excédentaires pour équilibrer le budget.</w:t>
      </w:r>
    </w:p>
    <w:p w14:paraId="3ADD654D" w14:textId="0CED845E" w:rsidR="007F6037" w:rsidRPr="00C567FA" w:rsidRDefault="00C567FA" w:rsidP="007D536E">
      <w:pPr>
        <w:pStyle w:val="enumlev1"/>
      </w:pPr>
      <w:r w:rsidRPr="00C567FA">
        <w:t>–</w:t>
      </w:r>
      <w:r w:rsidR="007F6037" w:rsidRPr="00C567FA">
        <w:tab/>
        <w:t>FDTIC. Ce Fonds vise à financer les projets TIC du BDT pour les pays en développement. Il a été alimenté au cours d</w:t>
      </w:r>
      <w:r w:rsidR="007D536E">
        <w:t>'</w:t>
      </w:r>
      <w:r w:rsidR="007F6037" w:rsidRPr="00C567FA">
        <w:t>années précédentes par le Fonds de roulement des expositions (EWCF), auquel le résultat net de chaque manifestation Telecom avait été transféré. Cependant, en raison des difficultés financières rencontrées par Telecom, aucun transfert de fonds n</w:t>
      </w:r>
      <w:r w:rsidR="007D536E">
        <w:t>'</w:t>
      </w:r>
      <w:r w:rsidR="007F6037" w:rsidRPr="00C567FA">
        <w:t>a été effectué de l</w:t>
      </w:r>
      <w:r w:rsidR="007D536E">
        <w:t>'</w:t>
      </w:r>
      <w:r w:rsidR="007F6037" w:rsidRPr="00C567FA">
        <w:t>EWCF vers le FDTIC ces dernières années.</w:t>
      </w:r>
    </w:p>
    <w:p w14:paraId="5A83FBA2" w14:textId="4634DF0B" w:rsidR="007F6037" w:rsidRPr="00C567FA" w:rsidRDefault="00C567FA" w:rsidP="007D536E">
      <w:pPr>
        <w:pStyle w:val="enumlev1"/>
      </w:pPr>
      <w:r w:rsidRPr="00C567FA">
        <w:t>–</w:t>
      </w:r>
      <w:r w:rsidR="007F6037" w:rsidRPr="00C567FA">
        <w:tab/>
        <w:t>Le nombre de postes au secrétariat reste constant. Les postes supplémentaires pour les trois Secteurs et le Secrétariat général concernent les activités demandées mais non budgétées (UMAC),</w:t>
      </w:r>
      <w:r w:rsidR="000D0774">
        <w:t xml:space="preserve"> </w:t>
      </w:r>
      <w:r w:rsidR="007F6037" w:rsidRPr="00C567FA">
        <w:t xml:space="preserve">telles que mentionnées dans le </w:t>
      </w:r>
      <w:r w:rsidR="00A8573E" w:rsidRPr="00C567FA">
        <w:t>T</w:t>
      </w:r>
      <w:r w:rsidR="007F6037" w:rsidRPr="00C567FA">
        <w:t>ableau 3 du Document C22/63.</w:t>
      </w:r>
    </w:p>
    <w:p w14:paraId="14596CB1" w14:textId="51D04D5A" w:rsidR="007F6037" w:rsidRPr="00C567FA" w:rsidRDefault="00C567FA" w:rsidP="007D536E">
      <w:pPr>
        <w:pStyle w:val="enumlev1"/>
      </w:pPr>
      <w:r w:rsidRPr="00C567FA">
        <w:t>–</w:t>
      </w:r>
      <w:r w:rsidR="007F6037" w:rsidRPr="00C567FA">
        <w:tab/>
        <w:t>Coûts indirects. Conformément à la Décision 619, le prêt du pays hôte ne couvre que le coût direct du projet. Les coûts indirects, c</w:t>
      </w:r>
      <w:r w:rsidR="007D536E">
        <w:t>'</w:t>
      </w:r>
      <w:r w:rsidR="007F6037" w:rsidRPr="00C567FA">
        <w:t>est-à-dire le matériel informatique, la gestion de l</w:t>
      </w:r>
      <w:r w:rsidR="007D536E">
        <w:t>'</w:t>
      </w:r>
      <w:r w:rsidR="007F6037" w:rsidRPr="00C567FA">
        <w:t>information et des dossiers, les outils de travail de l</w:t>
      </w:r>
      <w:r w:rsidR="007D536E">
        <w:t>'</w:t>
      </w:r>
      <w:r w:rsidR="007F6037" w:rsidRPr="00C567FA">
        <w:t>Union et le site web de l</w:t>
      </w:r>
      <w:r w:rsidR="007D536E">
        <w:t>'</w:t>
      </w:r>
      <w:r w:rsidR="007F6037" w:rsidRPr="00C567FA">
        <w:t xml:space="preserve">UIT sont financés par des parrainages et des dons. Voir le </w:t>
      </w:r>
      <w:r w:rsidR="00A8573E" w:rsidRPr="00C567FA">
        <w:t>T</w:t>
      </w:r>
      <w:r w:rsidR="007F6037" w:rsidRPr="00C567FA">
        <w:t xml:space="preserve">ableau 3 du Document C22/63 sur les activités UMAC </w:t>
      </w:r>
    </w:p>
    <w:p w14:paraId="45AB78EC" w14:textId="68FCA096" w:rsidR="007F6037" w:rsidRPr="00C567FA" w:rsidRDefault="00C567FA" w:rsidP="007D536E">
      <w:pPr>
        <w:pStyle w:val="enumlev1"/>
      </w:pPr>
      <w:r w:rsidRPr="00C567FA">
        <w:t>–</w:t>
      </w:r>
      <w:r w:rsidR="007F6037" w:rsidRPr="00C567FA">
        <w:tab/>
        <w:t xml:space="preserve">Écart entre le projet de plan financier pour la période 2024-2027 et les budgets 2020-2021 et 2022-2023. Le </w:t>
      </w:r>
      <w:r w:rsidR="00A8573E" w:rsidRPr="00C567FA">
        <w:t>T</w:t>
      </w:r>
      <w:r w:rsidR="007F6037" w:rsidRPr="00C567FA">
        <w:t>ableau 1.1 montre que l</w:t>
      </w:r>
      <w:r w:rsidR="007D536E">
        <w:t>'</w:t>
      </w:r>
      <w:r w:rsidR="007F6037" w:rsidRPr="00C567FA">
        <w:t>écart budgétaire au sein du Secrétariat général est nettement plus élevé que dans les trois Secteurs, étant donné que les charges qui profitent à la fois au Secrétariat général et aux trois Secteurs sont répercutées sur le Secrétariat général. Il s</w:t>
      </w:r>
      <w:r w:rsidR="007D536E">
        <w:t>'</w:t>
      </w:r>
      <w:r w:rsidR="007F6037" w:rsidRPr="00C567FA">
        <w:t>agit notamment des paiements à l</w:t>
      </w:r>
      <w:r w:rsidR="007D536E">
        <w:t>'</w:t>
      </w:r>
      <w:r w:rsidR="007F6037" w:rsidRPr="00C567FA">
        <w:t>UNSMIS, d</w:t>
      </w:r>
      <w:r w:rsidR="007D536E">
        <w:t>'</w:t>
      </w:r>
      <w:r w:rsidR="007F6037" w:rsidRPr="00C567FA">
        <w:t>un montant de 1,6 million USD par an, correspondant à la première annuité du nouveau bâtiment, de la suppression du taux d</w:t>
      </w:r>
      <w:r w:rsidR="007D536E">
        <w:t>'</w:t>
      </w:r>
      <w:r w:rsidR="007F6037" w:rsidRPr="00C567FA">
        <w:t xml:space="preserve">emplois vacants de 5%, etc. </w:t>
      </w:r>
    </w:p>
    <w:p w14:paraId="5E4ADF88" w14:textId="073C82E8" w:rsidR="007F6037" w:rsidRPr="00C567FA" w:rsidRDefault="00C567FA" w:rsidP="007D536E">
      <w:pPr>
        <w:pStyle w:val="enumlev1"/>
      </w:pPr>
      <w:r w:rsidRPr="00C567FA">
        <w:t>–</w:t>
      </w:r>
      <w:r w:rsidR="007F6037" w:rsidRPr="00C567FA">
        <w:tab/>
        <w:t>UMAC. Les résultats de l</w:t>
      </w:r>
      <w:r w:rsidR="007D536E">
        <w:t>'</w:t>
      </w:r>
      <w:r w:rsidR="007F6037" w:rsidRPr="00C567FA">
        <w:t>AMNT-20 et de la CMDT-</w:t>
      </w:r>
      <w:r w:rsidR="00653726">
        <w:t xml:space="preserve">22 </w:t>
      </w:r>
      <w:r w:rsidR="007F6037" w:rsidRPr="00C567FA">
        <w:t>seront a</w:t>
      </w:r>
      <w:r w:rsidR="000D0774">
        <w:t>joutés à la liste des activités </w:t>
      </w:r>
      <w:r w:rsidR="007F6037" w:rsidRPr="00C567FA">
        <w:t>UMAC.</w:t>
      </w:r>
    </w:p>
    <w:p w14:paraId="796E5086" w14:textId="30C6B360" w:rsidR="007F6037" w:rsidRPr="00C567FA" w:rsidRDefault="00C567FA" w:rsidP="007D536E">
      <w:pPr>
        <w:pStyle w:val="enumlev1"/>
        <w:rPr>
          <w:bCs/>
        </w:rPr>
      </w:pPr>
      <w:r w:rsidRPr="00C567FA">
        <w:t>–</w:t>
      </w:r>
      <w:r w:rsidR="007F6037" w:rsidRPr="00C567FA">
        <w:tab/>
        <w:t>Réduction de 17 millions CHF. La réduction globale de 17 millions CHF proposée a été approuvée par le Secrétariat général et les trois Secteurs, afin de donner suffisamment de souplesse au Conseil et à la direction lors de l</w:t>
      </w:r>
      <w:r w:rsidR="007D536E">
        <w:t>'</w:t>
      </w:r>
      <w:r w:rsidR="007F6037" w:rsidRPr="00C567FA">
        <w:t>élaboration des budgets 2024-2025 et 2026</w:t>
      </w:r>
      <w:r w:rsidR="007F6037" w:rsidRPr="00C567FA">
        <w:noBreakHyphen/>
        <w:t>2027, et de réfléchir à de nouveaux moyens d</w:t>
      </w:r>
      <w:r w:rsidR="007D536E">
        <w:t>'</w:t>
      </w:r>
      <w:r w:rsidR="007F6037" w:rsidRPr="00C567FA">
        <w:t>équilibrer ces budgets. Le secrétariat est convaincu que la nouvelle direction identifiera les mesures à prendre pour absorber le montant de 17 millions CHF concernant les budgets 2024-2025 et 2026-2027.</w:t>
      </w:r>
    </w:p>
    <w:p w14:paraId="18142901" w14:textId="30295207" w:rsidR="007F6037" w:rsidRPr="00C567FA" w:rsidRDefault="00C567FA" w:rsidP="007D536E">
      <w:pPr>
        <w:pStyle w:val="enumlev1"/>
        <w:rPr>
          <w:bCs/>
        </w:rPr>
      </w:pPr>
      <w:r w:rsidRPr="00C567FA">
        <w:t>–</w:t>
      </w:r>
      <w:r w:rsidR="007F6037" w:rsidRPr="00C567FA">
        <w:tab/>
        <w:t>Bureaux régionaux. Les recommandations du consultant (PWC) ont été transmises au GTC</w:t>
      </w:r>
      <w:r w:rsidR="00A8573E" w:rsidRPr="00C567FA">
        <w:noBreakHyphen/>
      </w:r>
      <w:r w:rsidR="007F6037" w:rsidRPr="00C567FA">
        <w:t>FHR en 2021. Un groupe ad hoc a été créé et a conclu qu</w:t>
      </w:r>
      <w:r w:rsidR="007D536E">
        <w:t>'</w:t>
      </w:r>
      <w:r w:rsidR="007F6037" w:rsidRPr="00C567FA">
        <w:t>il n</w:t>
      </w:r>
      <w:r w:rsidR="007D536E">
        <w:t>'</w:t>
      </w:r>
      <w:r w:rsidR="007F6037" w:rsidRPr="00C567FA">
        <w:t>y aurait aucun changement dans la structure et les effectifs des bureaux régionaux. La réduction ne porte pas sur les activités des initiatives régionales, mais seulement sur les sources d</w:t>
      </w:r>
      <w:r w:rsidR="007D536E">
        <w:t>'</w:t>
      </w:r>
      <w:r w:rsidR="007F6037" w:rsidRPr="00C567FA">
        <w:t>attribution des fonds. Sur les 5 millions CHF alloués aux initiatives régionales du BDT, 3 millions CHF figurent au titre des activités UMAC dans le Tableau 3 du Document C22/63. Par conséquent, ce montant apparaît comme une réduction au titre de la variation du programme du BDT dans le Tableau 1.4.</w:t>
      </w:r>
    </w:p>
    <w:p w14:paraId="5875DCCF" w14:textId="7FBA6C19" w:rsidR="007F6037" w:rsidRPr="00C567FA" w:rsidRDefault="00C567FA" w:rsidP="007D536E">
      <w:pPr>
        <w:pStyle w:val="enumlev1"/>
        <w:keepLines/>
        <w:rPr>
          <w:bCs/>
        </w:rPr>
      </w:pPr>
      <w:r w:rsidRPr="00C567FA">
        <w:lastRenderedPageBreak/>
        <w:t>–</w:t>
      </w:r>
      <w:r w:rsidR="007F6037" w:rsidRPr="00C567FA">
        <w:tab/>
        <w:t>Production de recettes et réduction des charges. Le secrétariat a demandé aux membres de présenter de nouvelles idées sur la façon de générer davantage de recettes. Le Comité de coordination, représenté par les trois bureaux et le Secrétariat général, a organisé un Café</w:t>
      </w:r>
      <w:r w:rsidR="00A8573E" w:rsidRPr="00C567FA">
        <w:noBreakHyphen/>
      </w:r>
      <w:r w:rsidR="007F6037" w:rsidRPr="00C567FA">
        <w:t>découverte pour recueillir des idées sur la production de recettes, la réduction des charges et l</w:t>
      </w:r>
      <w:r w:rsidR="007D536E">
        <w:t>'</w:t>
      </w:r>
      <w:r w:rsidR="007F6037" w:rsidRPr="00C567FA">
        <w:t>équilibre du projet de plan financier. On trouvera de plus amples informations dans le Document C22/INF/13. La direction examine et évalue les résultats afin de déterminer lesquelles de ces idées pourraient être mises en œuvre.</w:t>
      </w:r>
    </w:p>
    <w:p w14:paraId="3CA4DC0C" w14:textId="296CBFBD" w:rsidR="007F6037" w:rsidRPr="00C567FA" w:rsidRDefault="00C567FA" w:rsidP="007D536E">
      <w:pPr>
        <w:pStyle w:val="enumlev1"/>
        <w:spacing w:after="240"/>
        <w:rPr>
          <w:bCs/>
        </w:rPr>
      </w:pPr>
      <w:r w:rsidRPr="00C567FA">
        <w:t>–</w:t>
      </w:r>
      <w:r w:rsidR="007F6037" w:rsidRPr="00C567FA">
        <w:tab/>
        <w:t>Avenir de Telecom. Il n</w:t>
      </w:r>
      <w:r w:rsidR="007D536E">
        <w:t>'</w:t>
      </w:r>
      <w:r w:rsidR="007F6037" w:rsidRPr="00C567FA">
        <w:t>y a pas eu de manifestations Telecom physiques en 2020 et en 2021. Et il n</w:t>
      </w:r>
      <w:r w:rsidR="007D536E">
        <w:t>'</w:t>
      </w:r>
      <w:r w:rsidR="007F6037" w:rsidRPr="00C567FA">
        <w:t>est pas certain qu</w:t>
      </w:r>
      <w:r w:rsidR="007D536E">
        <w:t>'</w:t>
      </w:r>
      <w:r w:rsidR="007F6037" w:rsidRPr="00C567FA">
        <w:t xml:space="preserve">il y en ait une en 2022. Une étude a été effectuée par un consultant (Dalberg). </w:t>
      </w:r>
      <w:bookmarkEnd w:id="9"/>
      <w:r w:rsidR="007F6037" w:rsidRPr="00C567FA">
        <w:t>Des discussions sont attendues lors de la prochaine présentation en plénière.</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7F6037" w:rsidRPr="00C567FA" w14:paraId="01EE20D4" w14:textId="77777777" w:rsidTr="002932F3">
        <w:tc>
          <w:tcPr>
            <w:tcW w:w="9017" w:type="dxa"/>
            <w:tcBorders>
              <w:top w:val="single" w:sz="4" w:space="0" w:color="auto"/>
              <w:bottom w:val="single" w:sz="4" w:space="0" w:color="auto"/>
            </w:tcBorders>
          </w:tcPr>
          <w:p w14:paraId="1B9A92F3" w14:textId="77777777" w:rsidR="007F6037" w:rsidRPr="00C567FA" w:rsidRDefault="007F6037" w:rsidP="007D536E">
            <w:pPr>
              <w:rPr>
                <w:b/>
                <w:bCs/>
                <w:i/>
                <w:iCs/>
              </w:rPr>
            </w:pPr>
            <w:r w:rsidRPr="00C567FA">
              <w:rPr>
                <w:b/>
                <w:bCs/>
                <w:i/>
                <w:iCs/>
              </w:rPr>
              <w:t>Recommandation</w:t>
            </w:r>
          </w:p>
          <w:p w14:paraId="14043EE9" w14:textId="64EF671F" w:rsidR="007F6037" w:rsidRPr="00C567FA" w:rsidRDefault="007F6037" w:rsidP="007D536E">
            <w:pPr>
              <w:spacing w:after="120"/>
            </w:pPr>
            <w:r w:rsidRPr="00C567FA">
              <w:t>4.2</w:t>
            </w:r>
            <w:r w:rsidR="005B06E1" w:rsidRPr="00C567FA">
              <w:t>9</w:t>
            </w:r>
            <w:r w:rsidRPr="00C567FA">
              <w:tab/>
              <w:t xml:space="preserve">La Commission recommande au Conseil </w:t>
            </w:r>
            <w:r w:rsidR="001D00C9">
              <w:t>de transmettre</w:t>
            </w:r>
            <w:r w:rsidR="001D00C9" w:rsidRPr="00C567FA">
              <w:t xml:space="preserve"> </w:t>
            </w:r>
            <w:r w:rsidRPr="00C567FA">
              <w:t>le projet de plan financier pour la période 2024-2027 à la Conférence de plénipotentiaires de 2022.</w:t>
            </w:r>
          </w:p>
        </w:tc>
      </w:tr>
    </w:tbl>
    <w:p w14:paraId="276E10A0" w14:textId="39FBA8C8" w:rsidR="0057411C" w:rsidRPr="00C567FA" w:rsidRDefault="0057411C" w:rsidP="007D536E">
      <w:pPr>
        <w:pStyle w:val="Heading1"/>
      </w:pPr>
      <w:r w:rsidRPr="00C567FA">
        <w:t>5</w:t>
      </w:r>
      <w:r w:rsidRPr="00C567FA">
        <w:tab/>
        <w:t>Nouveau modèle et cadre de responsabilité de l</w:t>
      </w:r>
      <w:r w:rsidR="007D536E">
        <w:t>'</w:t>
      </w:r>
      <w:r w:rsidRPr="00C567FA">
        <w:t xml:space="preserve">UIT (Document </w:t>
      </w:r>
      <w:hyperlink r:id="rId53" w:history="1">
        <w:r w:rsidRPr="00C567FA">
          <w:rPr>
            <w:rStyle w:val="Hyperlink"/>
            <w:rFonts w:cs="Calibri"/>
            <w:bCs/>
            <w:szCs w:val="28"/>
          </w:rPr>
          <w:t>C22/57</w:t>
        </w:r>
      </w:hyperlink>
      <w:r w:rsidRPr="00C567FA">
        <w:t>)</w:t>
      </w:r>
    </w:p>
    <w:p w14:paraId="44809907" w14:textId="64FF7189" w:rsidR="0057411C" w:rsidRPr="00C567FA" w:rsidRDefault="0057411C" w:rsidP="007D536E">
      <w:pPr>
        <w:rPr>
          <w:bCs/>
          <w:spacing w:val="-2"/>
        </w:rPr>
      </w:pPr>
      <w:r w:rsidRPr="00C567FA">
        <w:rPr>
          <w:bCs/>
        </w:rPr>
        <w:t>5.1</w:t>
      </w:r>
      <w:r w:rsidRPr="00C567FA">
        <w:rPr>
          <w:bCs/>
        </w:rPr>
        <w:tab/>
        <w:t xml:space="preserve">Le secrétariat a présenté le document relatif au cadre de responsabilité. </w:t>
      </w:r>
      <w:r w:rsidRPr="00C567FA">
        <w:rPr>
          <w:rFonts w:eastAsia="Calibri"/>
          <w:bdr w:val="nil"/>
        </w:rPr>
        <w:t>Le but de ce projet est de renforcer encore les mécanismes de responsabilisation au sein de l</w:t>
      </w:r>
      <w:r w:rsidR="007D536E">
        <w:rPr>
          <w:rFonts w:eastAsia="Calibri"/>
          <w:bdr w:val="nil"/>
        </w:rPr>
        <w:t>'</w:t>
      </w:r>
      <w:r w:rsidRPr="00C567FA">
        <w:rPr>
          <w:rFonts w:eastAsia="Calibri"/>
          <w:bdr w:val="nil"/>
        </w:rPr>
        <w:t>organisation, comme l</w:t>
      </w:r>
      <w:r w:rsidR="007D536E">
        <w:rPr>
          <w:rFonts w:eastAsia="Calibri"/>
          <w:bdr w:val="nil"/>
        </w:rPr>
        <w:t>'</w:t>
      </w:r>
      <w:r w:rsidRPr="00C567FA">
        <w:rPr>
          <w:rFonts w:eastAsia="Calibri"/>
          <w:bdr w:val="nil"/>
        </w:rPr>
        <w:t>a indiqué récemment le Groupe de travail du Conseil sur les ressources financières et les ressources humaines (</w:t>
      </w:r>
      <w:hyperlink r:id="rId54" w:history="1">
        <w:r w:rsidRPr="00C567FA">
          <w:rPr>
            <w:rStyle w:val="Hyperlink"/>
            <w:rFonts w:eastAsia="Calibri"/>
          </w:rPr>
          <w:t>GTC-FHR-15/5</w:t>
        </w:r>
      </w:hyperlink>
      <w:r w:rsidRPr="00C567FA">
        <w:rPr>
          <w:rFonts w:eastAsia="Calibri"/>
          <w:bdr w:val="nil"/>
        </w:rPr>
        <w:t xml:space="preserve"> et </w:t>
      </w:r>
      <w:hyperlink r:id="rId55" w:history="1">
        <w:r w:rsidRPr="00C567FA">
          <w:rPr>
            <w:rStyle w:val="Hyperlink"/>
            <w:rFonts w:eastAsia="Calibri"/>
          </w:rPr>
          <w:t>GTC-FHR-14/2</w:t>
        </w:r>
      </w:hyperlink>
      <w:r w:rsidRPr="00C567FA">
        <w:rPr>
          <w:rFonts w:eastAsia="Calibri"/>
          <w:bdr w:val="nil"/>
        </w:rPr>
        <w:t>).</w:t>
      </w:r>
      <w:r w:rsidRPr="00C567FA">
        <w:rPr>
          <w:rFonts w:eastAsia="Calibri"/>
          <w:bdr w:val="nil"/>
          <w:lang w:eastAsia="zh-CN"/>
        </w:rPr>
        <w:t xml:space="preserve"> </w:t>
      </w:r>
      <w:r w:rsidRPr="00C567FA">
        <w:rPr>
          <w:bCs/>
        </w:rPr>
        <w:t>Le nouveau cadre a été conçu conformément aux activités de gestion suivantes:</w:t>
      </w:r>
    </w:p>
    <w:p w14:paraId="147B764A" w14:textId="1E8732C0" w:rsidR="0057411C" w:rsidRPr="00C567FA" w:rsidRDefault="0057411C" w:rsidP="007D536E">
      <w:pPr>
        <w:pStyle w:val="enumlev1"/>
      </w:pPr>
      <w:r w:rsidRPr="00C567FA">
        <w:t>–</w:t>
      </w:r>
      <w:r w:rsidRPr="00C567FA">
        <w:tab/>
        <w:t>plan d</w:t>
      </w:r>
      <w:r w:rsidR="007D536E">
        <w:t>'</w:t>
      </w:r>
      <w:r w:rsidRPr="00C567FA">
        <w:t>action du Groupe de travail sur les contrôles internes;</w:t>
      </w:r>
    </w:p>
    <w:p w14:paraId="5F75B911" w14:textId="37749683" w:rsidR="0057411C" w:rsidRPr="00C567FA" w:rsidRDefault="0057411C" w:rsidP="007D536E">
      <w:pPr>
        <w:pStyle w:val="enumlev1"/>
      </w:pPr>
      <w:r w:rsidRPr="00C567FA">
        <w:t>–</w:t>
      </w:r>
      <w:r w:rsidRPr="00C567FA">
        <w:tab/>
        <w:t>amélioration du cadre de gestion axée sur les résultats et élaboration d</w:t>
      </w:r>
      <w:r w:rsidR="007D536E">
        <w:t>'</w:t>
      </w:r>
      <w:r w:rsidRPr="00C567FA">
        <w:t>un cadre pour la délégation de pouvoir;</w:t>
      </w:r>
    </w:p>
    <w:p w14:paraId="4249A641" w14:textId="4B7190CD" w:rsidR="0057411C" w:rsidRPr="00C567FA" w:rsidRDefault="0057411C" w:rsidP="007D536E">
      <w:pPr>
        <w:pStyle w:val="enumlev1"/>
      </w:pPr>
      <w:r w:rsidRPr="00C567FA">
        <w:t>–</w:t>
      </w:r>
      <w:r w:rsidRPr="00C567FA">
        <w:tab/>
        <w:t>mise en œuvre du Plan d</w:t>
      </w:r>
      <w:r w:rsidR="007D536E">
        <w:t>'</w:t>
      </w:r>
      <w:r w:rsidRPr="00C567FA">
        <w:t>action pour la gestion des risques;</w:t>
      </w:r>
    </w:p>
    <w:p w14:paraId="1E7BE6BA" w14:textId="437E5A64" w:rsidR="0057411C" w:rsidRPr="00C567FA" w:rsidRDefault="0057411C" w:rsidP="007D536E">
      <w:pPr>
        <w:pStyle w:val="enumlev1"/>
      </w:pPr>
      <w:r w:rsidRPr="00C567FA">
        <w:t>–</w:t>
      </w:r>
      <w:r w:rsidRPr="00C567FA">
        <w:tab/>
        <w:t>création du tableau de bord de la conformité à l</w:t>
      </w:r>
      <w:r w:rsidR="007D536E">
        <w:t>'</w:t>
      </w:r>
      <w:r w:rsidRPr="00C567FA">
        <w:t>échelle de l</w:t>
      </w:r>
      <w:r w:rsidR="007D536E">
        <w:t>'</w:t>
      </w:r>
      <w:r w:rsidRPr="00C567FA">
        <w:t>UIT;</w:t>
      </w:r>
    </w:p>
    <w:p w14:paraId="124F429E" w14:textId="1CBB489C" w:rsidR="0057411C" w:rsidRPr="00C567FA" w:rsidRDefault="0057411C" w:rsidP="007D536E">
      <w:pPr>
        <w:pStyle w:val="enumlev1"/>
      </w:pPr>
      <w:r w:rsidRPr="00C567FA">
        <w:t>–</w:t>
      </w:r>
      <w:r w:rsidRPr="00C567FA">
        <w:tab/>
        <w:t>autres projets connexes, dont le projet d</w:t>
      </w:r>
      <w:r w:rsidR="007D536E">
        <w:t>'</w:t>
      </w:r>
      <w:r w:rsidRPr="00C567FA">
        <w:t>évaluation de la culture en matière de pratiques de direction et le projet de diagnostic culturel et d</w:t>
      </w:r>
      <w:r w:rsidR="007D536E">
        <w:t>'</w:t>
      </w:r>
      <w:r w:rsidRPr="00C567FA">
        <w:t>analyse du déficit de compétences.</w:t>
      </w:r>
    </w:p>
    <w:p w14:paraId="05BB6119" w14:textId="6183BF7F" w:rsidR="0057411C" w:rsidRPr="00C567FA" w:rsidRDefault="0057411C" w:rsidP="007D536E">
      <w:pPr>
        <w:rPr>
          <w:spacing w:val="-2"/>
        </w:rPr>
      </w:pPr>
      <w:r w:rsidRPr="00C567FA">
        <w:t>5.2</w:t>
      </w:r>
      <w:r w:rsidRPr="00C567FA">
        <w:tab/>
        <w:t>Le nouveau cadre de responsabilité de l</w:t>
      </w:r>
      <w:r w:rsidR="007D536E">
        <w:t>'</w:t>
      </w:r>
      <w:r w:rsidRPr="00C567FA">
        <w:t>UIT comprend 36 éléments au total relevant de neuf composantes:</w:t>
      </w:r>
    </w:p>
    <w:p w14:paraId="0088AA51" w14:textId="77777777" w:rsidR="0057411C" w:rsidRPr="00C567FA" w:rsidRDefault="0057411C" w:rsidP="007D536E">
      <w:pPr>
        <w:pStyle w:val="enumlev1"/>
      </w:pPr>
      <w:r w:rsidRPr="00C567FA">
        <w:t>–</w:t>
      </w:r>
      <w:r w:rsidRPr="00C567FA">
        <w:tab/>
        <w:t>Environnement de contrôle et supervision</w:t>
      </w:r>
    </w:p>
    <w:p w14:paraId="15FA9BAD" w14:textId="77777777" w:rsidR="0057411C" w:rsidRPr="00C567FA" w:rsidRDefault="0057411C" w:rsidP="007D536E">
      <w:pPr>
        <w:pStyle w:val="enumlev1"/>
      </w:pPr>
      <w:r w:rsidRPr="00C567FA">
        <w:t>–</w:t>
      </w:r>
      <w:r w:rsidRPr="00C567FA">
        <w:tab/>
        <w:t>Gestion axée sur les résultats (GAR)</w:t>
      </w:r>
    </w:p>
    <w:p w14:paraId="4A3302CE" w14:textId="77777777" w:rsidR="0057411C" w:rsidRPr="00C567FA" w:rsidRDefault="0057411C" w:rsidP="007D536E">
      <w:pPr>
        <w:pStyle w:val="enumlev1"/>
      </w:pPr>
      <w:r w:rsidRPr="00C567FA">
        <w:t>–</w:t>
      </w:r>
      <w:r w:rsidRPr="00C567FA">
        <w:tab/>
        <w:t>Gestion des risques</w:t>
      </w:r>
    </w:p>
    <w:p w14:paraId="21FF7EB4" w14:textId="77777777" w:rsidR="0057411C" w:rsidRPr="00C567FA" w:rsidRDefault="0057411C" w:rsidP="007D536E">
      <w:pPr>
        <w:pStyle w:val="enumlev1"/>
      </w:pPr>
      <w:r w:rsidRPr="00C567FA">
        <w:t>–</w:t>
      </w:r>
      <w:r w:rsidRPr="00C567FA">
        <w:tab/>
        <w:t>Activités de contrôle</w:t>
      </w:r>
    </w:p>
    <w:p w14:paraId="61AC83B9" w14:textId="77777777" w:rsidR="0057411C" w:rsidRPr="00C567FA" w:rsidRDefault="0057411C" w:rsidP="007D536E">
      <w:pPr>
        <w:pStyle w:val="enumlev1"/>
      </w:pPr>
      <w:r w:rsidRPr="00C567FA">
        <w:t>–</w:t>
      </w:r>
      <w:r w:rsidRPr="00C567FA">
        <w:tab/>
        <w:t>Information</w:t>
      </w:r>
    </w:p>
    <w:p w14:paraId="32464339" w14:textId="77777777" w:rsidR="0057411C" w:rsidRPr="00C567FA" w:rsidRDefault="0057411C" w:rsidP="007D536E">
      <w:pPr>
        <w:pStyle w:val="enumlev1"/>
      </w:pPr>
      <w:r w:rsidRPr="00C567FA">
        <w:t>–</w:t>
      </w:r>
      <w:r w:rsidRPr="00C567FA">
        <w:tab/>
        <w:t>Communication</w:t>
      </w:r>
    </w:p>
    <w:p w14:paraId="4C8DB494" w14:textId="77777777" w:rsidR="0057411C" w:rsidRPr="00C567FA" w:rsidRDefault="0057411C" w:rsidP="007D536E">
      <w:pPr>
        <w:pStyle w:val="enumlev1"/>
      </w:pPr>
      <w:r w:rsidRPr="00C567FA">
        <w:t>–</w:t>
      </w:r>
      <w:r w:rsidRPr="00C567FA">
        <w:tab/>
        <w:t>Gestion de la performance</w:t>
      </w:r>
    </w:p>
    <w:p w14:paraId="7355678E" w14:textId="77777777" w:rsidR="0057411C" w:rsidRPr="00C567FA" w:rsidRDefault="0057411C" w:rsidP="007D536E">
      <w:pPr>
        <w:pStyle w:val="enumlev1"/>
      </w:pPr>
      <w:r w:rsidRPr="00C567FA">
        <w:t>–</w:t>
      </w:r>
      <w:r w:rsidRPr="00C567FA">
        <w:tab/>
        <w:t>Suivi et évaluation</w:t>
      </w:r>
    </w:p>
    <w:p w14:paraId="2E72B1F7" w14:textId="77777777" w:rsidR="0057411C" w:rsidRPr="00C567FA" w:rsidRDefault="0057411C" w:rsidP="007D536E">
      <w:pPr>
        <w:pStyle w:val="enumlev1"/>
      </w:pPr>
      <w:r w:rsidRPr="00C567FA">
        <w:t>–</w:t>
      </w:r>
      <w:r w:rsidRPr="00C567FA">
        <w:tab/>
        <w:t>Espaces de confiance</w:t>
      </w:r>
    </w:p>
    <w:p w14:paraId="0122227B" w14:textId="215F827A" w:rsidR="0057411C" w:rsidRPr="00C567FA" w:rsidRDefault="0057411C" w:rsidP="007D536E">
      <w:r w:rsidRPr="00C567FA">
        <w:lastRenderedPageBreak/>
        <w:t>5.3</w:t>
      </w:r>
      <w:r w:rsidRPr="00C567FA">
        <w:tab/>
        <w:t>Une analyse plus approfondie sera effectuée afin d</w:t>
      </w:r>
      <w:r w:rsidR="007D536E">
        <w:t>'</w:t>
      </w:r>
      <w:r w:rsidRPr="00C567FA">
        <w:t>envisager la possibilité d</w:t>
      </w:r>
      <w:r w:rsidR="007D536E">
        <w:t>'</w:t>
      </w:r>
      <w:r w:rsidRPr="00C567FA">
        <w:t>inclure les composantes ci-après dans le cadre de responsabilité, lesquelles sont issues de travaux de recherche fondés sur les bonnes pratiques:</w:t>
      </w:r>
    </w:p>
    <w:p w14:paraId="159182AE" w14:textId="77777777" w:rsidR="0057411C" w:rsidRPr="00C567FA" w:rsidRDefault="0057411C" w:rsidP="007D536E">
      <w:pPr>
        <w:pStyle w:val="enumlev1"/>
      </w:pPr>
      <w:r w:rsidRPr="00C567FA">
        <w:t>–</w:t>
      </w:r>
      <w:r w:rsidRPr="00C567FA">
        <w:tab/>
        <w:t>Lignes directrices contraignantes en matière de direction (BLG)</w:t>
      </w:r>
    </w:p>
    <w:p w14:paraId="0A4F1752" w14:textId="77777777" w:rsidR="0057411C" w:rsidRPr="00C567FA" w:rsidRDefault="0057411C" w:rsidP="007D536E">
      <w:pPr>
        <w:pStyle w:val="enumlev1"/>
      </w:pPr>
      <w:r w:rsidRPr="00C567FA">
        <w:t>–</w:t>
      </w:r>
      <w:r w:rsidRPr="00C567FA">
        <w:tab/>
        <w:t>Publication des bonnes pratiques au travail</w:t>
      </w:r>
    </w:p>
    <w:p w14:paraId="173E560F" w14:textId="455D70FF" w:rsidR="0057411C" w:rsidRPr="00C567FA" w:rsidRDefault="0057411C" w:rsidP="007D536E">
      <w:pPr>
        <w:pStyle w:val="enumlev1"/>
      </w:pPr>
      <w:r w:rsidRPr="00C567FA">
        <w:t>–</w:t>
      </w:r>
      <w:r w:rsidRPr="00C567FA">
        <w:tab/>
        <w:t>Indice de la santé de l</w:t>
      </w:r>
      <w:r w:rsidR="007D536E">
        <w:t>'</w:t>
      </w:r>
      <w:r w:rsidRPr="00C567FA">
        <w:t>Organisation</w:t>
      </w:r>
    </w:p>
    <w:p w14:paraId="4D782E31" w14:textId="77777777" w:rsidR="0057411C" w:rsidRPr="00C567FA" w:rsidRDefault="0057411C" w:rsidP="007D536E">
      <w:pPr>
        <w:pStyle w:val="enumlev1"/>
      </w:pPr>
      <w:r w:rsidRPr="00C567FA">
        <w:t>–</w:t>
      </w:r>
      <w:r w:rsidRPr="00C567FA">
        <w:tab/>
        <w:t>Cercles dirigeants</w:t>
      </w:r>
    </w:p>
    <w:p w14:paraId="1690DA7E" w14:textId="77777777" w:rsidR="0057411C" w:rsidRPr="00C567FA" w:rsidRDefault="0057411C" w:rsidP="007D536E">
      <w:pPr>
        <w:pStyle w:val="enumlev1"/>
      </w:pPr>
      <w:r w:rsidRPr="00C567FA">
        <w:t>–</w:t>
      </w:r>
      <w:r w:rsidRPr="00C567FA">
        <w:tab/>
        <w:t>Médiateurs</w:t>
      </w:r>
    </w:p>
    <w:p w14:paraId="4E1AD6E9" w14:textId="1C35356A" w:rsidR="0057411C" w:rsidRPr="00C567FA" w:rsidRDefault="0057411C" w:rsidP="007D536E">
      <w:r w:rsidRPr="00C567FA">
        <w:t>5.4</w:t>
      </w:r>
      <w:r w:rsidRPr="00C567FA">
        <w:tab/>
        <w:t>Le secrétariat suivra en permanence l</w:t>
      </w:r>
      <w:r w:rsidR="007D536E">
        <w:t>'</w:t>
      </w:r>
      <w:r w:rsidRPr="00C567FA">
        <w:t>état d</w:t>
      </w:r>
      <w:r w:rsidR="007D536E">
        <w:t>'</w:t>
      </w:r>
      <w:r w:rsidRPr="00C567FA">
        <w:t>avancement des différentes composantes et évaluera leur efficacité et leur pertinence en vue d</w:t>
      </w:r>
      <w:r w:rsidR="007D536E">
        <w:t>'</w:t>
      </w:r>
      <w:r w:rsidRPr="00C567FA">
        <w:t>apporter de nouvelles améliorations au cadre. Il mène actuellement plusieurs consultations auprès des entités concernées, notamment le Corps commun d</w:t>
      </w:r>
      <w:r w:rsidR="007D536E">
        <w:t>'</w:t>
      </w:r>
      <w:r w:rsidRPr="00C567FA">
        <w:t>inspection, dont les 17 conditions (</w:t>
      </w:r>
      <w:r w:rsidR="00C567FA" w:rsidRPr="00C567FA">
        <w:t>JIU</w:t>
      </w:r>
      <w:r w:rsidRPr="00C567FA">
        <w:t>/R</w:t>
      </w:r>
      <w:r w:rsidR="00C567FA" w:rsidRPr="00C567FA">
        <w:t>E</w:t>
      </w:r>
      <w:r w:rsidRPr="00C567FA">
        <w:t>P/2011/15) figurent dans le Cadre de responsabilité. Des consultations sont également menées auprès d</w:t>
      </w:r>
      <w:r w:rsidR="007D536E">
        <w:t>'</w:t>
      </w:r>
      <w:r w:rsidRPr="00C567FA">
        <w:t>experts internes, d</w:t>
      </w:r>
      <w:r w:rsidR="007D536E">
        <w:t>'</w:t>
      </w:r>
      <w:r w:rsidRPr="00C567FA">
        <w:t>autres organisations du système des Nations Unies et du Comité consultatif indépendant pour les questions de gestion (CCIG), dans le but de mettre le cadre à l</w:t>
      </w:r>
      <w:r w:rsidR="007D536E">
        <w:t>'</w:t>
      </w:r>
      <w:r w:rsidRPr="00C567FA">
        <w:t>essai et d</w:t>
      </w:r>
      <w:r w:rsidR="007D536E">
        <w:t>'</w:t>
      </w:r>
      <w:r w:rsidRPr="00C567FA">
        <w:t>obtenir des conseils issus de modèles de bonnes pratiques.</w:t>
      </w:r>
    </w:p>
    <w:p w14:paraId="76B378E4" w14:textId="77777777" w:rsidR="0057411C" w:rsidRPr="00C567FA" w:rsidRDefault="0057411C" w:rsidP="007D536E">
      <w:r w:rsidRPr="00C567FA">
        <w:t>5.5</w:t>
      </w:r>
      <w:r w:rsidRPr="00C567FA">
        <w:tab/>
        <w:t>En réponse aux questions et aux demandes de précisions formulées par les délégués, le secrétariat a fourni les informations suivantes:</w:t>
      </w:r>
    </w:p>
    <w:p w14:paraId="5E31B145" w14:textId="1281AA3F" w:rsidR="0057411C" w:rsidRPr="00C567FA" w:rsidRDefault="0057411C" w:rsidP="007D536E">
      <w:pPr>
        <w:pStyle w:val="enumlev1"/>
      </w:pPr>
      <w:r w:rsidRPr="00C567FA">
        <w:t>–</w:t>
      </w:r>
      <w:r w:rsidRPr="00C567FA">
        <w:tab/>
        <w:t>Ancien et nouveau modèle: L</w:t>
      </w:r>
      <w:r w:rsidR="007D536E">
        <w:t>'</w:t>
      </w:r>
      <w:r w:rsidRPr="00C567FA">
        <w:t>ancien modèle de responsabilité ne s</w:t>
      </w:r>
      <w:r w:rsidR="007D536E">
        <w:t>'</w:t>
      </w:r>
      <w:r w:rsidRPr="00C567FA">
        <w:t>appuie que sur les 17 recommandations du Corps commun d</w:t>
      </w:r>
      <w:r w:rsidR="007D536E">
        <w:t>'</w:t>
      </w:r>
      <w:r w:rsidRPr="00C567FA">
        <w:t>inspection (CCI). Le nouveau modèle est fondé sur les recommandations figurant dans le rapport du Vérificateur extérieur des comptes (états financiers pour 2019) et le rapport de PwC sur la présence régionale. Il tient compte des bonnes pratiques au sein du système des Nations Unies et des mesures d</w:t>
      </w:r>
      <w:r w:rsidR="007D536E">
        <w:t>'</w:t>
      </w:r>
      <w:r w:rsidRPr="00C567FA">
        <w:t>efficacité visant notamment à éviter les doubles emplois dans les travaux du Secrétariat général et des trois Secteurs.</w:t>
      </w:r>
    </w:p>
    <w:p w14:paraId="336A9A61" w14:textId="5338D62E" w:rsidR="0057411C" w:rsidRPr="00C567FA" w:rsidRDefault="0057411C" w:rsidP="007D536E">
      <w:pPr>
        <w:pStyle w:val="enumlev1"/>
      </w:pPr>
      <w:r w:rsidRPr="00C567FA">
        <w:t>–</w:t>
      </w:r>
      <w:r w:rsidRPr="00C567FA">
        <w:tab/>
        <w:t>Recommandations: Le nouveau modèle a été communiqué au CCIG, et les recommandations du Comité ont été prises en considération. Il a également été tenu compte, dans le nouveau modèle, des recommandations formulées par le Vérificateur extérieur des comptes. Le nouveau modèle sera présenté au nouveau Vérificateur extérieur des comptes, qui prendra ses fonctions en juillet 2022 et dont les recommandations seront intégrées dans le rapport qu</w:t>
      </w:r>
      <w:r w:rsidR="007D536E">
        <w:t>'</w:t>
      </w:r>
      <w:r w:rsidRPr="00C567FA">
        <w:t>il présentera au Conseil à sa session de 2023.</w:t>
      </w:r>
    </w:p>
    <w:p w14:paraId="1BB14DD0" w14:textId="5A6D18DF" w:rsidR="0057411C" w:rsidRPr="00C567FA" w:rsidRDefault="0057411C" w:rsidP="007D536E">
      <w:pPr>
        <w:pStyle w:val="enumlev1"/>
      </w:pPr>
      <w:r w:rsidRPr="00C567FA">
        <w:t>–</w:t>
      </w:r>
      <w:r w:rsidRPr="00C567FA">
        <w:tab/>
        <w:t>Mise en œuvre: Une fois que le nouveau modèle aura été approuvé, une note de service sera publiée, afin d</w:t>
      </w:r>
      <w:r w:rsidR="007D536E">
        <w:t>'</w:t>
      </w:r>
      <w:r w:rsidRPr="00C567FA">
        <w:t>indiquer quels sont les départements du Secrétariat général qui appliqueront ce modèle.</w:t>
      </w:r>
    </w:p>
    <w:p w14:paraId="7C02DE7B" w14:textId="4DC9EDF8" w:rsidR="0057411C" w:rsidRPr="00C567FA" w:rsidRDefault="0057411C" w:rsidP="007D536E">
      <w:pPr>
        <w:pStyle w:val="enumlev1"/>
      </w:pPr>
      <w:r w:rsidRPr="00C567FA">
        <w:t>–</w:t>
      </w:r>
      <w:r w:rsidRPr="00C567FA">
        <w:tab/>
        <w:t>Caractère dynamique: Le nouveau modèle est dynamique et peut être modifié à tout moment, afin d</w:t>
      </w:r>
      <w:r w:rsidR="007D536E">
        <w:t>'</w:t>
      </w:r>
      <w:r w:rsidRPr="00C567FA">
        <w:t>intégrer les éventuelles améliorations nécessaires.</w:t>
      </w:r>
    </w:p>
    <w:p w14:paraId="151DFE30" w14:textId="6B2B7F5D" w:rsidR="0057411C" w:rsidRPr="00C567FA" w:rsidRDefault="0057411C" w:rsidP="007D536E">
      <w:pPr>
        <w:pStyle w:val="enumlev1"/>
        <w:spacing w:after="240"/>
      </w:pPr>
      <w:r w:rsidRPr="00C567FA">
        <w:t>–</w:t>
      </w:r>
      <w:r w:rsidRPr="00C567FA">
        <w:tab/>
        <w:t>Soumission de rapports au Conseil: Une évaluation du nouveau modèle sera effectuée à intervalles réguliers chaque année. Le secrétariat rendra compte chaque année au Conseil de l</w:t>
      </w:r>
      <w:r w:rsidR="007D536E">
        <w:t>'</w:t>
      </w:r>
      <w:r w:rsidRPr="00C567FA">
        <w:t>état d</w:t>
      </w:r>
      <w:r w:rsidR="007D536E">
        <w:t>'</w:t>
      </w:r>
      <w:r w:rsidRPr="00C567FA">
        <w:t>avancement de la mise en œuvre du nouveau modèle, notamment en ce qui concerne les mises à jour pertinentes.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57411C" w:rsidRPr="00C567FA" w14:paraId="33DB0E99" w14:textId="77777777" w:rsidTr="002932F3">
        <w:tc>
          <w:tcPr>
            <w:tcW w:w="9017" w:type="dxa"/>
            <w:tcBorders>
              <w:top w:val="single" w:sz="4" w:space="0" w:color="auto"/>
              <w:bottom w:val="single" w:sz="4" w:space="0" w:color="auto"/>
            </w:tcBorders>
          </w:tcPr>
          <w:p w14:paraId="3AAD2153" w14:textId="77777777" w:rsidR="0057411C" w:rsidRPr="00C567FA" w:rsidRDefault="0057411C" w:rsidP="007D536E">
            <w:pPr>
              <w:pStyle w:val="Headingb"/>
              <w:rPr>
                <w:i/>
                <w:iCs/>
              </w:rPr>
            </w:pPr>
            <w:r w:rsidRPr="00C567FA">
              <w:rPr>
                <w:i/>
                <w:iCs/>
              </w:rPr>
              <w:lastRenderedPageBreak/>
              <w:t>Recommandation</w:t>
            </w:r>
          </w:p>
          <w:p w14:paraId="1EE4353C" w14:textId="0B744840" w:rsidR="0057411C" w:rsidRPr="00C567FA" w:rsidRDefault="0057411C" w:rsidP="007D536E">
            <w:pPr>
              <w:spacing w:after="120"/>
              <w:rPr>
                <w:rFonts w:cs="Calibri"/>
                <w:szCs w:val="24"/>
              </w:rPr>
            </w:pPr>
            <w:r w:rsidRPr="00C567FA">
              <w:rPr>
                <w:rFonts w:cs="Calibri"/>
                <w:szCs w:val="24"/>
              </w:rPr>
              <w:t>5.6</w:t>
            </w:r>
            <w:r w:rsidRPr="00C567FA">
              <w:rPr>
                <w:rFonts w:cs="Calibri"/>
                <w:szCs w:val="24"/>
              </w:rPr>
              <w:tab/>
            </w:r>
            <w:r w:rsidRPr="00C567FA">
              <w:t xml:space="preserve">La Commission recommande au Conseil </w:t>
            </w:r>
            <w:r w:rsidRPr="00C567FA">
              <w:rPr>
                <w:b/>
                <w:bCs/>
              </w:rPr>
              <w:t>d</w:t>
            </w:r>
            <w:r w:rsidR="007D536E">
              <w:rPr>
                <w:b/>
                <w:bCs/>
              </w:rPr>
              <w:t>'</w:t>
            </w:r>
            <w:r w:rsidRPr="00C567FA">
              <w:rPr>
                <w:b/>
                <w:bCs/>
              </w:rPr>
              <w:t>approuver</w:t>
            </w:r>
            <w:r w:rsidRPr="00C567FA">
              <w:t xml:space="preserve"> le nouveau modèle et cadre de responsabilité de l</w:t>
            </w:r>
            <w:r w:rsidR="007D536E">
              <w:t>'</w:t>
            </w:r>
            <w:r w:rsidRPr="00C567FA">
              <w:t>UIT reproduit dans le Document C22/57.</w:t>
            </w:r>
          </w:p>
        </w:tc>
      </w:tr>
    </w:tbl>
    <w:p w14:paraId="75CBC837" w14:textId="53EB1620" w:rsidR="0057411C" w:rsidRPr="00C567FA" w:rsidRDefault="0057411C" w:rsidP="007D536E">
      <w:pPr>
        <w:pStyle w:val="Heading1"/>
      </w:pPr>
      <w:r w:rsidRPr="00C567FA">
        <w:t>6</w:t>
      </w:r>
      <w:r w:rsidRPr="00C567FA">
        <w:tab/>
        <w:t>Mémorandums d</w:t>
      </w:r>
      <w:r w:rsidR="007D536E">
        <w:t>'</w:t>
      </w:r>
      <w:r w:rsidRPr="00C567FA">
        <w:t>accord ayant des incidences financières ou stratégiques (</w:t>
      </w:r>
      <w:r w:rsidRPr="00C567FA">
        <w:rPr>
          <w:i/>
          <w:iCs/>
        </w:rPr>
        <w:t>Résolution 192</w:t>
      </w:r>
      <w:r w:rsidRPr="00C567FA">
        <w:t>) (présentation orale)</w:t>
      </w:r>
    </w:p>
    <w:p w14:paraId="25CCCE82" w14:textId="7FCEA54A" w:rsidR="0057411C" w:rsidRPr="00C567FA" w:rsidRDefault="0057411C" w:rsidP="007D536E">
      <w:r w:rsidRPr="00C567FA">
        <w:rPr>
          <w:bCs/>
        </w:rPr>
        <w:t>6.1</w:t>
      </w:r>
      <w:r w:rsidRPr="00C567FA">
        <w:rPr>
          <w:bCs/>
        </w:rPr>
        <w:tab/>
      </w:r>
      <w:r w:rsidRPr="00C567FA">
        <w:t>Le secrétariat a présenté la synthèse de tous les mémorandums d</w:t>
      </w:r>
      <w:r w:rsidR="007D536E">
        <w:t>'</w:t>
      </w:r>
      <w:r w:rsidRPr="00C567FA">
        <w:t>accord ayant des incidences financières ou stratégiques, lesquels sont désormais disponibles sur le Tableau de bord du Conseil. Quatre nouveaux mémorandums d</w:t>
      </w:r>
      <w:r w:rsidR="007D536E">
        <w:t>'</w:t>
      </w:r>
      <w:r w:rsidRPr="00C567FA">
        <w:t>accord ont été ajoutés en 2022. Le secrétariat mettra régulièrement à jour le tableau de bord.</w:t>
      </w:r>
    </w:p>
    <w:p w14:paraId="3D1B13B0" w14:textId="3A508CE6" w:rsidR="0057411C" w:rsidRPr="00C567FA" w:rsidRDefault="0057411C" w:rsidP="007D536E">
      <w:pPr>
        <w:spacing w:after="120"/>
      </w:pPr>
      <w:r w:rsidRPr="00C567FA">
        <w:t>6.2</w:t>
      </w:r>
      <w:r w:rsidRPr="00C567FA">
        <w:tab/>
        <w:t>Des délégués se sont félicités d</w:t>
      </w:r>
      <w:r w:rsidR="007D536E">
        <w:t>'</w:t>
      </w:r>
      <w:r w:rsidRPr="00C567FA">
        <w:t>avoir accès facilement aux mémorandums d</w:t>
      </w:r>
      <w:r w:rsidR="007D536E">
        <w:t>'</w:t>
      </w:r>
      <w:r w:rsidRPr="00C567FA">
        <w:t>accord, mais plusieurs d</w:t>
      </w:r>
      <w:r w:rsidR="007D536E">
        <w:t>'</w:t>
      </w:r>
      <w:r w:rsidRPr="00C567FA">
        <w:t>entre eux ont demandé au secrétariat d</w:t>
      </w:r>
      <w:r w:rsidR="007D536E">
        <w:t>'</w:t>
      </w:r>
      <w:r w:rsidRPr="00C567FA">
        <w:t>élaborer un rapport détaillé à l</w:t>
      </w:r>
      <w:r w:rsidR="007D536E">
        <w:t>'</w:t>
      </w:r>
      <w:r w:rsidRPr="00C567FA">
        <w:t>intention de la session de 2023 du Conseil, afin de donner des éclaircissements sur les dispositions juridiques et le statut des mémorandums d</w:t>
      </w:r>
      <w:r w:rsidR="007D536E">
        <w:t>'</w:t>
      </w:r>
      <w:r w:rsidRPr="00C567FA">
        <w:t>accord, ainsi qu</w:t>
      </w:r>
      <w:r w:rsidR="007D536E">
        <w:t>'</w:t>
      </w:r>
      <w:r w:rsidRPr="00C567FA">
        <w:t>un aperçu des incidences financières.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57411C" w:rsidRPr="00C567FA" w14:paraId="075B9BAC" w14:textId="77777777" w:rsidTr="002932F3">
        <w:tc>
          <w:tcPr>
            <w:tcW w:w="9017" w:type="dxa"/>
            <w:tcBorders>
              <w:top w:val="single" w:sz="4" w:space="0" w:color="auto"/>
              <w:bottom w:val="single" w:sz="4" w:space="0" w:color="auto"/>
            </w:tcBorders>
          </w:tcPr>
          <w:p w14:paraId="52CF2532" w14:textId="77777777" w:rsidR="0057411C" w:rsidRPr="00C567FA" w:rsidRDefault="0057411C" w:rsidP="007D536E">
            <w:pPr>
              <w:pStyle w:val="Headingb"/>
              <w:rPr>
                <w:i/>
                <w:iCs/>
              </w:rPr>
            </w:pPr>
            <w:r w:rsidRPr="00C567FA">
              <w:rPr>
                <w:i/>
                <w:iCs/>
              </w:rPr>
              <w:t>Recommandation</w:t>
            </w:r>
          </w:p>
          <w:p w14:paraId="6FD2DC55" w14:textId="07FE2A4E" w:rsidR="0057411C" w:rsidRPr="00C567FA" w:rsidRDefault="0057411C" w:rsidP="007D536E">
            <w:pPr>
              <w:spacing w:after="120"/>
              <w:rPr>
                <w:rFonts w:cs="Calibri"/>
                <w:szCs w:val="24"/>
              </w:rPr>
            </w:pPr>
            <w:r w:rsidRPr="00C567FA">
              <w:rPr>
                <w:rFonts w:cs="Calibri"/>
                <w:szCs w:val="24"/>
              </w:rPr>
              <w:t>6.3</w:t>
            </w:r>
            <w:r w:rsidRPr="00C567FA">
              <w:rPr>
                <w:rFonts w:cs="Calibri"/>
                <w:szCs w:val="24"/>
              </w:rPr>
              <w:tab/>
              <w:t>La Commission recommande au Conseil de prendre note de la présentation orale et de demander au secrétariat d</w:t>
            </w:r>
            <w:r w:rsidR="007D536E">
              <w:rPr>
                <w:rFonts w:cs="Calibri"/>
                <w:szCs w:val="24"/>
              </w:rPr>
              <w:t>'</w:t>
            </w:r>
            <w:r w:rsidRPr="00C567FA">
              <w:rPr>
                <w:rFonts w:cs="Calibri"/>
                <w:szCs w:val="24"/>
              </w:rPr>
              <w:t>élaborer un rapport détaillé</w:t>
            </w:r>
            <w:r w:rsidR="000D0774">
              <w:rPr>
                <w:rFonts w:cs="Calibri"/>
                <w:szCs w:val="24"/>
              </w:rPr>
              <w:t xml:space="preserve"> à l</w:t>
            </w:r>
            <w:r w:rsidR="007D536E">
              <w:rPr>
                <w:rFonts w:cs="Calibri"/>
                <w:szCs w:val="24"/>
              </w:rPr>
              <w:t>'</w:t>
            </w:r>
            <w:r w:rsidR="000D0774">
              <w:rPr>
                <w:rFonts w:cs="Calibri"/>
                <w:szCs w:val="24"/>
              </w:rPr>
              <w:t>intention de la session de </w:t>
            </w:r>
            <w:r w:rsidRPr="00C567FA">
              <w:rPr>
                <w:rFonts w:cs="Calibri"/>
                <w:szCs w:val="24"/>
              </w:rPr>
              <w:t>2023 du Conseil, afin de donner des éclaircissements sur les dispositions juridiques et le statut des mémorandums d</w:t>
            </w:r>
            <w:r w:rsidR="007D536E">
              <w:rPr>
                <w:rFonts w:cs="Calibri"/>
                <w:szCs w:val="24"/>
              </w:rPr>
              <w:t>'</w:t>
            </w:r>
            <w:r w:rsidRPr="00C567FA">
              <w:rPr>
                <w:rFonts w:cs="Calibri"/>
                <w:szCs w:val="24"/>
              </w:rPr>
              <w:t>accord, ainsi qu</w:t>
            </w:r>
            <w:r w:rsidR="007D536E">
              <w:rPr>
                <w:rFonts w:cs="Calibri"/>
                <w:szCs w:val="24"/>
              </w:rPr>
              <w:t>'</w:t>
            </w:r>
            <w:r w:rsidRPr="00C567FA">
              <w:rPr>
                <w:rFonts w:cs="Calibri"/>
                <w:szCs w:val="24"/>
              </w:rPr>
              <w:t xml:space="preserve">un aperçu des incidences </w:t>
            </w:r>
            <w:r w:rsidR="00BB4CC1">
              <w:rPr>
                <w:rFonts w:cs="Calibri"/>
                <w:szCs w:val="24"/>
              </w:rPr>
              <w:t xml:space="preserve">stratégiques et </w:t>
            </w:r>
            <w:r w:rsidRPr="00C567FA">
              <w:rPr>
                <w:rFonts w:cs="Calibri"/>
                <w:szCs w:val="24"/>
              </w:rPr>
              <w:t>financières.</w:t>
            </w:r>
          </w:p>
        </w:tc>
      </w:tr>
    </w:tbl>
    <w:p w14:paraId="606FD373" w14:textId="77777777" w:rsidR="0057411C" w:rsidRPr="00C567FA" w:rsidRDefault="0057411C" w:rsidP="007D536E">
      <w:pPr>
        <w:pStyle w:val="Heading1"/>
      </w:pPr>
      <w:bookmarkStart w:id="11" w:name="_Hlk99015874"/>
      <w:r w:rsidRPr="00C567FA">
        <w:t>7</w:t>
      </w:r>
      <w:r w:rsidRPr="00C567FA">
        <w:tab/>
        <w:t xml:space="preserve">Renforcement de la présence régionale (Document </w:t>
      </w:r>
      <w:hyperlink r:id="rId56" w:history="1">
        <w:r w:rsidRPr="00C567FA">
          <w:rPr>
            <w:rStyle w:val="Hyperlink"/>
            <w:rFonts w:cs="Calibri"/>
            <w:szCs w:val="28"/>
          </w:rPr>
          <w:t>C22/25</w:t>
        </w:r>
      </w:hyperlink>
      <w:r w:rsidRPr="00C567FA">
        <w:t>)</w:t>
      </w:r>
    </w:p>
    <w:p w14:paraId="3D0FC4EF" w14:textId="77777777" w:rsidR="0057411C" w:rsidRPr="00C567FA" w:rsidRDefault="0057411C" w:rsidP="007D536E">
      <w:pPr>
        <w:rPr>
          <w:rFonts w:eastAsia="SimHei"/>
        </w:rPr>
      </w:pPr>
      <w:r w:rsidRPr="00C567FA">
        <w:rPr>
          <w:rFonts w:eastAsia="SimHei"/>
        </w:rPr>
        <w:t>7.1</w:t>
      </w:r>
      <w:r w:rsidRPr="00C567FA">
        <w:rPr>
          <w:rFonts w:eastAsia="SimHei"/>
        </w:rPr>
        <w:tab/>
        <w:t>Le secrétariat a présenté le Document C22/25 relatif au renforcement de la présence régionale.</w:t>
      </w:r>
    </w:p>
    <w:p w14:paraId="2102DCB8" w14:textId="1DB82557" w:rsidR="0057411C" w:rsidRPr="00C567FA" w:rsidRDefault="0057411C" w:rsidP="007D536E">
      <w:pPr>
        <w:rPr>
          <w:rFonts w:eastAsia="Calibri"/>
        </w:rPr>
      </w:pPr>
      <w:r w:rsidRPr="00C567FA">
        <w:rPr>
          <w:rFonts w:eastAsia="Calibri"/>
        </w:rPr>
        <w:t>7.2</w:t>
      </w:r>
      <w:r w:rsidRPr="00C567FA">
        <w:rPr>
          <w:rFonts w:eastAsia="Calibri"/>
        </w:rPr>
        <w:tab/>
        <w:t>Il a été pris note du fait que les travaux visant à mettre en œuvre les recommandations formulées par PwC dans son rapport sur l</w:t>
      </w:r>
      <w:r w:rsidR="007D536E">
        <w:rPr>
          <w:rFonts w:eastAsia="Calibri"/>
        </w:rPr>
        <w:t>'</w:t>
      </w:r>
      <w:r w:rsidRPr="00C567FA">
        <w:rPr>
          <w:rFonts w:eastAsia="Calibri"/>
        </w:rPr>
        <w:t>examen de la présence régionale de l</w:t>
      </w:r>
      <w:r w:rsidR="007D536E">
        <w:rPr>
          <w:rFonts w:eastAsia="Calibri"/>
        </w:rPr>
        <w:t>'</w:t>
      </w:r>
      <w:r w:rsidRPr="00C567FA">
        <w:rPr>
          <w:rFonts w:eastAsia="Calibri"/>
        </w:rPr>
        <w:t>UIT se sont poursuivis. Le secrétariat a souligné que l</w:t>
      </w:r>
      <w:r w:rsidR="007D536E">
        <w:rPr>
          <w:rFonts w:eastAsia="Calibri"/>
        </w:rPr>
        <w:t>'</w:t>
      </w:r>
      <w:r w:rsidRPr="00C567FA">
        <w:rPr>
          <w:rFonts w:eastAsia="Calibri"/>
        </w:rPr>
        <w:t>enquête concernant le niveau de satisfaction des États Membres, des Membres de Secteur et des organisations régionales de télécommunication vis-à-vis de la présence régionale de l</w:t>
      </w:r>
      <w:r w:rsidR="007D536E">
        <w:rPr>
          <w:rFonts w:eastAsia="Calibri"/>
        </w:rPr>
        <w:t>'</w:t>
      </w:r>
      <w:r w:rsidRPr="00C567FA">
        <w:rPr>
          <w:rFonts w:eastAsia="Calibri"/>
        </w:rPr>
        <w:t>UIT avait été menée à bien, mais que le taux de réponse était très faible. En conséquence, des mesures sont actuellement prises par le secrétariat pour prolonger la durée de l</w:t>
      </w:r>
      <w:r w:rsidR="007D536E">
        <w:rPr>
          <w:rFonts w:eastAsia="Calibri"/>
        </w:rPr>
        <w:t>'</w:t>
      </w:r>
      <w:r w:rsidRPr="00C567FA">
        <w:rPr>
          <w:rFonts w:eastAsia="Calibri"/>
        </w:rPr>
        <w:t>enquête et encourager un plus grand nombre de membres à soumettre des réponses, dans le but d</w:t>
      </w:r>
      <w:r w:rsidR="007D536E">
        <w:rPr>
          <w:rFonts w:eastAsia="Calibri"/>
        </w:rPr>
        <w:t>'</w:t>
      </w:r>
      <w:r w:rsidRPr="00C567FA">
        <w:rPr>
          <w:rFonts w:eastAsia="Calibri"/>
        </w:rPr>
        <w:t>assurer la validité du résultat.</w:t>
      </w:r>
    </w:p>
    <w:p w14:paraId="05DA34CC" w14:textId="20B857E2" w:rsidR="0057411C" w:rsidRPr="00C567FA" w:rsidRDefault="0057411C" w:rsidP="007D536E">
      <w:pPr>
        <w:rPr>
          <w:rFonts w:eastAsia="SimHei"/>
        </w:rPr>
      </w:pPr>
      <w:r w:rsidRPr="00C567FA">
        <w:rPr>
          <w:rFonts w:eastAsia="SimHei"/>
        </w:rPr>
        <w:t>7.3</w:t>
      </w:r>
      <w:r w:rsidRPr="00C567FA">
        <w:rPr>
          <w:rFonts w:eastAsia="SimHei"/>
        </w:rPr>
        <w:tab/>
        <w:t>En 2021, des progrès considérables ont été effectués dans la négociation d</w:t>
      </w:r>
      <w:r w:rsidR="007D536E">
        <w:rPr>
          <w:rFonts w:eastAsia="SimHei"/>
        </w:rPr>
        <w:t>'</w:t>
      </w:r>
      <w:r w:rsidRPr="00C567FA">
        <w:rPr>
          <w:rFonts w:eastAsia="SimHei"/>
        </w:rPr>
        <w:t>un accord de pays hôte pour le nouveau bureau de l</w:t>
      </w:r>
      <w:r w:rsidR="007D536E">
        <w:rPr>
          <w:rFonts w:eastAsia="SimHei"/>
        </w:rPr>
        <w:t>'</w:t>
      </w:r>
      <w:r w:rsidRPr="00C567FA">
        <w:rPr>
          <w:rFonts w:eastAsia="SimHei"/>
        </w:rPr>
        <w:t>UIT dans la République de l</w:t>
      </w:r>
      <w:r w:rsidR="007D536E">
        <w:rPr>
          <w:rFonts w:eastAsia="SimHei"/>
        </w:rPr>
        <w:t>'</w:t>
      </w:r>
      <w:r w:rsidRPr="00C567FA">
        <w:rPr>
          <w:rFonts w:eastAsia="SimHei"/>
        </w:rPr>
        <w:t>Inde. L</w:t>
      </w:r>
      <w:r w:rsidR="007D536E">
        <w:rPr>
          <w:rFonts w:eastAsia="SimHei"/>
        </w:rPr>
        <w:t>'</w:t>
      </w:r>
      <w:r w:rsidRPr="00C567FA">
        <w:rPr>
          <w:rFonts w:eastAsia="SimHei"/>
        </w:rPr>
        <w:t>accord de pays hôte a finalement été approuvé au début de 2022 et signé durant l</w:t>
      </w:r>
      <w:r w:rsidR="007D536E">
        <w:rPr>
          <w:rFonts w:eastAsia="SimHei"/>
        </w:rPr>
        <w:t>'</w:t>
      </w:r>
      <w:r w:rsidRPr="00C567FA">
        <w:rPr>
          <w:rFonts w:eastAsia="SimHei"/>
        </w:rPr>
        <w:t>AMNT.</w:t>
      </w:r>
    </w:p>
    <w:p w14:paraId="1F282132" w14:textId="5D630EFB" w:rsidR="0057411C" w:rsidRPr="00C567FA" w:rsidRDefault="0057411C" w:rsidP="007D536E">
      <w:pPr>
        <w:rPr>
          <w:rFonts w:eastAsia="SimHei"/>
        </w:rPr>
      </w:pPr>
      <w:r w:rsidRPr="00C567FA">
        <w:rPr>
          <w:rFonts w:eastAsia="SimHei"/>
        </w:rPr>
        <w:t>7.4</w:t>
      </w:r>
      <w:r w:rsidRPr="00C567FA">
        <w:rPr>
          <w:rFonts w:eastAsia="SimHei"/>
        </w:rPr>
        <w:tab/>
        <w:t>La Présidente a formulé des observations sur certaines des recommandations de PwC concernant la présence régionale, sur la base de son expérience en tant que présidente de ce groupe. Dans ses observations, elle a fait observer que la recommandation de PwC consistant à remplacer les postes de Directeurs régionaux de grade D par des postes de grade P5 n</w:t>
      </w:r>
      <w:r w:rsidR="007D536E">
        <w:rPr>
          <w:rFonts w:eastAsia="SimHei"/>
        </w:rPr>
        <w:t>'</w:t>
      </w:r>
      <w:r w:rsidRPr="00C567FA">
        <w:rPr>
          <w:rFonts w:eastAsia="SimHei"/>
        </w:rPr>
        <w:t xml:space="preserve">était pas réalisable, car des postes de grade D demeurent nécessaire pour collaborer à haut niveau avec les </w:t>
      </w:r>
      <w:r w:rsidRPr="00C567FA">
        <w:rPr>
          <w:rFonts w:eastAsia="SimHei"/>
        </w:rPr>
        <w:lastRenderedPageBreak/>
        <w:t>États Membres. La Présidente a également formulé des observations sur la mise en œuvre des principes d</w:t>
      </w:r>
      <w:r w:rsidR="007D536E">
        <w:rPr>
          <w:rFonts w:eastAsia="SimHei"/>
        </w:rPr>
        <w:t>'</w:t>
      </w:r>
      <w:r w:rsidRPr="00C567FA">
        <w:rPr>
          <w:rFonts w:eastAsia="SimHei"/>
        </w:rPr>
        <w:t>une "UIT unie dans l</w:t>
      </w:r>
      <w:r w:rsidR="007D536E">
        <w:rPr>
          <w:rFonts w:eastAsia="SimHei"/>
        </w:rPr>
        <w:t>'</w:t>
      </w:r>
      <w:r w:rsidRPr="00C567FA">
        <w:rPr>
          <w:rFonts w:eastAsia="SimHei"/>
        </w:rPr>
        <w:t>action" dans le cadre de la présence régionale et a indiqué que, selon elle, l</w:t>
      </w:r>
      <w:r w:rsidR="007D536E">
        <w:rPr>
          <w:rFonts w:eastAsia="SimHei"/>
        </w:rPr>
        <w:t>'</w:t>
      </w:r>
      <w:r w:rsidRPr="00C567FA">
        <w:rPr>
          <w:rFonts w:eastAsia="SimHei"/>
        </w:rPr>
        <w:t>idée n</w:t>
      </w:r>
      <w:r w:rsidR="007D536E">
        <w:rPr>
          <w:rFonts w:eastAsia="SimHei"/>
        </w:rPr>
        <w:t>'</w:t>
      </w:r>
      <w:r w:rsidRPr="00C567FA">
        <w:rPr>
          <w:rFonts w:eastAsia="SimHei"/>
        </w:rPr>
        <w:t>était pas de faire en sorte que tous les Secteurs soient représentés dans tous les bureaux, mais plutôt d</w:t>
      </w:r>
      <w:r w:rsidR="007D536E">
        <w:rPr>
          <w:rFonts w:eastAsia="SimHei"/>
        </w:rPr>
        <w:t>'</w:t>
      </w:r>
      <w:r w:rsidRPr="00C567FA">
        <w:rPr>
          <w:rFonts w:eastAsia="SimHei"/>
        </w:rPr>
        <w:t>organiser le travail de manière à permettre aux clients de l</w:t>
      </w:r>
      <w:r w:rsidR="007D536E">
        <w:rPr>
          <w:rFonts w:eastAsia="SimHei"/>
        </w:rPr>
        <w:t>'</w:t>
      </w:r>
      <w:r w:rsidRPr="00C567FA">
        <w:rPr>
          <w:rFonts w:eastAsia="SimHei"/>
        </w:rPr>
        <w:t>UIT de bénéficier de la même qualité de service dans les bureaux régionaux et les bureaux de zone qu</w:t>
      </w:r>
      <w:r w:rsidR="007D536E">
        <w:rPr>
          <w:rFonts w:eastAsia="SimHei"/>
        </w:rPr>
        <w:t>'</w:t>
      </w:r>
      <w:r w:rsidRPr="00C567FA">
        <w:rPr>
          <w:rFonts w:eastAsia="SimHei"/>
        </w:rPr>
        <w:t>au siège de l</w:t>
      </w:r>
      <w:r w:rsidR="007D536E">
        <w:rPr>
          <w:rFonts w:eastAsia="SimHei"/>
        </w:rPr>
        <w:t>'</w:t>
      </w:r>
      <w:r w:rsidRPr="00C567FA">
        <w:rPr>
          <w:rFonts w:eastAsia="SimHei"/>
        </w:rPr>
        <w:t>UIT. Dans ce contexte, la Présidente a fait observer que le comité ad hoc avait approuvé la mise en œuvre de certaines des recommandations telles quelles et de toutes les recommandations sur le principe. Elle a indiqué que le comité ad hoc avait recommandé au secrétariat d</w:t>
      </w:r>
      <w:r w:rsidR="007D536E">
        <w:rPr>
          <w:rFonts w:eastAsia="SimHei"/>
        </w:rPr>
        <w:t>'</w:t>
      </w:r>
      <w:r w:rsidRPr="00C567FA">
        <w:rPr>
          <w:rFonts w:eastAsia="SimHei"/>
        </w:rPr>
        <w:t>établir un programme de travail, afin que tous les membres puissent suivre et assurer le bon déroulement des activités. La Présidente a dit espérer que le tableau de bord continuerait d</w:t>
      </w:r>
      <w:r w:rsidR="007D536E">
        <w:rPr>
          <w:rFonts w:eastAsia="SimHei"/>
        </w:rPr>
        <w:t>'</w:t>
      </w:r>
      <w:r w:rsidRPr="00C567FA">
        <w:rPr>
          <w:rFonts w:eastAsia="SimHei"/>
        </w:rPr>
        <w:t>être utilisé et mis à disposition jusqu</w:t>
      </w:r>
      <w:r w:rsidR="007D536E">
        <w:rPr>
          <w:rFonts w:eastAsia="SimHei"/>
        </w:rPr>
        <w:t>'</w:t>
      </w:r>
      <w:r w:rsidRPr="00C567FA">
        <w:rPr>
          <w:rFonts w:eastAsia="SimHei"/>
        </w:rPr>
        <w:t>à ce que le rapport de PwC soit pleinement mis en œuvre et a pris note des progrès accomplis en vue de l</w:t>
      </w:r>
      <w:r w:rsidR="007D536E">
        <w:rPr>
          <w:rFonts w:eastAsia="SimHei"/>
        </w:rPr>
        <w:t>'</w:t>
      </w:r>
      <w:r w:rsidRPr="00C567FA">
        <w:rPr>
          <w:rFonts w:eastAsia="SimHei"/>
        </w:rPr>
        <w:t>établissement du bureau dans la République de l</w:t>
      </w:r>
      <w:r w:rsidR="007D536E">
        <w:rPr>
          <w:rFonts w:eastAsia="SimHei"/>
        </w:rPr>
        <w:t>'</w:t>
      </w:r>
      <w:r w:rsidRPr="00C567FA">
        <w:rPr>
          <w:rFonts w:eastAsia="SimHei"/>
        </w:rPr>
        <w:t>Inde, malgré les difficultés de financement rencontrées. Les États Membres ont été invités à soumettre des propositions concrètes, sur la base des recommandations de PwC, en vue de la Conférence de plénipotentiaires de 2022.</w:t>
      </w:r>
    </w:p>
    <w:p w14:paraId="618E3FA6" w14:textId="77777777" w:rsidR="0057411C" w:rsidRPr="00C567FA" w:rsidRDefault="0057411C" w:rsidP="007D536E">
      <w:pPr>
        <w:rPr>
          <w:rFonts w:eastAsia="SimHei"/>
        </w:rPr>
      </w:pPr>
      <w:r w:rsidRPr="00C567FA">
        <w:rPr>
          <w:rFonts w:eastAsia="SimHei"/>
        </w:rPr>
        <w:t>7.5</w:t>
      </w:r>
      <w:r w:rsidRPr="00C567FA">
        <w:rPr>
          <w:rFonts w:eastAsia="SimHei"/>
        </w:rPr>
        <w:tab/>
        <w:t>Les participants ont été invités à soumettre leurs questions et observations.</w:t>
      </w:r>
    </w:p>
    <w:p w14:paraId="292C9DE5" w14:textId="52B45132" w:rsidR="0057411C" w:rsidRPr="00C567FA" w:rsidRDefault="0057411C" w:rsidP="007D536E">
      <w:pPr>
        <w:rPr>
          <w:rFonts w:eastAsia="SimHei"/>
        </w:rPr>
      </w:pPr>
      <w:r w:rsidRPr="00C567FA">
        <w:rPr>
          <w:rFonts w:eastAsia="SimHei"/>
        </w:rPr>
        <w:t>7.6</w:t>
      </w:r>
      <w:r w:rsidRPr="00C567FA">
        <w:rPr>
          <w:rFonts w:eastAsia="SimHei"/>
        </w:rPr>
        <w:tab/>
        <w:t>Un délégué a fait observer qu</w:t>
      </w:r>
      <w:r w:rsidR="007D536E">
        <w:rPr>
          <w:rFonts w:eastAsia="SimHei"/>
        </w:rPr>
        <w:t>'</w:t>
      </w:r>
      <w:r w:rsidRPr="00C567FA">
        <w:rPr>
          <w:rFonts w:eastAsia="SimHei"/>
        </w:rPr>
        <w:t>un travail important avait été fait dans la région des États arabes par le Bureau régional pour les États arabes au Caire, mais que le document ne mentionnait que très brièvement les projets mis en œuvre dans cette région. D</w:t>
      </w:r>
      <w:r w:rsidR="007D536E">
        <w:rPr>
          <w:rFonts w:eastAsia="SimHei"/>
        </w:rPr>
        <w:t>'</w:t>
      </w:r>
      <w:r w:rsidRPr="00C567FA">
        <w:rPr>
          <w:rFonts w:eastAsia="SimHei"/>
        </w:rPr>
        <w:t>autres délégués ont souscrit à ce point de vue.</w:t>
      </w:r>
    </w:p>
    <w:p w14:paraId="2FB224D2" w14:textId="76F5511B" w:rsidR="0057411C" w:rsidRPr="00C567FA" w:rsidRDefault="0057411C" w:rsidP="007D536E">
      <w:pPr>
        <w:rPr>
          <w:rFonts w:eastAsia="SimHei"/>
        </w:rPr>
      </w:pPr>
      <w:r w:rsidRPr="00C567FA">
        <w:rPr>
          <w:rFonts w:eastAsia="SimHei"/>
        </w:rPr>
        <w:t>7.7</w:t>
      </w:r>
      <w:r w:rsidRPr="00C567FA">
        <w:rPr>
          <w:rFonts w:eastAsia="SimHei"/>
        </w:rPr>
        <w:tab/>
        <w:t>Un autre délégué a pris note de l</w:t>
      </w:r>
      <w:r w:rsidR="007D536E">
        <w:rPr>
          <w:rFonts w:eastAsia="SimHei"/>
        </w:rPr>
        <w:t>'</w:t>
      </w:r>
      <w:r w:rsidRPr="00C567FA">
        <w:rPr>
          <w:rFonts w:eastAsia="SimHei"/>
        </w:rPr>
        <w:t>importance du travail effectué sur la question de la présence régionale depuis la dernière Conférence de plénipotentiaires. Il a estimé que le tableau de bord constituait un outil très utile et a encouragé les délégués à prendre note des travaux qui doivent être accomplis en vue de la prochaine Conférence de plénipotentiaires.</w:t>
      </w:r>
    </w:p>
    <w:p w14:paraId="603B62D4" w14:textId="6B19D247" w:rsidR="0057411C" w:rsidRPr="00C567FA" w:rsidRDefault="0057411C" w:rsidP="007D536E">
      <w:pPr>
        <w:rPr>
          <w:rFonts w:eastAsia="SimHei"/>
        </w:rPr>
      </w:pPr>
      <w:r w:rsidRPr="00C567FA">
        <w:rPr>
          <w:rFonts w:eastAsia="SimHei"/>
        </w:rPr>
        <w:t>7.8</w:t>
      </w:r>
      <w:r w:rsidRPr="00C567FA">
        <w:rPr>
          <w:rFonts w:eastAsia="SimHei"/>
        </w:rPr>
        <w:tab/>
        <w:t>Un délégué a fait savoir que sa délégation communiquerait officiellement ses vues sur le paragraphe 4 du rapport et a demandé qu</w:t>
      </w:r>
      <w:r w:rsidR="007D536E">
        <w:rPr>
          <w:rFonts w:eastAsia="SimHei"/>
        </w:rPr>
        <w:t>'</w:t>
      </w:r>
      <w:r w:rsidRPr="00C567FA">
        <w:rPr>
          <w:rFonts w:eastAsia="SimHei"/>
        </w:rPr>
        <w:t>il en soit rendu compte dans le procès-verbal.</w:t>
      </w:r>
    </w:p>
    <w:p w14:paraId="614B5759" w14:textId="7C251EC7" w:rsidR="0057411C" w:rsidRPr="00C567FA" w:rsidRDefault="0057411C" w:rsidP="007D536E">
      <w:pPr>
        <w:rPr>
          <w:rFonts w:eastAsia="SimHei"/>
        </w:rPr>
      </w:pPr>
      <w:r w:rsidRPr="00C567FA">
        <w:rPr>
          <w:rFonts w:eastAsia="SimHei"/>
        </w:rPr>
        <w:t>7.9</w:t>
      </w:r>
      <w:r w:rsidRPr="00C567FA">
        <w:rPr>
          <w:rFonts w:eastAsia="SimHei"/>
        </w:rPr>
        <w:tab/>
        <w:t>Un autre délégué a souligné l</w:t>
      </w:r>
      <w:r w:rsidR="007D536E">
        <w:rPr>
          <w:rFonts w:eastAsia="SimHei"/>
        </w:rPr>
        <w:t>'</w:t>
      </w:r>
      <w:r w:rsidRPr="00C567FA">
        <w:rPr>
          <w:rFonts w:eastAsia="SimHei"/>
        </w:rPr>
        <w:t>importance que revêt la présence régionale, notamment pour permettre la participation des pays en développement. Compte tenu des ressources limitées, il est nécessaire de continuer de tirer parti des technologies numériques, comme cela a été fait au cours des deux dernières années. À cet égard, il convient de recourir davantage au télétravail, afin de décentraliser la présence régionale dans un plus grand nombre de pays. De cette façon, l</w:t>
      </w:r>
      <w:r w:rsidR="007D536E">
        <w:rPr>
          <w:rFonts w:eastAsia="SimHei"/>
        </w:rPr>
        <w:t>'</w:t>
      </w:r>
      <w:r w:rsidRPr="00C567FA">
        <w:rPr>
          <w:rFonts w:eastAsia="SimHei"/>
        </w:rPr>
        <w:t>UIT pourrait être plus proche de ses membres. Cette mesure pourrait également améliorer la prestation de services au profit des pays et renforcer la collaboration avec les établissements universitaires, les Membres de Secteur et toutes les parties prenantes.</w:t>
      </w:r>
    </w:p>
    <w:p w14:paraId="2262E699" w14:textId="452B59C2" w:rsidR="0057411C" w:rsidRPr="00C567FA" w:rsidRDefault="0057411C" w:rsidP="007D536E">
      <w:pPr>
        <w:rPr>
          <w:rFonts w:eastAsia="SimHei"/>
        </w:rPr>
      </w:pPr>
      <w:r w:rsidRPr="00C567FA">
        <w:rPr>
          <w:rFonts w:eastAsia="SimHei"/>
        </w:rPr>
        <w:t>7.10</w:t>
      </w:r>
      <w:r w:rsidRPr="00C567FA">
        <w:rPr>
          <w:rFonts w:eastAsia="SimHei"/>
        </w:rPr>
        <w:tab/>
        <w:t>Un délégué a souligné l</w:t>
      </w:r>
      <w:r w:rsidR="007D536E">
        <w:rPr>
          <w:rFonts w:eastAsia="SimHei"/>
        </w:rPr>
        <w:t>'</w:t>
      </w:r>
      <w:r w:rsidRPr="00C567FA">
        <w:rPr>
          <w:rFonts w:eastAsia="SimHei"/>
        </w:rPr>
        <w:t>importance que revêt la Résolution 25 et a reconnu l</w:t>
      </w:r>
      <w:r w:rsidR="007D536E">
        <w:rPr>
          <w:rFonts w:eastAsia="SimHei"/>
        </w:rPr>
        <w:t>'</w:t>
      </w:r>
      <w:r w:rsidRPr="00C567FA">
        <w:rPr>
          <w:rFonts w:eastAsia="SimHei"/>
        </w:rPr>
        <w:t>utilité des bureaux régionaux, en particulier en sa qualité de représentant du pays hôte du Bureau régional de Bangkok, avec lequel son pays travaille en étroite collaboration dans le but de promouvoir les initiatives régionales et de renforcer les moyens du Bureau régional. Il a mis en évidence l</w:t>
      </w:r>
      <w:r w:rsidR="007D536E">
        <w:rPr>
          <w:rFonts w:eastAsia="SimHei"/>
        </w:rPr>
        <w:t>'</w:t>
      </w:r>
      <w:r w:rsidRPr="00C567FA">
        <w:rPr>
          <w:rFonts w:eastAsia="SimHei"/>
        </w:rPr>
        <w:t>intégration d</w:t>
      </w:r>
      <w:r w:rsidR="007D536E">
        <w:rPr>
          <w:rFonts w:eastAsia="SimHei"/>
        </w:rPr>
        <w:t>'</w:t>
      </w:r>
      <w:r w:rsidRPr="00C567FA">
        <w:rPr>
          <w:rFonts w:eastAsia="SimHei"/>
        </w:rPr>
        <w:t>initiatives visant à promouvoir le rôle des jeunes filles et des femmes dans le secteur des TIC. Le délégué s</w:t>
      </w:r>
      <w:r w:rsidR="007D536E">
        <w:rPr>
          <w:rFonts w:eastAsia="SimHei"/>
        </w:rPr>
        <w:t>'</w:t>
      </w:r>
      <w:r w:rsidRPr="00C567FA">
        <w:rPr>
          <w:rFonts w:eastAsia="SimHei"/>
        </w:rPr>
        <w:t>est félicité des progrès accomplis en vue de la création du nouveau bureau de zone dans la République de l</w:t>
      </w:r>
      <w:r w:rsidR="007D536E">
        <w:rPr>
          <w:rFonts w:eastAsia="SimHei"/>
        </w:rPr>
        <w:t>'</w:t>
      </w:r>
      <w:r w:rsidRPr="00C567FA">
        <w:rPr>
          <w:rFonts w:eastAsia="SimHei"/>
        </w:rPr>
        <w:t>Inde. Enfin, il a pris note du déménagement du bureau régional de Bangkok dans de nouveaux locaux mis à disposition par la NBTC, ce qui permettra une collaboration plus étroite. Le nouveau bureau sera inauguré officiellement lors d</w:t>
      </w:r>
      <w:r w:rsidR="007D536E">
        <w:rPr>
          <w:rFonts w:eastAsia="SimHei"/>
        </w:rPr>
        <w:t>'</w:t>
      </w:r>
      <w:r w:rsidRPr="00C567FA">
        <w:rPr>
          <w:rFonts w:eastAsia="SimHei"/>
        </w:rPr>
        <w:t>une cérémonie qui aura lieu le 30 juin 2022.</w:t>
      </w:r>
    </w:p>
    <w:p w14:paraId="47353953" w14:textId="6FB4B3BC" w:rsidR="0057411C" w:rsidRPr="00C567FA" w:rsidRDefault="0057411C" w:rsidP="007D536E">
      <w:pPr>
        <w:rPr>
          <w:rFonts w:eastAsia="SimHei"/>
        </w:rPr>
      </w:pPr>
      <w:r w:rsidRPr="00C567FA">
        <w:rPr>
          <w:rFonts w:eastAsia="SimHei"/>
        </w:rPr>
        <w:lastRenderedPageBreak/>
        <w:t>7.11</w:t>
      </w:r>
      <w:r w:rsidRPr="00C567FA">
        <w:rPr>
          <w:rFonts w:eastAsia="SimHei"/>
        </w:rPr>
        <w:tab/>
        <w:t>Un délégué a fait valoir que la présence régionale jouait un rôle essentiel et que dans la région des Amériques, elle était considérée comme fondamentale pour la mise en œuvre des initiatives régionales. Il a en outre fait observer que le rapport de PwC contenait un certain nombre de recommandations, dont beaucoup étaient en cours de mise en œuvre par le secrétariat, mais qu</w:t>
      </w:r>
      <w:r w:rsidR="007D536E">
        <w:rPr>
          <w:rFonts w:eastAsia="SimHei"/>
        </w:rPr>
        <w:t>'</w:t>
      </w:r>
      <w:r w:rsidRPr="00C567FA">
        <w:rPr>
          <w:rFonts w:eastAsia="SimHei"/>
        </w:rPr>
        <w:t>un grand nombre de ces recommandations avaient trait à la structure de l</w:t>
      </w:r>
      <w:r w:rsidR="007D536E">
        <w:rPr>
          <w:rFonts w:eastAsia="SimHei"/>
        </w:rPr>
        <w:t>'</w:t>
      </w:r>
      <w:r w:rsidRPr="00C567FA">
        <w:rPr>
          <w:rFonts w:eastAsia="SimHei"/>
        </w:rPr>
        <w:t>UIT et devaient être soigneusement examinées compte tenu des considérations financières. La nécessité de maintenir une présence forte en Amérique latine et dans les Caraïbes a été soulignée, mais tous les changements liés à la dotation en personnel et à la structure proposés par PwC restent en suspens et doivent être examinés par les membres au Conseil ou à la Conférence de plénipotentiaires. Il a également été pris note des propositions formulées lors du Café-découverte au sujet du redéploiement, de la mobilité et du déplacement du personnel de l</w:t>
      </w:r>
      <w:r w:rsidR="007D536E">
        <w:rPr>
          <w:rFonts w:eastAsia="SimHei"/>
        </w:rPr>
        <w:t>'</w:t>
      </w:r>
      <w:r w:rsidRPr="00C567FA">
        <w:rPr>
          <w:rFonts w:eastAsia="SimHei"/>
        </w:rPr>
        <w:t>UIT du siège vers les régions, ainsi que de la nécessité d</w:t>
      </w:r>
      <w:r w:rsidR="007D536E">
        <w:rPr>
          <w:rFonts w:eastAsia="SimHei"/>
        </w:rPr>
        <w:t>'</w:t>
      </w:r>
      <w:r w:rsidRPr="00C567FA">
        <w:rPr>
          <w:rFonts w:eastAsia="SimHei"/>
        </w:rPr>
        <w:t>examiner ces possibilités en vue d</w:t>
      </w:r>
      <w:r w:rsidR="007D536E">
        <w:rPr>
          <w:rFonts w:eastAsia="SimHei"/>
        </w:rPr>
        <w:t>'</w:t>
      </w:r>
      <w:r w:rsidRPr="00C567FA">
        <w:rPr>
          <w:rFonts w:eastAsia="SimHei"/>
        </w:rPr>
        <w:t>un éventuel renforcement supplémentaire de la présence régionale.</w:t>
      </w:r>
    </w:p>
    <w:p w14:paraId="5FE4F267" w14:textId="58D4DECC" w:rsidR="0057411C" w:rsidRPr="00C567FA" w:rsidRDefault="0057411C" w:rsidP="007D536E">
      <w:pPr>
        <w:rPr>
          <w:rFonts w:eastAsia="SimHei"/>
        </w:rPr>
      </w:pPr>
      <w:r w:rsidRPr="00C567FA">
        <w:rPr>
          <w:rFonts w:eastAsia="SimHei"/>
        </w:rPr>
        <w:t>7.12</w:t>
      </w:r>
      <w:r w:rsidRPr="00C567FA">
        <w:rPr>
          <w:rFonts w:eastAsia="SimHei"/>
        </w:rPr>
        <w:tab/>
        <w:t>Un délégué a remercié le secrétariat pour les travaux qu</w:t>
      </w:r>
      <w:r w:rsidR="007D536E">
        <w:rPr>
          <w:rFonts w:eastAsia="SimHei"/>
        </w:rPr>
        <w:t>'</w:t>
      </w:r>
      <w:r w:rsidRPr="00C567FA">
        <w:rPr>
          <w:rFonts w:eastAsia="SimHei"/>
        </w:rPr>
        <w:t>il mène actuellement pour donner suite aux mesures recommandées par PwC et a émis le souhait que davantage d</w:t>
      </w:r>
      <w:r w:rsidR="007D536E">
        <w:rPr>
          <w:rFonts w:eastAsia="SimHei"/>
        </w:rPr>
        <w:t>'</w:t>
      </w:r>
      <w:r w:rsidRPr="00C567FA">
        <w:rPr>
          <w:rFonts w:eastAsia="SimHei"/>
        </w:rPr>
        <w:t>activités soient mises en œuvre à l</w:t>
      </w:r>
      <w:r w:rsidR="007D536E">
        <w:rPr>
          <w:rFonts w:eastAsia="SimHei"/>
        </w:rPr>
        <w:t>'</w:t>
      </w:r>
      <w:r w:rsidRPr="00C567FA">
        <w:rPr>
          <w:rFonts w:eastAsia="SimHei"/>
        </w:rPr>
        <w:t>avenir. Il a fait siennes les observations formulées par un autre délégué sur les projets concernant les recommandations structurelles faites par PwC. Le délégué a souligné l</w:t>
      </w:r>
      <w:r w:rsidR="007D536E">
        <w:rPr>
          <w:rFonts w:eastAsia="SimHei"/>
        </w:rPr>
        <w:t>'</w:t>
      </w:r>
      <w:r w:rsidRPr="00C567FA">
        <w:rPr>
          <w:rFonts w:eastAsia="SimHei"/>
        </w:rPr>
        <w:t>importance du bureau régional situé à Brasilia (Brésil) et des travaux remarquables qui y sont réalisés, ainsi que l</w:t>
      </w:r>
      <w:r w:rsidR="007D536E">
        <w:rPr>
          <w:rFonts w:eastAsia="SimHei"/>
        </w:rPr>
        <w:t>'</w:t>
      </w:r>
      <w:r w:rsidRPr="00C567FA">
        <w:rPr>
          <w:rFonts w:eastAsia="SimHei"/>
        </w:rPr>
        <w:t>importance continue de la représentation de l</w:t>
      </w:r>
      <w:r w:rsidR="007D536E">
        <w:rPr>
          <w:rFonts w:eastAsia="SimHei"/>
        </w:rPr>
        <w:t>'</w:t>
      </w:r>
      <w:r w:rsidRPr="00C567FA">
        <w:rPr>
          <w:rFonts w:eastAsia="SimHei"/>
        </w:rPr>
        <w:t>UIT dans la région des Caraïbes.</w:t>
      </w:r>
    </w:p>
    <w:p w14:paraId="6D343DAB" w14:textId="5EE81BA3" w:rsidR="0057411C" w:rsidRPr="00C567FA" w:rsidRDefault="0057411C" w:rsidP="007D536E">
      <w:pPr>
        <w:rPr>
          <w:rFonts w:eastAsia="SimHei"/>
        </w:rPr>
      </w:pPr>
      <w:r w:rsidRPr="00C567FA">
        <w:rPr>
          <w:rFonts w:eastAsia="SimHei"/>
        </w:rPr>
        <w:t>7.13</w:t>
      </w:r>
      <w:r w:rsidRPr="00C567FA">
        <w:rPr>
          <w:rFonts w:eastAsia="SimHei"/>
        </w:rPr>
        <w:tab/>
        <w:t>Un délégué a souligné l</w:t>
      </w:r>
      <w:r w:rsidR="007D536E">
        <w:rPr>
          <w:rFonts w:eastAsia="SimHei"/>
        </w:rPr>
        <w:t>'</w:t>
      </w:r>
      <w:r w:rsidRPr="00C567FA">
        <w:rPr>
          <w:rFonts w:eastAsia="SimHei"/>
        </w:rPr>
        <w:t>importance de la Résolution 25 et du concept d</w:t>
      </w:r>
      <w:r w:rsidR="007D536E">
        <w:rPr>
          <w:rFonts w:eastAsia="SimHei"/>
        </w:rPr>
        <w:t>'</w:t>
      </w:r>
      <w:r w:rsidRPr="00C567FA">
        <w:rPr>
          <w:rFonts w:eastAsia="SimHei"/>
        </w:rPr>
        <w:t>une "UIT unie dans l</w:t>
      </w:r>
      <w:r w:rsidR="007D536E">
        <w:rPr>
          <w:rFonts w:eastAsia="SimHei"/>
        </w:rPr>
        <w:t>'</w:t>
      </w:r>
      <w:r w:rsidRPr="00C567FA">
        <w:rPr>
          <w:rFonts w:eastAsia="SimHei"/>
        </w:rPr>
        <w:t>action", ainsi que de la nécessité, pour les bureaux régionaux, de représenter le travail des trois Secteurs de la manière la plus complète possible. Il a été jugé nécessaire de renforcer et d</w:t>
      </w:r>
      <w:r w:rsidR="007D536E">
        <w:rPr>
          <w:rFonts w:eastAsia="SimHei"/>
        </w:rPr>
        <w:t>'</w:t>
      </w:r>
      <w:r w:rsidRPr="00C567FA">
        <w:rPr>
          <w:rFonts w:eastAsia="SimHei"/>
        </w:rPr>
        <w:t>élargir les pouvoirs des directeurs régionaux, moyennant des contrôles appropriés. De plus, le délégué a fait observer que la mise en œuvre des activités au siège avait des incidences sur le plan de la fourniture de services et qu</w:t>
      </w:r>
      <w:r w:rsidR="007D536E">
        <w:rPr>
          <w:rFonts w:eastAsia="SimHei"/>
        </w:rPr>
        <w:t>'</w:t>
      </w:r>
      <w:r w:rsidRPr="00C567FA">
        <w:rPr>
          <w:rFonts w:eastAsia="SimHei"/>
        </w:rPr>
        <w:t>il convenait d</w:t>
      </w:r>
      <w:r w:rsidR="007D536E">
        <w:rPr>
          <w:rFonts w:eastAsia="SimHei"/>
        </w:rPr>
        <w:t>'</w:t>
      </w:r>
      <w:r w:rsidRPr="00C567FA">
        <w:rPr>
          <w:rFonts w:eastAsia="SimHei"/>
        </w:rPr>
        <w:t>y remédier par un renforcement des bureaux régionaux.</w:t>
      </w:r>
    </w:p>
    <w:p w14:paraId="082ECAAD" w14:textId="098E77E0" w:rsidR="0057411C" w:rsidRPr="00C567FA" w:rsidRDefault="0057411C" w:rsidP="007D536E">
      <w:pPr>
        <w:rPr>
          <w:rFonts w:eastAsia="SimHei"/>
        </w:rPr>
      </w:pPr>
      <w:r w:rsidRPr="00C567FA">
        <w:rPr>
          <w:rFonts w:eastAsia="SimHei"/>
        </w:rPr>
        <w:t>7.14</w:t>
      </w:r>
      <w:r w:rsidRPr="00C567FA">
        <w:rPr>
          <w:rFonts w:eastAsia="SimHei"/>
        </w:rPr>
        <w:tab/>
        <w:t>Un délégué a pris note de l</w:t>
      </w:r>
      <w:r w:rsidR="007D536E">
        <w:rPr>
          <w:rFonts w:eastAsia="SimHei"/>
        </w:rPr>
        <w:t>'</w:t>
      </w:r>
      <w:r w:rsidRPr="00C567FA">
        <w:rPr>
          <w:rFonts w:eastAsia="SimHei"/>
        </w:rPr>
        <w:t>amélioration de la réactivité et des résultats du bureau régional pour la région Asie-Pacifique et a dit attendre avec intérêt de poursuivre la collaboration avec ce bureau.</w:t>
      </w:r>
    </w:p>
    <w:p w14:paraId="06220493" w14:textId="012A729B" w:rsidR="0057411C" w:rsidRPr="00C567FA" w:rsidRDefault="0057411C" w:rsidP="007D536E">
      <w:pPr>
        <w:rPr>
          <w:rFonts w:eastAsia="SimHei"/>
        </w:rPr>
      </w:pPr>
      <w:r w:rsidRPr="00C567FA">
        <w:rPr>
          <w:rFonts w:eastAsia="SimHei"/>
        </w:rPr>
        <w:t>7.15</w:t>
      </w:r>
      <w:r w:rsidRPr="00C567FA">
        <w:rPr>
          <w:rFonts w:eastAsia="SimHei"/>
        </w:rPr>
        <w:tab/>
        <w:t>Un autre délégué s</w:t>
      </w:r>
      <w:r w:rsidR="007D536E">
        <w:rPr>
          <w:rFonts w:eastAsia="SimHei"/>
        </w:rPr>
        <w:t>'</w:t>
      </w:r>
      <w:r w:rsidRPr="00C567FA">
        <w:rPr>
          <w:rFonts w:eastAsia="SimHei"/>
        </w:rPr>
        <w:t>est félicité du rapport et des efforts déployés par les bureaux de Bangkok et Jakarta, ainsi que de la création du nouveau bureau dans la République de l</w:t>
      </w:r>
      <w:r w:rsidR="007D536E">
        <w:rPr>
          <w:rFonts w:eastAsia="SimHei"/>
        </w:rPr>
        <w:t>'</w:t>
      </w:r>
      <w:r w:rsidRPr="00C567FA">
        <w:rPr>
          <w:rFonts w:eastAsia="SimHei"/>
        </w:rPr>
        <w:t>Inde.</w:t>
      </w:r>
    </w:p>
    <w:p w14:paraId="621637F1" w14:textId="42B4216E" w:rsidR="0057411C" w:rsidRPr="00C567FA" w:rsidRDefault="0057411C" w:rsidP="007D536E">
      <w:pPr>
        <w:rPr>
          <w:rFonts w:eastAsia="SimHei"/>
        </w:rPr>
      </w:pPr>
      <w:r w:rsidRPr="00C567FA">
        <w:rPr>
          <w:rFonts w:eastAsia="SimHei"/>
        </w:rPr>
        <w:t>7.16</w:t>
      </w:r>
      <w:r w:rsidRPr="00C567FA">
        <w:rPr>
          <w:rFonts w:eastAsia="SimHei"/>
        </w:rPr>
        <w:tab/>
        <w:t>Un délégué a pris note de la grande qualité du document et du rôle essentiel de la présence régionale dans la mise en œuvre des initiatives régionales. Il a exprimé son adhésion au principe d</w:t>
      </w:r>
      <w:r w:rsidR="007D536E">
        <w:rPr>
          <w:rFonts w:eastAsia="SimHei"/>
        </w:rPr>
        <w:t>'</w:t>
      </w:r>
      <w:r w:rsidRPr="00C567FA">
        <w:rPr>
          <w:rFonts w:eastAsia="SimHei"/>
        </w:rPr>
        <w:t>une "UIT unie dans l</w:t>
      </w:r>
      <w:r w:rsidR="007D536E">
        <w:rPr>
          <w:rFonts w:eastAsia="SimHei"/>
        </w:rPr>
        <w:t>'</w:t>
      </w:r>
      <w:r w:rsidRPr="00C567FA">
        <w:rPr>
          <w:rFonts w:eastAsia="SimHei"/>
        </w:rPr>
        <w:t>action" mis en œuvre dans le cadre de la présence régionale et aux recommandations de PwC sur le renforcement de la présence régionale.</w:t>
      </w:r>
    </w:p>
    <w:p w14:paraId="096D0FC4" w14:textId="4B893710" w:rsidR="0057411C" w:rsidRPr="00C567FA" w:rsidRDefault="0057411C" w:rsidP="007D536E">
      <w:pPr>
        <w:rPr>
          <w:rFonts w:eastAsia="SimHei"/>
        </w:rPr>
      </w:pPr>
      <w:r w:rsidRPr="00C567FA">
        <w:rPr>
          <w:rFonts w:eastAsia="SimHei"/>
        </w:rPr>
        <w:t>7.17</w:t>
      </w:r>
      <w:r w:rsidRPr="00C567FA">
        <w:rPr>
          <w:rFonts w:eastAsia="SimHei"/>
        </w:rPr>
        <w:tab/>
        <w:t>Un délégué a souligné l</w:t>
      </w:r>
      <w:r w:rsidR="007D536E">
        <w:rPr>
          <w:rFonts w:eastAsia="SimHei"/>
        </w:rPr>
        <w:t>'</w:t>
      </w:r>
      <w:r w:rsidRPr="00C567FA">
        <w:rPr>
          <w:rFonts w:eastAsia="SimHei"/>
        </w:rPr>
        <w:t>importance de la présence régionale en tant que catalyseur essentiel du cadre stratégique de l</w:t>
      </w:r>
      <w:r w:rsidR="007D536E">
        <w:rPr>
          <w:rFonts w:eastAsia="SimHei"/>
        </w:rPr>
        <w:t>'</w:t>
      </w:r>
      <w:r w:rsidRPr="00C567FA">
        <w:rPr>
          <w:rFonts w:eastAsia="SimHei"/>
        </w:rPr>
        <w:t>UIT et a mis en avant la nécessité d</w:t>
      </w:r>
      <w:r w:rsidR="007D536E">
        <w:rPr>
          <w:rFonts w:eastAsia="SimHei"/>
        </w:rPr>
        <w:t>'</w:t>
      </w:r>
      <w:r w:rsidRPr="00C567FA">
        <w:rPr>
          <w:rFonts w:eastAsia="SimHei"/>
        </w:rPr>
        <w:t>établir d</w:t>
      </w:r>
      <w:r w:rsidR="007D536E">
        <w:rPr>
          <w:rFonts w:eastAsia="SimHei"/>
        </w:rPr>
        <w:t>'</w:t>
      </w:r>
      <w:r w:rsidRPr="00C567FA">
        <w:rPr>
          <w:rFonts w:eastAsia="SimHei"/>
        </w:rPr>
        <w:t>un plan stratégique pour chaque région, en tenant compte des différences existant entre les caractéristiques régionales. Il a également été pris note de la nécessité de mettre particulièrement l</w:t>
      </w:r>
      <w:r w:rsidR="007D536E">
        <w:rPr>
          <w:rFonts w:eastAsia="SimHei"/>
        </w:rPr>
        <w:t>'</w:t>
      </w:r>
      <w:r w:rsidRPr="00C567FA">
        <w:rPr>
          <w:rFonts w:eastAsia="SimHei"/>
        </w:rPr>
        <w:t>accent sur les pays vulnérables, en particulier les PMA, et sur le continent africain. En outre, il a formulé des observations concernant l</w:t>
      </w:r>
      <w:r w:rsidR="007D536E">
        <w:rPr>
          <w:rFonts w:eastAsia="SimHei"/>
        </w:rPr>
        <w:t>'</w:t>
      </w:r>
      <w:r w:rsidRPr="00C567FA">
        <w:rPr>
          <w:rFonts w:eastAsia="SimHei"/>
        </w:rPr>
        <w:t>important cadre stratégique, notamment les questions financières et stratégiques et les questions relatives aux ressources humaines, applicable aux améliorations qu</w:t>
      </w:r>
      <w:r w:rsidR="007D536E">
        <w:rPr>
          <w:rFonts w:eastAsia="SimHei"/>
        </w:rPr>
        <w:t>'</w:t>
      </w:r>
      <w:r w:rsidRPr="00C567FA">
        <w:rPr>
          <w:rFonts w:eastAsia="SimHei"/>
        </w:rPr>
        <w:t>il est nécessaire d</w:t>
      </w:r>
      <w:r w:rsidR="007D536E">
        <w:rPr>
          <w:rFonts w:eastAsia="SimHei"/>
        </w:rPr>
        <w:t>'</w:t>
      </w:r>
      <w:r w:rsidRPr="00C567FA">
        <w:rPr>
          <w:rFonts w:eastAsia="SimHei"/>
        </w:rPr>
        <w:t>apporter à la présence régionale.</w:t>
      </w:r>
    </w:p>
    <w:p w14:paraId="3802854E" w14:textId="44E104F1" w:rsidR="0057411C" w:rsidRPr="00C567FA" w:rsidRDefault="0057411C" w:rsidP="007D536E">
      <w:pPr>
        <w:keepLines/>
        <w:rPr>
          <w:rFonts w:eastAsia="SimHei"/>
        </w:rPr>
      </w:pPr>
      <w:r w:rsidRPr="00C567FA">
        <w:rPr>
          <w:rFonts w:eastAsia="SimHei"/>
        </w:rPr>
        <w:lastRenderedPageBreak/>
        <w:t>7.18</w:t>
      </w:r>
      <w:r w:rsidRPr="00C567FA">
        <w:rPr>
          <w:rFonts w:eastAsia="SimHei"/>
        </w:rPr>
        <w:tab/>
        <w:t>Un délégué a fait part de son appui en faveur de la présence régionale et a dit attendre avec intérêt qu</w:t>
      </w:r>
      <w:r w:rsidR="007D536E">
        <w:rPr>
          <w:rFonts w:eastAsia="SimHei"/>
        </w:rPr>
        <w:t>'</w:t>
      </w:r>
      <w:r w:rsidRPr="00C567FA">
        <w:rPr>
          <w:rFonts w:eastAsia="SimHei"/>
        </w:rPr>
        <w:t>un appui supplémentaire soit fourni grâce à l</w:t>
      </w:r>
      <w:r w:rsidR="007D536E">
        <w:rPr>
          <w:rFonts w:eastAsia="SimHei"/>
        </w:rPr>
        <w:t>'</w:t>
      </w:r>
      <w:r w:rsidRPr="00C567FA">
        <w:rPr>
          <w:rFonts w:eastAsia="SimHei"/>
        </w:rPr>
        <w:t>ouverture du nouveau bureau régional à Delhi. Il a fait siennes les observations des autres délégués en faveur de l</w:t>
      </w:r>
      <w:r w:rsidR="007D536E">
        <w:rPr>
          <w:rFonts w:eastAsia="SimHei"/>
        </w:rPr>
        <w:t>'</w:t>
      </w:r>
      <w:r w:rsidRPr="00C567FA">
        <w:rPr>
          <w:rFonts w:eastAsia="SimHei"/>
        </w:rPr>
        <w:t>établissement du bureau régional et des recommandations visant à renforcer la présence régionale.</w:t>
      </w:r>
    </w:p>
    <w:p w14:paraId="53C0D687" w14:textId="70CA84C6" w:rsidR="0057411C" w:rsidRPr="00C567FA" w:rsidRDefault="0057411C" w:rsidP="007D536E">
      <w:pPr>
        <w:rPr>
          <w:rFonts w:eastAsia="SimHei"/>
        </w:rPr>
      </w:pPr>
      <w:r w:rsidRPr="00C567FA">
        <w:rPr>
          <w:rFonts w:eastAsia="SimHei"/>
        </w:rPr>
        <w:t>7.19</w:t>
      </w:r>
      <w:r w:rsidRPr="00C567FA">
        <w:rPr>
          <w:rFonts w:eastAsia="SimHei"/>
        </w:rPr>
        <w:tab/>
        <w:t>Un délégué a repris à son compte les observations de ses homologues de la région des États arabes sur l</w:t>
      </w:r>
      <w:r w:rsidR="007D536E">
        <w:rPr>
          <w:rFonts w:eastAsia="SimHei"/>
        </w:rPr>
        <w:t>'</w:t>
      </w:r>
      <w:r w:rsidRPr="00C567FA">
        <w:rPr>
          <w:rFonts w:eastAsia="SimHei"/>
        </w:rPr>
        <w:t>excellent travail effectué par le bureau régional pour la région des États arabes, qui n</w:t>
      </w:r>
      <w:r w:rsidR="007D536E">
        <w:rPr>
          <w:rFonts w:eastAsia="SimHei"/>
        </w:rPr>
        <w:t>'</w:t>
      </w:r>
      <w:r w:rsidRPr="00C567FA">
        <w:rPr>
          <w:rFonts w:eastAsia="SimHei"/>
        </w:rPr>
        <w:t>est pas reflété dans le rapport, et a demandé que ces informations soient consignées dans le rapport.</w:t>
      </w:r>
    </w:p>
    <w:p w14:paraId="27F2E70A" w14:textId="2F3EC3EE" w:rsidR="0057411C" w:rsidRPr="00C567FA" w:rsidRDefault="0057411C" w:rsidP="007D536E">
      <w:pPr>
        <w:rPr>
          <w:rFonts w:eastAsia="SimHei"/>
        </w:rPr>
      </w:pPr>
      <w:r w:rsidRPr="00C567FA">
        <w:rPr>
          <w:rFonts w:eastAsia="SimHei"/>
        </w:rPr>
        <w:t>7.20</w:t>
      </w:r>
      <w:r w:rsidRPr="00C567FA">
        <w:rPr>
          <w:rFonts w:eastAsia="SimHei"/>
        </w:rPr>
        <w:tab/>
        <w:t>Un délégué a pris note du rapport et s</w:t>
      </w:r>
      <w:r w:rsidR="007D536E">
        <w:rPr>
          <w:rFonts w:eastAsia="SimHei"/>
        </w:rPr>
        <w:t>'</w:t>
      </w:r>
      <w:r w:rsidRPr="00C567FA">
        <w:rPr>
          <w:rFonts w:eastAsia="SimHei"/>
        </w:rPr>
        <w:t>est associé aux vues d</w:t>
      </w:r>
      <w:r w:rsidR="007D536E">
        <w:rPr>
          <w:rFonts w:eastAsia="SimHei"/>
        </w:rPr>
        <w:t>'</w:t>
      </w:r>
      <w:r w:rsidRPr="00C567FA">
        <w:rPr>
          <w:rFonts w:eastAsia="SimHei"/>
        </w:rPr>
        <w:t>autres participants, afin de saluer les travaux menés par le secrétariat et le bureau régional. Il s</w:t>
      </w:r>
      <w:r w:rsidR="007D536E">
        <w:rPr>
          <w:rFonts w:eastAsia="SimHei"/>
        </w:rPr>
        <w:t>'</w:t>
      </w:r>
      <w:r w:rsidRPr="00C567FA">
        <w:rPr>
          <w:rFonts w:eastAsia="SimHei"/>
        </w:rPr>
        <w:t>est félicité des travaux effectués par le bureau pour la région Asie-Pacifique, en vue de dispenser une formation aux États Membres de la région et de mener à bien d</w:t>
      </w:r>
      <w:r w:rsidR="007D536E">
        <w:rPr>
          <w:rFonts w:eastAsia="SimHei"/>
        </w:rPr>
        <w:t>'</w:t>
      </w:r>
      <w:r w:rsidRPr="00C567FA">
        <w:rPr>
          <w:rFonts w:eastAsia="SimHei"/>
        </w:rPr>
        <w:t>autres activités dans le but de réduire la fracture numérique.</w:t>
      </w:r>
    </w:p>
    <w:p w14:paraId="2C9636FC" w14:textId="11337B7B" w:rsidR="0057411C" w:rsidRPr="00C567FA" w:rsidRDefault="0057411C" w:rsidP="007D536E">
      <w:pPr>
        <w:rPr>
          <w:rFonts w:eastAsia="SimHei"/>
        </w:rPr>
      </w:pPr>
      <w:r w:rsidRPr="00C567FA">
        <w:rPr>
          <w:rFonts w:eastAsia="SimHei"/>
        </w:rPr>
        <w:t>7.21</w:t>
      </w:r>
      <w:r w:rsidRPr="00C567FA">
        <w:rPr>
          <w:rFonts w:eastAsia="SimHei"/>
        </w:rPr>
        <w:tab/>
        <w:t>Un autre délégué a fait siennes les observations relatives aux recommandations de PwC sur la présence régionale, tout en soulignant l</w:t>
      </w:r>
      <w:r w:rsidR="007D536E">
        <w:rPr>
          <w:rFonts w:eastAsia="SimHei"/>
        </w:rPr>
        <w:t>'</w:t>
      </w:r>
      <w:r w:rsidRPr="00C567FA">
        <w:rPr>
          <w:rFonts w:eastAsia="SimHei"/>
        </w:rPr>
        <w:t>importance de maintenir et de renforcer la présence de l</w:t>
      </w:r>
      <w:r w:rsidR="007D536E">
        <w:rPr>
          <w:rFonts w:eastAsia="SimHei"/>
        </w:rPr>
        <w:t>'</w:t>
      </w:r>
      <w:r w:rsidRPr="00C567FA">
        <w:rPr>
          <w:rFonts w:eastAsia="SimHei"/>
        </w:rPr>
        <w:t>UIT dans la région des Caraïbes, de manière à tenir compte des différents besoins dans la région.</w:t>
      </w:r>
    </w:p>
    <w:p w14:paraId="19C83EE9" w14:textId="743A0A06" w:rsidR="0057411C" w:rsidRPr="00C567FA" w:rsidRDefault="0057411C" w:rsidP="007D536E">
      <w:pPr>
        <w:rPr>
          <w:rFonts w:eastAsia="SimHei"/>
        </w:rPr>
      </w:pPr>
      <w:r w:rsidRPr="00C567FA">
        <w:rPr>
          <w:rFonts w:eastAsia="SimHei"/>
        </w:rPr>
        <w:t>7.22</w:t>
      </w:r>
      <w:r w:rsidRPr="00C567FA">
        <w:rPr>
          <w:rFonts w:eastAsia="SimHei"/>
        </w:rPr>
        <w:tab/>
        <w:t>Un délégué a repris à son compte les observations d</w:t>
      </w:r>
      <w:r w:rsidR="007D536E">
        <w:rPr>
          <w:rFonts w:eastAsia="SimHei"/>
        </w:rPr>
        <w:t>'</w:t>
      </w:r>
      <w:r w:rsidRPr="00C567FA">
        <w:rPr>
          <w:rFonts w:eastAsia="SimHei"/>
        </w:rPr>
        <w:t>autres participants concernant le renforcement de la présence régionale et a souligné l</w:t>
      </w:r>
      <w:r w:rsidR="007D536E">
        <w:rPr>
          <w:rFonts w:eastAsia="SimHei"/>
        </w:rPr>
        <w:t>'</w:t>
      </w:r>
      <w:r w:rsidRPr="00C567FA">
        <w:rPr>
          <w:rFonts w:eastAsia="SimHei"/>
        </w:rPr>
        <w:t>importance que revêtent les bureaux régionaux dans la région des Amériques, pour prendre pleinement en considération la diversité qui caractérise la région. Il a également exprimé son appui en faveur du bureau de zone situé au Chili et des autres bureaux de zone.</w:t>
      </w:r>
    </w:p>
    <w:p w14:paraId="3222308F" w14:textId="51FFAA39" w:rsidR="0057411C" w:rsidRPr="00C567FA" w:rsidRDefault="0057411C" w:rsidP="007D536E">
      <w:pPr>
        <w:rPr>
          <w:rFonts w:eastAsia="SimHei"/>
        </w:rPr>
      </w:pPr>
      <w:r w:rsidRPr="00C567FA">
        <w:rPr>
          <w:rFonts w:eastAsia="SimHei"/>
        </w:rPr>
        <w:t>7.23</w:t>
      </w:r>
      <w:r w:rsidRPr="00C567FA">
        <w:rPr>
          <w:rFonts w:eastAsia="SimHei"/>
        </w:rPr>
        <w:tab/>
        <w:t>Un délégué a adressé ses remerciements au secrétariat pour les efforts déployés dans les bureaux régionaux et a estimé que ces bureaux étaient un impératif important, dans la mesure où ils constituent un premier point de contact entre les États Membres et l</w:t>
      </w:r>
      <w:r w:rsidR="007D536E">
        <w:rPr>
          <w:rFonts w:eastAsia="SimHei"/>
        </w:rPr>
        <w:t>'</w:t>
      </w:r>
      <w:r w:rsidRPr="00C567FA">
        <w:rPr>
          <w:rFonts w:eastAsia="SimHei"/>
        </w:rPr>
        <w:t>UIT. Il a remercié l</w:t>
      </w:r>
      <w:r w:rsidR="007D536E">
        <w:rPr>
          <w:rFonts w:eastAsia="SimHei"/>
        </w:rPr>
        <w:t>'</w:t>
      </w:r>
      <w:r w:rsidRPr="00C567FA">
        <w:rPr>
          <w:rFonts w:eastAsia="SimHei"/>
        </w:rPr>
        <w:t>Égypte pour ses efforts visant à appuyer le bureau régional.</w:t>
      </w:r>
    </w:p>
    <w:p w14:paraId="64ADB577" w14:textId="74C745C4" w:rsidR="0057411C" w:rsidRPr="00C567FA" w:rsidRDefault="0057411C" w:rsidP="007D536E">
      <w:pPr>
        <w:rPr>
          <w:rFonts w:eastAsia="SimHei"/>
        </w:rPr>
      </w:pPr>
      <w:r w:rsidRPr="00C567FA">
        <w:rPr>
          <w:rFonts w:eastAsia="SimHei"/>
        </w:rPr>
        <w:t>7.24</w:t>
      </w:r>
      <w:r w:rsidRPr="00C567FA">
        <w:rPr>
          <w:rFonts w:eastAsia="SimHei"/>
        </w:rPr>
        <w:tab/>
        <w:t>Un délégué s</w:t>
      </w:r>
      <w:r w:rsidR="007D536E">
        <w:rPr>
          <w:rFonts w:eastAsia="SimHei"/>
        </w:rPr>
        <w:t>'</w:t>
      </w:r>
      <w:r w:rsidRPr="00C567FA">
        <w:rPr>
          <w:rFonts w:eastAsia="SimHei"/>
        </w:rPr>
        <w:t>est félicité du travail accompli par l</w:t>
      </w:r>
      <w:r w:rsidR="007D536E">
        <w:rPr>
          <w:rFonts w:eastAsia="SimHei"/>
        </w:rPr>
        <w:t>'</w:t>
      </w:r>
      <w:r w:rsidRPr="00C567FA">
        <w:rPr>
          <w:rFonts w:eastAsia="SimHei"/>
        </w:rPr>
        <w:t>UIT en vue de renforcer et développer la présence régionale et a pris note du lien étroit qu</w:t>
      </w:r>
      <w:r w:rsidR="007D536E">
        <w:rPr>
          <w:rFonts w:eastAsia="SimHei"/>
        </w:rPr>
        <w:t>'</w:t>
      </w:r>
      <w:r w:rsidRPr="00C567FA">
        <w:rPr>
          <w:rFonts w:eastAsia="SimHei"/>
        </w:rPr>
        <w:t>entretiennent l</w:t>
      </w:r>
      <w:r w:rsidR="007D536E">
        <w:rPr>
          <w:rFonts w:eastAsia="SimHei"/>
        </w:rPr>
        <w:t>'</w:t>
      </w:r>
      <w:r w:rsidRPr="00C567FA">
        <w:rPr>
          <w:rFonts w:eastAsia="SimHei"/>
        </w:rPr>
        <w:t>Indonésie et le bureau régional de Jakarta. Il a remercié le BDT pour l</w:t>
      </w:r>
      <w:r w:rsidR="007D536E">
        <w:rPr>
          <w:rFonts w:eastAsia="SimHei"/>
        </w:rPr>
        <w:t>'</w:t>
      </w:r>
      <w:r w:rsidRPr="00C567FA">
        <w:rPr>
          <w:rFonts w:eastAsia="SimHei"/>
        </w:rPr>
        <w:t>appui qu</w:t>
      </w:r>
      <w:r w:rsidR="007D536E">
        <w:rPr>
          <w:rFonts w:eastAsia="SimHei"/>
        </w:rPr>
        <w:t>'</w:t>
      </w:r>
      <w:r w:rsidRPr="00C567FA">
        <w:rPr>
          <w:rFonts w:eastAsia="SimHei"/>
        </w:rPr>
        <w:t>il a apporté à l</w:t>
      </w:r>
      <w:r w:rsidR="007D536E">
        <w:rPr>
          <w:rFonts w:eastAsia="SimHei"/>
        </w:rPr>
        <w:t>'</w:t>
      </w:r>
      <w:r w:rsidRPr="00C567FA">
        <w:rPr>
          <w:rFonts w:eastAsia="SimHei"/>
        </w:rPr>
        <w:t>Indonésie lorsque ce pays a assuré la présidence du G20, en particulier pour le travail effectué par les bureaux régionaux et les bureaux de zone dans la région Asie-Pacifique.</w:t>
      </w:r>
    </w:p>
    <w:p w14:paraId="77177610" w14:textId="56BD8B9F" w:rsidR="0057411C" w:rsidRPr="00C567FA" w:rsidRDefault="0057411C" w:rsidP="007D536E">
      <w:pPr>
        <w:rPr>
          <w:rFonts w:eastAsia="SimHei"/>
        </w:rPr>
      </w:pPr>
      <w:r w:rsidRPr="00C567FA">
        <w:rPr>
          <w:rFonts w:eastAsia="SimHei"/>
        </w:rPr>
        <w:t>7.25</w:t>
      </w:r>
      <w:r w:rsidRPr="00C567FA">
        <w:rPr>
          <w:rFonts w:eastAsia="SimHei"/>
        </w:rPr>
        <w:tab/>
        <w:t>Un délégué a mis en avant l</w:t>
      </w:r>
      <w:r w:rsidR="007D536E">
        <w:rPr>
          <w:rFonts w:eastAsia="SimHei"/>
        </w:rPr>
        <w:t>'</w:t>
      </w:r>
      <w:r w:rsidRPr="00C567FA">
        <w:rPr>
          <w:rFonts w:eastAsia="SimHei"/>
        </w:rPr>
        <w:t>importance de la présence régionale et le principe selon lequel il convient de collaborer étroitement avec d</w:t>
      </w:r>
      <w:r w:rsidR="007D536E">
        <w:rPr>
          <w:rFonts w:eastAsia="SimHei"/>
        </w:rPr>
        <w:t>'</w:t>
      </w:r>
      <w:r w:rsidRPr="00C567FA">
        <w:rPr>
          <w:rFonts w:eastAsia="SimHei"/>
        </w:rPr>
        <w:t>autres organisations régionales dans le cadre des bureaux régionaux. Le délégué a pris note de l</w:t>
      </w:r>
      <w:r w:rsidR="007D536E">
        <w:rPr>
          <w:rFonts w:eastAsia="SimHei"/>
        </w:rPr>
        <w:t>'</w:t>
      </w:r>
      <w:r w:rsidRPr="00C567FA">
        <w:rPr>
          <w:rFonts w:eastAsia="SimHei"/>
        </w:rPr>
        <w:t>affectation d</w:t>
      </w:r>
      <w:r w:rsidR="007D536E">
        <w:rPr>
          <w:rFonts w:eastAsia="SimHei"/>
        </w:rPr>
        <w:t>'</w:t>
      </w:r>
      <w:r w:rsidRPr="00C567FA">
        <w:rPr>
          <w:rFonts w:eastAsia="SimHei"/>
        </w:rPr>
        <w:t>un montant supplémentaire de 3 millions CHF pour les initiatives régionales, mais a également souligné les difficultés liées au versement des fonds et a demandé quelles étaient les mesures en place pour gérer les projets qui pouvaient être bloqués ou retardés.</w:t>
      </w:r>
    </w:p>
    <w:p w14:paraId="5A1929DD" w14:textId="2B504082" w:rsidR="0057411C" w:rsidRPr="00C567FA" w:rsidRDefault="0057411C" w:rsidP="007D536E">
      <w:pPr>
        <w:rPr>
          <w:rFonts w:eastAsia="SimHei"/>
        </w:rPr>
      </w:pPr>
      <w:r w:rsidRPr="00C567FA">
        <w:rPr>
          <w:rFonts w:eastAsia="SimHei"/>
        </w:rPr>
        <w:t>7.26</w:t>
      </w:r>
      <w:r w:rsidRPr="00C567FA">
        <w:rPr>
          <w:rFonts w:eastAsia="SimHei"/>
        </w:rPr>
        <w:tab/>
        <w:t>Un autre délégué a remercié la Directrice et le personnel du BDT pour les efforts déployés afin de soutenir les bureaux régionaux, et a remercié le Directeur régional pour la région des États arabes pour le travail inlassable qu</w:t>
      </w:r>
      <w:r w:rsidR="007D536E">
        <w:rPr>
          <w:rFonts w:eastAsia="SimHei"/>
        </w:rPr>
        <w:t>'</w:t>
      </w:r>
      <w:r w:rsidRPr="00C567FA">
        <w:rPr>
          <w:rFonts w:eastAsia="SimHei"/>
        </w:rPr>
        <w:t>il a accompli afin d</w:t>
      </w:r>
      <w:r w:rsidR="007D536E">
        <w:rPr>
          <w:rFonts w:eastAsia="SimHei"/>
        </w:rPr>
        <w:t>'</w:t>
      </w:r>
      <w:r w:rsidRPr="00C567FA">
        <w:rPr>
          <w:rFonts w:eastAsia="SimHei"/>
        </w:rPr>
        <w:t>appuyer les régions.</w:t>
      </w:r>
    </w:p>
    <w:p w14:paraId="1267EC6A" w14:textId="3236CEA3" w:rsidR="0057411C" w:rsidRPr="00C567FA" w:rsidRDefault="0057411C" w:rsidP="007D536E">
      <w:pPr>
        <w:keepLines/>
        <w:rPr>
          <w:rFonts w:eastAsia="SimHei"/>
        </w:rPr>
      </w:pPr>
      <w:r w:rsidRPr="00C567FA">
        <w:rPr>
          <w:rFonts w:eastAsia="SimHei"/>
        </w:rPr>
        <w:lastRenderedPageBreak/>
        <w:t>7.27</w:t>
      </w:r>
      <w:r w:rsidRPr="00C567FA">
        <w:rPr>
          <w:rFonts w:eastAsia="SimHei"/>
        </w:rPr>
        <w:tab/>
        <w:t>La Directrice du BDT a pris la parole pour répondre aux observations formulées. Elle a pris note du grand intérêt manifesté par toutes les délégations, ce qui témoigne de l</w:t>
      </w:r>
      <w:r w:rsidR="007D536E">
        <w:rPr>
          <w:rFonts w:eastAsia="SimHei"/>
        </w:rPr>
        <w:t>'</w:t>
      </w:r>
      <w:r w:rsidRPr="00C567FA">
        <w:rPr>
          <w:rFonts w:eastAsia="SimHei"/>
        </w:rPr>
        <w:t>importance de la présence régionale, qui constitue la composante opérationnelle de l</w:t>
      </w:r>
      <w:r w:rsidR="007D536E">
        <w:rPr>
          <w:rFonts w:eastAsia="SimHei"/>
        </w:rPr>
        <w:t>'</w:t>
      </w:r>
      <w:r w:rsidRPr="00C567FA">
        <w:rPr>
          <w:rFonts w:eastAsia="SimHei"/>
        </w:rPr>
        <w:t>UIT sur le terrain. L</w:t>
      </w:r>
      <w:r w:rsidR="007D536E">
        <w:rPr>
          <w:rFonts w:eastAsia="SimHei"/>
        </w:rPr>
        <w:t>'</w:t>
      </w:r>
      <w:r w:rsidRPr="00C567FA">
        <w:rPr>
          <w:rFonts w:eastAsia="SimHei"/>
        </w:rPr>
        <w:t>UIT n</w:t>
      </w:r>
      <w:r w:rsidR="007D536E">
        <w:rPr>
          <w:rFonts w:eastAsia="SimHei"/>
        </w:rPr>
        <w:t>'</w:t>
      </w:r>
      <w:r w:rsidRPr="00C567FA">
        <w:rPr>
          <w:rFonts w:eastAsia="SimHei"/>
        </w:rPr>
        <w:t>a ménagé aucun effort pour soutenir la présence régionale, afin de mettre en œuvre le principe d</w:t>
      </w:r>
      <w:r w:rsidR="007D536E">
        <w:rPr>
          <w:rFonts w:eastAsia="SimHei"/>
        </w:rPr>
        <w:t>'</w:t>
      </w:r>
      <w:r w:rsidRPr="00C567FA">
        <w:rPr>
          <w:rFonts w:eastAsia="SimHei"/>
        </w:rPr>
        <w:t>une "UIT unie dans l</w:t>
      </w:r>
      <w:r w:rsidR="007D536E">
        <w:rPr>
          <w:rFonts w:eastAsia="SimHei"/>
        </w:rPr>
        <w:t>'</w:t>
      </w:r>
      <w:r w:rsidRPr="00C567FA">
        <w:rPr>
          <w:rFonts w:eastAsia="SimHei"/>
        </w:rPr>
        <w:t>action", en collaboration avec les autres bureaux. La Directrice du BDT a remercié les Directeurs régionaux présents physiquement à Genève pour la session du Conseil et a fait observer qu</w:t>
      </w:r>
      <w:r w:rsidR="007D536E">
        <w:rPr>
          <w:rFonts w:eastAsia="SimHei"/>
        </w:rPr>
        <w:t>'</w:t>
      </w:r>
      <w:r w:rsidRPr="00C567FA">
        <w:rPr>
          <w:rFonts w:eastAsia="SimHei"/>
        </w:rPr>
        <w:t>ils se tenaient à la disposition des délégués pour leur fournir un appui.</w:t>
      </w:r>
    </w:p>
    <w:p w14:paraId="37E54BEA" w14:textId="69F49678" w:rsidR="0057411C" w:rsidRPr="00C567FA" w:rsidRDefault="0057411C" w:rsidP="007D536E">
      <w:pPr>
        <w:rPr>
          <w:rFonts w:eastAsia="SimHei"/>
        </w:rPr>
      </w:pPr>
      <w:r w:rsidRPr="00C567FA">
        <w:rPr>
          <w:rFonts w:eastAsia="SimHei"/>
        </w:rPr>
        <w:t>7.28</w:t>
      </w:r>
      <w:r w:rsidRPr="00C567FA">
        <w:rPr>
          <w:rFonts w:eastAsia="SimHei"/>
        </w:rPr>
        <w:tab/>
        <w:t>La Directrice du BDT a souligné qu</w:t>
      </w:r>
      <w:r w:rsidR="007D536E">
        <w:rPr>
          <w:rFonts w:eastAsia="SimHei"/>
        </w:rPr>
        <w:t>'</w:t>
      </w:r>
      <w:r w:rsidRPr="00C567FA">
        <w:rPr>
          <w:rFonts w:eastAsia="SimHei"/>
        </w:rPr>
        <w:t>il était nécessaire de modifier le rapport, afin de mieux rendre compte des travaux menés dans la région des États arabes, qui sont présentés dans les tableaux du document principal et comprennent 21 activités et 7 projets spécifiques. En outre, il a été pris note des propositions concernant le renforcement de la présence régionale qui ont été mises en avant par un délégué à la suite du Café-découverte. La Directrice du BDT a adressé ses remerciements à la République de l</w:t>
      </w:r>
      <w:r w:rsidR="007D536E">
        <w:rPr>
          <w:rFonts w:eastAsia="SimHei"/>
        </w:rPr>
        <w:t>'</w:t>
      </w:r>
      <w:r w:rsidRPr="00C567FA">
        <w:rPr>
          <w:rFonts w:eastAsia="SimHei"/>
        </w:rPr>
        <w:t>Inde pour le nouveau bureau qui serait bientôt créé et serait investi d</w:t>
      </w:r>
      <w:r w:rsidR="007D536E">
        <w:rPr>
          <w:rFonts w:eastAsia="SimHei"/>
        </w:rPr>
        <w:t>'</w:t>
      </w:r>
      <w:r w:rsidRPr="00C567FA">
        <w:rPr>
          <w:rFonts w:eastAsia="SimHei"/>
        </w:rPr>
        <w:t>une fonction d</w:t>
      </w:r>
      <w:r w:rsidR="007D536E">
        <w:rPr>
          <w:rFonts w:eastAsia="SimHei"/>
        </w:rPr>
        <w:t>'</w:t>
      </w:r>
      <w:r w:rsidRPr="00C567FA">
        <w:rPr>
          <w:rFonts w:eastAsia="SimHei"/>
        </w:rPr>
        <w:t>innovation, laquelle pourrait être reproduite dans tous les bureaux. Elle a également remercié la Thaïlande pour les nouveaux locaux du bureau régional à Bangkok.</w:t>
      </w:r>
    </w:p>
    <w:p w14:paraId="729E2CB1" w14:textId="515E8905" w:rsidR="0057411C" w:rsidRPr="00C567FA" w:rsidRDefault="0057411C" w:rsidP="007D536E">
      <w:pPr>
        <w:rPr>
          <w:rFonts w:eastAsia="SimHei"/>
        </w:rPr>
      </w:pPr>
      <w:r w:rsidRPr="00C567FA">
        <w:rPr>
          <w:rFonts w:eastAsia="SimHei"/>
        </w:rPr>
        <w:t>7.29</w:t>
      </w:r>
      <w:r w:rsidRPr="00C567FA">
        <w:rPr>
          <w:rFonts w:eastAsia="SimHei"/>
        </w:rPr>
        <w:tab/>
        <w:t>En réponse aux observations soulevées par un délégué, le secrétariat a expliqué qu</w:t>
      </w:r>
      <w:r w:rsidR="007D536E">
        <w:rPr>
          <w:rFonts w:eastAsia="SimHei"/>
        </w:rPr>
        <w:t>'</w:t>
      </w:r>
      <w:r w:rsidRPr="00C567FA">
        <w:rPr>
          <w:rFonts w:eastAsia="SimHei"/>
        </w:rPr>
        <w:t>avec ces changements, l</w:t>
      </w:r>
      <w:r w:rsidR="007D536E">
        <w:rPr>
          <w:rFonts w:eastAsia="SimHei"/>
        </w:rPr>
        <w:t>'</w:t>
      </w:r>
      <w:r w:rsidRPr="00C567FA">
        <w:rPr>
          <w:rFonts w:eastAsia="SimHei"/>
        </w:rPr>
        <w:t>UIT s</w:t>
      </w:r>
      <w:r w:rsidR="007D536E">
        <w:rPr>
          <w:rFonts w:eastAsia="SimHei"/>
        </w:rPr>
        <w:t>'</w:t>
      </w:r>
      <w:r w:rsidRPr="00C567FA">
        <w:rPr>
          <w:rFonts w:eastAsia="SimHei"/>
        </w:rPr>
        <w:t>efforçait de rationaliser les processus, et a indiqué que de plus amples informations seraient fournies dans le cadre du rapport sur les contrôles internes. Ces préoccupations rejoignent celles formulées par un autre délégué concernant les difficultés rencontrées dans le cadre des projets. Le secrétariat a fait savoir qu</w:t>
      </w:r>
      <w:r w:rsidR="007D536E">
        <w:rPr>
          <w:rFonts w:eastAsia="SimHei"/>
        </w:rPr>
        <w:t>'</w:t>
      </w:r>
      <w:r w:rsidRPr="00C567FA">
        <w:rPr>
          <w:rFonts w:eastAsia="SimHei"/>
        </w:rPr>
        <w:t>un Comité directeur des projets avait été mis en place pour aider le BDT à remédier aux retards ou problèmes éventuels et a conseillé aux délégués de se reporter au tableau de bord des projets.</w:t>
      </w:r>
    </w:p>
    <w:p w14:paraId="39257697" w14:textId="59AC7EE2" w:rsidR="0057411C" w:rsidRPr="00C567FA" w:rsidRDefault="0057411C" w:rsidP="007D536E">
      <w:pPr>
        <w:rPr>
          <w:rFonts w:eastAsia="SimHei"/>
        </w:rPr>
      </w:pPr>
      <w:r w:rsidRPr="00C567FA">
        <w:rPr>
          <w:rFonts w:eastAsia="SimHei"/>
        </w:rPr>
        <w:t>7.30</w:t>
      </w:r>
      <w:r w:rsidRPr="00C567FA">
        <w:rPr>
          <w:rFonts w:eastAsia="SimHei"/>
        </w:rPr>
        <w:tab/>
        <w:t>Le secrétariat a indiqué, à titre de précision, que les informations mises à jour sur les travaux menés dans la région des États arabes seraient fournies sous la forme d</w:t>
      </w:r>
      <w:r w:rsidR="007D536E">
        <w:rPr>
          <w:rFonts w:eastAsia="SimHei"/>
        </w:rPr>
        <w:t>'</w:t>
      </w:r>
      <w:r w:rsidRPr="00C567FA">
        <w:rPr>
          <w:rFonts w:eastAsia="SimHei"/>
        </w:rPr>
        <w:t>un Addendum au rapport, dans les plus brefs délais.</w:t>
      </w:r>
    </w:p>
    <w:p w14:paraId="6D435518" w14:textId="1BC38A11" w:rsidR="0057411C" w:rsidRPr="00C567FA" w:rsidRDefault="0057411C" w:rsidP="007D536E">
      <w:pPr>
        <w:rPr>
          <w:rFonts w:eastAsia="SimHei"/>
        </w:rPr>
      </w:pPr>
      <w:r w:rsidRPr="00C567FA">
        <w:rPr>
          <w:rFonts w:eastAsia="SimHei"/>
        </w:rPr>
        <w:t>7.31</w:t>
      </w:r>
      <w:r w:rsidRPr="00C567FA">
        <w:rPr>
          <w:rFonts w:eastAsia="SimHei"/>
        </w:rPr>
        <w:tab/>
        <w:t>En ce qui concerne la question du redéploiement du personnel en général, en réponse aux observations formulées par plusieurs délégués, il a été indiqué que le BDT travaillait en collaboration avec le Département des ressources humaines sur les modalités liées à la mobilité du personnel, l</w:t>
      </w:r>
      <w:r w:rsidR="007D536E">
        <w:rPr>
          <w:rFonts w:eastAsia="SimHei"/>
        </w:rPr>
        <w:t>'</w:t>
      </w:r>
      <w:r w:rsidRPr="00C567FA">
        <w:rPr>
          <w:rFonts w:eastAsia="SimHei"/>
        </w:rPr>
        <w:t>objectif étant de stimuler le renforcement des bureaux régionaux en accélérant la dynamique de mobilité du personnel du siège vers les régions, dans la mesure du possible. En réponse aux observations soulevées par un délégué concernant la nécessité d</w:t>
      </w:r>
      <w:r w:rsidR="007D536E">
        <w:rPr>
          <w:rFonts w:eastAsia="SimHei"/>
        </w:rPr>
        <w:t>'</w:t>
      </w:r>
      <w:r w:rsidRPr="00C567FA">
        <w:rPr>
          <w:rFonts w:eastAsia="SimHei"/>
        </w:rPr>
        <w:t>une planification stratégique régionale, il a été fait observer qu</w:t>
      </w:r>
      <w:r w:rsidR="007D536E">
        <w:rPr>
          <w:rFonts w:eastAsia="SimHei"/>
        </w:rPr>
        <w:t>'</w:t>
      </w:r>
      <w:r w:rsidRPr="00C567FA">
        <w:rPr>
          <w:rFonts w:eastAsia="SimHei"/>
        </w:rPr>
        <w:t>un exercice avait été lancé pour que chaque région dispose de sa propre stratégie de mise en œuvre du Plan stratégique de l</w:t>
      </w:r>
      <w:r w:rsidR="007D536E">
        <w:rPr>
          <w:rFonts w:eastAsia="SimHei"/>
        </w:rPr>
        <w:t>'</w:t>
      </w:r>
      <w:r w:rsidRPr="00C567FA">
        <w:rPr>
          <w:rFonts w:eastAsia="SimHei"/>
        </w:rPr>
        <w:t>UIT, ce qui contribuerait à améliorer les capacités d</w:t>
      </w:r>
      <w:r w:rsidR="007D536E">
        <w:rPr>
          <w:rFonts w:eastAsia="SimHei"/>
        </w:rPr>
        <w:t>'</w:t>
      </w:r>
      <w:r w:rsidRPr="00C567FA">
        <w:rPr>
          <w:rFonts w:eastAsia="SimHei"/>
        </w:rPr>
        <w:t>exécution en général, notamment en ce qui concerne le principe d</w:t>
      </w:r>
      <w:r w:rsidR="007D536E">
        <w:rPr>
          <w:rFonts w:eastAsia="SimHei"/>
        </w:rPr>
        <w:t>'</w:t>
      </w:r>
      <w:r w:rsidRPr="00C567FA">
        <w:rPr>
          <w:rFonts w:eastAsia="SimHei"/>
        </w:rPr>
        <w:t>une "UIT unie dans l</w:t>
      </w:r>
      <w:r w:rsidR="007D536E">
        <w:rPr>
          <w:rFonts w:eastAsia="SimHei"/>
        </w:rPr>
        <w:t>'</w:t>
      </w:r>
      <w:r w:rsidRPr="00C567FA">
        <w:rPr>
          <w:rFonts w:eastAsia="SimHei"/>
        </w:rPr>
        <w:t>action" et l</w:t>
      </w:r>
      <w:r w:rsidR="007D536E">
        <w:rPr>
          <w:rFonts w:eastAsia="SimHei"/>
        </w:rPr>
        <w:t>'</w:t>
      </w:r>
      <w:r w:rsidRPr="00C567FA">
        <w:rPr>
          <w:rFonts w:eastAsia="SimHei"/>
        </w:rPr>
        <w:t>identification des besoins en matière de capacités. Ce processus devrait être achevé cette année, dans la droite ligne du nouveau processus de planification stratégique. On espère qu</w:t>
      </w:r>
      <w:r w:rsidR="007D536E">
        <w:rPr>
          <w:rFonts w:eastAsia="SimHei"/>
        </w:rPr>
        <w:t>'</w:t>
      </w:r>
      <w:r w:rsidRPr="00C567FA">
        <w:rPr>
          <w:rFonts w:eastAsia="SimHei"/>
        </w:rPr>
        <w:t>une session d</w:t>
      </w:r>
      <w:r w:rsidR="007D536E">
        <w:rPr>
          <w:rFonts w:eastAsia="SimHei"/>
        </w:rPr>
        <w:t>'</w:t>
      </w:r>
      <w:r w:rsidRPr="00C567FA">
        <w:rPr>
          <w:rFonts w:eastAsia="SimHei"/>
        </w:rPr>
        <w:t>information sera organisée ou qu</w:t>
      </w:r>
      <w:r w:rsidR="007D536E">
        <w:rPr>
          <w:rFonts w:eastAsia="SimHei"/>
        </w:rPr>
        <w:t>'</w:t>
      </w:r>
      <w:r w:rsidRPr="00C567FA">
        <w:rPr>
          <w:rFonts w:eastAsia="SimHei"/>
        </w:rPr>
        <w:t>un document sera mis à disposition en vue de la Conférence des plénipotentiaires. Ce processus répond également à la nécessité de mieux gérer les coûts afin de desservir une zone plus étendue, dans la même enveloppe de coûts.</w:t>
      </w:r>
    </w:p>
    <w:p w14:paraId="4B247C8B" w14:textId="26A4F5AA" w:rsidR="0057411C" w:rsidRPr="00C567FA" w:rsidRDefault="0057411C" w:rsidP="007D536E">
      <w:pPr>
        <w:rPr>
          <w:rFonts w:eastAsia="SimHei"/>
        </w:rPr>
      </w:pPr>
      <w:r w:rsidRPr="00C567FA">
        <w:rPr>
          <w:rFonts w:eastAsia="SimHei"/>
        </w:rPr>
        <w:t>7.32</w:t>
      </w:r>
      <w:r w:rsidRPr="00C567FA">
        <w:rPr>
          <w:rFonts w:eastAsia="SimHei"/>
        </w:rPr>
        <w:tab/>
        <w:t>En réponse à la demande formulée par un délégué, le secrétariat a expliqué que le BDT élabore actuellement un tableau de délégation de pouvoir qui permettra d</w:t>
      </w:r>
      <w:r w:rsidR="007D536E">
        <w:rPr>
          <w:rFonts w:eastAsia="SimHei"/>
        </w:rPr>
        <w:t>'</w:t>
      </w:r>
      <w:r w:rsidRPr="00C567FA">
        <w:rPr>
          <w:rFonts w:eastAsia="SimHei"/>
        </w:rPr>
        <w:t>accroître les niveaux d</w:t>
      </w:r>
      <w:r w:rsidR="007D536E">
        <w:rPr>
          <w:rFonts w:eastAsia="SimHei"/>
        </w:rPr>
        <w:t>'</w:t>
      </w:r>
      <w:r w:rsidRPr="00C567FA">
        <w:rPr>
          <w:rFonts w:eastAsia="SimHei"/>
        </w:rPr>
        <w:t>autorité dans la région, tout en assurant la responsabilisation de ceux qui exercent l</w:t>
      </w:r>
      <w:r w:rsidR="007D536E">
        <w:rPr>
          <w:rFonts w:eastAsia="SimHei"/>
        </w:rPr>
        <w:t>'</w:t>
      </w:r>
      <w:r w:rsidRPr="00C567FA">
        <w:rPr>
          <w:rFonts w:eastAsia="SimHei"/>
        </w:rPr>
        <w:t>autorité. Ce travail sera achevé au cours du premier semestre de cette année, de sorte qu</w:t>
      </w:r>
      <w:r w:rsidR="007D536E">
        <w:rPr>
          <w:rFonts w:eastAsia="SimHei"/>
        </w:rPr>
        <w:t>'</w:t>
      </w:r>
      <w:r w:rsidRPr="00C567FA">
        <w:rPr>
          <w:rFonts w:eastAsia="SimHei"/>
        </w:rPr>
        <w:t>un tableau sera mis en place d</w:t>
      </w:r>
      <w:r w:rsidR="007D536E">
        <w:rPr>
          <w:rFonts w:eastAsia="SimHei"/>
        </w:rPr>
        <w:t>'</w:t>
      </w:r>
      <w:r w:rsidRPr="00C567FA">
        <w:rPr>
          <w:rFonts w:eastAsia="SimHei"/>
        </w:rPr>
        <w:t>ici la fin juin.</w:t>
      </w:r>
    </w:p>
    <w:p w14:paraId="51CAC007" w14:textId="507613A5" w:rsidR="0057411C" w:rsidRPr="00C567FA" w:rsidRDefault="0057411C" w:rsidP="007D536E">
      <w:pPr>
        <w:rPr>
          <w:rFonts w:eastAsia="SimHei"/>
        </w:rPr>
      </w:pPr>
      <w:r w:rsidRPr="00C567FA">
        <w:rPr>
          <w:rFonts w:eastAsia="SimHei"/>
        </w:rPr>
        <w:lastRenderedPageBreak/>
        <w:t>7.33</w:t>
      </w:r>
      <w:r w:rsidRPr="00C567FA">
        <w:rPr>
          <w:rFonts w:eastAsia="SimHei"/>
        </w:rPr>
        <w:tab/>
        <w:t>La Présidente a donné la parole au Directeur du BR, qui a complété les observations de ses homologues et a fourni l</w:t>
      </w:r>
      <w:r w:rsidR="007D536E">
        <w:rPr>
          <w:rFonts w:eastAsia="SimHei"/>
        </w:rPr>
        <w:t>'</w:t>
      </w:r>
      <w:r w:rsidRPr="00C567FA">
        <w:rPr>
          <w:rFonts w:eastAsia="SimHei"/>
        </w:rPr>
        <w:t>assurance que, bien que la présence régionale soit gérée par l</w:t>
      </w:r>
      <w:r w:rsidR="007D536E">
        <w:rPr>
          <w:rFonts w:eastAsia="SimHei"/>
        </w:rPr>
        <w:t>'</w:t>
      </w:r>
      <w:r w:rsidRPr="00C567FA">
        <w:rPr>
          <w:rFonts w:eastAsia="SimHei"/>
        </w:rPr>
        <w:t>UIT</w:t>
      </w:r>
      <w:r w:rsidRPr="00C567FA">
        <w:rPr>
          <w:rFonts w:eastAsia="SimHei"/>
        </w:rPr>
        <w:noBreakHyphen/>
        <w:t>D, l</w:t>
      </w:r>
      <w:r w:rsidR="007D536E">
        <w:rPr>
          <w:rFonts w:eastAsia="SimHei"/>
        </w:rPr>
        <w:t>'</w:t>
      </w:r>
      <w:r w:rsidRPr="00C567FA">
        <w:rPr>
          <w:rFonts w:eastAsia="SimHei"/>
        </w:rPr>
        <w:t>essentiel du travail relevant de ce Secteur, le BR et le TSB travaillent en étroite collaboration avec les régions pour leur apporter un appui et une assistance par l</w:t>
      </w:r>
      <w:r w:rsidR="007D536E">
        <w:rPr>
          <w:rFonts w:eastAsia="SimHei"/>
        </w:rPr>
        <w:t>'</w:t>
      </w:r>
      <w:r w:rsidRPr="00C567FA">
        <w:rPr>
          <w:rFonts w:eastAsia="SimHei"/>
        </w:rPr>
        <w:t>intermédiaire des bureaux régionaux. La coordination s</w:t>
      </w:r>
      <w:r w:rsidR="007D536E">
        <w:rPr>
          <w:rFonts w:eastAsia="SimHei"/>
        </w:rPr>
        <w:t>'</w:t>
      </w:r>
      <w:r w:rsidRPr="00C567FA">
        <w:rPr>
          <w:rFonts w:eastAsia="SimHei"/>
        </w:rPr>
        <w:t>est améliorée au cours de l</w:t>
      </w:r>
      <w:r w:rsidR="007D536E">
        <w:rPr>
          <w:rFonts w:eastAsia="SimHei"/>
        </w:rPr>
        <w:t>'</w:t>
      </w:r>
      <w:r w:rsidRPr="00C567FA">
        <w:rPr>
          <w:rFonts w:eastAsia="SimHei"/>
        </w:rPr>
        <w:t>année écoulée, et il est considéré que la présence régionale permet de représenter la totalité des Secteurs de l</w:t>
      </w:r>
      <w:r w:rsidR="007D536E">
        <w:rPr>
          <w:rFonts w:eastAsia="SimHei"/>
        </w:rPr>
        <w:t>'</w:t>
      </w:r>
      <w:r w:rsidRPr="00C567FA">
        <w:rPr>
          <w:rFonts w:eastAsia="SimHei"/>
        </w:rPr>
        <w:t>UIT sur le terrain.</w:t>
      </w:r>
    </w:p>
    <w:p w14:paraId="6A35BD15" w14:textId="41CEC5F8" w:rsidR="0057411C" w:rsidRPr="00C567FA" w:rsidRDefault="0057411C" w:rsidP="007D536E">
      <w:pPr>
        <w:rPr>
          <w:rFonts w:eastAsia="SimHei"/>
        </w:rPr>
      </w:pPr>
      <w:r w:rsidRPr="00C567FA">
        <w:rPr>
          <w:rFonts w:eastAsia="SimHei"/>
        </w:rPr>
        <w:t>7.34</w:t>
      </w:r>
      <w:r w:rsidRPr="00C567FA">
        <w:rPr>
          <w:rFonts w:eastAsia="SimHei"/>
        </w:rPr>
        <w:tab/>
        <w:t>Un délégué a pris la parole pour proposer que les Directeurs des Bureaux organisent une session d</w:t>
      </w:r>
      <w:r w:rsidR="007D536E">
        <w:rPr>
          <w:rFonts w:eastAsia="SimHei"/>
        </w:rPr>
        <w:t>'</w:t>
      </w:r>
      <w:r w:rsidRPr="00C567FA">
        <w:rPr>
          <w:rFonts w:eastAsia="SimHei"/>
        </w:rPr>
        <w:t>information virtuelle intensive à l</w:t>
      </w:r>
      <w:r w:rsidR="007D536E">
        <w:rPr>
          <w:rFonts w:eastAsia="SimHei"/>
        </w:rPr>
        <w:t>'</w:t>
      </w:r>
      <w:r w:rsidRPr="00C567FA">
        <w:rPr>
          <w:rFonts w:eastAsia="SimHei"/>
        </w:rPr>
        <w:t>intention des bureaux régionaux et des bureaux de zone, afin de leur fournir des informations sur les défis auxquels le BR et le TSB sont confrontés, notamment en ce qui concerne les conférences récentes et les conférences à venir.</w:t>
      </w:r>
    </w:p>
    <w:p w14:paraId="2AA3C817" w14:textId="345E571B" w:rsidR="0057411C" w:rsidRPr="00C567FA" w:rsidRDefault="0057411C" w:rsidP="007D536E">
      <w:pPr>
        <w:rPr>
          <w:rFonts w:eastAsia="SimHei"/>
        </w:rPr>
      </w:pPr>
      <w:r w:rsidRPr="00C567FA">
        <w:rPr>
          <w:rFonts w:eastAsia="SimHei"/>
        </w:rPr>
        <w:t>7.35</w:t>
      </w:r>
      <w:r w:rsidRPr="00C567FA">
        <w:rPr>
          <w:rFonts w:eastAsia="SimHei"/>
        </w:rPr>
        <w:tab/>
        <w:t>Le Directeur du TSB a fait état de l</w:t>
      </w:r>
      <w:r w:rsidR="007D536E">
        <w:rPr>
          <w:rFonts w:eastAsia="SimHei"/>
        </w:rPr>
        <w:t>'</w:t>
      </w:r>
      <w:r w:rsidRPr="00C567FA">
        <w:rPr>
          <w:rFonts w:eastAsia="SimHei"/>
        </w:rPr>
        <w:t>étroite collaboration entre le TSB et les bureaux régionaux et a souligné que des appels mensuels étaient effectués et que le TSB poursuivait ses activités de sensibilisation grâce à une collaboration et à une coordination étroites avec les bureaux régionaux et les bureaux de zone.</w:t>
      </w:r>
    </w:p>
    <w:p w14:paraId="683FDEB0" w14:textId="38137EF6" w:rsidR="0057411C" w:rsidRPr="00C567FA" w:rsidRDefault="0057411C" w:rsidP="007D536E">
      <w:pPr>
        <w:rPr>
          <w:rFonts w:eastAsia="SimHei"/>
        </w:rPr>
      </w:pPr>
      <w:r w:rsidRPr="00C567FA">
        <w:rPr>
          <w:rFonts w:eastAsia="SimHei"/>
        </w:rPr>
        <w:t>7.36</w:t>
      </w:r>
      <w:r w:rsidRPr="00C567FA">
        <w:rPr>
          <w:rFonts w:eastAsia="SimHei"/>
        </w:rPr>
        <w:tab/>
        <w:t>La Directrice du BDT a remercié les Directeurs du BR et du TSB pour leurs observations et a répondu à la suggestion faite par un délégué concernant la session d</w:t>
      </w:r>
      <w:r w:rsidR="007D536E">
        <w:rPr>
          <w:rFonts w:eastAsia="SimHei"/>
        </w:rPr>
        <w:t>'</w:t>
      </w:r>
      <w:r w:rsidRPr="00C567FA">
        <w:rPr>
          <w:rFonts w:eastAsia="SimHei"/>
        </w:rPr>
        <w:t>information virtuelle intensive, en indiquant le BDT organise déjà des réunions collectives mensuelles et des sessions d</w:t>
      </w:r>
      <w:r w:rsidR="007D536E">
        <w:rPr>
          <w:rFonts w:eastAsia="SimHei"/>
        </w:rPr>
        <w:t>'</w:t>
      </w:r>
      <w:r w:rsidRPr="00C567FA">
        <w:rPr>
          <w:rFonts w:eastAsia="SimHei"/>
        </w:rPr>
        <w:t>information périodiques. La Directrice du BDT a également fait observer que M. Bilel Jamoussi avait participé à la dernière réunion collective, afin d</w:t>
      </w:r>
      <w:r w:rsidR="007D536E">
        <w:rPr>
          <w:rFonts w:eastAsia="SimHei"/>
        </w:rPr>
        <w:t>'</w:t>
      </w:r>
      <w:r w:rsidRPr="00C567FA">
        <w:rPr>
          <w:rFonts w:eastAsia="SimHei"/>
        </w:rPr>
        <w:t>expliquer les résultats de l</w:t>
      </w:r>
      <w:r w:rsidR="007D536E">
        <w:rPr>
          <w:rFonts w:eastAsia="SimHei"/>
        </w:rPr>
        <w:t>'</w:t>
      </w:r>
      <w:r w:rsidRPr="00C567FA">
        <w:rPr>
          <w:rFonts w:eastAsia="SimHei"/>
        </w:rPr>
        <w:t>AMNT, et que des séances analogues avaient été organisées avec l</w:t>
      </w:r>
      <w:r w:rsidR="007D536E">
        <w:rPr>
          <w:rFonts w:eastAsia="SimHei"/>
        </w:rPr>
        <w:t>'</w:t>
      </w:r>
      <w:r w:rsidRPr="00C567FA">
        <w:rPr>
          <w:rFonts w:eastAsia="SimHei"/>
        </w:rPr>
        <w:t>Adjointe au Directeur du BR avant et après la CMR.</w:t>
      </w:r>
    </w:p>
    <w:p w14:paraId="754EF8F3" w14:textId="0518A595" w:rsidR="0057411C" w:rsidRPr="00C567FA" w:rsidRDefault="0057411C" w:rsidP="007D536E">
      <w:pPr>
        <w:spacing w:after="240"/>
        <w:rPr>
          <w:rFonts w:eastAsia="SimHei"/>
        </w:rPr>
      </w:pPr>
      <w:r w:rsidRPr="00C567FA">
        <w:rPr>
          <w:rFonts w:eastAsia="SimHei"/>
        </w:rPr>
        <w:t>7.37</w:t>
      </w:r>
      <w:r w:rsidRPr="00C567FA">
        <w:rPr>
          <w:rFonts w:eastAsia="SimHei"/>
        </w:rPr>
        <w:tab/>
        <w:t>Enfin, la Directrice du BDT a fait observer qu</w:t>
      </w:r>
      <w:r w:rsidR="007D536E">
        <w:rPr>
          <w:rFonts w:eastAsia="SimHei"/>
        </w:rPr>
        <w:t>'</w:t>
      </w:r>
      <w:r w:rsidRPr="00C567FA">
        <w:rPr>
          <w:rFonts w:eastAsia="SimHei"/>
        </w:rPr>
        <w:t>en réponse aux besoins en matière de personnel dans les régions, une excellente initiative est actuellement mise en œuvre par le Japon et la République populaire de Chine, en vue de mettre à disposition des administrateurs auxiliaires chargés d</w:t>
      </w:r>
      <w:r w:rsidR="007D536E">
        <w:rPr>
          <w:rFonts w:eastAsia="SimHei"/>
        </w:rPr>
        <w:t>'</w:t>
      </w:r>
      <w:r w:rsidRPr="00C567FA">
        <w:rPr>
          <w:rFonts w:eastAsia="SimHei"/>
        </w:rPr>
        <w:t>apporter une assistance et un appui au BDT. Elle a remercié les Gouvernements de la République populaire de Chine et du Japon pour leur soutien et a encouragé d</w:t>
      </w:r>
      <w:r w:rsidR="007D536E">
        <w:rPr>
          <w:rFonts w:eastAsia="SimHei"/>
        </w:rPr>
        <w:t>'</w:t>
      </w:r>
      <w:r w:rsidRPr="00C567FA">
        <w:rPr>
          <w:rFonts w:eastAsia="SimHei"/>
        </w:rPr>
        <w:t>autres pays à envisager cette possibilité.</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57411C" w:rsidRPr="00C567FA" w14:paraId="58BF166E" w14:textId="77777777" w:rsidTr="002932F3">
        <w:tc>
          <w:tcPr>
            <w:tcW w:w="9017" w:type="dxa"/>
            <w:tcBorders>
              <w:top w:val="single" w:sz="4" w:space="0" w:color="auto"/>
              <w:bottom w:val="single" w:sz="4" w:space="0" w:color="auto"/>
            </w:tcBorders>
          </w:tcPr>
          <w:p w14:paraId="71B17B82" w14:textId="77777777" w:rsidR="0057411C" w:rsidRPr="00C567FA" w:rsidRDefault="0057411C" w:rsidP="007D536E">
            <w:pPr>
              <w:pStyle w:val="Headingb"/>
              <w:rPr>
                <w:i/>
                <w:iCs/>
              </w:rPr>
            </w:pPr>
            <w:r w:rsidRPr="00C567FA">
              <w:rPr>
                <w:i/>
                <w:iCs/>
              </w:rPr>
              <w:t>Recommandation</w:t>
            </w:r>
          </w:p>
          <w:p w14:paraId="40DC2688" w14:textId="77777777" w:rsidR="0057411C" w:rsidRPr="00C567FA" w:rsidRDefault="0057411C" w:rsidP="007D536E">
            <w:pPr>
              <w:spacing w:after="120"/>
              <w:rPr>
                <w:rFonts w:cs="Calibri"/>
                <w:szCs w:val="24"/>
              </w:rPr>
            </w:pPr>
            <w:r w:rsidRPr="00C567FA">
              <w:rPr>
                <w:rFonts w:cs="Calibri"/>
                <w:szCs w:val="24"/>
              </w:rPr>
              <w:t>7.38</w:t>
            </w:r>
            <w:r w:rsidRPr="00C567FA">
              <w:rPr>
                <w:rFonts w:cs="Calibri"/>
                <w:szCs w:val="24"/>
              </w:rPr>
              <w:tab/>
              <w:t>Le Comité recommande au Conseil de prendre note du Document C22/25.</w:t>
            </w:r>
          </w:p>
        </w:tc>
      </w:tr>
    </w:tbl>
    <w:bookmarkEnd w:id="11"/>
    <w:p w14:paraId="35CC70CC" w14:textId="277D015C" w:rsidR="00165AA1" w:rsidRPr="00C567FA" w:rsidRDefault="00165AA1" w:rsidP="007D536E">
      <w:pPr>
        <w:pStyle w:val="Heading1"/>
      </w:pPr>
      <w:r w:rsidRPr="00C567FA">
        <w:t>8</w:t>
      </w:r>
      <w:r w:rsidRPr="00C567FA">
        <w:tab/>
        <w:t>Amélioration de la gestion et du suivi de la contribution des Membres des Secteurs et des Associés aux dépenses de l</w:t>
      </w:r>
      <w:r w:rsidR="007D536E">
        <w:t>'</w:t>
      </w:r>
      <w:r w:rsidRPr="00C567FA">
        <w:t xml:space="preserve">UIT (Document </w:t>
      </w:r>
      <w:hyperlink r:id="rId57" w:history="1">
        <w:r w:rsidRPr="00C567FA">
          <w:rPr>
            <w:rStyle w:val="Hyperlink"/>
          </w:rPr>
          <w:t>C22/41</w:t>
        </w:r>
      </w:hyperlink>
      <w:r w:rsidRPr="00C567FA">
        <w:t>)</w:t>
      </w:r>
    </w:p>
    <w:p w14:paraId="7F101F18" w14:textId="6E3865C8" w:rsidR="00165AA1" w:rsidRPr="00C567FA" w:rsidRDefault="00165AA1" w:rsidP="007D536E">
      <w:r w:rsidRPr="00C567FA">
        <w:t>8.1</w:t>
      </w:r>
      <w:r w:rsidRPr="00C567FA">
        <w:tab/>
        <w:t>Par sa Résolution 153 (Rév. Busan, 2014), la Conférence de plénipotentiaires a chargé le Secrétaire général, en concertation avec les Directeurs des Bureaux, de faire rapport au Conseil sur la gestion et le suivi de la contribution des Membres de Secteur et des Associés aux dépenses de l</w:t>
      </w:r>
      <w:r w:rsidR="007D536E">
        <w:t>'</w:t>
      </w:r>
      <w:r w:rsidRPr="00C567FA">
        <w:t>UIT, en soulignant les éventuelles difficultés et en proposant de nouvelles améliorations.</w:t>
      </w:r>
    </w:p>
    <w:p w14:paraId="2885C585" w14:textId="17742083" w:rsidR="00165AA1" w:rsidRPr="00C567FA" w:rsidRDefault="00165AA1" w:rsidP="007D536E">
      <w:pPr>
        <w:keepLines/>
      </w:pPr>
      <w:r w:rsidRPr="00C567FA">
        <w:lastRenderedPageBreak/>
        <w:t>8.2</w:t>
      </w:r>
      <w:r w:rsidRPr="00C567FA">
        <w:tab/>
        <w:t>Depuis la session de 2011 du Conseil, le Secrétaire général dispose d</w:t>
      </w:r>
      <w:r w:rsidR="007D536E">
        <w:t>'</w:t>
      </w:r>
      <w:r w:rsidRPr="00C567FA">
        <w:t>une plus grande flexibilité dans la mise en œuvre de la Résolution 152 (Rév. Guadalajara, 2010) concernant la disposition relative à la radiation automatique, afin de garder les Membres actuels et de faciliter le recouvrement des dettes antérieures. La Conférence de plénipotentiaires (Busan, 2014) a modifié la Résolution 152 pour tenir compte de cette flexibilité. L</w:t>
      </w:r>
      <w:r w:rsidR="007D536E">
        <w:t>'</w:t>
      </w:r>
      <w:r w:rsidRPr="00C567FA">
        <w:t>adoption de la Résolution 152 a permis d</w:t>
      </w:r>
      <w:r w:rsidR="007D536E">
        <w:t>'</w:t>
      </w:r>
      <w:r w:rsidRPr="00C567FA">
        <w:t>améliorer le taux de recouvrement et, en conséquence, de réduire la dette des Membres de Secteur et des Associés.</w:t>
      </w:r>
    </w:p>
    <w:p w14:paraId="2EF74513" w14:textId="66FEA3B2" w:rsidR="00165AA1" w:rsidRPr="00C567FA" w:rsidRDefault="00165AA1" w:rsidP="007D536E">
      <w:r w:rsidRPr="00C567FA">
        <w:t>8.3</w:t>
      </w:r>
      <w:r w:rsidRPr="00C567FA">
        <w:tab/>
        <w:t xml:space="preserve">Le Tableau 1 présente le taux de recouvrement des Membres de Secteur, des Associés et des établissements universitaires de 2012 à 2021. Le taux de recouvrement des contributions de 2021 des Membres de Secteur est très élevé (98%) et </w:t>
      </w:r>
      <w:r w:rsidR="00031310">
        <w:t>est resté le même qu</w:t>
      </w:r>
      <w:r w:rsidR="007D536E">
        <w:t>'</w:t>
      </w:r>
      <w:r w:rsidR="00031310">
        <w:t>en</w:t>
      </w:r>
      <w:r w:rsidRPr="00C567FA">
        <w:t xml:space="preserve"> 2020, malgré la pandémie de COVID-19. Les taux des Associés et des institutions universitaires sont également restés les mêmes qu</w:t>
      </w:r>
      <w:r w:rsidR="007D536E">
        <w:t>'</w:t>
      </w:r>
      <w:r w:rsidRPr="00C567FA">
        <w:t>en 2020 (94% pour les Associés et 90% pour les établissements universitaires).</w:t>
      </w:r>
    </w:p>
    <w:p w14:paraId="5F21C7DC" w14:textId="7EBE44F6" w:rsidR="00165AA1" w:rsidRPr="00C567FA" w:rsidRDefault="00165AA1" w:rsidP="007D536E">
      <w:r w:rsidRPr="00C567FA">
        <w:t>8.4</w:t>
      </w:r>
      <w:r w:rsidRPr="00C567FA">
        <w:tab/>
        <w:t>Le Tableau 2 présente la dette courante et les arriérés des Membres de Secteur, des Associés et des établissements universitaires entre 2012 et 2021. En dépit du COVID-19, le niveau de la dette courante est resté presque stable au cours de la dernière année. Comme en 2020, une période de grâce de six mois a été accordée par le Secrétaire général à tous les membres de l</w:t>
      </w:r>
      <w:r w:rsidR="007D536E">
        <w:t>'</w:t>
      </w:r>
      <w:r w:rsidRPr="00C567FA">
        <w:t>UIT avant d</w:t>
      </w:r>
      <w:r w:rsidR="007D536E">
        <w:t>'</w:t>
      </w:r>
      <w:r w:rsidRPr="00C567FA">
        <w:t>appliquer les intérêts moratoires par défaut, compte tenu de la pandémie de COVID-19.</w:t>
      </w:r>
    </w:p>
    <w:p w14:paraId="2DFD3A95" w14:textId="188BD7E6" w:rsidR="00165AA1" w:rsidRPr="00C567FA" w:rsidRDefault="00165AA1" w:rsidP="007D536E">
      <w:r w:rsidRPr="00C567FA">
        <w:t>8.5</w:t>
      </w:r>
      <w:r w:rsidRPr="00C567FA">
        <w:tab/>
        <w:t xml:space="preserve">En raison de la passation par pertes et profits par le Conseil, à sa session de 2021, des créances irrécupérables </w:t>
      </w:r>
      <w:r w:rsidR="00031310">
        <w:t xml:space="preserve">datant </w:t>
      </w:r>
      <w:r w:rsidRPr="00C567FA">
        <w:t xml:space="preserve">de plus de dix ans </w:t>
      </w:r>
      <w:r w:rsidR="00031310">
        <w:t>d</w:t>
      </w:r>
      <w:r w:rsidR="007D536E">
        <w:t>'</w:t>
      </w:r>
      <w:r w:rsidR="00031310">
        <w:t>un montant de</w:t>
      </w:r>
      <w:r w:rsidRPr="00C567FA">
        <w:t xml:space="preserve"> 2,7 millions CHF, le montant des arriérés a </w:t>
      </w:r>
      <w:r w:rsidR="00031310">
        <w:t xml:space="preserve">sensiblement diminué, </w:t>
      </w:r>
      <w:r w:rsidRPr="00C567FA">
        <w:t>passant de 17,8 millions CH</w:t>
      </w:r>
      <w:r w:rsidR="00031310">
        <w:t>F en 2012 à 7,6 millions CHF en </w:t>
      </w:r>
      <w:r w:rsidRPr="00C567FA">
        <w:t>2021.</w:t>
      </w:r>
    </w:p>
    <w:p w14:paraId="66BD430A" w14:textId="59BE153C" w:rsidR="00165AA1" w:rsidRPr="00C567FA" w:rsidRDefault="00165AA1" w:rsidP="007D536E">
      <w:r w:rsidRPr="00C567FA">
        <w:t>8.6</w:t>
      </w:r>
      <w:r w:rsidRPr="00C567FA">
        <w:tab/>
        <w:t>Des efforts ont été déployés pour que des entités dont la participation était "gelée" et qui risquaient d</w:t>
      </w:r>
      <w:r w:rsidR="007D536E">
        <w:t>'</w:t>
      </w:r>
      <w:r w:rsidRPr="00C567FA">
        <w:t>être exclues reprennent leur participation. Ainsi, en janvier 2021, sur 55 entités qui auraient été exclues en application de la Résolution 152, le secrétariat a réussi à en convaincre 17 de s</w:t>
      </w:r>
      <w:r w:rsidR="007D536E">
        <w:t>'</w:t>
      </w:r>
      <w:r w:rsidRPr="00C567FA">
        <w:t>acquitter de leurs contributions, ce qui a abouti à la réactivation de la participation de 14</w:t>
      </w:r>
      <w:r w:rsidR="00A53962" w:rsidRPr="00C567FA">
        <w:t> </w:t>
      </w:r>
      <w:r w:rsidRPr="00C567FA">
        <w:t>entités, tandis que 10 entités ont fait l</w:t>
      </w:r>
      <w:r w:rsidR="007D536E">
        <w:t>'</w:t>
      </w:r>
      <w:r w:rsidRPr="00C567FA">
        <w:t>objet d</w:t>
      </w:r>
      <w:r w:rsidR="007D536E">
        <w:t>'</w:t>
      </w:r>
      <w:r w:rsidRPr="00C567FA">
        <w:t>une dénonciation officielle. Soixante pour cent des entités ayant fait l</w:t>
      </w:r>
      <w:r w:rsidR="007D536E">
        <w:t>'</w:t>
      </w:r>
      <w:r w:rsidRPr="00C567FA">
        <w:t>objet d</w:t>
      </w:r>
      <w:r w:rsidR="007D536E">
        <w:t>'</w:t>
      </w:r>
      <w:r w:rsidRPr="00C567FA">
        <w:t>une dénonciation ont réglé leur situation financière.</w:t>
      </w:r>
    </w:p>
    <w:p w14:paraId="05C1B978" w14:textId="25E64097" w:rsidR="00165AA1" w:rsidRPr="00C567FA" w:rsidRDefault="00165AA1" w:rsidP="007D536E">
      <w:r w:rsidRPr="00C567FA">
        <w:t>8.7</w:t>
      </w:r>
      <w:r w:rsidRPr="00C567FA">
        <w:tab/>
        <w:t>L</w:t>
      </w:r>
      <w:r w:rsidR="007D536E">
        <w:t>'</w:t>
      </w:r>
      <w:r w:rsidRPr="00C567FA">
        <w:t>Annexe 1 contient une liste des membres dont la participation est suspendue depuis le 1er octobre 2021 (participation gelée depuis le 1er janvier 2022).</w:t>
      </w:r>
    </w:p>
    <w:p w14:paraId="73F4D41B" w14:textId="34B44F73" w:rsidR="00165AA1" w:rsidRPr="00C567FA" w:rsidRDefault="00165AA1" w:rsidP="007D536E">
      <w:r w:rsidRPr="00C567FA">
        <w:t>8.8</w:t>
      </w:r>
      <w:r w:rsidRPr="00C567FA">
        <w:tab/>
        <w:t>L</w:t>
      </w:r>
      <w:r w:rsidR="007D536E">
        <w:t>'</w:t>
      </w:r>
      <w:r w:rsidRPr="00C567FA">
        <w:t>Annexe 2 contient la liste des membres exclus avec effet au 30 juin 2022 (participation gelée depuis janvier 2021).</w:t>
      </w:r>
    </w:p>
    <w:p w14:paraId="127A13C3" w14:textId="77777777" w:rsidR="00165AA1" w:rsidRPr="00C567FA" w:rsidRDefault="00165AA1" w:rsidP="007D536E">
      <w:pPr>
        <w:keepNext/>
      </w:pPr>
      <w:r w:rsidRPr="00C567FA">
        <w:t>8.9</w:t>
      </w:r>
      <w:r w:rsidRPr="00C567FA">
        <w:tab/>
        <w:t>Le secrétariat a présenté trois recommandations:</w:t>
      </w:r>
    </w:p>
    <w:p w14:paraId="7054CE5E" w14:textId="26D7F974" w:rsidR="00165AA1" w:rsidRPr="00C567FA" w:rsidRDefault="00165AA1" w:rsidP="007D536E">
      <w:pPr>
        <w:pStyle w:val="enumlev1"/>
        <w:keepNext/>
        <w:keepLines/>
      </w:pPr>
      <w:r w:rsidRPr="00C567FA">
        <w:t>–</w:t>
      </w:r>
      <w:r w:rsidRPr="00C567FA">
        <w:tab/>
        <w:t>Le secrétariat, les Bureaux et les bureaux régionaux continuent de coopérer étroitement afin d</w:t>
      </w:r>
      <w:r w:rsidR="007D536E">
        <w:t>'</w:t>
      </w:r>
      <w:r w:rsidRPr="00C567FA">
        <w:t>assurer le suivi du paiement des droits par les Membres de Secteur, les Associés et les établissements universitaires, en soulignant qu</w:t>
      </w:r>
      <w:r w:rsidR="007D536E">
        <w:t>'</w:t>
      </w:r>
      <w:r w:rsidRPr="00C567FA">
        <w:t xml:space="preserve">il est nécessaire de prendre des mesures coordonnées pour garder les entités suspendues, </w:t>
      </w:r>
      <w:r w:rsidR="00031310">
        <w:t>aux fins de recouvrer</w:t>
      </w:r>
      <w:r w:rsidRPr="00C567FA">
        <w:t xml:space="preserve"> leurs arriérés et </w:t>
      </w:r>
      <w:r w:rsidR="00031310">
        <w:t>de réactiver leur participation a</w:t>
      </w:r>
      <w:r w:rsidRPr="00C567FA">
        <w:t>ux travaux des Secteurs.</w:t>
      </w:r>
    </w:p>
    <w:p w14:paraId="007DE4A3" w14:textId="28D9CB4D" w:rsidR="00165AA1" w:rsidRPr="00C567FA" w:rsidRDefault="00165AA1" w:rsidP="007D536E">
      <w:pPr>
        <w:pStyle w:val="enumlev1"/>
      </w:pPr>
      <w:r w:rsidRPr="00C567FA">
        <w:t>–</w:t>
      </w:r>
      <w:r w:rsidRPr="00C567FA">
        <w:tab/>
        <w:t>Le Secrétaire général continue d</w:t>
      </w:r>
      <w:r w:rsidR="007D536E">
        <w:t>'</w:t>
      </w:r>
      <w:r w:rsidRPr="00C567FA">
        <w:t>exclure les entités suspendues de longue date, car il est peu probable qu</w:t>
      </w:r>
      <w:r w:rsidR="007D536E">
        <w:t>'</w:t>
      </w:r>
      <w:r w:rsidRPr="00C567FA">
        <w:t>elles soient réadmises et remboursent leurs dettes. L</w:t>
      </w:r>
      <w:r w:rsidR="007D536E">
        <w:t>'</w:t>
      </w:r>
      <w:r w:rsidRPr="00C567FA">
        <w:t>expérience a montré que la flexibilité offerte a été utile, en ce qu</w:t>
      </w:r>
      <w:r w:rsidR="007D536E">
        <w:t>'</w:t>
      </w:r>
      <w:r w:rsidRPr="00C567FA">
        <w:t>elle a permis de laisser davantage de temps pour retenir certaines entités à l</w:t>
      </w:r>
      <w:r w:rsidR="007D536E">
        <w:t>'</w:t>
      </w:r>
      <w:r w:rsidRPr="00C567FA">
        <w:t>UIT.</w:t>
      </w:r>
    </w:p>
    <w:p w14:paraId="78B8F7AF" w14:textId="63182890" w:rsidR="00165AA1" w:rsidRPr="00C567FA" w:rsidRDefault="00165AA1" w:rsidP="007D536E">
      <w:pPr>
        <w:pStyle w:val="enumlev1"/>
        <w:keepLines/>
      </w:pPr>
      <w:r w:rsidRPr="00C567FA">
        <w:lastRenderedPageBreak/>
        <w:t>–</w:t>
      </w:r>
      <w:r w:rsidRPr="00C567FA">
        <w:tab/>
        <w:t>Le secrétariat demande aux administrations qui, en vertu de l</w:t>
      </w:r>
      <w:r w:rsidR="007D536E">
        <w:t>'</w:t>
      </w:r>
      <w:r w:rsidRPr="00C567FA">
        <w:t>article 19 de la Convention, approuvent la participation des Membres de Secteur, des Associés et des établissements universitaires, de continuer à lui fournir un appui continu en ce qui concerne le suivi des entités en retard dans le paiement de leurs contributions.</w:t>
      </w:r>
    </w:p>
    <w:p w14:paraId="6B02F6CC" w14:textId="1A32CC89" w:rsidR="00165AA1" w:rsidRPr="00C567FA" w:rsidRDefault="00165AA1" w:rsidP="007D536E">
      <w:pPr>
        <w:spacing w:after="120"/>
      </w:pPr>
      <w:r w:rsidRPr="00C567FA">
        <w:t>8.10</w:t>
      </w:r>
      <w:r w:rsidRPr="00C567FA">
        <w:tab/>
        <w:t>Le secrétariat a remercié les Administrations des États-Unis d</w:t>
      </w:r>
      <w:r w:rsidR="007D536E">
        <w:t>'</w:t>
      </w:r>
      <w:r w:rsidRPr="00C567FA">
        <w:t>Amérique et de l</w:t>
      </w:r>
      <w:r w:rsidR="007D536E">
        <w:t>'</w:t>
      </w:r>
      <w:r w:rsidRPr="00C567FA">
        <w:t>Iran d</w:t>
      </w:r>
      <w:r w:rsidR="007D536E">
        <w:t>'</w:t>
      </w:r>
      <w:r w:rsidRPr="00C567FA">
        <w:t xml:space="preserve">avoir </w:t>
      </w:r>
      <w:r w:rsidR="002932F3">
        <w:t>pris des dispositions en vue du paiement de leurs</w:t>
      </w:r>
      <w:r w:rsidRPr="00C567FA">
        <w:t xml:space="preserve"> droits non réglés. Il est à espérer que d</w:t>
      </w:r>
      <w:r w:rsidR="007D536E">
        <w:t>'</w:t>
      </w:r>
      <w:r w:rsidRPr="00C567FA">
        <w:t>autres administrations feront de même.</w:t>
      </w:r>
    </w:p>
    <w:tbl>
      <w:tblPr>
        <w:tblStyle w:val="TableGrid"/>
        <w:tblW w:w="0" w:type="auto"/>
        <w:tblLook w:val="04A0" w:firstRow="1" w:lastRow="0" w:firstColumn="1" w:lastColumn="0" w:noHBand="0" w:noVBand="1"/>
      </w:tblPr>
      <w:tblGrid>
        <w:gridCol w:w="9629"/>
      </w:tblGrid>
      <w:tr w:rsidR="00165AA1" w:rsidRPr="00C567FA" w14:paraId="7FE78411" w14:textId="77777777" w:rsidTr="002932F3">
        <w:tc>
          <w:tcPr>
            <w:tcW w:w="9629" w:type="dxa"/>
          </w:tcPr>
          <w:p w14:paraId="6BC2F002" w14:textId="77777777" w:rsidR="00165AA1" w:rsidRPr="00C567FA" w:rsidRDefault="00165AA1" w:rsidP="007D536E">
            <w:pPr>
              <w:pStyle w:val="Headingb"/>
              <w:rPr>
                <w:i/>
                <w:iCs/>
              </w:rPr>
            </w:pPr>
            <w:r w:rsidRPr="00C567FA">
              <w:rPr>
                <w:i/>
                <w:iCs/>
              </w:rPr>
              <w:t>Recommandation</w:t>
            </w:r>
          </w:p>
          <w:p w14:paraId="307E7F54" w14:textId="647A1E2C" w:rsidR="00165AA1" w:rsidRPr="00C567FA" w:rsidRDefault="00165AA1" w:rsidP="007D536E">
            <w:pPr>
              <w:spacing w:after="120"/>
            </w:pPr>
            <w:r w:rsidRPr="00C567FA">
              <w:t>8.11</w:t>
            </w:r>
            <w:r w:rsidRPr="00C567FA">
              <w:tab/>
              <w:t xml:space="preserve">La Commission recommande que le Conseil prenne </w:t>
            </w:r>
            <w:r w:rsidRPr="00C567FA">
              <w:rPr>
                <w:b/>
                <w:bCs/>
              </w:rPr>
              <w:t>note</w:t>
            </w:r>
            <w:r w:rsidRPr="00C567FA">
              <w:t xml:space="preserve"> du rapport du Secrétaire général sur l</w:t>
            </w:r>
            <w:r w:rsidR="007D536E">
              <w:t>'</w:t>
            </w:r>
            <w:r w:rsidRPr="00C567FA">
              <w:t>amélioration de la gestion et du suivi de la contribution des Membres de Secteur, des Associés et des établissements universitaires aux dépenses de l</w:t>
            </w:r>
            <w:r w:rsidR="007D536E">
              <w:t>'</w:t>
            </w:r>
            <w:r w:rsidRPr="00C567FA">
              <w:t xml:space="preserve">UIT et </w:t>
            </w:r>
            <w:r w:rsidRPr="00C567FA">
              <w:rPr>
                <w:b/>
                <w:bCs/>
              </w:rPr>
              <w:t>approuve</w:t>
            </w:r>
            <w:r w:rsidRPr="00C567FA">
              <w:t xml:space="preserve"> les Recommandations figurant au § 4</w:t>
            </w:r>
            <w:r w:rsidR="006E523B">
              <w:t xml:space="preserve"> du document </w:t>
            </w:r>
            <w:r w:rsidR="008E5F4D">
              <w:t>susmentionné</w:t>
            </w:r>
            <w:r w:rsidRPr="00C567FA">
              <w:t>.</w:t>
            </w:r>
          </w:p>
        </w:tc>
      </w:tr>
    </w:tbl>
    <w:p w14:paraId="6FC2761C" w14:textId="42380941" w:rsidR="00165AA1" w:rsidRPr="00C567FA" w:rsidRDefault="00165AA1" w:rsidP="007D536E">
      <w:pPr>
        <w:pStyle w:val="Heading1"/>
      </w:pPr>
      <w:r w:rsidRPr="00C567FA">
        <w:t>9</w:t>
      </w:r>
      <w:r w:rsidRPr="00C567FA">
        <w:tab/>
        <w:t>Rapport sur la mise en œuvre de la Résolution 191 (Rév. Dubaï, 2018) de la Conférence de plénipotentiaires – Stratégie de coordination des efforts entre les trois Secteurs de l</w:t>
      </w:r>
      <w:r w:rsidR="007D536E">
        <w:t>'</w:t>
      </w:r>
      <w:r w:rsidRPr="00C567FA">
        <w:t xml:space="preserve">Union (Document </w:t>
      </w:r>
      <w:hyperlink r:id="rId58" w:history="1">
        <w:r w:rsidRPr="00C567FA">
          <w:rPr>
            <w:rStyle w:val="Hyperlink"/>
          </w:rPr>
          <w:t>C22/38(Rév.1)</w:t>
        </w:r>
      </w:hyperlink>
      <w:r w:rsidRPr="00C567FA">
        <w:t>)</w:t>
      </w:r>
    </w:p>
    <w:p w14:paraId="123A0CC8" w14:textId="61EDCDF7" w:rsidR="00165AA1" w:rsidRPr="00C567FA" w:rsidRDefault="00165AA1" w:rsidP="007D536E">
      <w:r w:rsidRPr="00C567FA">
        <w:t>9.1</w:t>
      </w:r>
      <w:r w:rsidRPr="00C567FA">
        <w:tab/>
        <w:t>Le Vice-Secrétaire général a présenté le rapport sur la mise en œuvre de la Résolution 191 (Rév. Dubaï, 2018) de la Conférence de plénipotentiaires "Stratégie de coordination des efforts entre les trois Secteurs de l</w:t>
      </w:r>
      <w:r w:rsidR="007D536E">
        <w:t>'</w:t>
      </w:r>
      <w:r w:rsidRPr="00C567FA">
        <w:t>Union".</w:t>
      </w:r>
    </w:p>
    <w:p w14:paraId="58090AD4" w14:textId="144F952C" w:rsidR="00165AA1" w:rsidRPr="00C567FA" w:rsidRDefault="00165AA1" w:rsidP="007D536E">
      <w:r w:rsidRPr="00C567FA">
        <w:t>9.2</w:t>
      </w:r>
      <w:r w:rsidRPr="00C567FA">
        <w:tab/>
        <w:t>Conformément à la révision de la Résolution 191 (Rév. Dubaï, 2018) de la Conférence de plénipotentiaires "Stratégie de coordination des efforts entre les trois secteurs de l</w:t>
      </w:r>
      <w:r w:rsidR="007D536E">
        <w:t>'</w:t>
      </w:r>
      <w:r w:rsidRPr="00C567FA">
        <w:t>Union", le secrétariat soumet régulièrement des rapports concernant la coordination intersectorielle des activités au Conseil, au Groupe de travail du Conseil sur les ressources financières et les ressources humaines (GTC-FHR), ainsi qu</w:t>
      </w:r>
      <w:r w:rsidR="007D536E">
        <w:t>'</w:t>
      </w:r>
      <w:r w:rsidRPr="00C567FA">
        <w:t>aux groupes consultatifs des trois Secteurs. Les mécanismes et les efforts visant à continuer d</w:t>
      </w:r>
      <w:r w:rsidR="007D536E">
        <w:t>'</w:t>
      </w:r>
      <w:r w:rsidRPr="00C567FA">
        <w:t>améliorer la coordination intersectorielle ont été renforcés et une coordination plus étroite a été assurée entre le Groupe spécial de coordination intersectorielle (ISC-TF) au niveau du secrétariat et le Groupe de coordination intersectorielle sur les questions d</w:t>
      </w:r>
      <w:r w:rsidR="007D536E">
        <w:t>'</w:t>
      </w:r>
      <w:r w:rsidRPr="00C567FA">
        <w:t>intérêt mutuel (ISCG) au niveau des membres.</w:t>
      </w:r>
    </w:p>
    <w:p w14:paraId="6DF14D5D" w14:textId="66DEC1B1" w:rsidR="00165AA1" w:rsidRPr="00C567FA" w:rsidRDefault="00165AA1" w:rsidP="007D536E">
      <w:r w:rsidRPr="00C567FA">
        <w:t>9.3</w:t>
      </w:r>
      <w:r w:rsidRPr="00C567FA">
        <w:tab/>
        <w:t>Le Groupe spécial de coordination intersectorielle (ISC-TF) a été établi au sein du secrétariat pour renforcer la coordination et la collaboration entre les trois Bureaux et le Secrétariat général, dans le but d</w:t>
      </w:r>
      <w:r w:rsidR="007D536E">
        <w:t>'</w:t>
      </w:r>
      <w:r w:rsidRPr="00C567FA">
        <w:t>éviter tout chevauchement d</w:t>
      </w:r>
      <w:r w:rsidR="007D536E">
        <w:t>'</w:t>
      </w:r>
      <w:r w:rsidRPr="00C567FA">
        <w:t>activité au niveau interne et d</w:t>
      </w:r>
      <w:r w:rsidR="007D536E">
        <w:t>'</w:t>
      </w:r>
      <w:r w:rsidRPr="00C567FA">
        <w:t>optimiser l</w:t>
      </w:r>
      <w:r w:rsidR="007D536E">
        <w:t>'</w:t>
      </w:r>
      <w:r w:rsidRPr="00C567FA">
        <w:t>utilisation des ressources. Le mandat du Groupe ISC-TF fait l</w:t>
      </w:r>
      <w:r w:rsidR="007D536E">
        <w:t>'</w:t>
      </w:r>
      <w:r w:rsidRPr="00C567FA">
        <w:t>objet de l</w:t>
      </w:r>
      <w:r w:rsidR="007D536E">
        <w:t>'</w:t>
      </w:r>
      <w:r w:rsidRPr="00C567FA">
        <w:t>Ordre de service N° 16/13. Le Groupe a tenu plusieurs réunions sur les thèmes suivants: accessibilité, nouvelles tendances et intelligence artificielle, réduction de l</w:t>
      </w:r>
      <w:r w:rsidR="007D536E">
        <w:t>'</w:t>
      </w:r>
      <w:r w:rsidRPr="00C567FA">
        <w:t>écart en matière de normalisation, communications et rédaction du site web, réseaux communautaires, télécommunications d</w:t>
      </w:r>
      <w:r w:rsidR="007D536E">
        <w:t>'</w:t>
      </w:r>
      <w:r w:rsidRPr="00C567FA">
        <w:t>urgence, environnement et communautés intelligentes et durables, coordination de manifestations, égalité hommes/femmes, activités géospatiales, participation des membres, mobilisation de ressources et PME, et multilinguisme.</w:t>
      </w:r>
    </w:p>
    <w:p w14:paraId="5D31EDA2" w14:textId="321F3386" w:rsidR="003F2437" w:rsidRPr="00C567FA" w:rsidRDefault="00165AA1" w:rsidP="007D536E">
      <w:r w:rsidRPr="00C567FA">
        <w:t>9.4</w:t>
      </w:r>
      <w:r w:rsidRPr="00C567FA">
        <w:tab/>
        <w:t>Le Groupe ISC-TF a obtenu plusieurs résultats en ce qui concerne les éléments suivants: stratégie de coordination intersectorielle, rapport du Groupe spécial de coordination intersectorielle, participation à distance, mémorandum d</w:t>
      </w:r>
      <w:r w:rsidR="007D536E">
        <w:t>'</w:t>
      </w:r>
      <w:r w:rsidRPr="00C567FA">
        <w:t>accord du Corps commun d</w:t>
      </w:r>
      <w:r w:rsidR="007D536E">
        <w:t>'</w:t>
      </w:r>
      <w:r w:rsidRPr="00C567FA">
        <w:t>inspection, cadre de l</w:t>
      </w:r>
      <w:r w:rsidR="007D536E">
        <w:t>'</w:t>
      </w:r>
      <w:r w:rsidRPr="00C567FA">
        <w:t>UIT relatif à la gestion des risques et tableau de bord de la conformité à l</w:t>
      </w:r>
      <w:r w:rsidR="007D536E">
        <w:t>'</w:t>
      </w:r>
      <w:r w:rsidRPr="00C567FA">
        <w:t xml:space="preserve">échelle de </w:t>
      </w:r>
      <w:r w:rsidR="003F2437" w:rsidRPr="00C567FA">
        <w:br w:type="page"/>
      </w:r>
    </w:p>
    <w:p w14:paraId="5F763BA3" w14:textId="421A56E7" w:rsidR="00165AA1" w:rsidRPr="00C567FA" w:rsidRDefault="00165AA1" w:rsidP="007D536E">
      <w:r w:rsidRPr="00C567FA">
        <w:lastRenderedPageBreak/>
        <w:t>l</w:t>
      </w:r>
      <w:r w:rsidR="007D536E">
        <w:t>'</w:t>
      </w:r>
      <w:r w:rsidRPr="00C567FA">
        <w:t>UIT, accessibilité, communications et rédaction du site web, activités géospatiales, participation des membres, mobilisation de ressources, PME, multilinguisme, pages web par thème, nouvelle initiative: Groupe de coordination des conférences (CCG) et Plan stratégique de l</w:t>
      </w:r>
      <w:r w:rsidR="007D536E">
        <w:t>'</w:t>
      </w:r>
      <w:r w:rsidRPr="00C567FA">
        <w:t>Union pour la période 2024-2027.</w:t>
      </w:r>
    </w:p>
    <w:p w14:paraId="55DAC99C" w14:textId="180A910A" w:rsidR="00165AA1" w:rsidRPr="00C567FA" w:rsidRDefault="00165AA1" w:rsidP="007D536E">
      <w:r w:rsidRPr="00C567FA">
        <w:t>9.5</w:t>
      </w:r>
      <w:r w:rsidRPr="00C567FA">
        <w:tab/>
      </w:r>
      <w:r w:rsidR="002932F3" w:rsidRPr="002932F3">
        <w:t>Le Groupe de coordination des conférences (CCG) a été créé en juillet 2021 pour améliorer la coopération, la coordination et l</w:t>
      </w:r>
      <w:r w:rsidR="007D536E">
        <w:t>'</w:t>
      </w:r>
      <w:r w:rsidR="002932F3" w:rsidRPr="002932F3">
        <w:t>harmonisation dans le cadre des travaux préparatoires en vue des trois principales conférences prévues pour 2022, dans le but d</w:t>
      </w:r>
      <w:r w:rsidR="007D536E">
        <w:t>'</w:t>
      </w:r>
      <w:r w:rsidR="002932F3" w:rsidRPr="002932F3">
        <w:t>assurer un travail en équipe plus efficace et une meilleure utilisation des ressources et d</w:t>
      </w:r>
      <w:r w:rsidR="007D536E">
        <w:t>'</w:t>
      </w:r>
      <w:r w:rsidR="002932F3" w:rsidRPr="002932F3">
        <w:t>éviter les chevauchements d</w:t>
      </w:r>
      <w:r w:rsidR="007D536E">
        <w:t>'</w:t>
      </w:r>
      <w:r w:rsidR="002932F3" w:rsidRPr="002932F3">
        <w:t xml:space="preserve">activité. Le Groupe est présidé par le Vice-Secrétaire général et représenté par les trois Secteurs, y compris les directeurs régionaux. </w:t>
      </w:r>
      <w:r w:rsidR="002932F3">
        <w:t>Quatorze</w:t>
      </w:r>
      <w:r w:rsidR="002932F3" w:rsidRPr="002932F3">
        <w:t xml:space="preserve"> sous-groupes ont été créés pour traiter les questions clés suivantes: communications, inscription, accréditation, gestion des documents, interprétation, appui informatique et audiovisuel, sûreté et sécurité, rédaction, questions juridiques, logistique, contenu, promotion et gestion des membres, protocole, publications, finances et voyages du personnel.</w:t>
      </w:r>
    </w:p>
    <w:p w14:paraId="45754701" w14:textId="6A745DB1" w:rsidR="00165AA1" w:rsidRPr="00C567FA" w:rsidRDefault="00165AA1" w:rsidP="007D536E">
      <w:r w:rsidRPr="00C567FA">
        <w:t>9.6</w:t>
      </w:r>
      <w:r w:rsidRPr="00C567FA">
        <w:tab/>
        <w:t xml:space="preserve">Le </w:t>
      </w:r>
      <w:r w:rsidRPr="00C567FA">
        <w:rPr>
          <w:u w:val="single"/>
        </w:rPr>
        <w:t>Groupe de coordination intersectorielle sur les questions d</w:t>
      </w:r>
      <w:r w:rsidR="007D536E">
        <w:rPr>
          <w:u w:val="single"/>
        </w:rPr>
        <w:t>'</w:t>
      </w:r>
      <w:r w:rsidRPr="00C567FA">
        <w:rPr>
          <w:u w:val="single"/>
        </w:rPr>
        <w:t>intérêt mutuel (ISCG)</w:t>
      </w:r>
      <w:r w:rsidRPr="00C567FA">
        <w:t xml:space="preserve"> a été créé conjointement par le Groupe consultatif des radiocommunications (GCR), le Groupe consultatif de la normalisation des télécommunications (GCNT) et le Groupe consultatif pour le développement des télécommunications (GCDT). Le Groupe ISCG identifie les sujets communs aux trois Secteurs et au Secrétariat général.</w:t>
      </w:r>
    </w:p>
    <w:p w14:paraId="3F31C954" w14:textId="32E4D3C6" w:rsidR="002932F3" w:rsidRDefault="00165AA1" w:rsidP="007D536E">
      <w:r w:rsidRPr="00C567FA">
        <w:t>9.7</w:t>
      </w:r>
      <w:r w:rsidRPr="00C567FA">
        <w:tab/>
      </w:r>
      <w:r w:rsidR="002932F3" w:rsidRPr="002932F3">
        <w:t>Certains délégués ont salué le travail accompli par le secrétariat dont celui-ci a rendu compte dans le rapport, et souligné qu</w:t>
      </w:r>
      <w:r w:rsidR="007D536E">
        <w:t>'</w:t>
      </w:r>
      <w:r w:rsidR="002932F3" w:rsidRPr="002932F3">
        <w:t>ils encouragent à appliquer la Résolution 191 conformément au principe de l</w:t>
      </w:r>
      <w:r w:rsidR="007D536E">
        <w:t>'</w:t>
      </w:r>
      <w:r w:rsidR="002932F3" w:rsidRPr="002932F3">
        <w:t>unité d</w:t>
      </w:r>
      <w:r w:rsidR="007D536E">
        <w:t>'</w:t>
      </w:r>
      <w:r w:rsidR="002932F3" w:rsidRPr="002932F3">
        <w:t>action de l</w:t>
      </w:r>
      <w:r w:rsidR="007D536E">
        <w:t>'</w:t>
      </w:r>
      <w:r w:rsidR="002932F3" w:rsidRPr="002932F3">
        <w:t>UIT et en vue de rendre l</w:t>
      </w:r>
      <w:r w:rsidR="007D536E">
        <w:t>'</w:t>
      </w:r>
      <w:r w:rsidR="002932F3" w:rsidRPr="002932F3">
        <w:t>UIT plus efficace.</w:t>
      </w:r>
    </w:p>
    <w:p w14:paraId="74057ECB" w14:textId="37918784" w:rsidR="00165AA1" w:rsidRPr="00C567FA" w:rsidRDefault="00165AA1" w:rsidP="007D536E">
      <w:pPr>
        <w:spacing w:after="120"/>
      </w:pPr>
      <w:r w:rsidRPr="00C567FA">
        <w:t>9.8</w:t>
      </w:r>
      <w:r w:rsidRPr="00C567FA">
        <w:tab/>
        <w:t>En réponse à une question concernant l</w:t>
      </w:r>
      <w:r w:rsidR="007D536E">
        <w:t>'</w:t>
      </w:r>
      <w:r w:rsidRPr="00C567FA">
        <w:t>utilisation des deux plates-formes pour la participation à distance, le secrétariat a informé les délégués que les deux plates-formes existantes continueront d</w:t>
      </w:r>
      <w:r w:rsidR="007D536E">
        <w:t>'</w:t>
      </w:r>
      <w:r w:rsidRPr="00C567FA">
        <w:t>être utilisées. "My Meetings" est un outil mis au point par le TSB qui permet d</w:t>
      </w:r>
      <w:r w:rsidR="007D536E">
        <w:t>'</w:t>
      </w:r>
      <w:r w:rsidRPr="00C567FA">
        <w:t>organiser des réunions électroniques entre les participants aux travaux de l</w:t>
      </w:r>
      <w:r w:rsidR="007D536E">
        <w:t>'</w:t>
      </w:r>
      <w:r w:rsidRPr="00C567FA">
        <w:t>UIT-T (c</w:t>
      </w:r>
      <w:r w:rsidR="007D536E">
        <w:t>'</w:t>
      </w:r>
      <w:r w:rsidRPr="00C567FA">
        <w:t>est</w:t>
      </w:r>
      <w:r w:rsidRPr="00C567FA">
        <w:noBreakHyphen/>
        <w:t>à-dire les commissions d</w:t>
      </w:r>
      <w:r w:rsidR="007D536E">
        <w:t>'</w:t>
      </w:r>
      <w:r w:rsidRPr="00C567FA">
        <w:t xml:space="preserve">études). Zoom est un autre outil utilisé pour tenir des réunions virtuelles </w:t>
      </w:r>
      <w:r w:rsidR="002932F3">
        <w:t xml:space="preserve">auxquelles assistent </w:t>
      </w:r>
      <w:r w:rsidRPr="00C567FA">
        <w:t>un plus grand nombre de participants.</w:t>
      </w:r>
    </w:p>
    <w:tbl>
      <w:tblPr>
        <w:tblStyle w:val="TableGrid"/>
        <w:tblW w:w="0" w:type="auto"/>
        <w:tblLook w:val="04A0" w:firstRow="1" w:lastRow="0" w:firstColumn="1" w:lastColumn="0" w:noHBand="0" w:noVBand="1"/>
      </w:tblPr>
      <w:tblGrid>
        <w:gridCol w:w="9629"/>
      </w:tblGrid>
      <w:tr w:rsidR="00165AA1" w:rsidRPr="00C567FA" w14:paraId="7B8817EC" w14:textId="77777777" w:rsidTr="002932F3">
        <w:tc>
          <w:tcPr>
            <w:tcW w:w="9629" w:type="dxa"/>
          </w:tcPr>
          <w:p w14:paraId="11DE2570" w14:textId="77777777" w:rsidR="00165AA1" w:rsidRPr="00C567FA" w:rsidRDefault="00165AA1" w:rsidP="007D536E">
            <w:pPr>
              <w:pStyle w:val="Headingb"/>
              <w:rPr>
                <w:i/>
                <w:iCs/>
              </w:rPr>
            </w:pPr>
            <w:r w:rsidRPr="00C567FA">
              <w:rPr>
                <w:i/>
                <w:iCs/>
              </w:rPr>
              <w:t>Recommandation</w:t>
            </w:r>
          </w:p>
          <w:p w14:paraId="124EFE8D" w14:textId="77777777" w:rsidR="00165AA1" w:rsidRPr="00C567FA" w:rsidRDefault="00165AA1" w:rsidP="007D536E">
            <w:pPr>
              <w:spacing w:after="120"/>
            </w:pPr>
            <w:r w:rsidRPr="00C567FA">
              <w:t>9.9</w:t>
            </w:r>
            <w:r w:rsidRPr="00C567FA">
              <w:tab/>
              <w:t>La Commission recommande que le Conseil prenne note du Document C22/38(Rév.1).</w:t>
            </w:r>
          </w:p>
        </w:tc>
      </w:tr>
    </w:tbl>
    <w:p w14:paraId="2F0ABB7C" w14:textId="1575A07A" w:rsidR="00165AA1" w:rsidRPr="00C567FA" w:rsidRDefault="00165AA1" w:rsidP="007D536E">
      <w:pPr>
        <w:pStyle w:val="Heading1"/>
      </w:pPr>
      <w:r w:rsidRPr="00C567FA">
        <w:t>10</w:t>
      </w:r>
      <w:r w:rsidRPr="00C567FA">
        <w:tab/>
        <w:t>Rapport sur les progrès réalisés concernant le projet de locaux du siège de l</w:t>
      </w:r>
      <w:r w:rsidR="007D536E">
        <w:t>'</w:t>
      </w:r>
      <w:r w:rsidRPr="00C567FA">
        <w:t xml:space="preserve">Union (Document </w:t>
      </w:r>
      <w:hyperlink r:id="rId59" w:history="1">
        <w:r w:rsidRPr="00C567FA">
          <w:rPr>
            <w:rStyle w:val="Hyperlink"/>
          </w:rPr>
          <w:t>C22/7(R</w:t>
        </w:r>
        <w:r w:rsidR="003F2437" w:rsidRPr="00C567FA">
          <w:rPr>
            <w:rStyle w:val="Hyperlink"/>
          </w:rPr>
          <w:t>é</w:t>
        </w:r>
        <w:r w:rsidRPr="00C567FA">
          <w:rPr>
            <w:rStyle w:val="Hyperlink"/>
          </w:rPr>
          <w:t>v.1)</w:t>
        </w:r>
      </w:hyperlink>
      <w:r w:rsidRPr="00C567FA">
        <w:t>)</w:t>
      </w:r>
    </w:p>
    <w:p w14:paraId="49C75C89" w14:textId="21A19655" w:rsidR="00165AA1" w:rsidRPr="00C567FA" w:rsidRDefault="00165AA1" w:rsidP="007D536E">
      <w:r w:rsidRPr="00C567FA">
        <w:t>10.1</w:t>
      </w:r>
      <w:r w:rsidRPr="00C567FA">
        <w:tab/>
        <w:t>Le secrétariat a présenté le Document C22/7(Rév.1) relatif au rapport sur les progrès réalisés concernant le projet de locaux du siège de l</w:t>
      </w:r>
      <w:r w:rsidR="007D536E">
        <w:t>'</w:t>
      </w:r>
      <w:r w:rsidRPr="00C567FA">
        <w:t>Union et a conf</w:t>
      </w:r>
      <w:r w:rsidR="002932F3">
        <w:t>irmé que le projet se poursui</w:t>
      </w:r>
      <w:r w:rsidRPr="00C567FA">
        <w:t xml:space="preserve">t </w:t>
      </w:r>
      <w:r w:rsidR="002932F3">
        <w:t>selon le</w:t>
      </w:r>
      <w:r w:rsidRPr="00C567FA">
        <w:t xml:space="preserve"> calendrier et </w:t>
      </w:r>
      <w:r w:rsidR="002932F3">
        <w:t>le</w:t>
      </w:r>
      <w:r w:rsidRPr="00C567FA">
        <w:t xml:space="preserve"> budget prévus.</w:t>
      </w:r>
    </w:p>
    <w:p w14:paraId="0035E178" w14:textId="2CFB0048" w:rsidR="00165AA1" w:rsidRPr="00C567FA" w:rsidRDefault="00165AA1" w:rsidP="007D536E">
      <w:r w:rsidRPr="00C567FA">
        <w:t>10.2</w:t>
      </w:r>
      <w:r w:rsidRPr="00C567FA">
        <w:tab/>
      </w:r>
      <w:r w:rsidR="002932F3" w:rsidRPr="002932F3">
        <w:t>Le délégué du Koweït a signalé une erreur figurant dans la version arabe du document, où on peut lire que le montant du parrainage du Koweït s</w:t>
      </w:r>
      <w:r w:rsidR="007D536E">
        <w:t>'</w:t>
      </w:r>
      <w:r w:rsidR="002932F3" w:rsidRPr="002932F3">
        <w:t>élève à 2 millions de CHF. Compte tenu du fait que le montant de ce parrainage s</w:t>
      </w:r>
      <w:r w:rsidR="007D536E">
        <w:t>'</w:t>
      </w:r>
      <w:r w:rsidR="002932F3" w:rsidRPr="002932F3">
        <w:t>élève à 2,5 millions de CHF et que 250 000 CHF ont déjà été payés, il devrait être i</w:t>
      </w:r>
      <w:r w:rsidR="000220A5">
        <w:t>ndiqué un montant restant de 2,25</w:t>
      </w:r>
      <w:r w:rsidR="002932F3" w:rsidRPr="002932F3">
        <w:t xml:space="preserve"> millions de CHF.</w:t>
      </w:r>
    </w:p>
    <w:p w14:paraId="2E176913" w14:textId="14A6C3F8" w:rsidR="00165AA1" w:rsidRPr="00C567FA" w:rsidRDefault="00165AA1" w:rsidP="007D536E">
      <w:pPr>
        <w:keepLines/>
      </w:pPr>
      <w:r w:rsidRPr="00C567FA">
        <w:lastRenderedPageBreak/>
        <w:t>10.3</w:t>
      </w:r>
      <w:r w:rsidRPr="00C567FA">
        <w:tab/>
      </w:r>
      <w:r w:rsidR="002932F3" w:rsidRPr="002932F3">
        <w:t>Certains délégués ont fait part de leurs préoccupations concernant la tenue des réunions et des manifestations pendant la phase de construction. Le secrétariat a communiqué des renseignements à jour sur la situation concernant l</w:t>
      </w:r>
      <w:r w:rsidR="007D536E">
        <w:t>'</w:t>
      </w:r>
      <w:r w:rsidR="002932F3" w:rsidRPr="002932F3">
        <w:t>accueil de réunions techniques pendant la période de construction et sur les consultations en cours avec la Hongrie, la République tchèque, le Rwanda et la République populaire de Chine.</w:t>
      </w:r>
      <w:r w:rsidR="001A67A3">
        <w:t xml:space="preserve"> En outre, certains délégués ont </w:t>
      </w:r>
      <w:r w:rsidR="00653726">
        <w:t xml:space="preserve">également </w:t>
      </w:r>
      <w:r w:rsidR="00910A91">
        <w:t xml:space="preserve">fait part de leurs préoccupations concernant </w:t>
      </w:r>
      <w:r w:rsidR="00066842">
        <w:t xml:space="preserve">le fait que la somme affectée au </w:t>
      </w:r>
      <w:r w:rsidR="00D765D8">
        <w:t xml:space="preserve">Fonds pour le registre des risques </w:t>
      </w:r>
      <w:r w:rsidR="008B3FD4">
        <w:t xml:space="preserve">était </w:t>
      </w:r>
      <w:r w:rsidR="004841E4">
        <w:t>nettement</w:t>
      </w:r>
      <w:r w:rsidR="008B3FD4">
        <w:t xml:space="preserve"> inférieure </w:t>
      </w:r>
      <w:r w:rsidR="000011D6">
        <w:t>au</w:t>
      </w:r>
      <w:r w:rsidR="00653726">
        <w:t xml:space="preserve"> montant de </w:t>
      </w:r>
      <w:r w:rsidR="008B3FD4">
        <w:t xml:space="preserve">12,6 millions CHF </w:t>
      </w:r>
      <w:r w:rsidR="00653726">
        <w:t xml:space="preserve">indiqué </w:t>
      </w:r>
      <w:r w:rsidR="000D0774">
        <w:t>dans la Décision </w:t>
      </w:r>
      <w:r w:rsidR="00A005D8">
        <w:t>619 du Conseil.</w:t>
      </w:r>
    </w:p>
    <w:p w14:paraId="5326C562" w14:textId="38A30118" w:rsidR="00165AA1" w:rsidRPr="00C567FA" w:rsidRDefault="00165AA1" w:rsidP="007D536E">
      <w:r w:rsidRPr="00C567FA">
        <w:t>10.4</w:t>
      </w:r>
      <w:r w:rsidRPr="00C567FA">
        <w:tab/>
      </w:r>
      <w:r w:rsidR="002932F3" w:rsidRPr="002932F3">
        <w:t>Un autre sujet de préoccupation a trait aux biens, y compris le problème des dons reçus des États Membres et du lieu où ils seront déplacés temporairement. Le secrétariat a indiqué qu</w:t>
      </w:r>
      <w:r w:rsidR="007D536E">
        <w:t>'</w:t>
      </w:r>
      <w:r w:rsidR="002932F3" w:rsidRPr="002932F3">
        <w:t>il existe un catalogue de tous les dons et articles donnés et qu</w:t>
      </w:r>
      <w:r w:rsidR="007D536E">
        <w:t>'</w:t>
      </w:r>
      <w:r w:rsidR="002932F3" w:rsidRPr="002932F3">
        <w:t>il est prévu de les conserver en lieu sûr pendant la période de construction. On envisage qu</w:t>
      </w:r>
      <w:r w:rsidR="007D536E">
        <w:t>'</w:t>
      </w:r>
      <w:r w:rsidR="002932F3" w:rsidRPr="002932F3">
        <w:t>ils seront exposés dans le nouveau bâtiment selon un système de roulement.</w:t>
      </w:r>
    </w:p>
    <w:p w14:paraId="116F33C5" w14:textId="73C214DB" w:rsidR="00165AA1" w:rsidRPr="00C567FA" w:rsidRDefault="00165AA1" w:rsidP="007D536E">
      <w:r w:rsidRPr="00C567FA">
        <w:t>10.5</w:t>
      </w:r>
      <w:r w:rsidRPr="00C567FA">
        <w:tab/>
      </w:r>
      <w:r w:rsidR="002932F3" w:rsidRPr="002932F3">
        <w:t>Un délégué a demandé davantage de précisions et de transparence au sujet des mémorandums d</w:t>
      </w:r>
      <w:r w:rsidR="007D536E">
        <w:t>'</w:t>
      </w:r>
      <w:r w:rsidR="002932F3" w:rsidRPr="002932F3">
        <w:t>accord pour les parrainages et les dons, et concernant le rôle du Conseil dans leur examen avant signature. Le Vice-Secrétaire général a clarifié que les documents en question ne sont pas des mémorandums d</w:t>
      </w:r>
      <w:r w:rsidR="007D536E">
        <w:t>'</w:t>
      </w:r>
      <w:r w:rsidR="002932F3" w:rsidRPr="002932F3">
        <w:t>accord mais des accords de parrainage, selon les principes établis dans le</w:t>
      </w:r>
      <w:r w:rsidR="002932F3">
        <w:t xml:space="preserve"> D</w:t>
      </w:r>
      <w:r w:rsidR="002932F3" w:rsidRPr="002932F3">
        <w:t>ocument C18/47. Les accords de parrainage ne sont pas des documents confidentiels et peuvent être communiqués dans la mesure où ils précisent à quoi seront utilisés les fonds de parrainage, quel en est le calendrier de paiement, et quelles sont les responsabilités respectives.</w:t>
      </w:r>
    </w:p>
    <w:p w14:paraId="7221C702" w14:textId="60091667" w:rsidR="00165AA1" w:rsidRPr="00C567FA" w:rsidRDefault="00165AA1" w:rsidP="007D536E">
      <w:r w:rsidRPr="00C567FA">
        <w:t>10.6</w:t>
      </w:r>
      <w:r w:rsidRPr="00C567FA">
        <w:tab/>
      </w:r>
      <w:r w:rsidR="002932F3" w:rsidRPr="002932F3">
        <w:t>Le secrétariat a aussi confirmé qu</w:t>
      </w:r>
      <w:r w:rsidR="007D536E">
        <w:t>'</w:t>
      </w:r>
      <w:r w:rsidR="002932F3" w:rsidRPr="002932F3">
        <w:t>un contrat à prix maximum garanti comportant une disposition "à livre ouvert" garantirait que le montant maximum approuvé de 172 690 000,00 CHF pour le projet ne serait pas dépassé.</w:t>
      </w:r>
    </w:p>
    <w:p w14:paraId="14DC8BA5" w14:textId="29164577" w:rsidR="00165AA1" w:rsidRPr="00C567FA" w:rsidRDefault="00165AA1" w:rsidP="007D536E">
      <w:r w:rsidRPr="00C567FA">
        <w:t>10.7</w:t>
      </w:r>
      <w:r w:rsidRPr="00C567FA">
        <w:tab/>
      </w:r>
      <w:r w:rsidR="002932F3" w:rsidRPr="002932F3">
        <w:t>Un délégué a indiqué que conformément à l</w:t>
      </w:r>
      <w:r w:rsidR="007D536E">
        <w:t>'</w:t>
      </w:r>
      <w:r w:rsidR="002932F3" w:rsidRPr="002932F3">
        <w:t>Article 29 du Règlement financier et des Règles financières de l</w:t>
      </w:r>
      <w:r w:rsidR="007D536E">
        <w:t>'</w:t>
      </w:r>
      <w:r w:rsidR="002932F3" w:rsidRPr="002932F3">
        <w:t>UIT, sa délégation demanderait par écrit à recevoir un exemplaire du rapport d</w:t>
      </w:r>
      <w:r w:rsidR="007D536E">
        <w:t>'</w:t>
      </w:r>
      <w:r w:rsidR="002932F3" w:rsidRPr="002932F3">
        <w:t>audit interne, qui devrait être achevé d</w:t>
      </w:r>
      <w:r w:rsidR="007D536E">
        <w:t>'</w:t>
      </w:r>
      <w:r w:rsidR="002932F3" w:rsidRPr="002932F3">
        <w:t>ici à la mi-mai</w:t>
      </w:r>
      <w:r w:rsidRPr="00C567FA">
        <w:t>.</w:t>
      </w:r>
    </w:p>
    <w:p w14:paraId="6BE5EC6A" w14:textId="494E824E" w:rsidR="00165AA1" w:rsidRPr="00C567FA" w:rsidRDefault="00165AA1" w:rsidP="007D536E">
      <w:r w:rsidRPr="00C567FA">
        <w:t>10.8</w:t>
      </w:r>
      <w:r w:rsidRPr="00C567FA">
        <w:tab/>
      </w:r>
      <w:r w:rsidR="000220A5" w:rsidRPr="000220A5">
        <w:t>Quant à la vente d</w:t>
      </w:r>
      <w:r w:rsidR="007D536E">
        <w:t>'</w:t>
      </w:r>
      <w:r w:rsidR="000220A5" w:rsidRPr="000220A5">
        <w:t>excédents d</w:t>
      </w:r>
      <w:r w:rsidR="007D536E">
        <w:t>'</w:t>
      </w:r>
      <w:r w:rsidR="000220A5" w:rsidRPr="000220A5">
        <w:t>inventaire aux employés, cela n</w:t>
      </w:r>
      <w:r w:rsidR="007D536E">
        <w:t>'</w:t>
      </w:r>
      <w:r w:rsidR="000220A5" w:rsidRPr="000220A5">
        <w:t>a rien d</w:t>
      </w:r>
      <w:r w:rsidR="007D536E">
        <w:t>'</w:t>
      </w:r>
      <w:r w:rsidR="000220A5" w:rsidRPr="000220A5">
        <w:t>inhabituel à l</w:t>
      </w:r>
      <w:r w:rsidR="007D536E">
        <w:t>'</w:t>
      </w:r>
      <w:r w:rsidR="000220A5" w:rsidRPr="000220A5">
        <w:t>UIT. C</w:t>
      </w:r>
      <w:r w:rsidR="007D536E">
        <w:t>'</w:t>
      </w:r>
      <w:r w:rsidR="000220A5" w:rsidRPr="000220A5">
        <w:t>est la conséquence du désencombrement en cours et du fait qu</w:t>
      </w:r>
      <w:r w:rsidR="007D536E">
        <w:t>'</w:t>
      </w:r>
      <w:r w:rsidR="000220A5" w:rsidRPr="000220A5">
        <w:t>il est obligatoire de vider tous les espaces du bâtiment Varembé avant sa destruction. Cette initiative spéciale de vente des articles obsolètes est conforme aux recommandations du Groupe de la durabilité environnementale animé par l</w:t>
      </w:r>
      <w:r w:rsidR="007D536E">
        <w:t>'</w:t>
      </w:r>
      <w:r w:rsidR="000220A5" w:rsidRPr="000220A5">
        <w:t>équipe de direction et consiste, en premier lieu, à vendre ou à donner des objets pour leur donner une seconde vie; en deuxième lieu, à en faire don à des associations caritatives; en troisième lieu, à les recycler; et enfin, en dernier recours, à les mettre en décharge. Les fonds récupérés grâce à la vente serviront à rembourser les emprunts en cours et le reste sera utilisé pour diminuer l</w:t>
      </w:r>
      <w:r w:rsidR="007D536E">
        <w:t>'</w:t>
      </w:r>
      <w:r w:rsidR="000220A5" w:rsidRPr="000220A5">
        <w:t>emprunt relatif au nouveau bâtiment</w:t>
      </w:r>
      <w:r w:rsidRPr="00C567FA">
        <w:t>.</w:t>
      </w:r>
    </w:p>
    <w:p w14:paraId="6EAB968A" w14:textId="4BF3576C" w:rsidR="00165AA1" w:rsidRDefault="00165AA1" w:rsidP="007D536E">
      <w:pPr>
        <w:spacing w:after="120"/>
      </w:pPr>
      <w:r w:rsidRPr="00C567FA">
        <w:t>10.9</w:t>
      </w:r>
      <w:r w:rsidRPr="00C567FA">
        <w:tab/>
      </w:r>
      <w:r w:rsidR="000220A5" w:rsidRPr="000220A5">
        <w:t>Le délégué du Nigéria a attiré l</w:t>
      </w:r>
      <w:r w:rsidR="007D536E">
        <w:t>'</w:t>
      </w:r>
      <w:r w:rsidR="000220A5" w:rsidRPr="000220A5">
        <w:t>attention sur la page 8 du document, qui ne donne aucune information sur le don du Nigéria, et a demandé des précisions à ce sujet. Le secrétariat a indiqué qu</w:t>
      </w:r>
      <w:r w:rsidR="007D536E">
        <w:t>'</w:t>
      </w:r>
      <w:r w:rsidR="000220A5" w:rsidRPr="000220A5">
        <w:t>au moment de l</w:t>
      </w:r>
      <w:r w:rsidR="007D536E">
        <w:t>'</w:t>
      </w:r>
      <w:r w:rsidR="000220A5" w:rsidRPr="000220A5">
        <w:t>élaboration du présent document du Conseil en janvier, la lettre d</w:t>
      </w:r>
      <w:r w:rsidR="007D536E">
        <w:t>'</w:t>
      </w:r>
      <w:r w:rsidR="000220A5" w:rsidRPr="000220A5">
        <w:t>accord avec le Nigéria n</w:t>
      </w:r>
      <w:r w:rsidR="007D536E">
        <w:t>'</w:t>
      </w:r>
      <w:r w:rsidR="000220A5" w:rsidRPr="000220A5">
        <w:t>avait pas encore été signée. Parallèlement, l</w:t>
      </w:r>
      <w:r w:rsidR="007D536E">
        <w:t>'</w:t>
      </w:r>
      <w:r w:rsidR="000220A5" w:rsidRPr="000220A5">
        <w:t>UIT a bien reçu le don d</w:t>
      </w:r>
      <w:r w:rsidR="007D536E">
        <w:t>'</w:t>
      </w:r>
      <w:r w:rsidR="000220A5" w:rsidRPr="000220A5">
        <w:t xml:space="preserve">un montant </w:t>
      </w:r>
      <w:r w:rsidR="000220A5">
        <w:t>de </w:t>
      </w:r>
      <w:r w:rsidR="000220A5" w:rsidRPr="000220A5">
        <w:t>50 000 CHF du Nigéria.</w:t>
      </w:r>
    </w:p>
    <w:p w14:paraId="51042723" w14:textId="1279D787" w:rsidR="000D0774" w:rsidRPr="00C567FA" w:rsidRDefault="000D0774" w:rsidP="007D536E">
      <w:pPr>
        <w:spacing w:after="120"/>
      </w:pPr>
      <w:r>
        <w:br w:type="page"/>
      </w:r>
    </w:p>
    <w:tbl>
      <w:tblPr>
        <w:tblStyle w:val="TableGrid"/>
        <w:tblW w:w="0" w:type="auto"/>
        <w:tblLook w:val="04A0" w:firstRow="1" w:lastRow="0" w:firstColumn="1" w:lastColumn="0" w:noHBand="0" w:noVBand="1"/>
      </w:tblPr>
      <w:tblGrid>
        <w:gridCol w:w="9629"/>
      </w:tblGrid>
      <w:tr w:rsidR="00165AA1" w:rsidRPr="00C567FA" w14:paraId="609912B4" w14:textId="77777777" w:rsidTr="002932F3">
        <w:tc>
          <w:tcPr>
            <w:tcW w:w="9629" w:type="dxa"/>
          </w:tcPr>
          <w:p w14:paraId="47BB2C09" w14:textId="77777777" w:rsidR="00165AA1" w:rsidRPr="00C567FA" w:rsidRDefault="00165AA1" w:rsidP="007D536E">
            <w:pPr>
              <w:pStyle w:val="Headingb"/>
              <w:keepNext w:val="0"/>
              <w:keepLines w:val="0"/>
              <w:rPr>
                <w:i/>
                <w:iCs/>
              </w:rPr>
            </w:pPr>
            <w:r w:rsidRPr="00C567FA">
              <w:rPr>
                <w:i/>
                <w:iCs/>
              </w:rPr>
              <w:lastRenderedPageBreak/>
              <w:t>Recommandation</w:t>
            </w:r>
          </w:p>
          <w:p w14:paraId="72953181" w14:textId="77DD0BD2" w:rsidR="00165AA1" w:rsidRPr="00C567FA" w:rsidRDefault="00165AA1" w:rsidP="007D536E">
            <w:pPr>
              <w:tabs>
                <w:tab w:val="clear" w:pos="567"/>
                <w:tab w:val="left" w:pos="880"/>
              </w:tabs>
              <w:spacing w:after="120"/>
            </w:pPr>
            <w:r w:rsidRPr="00C567FA">
              <w:t>10.10</w:t>
            </w:r>
            <w:r w:rsidRPr="00C567FA">
              <w:tab/>
              <w:t>La Commission recommande que le Conseil prenne note du rapport et approuve l</w:t>
            </w:r>
            <w:r w:rsidR="007D536E">
              <w:t>'</w:t>
            </w:r>
            <w:r w:rsidRPr="00C567FA">
              <w:t>utilisation du budget prévu pour les coûts indirects du projet liés aux frais de notaire en vue de faire appel à un cabinet juridique extérieur.</w:t>
            </w:r>
          </w:p>
        </w:tc>
      </w:tr>
    </w:tbl>
    <w:p w14:paraId="764B0EDE" w14:textId="7AC067AD" w:rsidR="000D0774" w:rsidRPr="00C567FA" w:rsidRDefault="000D0774" w:rsidP="007D536E">
      <w:pPr>
        <w:pStyle w:val="Headingb"/>
      </w:pPr>
      <w:r>
        <w:tab/>
      </w:r>
      <w:r w:rsidRPr="00C567FA">
        <w:t>Compte rendu des travaux du Groupe consultatif d</w:t>
      </w:r>
      <w:r w:rsidR="007D536E">
        <w:t>'</w:t>
      </w:r>
      <w:r w:rsidRPr="00C567FA">
        <w:t>États Membres concernant le projet de locaux du siège de l</w:t>
      </w:r>
      <w:r w:rsidR="007D536E">
        <w:t>'</w:t>
      </w:r>
      <w:r w:rsidRPr="00C567FA">
        <w:t xml:space="preserve">Union (Document </w:t>
      </w:r>
      <w:hyperlink r:id="rId60" w:history="1">
        <w:r w:rsidRPr="00C567FA">
          <w:rPr>
            <w:rStyle w:val="Hyperlink"/>
          </w:rPr>
          <w:t>C22/48</w:t>
        </w:r>
      </w:hyperlink>
      <w:r w:rsidRPr="00C567FA">
        <w:t>)</w:t>
      </w:r>
    </w:p>
    <w:p w14:paraId="388648F2" w14:textId="6A48F4B4" w:rsidR="000D0774" w:rsidRPr="00C567FA" w:rsidRDefault="000D0774" w:rsidP="007D536E">
      <w:pPr>
        <w:tabs>
          <w:tab w:val="clear" w:pos="567"/>
          <w:tab w:val="left" w:pos="709"/>
        </w:tabs>
      </w:pPr>
      <w:r w:rsidRPr="00C567FA">
        <w:t>10.11</w:t>
      </w:r>
      <w:r w:rsidRPr="00C567FA">
        <w:tab/>
      </w:r>
      <w:r w:rsidRPr="000220A5">
        <w:t>M. Greg Ratta, Président du Groupe consultatif d</w:t>
      </w:r>
      <w:r w:rsidR="007D536E">
        <w:t>'</w:t>
      </w:r>
      <w:r w:rsidRPr="000220A5">
        <w:t xml:space="preserve">États Membres (MSAG), a présenté le </w:t>
      </w:r>
      <w:r>
        <w:t>D</w:t>
      </w:r>
      <w:r w:rsidRPr="000220A5">
        <w:t>ocument C22/48 sur le projet de locaux du siège de l</w:t>
      </w:r>
      <w:r w:rsidR="007D536E">
        <w:t>'</w:t>
      </w:r>
      <w:r w:rsidRPr="000220A5">
        <w:t>Union, et précisé que le Groupe avait tenu trois réunions depuis la consultation virtuelle des Conseillers de juin 2021: deux d</w:t>
      </w:r>
      <w:r w:rsidR="007D536E">
        <w:t>'</w:t>
      </w:r>
      <w:r w:rsidRPr="000220A5">
        <w:t>entre elles sont mentionnées dans le document, et la dernière s</w:t>
      </w:r>
      <w:r w:rsidR="007D536E">
        <w:t>'</w:t>
      </w:r>
      <w:r w:rsidRPr="000220A5">
        <w:t>est tenue le 10 mars 2022, après la date limite de présentation des documents du Conseil.</w:t>
      </w:r>
    </w:p>
    <w:p w14:paraId="12A92DC7" w14:textId="0F0ED406" w:rsidR="000D0774" w:rsidRPr="00C567FA" w:rsidRDefault="000D0774" w:rsidP="007D536E">
      <w:pPr>
        <w:tabs>
          <w:tab w:val="clear" w:pos="567"/>
          <w:tab w:val="left" w:pos="709"/>
        </w:tabs>
      </w:pPr>
      <w:r w:rsidRPr="00C567FA">
        <w:t>10.12</w:t>
      </w:r>
      <w:r w:rsidRPr="00C567FA">
        <w:tab/>
      </w:r>
      <w:r w:rsidRPr="000220A5">
        <w:t>L</w:t>
      </w:r>
      <w:r w:rsidR="007D536E">
        <w:t>'</w:t>
      </w:r>
      <w:r w:rsidRPr="000220A5">
        <w:t>attention a été appelée sur un point débattu à la dernière (17ème) réunion, à savoir le recrutement d</w:t>
      </w:r>
      <w:r w:rsidR="007D536E">
        <w:t>'</w:t>
      </w:r>
      <w:r w:rsidRPr="000220A5">
        <w:t>un spécialiste du droit de la construction. L</w:t>
      </w:r>
      <w:r w:rsidR="007D536E">
        <w:t>'</w:t>
      </w:r>
      <w:r w:rsidRPr="000220A5">
        <w:t>Unité des affaires juridiques de l</w:t>
      </w:r>
      <w:r w:rsidR="007D536E">
        <w:t>'</w:t>
      </w:r>
      <w:r w:rsidRPr="000220A5">
        <w:t>UIT a proposé de solliciter un cabinet juridique extérieur spécialisé dans les contrats de construction. Le montant des fonds nécessaires n</w:t>
      </w:r>
      <w:r w:rsidR="007D536E">
        <w:t>'</w:t>
      </w:r>
      <w:r w:rsidRPr="000220A5">
        <w:t>a pas encore été défini, le risque n</w:t>
      </w:r>
      <w:r w:rsidR="007D536E">
        <w:t>'</w:t>
      </w:r>
      <w:r w:rsidRPr="000220A5">
        <w:t>ayant pas été envisagé. Le coût devrait s</w:t>
      </w:r>
      <w:r w:rsidR="007D536E">
        <w:t>'</w:t>
      </w:r>
      <w:r w:rsidRPr="000220A5">
        <w:t>élever à environ 20 000 CHF, mais le montant reste à confirmer. Le budget prévu pour les coûts indirects liés aux frais de notaire pourrait être utilisé. Si le MSAG suit cette question de très près, la décision à cet égard relève plus largement de la compétence du Conseil.</w:t>
      </w:r>
    </w:p>
    <w:p w14:paraId="7F4DF82A" w14:textId="77777777" w:rsidR="000D0774" w:rsidRPr="00BC3C33" w:rsidRDefault="000D0774" w:rsidP="007D536E">
      <w:pPr>
        <w:tabs>
          <w:tab w:val="left" w:pos="851"/>
        </w:tabs>
        <w:ind w:right="91"/>
        <w:rPr>
          <w:rFonts w:eastAsia="Calibri" w:cs="Calibri"/>
          <w:szCs w:val="24"/>
        </w:rPr>
      </w:pPr>
      <w:r w:rsidRPr="00BC3C33">
        <w:rPr>
          <w:rFonts w:eastAsia="Calibri" w:cs="Calibri"/>
          <w:szCs w:val="24"/>
        </w:rPr>
        <w:t>10.13</w:t>
      </w:r>
      <w:r>
        <w:rPr>
          <w:rFonts w:eastAsia="Calibri" w:cs="Calibri"/>
          <w:szCs w:val="24"/>
        </w:rPr>
        <w:tab/>
      </w:r>
      <w:r w:rsidRPr="00BC3C33">
        <w:rPr>
          <w:rFonts w:eastAsia="Calibri" w:cs="Calibri"/>
          <w:szCs w:val="24"/>
        </w:rPr>
        <w:tab/>
        <w:t xml:space="preserve">Les délégués sont invités à </w:t>
      </w:r>
      <w:r>
        <w:rPr>
          <w:rFonts w:eastAsia="Calibri" w:cs="Calibri"/>
          <w:szCs w:val="24"/>
        </w:rPr>
        <w:t>se mettre en rapport avec</w:t>
      </w:r>
      <w:r w:rsidRPr="00BC3C33">
        <w:rPr>
          <w:rFonts w:eastAsia="Calibri" w:cs="Calibri"/>
          <w:szCs w:val="24"/>
        </w:rPr>
        <w:t xml:space="preserve"> leurs représentants régionaux respectifs pour toute question concernant le projet de nouveau siège</w:t>
      </w:r>
      <w:r>
        <w:rPr>
          <w:rFonts w:eastAsia="Calibri" w:cs="Calibri"/>
          <w:szCs w:val="24"/>
        </w:rPr>
        <w:t xml:space="preserve"> et surtout pour les points trimestriels sur le registre des risques</w:t>
      </w:r>
      <w:r w:rsidRPr="00BC3C33">
        <w:rPr>
          <w:rFonts w:eastAsia="Calibri" w:cs="Calibri"/>
          <w:szCs w:val="24"/>
        </w:rPr>
        <w:t>.</w:t>
      </w:r>
    </w:p>
    <w:p w14:paraId="6D367165" w14:textId="0CE576A7" w:rsidR="000D0774" w:rsidRPr="00803FD2" w:rsidRDefault="000D0774" w:rsidP="007D536E">
      <w:pPr>
        <w:tabs>
          <w:tab w:val="left" w:pos="851"/>
        </w:tabs>
        <w:ind w:right="91"/>
        <w:rPr>
          <w:rFonts w:eastAsia="Calibri" w:cs="Calibri"/>
          <w:szCs w:val="24"/>
        </w:rPr>
      </w:pPr>
      <w:r w:rsidRPr="00803FD2">
        <w:rPr>
          <w:rFonts w:eastAsia="Calibri" w:cs="Calibri"/>
          <w:szCs w:val="24"/>
        </w:rPr>
        <w:t>10.14</w:t>
      </w:r>
      <w:r w:rsidRPr="00803FD2">
        <w:rPr>
          <w:rFonts w:eastAsia="Calibri" w:cs="Calibri"/>
          <w:szCs w:val="24"/>
        </w:rPr>
        <w:tab/>
      </w:r>
      <w:r>
        <w:rPr>
          <w:rFonts w:eastAsia="Calibri" w:cs="Calibri"/>
          <w:szCs w:val="24"/>
        </w:rPr>
        <w:tab/>
      </w:r>
      <w:r w:rsidRPr="00803FD2">
        <w:rPr>
          <w:rFonts w:eastAsia="Calibri" w:cs="Calibri"/>
          <w:szCs w:val="24"/>
        </w:rPr>
        <w:t xml:space="preserve">La question </w:t>
      </w:r>
      <w:r>
        <w:rPr>
          <w:rFonts w:eastAsia="Calibri" w:cs="Calibri"/>
          <w:szCs w:val="24"/>
        </w:rPr>
        <w:t xml:space="preserve">de la situation du </w:t>
      </w:r>
      <w:r w:rsidRPr="00803FD2">
        <w:rPr>
          <w:rFonts w:eastAsia="Calibri" w:cs="Calibri"/>
          <w:szCs w:val="24"/>
        </w:rPr>
        <w:t>personnel pendant la période de transition a été traitée. Un plan d</w:t>
      </w:r>
      <w:r w:rsidR="007D536E">
        <w:rPr>
          <w:rFonts w:eastAsia="Calibri" w:cs="Calibri"/>
          <w:szCs w:val="24"/>
        </w:rPr>
        <w:t>'</w:t>
      </w:r>
      <w:r w:rsidRPr="00803FD2">
        <w:rPr>
          <w:rFonts w:eastAsia="Calibri" w:cs="Calibri"/>
          <w:szCs w:val="24"/>
        </w:rPr>
        <w:t xml:space="preserve">aménagement </w:t>
      </w:r>
      <w:r>
        <w:rPr>
          <w:rFonts w:eastAsia="Calibri" w:cs="Calibri"/>
          <w:szCs w:val="24"/>
        </w:rPr>
        <w:t>a été établi et prévoit</w:t>
      </w:r>
      <w:r w:rsidRPr="00803FD2">
        <w:rPr>
          <w:rFonts w:eastAsia="Calibri" w:cs="Calibri"/>
          <w:szCs w:val="24"/>
        </w:rPr>
        <w:t xml:space="preserve"> </w:t>
      </w:r>
      <w:r>
        <w:rPr>
          <w:rFonts w:eastAsia="Calibri" w:cs="Calibri"/>
          <w:szCs w:val="24"/>
        </w:rPr>
        <w:t>d</w:t>
      </w:r>
      <w:r w:rsidR="007D536E">
        <w:rPr>
          <w:rFonts w:eastAsia="Calibri" w:cs="Calibri"/>
          <w:szCs w:val="24"/>
        </w:rPr>
        <w:t>'</w:t>
      </w:r>
      <w:r>
        <w:rPr>
          <w:rFonts w:eastAsia="Calibri" w:cs="Calibri"/>
          <w:szCs w:val="24"/>
        </w:rPr>
        <w:t>utiliser</w:t>
      </w:r>
      <w:r w:rsidRPr="00803FD2">
        <w:rPr>
          <w:rFonts w:eastAsia="Calibri" w:cs="Calibri"/>
          <w:szCs w:val="24"/>
        </w:rPr>
        <w:t xml:space="preserve"> jusqu</w:t>
      </w:r>
      <w:r w:rsidR="007D536E">
        <w:rPr>
          <w:rFonts w:eastAsia="Calibri" w:cs="Calibri"/>
          <w:szCs w:val="24"/>
        </w:rPr>
        <w:t>'</w:t>
      </w:r>
      <w:r w:rsidRPr="00803FD2">
        <w:rPr>
          <w:rFonts w:eastAsia="Calibri" w:cs="Calibri"/>
          <w:szCs w:val="24"/>
        </w:rPr>
        <w:t>à 60% des espaces actuels, tous bâtiments confondus. La direction se prononcera sur l</w:t>
      </w:r>
      <w:r w:rsidR="007D536E">
        <w:rPr>
          <w:rFonts w:eastAsia="Calibri" w:cs="Calibri"/>
          <w:szCs w:val="24"/>
        </w:rPr>
        <w:t>'</w:t>
      </w:r>
      <w:r w:rsidRPr="00803FD2">
        <w:rPr>
          <w:rFonts w:eastAsia="Calibri" w:cs="Calibri"/>
          <w:szCs w:val="24"/>
        </w:rPr>
        <w:t>attribution de bureaux</w:t>
      </w:r>
      <w:r>
        <w:rPr>
          <w:rFonts w:eastAsia="Calibri" w:cs="Calibri"/>
          <w:szCs w:val="24"/>
        </w:rPr>
        <w:t xml:space="preserve"> au quotidien</w:t>
      </w:r>
      <w:r w:rsidRPr="00803FD2">
        <w:rPr>
          <w:rFonts w:eastAsia="Calibri" w:cs="Calibri"/>
          <w:szCs w:val="24"/>
        </w:rPr>
        <w:t>.</w:t>
      </w:r>
    </w:p>
    <w:p w14:paraId="5CA91F8F" w14:textId="6F7B385D" w:rsidR="000D0774" w:rsidRPr="00C567FA" w:rsidRDefault="000D0774" w:rsidP="007D536E">
      <w:pPr>
        <w:tabs>
          <w:tab w:val="clear" w:pos="567"/>
          <w:tab w:val="left" w:pos="709"/>
        </w:tabs>
        <w:spacing w:after="120"/>
      </w:pPr>
      <w:r w:rsidRPr="00725D7D">
        <w:rPr>
          <w:rFonts w:eastAsia="Calibri" w:cs="Calibri"/>
          <w:szCs w:val="24"/>
        </w:rPr>
        <w:t>10.15</w:t>
      </w:r>
      <w:r w:rsidRPr="00725D7D">
        <w:rPr>
          <w:rFonts w:eastAsia="Calibri" w:cs="Calibri"/>
          <w:szCs w:val="24"/>
        </w:rPr>
        <w:tab/>
        <w:t xml:space="preserve">Le délégué de la Tunisie a confirmé que </w:t>
      </w:r>
      <w:r>
        <w:rPr>
          <w:rFonts w:eastAsia="Calibri" w:cs="Calibri"/>
          <w:szCs w:val="24"/>
        </w:rPr>
        <w:t>son pays est disposé à contribuer à l</w:t>
      </w:r>
      <w:r w:rsidR="007D536E">
        <w:rPr>
          <w:rFonts w:eastAsia="Calibri" w:cs="Calibri"/>
          <w:szCs w:val="24"/>
        </w:rPr>
        <w:t>'</w:t>
      </w:r>
      <w:r>
        <w:rPr>
          <w:rFonts w:eastAsia="Calibri" w:cs="Calibri"/>
          <w:szCs w:val="24"/>
        </w:rPr>
        <w:t>organisation de certaines réunions comme il l</w:t>
      </w:r>
      <w:r w:rsidR="007D536E">
        <w:rPr>
          <w:rFonts w:eastAsia="Calibri" w:cs="Calibri"/>
          <w:szCs w:val="24"/>
        </w:rPr>
        <w:t>'</w:t>
      </w:r>
      <w:r>
        <w:rPr>
          <w:rFonts w:eastAsia="Calibri" w:cs="Calibri"/>
          <w:szCs w:val="24"/>
        </w:rPr>
        <w:t>a fait par le passé</w:t>
      </w:r>
      <w:r w:rsidRPr="00725D7D">
        <w:rPr>
          <w:rFonts w:eastAsia="Calibri" w:cs="Calibri"/>
          <w:szCs w:val="24"/>
        </w:rPr>
        <w:t xml:space="preserve">. Le Vice-Secrétaire général a </w:t>
      </w:r>
      <w:r>
        <w:rPr>
          <w:rFonts w:eastAsia="Calibri" w:cs="Calibri"/>
          <w:szCs w:val="24"/>
        </w:rPr>
        <w:t xml:space="preserve">indiqué </w:t>
      </w:r>
      <w:r w:rsidRPr="00725D7D">
        <w:rPr>
          <w:rFonts w:eastAsia="Calibri" w:cs="Calibri"/>
          <w:szCs w:val="24"/>
        </w:rPr>
        <w:t xml:space="preserve">que </w:t>
      </w:r>
      <w:r>
        <w:rPr>
          <w:rFonts w:eastAsia="Calibri" w:cs="Calibri"/>
          <w:szCs w:val="24"/>
        </w:rPr>
        <w:t>des renseignements seront dûment communiqués sur les ré</w:t>
      </w:r>
      <w:r w:rsidRPr="00725D7D">
        <w:rPr>
          <w:rFonts w:eastAsia="Calibri" w:cs="Calibri"/>
          <w:szCs w:val="24"/>
        </w:rPr>
        <w:t xml:space="preserve">unions </w:t>
      </w:r>
      <w:r>
        <w:rPr>
          <w:rFonts w:eastAsia="Calibri" w:cs="Calibri"/>
          <w:szCs w:val="24"/>
        </w:rPr>
        <w:t>qui devront être accueillies à l</w:t>
      </w:r>
      <w:r w:rsidR="007D536E">
        <w:rPr>
          <w:rFonts w:eastAsia="Calibri" w:cs="Calibri"/>
          <w:szCs w:val="24"/>
        </w:rPr>
        <w:t>'</w:t>
      </w:r>
      <w:r>
        <w:rPr>
          <w:rFonts w:eastAsia="Calibri" w:cs="Calibri"/>
          <w:szCs w:val="24"/>
        </w:rPr>
        <w:t>extérieur</w:t>
      </w:r>
      <w:r w:rsidRPr="00725D7D">
        <w:rPr>
          <w:rFonts w:eastAsia="Calibri" w:cs="Calibri"/>
          <w:szCs w:val="24"/>
        </w:rPr>
        <w:t xml:space="preserve">, </w:t>
      </w:r>
      <w:r>
        <w:rPr>
          <w:rFonts w:eastAsia="Calibri" w:cs="Calibri"/>
          <w:szCs w:val="24"/>
        </w:rPr>
        <w:t>dans la mesure où le personnel d</w:t>
      </w:r>
      <w:r w:rsidR="007D536E">
        <w:rPr>
          <w:rFonts w:eastAsia="Calibri" w:cs="Calibri"/>
          <w:szCs w:val="24"/>
        </w:rPr>
        <w:t>'</w:t>
      </w:r>
      <w:r>
        <w:rPr>
          <w:rFonts w:eastAsia="Calibri" w:cs="Calibri"/>
          <w:szCs w:val="24"/>
        </w:rPr>
        <w:t>appui nécessaire</w:t>
      </w:r>
      <w:r w:rsidRPr="00725D7D">
        <w:rPr>
          <w:rFonts w:eastAsia="Calibri" w:cs="Calibri"/>
          <w:szCs w:val="24"/>
        </w:rPr>
        <w:t xml:space="preserve"> </w:t>
      </w:r>
      <w:r>
        <w:rPr>
          <w:rFonts w:eastAsia="Calibri" w:cs="Calibri"/>
          <w:szCs w:val="24"/>
        </w:rPr>
        <w:t>comporte un coût minimum</w:t>
      </w:r>
      <w:r w:rsidRPr="00725D7D">
        <w:rPr>
          <w:rFonts w:eastAsia="Calibri" w:cs="Calibri"/>
          <w:szCs w:val="24"/>
        </w:rPr>
        <w:t>.</w:t>
      </w:r>
    </w:p>
    <w:tbl>
      <w:tblPr>
        <w:tblStyle w:val="TableGrid"/>
        <w:tblW w:w="0" w:type="auto"/>
        <w:tblLook w:val="04A0" w:firstRow="1" w:lastRow="0" w:firstColumn="1" w:lastColumn="0" w:noHBand="0" w:noVBand="1"/>
      </w:tblPr>
      <w:tblGrid>
        <w:gridCol w:w="9629"/>
      </w:tblGrid>
      <w:tr w:rsidR="000D0774" w:rsidRPr="00C567FA" w14:paraId="27EF30C3" w14:textId="77777777" w:rsidTr="002932F3">
        <w:tc>
          <w:tcPr>
            <w:tcW w:w="9629" w:type="dxa"/>
          </w:tcPr>
          <w:p w14:paraId="5F2C9221" w14:textId="77777777" w:rsidR="000D0774" w:rsidRPr="00C567FA" w:rsidRDefault="000D0774" w:rsidP="007D536E">
            <w:pPr>
              <w:pStyle w:val="Headingb"/>
              <w:rPr>
                <w:i/>
                <w:iCs/>
              </w:rPr>
            </w:pPr>
            <w:r w:rsidRPr="00C567FA">
              <w:rPr>
                <w:i/>
                <w:iCs/>
              </w:rPr>
              <w:t>Recommandation</w:t>
            </w:r>
          </w:p>
          <w:p w14:paraId="4BEEEC61" w14:textId="77777777" w:rsidR="000D0774" w:rsidRPr="00C567FA" w:rsidRDefault="000D0774" w:rsidP="007D536E">
            <w:pPr>
              <w:tabs>
                <w:tab w:val="clear" w:pos="567"/>
                <w:tab w:val="left" w:pos="738"/>
              </w:tabs>
              <w:spacing w:after="120"/>
            </w:pPr>
            <w:r w:rsidRPr="00C567FA">
              <w:t>10.16</w:t>
            </w:r>
            <w:r w:rsidRPr="00C567FA">
              <w:tab/>
              <w:t>La Commission recommande que le Conseil prenne note du rapport figurant dans le Document C22/48.</w:t>
            </w:r>
          </w:p>
        </w:tc>
      </w:tr>
    </w:tbl>
    <w:p w14:paraId="1E2E756B" w14:textId="77777777" w:rsidR="000D0774" w:rsidRPr="00C567FA" w:rsidRDefault="000D0774" w:rsidP="007D536E">
      <w:pPr>
        <w:pStyle w:val="Headingb"/>
        <w:ind w:left="0" w:firstLine="0"/>
      </w:pPr>
      <w:r w:rsidRPr="00C567FA">
        <w:t>Nouvelle approche relative à la gestion des risques financiers liés à la construction (Document </w:t>
      </w:r>
      <w:hyperlink r:id="rId61" w:history="1">
        <w:r w:rsidRPr="00C567FA">
          <w:rPr>
            <w:rStyle w:val="Hyperlink"/>
          </w:rPr>
          <w:t>C22/62</w:t>
        </w:r>
      </w:hyperlink>
      <w:r w:rsidRPr="00C567FA">
        <w:t>)</w:t>
      </w:r>
    </w:p>
    <w:p w14:paraId="775B55C5" w14:textId="32EC1213" w:rsidR="000D0774" w:rsidRPr="00C567FA" w:rsidRDefault="000D0774" w:rsidP="007D536E">
      <w:pPr>
        <w:tabs>
          <w:tab w:val="clear" w:pos="567"/>
          <w:tab w:val="left" w:pos="709"/>
        </w:tabs>
      </w:pPr>
      <w:r w:rsidRPr="00C567FA">
        <w:t>10.17</w:t>
      </w:r>
      <w:r w:rsidRPr="00C567FA">
        <w:tab/>
        <w:t>Le secrétariat a présenté le document sur la nouvelle approche relative à la gestion des risques financiers liés à la construction du nouveau bâtiment suite à la demande présentée par les États-Unis d</w:t>
      </w:r>
      <w:r w:rsidR="007D536E">
        <w:t>'</w:t>
      </w:r>
      <w:r w:rsidRPr="00C567FA">
        <w:t>Amérique lors de la réunion du GTC-FHR de janvier 2022 visant à recueillir davantage d</w:t>
      </w:r>
      <w:r w:rsidR="007D536E">
        <w:t>'</w:t>
      </w:r>
      <w:r w:rsidRPr="00C567FA">
        <w:t>informations sur les coûts éventuels et à envisager de recourir à une police d</w:t>
      </w:r>
      <w:r w:rsidR="007D536E">
        <w:t>'</w:t>
      </w:r>
      <w:r w:rsidRPr="00C567FA">
        <w:t>assurance, afin de transférer les risques comme solution de remplacement au Fonds pour le registre des risques, et à faire rapport au Conseil à sa session de 2022 à ce sujet.</w:t>
      </w:r>
    </w:p>
    <w:p w14:paraId="05F666D9" w14:textId="77777777" w:rsidR="000D0774" w:rsidRPr="00C567FA" w:rsidRDefault="000D0774" w:rsidP="007D536E">
      <w:pPr>
        <w:tabs>
          <w:tab w:val="clear" w:pos="567"/>
          <w:tab w:val="left" w:pos="709"/>
        </w:tabs>
      </w:pPr>
      <w:r w:rsidRPr="00C567FA">
        <w:lastRenderedPageBreak/>
        <w:t>10.18</w:t>
      </w:r>
      <w:r w:rsidRPr="00C567FA">
        <w:tab/>
        <w:t>En septembre 2019, par sa Décision 619, le Conseil a décidé de prévoir une garantie financière additionnelle pour compenser les risques non atténuables à hauteur de 12,6 millions CHF, ce qui représente la limite cumulative de 8% des estimations actuelles des coûts directs décrites dans le Document C19-ADD/2, en créant un Fonds pour le registre des risques qui sera financé au titre de décisions ultérieures du Conseil à partir de 2020, conformément au Règlement financier et aux Règles financières.</w:t>
      </w:r>
    </w:p>
    <w:p w14:paraId="58D4451C" w14:textId="77321397" w:rsidR="000D0774" w:rsidRPr="00C567FA" w:rsidRDefault="000D0774" w:rsidP="007D536E">
      <w:pPr>
        <w:tabs>
          <w:tab w:val="clear" w:pos="567"/>
          <w:tab w:val="clear" w:pos="1134"/>
          <w:tab w:val="left" w:pos="709"/>
        </w:tabs>
      </w:pPr>
      <w:r w:rsidRPr="00C567FA">
        <w:t>10.19</w:t>
      </w:r>
      <w:r w:rsidRPr="00C567FA">
        <w:tab/>
      </w:r>
      <w:r w:rsidRPr="000220A5">
        <w:rPr>
          <w:caps/>
        </w:rPr>
        <w:t>à</w:t>
      </w:r>
      <w:r w:rsidRPr="000220A5">
        <w:t xml:space="preserve"> la réunion du 15 décembre 2021 du MSAG et à la réunion des 11 et 12 janvier 2022 </w:t>
      </w:r>
      <w:r>
        <w:t>du </w:t>
      </w:r>
      <w:r w:rsidRPr="000220A5">
        <w:t>GTC-FHR, il a été demandé au secrétariat de recueillir des informations sur un éventuel transfert du risque de non-financement du Fonds pour le registre des risques à une institution tierce. Le secrétariat a donc pris contact avec des courtiers et d</w:t>
      </w:r>
      <w:r w:rsidR="007D536E">
        <w:t>'</w:t>
      </w:r>
      <w:r w:rsidRPr="000220A5">
        <w:t>autres organisations internationales ayant des bureaux à Genève qui ont entrepris un projet de construction dans la période récente pour déterminer si une assurance de ce type est proposée sur le marché.</w:t>
      </w:r>
    </w:p>
    <w:p w14:paraId="626C1870" w14:textId="5A52CC7E" w:rsidR="000D0774" w:rsidRPr="00C567FA" w:rsidRDefault="000D0774" w:rsidP="007D536E">
      <w:pPr>
        <w:tabs>
          <w:tab w:val="clear" w:pos="567"/>
          <w:tab w:val="clear" w:pos="1134"/>
          <w:tab w:val="left" w:pos="709"/>
        </w:tabs>
      </w:pPr>
      <w:r w:rsidRPr="00C567FA">
        <w:t>10.20</w:t>
      </w:r>
      <w:r w:rsidRPr="00C567FA">
        <w:tab/>
        <w:t>Le BIT et l</w:t>
      </w:r>
      <w:r w:rsidR="007D536E">
        <w:t>'</w:t>
      </w:r>
      <w:r w:rsidRPr="00C567FA">
        <w:t>ONUG, qui ont récemment entrepris des projets analogues, ont été contactés par l</w:t>
      </w:r>
      <w:r w:rsidR="007D536E">
        <w:t>'</w:t>
      </w:r>
      <w:r w:rsidRPr="00C567FA">
        <w:t>UIT. Le BIT a adopté la même approche consistant à mettre en place plusieurs polices d</w:t>
      </w:r>
      <w:r w:rsidR="007D536E">
        <w:t>'</w:t>
      </w:r>
      <w:r w:rsidRPr="00C567FA">
        <w:t>assurance pour couvrir les risques en fonction de leur nature: dommages, accidents, dégât sur la zone de travail, erreurs de conception et spécifications incomplètes, dépassements budgétaires, retard, défauts et dérive de la portée des travaux. Cependant, le BIT n</w:t>
      </w:r>
      <w:r w:rsidR="007D536E">
        <w:t>'</w:t>
      </w:r>
      <w:r w:rsidRPr="00C567FA">
        <w:t>a souscrit aucune assurance supplémentaire pour la gestion d</w:t>
      </w:r>
      <w:r w:rsidR="007D536E">
        <w:t>'</w:t>
      </w:r>
      <w:r w:rsidRPr="00C567FA">
        <w:t>autres risques. À l</w:t>
      </w:r>
      <w:r w:rsidR="007D536E">
        <w:t>'</w:t>
      </w:r>
      <w:r w:rsidRPr="00C567FA">
        <w:t>ONUG, dans le cadre du Plan stratégique patrimonial, les responsables du projet de construction et de rénovation n</w:t>
      </w:r>
      <w:r w:rsidR="007D536E">
        <w:t>'</w:t>
      </w:r>
      <w:r w:rsidRPr="00C567FA">
        <w:t>ont pas connaissance de l</w:t>
      </w:r>
      <w:r w:rsidR="007D536E">
        <w:t>'</w:t>
      </w:r>
      <w:r w:rsidRPr="00C567FA">
        <w:t>existence d</w:t>
      </w:r>
      <w:r w:rsidR="007D536E">
        <w:t>'</w:t>
      </w:r>
      <w:r w:rsidRPr="00C567FA">
        <w:t>une assurance couvrant des montants hypothétiques dans un registre de risques. La provision/réserve est allouée dans le budget pour tenir compte des différents risques en fonction de leur probabilité et du moment où ces risques pourraient se produire.</w:t>
      </w:r>
    </w:p>
    <w:p w14:paraId="67F275A6" w14:textId="3D4ED28F" w:rsidR="000D0774" w:rsidRPr="00C567FA" w:rsidRDefault="000D0774" w:rsidP="007D536E">
      <w:pPr>
        <w:tabs>
          <w:tab w:val="clear" w:pos="567"/>
          <w:tab w:val="clear" w:pos="1134"/>
          <w:tab w:val="left" w:pos="709"/>
        </w:tabs>
      </w:pPr>
      <w:r w:rsidRPr="00C567FA">
        <w:t>10.21</w:t>
      </w:r>
      <w:r w:rsidRPr="00C567FA">
        <w:tab/>
        <w:t>Des entreprises ont également été consultées (CDTK et Hill International) et ont indiqué qu</w:t>
      </w:r>
      <w:r w:rsidR="007D536E">
        <w:t>'</w:t>
      </w:r>
      <w:r w:rsidRPr="00C567FA">
        <w:t>aucun des risques examinés ne peut faire l</w:t>
      </w:r>
      <w:r w:rsidR="007D536E">
        <w:t>'</w:t>
      </w:r>
      <w:r w:rsidRPr="00C567FA">
        <w:t>objet d</w:t>
      </w:r>
      <w:r w:rsidR="007D536E">
        <w:t>'</w:t>
      </w:r>
      <w:r w:rsidRPr="00C567FA">
        <w:t>une assurance sur le marché, car il s</w:t>
      </w:r>
      <w:r w:rsidR="007D536E">
        <w:t>'</w:t>
      </w:r>
      <w:r w:rsidRPr="00C567FA">
        <w:t>agit de risques commerciaux ou contractuels et non de risques liés à des pertes ou dommages matériels ou à la responsabilité juridique. Elles ne sont pas convaincues du bien-fondé d</w:t>
      </w:r>
      <w:r w:rsidR="007D536E">
        <w:t>'</w:t>
      </w:r>
      <w:r w:rsidRPr="00C567FA">
        <w:t>une telle assurance, qui ne serait pas conforme aux normes et aux pratiques suisses SIA.</w:t>
      </w:r>
    </w:p>
    <w:p w14:paraId="5B984FE6" w14:textId="0B80CD50" w:rsidR="000D0774" w:rsidRPr="00C567FA" w:rsidRDefault="000D0774" w:rsidP="007D536E">
      <w:pPr>
        <w:tabs>
          <w:tab w:val="clear" w:pos="567"/>
          <w:tab w:val="clear" w:pos="1134"/>
          <w:tab w:val="left" w:pos="709"/>
        </w:tabs>
      </w:pPr>
      <w:r w:rsidRPr="00C567FA">
        <w:t>10.22</w:t>
      </w:r>
      <w:r w:rsidRPr="00C567FA">
        <w:tab/>
        <w:t>Le secrétariat recommande de continuer de donner la priorité au provisionnement du Fonds du registre des risques, étant donné que cette assurance n</w:t>
      </w:r>
      <w:r w:rsidR="007D536E">
        <w:t>'</w:t>
      </w:r>
      <w:r w:rsidRPr="00C567FA">
        <w:t>existe pas en tant que telle sur le marché actuel. À la fin de la construction, les fonds non utilisés dans le Fonds du registre des risques seront versés dans le Fonds de réserve, conformément à la Décision 619.</w:t>
      </w:r>
    </w:p>
    <w:p w14:paraId="7D3E0849" w14:textId="2801E5DC" w:rsidR="000D0774" w:rsidRPr="00DF7F48" w:rsidRDefault="000D0774" w:rsidP="007D536E">
      <w:pPr>
        <w:tabs>
          <w:tab w:val="left" w:pos="709"/>
        </w:tabs>
        <w:rPr>
          <w:rFonts w:eastAsia="SimSun" w:cs="Calibri"/>
          <w:color w:val="000000"/>
          <w:szCs w:val="24"/>
          <w:lang w:eastAsia="zh-CN"/>
        </w:rPr>
      </w:pPr>
      <w:r w:rsidRPr="00DF7F48">
        <w:rPr>
          <w:rFonts w:eastAsia="SimSun" w:cs="Calibri"/>
          <w:color w:val="000000"/>
          <w:szCs w:val="24"/>
          <w:lang w:eastAsia="zh-CN"/>
        </w:rPr>
        <w:t>10.23</w:t>
      </w:r>
      <w:r>
        <w:rPr>
          <w:rFonts w:eastAsia="SimSun" w:cs="Calibri"/>
          <w:color w:val="000000"/>
          <w:szCs w:val="24"/>
          <w:lang w:eastAsia="zh-CN"/>
        </w:rPr>
        <w:tab/>
      </w:r>
      <w:r w:rsidRPr="00DF7F48">
        <w:rPr>
          <w:rFonts w:eastAsia="SimSun" w:cs="Calibri"/>
          <w:color w:val="000000"/>
          <w:szCs w:val="24"/>
          <w:lang w:eastAsia="zh-CN"/>
        </w:rPr>
        <w:tab/>
        <w:t>Plusieurs délégués ont remercié le secrétariat pour le rapport et appu</w:t>
      </w:r>
      <w:r>
        <w:rPr>
          <w:rFonts w:eastAsia="SimSun" w:cs="Calibri"/>
          <w:color w:val="000000"/>
          <w:szCs w:val="24"/>
          <w:lang w:eastAsia="zh-CN"/>
        </w:rPr>
        <w:t xml:space="preserve">yé </w:t>
      </w:r>
      <w:r w:rsidRPr="00DF7F48">
        <w:rPr>
          <w:rFonts w:eastAsia="SimSun" w:cs="Calibri"/>
          <w:color w:val="000000"/>
          <w:szCs w:val="24"/>
          <w:lang w:eastAsia="zh-CN"/>
        </w:rPr>
        <w:t xml:space="preserve">la recommandation </w:t>
      </w:r>
      <w:r>
        <w:rPr>
          <w:rFonts w:eastAsia="SimSun" w:cs="Calibri"/>
          <w:color w:val="000000"/>
          <w:szCs w:val="24"/>
          <w:lang w:eastAsia="zh-CN"/>
        </w:rPr>
        <w:t>tendant à ce que le Fonds du registre des risques continue d</w:t>
      </w:r>
      <w:r w:rsidR="007D536E">
        <w:rPr>
          <w:rFonts w:eastAsia="SimSun" w:cs="Calibri"/>
          <w:color w:val="000000"/>
          <w:szCs w:val="24"/>
          <w:lang w:eastAsia="zh-CN"/>
        </w:rPr>
        <w:t>'</w:t>
      </w:r>
      <w:r>
        <w:rPr>
          <w:rFonts w:eastAsia="SimSun" w:cs="Calibri"/>
          <w:color w:val="000000"/>
          <w:szCs w:val="24"/>
          <w:lang w:eastAsia="zh-CN"/>
        </w:rPr>
        <w:t>être utilisé, tout en veillant à ce qu</w:t>
      </w:r>
      <w:r w:rsidR="007D536E">
        <w:rPr>
          <w:rFonts w:eastAsia="SimSun" w:cs="Calibri"/>
          <w:color w:val="000000"/>
          <w:szCs w:val="24"/>
          <w:lang w:eastAsia="zh-CN"/>
        </w:rPr>
        <w:t>'</w:t>
      </w:r>
      <w:r>
        <w:rPr>
          <w:rFonts w:eastAsia="SimSun" w:cs="Calibri"/>
          <w:color w:val="000000"/>
          <w:szCs w:val="24"/>
          <w:lang w:eastAsia="zh-CN"/>
        </w:rPr>
        <w:t>il soit suffisamment provisionné</w:t>
      </w:r>
      <w:r w:rsidRPr="00DF7F48">
        <w:rPr>
          <w:rFonts w:eastAsia="SimSun" w:cs="Calibri"/>
          <w:color w:val="000000"/>
          <w:szCs w:val="24"/>
          <w:lang w:eastAsia="zh-CN"/>
        </w:rPr>
        <w:t>.</w:t>
      </w:r>
    </w:p>
    <w:p w14:paraId="4FD0E1A3" w14:textId="234CD0D0" w:rsidR="000D0774" w:rsidRPr="00C567FA" w:rsidRDefault="000D0774" w:rsidP="007D536E">
      <w:pPr>
        <w:tabs>
          <w:tab w:val="clear" w:pos="567"/>
          <w:tab w:val="clear" w:pos="1134"/>
          <w:tab w:val="left" w:pos="709"/>
        </w:tabs>
        <w:spacing w:after="120"/>
      </w:pPr>
      <w:r w:rsidRPr="00DF7F48">
        <w:rPr>
          <w:rFonts w:eastAsia="SimSun" w:cs="Calibri"/>
          <w:color w:val="000000"/>
          <w:szCs w:val="24"/>
          <w:lang w:eastAsia="zh-CN"/>
        </w:rPr>
        <w:t xml:space="preserve">10.24 </w:t>
      </w:r>
      <w:r w:rsidRPr="00DF7F48">
        <w:rPr>
          <w:rFonts w:eastAsia="SimSun" w:cs="Calibri"/>
          <w:color w:val="000000"/>
          <w:szCs w:val="24"/>
          <w:lang w:eastAsia="zh-CN"/>
        </w:rPr>
        <w:tab/>
        <w:t xml:space="preserve">Le secrétariat a remercié les délégués, le pays hôte (Suisse), le MSAG et tous les parrains et donateurs pour </w:t>
      </w:r>
      <w:r>
        <w:rPr>
          <w:rFonts w:eastAsia="SimSun" w:cs="Calibri"/>
          <w:color w:val="000000"/>
          <w:szCs w:val="24"/>
          <w:lang w:eastAsia="zh-CN"/>
        </w:rPr>
        <w:t>l</w:t>
      </w:r>
      <w:r w:rsidR="007D536E">
        <w:rPr>
          <w:rFonts w:eastAsia="SimSun" w:cs="Calibri"/>
          <w:color w:val="000000"/>
          <w:szCs w:val="24"/>
          <w:lang w:eastAsia="zh-CN"/>
        </w:rPr>
        <w:t>'</w:t>
      </w:r>
      <w:r w:rsidRPr="00DF7F48">
        <w:rPr>
          <w:rFonts w:eastAsia="SimSun" w:cs="Calibri"/>
          <w:color w:val="000000"/>
          <w:szCs w:val="24"/>
          <w:lang w:eastAsia="zh-CN"/>
        </w:rPr>
        <w:t xml:space="preserve">appui et </w:t>
      </w:r>
      <w:r>
        <w:rPr>
          <w:rFonts w:eastAsia="SimSun" w:cs="Calibri"/>
          <w:color w:val="000000"/>
          <w:szCs w:val="24"/>
          <w:lang w:eastAsia="zh-CN"/>
        </w:rPr>
        <w:t xml:space="preserve">la </w:t>
      </w:r>
      <w:r w:rsidRPr="00DF7F48">
        <w:rPr>
          <w:rFonts w:eastAsia="SimSun" w:cs="Calibri"/>
          <w:color w:val="000000"/>
          <w:szCs w:val="24"/>
          <w:lang w:eastAsia="zh-CN"/>
        </w:rPr>
        <w:t xml:space="preserve">collaboration </w:t>
      </w:r>
      <w:r>
        <w:rPr>
          <w:rFonts w:eastAsia="SimSun" w:cs="Calibri"/>
          <w:color w:val="000000"/>
          <w:szCs w:val="24"/>
          <w:lang w:eastAsia="zh-CN"/>
        </w:rPr>
        <w:t>qu</w:t>
      </w:r>
      <w:r w:rsidR="007D536E">
        <w:rPr>
          <w:rFonts w:eastAsia="SimSun" w:cs="Calibri"/>
          <w:color w:val="000000"/>
          <w:szCs w:val="24"/>
          <w:lang w:eastAsia="zh-CN"/>
        </w:rPr>
        <w:t>'</w:t>
      </w:r>
      <w:r>
        <w:rPr>
          <w:rFonts w:eastAsia="SimSun" w:cs="Calibri"/>
          <w:color w:val="000000"/>
          <w:szCs w:val="24"/>
          <w:lang w:eastAsia="zh-CN"/>
        </w:rPr>
        <w:t>ils continuent d</w:t>
      </w:r>
      <w:r w:rsidR="007D536E">
        <w:rPr>
          <w:rFonts w:eastAsia="SimSun" w:cs="Calibri"/>
          <w:color w:val="000000"/>
          <w:szCs w:val="24"/>
          <w:lang w:eastAsia="zh-CN"/>
        </w:rPr>
        <w:t>'</w:t>
      </w:r>
      <w:r>
        <w:rPr>
          <w:rFonts w:eastAsia="SimSun" w:cs="Calibri"/>
          <w:color w:val="000000"/>
          <w:szCs w:val="24"/>
          <w:lang w:eastAsia="zh-CN"/>
        </w:rPr>
        <w:t xml:space="preserve">apporter au projet de construction. </w:t>
      </w:r>
      <w:r w:rsidRPr="00DF7F48">
        <w:rPr>
          <w:rFonts w:eastAsia="SimSun" w:cs="Calibri"/>
          <w:color w:val="000000"/>
          <w:szCs w:val="24"/>
          <w:lang w:eastAsia="zh-CN"/>
        </w:rPr>
        <w:t>La période 2023-2026, durant laquelle le bâtiment Varembé sera détruit et le nouveau bâtiment construit, sera difficile pour l</w:t>
      </w:r>
      <w:r w:rsidR="007D536E">
        <w:rPr>
          <w:rFonts w:eastAsia="SimSun" w:cs="Calibri"/>
          <w:color w:val="000000"/>
          <w:szCs w:val="24"/>
          <w:lang w:eastAsia="zh-CN"/>
        </w:rPr>
        <w:t>'</w:t>
      </w:r>
      <w:r w:rsidRPr="00DF7F48">
        <w:rPr>
          <w:rFonts w:eastAsia="SimSun" w:cs="Calibri"/>
          <w:color w:val="000000"/>
          <w:szCs w:val="24"/>
          <w:lang w:eastAsia="zh-CN"/>
        </w:rPr>
        <w:t xml:space="preserve">Union. </w:t>
      </w:r>
      <w:r>
        <w:rPr>
          <w:rFonts w:eastAsia="SimSun" w:cs="Calibri"/>
          <w:color w:val="000000"/>
          <w:szCs w:val="24"/>
          <w:lang w:eastAsia="zh-CN"/>
        </w:rPr>
        <w:t>Dès lors</w:t>
      </w:r>
      <w:r w:rsidRPr="00342884">
        <w:rPr>
          <w:rFonts w:eastAsia="SimSun" w:cs="Calibri"/>
          <w:color w:val="000000"/>
          <w:szCs w:val="24"/>
          <w:lang w:eastAsia="zh-CN"/>
        </w:rPr>
        <w:t xml:space="preserve">, les délégués sont invités à </w:t>
      </w:r>
      <w:r>
        <w:rPr>
          <w:rFonts w:eastAsia="SimSun" w:cs="Calibri"/>
          <w:color w:val="000000"/>
          <w:szCs w:val="24"/>
          <w:lang w:eastAsia="zh-CN"/>
        </w:rPr>
        <w:t xml:space="preserve">étudier </w:t>
      </w:r>
      <w:r w:rsidRPr="00342884">
        <w:rPr>
          <w:rFonts w:eastAsia="SimSun" w:cs="Calibri"/>
          <w:color w:val="000000"/>
          <w:szCs w:val="24"/>
          <w:lang w:eastAsia="zh-CN"/>
        </w:rPr>
        <w:t xml:space="preserve">la possibilité </w:t>
      </w:r>
      <w:r>
        <w:rPr>
          <w:rFonts w:eastAsia="SimSun" w:cs="Calibri"/>
          <w:color w:val="000000"/>
          <w:szCs w:val="24"/>
          <w:lang w:eastAsia="zh-CN"/>
        </w:rPr>
        <w:t xml:space="preserve">pour leur pays </w:t>
      </w:r>
      <w:r w:rsidRPr="00342884">
        <w:rPr>
          <w:rFonts w:eastAsia="SimSun" w:cs="Calibri"/>
          <w:color w:val="000000"/>
          <w:szCs w:val="24"/>
          <w:lang w:eastAsia="zh-CN"/>
        </w:rPr>
        <w:t>d</w:t>
      </w:r>
      <w:r w:rsidR="007D536E">
        <w:rPr>
          <w:rFonts w:eastAsia="SimSun" w:cs="Calibri"/>
          <w:color w:val="000000"/>
          <w:szCs w:val="24"/>
          <w:lang w:eastAsia="zh-CN"/>
        </w:rPr>
        <w:t>'</w:t>
      </w:r>
      <w:r w:rsidRPr="00342884">
        <w:rPr>
          <w:rFonts w:eastAsia="SimSun" w:cs="Calibri"/>
          <w:color w:val="000000"/>
          <w:szCs w:val="24"/>
          <w:lang w:eastAsia="zh-CN"/>
        </w:rPr>
        <w:t xml:space="preserve">accueillir des </w:t>
      </w:r>
      <w:r>
        <w:rPr>
          <w:rFonts w:eastAsia="SimSun" w:cs="Calibri"/>
          <w:color w:val="000000"/>
          <w:szCs w:val="24"/>
          <w:lang w:eastAsia="zh-CN"/>
        </w:rPr>
        <w:t>ré</w:t>
      </w:r>
      <w:r w:rsidRPr="00342884">
        <w:rPr>
          <w:rFonts w:eastAsia="SimSun" w:cs="Calibri"/>
          <w:color w:val="000000"/>
          <w:szCs w:val="24"/>
          <w:lang w:eastAsia="zh-CN"/>
        </w:rPr>
        <w:t>unions techniques.</w:t>
      </w:r>
    </w:p>
    <w:tbl>
      <w:tblPr>
        <w:tblStyle w:val="TableGrid"/>
        <w:tblW w:w="0" w:type="auto"/>
        <w:tblLook w:val="04A0" w:firstRow="1" w:lastRow="0" w:firstColumn="1" w:lastColumn="0" w:noHBand="0" w:noVBand="1"/>
      </w:tblPr>
      <w:tblGrid>
        <w:gridCol w:w="9629"/>
      </w:tblGrid>
      <w:tr w:rsidR="000D0774" w:rsidRPr="00C567FA" w14:paraId="40131B20" w14:textId="77777777" w:rsidTr="002932F3">
        <w:tc>
          <w:tcPr>
            <w:tcW w:w="9629" w:type="dxa"/>
          </w:tcPr>
          <w:p w14:paraId="1B6D13A4" w14:textId="77777777" w:rsidR="000D0774" w:rsidRPr="00C567FA" w:rsidRDefault="000D0774" w:rsidP="007D536E">
            <w:pPr>
              <w:pStyle w:val="Headingb"/>
              <w:rPr>
                <w:i/>
                <w:iCs/>
              </w:rPr>
            </w:pPr>
            <w:r w:rsidRPr="00C567FA">
              <w:rPr>
                <w:i/>
                <w:iCs/>
              </w:rPr>
              <w:t>Recommandation</w:t>
            </w:r>
          </w:p>
          <w:p w14:paraId="429743DC" w14:textId="77777777" w:rsidR="000D0774" w:rsidRPr="00C567FA" w:rsidRDefault="000D0774" w:rsidP="007D536E">
            <w:pPr>
              <w:tabs>
                <w:tab w:val="clear" w:pos="567"/>
                <w:tab w:val="left" w:pos="880"/>
              </w:tabs>
              <w:spacing w:after="120"/>
            </w:pPr>
            <w:r w:rsidRPr="00C567FA">
              <w:t>10.25</w:t>
            </w:r>
            <w:r w:rsidRPr="00C567FA">
              <w:tab/>
              <w:t xml:space="preserve">La Commission recommande </w:t>
            </w:r>
            <w:r>
              <w:t>au</w:t>
            </w:r>
            <w:r w:rsidRPr="00C567FA">
              <w:t xml:space="preserve"> Conseil </w:t>
            </w:r>
            <w:r>
              <w:t>de prendre</w:t>
            </w:r>
            <w:r w:rsidRPr="00C567FA">
              <w:t xml:space="preserve"> note du Document C22/62 et de la recommandation </w:t>
            </w:r>
            <w:r>
              <w:t>qui y figure</w:t>
            </w:r>
            <w:r w:rsidRPr="00C567FA">
              <w:t>.</w:t>
            </w:r>
          </w:p>
        </w:tc>
      </w:tr>
    </w:tbl>
    <w:p w14:paraId="38046A0D" w14:textId="77777777" w:rsidR="000D0774" w:rsidRPr="00C567FA" w:rsidRDefault="000D0774" w:rsidP="007D536E">
      <w:pPr>
        <w:tabs>
          <w:tab w:val="clear" w:pos="567"/>
          <w:tab w:val="clear" w:pos="1134"/>
          <w:tab w:val="clear" w:pos="1701"/>
          <w:tab w:val="clear" w:pos="2268"/>
          <w:tab w:val="clear" w:pos="2835"/>
        </w:tabs>
        <w:overflowPunct/>
        <w:autoSpaceDE/>
        <w:autoSpaceDN/>
        <w:adjustRightInd/>
        <w:spacing w:before="0"/>
        <w:textAlignment w:val="auto"/>
        <w:rPr>
          <w:b/>
          <w:sz w:val="28"/>
        </w:rPr>
      </w:pPr>
      <w:r w:rsidRPr="00C567FA">
        <w:br w:type="page"/>
      </w:r>
    </w:p>
    <w:p w14:paraId="1C653CE2" w14:textId="1AE079D5" w:rsidR="000D0774" w:rsidRPr="00C567FA" w:rsidRDefault="000D0774" w:rsidP="007D536E">
      <w:pPr>
        <w:pStyle w:val="Heading1"/>
      </w:pPr>
      <w:r w:rsidRPr="00C567FA">
        <w:lastRenderedPageBreak/>
        <w:t>11</w:t>
      </w:r>
      <w:r w:rsidRPr="00C567FA">
        <w:tab/>
        <w:t>Fonds pour le développement des technologies de l</w:t>
      </w:r>
      <w:r w:rsidR="007D536E">
        <w:t>'</w:t>
      </w:r>
      <w:r w:rsidRPr="00C567FA">
        <w:t xml:space="preserve">information et de la communication (FDTIC) (Document </w:t>
      </w:r>
      <w:hyperlink r:id="rId62" w:history="1">
        <w:r w:rsidRPr="00C567FA">
          <w:rPr>
            <w:rStyle w:val="Hyperlink"/>
            <w:bCs/>
            <w:szCs w:val="28"/>
          </w:rPr>
          <w:t>C22/34</w:t>
        </w:r>
      </w:hyperlink>
      <w:r w:rsidRPr="00C567FA">
        <w:t>)</w:t>
      </w:r>
    </w:p>
    <w:p w14:paraId="72DD5A81" w14:textId="502215FF" w:rsidR="000D0774" w:rsidRPr="00C567FA" w:rsidRDefault="000D0774" w:rsidP="007D536E">
      <w:r w:rsidRPr="00C567FA">
        <w:t>11.1</w:t>
      </w:r>
      <w:r w:rsidRPr="00C567FA">
        <w:tab/>
        <w:t>Conformément aux Résolutions de la Conférence de plénipotentiaires et du Conseil, le Document C22/34 présente les principales activités menées au titre du Fonds pour le développement des technologies de l</w:t>
      </w:r>
      <w:r w:rsidR="007D536E">
        <w:t>'</w:t>
      </w:r>
      <w:r w:rsidRPr="00C567FA">
        <w:t>information et de la communication (FDTIC), ainsi que la situation de ce Fonds, pour appuyer la mise en œuvre de projets de développement, ses principales règles et procédures et l</w:t>
      </w:r>
      <w:r w:rsidR="007D536E">
        <w:t>'</w:t>
      </w:r>
      <w:r w:rsidRPr="00C567FA">
        <w:t>état d</w:t>
      </w:r>
      <w:r w:rsidR="007D536E">
        <w:t>'</w:t>
      </w:r>
      <w:r w:rsidRPr="00C567FA">
        <w:t>avancement des projets financés au titre du FDTIC, et comprend diverses analyses et divers graphiques.</w:t>
      </w:r>
    </w:p>
    <w:p w14:paraId="30E5EDBE" w14:textId="52632F11" w:rsidR="000D0774" w:rsidRPr="00C567FA" w:rsidRDefault="000D0774" w:rsidP="007D536E">
      <w:r w:rsidRPr="00C567FA">
        <w:t>11.2</w:t>
      </w:r>
      <w:r w:rsidRPr="00C567FA">
        <w:tab/>
        <w:t>Le document retrace l</w:t>
      </w:r>
      <w:r w:rsidR="007D536E">
        <w:t>'</w:t>
      </w:r>
      <w:r w:rsidRPr="00C567FA">
        <w:t>évolution du Compte de capital du FDTIC et fournit des renseignements sur le solde disponible à la fin de 2021. Les projets en cours financés par le FDTIC depuis mai 2021 sont présentés sous la forme de tableaux.</w:t>
      </w:r>
    </w:p>
    <w:p w14:paraId="7FDE54A2" w14:textId="50B15956" w:rsidR="000D0774" w:rsidRPr="00C567FA" w:rsidRDefault="000D0774" w:rsidP="007D536E">
      <w:r w:rsidRPr="00C567FA">
        <w:t>11.3</w:t>
      </w:r>
      <w:r w:rsidRPr="00C567FA">
        <w:tab/>
        <w:t>Un délégué a souligné l</w:t>
      </w:r>
      <w:r w:rsidR="007D536E">
        <w:t>'</w:t>
      </w:r>
      <w:r w:rsidRPr="00C567FA">
        <w:t>importance du FDTIC pour ce qui est du financement des projets de développement et a fait observer que l</w:t>
      </w:r>
      <w:r w:rsidR="007D536E">
        <w:t>'</w:t>
      </w:r>
      <w:r w:rsidRPr="00C567FA">
        <w:t>initiative Partner2Connect arrivait à point nommé, étant donné qu</w:t>
      </w:r>
      <w:r w:rsidR="007D536E">
        <w:t>'</w:t>
      </w:r>
      <w:r w:rsidRPr="00C567FA">
        <w:t>elle pourrait permettre de verser un financement additionnel au FDTIC, dans la mesure où TELECOM ne génère plus de fonds.</w:t>
      </w:r>
    </w:p>
    <w:p w14:paraId="0F61B70D" w14:textId="78E104FA" w:rsidR="000D0774" w:rsidRPr="00C567FA" w:rsidRDefault="000D0774" w:rsidP="007D536E">
      <w:r w:rsidRPr="00C567FA">
        <w:t>11.4</w:t>
      </w:r>
      <w:r w:rsidRPr="00C567FA">
        <w:tab/>
        <w:t>Un délégué a expliqué que le FDTIC était une source importante de financement de projets pour les PMA, les PDSL et les PEID et qu</w:t>
      </w:r>
      <w:r w:rsidR="007D536E">
        <w:t>'</w:t>
      </w:r>
      <w:r w:rsidRPr="00C567FA">
        <w:t>il devait être durable. Il a suggéré de réformer le Fonds.</w:t>
      </w:r>
    </w:p>
    <w:p w14:paraId="32B82C4A" w14:textId="5A713AE7" w:rsidR="000D0774" w:rsidRPr="00C567FA" w:rsidRDefault="000D0774" w:rsidP="007D536E">
      <w:r w:rsidRPr="00C567FA">
        <w:t>11.5</w:t>
      </w:r>
      <w:r w:rsidRPr="00C567FA">
        <w:tab/>
        <w:t>Un autre délégué a noté que, conformément à la Résolution 157, le rôle de l</w:t>
      </w:r>
      <w:r w:rsidR="007D536E">
        <w:t>'</w:t>
      </w:r>
      <w:r w:rsidRPr="00C567FA">
        <w:t>UIT est d</w:t>
      </w:r>
      <w:r w:rsidR="007D536E">
        <w:t>'</w:t>
      </w:r>
      <w:r w:rsidRPr="00C567FA">
        <w:t>exécuter des projets et a souhaité savoir quelles mesures ont été prises à ce titre.</w:t>
      </w:r>
    </w:p>
    <w:p w14:paraId="5E87E00F" w14:textId="77777777" w:rsidR="000D0774" w:rsidRPr="00C567FA" w:rsidRDefault="000D0774" w:rsidP="007D536E">
      <w:r w:rsidRPr="00C567FA">
        <w:t>11.6</w:t>
      </w:r>
      <w:r w:rsidRPr="00C567FA">
        <w:tab/>
        <w:t>Les compétences des membres du personnel participant aux projets ont été renforcées et mises à niveau, afin de garantir une mise en œuvre efficace et efficiente des projets.</w:t>
      </w:r>
    </w:p>
    <w:p w14:paraId="1DAB7CBD" w14:textId="4E44D0AB" w:rsidR="000D0774" w:rsidRPr="00C567FA" w:rsidRDefault="000D0774" w:rsidP="007D536E">
      <w:r w:rsidRPr="00C567FA">
        <w:t>11.7</w:t>
      </w:r>
      <w:r w:rsidRPr="00C567FA">
        <w:tab/>
        <w:t>Un délégué a demandé au secrétariat de formuler des observations sur l</w:t>
      </w:r>
      <w:r w:rsidR="007D536E">
        <w:t>'</w:t>
      </w:r>
      <w:r w:rsidRPr="00C567FA">
        <w:t>état d</w:t>
      </w:r>
      <w:r w:rsidR="007D536E">
        <w:t>'</w:t>
      </w:r>
      <w:r w:rsidRPr="00C567FA">
        <w:t>avancement d</w:t>
      </w:r>
      <w:r w:rsidR="007D536E">
        <w:t>'</w:t>
      </w:r>
      <w:r w:rsidRPr="00C567FA">
        <w:t>une Résolution visant à définir l</w:t>
      </w:r>
      <w:r w:rsidR="007D536E">
        <w:t>'</w:t>
      </w:r>
      <w:r w:rsidRPr="00C567FA">
        <w:t>utilisation des contributions en nature et sur la note de bas de page 2, à la page 2 de la version anglaise du Document C22/34, qui indique que les informations définitives seront disponibles à la clôture des comptes financiers de l</w:t>
      </w:r>
      <w:r w:rsidR="007D536E">
        <w:t>'</w:t>
      </w:r>
      <w:r w:rsidRPr="00C567FA">
        <w:t>UIT.</w:t>
      </w:r>
    </w:p>
    <w:p w14:paraId="56DD179B" w14:textId="1D571331" w:rsidR="000D0774" w:rsidRPr="00C567FA" w:rsidRDefault="000D0774" w:rsidP="007D536E">
      <w:r w:rsidRPr="00C567FA">
        <w:t>11.8</w:t>
      </w:r>
      <w:r w:rsidRPr="00C567FA">
        <w:tab/>
        <w:t>Un autre délégué a indiqué qu</w:t>
      </w:r>
      <w:r w:rsidR="007D536E">
        <w:t>'</w:t>
      </w:r>
      <w:r w:rsidRPr="00C567FA">
        <w:t>il souhaitait savoir comment la durabilité projets dont la mise en œuvre a été achevée est garantie après la clôture des comptes financiers, pour éviter qu</w:t>
      </w:r>
      <w:r w:rsidR="007D536E">
        <w:t>'</w:t>
      </w:r>
      <w:r w:rsidRPr="00C567FA">
        <w:t>ils n</w:t>
      </w:r>
      <w:r w:rsidR="007D536E">
        <w:t>'</w:t>
      </w:r>
      <w:r w:rsidRPr="00C567FA">
        <w:t>aboutissent pas.</w:t>
      </w:r>
    </w:p>
    <w:p w14:paraId="7ADF70F1" w14:textId="77777777" w:rsidR="000D0774" w:rsidRPr="00C567FA" w:rsidRDefault="000D0774" w:rsidP="007D536E">
      <w:r w:rsidRPr="00C567FA">
        <w:t>11.9</w:t>
      </w:r>
      <w:r w:rsidRPr="00C567FA">
        <w:tab/>
        <w:t>En réponse aux diverses questions soulevées, le secrétariat a formulé les observations suivantes:</w:t>
      </w:r>
    </w:p>
    <w:p w14:paraId="68FCD35F" w14:textId="60173360" w:rsidR="000D0774" w:rsidRPr="00C567FA" w:rsidRDefault="000D0774" w:rsidP="007D536E">
      <w:pPr>
        <w:pStyle w:val="enumlev1"/>
      </w:pPr>
      <w:r w:rsidRPr="00C567FA">
        <w:t>–</w:t>
      </w:r>
      <w:r w:rsidRPr="00C567FA">
        <w:tab/>
        <w:t>L</w:t>
      </w:r>
      <w:r w:rsidR="007D536E">
        <w:t>'</w:t>
      </w:r>
      <w:r w:rsidRPr="00C567FA">
        <w:t>initiative Partner2Connect est une occasion unique pour l</w:t>
      </w:r>
      <w:r w:rsidR="007D536E">
        <w:t>'</w:t>
      </w:r>
      <w:r w:rsidRPr="00C567FA">
        <w:t>UIT de mobiliser et de lever des fonds pour les projets, dans la mesure où TELECOM n</w:t>
      </w:r>
      <w:r w:rsidR="007D536E">
        <w:t>'</w:t>
      </w:r>
      <w:r w:rsidRPr="00C567FA">
        <w:t>est plus une source de financement viable.</w:t>
      </w:r>
    </w:p>
    <w:p w14:paraId="4645CD3C" w14:textId="282AF164" w:rsidR="000D0774" w:rsidRPr="00C567FA" w:rsidRDefault="000D0774" w:rsidP="007D536E">
      <w:pPr>
        <w:pStyle w:val="enumlev1"/>
      </w:pPr>
      <w:r w:rsidRPr="00C567FA">
        <w:t>–</w:t>
      </w:r>
      <w:r w:rsidRPr="00C567FA">
        <w:tab/>
        <w:t>Le Secteur du développement est parvenu à mobiliser des ressources et à nouer des partenariats, au point qu</w:t>
      </w:r>
      <w:r w:rsidR="007D536E">
        <w:t>'</w:t>
      </w:r>
      <w:r w:rsidRPr="00C567FA">
        <w:t>en 2021, un montant de près de 20 millions USD a été mobilisée. Toutefois, les capitaux de démarrage comme ceux fournis par le FDTIC ont permis dans une large mesure à l</w:t>
      </w:r>
      <w:r w:rsidR="007D536E">
        <w:t>'</w:t>
      </w:r>
      <w:r w:rsidRPr="00C567FA">
        <w:t>UIT de mobiliser davantage de fonds. Comme indiqué dans le Document C22/34, les fonds fournis par le FDTIC n</w:t>
      </w:r>
      <w:r w:rsidR="007D536E">
        <w:t>'</w:t>
      </w:r>
      <w:r w:rsidRPr="00C567FA">
        <w:t>ont représenté que 25 pour cent du financement des nouveaux projets signés. Les 75 pour cent restants provenaient de sources externes.</w:t>
      </w:r>
    </w:p>
    <w:p w14:paraId="7EDF5BF2" w14:textId="5F6FD52C" w:rsidR="000D0774" w:rsidRPr="00C567FA" w:rsidRDefault="000D0774" w:rsidP="007D536E">
      <w:pPr>
        <w:pStyle w:val="enumlev1"/>
        <w:keepNext/>
        <w:keepLines/>
      </w:pPr>
      <w:r w:rsidRPr="00C567FA">
        <w:lastRenderedPageBreak/>
        <w:t>–</w:t>
      </w:r>
      <w:r w:rsidRPr="00C567FA">
        <w:tab/>
        <w:t>S</w:t>
      </w:r>
      <w:r w:rsidR="007D536E">
        <w:t>'</w:t>
      </w:r>
      <w:r w:rsidRPr="00C567FA">
        <w:t>agissant des formations et du renforcement des compétences en matière de gestion de projets, 97 fonctionnaires ont reçu une certification dans ce domaine. En outre, un manuel sur la gestion de projets a été élaboré à toutes fins utiles. Pour les formations, des fonctionnaires issus des trois Secteurs et du Secrétariat général ont été sélectionnés, y compris au sein des Départements des achats, des l finances et de l</w:t>
      </w:r>
      <w:r w:rsidR="007D536E">
        <w:t>'</w:t>
      </w:r>
      <w:r w:rsidRPr="00C567FA">
        <w:t>audit interne.</w:t>
      </w:r>
    </w:p>
    <w:p w14:paraId="59D75B5B" w14:textId="18A53459" w:rsidR="000D0774" w:rsidRPr="00C567FA" w:rsidRDefault="000D0774" w:rsidP="007D536E">
      <w:pPr>
        <w:pStyle w:val="enumlev1"/>
      </w:pPr>
      <w:r w:rsidRPr="00C567FA">
        <w:t>–</w:t>
      </w:r>
      <w:r w:rsidRPr="00C567FA">
        <w:tab/>
        <w:t>S</w:t>
      </w:r>
      <w:r w:rsidR="007D536E">
        <w:t>'</w:t>
      </w:r>
      <w:r w:rsidRPr="00C567FA">
        <w:t>agissant de la viabilité des projets après la clôture des comptes, il a été noté que l</w:t>
      </w:r>
      <w:r w:rsidR="007D536E">
        <w:t>'</w:t>
      </w:r>
      <w:r w:rsidRPr="00C567FA">
        <w:t>UIT mène des évaluations après la mise en œuvre des projets et, à mesure que de nouveaux projets sont mis en œuvre dans les mêmes pays bénéficiaires, l</w:t>
      </w:r>
      <w:r w:rsidR="007D536E">
        <w:t>'</w:t>
      </w:r>
      <w:r w:rsidRPr="00C567FA">
        <w:t>UIT continuera de veiller à la bonne exécution de ces projets conjointement avec les parties prenantes locales. En principe, les parties prenantes locales qui font également partie de la structure de gouvernance d</w:t>
      </w:r>
      <w:r w:rsidR="007D536E">
        <w:t>'</w:t>
      </w:r>
      <w:r w:rsidRPr="00C567FA">
        <w:t>un projet assument la responsabilité de ce projet après son transfert et s</w:t>
      </w:r>
      <w:r w:rsidR="007D536E">
        <w:t>'</w:t>
      </w:r>
      <w:r w:rsidRPr="00C567FA">
        <w:t>assurent qu</w:t>
      </w:r>
      <w:r w:rsidR="007D536E">
        <w:t>'</w:t>
      </w:r>
      <w:r w:rsidRPr="00C567FA">
        <w:t>il est mené à bien.</w:t>
      </w:r>
    </w:p>
    <w:p w14:paraId="35D8A96C" w14:textId="6D7E5677" w:rsidR="000D0774" w:rsidRPr="00C567FA" w:rsidRDefault="000D0774" w:rsidP="007D536E">
      <w:pPr>
        <w:pStyle w:val="enumlev1"/>
      </w:pPr>
      <w:r w:rsidRPr="00C567FA">
        <w:t>–</w:t>
      </w:r>
      <w:r w:rsidRPr="00C567FA">
        <w:tab/>
        <w:t>Concernant les modifications apportées à la résolution sur les contributions en nature, les travaux n</w:t>
      </w:r>
      <w:r w:rsidR="007D536E">
        <w:t>'</w:t>
      </w:r>
      <w:r w:rsidRPr="00C567FA">
        <w:t>ont pas encore été achevés.</w:t>
      </w:r>
    </w:p>
    <w:p w14:paraId="53E85545" w14:textId="77777777" w:rsidR="000D0774" w:rsidRPr="00C567FA" w:rsidRDefault="000D0774" w:rsidP="007D536E">
      <w:pPr>
        <w:pStyle w:val="enumlev1"/>
        <w:spacing w:after="240"/>
      </w:pPr>
      <w:r w:rsidRPr="00C567FA">
        <w:t>–</w:t>
      </w:r>
      <w:r w:rsidRPr="00C567FA">
        <w:tab/>
        <w:t>Concernant la note de bas de page relative à la clôture des comptes, il a été noté que ces derniers ont été clôturés. Toutefois, la vérification des comptes est toujours en cours, de sorte que le secrétariat ne peut communiquer officiellement les chiffres finals.</w:t>
      </w:r>
    </w:p>
    <w:tbl>
      <w:tblPr>
        <w:tblW w:w="0" w:type="auto"/>
        <w:tblCellMar>
          <w:left w:w="0" w:type="dxa"/>
          <w:right w:w="0" w:type="dxa"/>
        </w:tblCellMar>
        <w:tblLook w:val="04A0" w:firstRow="1" w:lastRow="0" w:firstColumn="1" w:lastColumn="0" w:noHBand="0" w:noVBand="1"/>
      </w:tblPr>
      <w:tblGrid>
        <w:gridCol w:w="9017"/>
      </w:tblGrid>
      <w:tr w:rsidR="000D0774" w:rsidRPr="00C567FA" w14:paraId="69B386DA"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31C2B62" w14:textId="77777777" w:rsidR="000D0774" w:rsidRPr="00C567FA" w:rsidRDefault="000D0774" w:rsidP="007D536E">
            <w:pPr>
              <w:pStyle w:val="Headingb"/>
              <w:rPr>
                <w:bCs/>
                <w:i/>
                <w:iCs/>
              </w:rPr>
            </w:pPr>
            <w:r w:rsidRPr="00C567FA">
              <w:rPr>
                <w:bCs/>
                <w:i/>
                <w:iCs/>
              </w:rPr>
              <w:t>Recommandation</w:t>
            </w:r>
          </w:p>
          <w:p w14:paraId="3AB916FC" w14:textId="77777777" w:rsidR="000D0774" w:rsidRPr="00C567FA" w:rsidRDefault="000D0774" w:rsidP="007D536E">
            <w:pPr>
              <w:tabs>
                <w:tab w:val="clear" w:pos="567"/>
                <w:tab w:val="left" w:pos="737"/>
              </w:tabs>
              <w:spacing w:after="120"/>
            </w:pPr>
            <w:r w:rsidRPr="00C567FA">
              <w:t>11.10</w:t>
            </w:r>
            <w:r w:rsidRPr="00C567FA">
              <w:tab/>
              <w:t>La Commission recommande au Conseil de prendre note du Document C22/34.</w:t>
            </w:r>
          </w:p>
        </w:tc>
      </w:tr>
    </w:tbl>
    <w:p w14:paraId="27495A13" w14:textId="63ECA158" w:rsidR="000D0774" w:rsidRPr="00C567FA" w:rsidRDefault="000D0774" w:rsidP="007D536E">
      <w:pPr>
        <w:pStyle w:val="Heading1"/>
      </w:pPr>
      <w:r w:rsidRPr="00C567FA">
        <w:t>12</w:t>
      </w:r>
      <w:r w:rsidRPr="00C567FA">
        <w:tab/>
        <w:t xml:space="preserve">Réunions virtuelles et réunions hybrides (Document </w:t>
      </w:r>
      <w:hyperlink r:id="rId63" w:history="1">
        <w:r w:rsidRPr="00C567FA">
          <w:rPr>
            <w:rStyle w:val="Hyperlink"/>
            <w:rFonts w:cs="Calibri"/>
            <w:szCs w:val="28"/>
          </w:rPr>
          <w:t>C22/65</w:t>
        </w:r>
      </w:hyperlink>
      <w:r w:rsidRPr="00C567FA">
        <w:t>) et contribution de l</w:t>
      </w:r>
      <w:r w:rsidR="007D536E">
        <w:t>'</w:t>
      </w:r>
      <w:r w:rsidRPr="00C567FA">
        <w:t>Australie et du Canada – Cadre de l</w:t>
      </w:r>
      <w:r w:rsidR="007D536E">
        <w:t>'</w:t>
      </w:r>
      <w:r w:rsidRPr="00C567FA">
        <w:t xml:space="preserve">UIT pour la tenue des réunions hybrides (Document </w:t>
      </w:r>
      <w:hyperlink r:id="rId64" w:history="1">
        <w:r w:rsidRPr="00C567FA">
          <w:rPr>
            <w:rStyle w:val="Hyperlink"/>
            <w:rFonts w:cs="Calibri"/>
            <w:szCs w:val="28"/>
          </w:rPr>
          <w:t>C22/69</w:t>
        </w:r>
      </w:hyperlink>
      <w:r w:rsidRPr="00C567FA">
        <w:t>)</w:t>
      </w:r>
    </w:p>
    <w:p w14:paraId="44114E90" w14:textId="18117FB3" w:rsidR="000D0774" w:rsidRPr="00C567FA" w:rsidRDefault="000D0774" w:rsidP="007D536E">
      <w:pPr>
        <w:spacing w:after="240"/>
      </w:pPr>
      <w:r w:rsidRPr="00C567FA">
        <w:rPr>
          <w:rFonts w:asciiTheme="minorHAnsi" w:hAnsiTheme="minorHAnsi" w:cstheme="minorHAnsi"/>
        </w:rPr>
        <w:t>12.1</w:t>
      </w:r>
      <w:r w:rsidRPr="00C567FA">
        <w:rPr>
          <w:rFonts w:asciiTheme="minorHAnsi" w:hAnsiTheme="minorHAnsi" w:cstheme="minorHAnsi"/>
        </w:rPr>
        <w:tab/>
        <w:t>Les participants ont souscrit sans réserve aux propositions figurant dans les Documents </w:t>
      </w:r>
      <w:r w:rsidRPr="00C567FA">
        <w:t>C22/65 et C22/69. Les délégués ont mis en avant les résultats de l</w:t>
      </w:r>
      <w:r w:rsidR="007D536E">
        <w:t>'</w:t>
      </w:r>
      <w:r w:rsidRPr="00C567FA">
        <w:t>AMNT sur cette question et ceux du groupe ad hoc du GCNT sur les réunions électroniques.</w:t>
      </w:r>
    </w:p>
    <w:tbl>
      <w:tblPr>
        <w:tblW w:w="0" w:type="auto"/>
        <w:tblCellMar>
          <w:left w:w="0" w:type="dxa"/>
          <w:right w:w="0" w:type="dxa"/>
        </w:tblCellMar>
        <w:tblLook w:val="04A0" w:firstRow="1" w:lastRow="0" w:firstColumn="1" w:lastColumn="0" w:noHBand="0" w:noVBand="1"/>
      </w:tblPr>
      <w:tblGrid>
        <w:gridCol w:w="9017"/>
      </w:tblGrid>
      <w:tr w:rsidR="000D0774" w:rsidRPr="00C567FA" w14:paraId="6195E74A"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6FFC4F9" w14:textId="77777777" w:rsidR="000D0774" w:rsidRPr="00C567FA" w:rsidRDefault="000D0774" w:rsidP="007D536E">
            <w:pPr>
              <w:pStyle w:val="Headingb"/>
              <w:keepNext w:val="0"/>
              <w:keepLines w:val="0"/>
              <w:rPr>
                <w:bCs/>
                <w:i/>
                <w:iCs/>
              </w:rPr>
            </w:pPr>
            <w:r w:rsidRPr="00C567FA">
              <w:rPr>
                <w:bCs/>
                <w:i/>
                <w:iCs/>
              </w:rPr>
              <w:t>Recommandation</w:t>
            </w:r>
          </w:p>
          <w:p w14:paraId="7D347C6A" w14:textId="4BFC8C33" w:rsidR="000D0774" w:rsidRPr="00C567FA" w:rsidRDefault="000D0774" w:rsidP="007D536E">
            <w:pPr>
              <w:tabs>
                <w:tab w:val="clear" w:pos="567"/>
                <w:tab w:val="left" w:pos="595"/>
              </w:tabs>
              <w:spacing w:after="120"/>
            </w:pPr>
            <w:r w:rsidRPr="00C567FA">
              <w:rPr>
                <w:rFonts w:asciiTheme="minorHAnsi" w:hAnsiTheme="minorHAnsi" w:cstheme="minorHAnsi"/>
                <w:szCs w:val="24"/>
              </w:rPr>
              <w:t>12.2</w:t>
            </w:r>
            <w:r w:rsidRPr="00C567FA">
              <w:rPr>
                <w:rFonts w:asciiTheme="minorHAnsi" w:hAnsiTheme="minorHAnsi" w:cstheme="minorHAnsi"/>
                <w:szCs w:val="24"/>
              </w:rPr>
              <w:tab/>
            </w:r>
            <w:r w:rsidRPr="00C567FA">
              <w:t>La Commission recommande au Conseil de demander au Secrétaire général d</w:t>
            </w:r>
            <w:r w:rsidR="007D536E">
              <w:t>'</w:t>
            </w:r>
            <w:r w:rsidRPr="00C567FA">
              <w:t>élaborer un document d</w:t>
            </w:r>
            <w:r w:rsidR="007D536E">
              <w:t>'</w:t>
            </w:r>
            <w:r w:rsidRPr="00C567FA">
              <w:t>information sur les pratiques actuellement en vigueur à l</w:t>
            </w:r>
            <w:r w:rsidR="007D536E">
              <w:t>'</w:t>
            </w:r>
            <w:r w:rsidRPr="00C567FA">
              <w:t>UIT concernant la tenue des réunions entièrement virtuelles, des réunions présentielles avec participation à distance et des réunions hybrides, en tenant compte des spécificités de chaque Secteur, des questions juridiques et des contraintes logistiques et de présenter ce document à la Conférence de plénipotentiaires de 2022.</w:t>
            </w:r>
          </w:p>
        </w:tc>
      </w:tr>
    </w:tbl>
    <w:p w14:paraId="4ED6FA97" w14:textId="0FA9BA02" w:rsidR="000D0774" w:rsidRPr="00C567FA" w:rsidRDefault="00EF4CBE" w:rsidP="007D536E">
      <w:pPr>
        <w:pStyle w:val="Headingb"/>
        <w:spacing w:after="120"/>
        <w:rPr>
          <w:szCs w:val="24"/>
        </w:rPr>
      </w:pPr>
      <w:r>
        <w:rPr>
          <w:szCs w:val="24"/>
        </w:rPr>
        <w:lastRenderedPageBreak/>
        <w:tab/>
      </w:r>
      <w:r w:rsidR="000D0774" w:rsidRPr="00C567FA">
        <w:rPr>
          <w:szCs w:val="24"/>
        </w:rPr>
        <w:t xml:space="preserve">Contribution de la Chine (République populaire de) – Propositions de nouvelles améliorations à apporter à la participation à distance </w:t>
      </w:r>
      <w:r>
        <w:rPr>
          <w:szCs w:val="24"/>
        </w:rPr>
        <w:t>aux réunions de l</w:t>
      </w:r>
      <w:r w:rsidR="007D536E">
        <w:rPr>
          <w:szCs w:val="24"/>
        </w:rPr>
        <w:t>'</w:t>
      </w:r>
      <w:r>
        <w:rPr>
          <w:szCs w:val="24"/>
        </w:rPr>
        <w:t>UIT (Document </w:t>
      </w:r>
      <w:hyperlink r:id="rId65" w:history="1">
        <w:r w:rsidR="000D0774" w:rsidRPr="00C567FA">
          <w:rPr>
            <w:rStyle w:val="Hyperlink"/>
            <w:rFonts w:asciiTheme="minorHAnsi" w:hAnsiTheme="minorHAnsi" w:cstheme="minorHAnsi"/>
            <w:szCs w:val="24"/>
          </w:rPr>
          <w:t>C22/73</w:t>
        </w:r>
      </w:hyperlink>
      <w:r w:rsidR="000D0774" w:rsidRPr="00C567FA">
        <w:rPr>
          <w:szCs w:val="24"/>
        </w:rPr>
        <w:t>)</w:t>
      </w:r>
    </w:p>
    <w:tbl>
      <w:tblPr>
        <w:tblW w:w="0" w:type="auto"/>
        <w:tblCellMar>
          <w:left w:w="0" w:type="dxa"/>
          <w:right w:w="0" w:type="dxa"/>
        </w:tblCellMar>
        <w:tblLook w:val="04A0" w:firstRow="1" w:lastRow="0" w:firstColumn="1" w:lastColumn="0" w:noHBand="0" w:noVBand="1"/>
      </w:tblPr>
      <w:tblGrid>
        <w:gridCol w:w="9017"/>
      </w:tblGrid>
      <w:tr w:rsidR="000D0774" w:rsidRPr="00C567FA" w14:paraId="505421C1"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8586499" w14:textId="77777777" w:rsidR="000D0774" w:rsidRPr="00C567FA" w:rsidRDefault="000D0774" w:rsidP="007D536E">
            <w:pPr>
              <w:pStyle w:val="Headingb"/>
              <w:rPr>
                <w:bCs/>
                <w:i/>
                <w:iCs/>
              </w:rPr>
            </w:pPr>
            <w:r w:rsidRPr="00C567FA">
              <w:rPr>
                <w:bCs/>
                <w:i/>
                <w:iCs/>
              </w:rPr>
              <w:t>Recommandation</w:t>
            </w:r>
          </w:p>
          <w:p w14:paraId="62181114" w14:textId="563A649B" w:rsidR="000D0774" w:rsidRPr="00C567FA" w:rsidRDefault="000D0774" w:rsidP="007D536E">
            <w:pPr>
              <w:tabs>
                <w:tab w:val="clear" w:pos="567"/>
                <w:tab w:val="clear" w:pos="1134"/>
                <w:tab w:val="left" w:pos="595"/>
              </w:tabs>
              <w:spacing w:after="120"/>
            </w:pPr>
            <w:r w:rsidRPr="00C567FA">
              <w:rPr>
                <w:rFonts w:asciiTheme="minorHAnsi" w:hAnsiTheme="minorHAnsi" w:cstheme="minorHAnsi"/>
                <w:szCs w:val="24"/>
              </w:rPr>
              <w:t>12.3</w:t>
            </w:r>
            <w:r w:rsidRPr="00C567FA">
              <w:rPr>
                <w:rFonts w:asciiTheme="minorHAnsi" w:hAnsiTheme="minorHAnsi" w:cstheme="minorHAnsi"/>
                <w:szCs w:val="24"/>
              </w:rPr>
              <w:tab/>
            </w:r>
            <w:r w:rsidRPr="00C567FA">
              <w:t>La Commission recommande au Conseil de demander au Secrétaire général de tenir compte des points soulevés par la République populaire de Chine dans le Document C22/73 lors de l</w:t>
            </w:r>
            <w:r w:rsidR="007D536E">
              <w:t>'</w:t>
            </w:r>
            <w:r w:rsidRPr="00C567FA">
              <w:t>élaboration du document d</w:t>
            </w:r>
            <w:r w:rsidR="007D536E">
              <w:t>'</w:t>
            </w:r>
            <w:r w:rsidRPr="00C567FA">
              <w:t>information à l</w:t>
            </w:r>
            <w:r w:rsidR="007D536E">
              <w:t>'</w:t>
            </w:r>
            <w:r w:rsidRPr="00C567FA">
              <w:t>intention de la Conférence de plénipotentiaires de 2022.</w:t>
            </w:r>
          </w:p>
        </w:tc>
      </w:tr>
    </w:tbl>
    <w:p w14:paraId="469FBBC2" w14:textId="3E62FAD5" w:rsidR="000D0774" w:rsidRPr="00C567FA" w:rsidRDefault="000D0774" w:rsidP="007D536E">
      <w:pPr>
        <w:pStyle w:val="Heading1"/>
      </w:pPr>
      <w:r w:rsidRPr="00C567FA">
        <w:t>13</w:t>
      </w:r>
      <w:r w:rsidRPr="00C567FA">
        <w:tab/>
        <w:t>Étude de faisabilité sur la création d</w:t>
      </w:r>
      <w:r w:rsidR="007D536E">
        <w:t>'</w:t>
      </w:r>
      <w:r w:rsidRPr="00C567FA">
        <w:t>un institut de formation de l</w:t>
      </w:r>
      <w:r w:rsidR="007D536E">
        <w:t>'</w:t>
      </w:r>
      <w:r w:rsidRPr="00C567FA">
        <w:t xml:space="preserve">UIT: propositions du secrétariat (Document </w:t>
      </w:r>
      <w:hyperlink r:id="rId66" w:history="1">
        <w:r w:rsidRPr="00C567FA">
          <w:rPr>
            <w:rStyle w:val="Hyperlink"/>
            <w:rFonts w:asciiTheme="minorHAnsi" w:hAnsiTheme="minorHAnsi" w:cstheme="minorHAnsi"/>
            <w:szCs w:val="24"/>
          </w:rPr>
          <w:t>C22/56</w:t>
        </w:r>
      </w:hyperlink>
      <w:r w:rsidRPr="00C567FA">
        <w:t>)</w:t>
      </w:r>
    </w:p>
    <w:p w14:paraId="78F2E8B9" w14:textId="77C5EED9" w:rsidR="000D0774" w:rsidRPr="00C567FA" w:rsidRDefault="000D0774" w:rsidP="007D536E">
      <w:r w:rsidRPr="00C567FA">
        <w:t>13.1</w:t>
      </w:r>
      <w:r w:rsidRPr="00C567FA">
        <w:tab/>
        <w:t>Le secrétariat a présenté le Document C22/56, qui contient des propositions relatives aux recommandations figurant dans le rapport final sur l</w:t>
      </w:r>
      <w:r w:rsidR="007D536E">
        <w:t>'</w:t>
      </w:r>
      <w:r w:rsidRPr="00C567FA">
        <w:t>étude de faisabilité relative à la création d</w:t>
      </w:r>
      <w:r w:rsidR="007D536E">
        <w:t>'</w:t>
      </w:r>
      <w:r w:rsidRPr="00C567FA">
        <w:t>un institut de formation de l</w:t>
      </w:r>
      <w:r w:rsidR="007D536E">
        <w:t>'</w:t>
      </w:r>
      <w:r w:rsidRPr="00C567FA">
        <w:t>UIT, qui a été présenté à la consultation virtuelle des Conseillers en juin 2021.</w:t>
      </w:r>
    </w:p>
    <w:p w14:paraId="19D70CF3" w14:textId="77777777" w:rsidR="000D0774" w:rsidRPr="00C567FA" w:rsidRDefault="000D0774" w:rsidP="007D536E">
      <w:r w:rsidRPr="00C567FA">
        <w:t>13.2</w:t>
      </w:r>
      <w:r w:rsidRPr="00C567FA">
        <w:tab/>
        <w:t>Les propositions consistaient notamment à:</w:t>
      </w:r>
    </w:p>
    <w:p w14:paraId="6A1896F9" w14:textId="66C60D03" w:rsidR="000D0774" w:rsidRPr="00C567FA" w:rsidRDefault="000D0774" w:rsidP="007D536E">
      <w:pPr>
        <w:pStyle w:val="enumlev1"/>
      </w:pPr>
      <w:r w:rsidRPr="00C567FA">
        <w:t>i)</w:t>
      </w:r>
      <w:r w:rsidRPr="00C567FA">
        <w:tab/>
        <w:t>œuvrer à l</w:t>
      </w:r>
      <w:r w:rsidR="007D536E">
        <w:t>'</w:t>
      </w:r>
      <w:r w:rsidRPr="00C567FA">
        <w:t>élaboration d</w:t>
      </w:r>
      <w:r w:rsidR="007D536E">
        <w:t>'</w:t>
      </w:r>
      <w:r w:rsidRPr="00C567FA">
        <w:t>un cadre de renforcement des capacités harmonisé à l</w:t>
      </w:r>
      <w:r w:rsidR="007D536E">
        <w:t>'</w:t>
      </w:r>
      <w:r w:rsidRPr="00C567FA">
        <w:t>UIT, dans le cadre de l</w:t>
      </w:r>
      <w:r w:rsidR="007D536E">
        <w:t>'</w:t>
      </w:r>
      <w:r w:rsidRPr="00C567FA">
        <w:t>Académie de l</w:t>
      </w:r>
      <w:r w:rsidR="007D536E">
        <w:t>'</w:t>
      </w:r>
      <w:r w:rsidRPr="00C567FA">
        <w:t>UIT; dans ce contexte, un groupe d</w:t>
      </w:r>
      <w:r w:rsidR="007D536E">
        <w:t>'</w:t>
      </w:r>
      <w:r w:rsidRPr="00C567FA">
        <w:t>action interne composé de représentants des trois Bureaux et du Secrétariat général a été établi, afin de superviser l</w:t>
      </w:r>
      <w:r w:rsidR="007D536E">
        <w:t>'</w:t>
      </w:r>
      <w:r w:rsidRPr="00C567FA">
        <w:t>harmonisation du renforcement des capacités à l</w:t>
      </w:r>
      <w:r w:rsidR="007D536E">
        <w:t>'</w:t>
      </w:r>
      <w:r w:rsidRPr="00C567FA">
        <w:t>UIT et d</w:t>
      </w:r>
      <w:r w:rsidR="007D536E">
        <w:t>'</w:t>
      </w:r>
      <w:r w:rsidRPr="00C567FA">
        <w:t>œuvre au regroupement des activités de renforcement des capacités et de formation de l</w:t>
      </w:r>
      <w:r w:rsidR="007D536E">
        <w:t>'</w:t>
      </w:r>
      <w:r w:rsidRPr="00C567FA">
        <w:t>UIT sous l</w:t>
      </w:r>
      <w:r w:rsidR="007D536E">
        <w:t>'</w:t>
      </w:r>
      <w:r w:rsidRPr="00C567FA">
        <w:t>égide de l</w:t>
      </w:r>
      <w:r w:rsidR="007D536E">
        <w:t>'</w:t>
      </w:r>
      <w:r w:rsidRPr="00C567FA">
        <w:t>Académie de l</w:t>
      </w:r>
      <w:r w:rsidR="007D536E">
        <w:t>'</w:t>
      </w:r>
      <w:r w:rsidRPr="00C567FA">
        <w:t>UIT;</w:t>
      </w:r>
    </w:p>
    <w:p w14:paraId="4C64C059" w14:textId="64E81CEC" w:rsidR="000D0774" w:rsidRPr="00C567FA" w:rsidRDefault="000D0774" w:rsidP="007D536E">
      <w:pPr>
        <w:pStyle w:val="enumlev1"/>
      </w:pPr>
      <w:r w:rsidRPr="00C567FA">
        <w:t>ii)</w:t>
      </w:r>
      <w:r w:rsidRPr="00C567FA">
        <w:tab/>
        <w:t>procéder à un examen stratégique du programme des Centres d</w:t>
      </w:r>
      <w:r w:rsidR="007D536E">
        <w:t>'</w:t>
      </w:r>
      <w:r w:rsidRPr="00C567FA">
        <w:t>excellence; l</w:t>
      </w:r>
      <w:r w:rsidR="007D536E">
        <w:t>'</w:t>
      </w:r>
      <w:r w:rsidRPr="00C567FA">
        <w:t>examen recommande de modifier le programme de façon substantielle et de le renommer, pour qu</w:t>
      </w:r>
      <w:r w:rsidR="007D536E">
        <w:t>'</w:t>
      </w:r>
      <w:r w:rsidRPr="00C567FA">
        <w:t>il soit associé plus étroitement à l</w:t>
      </w:r>
      <w:r w:rsidR="007D536E">
        <w:t>'</w:t>
      </w:r>
      <w:r w:rsidRPr="00C567FA">
        <w:t>Académie de l</w:t>
      </w:r>
      <w:r w:rsidR="007D536E">
        <w:t>'</w:t>
      </w:r>
      <w:r w:rsidRPr="00C567FA">
        <w:t>UIT et mieux aligné sur les objectifs de l</w:t>
      </w:r>
      <w:r w:rsidR="007D536E">
        <w:t>'</w:t>
      </w:r>
      <w:r w:rsidRPr="00C567FA">
        <w:t>UIT et du BDT, et de rechercher des institutions de qualité qui pourraient être des centres ou des partenaires potentiels;</w:t>
      </w:r>
    </w:p>
    <w:p w14:paraId="5033F3C4" w14:textId="1E30229E" w:rsidR="000D0774" w:rsidRPr="00C567FA" w:rsidRDefault="000D0774" w:rsidP="007D536E">
      <w:pPr>
        <w:pStyle w:val="enumlev1"/>
      </w:pPr>
      <w:r w:rsidRPr="00C567FA">
        <w:t>iii)</w:t>
      </w:r>
      <w:r w:rsidRPr="00C567FA">
        <w:tab/>
        <w:t>renforcer la collaboration avec le PNUD dans le domaine des capacités numériques, conformément aux recommandations formulées dans le Plan d</w:t>
      </w:r>
      <w:r w:rsidR="007D536E">
        <w:t>'</w:t>
      </w:r>
      <w:r w:rsidRPr="00C567FA">
        <w:t>action pour la coopération numérique du Secrétaire général de l</w:t>
      </w:r>
      <w:r w:rsidR="007D536E">
        <w:t>'</w:t>
      </w:r>
      <w:r w:rsidRPr="00C567FA">
        <w:t>ONU. En 2021, un Mécanisme conjoint pour le renforcement des capacités numériques a été lancé par l</w:t>
      </w:r>
      <w:r w:rsidR="007D536E">
        <w:t>'</w:t>
      </w:r>
      <w:r w:rsidRPr="00C567FA">
        <w:t>UIT et le PNUD; il sert de point de contact et d</w:t>
      </w:r>
      <w:r w:rsidR="007D536E">
        <w:t>'</w:t>
      </w:r>
      <w:r w:rsidRPr="00C567FA">
        <w:t>échange entre les deux institutions et vise à rendre les débouchés numériques plus accessibles.</w:t>
      </w:r>
    </w:p>
    <w:p w14:paraId="741B9372" w14:textId="4C513EA6" w:rsidR="000D0774" w:rsidRPr="00C567FA" w:rsidRDefault="000D0774" w:rsidP="007D536E">
      <w:r w:rsidRPr="00C567FA">
        <w:t>13.3</w:t>
      </w:r>
      <w:r w:rsidRPr="00C567FA">
        <w:tab/>
        <w:t>Les délégués ont remercié le secrétariat pour son exposé et ont souscrit aux propositions figurant dans le Document C22/56 sur la voie à suivre pour améliorer les activités de renforcement des capacités à l</w:t>
      </w:r>
      <w:r w:rsidR="007D536E">
        <w:t>'</w:t>
      </w:r>
      <w:r w:rsidRPr="00C567FA">
        <w:t>UIT et fournir des services de qualité aux membres de l</w:t>
      </w:r>
      <w:r w:rsidR="007D536E">
        <w:t>'</w:t>
      </w:r>
      <w:r w:rsidRPr="00C567FA">
        <w:t>UIT. Ils ont souligné qu</w:t>
      </w:r>
      <w:r w:rsidR="007D536E">
        <w:t>'</w:t>
      </w:r>
      <w:r w:rsidRPr="00C567FA">
        <w:t>il était important de regrouper les travaux dans le cadre de l</w:t>
      </w:r>
      <w:r w:rsidR="007D536E">
        <w:t>'</w:t>
      </w:r>
      <w:r w:rsidRPr="00C567FA">
        <w:t>Académie de l</w:t>
      </w:r>
      <w:r w:rsidR="007D536E">
        <w:t>'</w:t>
      </w:r>
      <w:r w:rsidRPr="00C567FA">
        <w:t>UIT et d</w:t>
      </w:r>
      <w:r w:rsidR="007D536E">
        <w:t>'</w:t>
      </w:r>
      <w:r w:rsidRPr="00C567FA">
        <w:t xml:space="preserve">assurer une bonne coordination avec les autres Bureaux, dans </w:t>
      </w:r>
      <w:r w:rsidRPr="00C567FA">
        <w:rPr>
          <w:color w:val="000000"/>
        </w:rPr>
        <w:t>l</w:t>
      </w:r>
      <w:r w:rsidR="007D536E">
        <w:rPr>
          <w:color w:val="000000"/>
        </w:rPr>
        <w:t>'</w:t>
      </w:r>
      <w:r w:rsidRPr="00C567FA">
        <w:rPr>
          <w:color w:val="000000"/>
        </w:rPr>
        <w:t xml:space="preserve">optique </w:t>
      </w:r>
      <w:r w:rsidRPr="00C567FA">
        <w:t>d</w:t>
      </w:r>
      <w:r w:rsidR="007D536E">
        <w:t>'</w:t>
      </w:r>
      <w:r w:rsidRPr="00C567FA">
        <w:t>une "UIT unie dans l</w:t>
      </w:r>
      <w:r w:rsidR="007D536E">
        <w:t>'</w:t>
      </w:r>
      <w:r w:rsidRPr="00C567FA">
        <w:t>action".</w:t>
      </w:r>
    </w:p>
    <w:p w14:paraId="4AA296DD" w14:textId="77777777" w:rsidR="00EF4CBE" w:rsidRDefault="00EF4CBE" w:rsidP="007D536E">
      <w:r>
        <w:br w:type="page"/>
      </w:r>
    </w:p>
    <w:p w14:paraId="60F4762C" w14:textId="2AC6825A" w:rsidR="000D0774" w:rsidRPr="00C567FA" w:rsidRDefault="000D0774" w:rsidP="007D536E">
      <w:r w:rsidRPr="00C567FA">
        <w:lastRenderedPageBreak/>
        <w:t>13.4</w:t>
      </w:r>
      <w:r w:rsidRPr="00C567FA">
        <w:tab/>
        <w:t>Certains délégués ont indiqué que l</w:t>
      </w:r>
      <w:r w:rsidR="007D536E">
        <w:t>'</w:t>
      </w:r>
      <w:r w:rsidRPr="00C567FA">
        <w:t>UIT devrait réfléchir à la mise en œuvre des recommandations à court terme figurant dans le rapport de Jigsaw et que le Conseil devrait mener des examens périodiques de la mise en œuvre des activités. Le représentant du BDT a confirmé que les travaux du groupe d</w:t>
      </w:r>
      <w:r w:rsidR="007D536E">
        <w:t>'</w:t>
      </w:r>
      <w:r w:rsidRPr="00C567FA">
        <w:t>action interne consistaient notamment à tenir compte des recommandations.</w:t>
      </w:r>
    </w:p>
    <w:p w14:paraId="1D665645" w14:textId="7D21B6E3" w:rsidR="000D0774" w:rsidRPr="00C567FA" w:rsidRDefault="000D0774" w:rsidP="007D536E">
      <w:r w:rsidRPr="00C567FA">
        <w:t>13.5</w:t>
      </w:r>
      <w:r w:rsidRPr="00C567FA">
        <w:tab/>
        <w:t>Un délégué a souligné que le secrétariat devrait également, lors de la mise en œuvre des propositions, examiner la qualité des contenus de formation et de leur diffusion et mettre en place des processus d</w:t>
      </w:r>
      <w:r w:rsidR="007D536E">
        <w:t>'</w:t>
      </w:r>
      <w:r w:rsidRPr="00C567FA">
        <w:t>assurance qualité.</w:t>
      </w:r>
    </w:p>
    <w:p w14:paraId="7A085833" w14:textId="6C269B75" w:rsidR="000D0774" w:rsidRPr="00C567FA" w:rsidRDefault="000D0774" w:rsidP="007D536E">
      <w:pPr>
        <w:spacing w:after="240"/>
      </w:pPr>
      <w:r w:rsidRPr="00C567FA">
        <w:t>13.6</w:t>
      </w:r>
      <w:r w:rsidRPr="00C567FA">
        <w:tab/>
        <w:t>Un autre délégué a fait observer que la coopération dans le domaine du renforcement des capacités ne devrait pas se limiter au PNUD. Le secrétariat a expliqué que tel était déjà le cas et que l</w:t>
      </w:r>
      <w:r w:rsidR="007D536E">
        <w:t>'</w:t>
      </w:r>
      <w:r w:rsidRPr="00C567FA">
        <w:t>accent était mis sur la coopération avec le PNUD, étant donné qu</w:t>
      </w:r>
      <w:r w:rsidR="007D536E">
        <w:t>'</w:t>
      </w:r>
      <w:r w:rsidRPr="00C567FA">
        <w:t>elle fait partie des recommandations du rapport de Jigsaw.</w:t>
      </w:r>
    </w:p>
    <w:tbl>
      <w:tblPr>
        <w:tblW w:w="0" w:type="auto"/>
        <w:tblCellMar>
          <w:left w:w="0" w:type="dxa"/>
          <w:right w:w="0" w:type="dxa"/>
        </w:tblCellMar>
        <w:tblLook w:val="04A0" w:firstRow="1" w:lastRow="0" w:firstColumn="1" w:lastColumn="0" w:noHBand="0" w:noVBand="1"/>
      </w:tblPr>
      <w:tblGrid>
        <w:gridCol w:w="9017"/>
      </w:tblGrid>
      <w:tr w:rsidR="000D0774" w:rsidRPr="00C567FA" w14:paraId="4CBDB330"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D2C9324" w14:textId="77777777" w:rsidR="000D0774" w:rsidRPr="00C567FA" w:rsidRDefault="000D0774" w:rsidP="007D536E">
            <w:pPr>
              <w:pStyle w:val="Headingb"/>
              <w:rPr>
                <w:bCs/>
                <w:i/>
                <w:iCs/>
              </w:rPr>
            </w:pPr>
            <w:r w:rsidRPr="00C567FA">
              <w:rPr>
                <w:bCs/>
                <w:i/>
                <w:iCs/>
              </w:rPr>
              <w:t>Recommandation</w:t>
            </w:r>
          </w:p>
          <w:p w14:paraId="2215943C" w14:textId="0817E72A" w:rsidR="000D0774" w:rsidRPr="00C567FA" w:rsidRDefault="000D0774" w:rsidP="007D536E">
            <w:pPr>
              <w:tabs>
                <w:tab w:val="clear" w:pos="567"/>
                <w:tab w:val="left" w:pos="595"/>
              </w:tabs>
            </w:pPr>
            <w:r w:rsidRPr="00C567FA">
              <w:t>13.7</w:t>
            </w:r>
            <w:r w:rsidRPr="00C567FA">
              <w:tab/>
              <w:t>La Commission recommande au Conseil d</w:t>
            </w:r>
            <w:r w:rsidR="007D536E">
              <w:t>'</w:t>
            </w:r>
            <w:r w:rsidRPr="00C567FA">
              <w:t>approuver les propositions figurant dans le Document C22/56.</w:t>
            </w:r>
          </w:p>
          <w:p w14:paraId="30E49891" w14:textId="772CA914" w:rsidR="000D0774" w:rsidRPr="00C567FA" w:rsidRDefault="000D0774" w:rsidP="007D536E">
            <w:pPr>
              <w:tabs>
                <w:tab w:val="clear" w:pos="567"/>
                <w:tab w:val="left" w:pos="595"/>
              </w:tabs>
              <w:spacing w:after="120"/>
            </w:pPr>
            <w:r w:rsidRPr="00C567FA">
              <w:t>13.8</w:t>
            </w:r>
            <w:r w:rsidRPr="00C567FA">
              <w:tab/>
              <w:t xml:space="preserve">La Commission </w:t>
            </w:r>
            <w:r>
              <w:t>invite le</w:t>
            </w:r>
            <w:r w:rsidRPr="00C567FA">
              <w:t xml:space="preserve"> Conseil</w:t>
            </w:r>
            <w:r>
              <w:t>, lors de ses sessions</w:t>
            </w:r>
            <w:r w:rsidR="00EF4CBE">
              <w:t xml:space="preserve"> futures</w:t>
            </w:r>
            <w:r>
              <w:t>, à</w:t>
            </w:r>
            <w:r w:rsidRPr="00C567FA">
              <w:t xml:space="preserve"> procéder à des examens périodiques </w:t>
            </w:r>
            <w:r>
              <w:t>des</w:t>
            </w:r>
            <w:r w:rsidRPr="00C567FA">
              <w:t xml:space="preserve"> recommandation</w:t>
            </w:r>
            <w:r>
              <w:t>s à court terme</w:t>
            </w:r>
            <w:r w:rsidRPr="00C567FA">
              <w:t>.</w:t>
            </w:r>
          </w:p>
        </w:tc>
      </w:tr>
    </w:tbl>
    <w:p w14:paraId="24902157" w14:textId="1C26C211" w:rsidR="000D0774" w:rsidRPr="00C567FA" w:rsidRDefault="00EF4CBE" w:rsidP="007D536E">
      <w:pPr>
        <w:pStyle w:val="Headingb"/>
        <w:rPr>
          <w:szCs w:val="24"/>
        </w:rPr>
      </w:pPr>
      <w:r>
        <w:rPr>
          <w:szCs w:val="24"/>
        </w:rPr>
        <w:tab/>
      </w:r>
      <w:r w:rsidR="000D0774" w:rsidRPr="00C567FA">
        <w:rPr>
          <w:szCs w:val="24"/>
        </w:rPr>
        <w:t>Contribution de la République populaire de Chine – Proposition visant à améliorer les activités de l</w:t>
      </w:r>
      <w:r w:rsidR="007D536E">
        <w:rPr>
          <w:szCs w:val="24"/>
        </w:rPr>
        <w:t>'</w:t>
      </w:r>
      <w:r w:rsidR="000D0774" w:rsidRPr="00C567FA">
        <w:rPr>
          <w:szCs w:val="24"/>
        </w:rPr>
        <w:t xml:space="preserve">UIT en matière de renforcement des capacités (Document </w:t>
      </w:r>
      <w:hyperlink r:id="rId67" w:history="1">
        <w:r w:rsidR="000D0774" w:rsidRPr="00C567FA">
          <w:rPr>
            <w:rStyle w:val="Hyperlink"/>
            <w:rFonts w:asciiTheme="minorHAnsi" w:hAnsiTheme="minorHAnsi" w:cstheme="minorHAnsi"/>
            <w:szCs w:val="24"/>
          </w:rPr>
          <w:t>C22/70</w:t>
        </w:r>
      </w:hyperlink>
      <w:r w:rsidR="000D0774" w:rsidRPr="00C567FA">
        <w:rPr>
          <w:szCs w:val="24"/>
        </w:rPr>
        <w:t>)</w:t>
      </w:r>
    </w:p>
    <w:p w14:paraId="485BC578" w14:textId="2A0DDDB1" w:rsidR="000D0774" w:rsidRPr="00C567FA" w:rsidRDefault="000D0774" w:rsidP="007D536E">
      <w:r w:rsidRPr="00C567FA">
        <w:t>13.9</w:t>
      </w:r>
      <w:r w:rsidRPr="00C567FA">
        <w:tab/>
        <w:t>Le représentant de la République populaire de Chine a présenté le Document C22/70, qui contient trois propositions sur les travaux futurs de l</w:t>
      </w:r>
      <w:r w:rsidR="007D536E">
        <w:t>'</w:t>
      </w:r>
      <w:r w:rsidRPr="00C567FA">
        <w:t>UIT dans le domaine du renforcement des capacités. Ces propositions consistent à:</w:t>
      </w:r>
    </w:p>
    <w:p w14:paraId="03B375A6" w14:textId="077BF83D" w:rsidR="000D0774" w:rsidRPr="00C567FA" w:rsidRDefault="000D0774" w:rsidP="007D536E">
      <w:pPr>
        <w:pStyle w:val="enumlev1"/>
      </w:pPr>
      <w:r w:rsidRPr="00C567FA">
        <w:t>i)</w:t>
      </w:r>
      <w:r w:rsidRPr="00C567FA">
        <w:tab/>
        <w:t>fournir des orientations claires aux parties prenantes qui se sont engagées à contribuer activement aux activités de l</w:t>
      </w:r>
      <w:r w:rsidR="007D536E">
        <w:t>'</w:t>
      </w:r>
      <w:r w:rsidRPr="00C567FA">
        <w:t>UIT dans le domaine du renforcement des capacités, en examinant et récapitulant diverses activités menées par l</w:t>
      </w:r>
      <w:r w:rsidR="007D536E">
        <w:t>'</w:t>
      </w:r>
      <w:r w:rsidRPr="00C567FA">
        <w:t>UIT;</w:t>
      </w:r>
    </w:p>
    <w:p w14:paraId="16B507BF" w14:textId="62BEE304" w:rsidR="000D0774" w:rsidRPr="00C567FA" w:rsidRDefault="000D0774" w:rsidP="007D536E">
      <w:pPr>
        <w:pStyle w:val="enumlev1"/>
      </w:pPr>
      <w:r w:rsidRPr="00C567FA">
        <w:t>ii)</w:t>
      </w:r>
      <w:r w:rsidRPr="00C567FA">
        <w:tab/>
        <w:t>définir clairement les fonctions et les priorités de différents programmes de formation, afin d</w:t>
      </w:r>
      <w:r w:rsidR="007D536E">
        <w:t>'</w:t>
      </w:r>
      <w:r w:rsidRPr="00C567FA">
        <w:t>optimiser les ressources de formation et d</w:t>
      </w:r>
      <w:r w:rsidR="007D536E">
        <w:t>'</w:t>
      </w:r>
      <w:r w:rsidRPr="00C567FA">
        <w:t>éviter tout chevauchement et tout recoupement des activités; et</w:t>
      </w:r>
    </w:p>
    <w:p w14:paraId="39F6E4D5" w14:textId="4549B9F4" w:rsidR="000D0774" w:rsidRPr="00C567FA" w:rsidRDefault="000D0774" w:rsidP="007D536E">
      <w:pPr>
        <w:pStyle w:val="enumlev1"/>
      </w:pPr>
      <w:r w:rsidRPr="00C567FA">
        <w:t>iii)</w:t>
      </w:r>
      <w:r w:rsidRPr="00C567FA">
        <w:tab/>
        <w:t>promouvoir le partage des ressources entre les établissements de formation existants et potentiels, l</w:t>
      </w:r>
      <w:r w:rsidR="007D536E">
        <w:t>'</w:t>
      </w:r>
      <w:r w:rsidRPr="00C567FA">
        <w:t>UIT assumant un rôle de coordination à cet égard.</w:t>
      </w:r>
    </w:p>
    <w:p w14:paraId="4FB58CEE" w14:textId="2F318D3E" w:rsidR="000D0774" w:rsidRDefault="000D0774" w:rsidP="007D536E">
      <w:pPr>
        <w:tabs>
          <w:tab w:val="clear" w:pos="1134"/>
          <w:tab w:val="left" w:pos="709"/>
        </w:tabs>
        <w:spacing w:after="240"/>
      </w:pPr>
      <w:r w:rsidRPr="00C567FA">
        <w:t>13.10</w:t>
      </w:r>
      <w:r w:rsidRPr="00C567FA">
        <w:tab/>
      </w:r>
      <w:r w:rsidRPr="00C567FA">
        <w:tab/>
        <w:t>Les délégués ont remercié la République populaire de Chine pour sa contribution et ont souscrit aux propositions. Le secrétariat a indiqué que les propositions figurant dans le document venaient compléter ses propres propositions figurant dans le Document C22/56 et seraient prises en compte lors de la mise en œuvre des activités futures de l</w:t>
      </w:r>
      <w:r w:rsidR="007D536E">
        <w:t>'</w:t>
      </w:r>
      <w:r w:rsidRPr="00C567FA">
        <w:t>UIT en matière de renforcement des capacités.</w:t>
      </w:r>
    </w:p>
    <w:p w14:paraId="7D6C40DD" w14:textId="630FFB47" w:rsidR="00EF4CBE" w:rsidRDefault="00EF4CBE" w:rsidP="007D536E">
      <w:pPr>
        <w:tabs>
          <w:tab w:val="clear" w:pos="1134"/>
          <w:tab w:val="left" w:pos="709"/>
        </w:tabs>
        <w:spacing w:after="240"/>
      </w:pPr>
      <w:r>
        <w:br w:type="page"/>
      </w:r>
    </w:p>
    <w:tbl>
      <w:tblPr>
        <w:tblW w:w="0" w:type="auto"/>
        <w:tblCellMar>
          <w:left w:w="0" w:type="dxa"/>
          <w:right w:w="0" w:type="dxa"/>
        </w:tblCellMar>
        <w:tblLook w:val="04A0" w:firstRow="1" w:lastRow="0" w:firstColumn="1" w:lastColumn="0" w:noHBand="0" w:noVBand="1"/>
      </w:tblPr>
      <w:tblGrid>
        <w:gridCol w:w="9017"/>
      </w:tblGrid>
      <w:tr w:rsidR="000D0774" w:rsidRPr="00C567FA" w14:paraId="10B19872"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2EC603B" w14:textId="77777777" w:rsidR="000D0774" w:rsidRPr="00C567FA" w:rsidRDefault="000D0774" w:rsidP="007D536E">
            <w:pPr>
              <w:pStyle w:val="Headingb"/>
              <w:keepNext w:val="0"/>
              <w:keepLines w:val="0"/>
              <w:rPr>
                <w:bCs/>
                <w:i/>
                <w:iCs/>
              </w:rPr>
            </w:pPr>
            <w:r w:rsidRPr="00C567FA">
              <w:rPr>
                <w:bCs/>
                <w:i/>
                <w:iCs/>
              </w:rPr>
              <w:lastRenderedPageBreak/>
              <w:t>Recommandation</w:t>
            </w:r>
          </w:p>
          <w:p w14:paraId="41345BC6" w14:textId="50ADB0E7" w:rsidR="000D0774" w:rsidRPr="00C567FA" w:rsidRDefault="000D0774" w:rsidP="007D536E">
            <w:pPr>
              <w:tabs>
                <w:tab w:val="clear" w:pos="567"/>
                <w:tab w:val="clear" w:pos="1134"/>
                <w:tab w:val="left" w:pos="880"/>
              </w:tabs>
              <w:spacing w:after="120"/>
            </w:pPr>
            <w:r w:rsidRPr="00C567FA">
              <w:rPr>
                <w:rFonts w:asciiTheme="minorHAnsi" w:hAnsiTheme="minorHAnsi" w:cstheme="minorHAnsi"/>
                <w:szCs w:val="24"/>
              </w:rPr>
              <w:t>13.11</w:t>
            </w:r>
            <w:r w:rsidRPr="00C567FA">
              <w:rPr>
                <w:rFonts w:asciiTheme="minorHAnsi" w:hAnsiTheme="minorHAnsi" w:cstheme="minorHAnsi"/>
                <w:szCs w:val="24"/>
              </w:rPr>
              <w:tab/>
            </w:r>
            <w:r w:rsidRPr="00C567FA">
              <w:t>La Commission recommande au Conseil de prendre note du Document C22/70 et au secrétariat de tenir compte des propositions qui y figurent dans le cadre des efforts qu</w:t>
            </w:r>
            <w:r w:rsidR="007D536E">
              <w:t>'</w:t>
            </w:r>
            <w:r w:rsidRPr="00C567FA">
              <w:t>il déploie constamment pour harmoniser les travaux de l</w:t>
            </w:r>
            <w:r w:rsidR="007D536E">
              <w:t>'</w:t>
            </w:r>
            <w:r w:rsidRPr="00C567FA">
              <w:t>UIT en matière de renforcement des capacités et les formations dans l</w:t>
            </w:r>
            <w:r w:rsidR="007D536E">
              <w:t>'</w:t>
            </w:r>
            <w:r w:rsidRPr="00C567FA">
              <w:t>ensemble de l</w:t>
            </w:r>
            <w:r w:rsidR="007D536E">
              <w:t>'</w:t>
            </w:r>
            <w:r w:rsidRPr="00C567FA">
              <w:t>UIT.</w:t>
            </w:r>
          </w:p>
        </w:tc>
      </w:tr>
    </w:tbl>
    <w:p w14:paraId="08320BE8" w14:textId="69057ECB" w:rsidR="000D0774" w:rsidRPr="00C567FA" w:rsidRDefault="000D0774" w:rsidP="007D536E">
      <w:pPr>
        <w:pStyle w:val="Heading1"/>
      </w:pPr>
      <w:r w:rsidRPr="00C567FA">
        <w:t>14</w:t>
      </w:r>
      <w:r w:rsidRPr="00C567FA">
        <w:tab/>
        <w:t>Rapport d</w:t>
      </w:r>
      <w:r w:rsidR="007D536E">
        <w:t>'</w:t>
      </w:r>
      <w:r w:rsidRPr="00C567FA">
        <w:t xml:space="preserve">activité sur la mise en œuvre du Plan stratégique pour les ressources humaines et de la Résolution 48 (Rév. Dubaï, 2018) de la Conférence de plénipotentiaires (Document </w:t>
      </w:r>
      <w:hyperlink r:id="rId68" w:history="1">
        <w:r w:rsidRPr="00C567FA">
          <w:rPr>
            <w:rStyle w:val="Hyperlink"/>
            <w:rFonts w:asciiTheme="minorHAnsi" w:hAnsiTheme="minorHAnsi" w:cstheme="minorHAnsi"/>
            <w:szCs w:val="24"/>
          </w:rPr>
          <w:t>C22/36</w:t>
        </w:r>
      </w:hyperlink>
      <w:r w:rsidRPr="00C567FA">
        <w:t>)</w:t>
      </w:r>
    </w:p>
    <w:p w14:paraId="02FF897E" w14:textId="711AE9DA" w:rsidR="000D0774" w:rsidRPr="00C567FA" w:rsidRDefault="000D0774" w:rsidP="007D536E">
      <w:r w:rsidRPr="00C567FA">
        <w:t>14.1</w:t>
      </w:r>
      <w:r w:rsidRPr="00C567FA">
        <w:tab/>
        <w:t>Le secrétariat a présenté le rapport d</w:t>
      </w:r>
      <w:r w:rsidR="007D536E">
        <w:t>'</w:t>
      </w:r>
      <w:r w:rsidRPr="00C567FA">
        <w:t>activité sur la mise en œuvre du Plan stratégique pour les ressources humaines et de la Résolution 48 pour la période 2019-2021.</w:t>
      </w:r>
    </w:p>
    <w:p w14:paraId="204A61D2" w14:textId="6AFE77BA" w:rsidR="000D0774" w:rsidRPr="00C567FA" w:rsidRDefault="000D0774" w:rsidP="007D536E">
      <w:r w:rsidRPr="00C567FA">
        <w:t>14.2</w:t>
      </w:r>
      <w:r w:rsidRPr="00C567FA">
        <w:tab/>
        <w:t>Le Plan stratégique pour les ressources humaines (HRSP) est fondé sur les Plans stratégique et financier de l</w:t>
      </w:r>
      <w:r w:rsidR="007D536E">
        <w:t>'</w:t>
      </w:r>
      <w:r w:rsidRPr="00C567FA">
        <w:t>UIT. La stratégie réaffirme que la ressource la plus précieuse de l</w:t>
      </w:r>
      <w:r w:rsidR="007D536E">
        <w:t>'</w:t>
      </w:r>
      <w:r w:rsidRPr="00C567FA">
        <w:t>UIT tient à son personnel qualifié, motivé et dévoué possédant les plus hautes qualités de compétence et d</w:t>
      </w:r>
      <w:r w:rsidR="007D536E">
        <w:t>'</w:t>
      </w:r>
      <w:r w:rsidRPr="00C567FA">
        <w:t>intégrité, au sein duquel la diversité géographique est bien représentée et la parité hommes-femmes est respectée, et qui permet à l</w:t>
      </w:r>
      <w:r w:rsidR="007D536E">
        <w:t>'</w:t>
      </w:r>
      <w:r w:rsidRPr="00C567FA">
        <w:t>UIT d</w:t>
      </w:r>
      <w:r w:rsidR="007D536E">
        <w:t>'</w:t>
      </w:r>
      <w:r w:rsidRPr="00C567FA">
        <w:t>accomplir sa mission et d</w:t>
      </w:r>
      <w:r w:rsidR="007D536E">
        <w:t>'</w:t>
      </w:r>
      <w:r w:rsidRPr="00C567FA">
        <w:t>atteindre ses objectifs stratégiques grâce à un engagement en faveur de la gestion des résultats. Elle met également en évidence la nécessité de moderniser les capacités, processus, procédures et outils de l</w:t>
      </w:r>
      <w:r w:rsidR="007D536E">
        <w:t>'</w:t>
      </w:r>
      <w:r w:rsidRPr="00C567FA">
        <w:t>UIT dans le domaine des ressources humaines, mais aussi d</w:t>
      </w:r>
      <w:r w:rsidR="007D536E">
        <w:t>'</w:t>
      </w:r>
      <w:r w:rsidRPr="00C567FA">
        <w:t>assurer une intégration et une harmonisation avec le régime commun des Nations Unies et les valeurs de la fonction publique internationale.</w:t>
      </w:r>
    </w:p>
    <w:p w14:paraId="60976DDC" w14:textId="2B3D1B90" w:rsidR="000D0774" w:rsidRPr="00C567FA" w:rsidRDefault="000D0774" w:rsidP="007D536E">
      <w:r w:rsidRPr="00C567FA">
        <w:t>14.3</w:t>
      </w:r>
      <w:r w:rsidRPr="00C567FA">
        <w:tab/>
        <w:t>Le secrétariat a souligné que le Plan stratégique de l</w:t>
      </w:r>
      <w:r w:rsidR="007D536E">
        <w:t>'</w:t>
      </w:r>
      <w:r w:rsidRPr="00C567FA">
        <w:t>UIT pour les ressources humaines était une stratégie continue, susceptible d</w:t>
      </w:r>
      <w:r w:rsidR="007D536E">
        <w:t>'</w:t>
      </w:r>
      <w:r w:rsidRPr="00C567FA">
        <w:t>être adaptée en fonction des besoins, dans l</w:t>
      </w:r>
      <w:r w:rsidR="007D536E">
        <w:t>'</w:t>
      </w:r>
      <w:r w:rsidRPr="00C567FA">
        <w:t>éventualité où de nouveaux problèmes ou de nouvelles perspectives se feraient jour.</w:t>
      </w:r>
    </w:p>
    <w:p w14:paraId="2C5E8716" w14:textId="4704C6A1" w:rsidR="000D0774" w:rsidRPr="00C567FA" w:rsidRDefault="000D0774" w:rsidP="007D536E">
      <w:r w:rsidRPr="00C567FA">
        <w:t>14.4</w:t>
      </w:r>
      <w:r w:rsidRPr="00C567FA">
        <w:tab/>
        <w:t>Il a été noté qu</w:t>
      </w:r>
      <w:r w:rsidR="007D536E">
        <w:t>'</w:t>
      </w:r>
      <w:r w:rsidRPr="00C567FA">
        <w:t>un certain nombre d</w:t>
      </w:r>
      <w:r w:rsidR="007D536E">
        <w:t>'</w:t>
      </w:r>
      <w:r w:rsidRPr="00C567FA">
        <w:t>améliorations avaient été apportées au processus, à savoir notamment que des politiques ont été mises en place et que d</w:t>
      </w:r>
      <w:r w:rsidR="007D536E">
        <w:t>'</w:t>
      </w:r>
      <w:r w:rsidRPr="00C567FA">
        <w:t>autres ont été adoptées. Plusieurs de ces politiques font suite aux recommandations en matière d</w:t>
      </w:r>
      <w:r w:rsidR="007D536E">
        <w:t>'</w:t>
      </w:r>
      <w:r w:rsidRPr="00C567FA">
        <w:t>audit. Le rapport rend compte de l</w:t>
      </w:r>
      <w:r w:rsidR="007D536E">
        <w:t>'</w:t>
      </w:r>
      <w:r w:rsidRPr="00C567FA">
        <w:t>évolution de la situation jusqu</w:t>
      </w:r>
      <w:r w:rsidR="007D536E">
        <w:t>'</w:t>
      </w:r>
      <w:r w:rsidRPr="00C567FA">
        <w:t>en février 2022 concernant les quatre piliers du Plan, à savoir: 1) disposer d</w:t>
      </w:r>
      <w:r w:rsidR="007D536E">
        <w:t>'</w:t>
      </w:r>
      <w:r w:rsidRPr="00C567FA">
        <w:t>un personnel en adéquation avec les objectifs de l</w:t>
      </w:r>
      <w:r w:rsidR="007D536E">
        <w:t>'</w:t>
      </w:r>
      <w:r w:rsidRPr="00C567FA">
        <w:t>organisation et intégrant diversité et souplesse (le personnel de l</w:t>
      </w:r>
      <w:r w:rsidR="007D536E">
        <w:t>'</w:t>
      </w:r>
      <w:r w:rsidRPr="00C567FA">
        <w:t>UIT travaille dans le sens des buts de l</w:t>
      </w:r>
      <w:r w:rsidR="007D536E">
        <w:t>'</w:t>
      </w:r>
      <w:r w:rsidRPr="00C567FA">
        <w:t>Union); 2) personnel motivé; 3) services RH tournés vers l</w:t>
      </w:r>
      <w:r w:rsidR="007D536E">
        <w:t>'</w:t>
      </w:r>
      <w:r w:rsidRPr="00C567FA">
        <w:t>excellence; et 4) cadre de travail porteur. Les activités ont été mises en œuvre et ont permis d</w:t>
      </w:r>
      <w:r w:rsidR="007D536E">
        <w:t>'</w:t>
      </w:r>
      <w:r w:rsidRPr="00C567FA">
        <w:t>obtenir les résultats décrits dans la colonne F (jusqu</w:t>
      </w:r>
      <w:r w:rsidR="007D536E">
        <w:t>'</w:t>
      </w:r>
      <w:r w:rsidRPr="00C567FA">
        <w:t>en février 2022).</w:t>
      </w:r>
    </w:p>
    <w:p w14:paraId="41711BA0" w14:textId="14E1CD45" w:rsidR="000D0774" w:rsidRPr="00C567FA" w:rsidRDefault="000D0774" w:rsidP="007D536E">
      <w:pPr>
        <w:spacing w:after="240"/>
      </w:pPr>
      <w:r w:rsidRPr="00C567FA">
        <w:t>14.5</w:t>
      </w:r>
      <w:r w:rsidRPr="00C567FA">
        <w:tab/>
        <w:t>En outre, le secrétariat a présenté un rapport statistique actualisé et a également indiqué que l</w:t>
      </w:r>
      <w:r w:rsidR="007D536E">
        <w:t>'</w:t>
      </w:r>
      <w:r w:rsidRPr="00C567FA">
        <w:t>année dernière, le Département de la gestion des ressources humaines s</w:t>
      </w:r>
      <w:r w:rsidR="007D536E">
        <w:t>'</w:t>
      </w:r>
      <w:r w:rsidRPr="00C567FA">
        <w:t>était employé à mettre en place un entrepôt de données moderne sur les ressources humaines, qui permettra d</w:t>
      </w:r>
      <w:r w:rsidR="007D536E">
        <w:t>'</w:t>
      </w:r>
      <w:r w:rsidRPr="00C567FA">
        <w:t>élaborer un tableau de bord en temps réel qui sera mis à disposition en 2022.</w:t>
      </w:r>
    </w:p>
    <w:tbl>
      <w:tblPr>
        <w:tblW w:w="0" w:type="auto"/>
        <w:tblCellMar>
          <w:left w:w="0" w:type="dxa"/>
          <w:right w:w="0" w:type="dxa"/>
        </w:tblCellMar>
        <w:tblLook w:val="04A0" w:firstRow="1" w:lastRow="0" w:firstColumn="1" w:lastColumn="0" w:noHBand="0" w:noVBand="1"/>
      </w:tblPr>
      <w:tblGrid>
        <w:gridCol w:w="9017"/>
      </w:tblGrid>
      <w:tr w:rsidR="000D0774" w:rsidRPr="00C567FA" w14:paraId="21BBEE61"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B3DB1A7" w14:textId="77777777" w:rsidR="000D0774" w:rsidRPr="00C567FA" w:rsidRDefault="000D0774" w:rsidP="007D536E">
            <w:pPr>
              <w:pStyle w:val="Headingb"/>
              <w:keepNext w:val="0"/>
              <w:keepLines w:val="0"/>
              <w:rPr>
                <w:bCs/>
                <w:i/>
                <w:iCs/>
              </w:rPr>
            </w:pPr>
            <w:r w:rsidRPr="00C567FA">
              <w:rPr>
                <w:bCs/>
                <w:i/>
                <w:iCs/>
              </w:rPr>
              <w:t>Recommandation</w:t>
            </w:r>
          </w:p>
          <w:p w14:paraId="78D5160D" w14:textId="77777777" w:rsidR="000D0774" w:rsidRPr="00C567FA" w:rsidRDefault="000D0774" w:rsidP="007D536E">
            <w:pPr>
              <w:spacing w:after="120"/>
            </w:pPr>
            <w:r w:rsidRPr="00C567FA">
              <w:rPr>
                <w:rFonts w:asciiTheme="minorHAnsi" w:hAnsiTheme="minorHAnsi" w:cstheme="minorHAnsi"/>
                <w:szCs w:val="24"/>
              </w:rPr>
              <w:t>14.6</w:t>
            </w:r>
            <w:r w:rsidRPr="00C567FA">
              <w:rPr>
                <w:rFonts w:asciiTheme="minorHAnsi" w:hAnsiTheme="minorHAnsi" w:cstheme="minorHAnsi"/>
                <w:szCs w:val="24"/>
              </w:rPr>
              <w:tab/>
            </w:r>
            <w:r w:rsidRPr="00C567FA">
              <w:t>La Commission recommande au Conseil de prendre note du rapport sur la mise en œuvre du Plan stratégique pour les ressources humaines présentés dans le Document C22/36.</w:t>
            </w:r>
          </w:p>
        </w:tc>
      </w:tr>
    </w:tbl>
    <w:p w14:paraId="41B4CA3E" w14:textId="6DB89979" w:rsidR="000D0774" w:rsidRPr="00C567FA" w:rsidRDefault="000D0774" w:rsidP="007D536E">
      <w:pPr>
        <w:pStyle w:val="Heading1"/>
        <w:keepNext w:val="0"/>
        <w:keepLines w:val="0"/>
      </w:pPr>
      <w:r w:rsidRPr="00C567FA">
        <w:lastRenderedPageBreak/>
        <w:t>15</w:t>
      </w:r>
      <w:r w:rsidRPr="00C567FA">
        <w:tab/>
        <w:t>Composition du Comité des pensions du personnel de l</w:t>
      </w:r>
      <w:r w:rsidR="007D536E">
        <w:t>'</w:t>
      </w:r>
      <w:r w:rsidRPr="00C567FA">
        <w:t>UIT (présentation orale)</w:t>
      </w:r>
    </w:p>
    <w:p w14:paraId="4FBF7F8B" w14:textId="723808CD" w:rsidR="000D0774" w:rsidRPr="00C567FA" w:rsidRDefault="000D0774" w:rsidP="007D536E">
      <w:r w:rsidRPr="00C567FA">
        <w:t>15.1</w:t>
      </w:r>
      <w:r w:rsidRPr="00C567FA">
        <w:tab/>
        <w:t>La Commission a été informée qu</w:t>
      </w:r>
      <w:r w:rsidR="007D536E">
        <w:t>'</w:t>
      </w:r>
      <w:r w:rsidRPr="00C567FA">
        <w:t>en application des dispositions des Statuts et du Règlement de la Caisse commune des pensions du personnel des Nations Unies, le Comité des pensions du personnel de l</w:t>
      </w:r>
      <w:r w:rsidR="007D536E">
        <w:t>'</w:t>
      </w:r>
      <w:r w:rsidRPr="00C567FA">
        <w:t>UIT est composé, à parts égales, de représentants d</w:t>
      </w:r>
      <w:r w:rsidR="007D536E">
        <w:t>'</w:t>
      </w:r>
      <w:r w:rsidRPr="00C567FA">
        <w:t>États Membres siégeant au Conseil, de la direction de l</w:t>
      </w:r>
      <w:r w:rsidR="007D536E">
        <w:t>'</w:t>
      </w:r>
      <w:r w:rsidRPr="00C567FA">
        <w:t>UIT, d</w:t>
      </w:r>
      <w:r w:rsidR="007D536E">
        <w:t>'</w:t>
      </w:r>
      <w:r w:rsidRPr="00C567FA">
        <w:t>affiliés et de bénéficiaires de la Caisse. La représentation du Conseil au sein du Comité est établie dans la Résolution 1394 du Conseil adoptée par celui-ci à sa session extraordinaire, tenue après la Conférence de plénipotentiaires de 2018.</w:t>
      </w:r>
    </w:p>
    <w:p w14:paraId="008CDB3B" w14:textId="306D9009" w:rsidR="000D0774" w:rsidRPr="00C567FA" w:rsidRDefault="000D0774" w:rsidP="007D536E">
      <w:r w:rsidRPr="00C567FA">
        <w:t>15.2</w:t>
      </w:r>
      <w:r w:rsidRPr="00C567FA">
        <w:tab/>
        <w:t>La répartition des membres du Comité des pensions du personnel de l</w:t>
      </w:r>
      <w:r w:rsidR="007D536E">
        <w:t>'</w:t>
      </w:r>
      <w:r w:rsidRPr="00C567FA">
        <w:t>UIT (CPP UIT) est conforme aux dispositions de l</w:t>
      </w:r>
      <w:r w:rsidR="007D536E">
        <w:t>'</w:t>
      </w:r>
      <w:r w:rsidRPr="00C567FA">
        <w:t>Article 6 des Statuts et du Règlement intérieur de la Caisse commune des pensions du personnel des Nations Unies. Le Comité est composé de membres et de membres suppléants. En raison du caractère tripartite de la gestion du Fonds, le CPP UIT est composé de:</w:t>
      </w:r>
    </w:p>
    <w:p w14:paraId="36C310D8" w14:textId="5F956F38" w:rsidR="000D0774" w:rsidRPr="00C567FA" w:rsidRDefault="000D0774" w:rsidP="007D536E">
      <w:pPr>
        <w:pStyle w:val="enumlev1"/>
      </w:pPr>
      <w:r w:rsidRPr="00C567FA">
        <w:t>–</w:t>
      </w:r>
      <w:r w:rsidRPr="00C567FA">
        <w:tab/>
        <w:t>trois membres et trois membres suppléants, qui représentent le Conseil de l</w:t>
      </w:r>
      <w:r w:rsidR="007D536E">
        <w:t>'</w:t>
      </w:r>
      <w:r w:rsidRPr="00C567FA">
        <w:t>UIT;</w:t>
      </w:r>
    </w:p>
    <w:p w14:paraId="746A00F7" w14:textId="4C20A8E6" w:rsidR="000D0774" w:rsidRPr="00C567FA" w:rsidRDefault="000D0774" w:rsidP="007D536E">
      <w:pPr>
        <w:pStyle w:val="enumlev1"/>
      </w:pPr>
      <w:r w:rsidRPr="00C567FA">
        <w:t>–</w:t>
      </w:r>
      <w:r w:rsidRPr="00C567FA">
        <w:tab/>
        <w:t>trois membres et trois membres suppléants, qui représentent le Secrétariat général de l</w:t>
      </w:r>
      <w:r w:rsidR="007D536E">
        <w:t>'</w:t>
      </w:r>
      <w:r w:rsidRPr="00C567FA">
        <w:t>UIT;</w:t>
      </w:r>
    </w:p>
    <w:p w14:paraId="21B3E883" w14:textId="39497406" w:rsidR="000D0774" w:rsidRPr="00C567FA" w:rsidRDefault="000D0774" w:rsidP="007D536E">
      <w:pPr>
        <w:pStyle w:val="enumlev1"/>
      </w:pPr>
      <w:r w:rsidRPr="00C567FA">
        <w:t>–</w:t>
      </w:r>
      <w:r w:rsidRPr="00C567FA">
        <w:tab/>
        <w:t>trois membres et trois membres suppléants, qui représentent les participants issus du personnel de l</w:t>
      </w:r>
      <w:r w:rsidR="007D536E">
        <w:t>'</w:t>
      </w:r>
      <w:r w:rsidRPr="00C567FA">
        <w:t>UIT;</w:t>
      </w:r>
    </w:p>
    <w:p w14:paraId="0DEBA8E8" w14:textId="3B524030" w:rsidR="000D0774" w:rsidRPr="00C567FA" w:rsidRDefault="000D0774" w:rsidP="007D536E">
      <w:pPr>
        <w:pStyle w:val="enumlev1"/>
      </w:pPr>
      <w:r w:rsidRPr="00C567FA">
        <w:t>–</w:t>
      </w:r>
      <w:r w:rsidRPr="00C567FA">
        <w:tab/>
        <w:t>deux observateurs, qui représentent les fonctionnaires retraités de l</w:t>
      </w:r>
      <w:r w:rsidR="007D536E">
        <w:t>'</w:t>
      </w:r>
      <w:r w:rsidRPr="00C567FA">
        <w:t>UIT;</w:t>
      </w:r>
    </w:p>
    <w:p w14:paraId="24BB926B" w14:textId="77777777" w:rsidR="000D0774" w:rsidRPr="00C567FA" w:rsidRDefault="000D0774" w:rsidP="007D536E">
      <w:pPr>
        <w:pStyle w:val="enumlev1"/>
      </w:pPr>
      <w:r w:rsidRPr="00C567FA">
        <w:t>–</w:t>
      </w:r>
      <w:r w:rsidRPr="00C567FA">
        <w:tab/>
        <w:t>un secrétaire du Comité.</w:t>
      </w:r>
    </w:p>
    <w:p w14:paraId="4AECC6F2" w14:textId="75717002" w:rsidR="000D0774" w:rsidRPr="00C567FA" w:rsidRDefault="000D0774" w:rsidP="007D536E">
      <w:r w:rsidRPr="00C567FA">
        <w:t>15.3</w:t>
      </w:r>
      <w:r w:rsidRPr="00C567FA">
        <w:tab/>
        <w:t>Les représentants du Conseil de l</w:t>
      </w:r>
      <w:r w:rsidR="007D536E">
        <w:t>'</w:t>
      </w:r>
      <w:r w:rsidRPr="00C567FA">
        <w:t>UIT sont nommés par le Conseil à sa session qui suit la Conférence de plénipotentiaires. Cela a été le cas en novembre 2018, lorsque les pays suivants ont été nommés:</w:t>
      </w:r>
    </w:p>
    <w:p w14:paraId="789914F7" w14:textId="6D4D70CC" w:rsidR="000D0774" w:rsidRPr="00C567FA" w:rsidRDefault="000D0774" w:rsidP="007D536E">
      <w:pPr>
        <w:pStyle w:val="enumlev1"/>
      </w:pPr>
      <w:r w:rsidRPr="00C567FA">
        <w:t>–</w:t>
      </w:r>
      <w:r w:rsidRPr="00C567FA">
        <w:tab/>
        <w:t>en tant que membres: Burkina Faso, République tchèque, États-Unis d</w:t>
      </w:r>
      <w:r w:rsidR="007D536E">
        <w:t>'</w:t>
      </w:r>
      <w:r w:rsidRPr="00C567FA">
        <w:t>Amérique;</w:t>
      </w:r>
    </w:p>
    <w:p w14:paraId="23C64CE1" w14:textId="7A671ECF" w:rsidR="000D0774" w:rsidRPr="00C567FA" w:rsidRDefault="000D0774" w:rsidP="007D536E">
      <w:pPr>
        <w:pStyle w:val="enumlev1"/>
      </w:pPr>
      <w:r w:rsidRPr="00C567FA">
        <w:t>–</w:t>
      </w:r>
      <w:r w:rsidRPr="00C567FA">
        <w:tab/>
        <w:t>en tant que membres suppléants: Canada, République d</w:t>
      </w:r>
      <w:r w:rsidR="007D536E">
        <w:t>'</w:t>
      </w:r>
      <w:r w:rsidRPr="00C567FA">
        <w:t>Inde et Italie.</w:t>
      </w:r>
    </w:p>
    <w:p w14:paraId="0980250A" w14:textId="41BFD015" w:rsidR="000D0774" w:rsidRPr="00C567FA" w:rsidRDefault="000D0774" w:rsidP="007D536E">
      <w:r w:rsidRPr="00C567FA">
        <w:t>15.4</w:t>
      </w:r>
      <w:r w:rsidRPr="00C567FA">
        <w:tab/>
        <w:t>Tous les membres ayant été en mesure d</w:t>
      </w:r>
      <w:r w:rsidR="007D536E">
        <w:t>'</w:t>
      </w:r>
      <w:r w:rsidRPr="00C567FA">
        <w:t>accomplir leur mandat à ce jour, la Commission a pris note du fait qu</w:t>
      </w:r>
      <w:r w:rsidR="007D536E">
        <w:t>'</w:t>
      </w:r>
      <w:r w:rsidRPr="00C567FA">
        <w:t>aucune mesure n</w:t>
      </w:r>
      <w:r w:rsidR="007D536E">
        <w:t>'</w:t>
      </w:r>
      <w:r w:rsidRPr="00C567FA">
        <w:t>était requise à ce stade.</w:t>
      </w:r>
    </w:p>
    <w:p w14:paraId="1419A72F" w14:textId="3AA54F45" w:rsidR="000D0774" w:rsidRPr="00C567FA" w:rsidRDefault="000D0774" w:rsidP="007D536E">
      <w:pPr>
        <w:spacing w:after="240"/>
      </w:pPr>
      <w:r w:rsidRPr="00C567FA">
        <w:t>15.5</w:t>
      </w:r>
      <w:r w:rsidRPr="00C567FA">
        <w:tab/>
        <w:t>Les membres conserveront ce statut jusqu</w:t>
      </w:r>
      <w:r w:rsidR="007D536E">
        <w:t>'</w:t>
      </w:r>
      <w:r w:rsidRPr="00C567FA">
        <w:t>à la première session du Conseil suivant la Conférence de plénipotentiaires de 2022. Le processus de nomination de nouveaux représentants interviendra à la session du Conseil précitée.</w:t>
      </w:r>
    </w:p>
    <w:tbl>
      <w:tblPr>
        <w:tblW w:w="0" w:type="auto"/>
        <w:tblCellMar>
          <w:left w:w="0" w:type="dxa"/>
          <w:right w:w="0" w:type="dxa"/>
        </w:tblCellMar>
        <w:tblLook w:val="04A0" w:firstRow="1" w:lastRow="0" w:firstColumn="1" w:lastColumn="0" w:noHBand="0" w:noVBand="1"/>
      </w:tblPr>
      <w:tblGrid>
        <w:gridCol w:w="9017"/>
      </w:tblGrid>
      <w:tr w:rsidR="000D0774" w:rsidRPr="00C567FA" w14:paraId="5D302875" w14:textId="77777777" w:rsidTr="002932F3">
        <w:tc>
          <w:tcPr>
            <w:tcW w:w="9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72F728B" w14:textId="77777777" w:rsidR="000D0774" w:rsidRPr="00C567FA" w:rsidRDefault="000D0774" w:rsidP="007D536E">
            <w:pPr>
              <w:pStyle w:val="Headingb"/>
              <w:keepNext w:val="0"/>
              <w:keepLines w:val="0"/>
              <w:rPr>
                <w:bCs/>
                <w:i/>
                <w:iCs/>
              </w:rPr>
            </w:pPr>
            <w:r w:rsidRPr="00C567FA">
              <w:rPr>
                <w:bCs/>
                <w:i/>
                <w:iCs/>
              </w:rPr>
              <w:t>Recommandation</w:t>
            </w:r>
          </w:p>
          <w:p w14:paraId="324A0860" w14:textId="77777777" w:rsidR="000D0774" w:rsidRPr="00C567FA" w:rsidRDefault="000D0774" w:rsidP="007D536E">
            <w:pPr>
              <w:spacing w:after="120"/>
            </w:pPr>
            <w:r w:rsidRPr="00C567FA">
              <w:rPr>
                <w:rFonts w:asciiTheme="minorHAnsi" w:hAnsiTheme="minorHAnsi" w:cstheme="minorHAnsi"/>
                <w:szCs w:val="24"/>
              </w:rPr>
              <w:t>15.6</w:t>
            </w:r>
            <w:r w:rsidRPr="00C567FA">
              <w:rPr>
                <w:rFonts w:asciiTheme="minorHAnsi" w:hAnsiTheme="minorHAnsi" w:cstheme="minorHAnsi"/>
                <w:szCs w:val="24"/>
              </w:rPr>
              <w:tab/>
            </w:r>
            <w:r w:rsidRPr="00C567FA">
              <w:t>La Commission recommande au Conseil de prendre note de ce rapport verbal.</w:t>
            </w:r>
          </w:p>
        </w:tc>
      </w:tr>
    </w:tbl>
    <w:p w14:paraId="1B8D0BB0" w14:textId="535AF619" w:rsidR="000D0774" w:rsidRPr="00C567FA" w:rsidRDefault="000D0774" w:rsidP="007D536E">
      <w:pPr>
        <w:pStyle w:val="Heading1"/>
      </w:pPr>
      <w:r w:rsidRPr="00C567FA">
        <w:t>16</w:t>
      </w:r>
      <w:r w:rsidRPr="00C567FA">
        <w:tab/>
        <w:t>Décisions prises par l</w:t>
      </w:r>
      <w:r w:rsidR="007D536E">
        <w:t>'</w:t>
      </w:r>
      <w:r w:rsidRPr="00C567FA">
        <w:t>Assemblée générale des Nations Unies concernant les conditions d</w:t>
      </w:r>
      <w:r w:rsidR="007D536E">
        <w:t>'</w:t>
      </w:r>
      <w:r w:rsidRPr="00C567FA">
        <w:t xml:space="preserve">emploi dans le cadre du régime commun des Nations Unies (Document </w:t>
      </w:r>
      <w:hyperlink r:id="rId69" w:history="1">
        <w:r w:rsidRPr="00C567FA">
          <w:rPr>
            <w:rStyle w:val="Hyperlink"/>
            <w:rFonts w:asciiTheme="minorHAnsi" w:hAnsiTheme="minorHAnsi" w:cstheme="minorHAnsi"/>
            <w:szCs w:val="24"/>
          </w:rPr>
          <w:t>C22/23</w:t>
        </w:r>
      </w:hyperlink>
      <w:r w:rsidRPr="00C567FA">
        <w:t>)</w:t>
      </w:r>
    </w:p>
    <w:p w14:paraId="0D062A18" w14:textId="2234DAC8" w:rsidR="000D0774" w:rsidRPr="00C567FA" w:rsidRDefault="000D0774" w:rsidP="007D536E">
      <w:r w:rsidRPr="00C567FA">
        <w:t>16.1</w:t>
      </w:r>
      <w:r w:rsidRPr="00C567FA">
        <w:tab/>
        <w:t>Le document contenant les modifications découlant des décisions prises par l</w:t>
      </w:r>
      <w:r w:rsidR="007D536E">
        <w:t>'</w:t>
      </w:r>
      <w:r w:rsidRPr="00C567FA">
        <w:t>Assemblée générale des Nations Unies à sa 76ème session (2021) concernant les conditions d</w:t>
      </w:r>
      <w:r w:rsidR="007D536E">
        <w:t>'</w:t>
      </w:r>
      <w:r w:rsidRPr="00C567FA">
        <w:t>emploi dans le cadre du régime commun des Nations Unies a été présenté.</w:t>
      </w:r>
    </w:p>
    <w:p w14:paraId="40899550" w14:textId="77777777" w:rsidR="000D0774" w:rsidRPr="00C567FA" w:rsidRDefault="000D0774" w:rsidP="007D536E">
      <w:pPr>
        <w:rPr>
          <w:bCs/>
        </w:rPr>
      </w:pPr>
      <w:r w:rsidRPr="00C567FA">
        <w:rPr>
          <w:bCs/>
        </w:rPr>
        <w:lastRenderedPageBreak/>
        <w:t>16.2</w:t>
      </w:r>
      <w:r w:rsidRPr="00C567FA">
        <w:rPr>
          <w:bCs/>
        </w:rPr>
        <w:tab/>
        <w:t>Ces décisions donnent lieu aux éléments suivants:</w:t>
      </w:r>
    </w:p>
    <w:p w14:paraId="7931F98C" w14:textId="77777777" w:rsidR="000D0774" w:rsidRPr="00C567FA" w:rsidRDefault="000D0774" w:rsidP="007D536E">
      <w:pPr>
        <w:pStyle w:val="enumlev1"/>
      </w:pPr>
      <w:r w:rsidRPr="00C567FA">
        <w:t>1)</w:t>
      </w:r>
      <w:r w:rsidRPr="00C567FA">
        <w:tab/>
        <w:t>modification des dispositions du Statut du personnel applicable aux fonctionnaires nommés, y compris celles mises en œuvre par le Secrétaire général conformément à la Résolution 647 (modifiée) du Conseil, et notamment:</w:t>
      </w:r>
    </w:p>
    <w:p w14:paraId="0D3F67C0" w14:textId="77777777" w:rsidR="000D0774" w:rsidRPr="00C567FA" w:rsidRDefault="000D0774" w:rsidP="007D536E">
      <w:pPr>
        <w:pStyle w:val="enumlev2"/>
      </w:pPr>
      <w:r w:rsidRPr="00C567FA">
        <w:t>a)</w:t>
      </w:r>
      <w:r w:rsidRPr="00C567FA">
        <w:tab/>
        <w:t>réexamen du barème des traitements de base minima (sur la base du principe "pas de perte, pas de gain") et de la rémunération considérée aux fins de la pension pour les fonctionnaires des catégories professionnelle et supérieure;</w:t>
      </w:r>
    </w:p>
    <w:p w14:paraId="547BD5D7" w14:textId="7F90F87F" w:rsidR="000D0774" w:rsidRPr="00C567FA" w:rsidRDefault="000D0774" w:rsidP="007D536E">
      <w:pPr>
        <w:pStyle w:val="enumlev2"/>
      </w:pPr>
      <w:r w:rsidRPr="00C567FA">
        <w:t>b)</w:t>
      </w:r>
      <w:r w:rsidRPr="00C567FA">
        <w:tab/>
        <w:t>mise à jour des traitements nets des fonctionnaires de la catégorie des Services généraux. L</w:t>
      </w:r>
      <w:r w:rsidR="007D536E">
        <w:t>'</w:t>
      </w:r>
      <w:r w:rsidRPr="00C567FA">
        <w:t>évolution de l</w:t>
      </w:r>
      <w:r w:rsidR="007D536E">
        <w:t>'</w:t>
      </w:r>
      <w:r w:rsidRPr="00C567FA">
        <w:t>IPC à Genève sur la période allant de septembre 2020 à septembre 2021 correspond à une variation nette des barèmes des traitements qui, après application du facteur d</w:t>
      </w:r>
      <w:r w:rsidR="007D536E">
        <w:t>'</w:t>
      </w:r>
      <w:r w:rsidRPr="00C567FA">
        <w:t>ajustement tenant compte de l</w:t>
      </w:r>
      <w:r w:rsidR="007D536E">
        <w:t>'</w:t>
      </w:r>
      <w:r w:rsidRPr="00C567FA">
        <w:t>imposition locale, s</w:t>
      </w:r>
      <w:r w:rsidR="007D536E">
        <w:t>'</w:t>
      </w:r>
      <w:r w:rsidRPr="00C567FA">
        <w:t>élève à 0,2%.</w:t>
      </w:r>
    </w:p>
    <w:p w14:paraId="2DC76F93" w14:textId="194AF50E" w:rsidR="000D0774" w:rsidRPr="00C567FA" w:rsidRDefault="000D0774" w:rsidP="007D536E">
      <w:pPr>
        <w:spacing w:after="240"/>
        <w:rPr>
          <w:b/>
        </w:rPr>
      </w:pPr>
      <w:r w:rsidRPr="00C567FA">
        <w:t>16.3</w:t>
      </w:r>
      <w:r w:rsidRPr="00C567FA">
        <w:tab/>
        <w:t>Barème des traitements et rémunération considérée aux fins de la pension pour les fonctionnaires élus: en application de la Résolution 46 (Kyoto, 1994) de la Conférence de plénipotentiaires, on calcule la rémunération des fonctionnaires élus en appliquant au traitement maximum d</w:t>
      </w:r>
      <w:r w:rsidR="007D536E">
        <w:t>'</w:t>
      </w:r>
      <w:r w:rsidRPr="00C567FA">
        <w:t>un fonctionnaire nommé les pourcentages énoncés dans ladite Résolution. Il faut donc réviser la rémunération des fonctionnaires élus, compte tenu de l</w:t>
      </w:r>
      <w:r w:rsidR="007D536E">
        <w:t>'</w:t>
      </w:r>
      <w:r w:rsidRPr="00C567FA">
        <w:t>augmentation du niveau de rémunération des fonctionnaires nommés qui a été approuvée par l</w:t>
      </w:r>
      <w:r w:rsidR="007D536E">
        <w:t>'</w:t>
      </w:r>
      <w:r w:rsidRPr="00C567FA">
        <w:t>Assemblée générale des Nations Unies à sa dernière session. Cela implique un ajustement de la rémunération considérée aux fins de la pension.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D0774" w:rsidRPr="00C567FA" w14:paraId="1C62A8AA" w14:textId="77777777" w:rsidTr="002932F3">
        <w:tc>
          <w:tcPr>
            <w:tcW w:w="9017" w:type="dxa"/>
            <w:tcBorders>
              <w:top w:val="single" w:sz="4" w:space="0" w:color="auto"/>
              <w:bottom w:val="single" w:sz="4" w:space="0" w:color="auto"/>
            </w:tcBorders>
          </w:tcPr>
          <w:p w14:paraId="57102568" w14:textId="77777777" w:rsidR="000D0774" w:rsidRPr="00C567FA" w:rsidRDefault="000D0774" w:rsidP="007D536E">
            <w:pPr>
              <w:pStyle w:val="Headingb"/>
              <w:rPr>
                <w:i/>
                <w:iCs/>
              </w:rPr>
            </w:pPr>
            <w:r w:rsidRPr="00C567FA">
              <w:rPr>
                <w:i/>
                <w:iCs/>
              </w:rPr>
              <w:t>Recommandation</w:t>
            </w:r>
          </w:p>
          <w:p w14:paraId="2177D9CE" w14:textId="1F214383" w:rsidR="000D0774" w:rsidRPr="00C567FA" w:rsidRDefault="000D0774" w:rsidP="007D536E">
            <w:r w:rsidRPr="00C567FA">
              <w:t>16.4</w:t>
            </w:r>
            <w:r w:rsidRPr="00C567FA">
              <w:tab/>
              <w:t>La Commission recommande au Conseil de prendre note des modifications apportées aux conditions d</w:t>
            </w:r>
            <w:r w:rsidR="007D536E">
              <w:t>'</w:t>
            </w:r>
            <w:r w:rsidRPr="00C567FA">
              <w:t>emploi des fonctionnaires des catégories professionnelle et supérieure ainsi que des fonctionnaires de la catégorie des services généraux.</w:t>
            </w:r>
          </w:p>
          <w:p w14:paraId="0DEB7135" w14:textId="546518D1" w:rsidR="000D0774" w:rsidRPr="00C567FA" w:rsidRDefault="000D0774" w:rsidP="007D536E">
            <w:pPr>
              <w:spacing w:after="120"/>
            </w:pPr>
            <w:r w:rsidRPr="00C567FA">
              <w:t>16.5</w:t>
            </w:r>
            <w:r w:rsidRPr="00C567FA">
              <w:tab/>
              <w:t>Conformément à la Résolution 46 (Kyoto, 1994) de la Conférence de plénipotentiaires, la Commission recommande au Conseil d</w:t>
            </w:r>
            <w:r w:rsidR="007D536E">
              <w:t>'</w:t>
            </w:r>
            <w:r w:rsidRPr="00C567FA">
              <w:t>approuver le barème des traitements et la rémunération considérée aux fins de la pension applicables aux fonctionnaires élus, tels qu</w:t>
            </w:r>
            <w:r w:rsidR="007D536E">
              <w:t>'</w:t>
            </w:r>
            <w:r w:rsidRPr="00C567FA">
              <w:t>ils figurent dans le projet de Résolution reproduit dans l</w:t>
            </w:r>
            <w:r w:rsidR="007D536E">
              <w:t>'</w:t>
            </w:r>
            <w:r w:rsidRPr="00C567FA">
              <w:t>Annexe du présent rapport.</w:t>
            </w:r>
          </w:p>
        </w:tc>
      </w:tr>
    </w:tbl>
    <w:p w14:paraId="0FED5442" w14:textId="77777777" w:rsidR="000D0774" w:rsidRPr="00C567FA" w:rsidRDefault="000D0774" w:rsidP="007D536E">
      <w:pPr>
        <w:pStyle w:val="Heading1"/>
      </w:pPr>
      <w:r w:rsidRPr="00C567FA">
        <w:t>17</w:t>
      </w:r>
      <w:r w:rsidRPr="00C567FA">
        <w:tab/>
        <w:t>Modifications du Statut du personnel</w:t>
      </w:r>
      <w:r w:rsidRPr="00C567FA">
        <w:rPr>
          <w:bCs/>
        </w:rPr>
        <w:t xml:space="preserve"> (</w:t>
      </w:r>
      <w:r w:rsidRPr="00C567FA">
        <w:t>réduction de la période de mise au concours) (Document </w:t>
      </w:r>
      <w:hyperlink r:id="rId70" w:history="1">
        <w:r w:rsidRPr="00C567FA">
          <w:rPr>
            <w:rStyle w:val="Hyperlink"/>
          </w:rPr>
          <w:t>C22/52</w:t>
        </w:r>
      </w:hyperlink>
      <w:r w:rsidRPr="00C567FA">
        <w:t>)</w:t>
      </w:r>
    </w:p>
    <w:p w14:paraId="1EC61AEE" w14:textId="3BD06119" w:rsidR="000D0774" w:rsidRPr="00C567FA" w:rsidRDefault="000D0774" w:rsidP="007D536E">
      <w:r w:rsidRPr="00C567FA">
        <w:t>17.1</w:t>
      </w:r>
      <w:r w:rsidRPr="00C567FA">
        <w:tab/>
        <w:t>Le secrétariat a présenté une proposition visant à ramener de deux à un mois la période de mise au concours pour les emplois de la catégorie professionnelle (P1 à D2) identifiés en vue d</w:t>
      </w:r>
      <w:r w:rsidR="007D536E">
        <w:t>'</w:t>
      </w:r>
      <w:r w:rsidRPr="00C567FA">
        <w:t>un recrutement externe sur la base d</w:t>
      </w:r>
      <w:r w:rsidR="007D536E">
        <w:t>'</w:t>
      </w:r>
      <w:r w:rsidRPr="00C567FA">
        <w:t>une mise en compétition au niveau international, comme établi dans le Statut du personnel. Une réduction de la période de mise au concours permettrait à l</w:t>
      </w:r>
      <w:r w:rsidR="007D536E">
        <w:t>'</w:t>
      </w:r>
      <w:r w:rsidRPr="00C567FA">
        <w:t>UIT de recruter et de mobiliser des talents de manière plus efficace pour s</w:t>
      </w:r>
      <w:r w:rsidR="007D536E">
        <w:t>'</w:t>
      </w:r>
      <w:r w:rsidRPr="00C567FA">
        <w:t>acquitter de sa mission.</w:t>
      </w:r>
    </w:p>
    <w:p w14:paraId="3103E3B8" w14:textId="53BCE2C7" w:rsidR="000D0774" w:rsidRPr="00C567FA" w:rsidRDefault="000D0774" w:rsidP="007D536E">
      <w:r w:rsidRPr="00C567FA">
        <w:t>17.2</w:t>
      </w:r>
      <w:r w:rsidRPr="00C567FA">
        <w:tab/>
        <w:t>Les données d</w:t>
      </w:r>
      <w:r w:rsidR="007D536E">
        <w:t>'</w:t>
      </w:r>
      <w:r w:rsidRPr="00C567FA">
        <w:t>expérience accumulées au cours des dernières années au moyen d</w:t>
      </w:r>
      <w:r w:rsidR="007D536E">
        <w:t>'</w:t>
      </w:r>
      <w:r w:rsidRPr="00C567FA">
        <w:t>un système de recrutement électronique indiquent que la plupart des candidatures reçues pour les vacances de poste sont soumises par les candidats durant la première semaine de la période de mise au concours ou au cours de la dernière semaine. Par conséquent, une réduction de cette période n</w:t>
      </w:r>
      <w:r w:rsidR="007D536E">
        <w:t>'</w:t>
      </w:r>
      <w:r w:rsidRPr="00C567FA">
        <w:t xml:space="preserve">aura aucun effet défavorable sur le recrutement de talents. La proposition vise à </w:t>
      </w:r>
      <w:r w:rsidRPr="00C567FA">
        <w:lastRenderedPageBreak/>
        <w:t>modifier le Statut du personnel afin de réduire cette période à un mois, tout en conservant la possibilité d</w:t>
      </w:r>
      <w:r w:rsidR="007D536E">
        <w:t>'</w:t>
      </w:r>
      <w:r w:rsidRPr="00C567FA">
        <w:t>appliquer une période de mise au concours plus longue si l</w:t>
      </w:r>
      <w:r w:rsidR="007D536E">
        <w:t>'</w:t>
      </w:r>
      <w:r w:rsidRPr="00C567FA">
        <w:t>avis de vacance en question nécessite d</w:t>
      </w:r>
      <w:r w:rsidR="007D536E">
        <w:t>'</w:t>
      </w:r>
      <w:r w:rsidRPr="00C567FA">
        <w:t>être diffusé auprès d</w:t>
      </w:r>
      <w:r w:rsidR="007D536E">
        <w:t>'</w:t>
      </w:r>
      <w:r w:rsidRPr="00C567FA">
        <w:t>un public plus vaste.</w:t>
      </w:r>
    </w:p>
    <w:p w14:paraId="7D43D9B7" w14:textId="1A964C34" w:rsidR="000D0774" w:rsidRPr="00C567FA" w:rsidRDefault="000D0774" w:rsidP="007D536E">
      <w:r w:rsidRPr="00C567FA">
        <w:t>17.3</w:t>
      </w:r>
      <w:r w:rsidRPr="00C567FA">
        <w:tab/>
        <w:t>Cette proposition a fait l</w:t>
      </w:r>
      <w:r w:rsidR="007D536E">
        <w:t>'</w:t>
      </w:r>
      <w:r w:rsidRPr="00C567FA">
        <w:t>objet de discussions au sein du Groupe de travail du Conseil sur les ressources financières et les ressources humaines, qui a demandé au Secrétariat de fournir des statistiques supplémentaires, et en particulier: i) données de comparaison avec d</w:t>
      </w:r>
      <w:r w:rsidR="007D536E">
        <w:t>'</w:t>
      </w:r>
      <w:r w:rsidRPr="00C567FA">
        <w:t>autres organisations, ii) analyse détaillée du nombre de candidats reçu par jour pendant la période de vacance de deux mois, et iii) analyse du temps moyen nécessaire au recrutement d</w:t>
      </w:r>
      <w:r w:rsidR="007D536E">
        <w:t>'</w:t>
      </w:r>
      <w:r w:rsidRPr="00C567FA">
        <w:t>un fonctionnaire, de la mise au concours du poste à la sélection d</w:t>
      </w:r>
      <w:r w:rsidR="007D536E">
        <w:t>'</w:t>
      </w:r>
      <w:r w:rsidRPr="00C567FA">
        <w:t>un candidat.</w:t>
      </w:r>
    </w:p>
    <w:p w14:paraId="2F043373" w14:textId="77777777" w:rsidR="000D0774" w:rsidRPr="00C567FA" w:rsidRDefault="000D0774" w:rsidP="007D536E">
      <w:r w:rsidRPr="00C567FA">
        <w:t>17.4</w:t>
      </w:r>
      <w:r w:rsidRPr="00C567FA">
        <w:tab/>
        <w:t>Le Secrétariat a fourni ces informations et a soumis à nouveau cette proposition au Conseil pour examen.</w:t>
      </w:r>
    </w:p>
    <w:p w14:paraId="4F3680E4" w14:textId="618C6F45" w:rsidR="000D0774" w:rsidRPr="00C567FA" w:rsidRDefault="000D0774" w:rsidP="007D536E">
      <w:pPr>
        <w:spacing w:after="240"/>
        <w:rPr>
          <w:bCs/>
        </w:rPr>
      </w:pPr>
      <w:r w:rsidRPr="00C567FA">
        <w:t>17.5</w:t>
      </w:r>
      <w:r w:rsidRPr="00C567FA">
        <w:tab/>
        <w:t>Si plusieurs délégués ont appuyé la proposition, et notamment la possibilité d</w:t>
      </w:r>
      <w:r w:rsidR="007D536E">
        <w:t>'</w:t>
      </w:r>
      <w:r w:rsidRPr="00C567FA">
        <w:t>entreprendre un projet pilote, plusieurs autres ont quant à eux exprimé leur désaccord. Les principaux motifs de préoccupation concernant la proposition concernaient le fait qu</w:t>
      </w:r>
      <w:r w:rsidR="007D536E">
        <w:t>'</w:t>
      </w:r>
      <w:r w:rsidRPr="00C567FA">
        <w:t>une période d</w:t>
      </w:r>
      <w:r w:rsidR="007D536E">
        <w:t>'</w:t>
      </w:r>
      <w:r w:rsidRPr="00C567FA">
        <w:t>un mois serait trop courte pour les candidats de pays en développement. Il a été demandé au Secrétariat de trouver d</w:t>
      </w:r>
      <w:r w:rsidR="007D536E">
        <w:t>'</w:t>
      </w:r>
      <w:r w:rsidRPr="00C567FA">
        <w:t>autres moyens de réduire les délais du processus de recrutement.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17"/>
      </w:tblGrid>
      <w:tr w:rsidR="000D0774" w:rsidRPr="00C567FA" w14:paraId="4687CFBD" w14:textId="77777777" w:rsidTr="002932F3">
        <w:tc>
          <w:tcPr>
            <w:tcW w:w="9017" w:type="dxa"/>
            <w:tcBorders>
              <w:top w:val="single" w:sz="4" w:space="0" w:color="auto"/>
              <w:bottom w:val="single" w:sz="4" w:space="0" w:color="auto"/>
            </w:tcBorders>
          </w:tcPr>
          <w:p w14:paraId="78FB9AEB" w14:textId="77777777" w:rsidR="000D0774" w:rsidRPr="00C567FA" w:rsidRDefault="000D0774" w:rsidP="007D536E">
            <w:pPr>
              <w:pStyle w:val="Headingb"/>
              <w:rPr>
                <w:i/>
                <w:iCs/>
              </w:rPr>
            </w:pPr>
            <w:r w:rsidRPr="00C567FA">
              <w:rPr>
                <w:i/>
                <w:iCs/>
              </w:rPr>
              <w:t>Recommandation</w:t>
            </w:r>
          </w:p>
          <w:p w14:paraId="67731F62" w14:textId="7A4841E6" w:rsidR="000D0774" w:rsidRPr="00C567FA" w:rsidRDefault="000D0774" w:rsidP="007D536E">
            <w:pPr>
              <w:spacing w:after="120"/>
            </w:pPr>
            <w:r w:rsidRPr="00C567FA">
              <w:t>17.6</w:t>
            </w:r>
            <w:r w:rsidRPr="00C567FA">
              <w:tab/>
              <w:t>Étant donné qu</w:t>
            </w:r>
            <w:r w:rsidR="007D536E">
              <w:t>'</w:t>
            </w:r>
            <w:r w:rsidRPr="00C567FA">
              <w:t>aucun consensus n</w:t>
            </w:r>
            <w:r w:rsidR="007D536E">
              <w:t>'</w:t>
            </w:r>
            <w:r w:rsidRPr="00C567FA">
              <w:t>a été dégagé au regard de la proposition soumise par le Secrétariat dans le Document C22/52, la Commission recommande au Secrétariat de mener de nouvelles consultations et de réviser la proposition, afin d</w:t>
            </w:r>
            <w:r w:rsidR="007D536E">
              <w:t>'</w:t>
            </w:r>
            <w:r w:rsidRPr="00C567FA">
              <w:t>y inclure l</w:t>
            </w:r>
            <w:r w:rsidR="007D536E">
              <w:t>'</w:t>
            </w:r>
            <w:r w:rsidRPr="00C567FA">
              <w:t>ensemble du processus de recrutement, et de faire rapport au Conseil à cet égard lors d</w:t>
            </w:r>
            <w:r w:rsidR="007D536E">
              <w:t>'</w:t>
            </w:r>
            <w:r w:rsidRPr="00C567FA">
              <w:t>une session future.</w:t>
            </w:r>
          </w:p>
        </w:tc>
      </w:tr>
    </w:tbl>
    <w:p w14:paraId="63395708" w14:textId="5DB0CBEA" w:rsidR="000D0774" w:rsidRPr="00C567FA" w:rsidRDefault="000D0774" w:rsidP="007D536E">
      <w:pPr>
        <w:pStyle w:val="Heading1"/>
      </w:pPr>
      <w:r w:rsidRPr="00C567FA">
        <w:t>18</w:t>
      </w:r>
      <w:r w:rsidRPr="00C567FA">
        <w:tab/>
        <w:t>Modifications du Statut du personnel (Statut personnel considéré aux fins du versement de prestations par l</w:t>
      </w:r>
      <w:r w:rsidR="007D536E">
        <w:t>'</w:t>
      </w:r>
      <w:r w:rsidRPr="00C567FA">
        <w:t xml:space="preserve">UIT) (Document </w:t>
      </w:r>
      <w:hyperlink r:id="rId71" w:history="1">
        <w:r w:rsidRPr="00C567FA">
          <w:rPr>
            <w:rStyle w:val="Hyperlink"/>
          </w:rPr>
          <w:t>C22/47</w:t>
        </w:r>
      </w:hyperlink>
      <w:r w:rsidRPr="00C567FA">
        <w:t>)</w:t>
      </w:r>
    </w:p>
    <w:p w14:paraId="29CCB1CA" w14:textId="27B42551" w:rsidR="000D0774" w:rsidRPr="00C567FA" w:rsidRDefault="000D0774" w:rsidP="007D536E">
      <w:r w:rsidRPr="00C567FA">
        <w:t>18.1</w:t>
      </w:r>
      <w:r w:rsidRPr="00C567FA">
        <w:tab/>
        <w:t>Le secrétariat a présenté la proposition visant à apporter des amendements au Statut du personnel pour permettre la reconnaissance des partenariats domestiques. Au sein du système des Nations Unies, la reconnaissance des partenariats domestiques est régie par la Circulaire du Secrétaire général ST/SGB/2004/13/Rév.1 du 26 juin 2014. Il y est indiqué que le statut personnel des fonctionnaires considéré aux fins du versement des prestations prévues par le Statut et le Règlement du personnel de l</w:t>
      </w:r>
      <w:r w:rsidR="007D536E">
        <w:t>'</w:t>
      </w:r>
      <w:r w:rsidRPr="00C567FA">
        <w:t>Organisation des Nations Unies sera déterminé en fonction du droit en vigueur dans la juridiction dans laquelle leur statut personnel a été défini.</w:t>
      </w:r>
    </w:p>
    <w:p w14:paraId="2CCD4ABB" w14:textId="7B0CD660" w:rsidR="000D0774" w:rsidRPr="00C567FA" w:rsidRDefault="000D0774" w:rsidP="007D536E">
      <w:r w:rsidRPr="00C567FA">
        <w:t>18.2</w:t>
      </w:r>
      <w:r w:rsidRPr="00C567FA">
        <w:tab/>
        <w:t>Le Secrétariat de l</w:t>
      </w:r>
      <w:r w:rsidR="007D536E">
        <w:t>'</w:t>
      </w:r>
      <w:r w:rsidRPr="00C567FA">
        <w:t>ONU ainsi que les Fonds, Programmes et Commissions des Nations Unies reconnaissent les partenariats domestiques, dans la mesure où ils entrent dans le champ d</w:t>
      </w:r>
      <w:r w:rsidR="007D536E">
        <w:t>'</w:t>
      </w:r>
      <w:r w:rsidRPr="00C567FA">
        <w:t>application du Statut et du Règlement du personnel du Secrétariat de l</w:t>
      </w:r>
      <w:r w:rsidR="007D536E">
        <w:t>'</w:t>
      </w:r>
      <w:r w:rsidRPr="00C567FA">
        <w:t>ONU. Toutes les institutions spécialisées du système des Nations Unies ont adopté cette politique. L</w:t>
      </w:r>
      <w:r w:rsidR="007D536E">
        <w:t>'</w:t>
      </w:r>
      <w:r w:rsidRPr="00C567FA">
        <w:t>UIT est la seule organisation du système des Nations Unies qui, à ce jour, n</w:t>
      </w:r>
      <w:r w:rsidR="007D536E">
        <w:t>'</w:t>
      </w:r>
      <w:r w:rsidRPr="00C567FA">
        <w:t>a pas encore appliqué le protocole tel que défini dans la Circulaire du Secrétaire général de l</w:t>
      </w:r>
      <w:r w:rsidR="007D536E">
        <w:t>'</w:t>
      </w:r>
      <w:r w:rsidRPr="00C567FA">
        <w:t>ONU.</w:t>
      </w:r>
    </w:p>
    <w:p w14:paraId="5AB8B230" w14:textId="77777777" w:rsidR="000D0774" w:rsidRPr="00C567FA" w:rsidRDefault="000D0774" w:rsidP="007D536E">
      <w:r w:rsidRPr="00C567FA">
        <w:t>18.3</w:t>
      </w:r>
      <w:r w:rsidRPr="00C567FA">
        <w:tab/>
        <w:t>La proposition a été examinée lors de la Consultation virtuelle des Conseillers (VCC/21, tenue en juin 2021) et des réunions du Groupe de travail du Conseil sur les ressources financières et les ressources humaines (septembre 2021 et janvier 2022).</w:t>
      </w:r>
    </w:p>
    <w:p w14:paraId="7A98B580" w14:textId="16DA3C42" w:rsidR="000D0774" w:rsidRPr="00C567FA" w:rsidRDefault="000D0774" w:rsidP="007D536E">
      <w:r w:rsidRPr="00C567FA">
        <w:lastRenderedPageBreak/>
        <w:t>18.4</w:t>
      </w:r>
      <w:r w:rsidRPr="00C567FA">
        <w:tab/>
        <w:t>Le Secrétariat a fourni des renseignements additionnels, comme il avait été invité à le faire lors de la VCC et des réunions du GTC</w:t>
      </w:r>
      <w:r>
        <w:t>-</w:t>
      </w:r>
      <w:r w:rsidRPr="00C567FA">
        <w:t>FHR:</w:t>
      </w:r>
    </w:p>
    <w:p w14:paraId="4F77D614" w14:textId="33771367" w:rsidR="000D0774" w:rsidRPr="00C567FA" w:rsidRDefault="000D0774" w:rsidP="007D536E">
      <w:pPr>
        <w:pStyle w:val="enumlev1"/>
      </w:pPr>
      <w:r w:rsidRPr="00C567FA">
        <w:t>1)</w:t>
      </w:r>
      <w:r w:rsidRPr="00C567FA">
        <w:tab/>
        <w:t>Examen de la situation avec d</w:t>
      </w:r>
      <w:r w:rsidR="007D536E">
        <w:t>'</w:t>
      </w:r>
      <w:r w:rsidRPr="00C567FA">
        <w:t>autres organisations du système des Nations Unies, l</w:t>
      </w:r>
      <w:r w:rsidR="007D536E">
        <w:t>'</w:t>
      </w:r>
      <w:r w:rsidRPr="00C567FA">
        <w:t>accent étant mis en particulier sur la pratique suivie par l</w:t>
      </w:r>
      <w:r w:rsidR="007D536E">
        <w:t>'</w:t>
      </w:r>
      <w:r w:rsidRPr="00C567FA">
        <w:t>Organisation internationale du travail.</w:t>
      </w:r>
    </w:p>
    <w:p w14:paraId="435C8A5E" w14:textId="65F91026" w:rsidR="000D0774" w:rsidRPr="00C567FA" w:rsidRDefault="000D0774" w:rsidP="007D536E">
      <w:pPr>
        <w:pStyle w:val="enumlev1"/>
      </w:pPr>
      <w:r w:rsidRPr="00C567FA">
        <w:t>2)</w:t>
      </w:r>
      <w:r w:rsidRPr="00C567FA">
        <w:tab/>
        <w:t>Traduction intégrale des Statut et Règlement du personnel dans toutes les langues officielles. Il est important de noter que conformément à l</w:t>
      </w:r>
      <w:r w:rsidR="007D536E">
        <w:t>'</w:t>
      </w:r>
      <w:r w:rsidRPr="00C567FA">
        <w:t>article 29 de la Constitution de l</w:t>
      </w:r>
      <w:r w:rsidR="007D536E">
        <w:t>'</w:t>
      </w:r>
      <w:r w:rsidRPr="00C567FA">
        <w:t>UIT, aux termes duquel "en cas de divergence ou de contestation, le texte français fait foi", on s</w:t>
      </w:r>
      <w:r w:rsidR="007D536E">
        <w:t>'</w:t>
      </w:r>
      <w:r w:rsidRPr="00C567FA">
        <w:t>est fondé sur la version française des Statut et Règlement pour cet examen.</w:t>
      </w:r>
    </w:p>
    <w:p w14:paraId="50350E77" w14:textId="77777777" w:rsidR="000D0774" w:rsidRPr="00C567FA" w:rsidRDefault="000D0774" w:rsidP="007D536E">
      <w:pPr>
        <w:pStyle w:val="enumlev1"/>
      </w:pPr>
      <w:r w:rsidRPr="00C567FA">
        <w:t>3)</w:t>
      </w:r>
      <w:r w:rsidRPr="00C567FA">
        <w:tab/>
        <w:t>Analyse des incidences financières estimées de la mise en œuvre de ces amendements apportés aux Statut et Règlement du personnel.</w:t>
      </w:r>
    </w:p>
    <w:p w14:paraId="1E78CEAA" w14:textId="77777777" w:rsidR="000D0774" w:rsidRPr="00C567FA" w:rsidRDefault="000D0774" w:rsidP="007D536E">
      <w:pPr>
        <w:pStyle w:val="enumlev1"/>
      </w:pPr>
      <w:r w:rsidRPr="00C567FA">
        <w:t>4)</w:t>
      </w:r>
      <w:r w:rsidRPr="00C567FA">
        <w:tab/>
        <w:t>Analyse des coûts potentiels en cas de non-application de ces changements.</w:t>
      </w:r>
    </w:p>
    <w:p w14:paraId="1B9D04A9" w14:textId="72F8918B" w:rsidR="000D0774" w:rsidRPr="00C567FA" w:rsidRDefault="000D0774" w:rsidP="007D536E">
      <w:r w:rsidRPr="00C567FA">
        <w:t>18.5</w:t>
      </w:r>
      <w:r w:rsidRPr="00C567FA">
        <w:tab/>
        <w:t>Plusieurs délégués se sont déclarés favorables à la proposition, tandis que d</w:t>
      </w:r>
      <w:r w:rsidR="007D536E">
        <w:t>'</w:t>
      </w:r>
      <w:r w:rsidRPr="00C567FA">
        <w:t>autres l</w:t>
      </w:r>
      <w:r w:rsidR="007D536E">
        <w:t>'</w:t>
      </w:r>
      <w:r w:rsidRPr="00C567FA">
        <w:t>ont désapprouvée, faisant valoir que des questions demeuraient en suspens.</w:t>
      </w:r>
    </w:p>
    <w:p w14:paraId="71C88402" w14:textId="3EEAA326" w:rsidR="000D0774" w:rsidRPr="00C567FA" w:rsidRDefault="000D0774" w:rsidP="007D536E">
      <w:r w:rsidRPr="00C567FA">
        <w:t>18.6</w:t>
      </w:r>
      <w:r w:rsidRPr="00C567FA">
        <w:tab/>
        <w:t>Un délégué a demandé si la non-application de ces changements s</w:t>
      </w:r>
      <w:r w:rsidR="007D536E">
        <w:t>'</w:t>
      </w:r>
      <w:r w:rsidRPr="00C567FA">
        <w:t>accompagnerait de risques juridiques. Le secrétariat a répondu que cela nécessiterait une analyse complémentaire, mais que l</w:t>
      </w:r>
      <w:r w:rsidR="007D536E">
        <w:t>'</w:t>
      </w:r>
      <w:r w:rsidRPr="00C567FA">
        <w:t>on ne pouvait écarter des risques juridiques.</w:t>
      </w:r>
    </w:p>
    <w:p w14:paraId="347D3EE8" w14:textId="44E92706" w:rsidR="000D0774" w:rsidRPr="00C567FA" w:rsidRDefault="000D0774" w:rsidP="007D536E">
      <w:r w:rsidRPr="00C567FA">
        <w:t>18.7</w:t>
      </w:r>
      <w:r w:rsidRPr="00C567FA">
        <w:tab/>
        <w:t>Plusieurs délégués ont souligné qu</w:t>
      </w:r>
      <w:r w:rsidR="007D536E">
        <w:t>'</w:t>
      </w:r>
      <w:r w:rsidRPr="00C567FA">
        <w:t>il était nécessaire de définir avec précision ce que l</w:t>
      </w:r>
      <w:r w:rsidR="007D536E">
        <w:t>'</w:t>
      </w:r>
      <w:r w:rsidRPr="00C567FA">
        <w:t>on entendait par "partenariats domestiques". Le secrétariat a répondu qu</w:t>
      </w:r>
      <w:r w:rsidR="007D536E">
        <w:t>'</w:t>
      </w:r>
      <w:r w:rsidRPr="00C567FA">
        <w:t>il n</w:t>
      </w:r>
      <w:r w:rsidR="007D536E">
        <w:t>'</w:t>
      </w:r>
      <w:r w:rsidRPr="00C567FA">
        <w:t>existait pas de définition précise de ces termes, car il s</w:t>
      </w:r>
      <w:r w:rsidR="007D536E">
        <w:t>'</w:t>
      </w:r>
      <w:r w:rsidRPr="00C567FA">
        <w:t>agit d</w:t>
      </w:r>
      <w:r w:rsidR="007D536E">
        <w:t>'</w:t>
      </w:r>
      <w:r w:rsidRPr="00C567FA">
        <w:t>une notion qui est définie (ou qui n</w:t>
      </w:r>
      <w:r w:rsidR="007D536E">
        <w:t>'</w:t>
      </w:r>
      <w:r w:rsidRPr="00C567FA">
        <w:t>est pas définie) au niveau national, sur la base des législations nationales. Il a également expliqué que c</w:t>
      </w:r>
      <w:r w:rsidR="007D536E">
        <w:t>'</w:t>
      </w:r>
      <w:r w:rsidRPr="00C567FA">
        <w:t>est la raison pour laquelle la circulaire du Secrétaire général ST/SGB/2004/13/Rév.1 en date du 26 juin 2014 stipule que le statut personnel des fonctionnaires considéré aux fins du versement des prestations prévues par le Statut et le Règlement du personnel de l</w:t>
      </w:r>
      <w:r w:rsidR="007D536E">
        <w:t>'</w:t>
      </w:r>
      <w:r w:rsidRPr="00C567FA">
        <w:t xml:space="preserve">Organisation des Nations Unies </w:t>
      </w:r>
      <w:r w:rsidRPr="00C567FA">
        <w:rPr>
          <w:u w:val="single"/>
        </w:rPr>
        <w:t>sera déterminé en fonction du droit en vigueur dans la juridiction dans laquelle leur statut personnel a été défini</w:t>
      </w:r>
      <w:r w:rsidRPr="00C567FA">
        <w:t>.</w:t>
      </w:r>
    </w:p>
    <w:p w14:paraId="43E31FA0" w14:textId="203EF48D" w:rsidR="000D0774" w:rsidRDefault="000D0774" w:rsidP="007D536E">
      <w:pPr>
        <w:spacing w:after="240"/>
      </w:pPr>
      <w:r w:rsidRPr="00C567FA">
        <w:t>18.8</w:t>
      </w:r>
      <w:r w:rsidRPr="00C567FA">
        <w:tab/>
      </w:r>
      <w:r>
        <w:t>Une délégation a</w:t>
      </w:r>
      <w:r w:rsidR="007D536E">
        <w:t xml:space="preserve"> </w:t>
      </w:r>
      <w:r>
        <w:t>indiqué que cette formulation, lorsqu</w:t>
      </w:r>
      <w:r w:rsidR="007D536E">
        <w:t>'</w:t>
      </w:r>
      <w:r>
        <w:t>elle définit le statut personnel des fonctionnaires, n</w:t>
      </w:r>
      <w:r w:rsidR="007D536E">
        <w:t>'</w:t>
      </w:r>
      <w:r>
        <w:t>est généralement pas acceptable au sein du système des Nations Unies.</w:t>
      </w:r>
    </w:p>
    <w:p w14:paraId="7B4112B1" w14:textId="7B9B6C25" w:rsidR="000D0774" w:rsidRPr="00C567FA" w:rsidRDefault="000D0774" w:rsidP="007D536E">
      <w:pPr>
        <w:spacing w:after="240"/>
      </w:pPr>
      <w:r>
        <w:t>18.9</w:t>
      </w:r>
      <w:r>
        <w:tab/>
      </w:r>
      <w:r w:rsidRPr="00C567FA">
        <w:t>Aucun consensus n</w:t>
      </w:r>
      <w:r w:rsidR="007D536E">
        <w:t>'</w:t>
      </w:r>
      <w:r w:rsidRPr="00C567FA">
        <w:t>a été trouvé.</w:t>
      </w:r>
    </w:p>
    <w:tbl>
      <w:tblPr>
        <w:tblStyle w:val="TableGrid"/>
        <w:tblW w:w="0" w:type="auto"/>
        <w:tblLook w:val="04A0" w:firstRow="1" w:lastRow="0" w:firstColumn="1" w:lastColumn="0" w:noHBand="0" w:noVBand="1"/>
      </w:tblPr>
      <w:tblGrid>
        <w:gridCol w:w="9629"/>
      </w:tblGrid>
      <w:tr w:rsidR="000D0774" w:rsidRPr="00C567FA" w14:paraId="5DFDAABC" w14:textId="77777777" w:rsidTr="002932F3">
        <w:tc>
          <w:tcPr>
            <w:tcW w:w="9629" w:type="dxa"/>
          </w:tcPr>
          <w:p w14:paraId="0A76FAC7" w14:textId="77777777" w:rsidR="000D0774" w:rsidRPr="00C567FA" w:rsidRDefault="000D0774" w:rsidP="007D536E">
            <w:pPr>
              <w:pStyle w:val="Headingb"/>
            </w:pPr>
            <w:r w:rsidRPr="00C567FA">
              <w:rPr>
                <w:i/>
                <w:iCs/>
              </w:rPr>
              <w:t>Recommandation</w:t>
            </w:r>
          </w:p>
          <w:p w14:paraId="117F5C1E" w14:textId="4148E0F1" w:rsidR="000D0774" w:rsidRPr="00C567FA" w:rsidRDefault="000D0774" w:rsidP="007D536E">
            <w:pPr>
              <w:spacing w:after="120"/>
            </w:pPr>
            <w:r w:rsidRPr="00C567FA">
              <w:t>18.</w:t>
            </w:r>
            <w:r>
              <w:t>10</w:t>
            </w:r>
            <w:r w:rsidR="00EF4CBE">
              <w:tab/>
            </w:r>
            <w:r w:rsidRPr="00C567FA">
              <w:tab/>
              <w:t xml:space="preserve">Étant donné que la proposition présentée par </w:t>
            </w:r>
            <w:r w:rsidR="00EF4CBE">
              <w:t>le secrétariat dans le Document </w:t>
            </w:r>
            <w:r w:rsidRPr="00C567FA">
              <w:t>C22/47 n</w:t>
            </w:r>
            <w:r w:rsidR="007D536E">
              <w:t>'</w:t>
            </w:r>
            <w:r w:rsidRPr="00C567FA">
              <w:t>a fait l</w:t>
            </w:r>
            <w:r w:rsidR="007D536E">
              <w:t>'</w:t>
            </w:r>
            <w:r w:rsidRPr="00C567FA">
              <w:t>objet d</w:t>
            </w:r>
            <w:r w:rsidR="007D536E">
              <w:t>'</w:t>
            </w:r>
            <w:r w:rsidRPr="00C567FA">
              <w:t>aucun consensus, la Commission recommande au secrétariat de mener de nouvelles consultations auprès des membres et de faire rapport à une session future du Conseil.</w:t>
            </w:r>
          </w:p>
        </w:tc>
      </w:tr>
    </w:tbl>
    <w:p w14:paraId="678BE535" w14:textId="77777777" w:rsidR="000D0774" w:rsidRPr="00C567FA" w:rsidRDefault="000D0774" w:rsidP="007D536E">
      <w:pPr>
        <w:pStyle w:val="Heading1"/>
      </w:pPr>
      <w:r w:rsidRPr="00C567FA">
        <w:t>19</w:t>
      </w:r>
      <w:r w:rsidRPr="00C567FA">
        <w:tab/>
        <w:t>Modifications du Statut du personnel (Avancement dans le grade pour les fonctionnaires des catégories professionnelle et supérieure (Document </w:t>
      </w:r>
      <w:hyperlink r:id="rId72" w:history="1">
        <w:r w:rsidRPr="00C567FA">
          <w:rPr>
            <w:rStyle w:val="Hyperlink"/>
          </w:rPr>
          <w:t>C22/49</w:t>
        </w:r>
      </w:hyperlink>
      <w:r w:rsidRPr="00C567FA">
        <w:t>)</w:t>
      </w:r>
    </w:p>
    <w:p w14:paraId="7CE50634" w14:textId="77777777" w:rsidR="000D0774" w:rsidRPr="00C567FA" w:rsidRDefault="000D0774" w:rsidP="007D536E">
      <w:r w:rsidRPr="00C567FA">
        <w:t>19.1</w:t>
      </w:r>
      <w:r w:rsidRPr="00C567FA">
        <w:tab/>
        <w:t>Le secrétariat a présenté une proposition de modification du Statut du personnel visant à remédier à une divergence par rapport aux normes établies par la Commission de la fonction publique internationale (CFPI).</w:t>
      </w:r>
    </w:p>
    <w:p w14:paraId="792C04EE" w14:textId="4F164721" w:rsidR="000D0774" w:rsidRPr="00C567FA" w:rsidRDefault="000D0774" w:rsidP="007D536E">
      <w:r w:rsidRPr="00C567FA">
        <w:lastRenderedPageBreak/>
        <w:t>19.2</w:t>
      </w:r>
      <w:r w:rsidRPr="00C567FA">
        <w:tab/>
        <w:t>La périodicité des augmentations de traitement pour les conseillers supérieurs et les fonctionnaires de la catégorie professionnelle est énoncée dans l</w:t>
      </w:r>
      <w:r w:rsidR="007D536E">
        <w:t>'</w:t>
      </w:r>
      <w:r w:rsidRPr="00C567FA">
        <w:t>Article 3.4 du Statut du personnel applicable aux fonctionnaires nommés. En raison d</w:t>
      </w:r>
      <w:r w:rsidR="007D536E">
        <w:t>'</w:t>
      </w:r>
      <w:r w:rsidRPr="00C567FA">
        <w:t>une erreur dans le Statut du personnel, la périodicité des augmentations de traitement pour la classe D1 à l</w:t>
      </w:r>
      <w:r w:rsidR="007D536E">
        <w:t>'</w:t>
      </w:r>
      <w:r w:rsidRPr="00C567FA">
        <w:t>UIT n</w:t>
      </w:r>
      <w:r w:rsidR="007D536E">
        <w:t>'</w:t>
      </w:r>
      <w:r w:rsidRPr="00C567FA">
        <w:t>est pas alignée sur le régime commun des traitements, indemnités et autres prestations des Nations Unies, tel qu</w:t>
      </w:r>
      <w:r w:rsidR="007D536E">
        <w:t>'</w:t>
      </w:r>
      <w:r w:rsidRPr="00C567FA">
        <w:t>établi par la Commission de la fonction publique internationale (CFPI).</w:t>
      </w:r>
    </w:p>
    <w:p w14:paraId="28C60B09" w14:textId="3CCC4BF0" w:rsidR="000D0774" w:rsidRPr="00C567FA" w:rsidRDefault="000D0774" w:rsidP="007D536E">
      <w:r w:rsidRPr="00C567FA">
        <w:t>19.3</w:t>
      </w:r>
      <w:r w:rsidRPr="00C567FA">
        <w:tab/>
        <w:t>Les Règlement et Statut du personnel de l</w:t>
      </w:r>
      <w:r w:rsidR="007D536E">
        <w:t>'</w:t>
      </w:r>
      <w:r w:rsidRPr="00C567FA">
        <w:t>UIT stipulent que pour les fonctionnaires de grade D1, les augmentations de traitement sont annuelles de l</w:t>
      </w:r>
      <w:r w:rsidR="007D536E">
        <w:t>'</w:t>
      </w:r>
      <w:r w:rsidRPr="00C567FA">
        <w:t>échelon 1 à l</w:t>
      </w:r>
      <w:r w:rsidR="007D536E">
        <w:t>'</w:t>
      </w:r>
      <w:r w:rsidRPr="00C567FA">
        <w:t>échelon 5, alors que le règlement de la CFPI dispose que les augmentations de traitement sont annuelles de l</w:t>
      </w:r>
      <w:r w:rsidR="007D536E">
        <w:t>'</w:t>
      </w:r>
      <w:r w:rsidRPr="00C567FA">
        <w:t>échelon 1 à l</w:t>
      </w:r>
      <w:r w:rsidR="007D536E">
        <w:t>'</w:t>
      </w:r>
      <w:r w:rsidRPr="00C567FA">
        <w:t>échelon 4.</w:t>
      </w:r>
    </w:p>
    <w:p w14:paraId="50A21363" w14:textId="7B8DBB2F" w:rsidR="000D0774" w:rsidRPr="00C567FA" w:rsidRDefault="000D0774" w:rsidP="007D536E">
      <w:r w:rsidRPr="00C567FA">
        <w:t>19.4</w:t>
      </w:r>
      <w:r w:rsidRPr="00C567FA">
        <w:tab/>
        <w:t>Le secrétariat a souligné qu</w:t>
      </w:r>
      <w:r w:rsidR="007D536E">
        <w:t>'</w:t>
      </w:r>
      <w:r w:rsidRPr="00C567FA">
        <w:t>il était l</w:t>
      </w:r>
      <w:r w:rsidR="007D536E">
        <w:t>'</w:t>
      </w:r>
      <w:r w:rsidRPr="00C567FA">
        <w:t>important de remédier à cette divergence, afin de veiller à ce que l</w:t>
      </w:r>
      <w:r w:rsidR="007D536E">
        <w:t>'</w:t>
      </w:r>
      <w:r w:rsidRPr="00C567FA">
        <w:t>UIT soit en phase avec la CFPI, comme les autres institutions du système des Nations Unies.</w:t>
      </w:r>
    </w:p>
    <w:p w14:paraId="74CEA2DD" w14:textId="587D4305" w:rsidR="000D0774" w:rsidRDefault="000D0774" w:rsidP="007D536E">
      <w:pPr>
        <w:spacing w:after="240"/>
      </w:pPr>
      <w:r w:rsidRPr="00C567FA">
        <w:t>19.5</w:t>
      </w:r>
      <w:r w:rsidRPr="00C567FA">
        <w:tab/>
      </w:r>
      <w:r>
        <w:t>Le secrétariat a confirmé que les normes établies par la CFPI signifient implicitement que les</w:t>
      </w:r>
      <w:r w:rsidR="007D536E">
        <w:t xml:space="preserve"> </w:t>
      </w:r>
      <w:r>
        <w:t>décisions et les recommandations de la CFPI, ainsi que les Résolutions pertinentes de l</w:t>
      </w:r>
      <w:r w:rsidR="007D536E">
        <w:t>'</w:t>
      </w:r>
      <w:r>
        <w:t>Assemblée générale des Nations Unies relatives au régime commun des Nations Unies, s</w:t>
      </w:r>
      <w:r w:rsidR="007D536E">
        <w:t>'</w:t>
      </w:r>
      <w:r>
        <w:t>appliquent à l</w:t>
      </w:r>
      <w:r w:rsidR="007D536E">
        <w:t>'</w:t>
      </w:r>
      <w:r>
        <w:t>UIT.</w:t>
      </w:r>
    </w:p>
    <w:p w14:paraId="364AF9B0" w14:textId="3F407F9C" w:rsidR="000D0774" w:rsidRPr="00C567FA" w:rsidRDefault="000D0774" w:rsidP="007D536E">
      <w:pPr>
        <w:spacing w:after="240"/>
      </w:pPr>
      <w:r>
        <w:t xml:space="preserve">19.6 </w:t>
      </w:r>
      <w:r w:rsidRPr="00C567FA">
        <w:t>Pour aligner le Statut du personnel sur la CFPI et simplifier les amendements futurs, il a également été proposé de supprimer ces informations détaillées dans le Statut du personnel et de renvoyer directement aux normes établies par la CFPI, comme indiqué dans l</w:t>
      </w:r>
      <w:r w:rsidR="007D536E">
        <w:t>'</w:t>
      </w:r>
      <w:r w:rsidRPr="00C567FA">
        <w:t>Annexe de la proposition.</w:t>
      </w:r>
    </w:p>
    <w:tbl>
      <w:tblPr>
        <w:tblStyle w:val="TableGrid"/>
        <w:tblW w:w="0" w:type="auto"/>
        <w:tblLook w:val="04A0" w:firstRow="1" w:lastRow="0" w:firstColumn="1" w:lastColumn="0" w:noHBand="0" w:noVBand="1"/>
      </w:tblPr>
      <w:tblGrid>
        <w:gridCol w:w="9629"/>
      </w:tblGrid>
      <w:tr w:rsidR="000D0774" w:rsidRPr="00C567FA" w14:paraId="45D82B54" w14:textId="77777777" w:rsidTr="002932F3">
        <w:tc>
          <w:tcPr>
            <w:tcW w:w="9629" w:type="dxa"/>
          </w:tcPr>
          <w:p w14:paraId="7559A316" w14:textId="77777777" w:rsidR="000D0774" w:rsidRPr="00C567FA" w:rsidRDefault="000D0774" w:rsidP="007D536E">
            <w:pPr>
              <w:pStyle w:val="Headingb"/>
              <w:rPr>
                <w:bCs/>
                <w:i/>
                <w:iCs/>
              </w:rPr>
            </w:pPr>
            <w:r w:rsidRPr="00C567FA">
              <w:rPr>
                <w:bCs/>
                <w:i/>
                <w:iCs/>
              </w:rPr>
              <w:t>Recommandation</w:t>
            </w:r>
          </w:p>
          <w:p w14:paraId="0AD26E25" w14:textId="50E59481" w:rsidR="000D0774" w:rsidRPr="00C567FA" w:rsidRDefault="000D0774" w:rsidP="007D536E">
            <w:pPr>
              <w:spacing w:after="120"/>
            </w:pPr>
            <w:r w:rsidRPr="00C567FA">
              <w:t>19.</w:t>
            </w:r>
            <w:r>
              <w:t>7</w:t>
            </w:r>
            <w:r w:rsidRPr="00C567FA">
              <w:tab/>
              <w:t>La Commission recommande au Conseil d</w:t>
            </w:r>
            <w:r w:rsidR="007D536E">
              <w:t>'</w:t>
            </w:r>
            <w:r w:rsidRPr="00C567FA">
              <w:t>approuver le projet de Décision reproduit dans l</w:t>
            </w:r>
            <w:r w:rsidR="007D536E">
              <w:t>'</w:t>
            </w:r>
            <w:r w:rsidRPr="00C567FA">
              <w:t>Annexe B du présent rapport.</w:t>
            </w:r>
          </w:p>
        </w:tc>
      </w:tr>
    </w:tbl>
    <w:p w14:paraId="1102FD9A" w14:textId="2BA4AFE4" w:rsidR="000D0774" w:rsidRPr="00C567FA" w:rsidRDefault="000D0774" w:rsidP="007D536E">
      <w:pPr>
        <w:pStyle w:val="Heading1"/>
      </w:pPr>
      <w:r w:rsidRPr="00C567FA">
        <w:t>20</w:t>
      </w:r>
      <w:r w:rsidRPr="00C567FA">
        <w:tab/>
        <w:t>Rapport de gestion financière pour l</w:t>
      </w:r>
      <w:r w:rsidR="007D536E">
        <w:t>'</w:t>
      </w:r>
      <w:r w:rsidRPr="00C567FA">
        <w:t>exercice financier 2020 (Document </w:t>
      </w:r>
      <w:hyperlink r:id="rId73" w:history="1">
        <w:r w:rsidRPr="00C567FA">
          <w:rPr>
            <w:rStyle w:val="Hyperlink"/>
          </w:rPr>
          <w:t>C22/42</w:t>
        </w:r>
      </w:hyperlink>
      <w:r w:rsidRPr="00C567FA">
        <w:t>)</w:t>
      </w:r>
    </w:p>
    <w:p w14:paraId="3AC7A662" w14:textId="73B2A718" w:rsidR="000D0774" w:rsidRPr="00C567FA" w:rsidRDefault="000D0774" w:rsidP="007D536E">
      <w:r w:rsidRPr="00C567FA">
        <w:t>20.1</w:t>
      </w:r>
      <w:r w:rsidRPr="00C567FA">
        <w:tab/>
        <w:t>Le secrétariat a présenté le rapport de gestion financière sur les comptes vérifiés pour l</w:t>
      </w:r>
      <w:r w:rsidR="007D536E">
        <w:t>'</w:t>
      </w:r>
      <w:r w:rsidRPr="00C567FA">
        <w:t>exercice 2020, conformément aux dispositions de l</w:t>
      </w:r>
      <w:r w:rsidR="007D536E">
        <w:t>'</w:t>
      </w:r>
      <w:r w:rsidRPr="00C567FA">
        <w:t>Article 30 du Règlement financier et des Règles financières de l</w:t>
      </w:r>
      <w:r w:rsidR="007D536E">
        <w:t>'</w:t>
      </w:r>
      <w:r w:rsidRPr="00C567FA">
        <w:t>Union (édition de 2018).</w:t>
      </w:r>
    </w:p>
    <w:p w14:paraId="1846C23D" w14:textId="3949A9A9" w:rsidR="000D0774" w:rsidRPr="00C567FA" w:rsidRDefault="000D0774" w:rsidP="007D536E">
      <w:r w:rsidRPr="00C567FA">
        <w:t>20.2</w:t>
      </w:r>
      <w:r w:rsidRPr="00C567FA">
        <w:tab/>
        <w:t>Le rapport de gestion financière pour l</w:t>
      </w:r>
      <w:r w:rsidR="007D536E">
        <w:t>'</w:t>
      </w:r>
      <w:r w:rsidRPr="00C567FA">
        <w:t>exercice financier 2020 comprend:</w:t>
      </w:r>
    </w:p>
    <w:p w14:paraId="6D966052" w14:textId="498AE74E" w:rsidR="000D0774" w:rsidRPr="00C567FA" w:rsidRDefault="000D0774" w:rsidP="007D536E">
      <w:pPr>
        <w:pStyle w:val="enumlev1"/>
      </w:pPr>
      <w:r w:rsidRPr="00C567FA">
        <w:t>–</w:t>
      </w:r>
      <w:r w:rsidRPr="00C567FA">
        <w:tab/>
        <w:t>les comptes vérifiés de l</w:t>
      </w:r>
      <w:r w:rsidR="007D536E">
        <w:t>'</w:t>
      </w:r>
      <w:r w:rsidRPr="00C567FA">
        <w:t>exercice financier 2020 du budget de l</w:t>
      </w:r>
      <w:r w:rsidR="007D536E">
        <w:t>'</w:t>
      </w:r>
      <w:r w:rsidRPr="00C567FA">
        <w:t>Union;</w:t>
      </w:r>
    </w:p>
    <w:p w14:paraId="3CFA128A" w14:textId="3ECB2344" w:rsidR="000D0774" w:rsidRPr="00C567FA" w:rsidRDefault="000D0774" w:rsidP="007D536E">
      <w:pPr>
        <w:pStyle w:val="enumlev1"/>
      </w:pPr>
      <w:r w:rsidRPr="00C567FA">
        <w:t>–</w:t>
      </w:r>
      <w:r w:rsidRPr="00C567FA">
        <w:tab/>
        <w:t>les comptes vérifiés de 2020 pour les projets de coopération technique, les contributions volontaires et la Caisse d</w:t>
      </w:r>
      <w:r w:rsidR="007D536E">
        <w:t>'</w:t>
      </w:r>
      <w:r w:rsidRPr="00C567FA">
        <w:t>assurance du personnel de l</w:t>
      </w:r>
      <w:r w:rsidR="007D536E">
        <w:t>'</w:t>
      </w:r>
      <w:r w:rsidRPr="00C567FA">
        <w:t>UIT;</w:t>
      </w:r>
    </w:p>
    <w:p w14:paraId="60A60F93" w14:textId="77777777" w:rsidR="000D0774" w:rsidRPr="00C567FA" w:rsidRDefault="000D0774" w:rsidP="007D536E">
      <w:pPr>
        <w:pStyle w:val="enumlev1"/>
      </w:pPr>
      <w:r w:rsidRPr="00C567FA">
        <w:t>–</w:t>
      </w:r>
      <w:r w:rsidRPr="00C567FA">
        <w:tab/>
        <w:t>les comptes vérifiés relatifs à la manifestation ITU Telecom World 2020.</w:t>
      </w:r>
    </w:p>
    <w:p w14:paraId="5DB05344" w14:textId="77777777" w:rsidR="000D0774" w:rsidRPr="00C567FA" w:rsidRDefault="000D0774" w:rsidP="007D536E">
      <w:r w:rsidRPr="00C567FA">
        <w:t>20.3</w:t>
      </w:r>
      <w:r w:rsidRPr="00C567FA">
        <w:tab/>
        <w:t>Les états financiers sont établis conformément aux Normes comptables internationales pour le secteur public (IPSAS) depuis 2010 et couvrent les points suivants:</w:t>
      </w:r>
    </w:p>
    <w:p w14:paraId="507741E0" w14:textId="39AF4D79" w:rsidR="000D0774" w:rsidRPr="00C567FA" w:rsidRDefault="000D0774" w:rsidP="007D536E">
      <w:pPr>
        <w:pStyle w:val="enumlev1"/>
      </w:pPr>
      <w:r w:rsidRPr="00C567FA">
        <w:t>–</w:t>
      </w:r>
      <w:r w:rsidRPr="00C567FA">
        <w:tab/>
        <w:t>La Caisse d</w:t>
      </w:r>
      <w:r w:rsidR="007D536E">
        <w:t>'</w:t>
      </w:r>
      <w:r w:rsidRPr="00C567FA">
        <w:t>assurance du personnel de l</w:t>
      </w:r>
      <w:r w:rsidR="007D536E">
        <w:t>'</w:t>
      </w:r>
      <w:r w:rsidRPr="00C567FA">
        <w:t>UIT pour l</w:t>
      </w:r>
      <w:r w:rsidR="007D536E">
        <w:t>'</w:t>
      </w:r>
      <w:r w:rsidRPr="00C567FA">
        <w:t>exercice 2020.</w:t>
      </w:r>
    </w:p>
    <w:p w14:paraId="0A2716FA" w14:textId="3927FC67" w:rsidR="000D0774" w:rsidRPr="00C567FA" w:rsidRDefault="000D0774" w:rsidP="007D536E">
      <w:pPr>
        <w:pStyle w:val="enumlev1"/>
      </w:pPr>
      <w:r w:rsidRPr="00C567FA">
        <w:t>–</w:t>
      </w:r>
      <w:r w:rsidRPr="00C567FA">
        <w:tab/>
        <w:t>La Caisse commune des pensions du personnel des Nations Unies pour l</w:t>
      </w:r>
      <w:r w:rsidR="007D536E">
        <w:t>'</w:t>
      </w:r>
      <w:r w:rsidRPr="00C567FA">
        <w:t>exercice 2020.</w:t>
      </w:r>
    </w:p>
    <w:p w14:paraId="18A93E2E" w14:textId="0DF7F56E" w:rsidR="000D0774" w:rsidRPr="00C567FA" w:rsidRDefault="000D0774" w:rsidP="007D536E">
      <w:pPr>
        <w:pStyle w:val="enumlev1"/>
      </w:pPr>
      <w:r w:rsidRPr="00C567FA">
        <w:lastRenderedPageBreak/>
        <w:t>–</w:t>
      </w:r>
      <w:r w:rsidRPr="00C567FA">
        <w:tab/>
        <w:t>Les projets de coopération technique financés par le Programme des Nations Unies pour le développement (PNUD) pour l</w:t>
      </w:r>
      <w:r w:rsidR="007D536E">
        <w:t>'</w:t>
      </w:r>
      <w:r w:rsidRPr="00C567FA">
        <w:t>exercice 2020.</w:t>
      </w:r>
    </w:p>
    <w:p w14:paraId="2FC31785" w14:textId="77CF671D" w:rsidR="000D0774" w:rsidRPr="00C567FA" w:rsidRDefault="000D0774" w:rsidP="007D536E">
      <w:pPr>
        <w:pStyle w:val="enumlev1"/>
      </w:pPr>
      <w:r w:rsidRPr="00C567FA">
        <w:t>–</w:t>
      </w:r>
      <w:r w:rsidRPr="00C567FA">
        <w:tab/>
        <w:t>Les fonds d</w:t>
      </w:r>
      <w:r w:rsidR="007D536E">
        <w:t>'</w:t>
      </w:r>
      <w:r w:rsidRPr="00C567FA">
        <w:t>affectation spéciale pour l</w:t>
      </w:r>
      <w:r w:rsidR="007D536E">
        <w:t>'</w:t>
      </w:r>
      <w:r w:rsidRPr="00C567FA">
        <w:t>exercice 2020.</w:t>
      </w:r>
    </w:p>
    <w:p w14:paraId="6A6A149E" w14:textId="09A8FD89" w:rsidR="000D0774" w:rsidRPr="00C567FA" w:rsidRDefault="000D0774" w:rsidP="007D536E">
      <w:pPr>
        <w:pStyle w:val="enumlev1"/>
      </w:pPr>
      <w:r w:rsidRPr="00C567FA">
        <w:t>–</w:t>
      </w:r>
      <w:r w:rsidRPr="00C567FA">
        <w:tab/>
        <w:t>Les contributions volontaires pour l</w:t>
      </w:r>
      <w:r w:rsidR="007D536E">
        <w:t>'</w:t>
      </w:r>
      <w:r w:rsidRPr="00C567FA">
        <w:t>exercice 2020.</w:t>
      </w:r>
    </w:p>
    <w:p w14:paraId="02A5E04C" w14:textId="2E73F282" w:rsidR="000D0774" w:rsidRPr="00C567FA" w:rsidRDefault="000D0774" w:rsidP="007D536E">
      <w:pPr>
        <w:pStyle w:val="enumlev1"/>
      </w:pPr>
      <w:r w:rsidRPr="00C567FA">
        <w:t>–</w:t>
      </w:r>
      <w:r w:rsidRPr="00C567FA">
        <w:tab/>
        <w:t>Le Fonds pour le développement des technologies de l</w:t>
      </w:r>
      <w:r w:rsidR="007D536E">
        <w:t>'</w:t>
      </w:r>
      <w:r w:rsidRPr="00C567FA">
        <w:t>information et de la communication pour l</w:t>
      </w:r>
      <w:r w:rsidR="007D536E">
        <w:t>'</w:t>
      </w:r>
      <w:r w:rsidRPr="00C567FA">
        <w:t>exercice 2020.</w:t>
      </w:r>
    </w:p>
    <w:p w14:paraId="309A707E" w14:textId="77777777" w:rsidR="000D0774" w:rsidRPr="00C567FA" w:rsidRDefault="000D0774" w:rsidP="007D536E">
      <w:pPr>
        <w:pStyle w:val="enumlev1"/>
      </w:pPr>
      <w:r w:rsidRPr="00C567FA">
        <w:t>–</w:t>
      </w:r>
      <w:r w:rsidRPr="00C567FA">
        <w:tab/>
        <w:t>La manifestation ITU TELECOM World 2020.</w:t>
      </w:r>
    </w:p>
    <w:p w14:paraId="2FDA640C" w14:textId="77777777" w:rsidR="000D0774" w:rsidRPr="00C567FA" w:rsidRDefault="000D0774" w:rsidP="007D536E">
      <w:pPr>
        <w:pStyle w:val="enumlev1"/>
      </w:pPr>
      <w:r w:rsidRPr="00C567FA">
        <w:t>–</w:t>
      </w:r>
      <w:r w:rsidRPr="00C567FA">
        <w:tab/>
        <w:t>Le projet de nouveau bâtiment.</w:t>
      </w:r>
    </w:p>
    <w:p w14:paraId="683CFBC5" w14:textId="1011BC7F" w:rsidR="000D0774" w:rsidRPr="00C567FA" w:rsidRDefault="000D0774" w:rsidP="007D536E">
      <w:r w:rsidRPr="00C567FA">
        <w:t>20.4</w:t>
      </w:r>
      <w:r w:rsidRPr="00C567FA">
        <w:tab/>
        <w:t>En raison de la pandémie mondiale de COVID-19, il n</w:t>
      </w:r>
      <w:r w:rsidR="007D536E">
        <w:t>'</w:t>
      </w:r>
      <w:r w:rsidRPr="00C567FA">
        <w:t>a pas été possible d</w:t>
      </w:r>
      <w:r w:rsidR="007D536E">
        <w:t>'</w:t>
      </w:r>
      <w:r w:rsidRPr="00C567FA">
        <w:t>organiser des manifestations physiques, de sorte que l</w:t>
      </w:r>
      <w:r w:rsidR="007D536E">
        <w:t>'</w:t>
      </w:r>
      <w:r w:rsidRPr="00C567FA">
        <w:t>UIT a dû tenir des manifestations virtuelles:</w:t>
      </w:r>
    </w:p>
    <w:p w14:paraId="0693A57D" w14:textId="77777777" w:rsidR="000D0774" w:rsidRPr="00C567FA" w:rsidRDefault="000D0774" w:rsidP="007D536E">
      <w:pPr>
        <w:pStyle w:val="enumlev1"/>
      </w:pPr>
      <w:r w:rsidRPr="00C567FA">
        <w:t>–</w:t>
      </w:r>
      <w:r w:rsidRPr="00C567FA">
        <w:tab/>
        <w:t>Forum du SMSI: 7-10 septembre 2020.</w:t>
      </w:r>
    </w:p>
    <w:p w14:paraId="6940559E" w14:textId="23FAF129" w:rsidR="000D0774" w:rsidRPr="00C567FA" w:rsidRDefault="000D0774" w:rsidP="007D536E">
      <w:pPr>
        <w:pStyle w:val="enumlev1"/>
      </w:pPr>
      <w:r w:rsidRPr="00C567FA">
        <w:t>–</w:t>
      </w:r>
      <w:r w:rsidRPr="00C567FA">
        <w:tab/>
        <w:t>Sommet mondial sur l</w:t>
      </w:r>
      <w:r w:rsidR="007D536E">
        <w:t>'</w:t>
      </w:r>
      <w:r w:rsidRPr="00C567FA">
        <w:t>intelligence artificielle au service du bien social: 2020.</w:t>
      </w:r>
    </w:p>
    <w:p w14:paraId="64218ADA" w14:textId="77777777" w:rsidR="000D0774" w:rsidRPr="00C567FA" w:rsidRDefault="000D0774" w:rsidP="007D536E">
      <w:pPr>
        <w:pStyle w:val="enumlev1"/>
      </w:pPr>
      <w:r w:rsidRPr="00C567FA">
        <w:t>–</w:t>
      </w:r>
      <w:r w:rsidRPr="00C567FA">
        <w:tab/>
        <w:t>ITU Digital World 2020: octobre-décembre 2020.</w:t>
      </w:r>
    </w:p>
    <w:p w14:paraId="75D8C215" w14:textId="41590BBF" w:rsidR="000D0774" w:rsidRPr="00C567FA" w:rsidRDefault="000D0774" w:rsidP="007D536E">
      <w:pPr>
        <w:pStyle w:val="enumlev1"/>
      </w:pPr>
      <w:r w:rsidRPr="00C567FA">
        <w:t>–</w:t>
      </w:r>
      <w:r w:rsidRPr="00C567FA">
        <w:tab/>
        <w:t>L</w:t>
      </w:r>
      <w:r w:rsidR="007D536E">
        <w:t>'</w:t>
      </w:r>
      <w:r w:rsidRPr="00C567FA">
        <w:t>Union a poursuivi ses efforts en vue d</w:t>
      </w:r>
      <w:r w:rsidR="007D536E">
        <w:t>'</w:t>
      </w:r>
      <w:r w:rsidRPr="00C567FA">
        <w:t>améliorer les procédures de coordination et de réduire les coûts, conformément à l</w:t>
      </w:r>
      <w:r w:rsidR="007D536E">
        <w:t>'</w:t>
      </w:r>
      <w:r w:rsidRPr="00C567FA">
        <w:t>Annexe 2 de la Décision 5 (Rév. Dubaï, 2018) de la Conférence de plénipotentiaires.</w:t>
      </w:r>
    </w:p>
    <w:p w14:paraId="179A8742" w14:textId="62085C09" w:rsidR="000D0774" w:rsidRPr="00C567FA" w:rsidRDefault="000D0774" w:rsidP="007D536E">
      <w:pPr>
        <w:pStyle w:val="enumlev1"/>
      </w:pPr>
      <w:r w:rsidRPr="00C567FA">
        <w:t>–</w:t>
      </w:r>
      <w:r w:rsidRPr="00C567FA">
        <w:tab/>
        <w:t>Participation aux activités financées conjointement avec les Nations Unies à des initiatives qui ont entraîné une réduction des coûts pour les organismes participants, par exemple une baisse des coûts de l</w:t>
      </w:r>
      <w:r w:rsidR="007D536E">
        <w:t>'</w:t>
      </w:r>
      <w:r w:rsidRPr="00C567FA">
        <w:t>électricité, des fournitures de bureau, du mazout et des services de courrier et la négociation de tarifs plus bas avec les compagnies aériennes.</w:t>
      </w:r>
    </w:p>
    <w:p w14:paraId="1E43AA8C" w14:textId="56D7C96D" w:rsidR="000D0774" w:rsidRPr="00C567FA" w:rsidRDefault="000D0774" w:rsidP="007D536E">
      <w:pPr>
        <w:pStyle w:val="enumlev1"/>
      </w:pPr>
      <w:r w:rsidRPr="00C567FA">
        <w:t>–</w:t>
      </w:r>
      <w:r w:rsidRPr="00C567FA">
        <w:tab/>
        <w:t>L</w:t>
      </w:r>
      <w:r w:rsidR="007D536E">
        <w:t>'</w:t>
      </w:r>
      <w:r w:rsidRPr="00C567FA">
        <w:t>UIT a rejoint l</w:t>
      </w:r>
      <w:r w:rsidR="007D536E">
        <w:t>'</w:t>
      </w:r>
      <w:r w:rsidRPr="00C567FA">
        <w:t>Assurance mutuelle contre la maladie et les accidents du personnel des Nations Unies (UNSMIS) à compter du 1er janvier 2020, sur la base d</w:t>
      </w:r>
      <w:r w:rsidR="007D536E">
        <w:t>'</w:t>
      </w:r>
      <w:r w:rsidRPr="00C567FA">
        <w:t xml:space="preserve">une recommandation du </w:t>
      </w:r>
      <w:r w:rsidRPr="00C567FA">
        <w:rPr>
          <w:i/>
          <w:iCs/>
        </w:rPr>
        <w:t>Comité de la Convention collective d</w:t>
      </w:r>
      <w:r w:rsidR="007D536E">
        <w:rPr>
          <w:i/>
          <w:iCs/>
        </w:rPr>
        <w:t>'</w:t>
      </w:r>
      <w:r w:rsidRPr="00C567FA">
        <w:rPr>
          <w:i/>
          <w:iCs/>
        </w:rPr>
        <w:t>assurance maladie</w:t>
      </w:r>
      <w:r w:rsidRPr="00C567FA">
        <w:t>, qui regroupe plusieurs institutions spécialisées des Nations Unies basées à Genève et offre une couverture d</w:t>
      </w:r>
      <w:r w:rsidR="007D536E">
        <w:t>'</w:t>
      </w:r>
      <w:r w:rsidRPr="00C567FA">
        <w:t>assurance maladie aux fonctionnaires de l</w:t>
      </w:r>
      <w:r w:rsidR="007D536E">
        <w:t>'</w:t>
      </w:r>
      <w:r w:rsidRPr="00C567FA">
        <w:t>ONUG, de l</w:t>
      </w:r>
      <w:r w:rsidR="007D536E">
        <w:t>'</w:t>
      </w:r>
      <w:r w:rsidRPr="00C567FA">
        <w:t>UNHCR et de l</w:t>
      </w:r>
      <w:r w:rsidR="007D536E">
        <w:t>'</w:t>
      </w:r>
      <w:r w:rsidRPr="00C567FA">
        <w:t>OMM.</w:t>
      </w:r>
    </w:p>
    <w:p w14:paraId="24F27FD9" w14:textId="1B3ECBC1" w:rsidR="000D0774" w:rsidRPr="00C567FA" w:rsidRDefault="000D0774" w:rsidP="007D536E">
      <w:r w:rsidRPr="00C567FA">
        <w:t>20.5</w:t>
      </w:r>
      <w:r w:rsidRPr="00C567FA">
        <w:tab/>
        <w:t>Une comparaison de la situation financière des comptes de l</w:t>
      </w:r>
      <w:r w:rsidR="007D536E">
        <w:t>'</w:t>
      </w:r>
      <w:r w:rsidRPr="00C567FA">
        <w:t>UIT en francs suisses (CHF) entre 2020 et 2019 a été fournie dans un tableau indiquant les produits, les charges, l</w:t>
      </w:r>
      <w:r w:rsidR="007D536E">
        <w:t>'</w:t>
      </w:r>
      <w:r w:rsidRPr="00C567FA">
        <w:t>excédent/le déficit, les actifs, les passifs et l</w:t>
      </w:r>
      <w:r w:rsidR="007D536E">
        <w:t>'</w:t>
      </w:r>
      <w:r w:rsidRPr="00C567FA">
        <w:t>actif net.</w:t>
      </w:r>
    </w:p>
    <w:p w14:paraId="061F6A26" w14:textId="7EC9995C" w:rsidR="000D0774" w:rsidRPr="00C567FA" w:rsidRDefault="000D0774" w:rsidP="007D536E">
      <w:r w:rsidRPr="00C567FA">
        <w:t>20.6</w:t>
      </w:r>
      <w:r w:rsidRPr="00C567FA">
        <w:tab/>
        <w:t>Conformément à la Décision 5 (Rév. Dubaï, 2018), un montant de 1 million CHF a été prélevé sur le Fonds de réserve et versé au Fonds ASHI. En raison du report de l</w:t>
      </w:r>
      <w:r w:rsidR="007D536E">
        <w:t>'</w:t>
      </w:r>
      <w:r w:rsidRPr="00C567FA">
        <w:t>AMNT et des RPM en vue de la CMDT, un montant de 1,86 million CHF a été comptabilisé au titre des activités reportées et sera prélevé sur le Fonds de réserve afin d</w:t>
      </w:r>
      <w:r w:rsidR="007D536E">
        <w:t>'</w:t>
      </w:r>
      <w:r w:rsidRPr="00C567FA">
        <w:t>être utilisé en 2021 et 2022. Au 31 décembre 2020, le solde du Fonds de réserve s</w:t>
      </w:r>
      <w:r w:rsidR="007D536E">
        <w:t>'</w:t>
      </w:r>
      <w:r w:rsidRPr="00C567FA">
        <w:t>établissait à 25,8 millions CHF (contre 24,9 millions CHF en 2019), soit 15,6% du budget pour 2020.</w:t>
      </w:r>
    </w:p>
    <w:p w14:paraId="7E37DDC3" w14:textId="7FE46CF5" w:rsidR="000D0774" w:rsidRPr="00C567FA" w:rsidRDefault="000D0774" w:rsidP="007D536E">
      <w:r w:rsidRPr="00C567FA">
        <w:t>20.7</w:t>
      </w:r>
      <w:r w:rsidRPr="00C567FA">
        <w:tab/>
        <w:t>Le passif le plus important est constitué par les futurs avantages du personnel acquis par les fonctionnaires en service et les fonctionnaires retraités et représentait 72% du passif total de l</w:t>
      </w:r>
      <w:r w:rsidR="007D536E">
        <w:t>'</w:t>
      </w:r>
      <w:r w:rsidRPr="00C567FA">
        <w:t>UIT au 31 décembre 2020. Le passif de l</w:t>
      </w:r>
      <w:r w:rsidR="007D536E">
        <w:t>'</w:t>
      </w:r>
      <w:r w:rsidRPr="00C567FA">
        <w:t>ASHI représentait 96% du passif de l</w:t>
      </w:r>
      <w:r w:rsidR="007D536E">
        <w:t>'</w:t>
      </w:r>
      <w:r w:rsidRPr="00C567FA">
        <w:t>ensemble des avantages du personnel, soit un chiffre qui reste stable malgré une augmentation du passif de l</w:t>
      </w:r>
      <w:r w:rsidR="007D536E">
        <w:t>'</w:t>
      </w:r>
      <w:r w:rsidRPr="00C567FA">
        <w:t>ASHI due à la baisse du taux d</w:t>
      </w:r>
      <w:r w:rsidR="007D536E">
        <w:t>'</w:t>
      </w:r>
      <w:r w:rsidRPr="00C567FA">
        <w:t>actualisation, qui est passé de 0,6% à 0,2%.</w:t>
      </w:r>
    </w:p>
    <w:p w14:paraId="3ED2DDA4" w14:textId="77777777" w:rsidR="00EF4CBE" w:rsidRDefault="00EF4CBE" w:rsidP="007D536E">
      <w:r>
        <w:br w:type="page"/>
      </w:r>
    </w:p>
    <w:p w14:paraId="40437741" w14:textId="16A926E9" w:rsidR="000D0774" w:rsidRPr="00C567FA" w:rsidRDefault="000D0774" w:rsidP="007D536E">
      <w:r w:rsidRPr="00C567FA">
        <w:lastRenderedPageBreak/>
        <w:t>20.8</w:t>
      </w:r>
      <w:r w:rsidRPr="00C567FA">
        <w:tab/>
        <w:t>Les amortissements, les pertes et les gains sur cours non réalisés, ainsi qu</w:t>
      </w:r>
      <w:r w:rsidR="007D536E">
        <w:t>'</w:t>
      </w:r>
      <w:r w:rsidRPr="00C567FA">
        <w:t>un ajustement de la provision pour les prestations maladie après cessation de service des fonctionnaires (ASHI), ne sont pas inscrits au budget et ne sont indiqués qu</w:t>
      </w:r>
      <w:r w:rsidR="007D536E">
        <w:t>'</w:t>
      </w:r>
      <w:r w:rsidRPr="00C567FA">
        <w:t>à des fins statistiques, étant donné qu</w:t>
      </w:r>
      <w:r w:rsidR="007D536E">
        <w:t>'</w:t>
      </w:r>
      <w:r w:rsidRPr="00C567FA">
        <w:t>ils ne représentent pas de sorties de fonds pendant l</w:t>
      </w:r>
      <w:r w:rsidR="007D536E">
        <w:t>'</w:t>
      </w:r>
      <w:r w:rsidRPr="00C567FA">
        <w:t>année. Un aperçu de ces positions figure dans le Tableau V du présent document – Comparaison des montants budgétés et des montants effectifs pour l</w:t>
      </w:r>
      <w:r w:rsidR="007D536E">
        <w:t>'</w:t>
      </w:r>
      <w:r w:rsidRPr="00C567FA">
        <w:t>exercice financier 2020.</w:t>
      </w:r>
    </w:p>
    <w:p w14:paraId="7742C45D" w14:textId="11DFBC40" w:rsidR="000D0774" w:rsidRPr="00C567FA" w:rsidRDefault="000D0774" w:rsidP="007D536E">
      <w:r w:rsidRPr="00C567FA">
        <w:t>20.9</w:t>
      </w:r>
      <w:r w:rsidRPr="00C567FA">
        <w:tab/>
        <w:t>Le solde du Fonds pour le développement des TIC s</w:t>
      </w:r>
      <w:r w:rsidR="007D536E">
        <w:t>'</w:t>
      </w:r>
      <w:r w:rsidRPr="00C567FA">
        <w:t>établissait à 3,8 millions CHF au 31 décembre 2020 (contre 4,6 millions CHF au 31 décembre 2019).</w:t>
      </w:r>
    </w:p>
    <w:p w14:paraId="57741620" w14:textId="7627F4D4" w:rsidR="000D0774" w:rsidRPr="00C567FA" w:rsidRDefault="000D0774" w:rsidP="007D536E">
      <w:pPr>
        <w:tabs>
          <w:tab w:val="clear" w:pos="567"/>
          <w:tab w:val="left" w:pos="851"/>
        </w:tabs>
      </w:pPr>
      <w:r w:rsidRPr="00C567FA">
        <w:t>20.10</w:t>
      </w:r>
      <w:r w:rsidRPr="00C567FA">
        <w:tab/>
        <w:t>En raison de la pandémie de COVID-19, la manifestation ITU Telecom World 2020, qui devait avoir lieu en présentiel, s</w:t>
      </w:r>
      <w:r w:rsidR="007D536E">
        <w:t>'</w:t>
      </w:r>
      <w:r w:rsidRPr="00C567FA">
        <w:t>est tenue sous forme virtuelle. Cette manifestation n</w:t>
      </w:r>
      <w:r w:rsidR="007D536E">
        <w:t>'</w:t>
      </w:r>
      <w:r w:rsidRPr="00C567FA">
        <w:t>a pas permis de dégager d</w:t>
      </w:r>
      <w:r w:rsidR="007D536E">
        <w:t>'</w:t>
      </w:r>
      <w:r w:rsidRPr="00C567FA">
        <w:t>importantes recettes, mais il a fallu continuer de financer les traitements du personnel du secrétariat d</w:t>
      </w:r>
      <w:r w:rsidR="007D536E">
        <w:t>'</w:t>
      </w:r>
      <w:r w:rsidRPr="00C567FA">
        <w:t>ITU Telecom. En conséquence, la manifestation ITU Digital World 2020 a accusé un déficit de 1,9 million CHF, qui a été versé sur le Fonds de roulement des Expositions. Le solde de ce Fonds s</w:t>
      </w:r>
      <w:r w:rsidR="007D536E">
        <w:t>'</w:t>
      </w:r>
      <w:r w:rsidRPr="00C567FA">
        <w:t>établissait à 6,5 millions CHF au 31 décembre 2020 (contre 8,21 millions CHF au 31 décembre 2019).</w:t>
      </w:r>
    </w:p>
    <w:p w14:paraId="1B81AAA9" w14:textId="5236E508" w:rsidR="000D0774" w:rsidRPr="00C567FA" w:rsidRDefault="000D0774" w:rsidP="007D536E">
      <w:pPr>
        <w:tabs>
          <w:tab w:val="clear" w:pos="567"/>
          <w:tab w:val="left" w:pos="851"/>
        </w:tabs>
      </w:pPr>
      <w:r w:rsidRPr="00C567FA">
        <w:t>20.11</w:t>
      </w:r>
      <w:r w:rsidRPr="00C567FA">
        <w:tab/>
        <w:t>Au titre de la Résolution 11 (Rév. Dubaï, 2018) de la Conférence de plénipotentiaires, un montant de 750 000 CHF a été affecté au recrutement d</w:t>
      </w:r>
      <w:r w:rsidR="007D536E">
        <w:t>'</w:t>
      </w:r>
      <w:r w:rsidRPr="00C567FA">
        <w:t>un cabinet de conseil chargé de procéder à une évaluation et à un examen détaillés des manifestations ITU Telecom. Le solde disponible s</w:t>
      </w:r>
      <w:r w:rsidR="007D536E">
        <w:t>'</w:t>
      </w:r>
      <w:r w:rsidRPr="00C567FA">
        <w:t>élevait à 125 434 CHF au 31 décembre 2020, après paiement des prestations de conseil.</w:t>
      </w:r>
    </w:p>
    <w:p w14:paraId="587CD17C" w14:textId="77777777" w:rsidR="000D0774" w:rsidRPr="00C567FA" w:rsidRDefault="000D0774" w:rsidP="007D536E">
      <w:pPr>
        <w:tabs>
          <w:tab w:val="clear" w:pos="567"/>
          <w:tab w:val="left" w:pos="851"/>
        </w:tabs>
      </w:pPr>
      <w:r w:rsidRPr="00C567FA">
        <w:t>20.12</w:t>
      </w:r>
      <w:r w:rsidRPr="00C567FA">
        <w:tab/>
        <w:t>Les principaux indicateurs financiers ont été présentés sous la forme de graphiques, notamment pour ce qui est de la stabilité et de la sécurité financière/des risques, de la réserve de capitaux propres et de trésorerie et de la solvabilité immédiate. Les résultats financiers indiquant le ratio des dépenses de personnel par rapport au total des charges et au total des produits ont été présentés.</w:t>
      </w:r>
    </w:p>
    <w:p w14:paraId="477D75D0" w14:textId="717C1D1D" w:rsidR="000D0774" w:rsidRPr="00C567FA" w:rsidRDefault="000D0774" w:rsidP="007D536E">
      <w:pPr>
        <w:tabs>
          <w:tab w:val="clear" w:pos="567"/>
          <w:tab w:val="left" w:pos="851"/>
        </w:tabs>
      </w:pPr>
      <w:r w:rsidRPr="00C567FA">
        <w:t>20.13</w:t>
      </w:r>
      <w:r w:rsidRPr="00C567FA">
        <w:tab/>
        <w:t>À la suite d</w:t>
      </w:r>
      <w:r w:rsidR="007D536E">
        <w:t>'</w:t>
      </w:r>
      <w:r w:rsidRPr="00C567FA">
        <w:t>une évaluation des incidences d</w:t>
      </w:r>
      <w:r w:rsidR="007D536E">
        <w:t>'</w:t>
      </w:r>
      <w:r w:rsidRPr="00C567FA">
        <w:t>une réduction éventuelle des contributions que pourraient entraîner les crises économique et financière mondiales, et compte tenu des activités projetées et des risques correspondants, il apparaît que l</w:t>
      </w:r>
      <w:r w:rsidR="007D536E">
        <w:t>'</w:t>
      </w:r>
      <w:r w:rsidRPr="00C567FA">
        <w:t>Union dispose de ressources suffisantes pour continuer à exercer ses activités à moyen terme. Les états financiers de l</w:t>
      </w:r>
      <w:r w:rsidR="007D536E">
        <w:t>'</w:t>
      </w:r>
      <w:r w:rsidRPr="00C567FA">
        <w:t>Union continueront d</w:t>
      </w:r>
      <w:r w:rsidR="007D536E">
        <w:t>'</w:t>
      </w:r>
      <w:r w:rsidRPr="00C567FA">
        <w:t>être établis sur la base de la méthode de l</w:t>
      </w:r>
      <w:r w:rsidR="007D536E">
        <w:t>'</w:t>
      </w:r>
      <w:r w:rsidRPr="00C567FA">
        <w:t>activité continue. La déclaration sur le contrôle interne pour 2020 est jointe au présent rapport de gestion financière.</w:t>
      </w:r>
    </w:p>
    <w:p w14:paraId="331D7864" w14:textId="7834929B" w:rsidR="000D0774" w:rsidRPr="00C567FA" w:rsidRDefault="000D0774" w:rsidP="007D536E">
      <w:pPr>
        <w:tabs>
          <w:tab w:val="clear" w:pos="567"/>
          <w:tab w:val="left" w:pos="851"/>
        </w:tabs>
      </w:pPr>
      <w:r w:rsidRPr="00C567FA">
        <w:t>20.14</w:t>
      </w:r>
      <w:r w:rsidRPr="00C567FA">
        <w:tab/>
        <w:t>Conformément à l</w:t>
      </w:r>
      <w:r w:rsidR="007D536E">
        <w:t>'</w:t>
      </w:r>
      <w:r w:rsidRPr="00C567FA">
        <w:t>Article 30 du Règlement financier et des Règles financières de l</w:t>
      </w:r>
      <w:r w:rsidR="007D536E">
        <w:t>'</w:t>
      </w:r>
      <w:r w:rsidRPr="00C567FA">
        <w:t>Union, les états financiers ci-après, qui ont été élaborés conformément aux normes IPSAS, ont été certifiés comme donnant une image fidèle de la situation financière de l</w:t>
      </w:r>
      <w:r w:rsidR="007D536E">
        <w:t>'</w:t>
      </w:r>
      <w:r w:rsidRPr="00C567FA">
        <w:t>Union au 31 décembre 2020:</w:t>
      </w:r>
    </w:p>
    <w:p w14:paraId="0CA06747" w14:textId="77777777" w:rsidR="000D0774" w:rsidRPr="00C567FA" w:rsidRDefault="000D0774" w:rsidP="007D536E">
      <w:pPr>
        <w:pStyle w:val="enumlev1"/>
      </w:pPr>
      <w:r w:rsidRPr="00C567FA">
        <w:t>I)</w:t>
      </w:r>
      <w:r w:rsidRPr="00C567FA">
        <w:tab/>
        <w:t>État de la situation financière – Bilan au 31 décembre 2020</w:t>
      </w:r>
    </w:p>
    <w:p w14:paraId="00A6C532" w14:textId="7321F382" w:rsidR="000D0774" w:rsidRPr="00C567FA" w:rsidRDefault="000D0774" w:rsidP="007D536E">
      <w:pPr>
        <w:pStyle w:val="enumlev1"/>
      </w:pPr>
      <w:r w:rsidRPr="00C567FA">
        <w:t>II)</w:t>
      </w:r>
      <w:r w:rsidRPr="00C567FA">
        <w:tab/>
        <w:t>État de la performance financière pour l</w:t>
      </w:r>
      <w:r w:rsidR="007D536E">
        <w:t>'</w:t>
      </w:r>
      <w:r w:rsidRPr="00C567FA">
        <w:t>exercice clos le 31 décembre 2020</w:t>
      </w:r>
    </w:p>
    <w:p w14:paraId="18E7BDB2" w14:textId="6844D993" w:rsidR="000D0774" w:rsidRPr="00C567FA" w:rsidRDefault="000D0774" w:rsidP="007D536E">
      <w:pPr>
        <w:pStyle w:val="enumlev1"/>
      </w:pPr>
      <w:r w:rsidRPr="00C567FA">
        <w:t>III)</w:t>
      </w:r>
      <w:r w:rsidRPr="00C567FA">
        <w:tab/>
        <w:t>État des variations de l</w:t>
      </w:r>
      <w:r w:rsidR="007D536E">
        <w:t>'</w:t>
      </w:r>
      <w:r w:rsidRPr="00C567FA">
        <w:t>actif net pour l</w:t>
      </w:r>
      <w:r w:rsidR="007D536E">
        <w:t>'</w:t>
      </w:r>
      <w:r w:rsidRPr="00C567FA">
        <w:t>exercice clos le 31 décembre 2020</w:t>
      </w:r>
    </w:p>
    <w:p w14:paraId="0D6527CA" w14:textId="3F8D61A0" w:rsidR="000D0774" w:rsidRPr="00C567FA" w:rsidRDefault="000D0774" w:rsidP="007D536E">
      <w:pPr>
        <w:pStyle w:val="enumlev1"/>
      </w:pPr>
      <w:r w:rsidRPr="00C567FA">
        <w:t>IV)</w:t>
      </w:r>
      <w:r w:rsidRPr="00C567FA">
        <w:tab/>
        <w:t>État des flux de trésorerie pour l</w:t>
      </w:r>
      <w:r w:rsidR="007D536E">
        <w:t>'</w:t>
      </w:r>
      <w:r w:rsidRPr="00C567FA">
        <w:t>exercice clos le 31 décembre 2020</w:t>
      </w:r>
    </w:p>
    <w:p w14:paraId="7CB4325B" w14:textId="1215C157" w:rsidR="000D0774" w:rsidRPr="00C567FA" w:rsidRDefault="000D0774" w:rsidP="007D536E">
      <w:pPr>
        <w:pStyle w:val="enumlev1"/>
      </w:pPr>
      <w:r w:rsidRPr="00C567FA">
        <w:t>V)</w:t>
      </w:r>
      <w:r w:rsidRPr="00C567FA">
        <w:tab/>
        <w:t>État de la comparaison des montants budgétés et des montants effectifs pour l</w:t>
      </w:r>
      <w:r w:rsidR="007D536E">
        <w:t>'</w:t>
      </w:r>
      <w:r w:rsidRPr="00C567FA">
        <w:t>exercice 2020.</w:t>
      </w:r>
    </w:p>
    <w:p w14:paraId="27FCB792" w14:textId="0822DCA1" w:rsidR="000D0774" w:rsidRPr="00C567FA" w:rsidRDefault="000D0774" w:rsidP="007D536E">
      <w:pPr>
        <w:tabs>
          <w:tab w:val="clear" w:pos="567"/>
          <w:tab w:val="left" w:pos="851"/>
        </w:tabs>
      </w:pPr>
      <w:r w:rsidRPr="00C567FA">
        <w:t>20.15</w:t>
      </w:r>
      <w:r w:rsidRPr="00C567FA">
        <w:tab/>
        <w:t>Un rapport de la haute direction de l</w:t>
      </w:r>
      <w:r w:rsidR="007D536E">
        <w:t>'</w:t>
      </w:r>
      <w:r w:rsidRPr="00C567FA">
        <w:t>UIT et une déclaration sur le contrôle interne sont joints au document.</w:t>
      </w:r>
    </w:p>
    <w:p w14:paraId="601CD4D4" w14:textId="77777777" w:rsidR="00EF4CBE" w:rsidRDefault="00EF4CBE" w:rsidP="007D536E">
      <w:pPr>
        <w:tabs>
          <w:tab w:val="clear" w:pos="567"/>
          <w:tab w:val="left" w:pos="851"/>
        </w:tabs>
      </w:pPr>
      <w:r>
        <w:br w:type="page"/>
      </w:r>
    </w:p>
    <w:p w14:paraId="251B2A7E" w14:textId="2C01E78D" w:rsidR="000D0774" w:rsidRPr="00C567FA" w:rsidRDefault="000D0774" w:rsidP="007D536E">
      <w:pPr>
        <w:tabs>
          <w:tab w:val="clear" w:pos="567"/>
          <w:tab w:val="left" w:pos="851"/>
        </w:tabs>
      </w:pPr>
      <w:r w:rsidRPr="00C567FA">
        <w:lastRenderedPageBreak/>
        <w:t>20.16</w:t>
      </w:r>
      <w:r w:rsidRPr="00C567FA">
        <w:tab/>
        <w:t>En réponse aux questions des délégués, le secrétariat a apporté les précisions suivantes:</w:t>
      </w:r>
    </w:p>
    <w:p w14:paraId="1E39DE12" w14:textId="626F4DB7" w:rsidR="000D0774" w:rsidRPr="00C567FA" w:rsidRDefault="000D0774" w:rsidP="007D536E">
      <w:pPr>
        <w:pStyle w:val="enumlev1"/>
      </w:pPr>
      <w:r w:rsidRPr="00C567FA">
        <w:t>–</w:t>
      </w:r>
      <w:r w:rsidRPr="00C567FA">
        <w:tab/>
        <w:t>ASHI. L</w:t>
      </w:r>
      <w:r w:rsidR="007D536E">
        <w:t>'</w:t>
      </w:r>
      <w:r w:rsidRPr="00C567FA">
        <w:t>augmentation de 20 millions CHF du montant des engagements au titre du plan ASHI pour 2020 par rapport à 2019 est due à la baisse du taux d</w:t>
      </w:r>
      <w:r w:rsidR="007D536E">
        <w:t>'</w:t>
      </w:r>
      <w:r w:rsidRPr="00C567FA">
        <w:t>actualisation, qui est passé de 0,6% à 0,2%, et aux taux d</w:t>
      </w:r>
      <w:r w:rsidR="007D536E">
        <w:t>'</w:t>
      </w:r>
      <w:r w:rsidRPr="00C567FA">
        <w:t>intérêt négatifs pratiqués par les banques, qui ont des effets préjudiciables importants sur l</w:t>
      </w:r>
      <w:r w:rsidR="007D536E">
        <w:t>'</w:t>
      </w:r>
      <w:r w:rsidRPr="00C567FA">
        <w:t>ASHI. L</w:t>
      </w:r>
      <w:r w:rsidR="007D536E">
        <w:t>'</w:t>
      </w:r>
      <w:r w:rsidRPr="00C567FA">
        <w:t>UIT collabore avec le Groupe des Nations Unies pour harmoniser les hypothèses qui seront utilisées à la fin de chaque exercice par les organisations du système des Nations Unies pour l</w:t>
      </w:r>
      <w:r w:rsidR="007D536E">
        <w:t>'</w:t>
      </w:r>
      <w:r w:rsidRPr="00C567FA">
        <w:t>étude actuarielle. L</w:t>
      </w:r>
      <w:r w:rsidR="007D536E">
        <w:t>'</w:t>
      </w:r>
      <w:r w:rsidRPr="00C567FA">
        <w:t>UIT est une organisation ancienne qui compte un plus grand nombre de retraités que de fonctionnaires en activité. Les fonctionnaires retraités ne contribuent que pour un tiers au coût de l</w:t>
      </w:r>
      <w:r w:rsidR="007D536E">
        <w:t>'</w:t>
      </w:r>
      <w:r w:rsidRPr="00C567FA">
        <w:t>assurance maladie, l</w:t>
      </w:r>
      <w:r w:rsidR="007D536E">
        <w:t>'</w:t>
      </w:r>
      <w:r w:rsidRPr="00C567FA">
        <w:t>UIT en finançant les 2/3, tandis que les fonctionnaires en activité contribuent à hauteur de 50% à ce coût. En outre, la plupart des fonctionnaires retraités vivent à Genève ou dans les environs, où le coût de la couverture médicale est très élevé. La plupart des fonctionnaires de l</w:t>
      </w:r>
      <w:r w:rsidR="007D536E">
        <w:t>'</w:t>
      </w:r>
      <w:r w:rsidRPr="00C567FA">
        <w:t>UIT sont en activité depuis plus de 10 ans et ont dès lors droit à l</w:t>
      </w:r>
      <w:r w:rsidR="007D536E">
        <w:t>'</w:t>
      </w:r>
      <w:r w:rsidRPr="00C567FA">
        <w:t>ASHI, contrairement à d</w:t>
      </w:r>
      <w:r w:rsidR="007D536E">
        <w:t>'</w:t>
      </w:r>
      <w:r w:rsidRPr="00C567FA">
        <w:t>autres organisations du système des Nations Unies où de nombreux fonctionnaires ne sont pas en activité depuis plus de 5 ans. Il ne sera fait appel au fonds ASHI qu</w:t>
      </w:r>
      <w:r w:rsidR="007D536E">
        <w:t>'</w:t>
      </w:r>
      <w:r w:rsidRPr="00C567FA">
        <w:t>en cas de fermeture de l</w:t>
      </w:r>
      <w:r w:rsidR="007D536E">
        <w:t>'</w:t>
      </w:r>
      <w:r w:rsidRPr="00C567FA">
        <w:t>UIT.</w:t>
      </w:r>
    </w:p>
    <w:p w14:paraId="2D091828" w14:textId="5F7CCEDE" w:rsidR="000D0774" w:rsidRPr="00C567FA" w:rsidRDefault="000D0774" w:rsidP="007D536E">
      <w:pPr>
        <w:pStyle w:val="enumlev1"/>
      </w:pPr>
      <w:r w:rsidRPr="00C567FA">
        <w:t>–</w:t>
      </w:r>
      <w:r w:rsidRPr="00C567FA">
        <w:tab/>
        <w:t>Les produits indiqués comme négatifs ne sont présentés qu</w:t>
      </w:r>
      <w:r w:rsidR="007D536E">
        <w:t>'</w:t>
      </w:r>
      <w:r w:rsidRPr="00C567FA">
        <w:t>à des fins statistiques, en raison de la variation des montants entre le 1er janvier et le 31 décembre. Néanmoins, les produits réels sont toujours positifs.</w:t>
      </w:r>
    </w:p>
    <w:p w14:paraId="50F0722C" w14:textId="497140D6" w:rsidR="000D0774" w:rsidRPr="00C567FA" w:rsidRDefault="000D0774" w:rsidP="007D536E">
      <w:pPr>
        <w:pStyle w:val="enumlev1"/>
      </w:pPr>
      <w:r w:rsidRPr="00C567FA">
        <w:t>–</w:t>
      </w:r>
      <w:r w:rsidRPr="00C567FA">
        <w:tab/>
        <w:t>Les résultats financiers pour l</w:t>
      </w:r>
      <w:r w:rsidR="007D536E">
        <w:t>'</w:t>
      </w:r>
      <w:r w:rsidRPr="00C567FA">
        <w:t>exercice 2020 sont bons malgré la pandémie de COVID-19. Comme indiqué dans la Résolution 1396, les économies réalisées en 2019, d</w:t>
      </w:r>
      <w:r w:rsidR="007D536E">
        <w:t>'</w:t>
      </w:r>
      <w:r w:rsidRPr="00C567FA">
        <w:t>un montant de 3,6 millions CHF, n</w:t>
      </w:r>
      <w:r w:rsidR="007D536E">
        <w:t>'</w:t>
      </w:r>
      <w:r w:rsidRPr="00C567FA">
        <w:t>ont pas été entièrement utilisées pour équilibrer le budget.</w:t>
      </w:r>
    </w:p>
    <w:p w14:paraId="3358F24E" w14:textId="4572E225" w:rsidR="000D0774" w:rsidRPr="00C567FA" w:rsidRDefault="000D0774" w:rsidP="007D536E">
      <w:pPr>
        <w:pStyle w:val="enumlev1"/>
        <w:keepLines/>
      </w:pPr>
      <w:r w:rsidRPr="00C567FA">
        <w:t>–</w:t>
      </w:r>
      <w:r w:rsidRPr="00C567FA">
        <w:tab/>
        <w:t>Le déficit de –1,9 million CHF relatif à ITU Digital World 2020 s</w:t>
      </w:r>
      <w:r w:rsidR="007D536E">
        <w:t>'</w:t>
      </w:r>
      <w:r w:rsidRPr="00C567FA">
        <w:t>explique par le fait qu</w:t>
      </w:r>
      <w:r w:rsidR="007D536E">
        <w:t>'</w:t>
      </w:r>
      <w:r w:rsidRPr="00C567FA">
        <w:t>il n</w:t>
      </w:r>
      <w:r w:rsidR="007D536E">
        <w:t>'</w:t>
      </w:r>
      <w:r w:rsidRPr="00C567FA">
        <w:t>y a pas eu de manifestation physique en 2020 (ni en 2021) en raison de la pandémie de COVID</w:t>
      </w:r>
      <w:r w:rsidRPr="00C567FA">
        <w:noBreakHyphen/>
        <w:t>19, de sorte que cette manifestation n</w:t>
      </w:r>
      <w:r w:rsidR="007D536E">
        <w:t>'</w:t>
      </w:r>
      <w:r w:rsidRPr="00C567FA">
        <w:t>a pas permis de dégager d</w:t>
      </w:r>
      <w:r w:rsidR="007D536E">
        <w:t>'</w:t>
      </w:r>
      <w:r w:rsidRPr="00C567FA">
        <w:t>importantes recettes, alors qu</w:t>
      </w:r>
      <w:r w:rsidR="007D536E">
        <w:t>'</w:t>
      </w:r>
      <w:r w:rsidRPr="00C567FA">
        <w:t>il a fallu financer les traitements du personnel d</w:t>
      </w:r>
      <w:r w:rsidR="007D536E">
        <w:t>'</w:t>
      </w:r>
      <w:r w:rsidRPr="00C567FA">
        <w:t>ITU Telecom. En conséquence, le recouvrement des coûts, d</w:t>
      </w:r>
      <w:r w:rsidR="007D536E">
        <w:t>'</w:t>
      </w:r>
      <w:r w:rsidRPr="00C567FA">
        <w:t>un montant de 1,5 million CHF, n</w:t>
      </w:r>
      <w:r w:rsidR="007D536E">
        <w:t>'</w:t>
      </w:r>
      <w:r w:rsidRPr="00C567FA">
        <w:t>a pas été facturé à ITU Telecom.</w:t>
      </w:r>
    </w:p>
    <w:p w14:paraId="76545886" w14:textId="22A0B585" w:rsidR="000D0774" w:rsidRPr="00C567FA" w:rsidRDefault="000D0774" w:rsidP="007D536E">
      <w:pPr>
        <w:pStyle w:val="enumlev1"/>
      </w:pPr>
      <w:r w:rsidRPr="00C567FA">
        <w:t>–</w:t>
      </w:r>
      <w:r w:rsidRPr="00C567FA">
        <w:tab/>
        <w:t>Le secrétariat poursuit ses efforts pour obtenir le règlement des arriérés et des arriérés spéciaux et la renégociation des échéances de paiement, conformément à la Résolution 41 (Rév. Dubaï, 2018) de la Conférence de plénipotentiaires. La situation des arriérés au 31 décembre 2020 figure dans l</w:t>
      </w:r>
      <w:r w:rsidR="007D536E">
        <w:t>'</w:t>
      </w:r>
      <w:r w:rsidRPr="00C567FA">
        <w:t>Annexe C du document.</w:t>
      </w:r>
    </w:p>
    <w:p w14:paraId="1CD503BE" w14:textId="77777777" w:rsidR="000D0774" w:rsidRPr="00C567FA" w:rsidRDefault="000D0774" w:rsidP="007D536E">
      <w:pPr>
        <w:pStyle w:val="enumlev1"/>
        <w:spacing w:after="240"/>
      </w:pPr>
      <w:r w:rsidRPr="00C567FA">
        <w:t>–</w:t>
      </w:r>
      <w:r w:rsidRPr="00C567FA">
        <w:tab/>
        <w:t>Le secrétariat présente chaque année au GTC-FHR une mise à jour de la suite donnée à la recommandation du Vérificateur extérieur des comptes, qui figure également dans le rapport du Vérificateur extérieur des comptes (Document C22/40). À ce jour, 80% des recommandations ont été mises en œuvre ou sont closes. Ces informations seront également incluses dans le tableau de bord, dans un souci de transparence.</w:t>
      </w:r>
    </w:p>
    <w:tbl>
      <w:tblPr>
        <w:tblStyle w:val="TableGrid"/>
        <w:tblW w:w="0" w:type="auto"/>
        <w:tblLook w:val="04A0" w:firstRow="1" w:lastRow="0" w:firstColumn="1" w:lastColumn="0" w:noHBand="0" w:noVBand="1"/>
      </w:tblPr>
      <w:tblGrid>
        <w:gridCol w:w="9629"/>
      </w:tblGrid>
      <w:tr w:rsidR="000D0774" w:rsidRPr="00C567FA" w14:paraId="6A953D2A" w14:textId="77777777" w:rsidTr="002932F3">
        <w:tc>
          <w:tcPr>
            <w:tcW w:w="9629" w:type="dxa"/>
          </w:tcPr>
          <w:p w14:paraId="32FD5BA1" w14:textId="77777777" w:rsidR="000D0774" w:rsidRPr="00C567FA" w:rsidRDefault="000D0774" w:rsidP="007D536E">
            <w:pPr>
              <w:pStyle w:val="Headingb"/>
              <w:rPr>
                <w:bCs/>
                <w:i/>
                <w:iCs/>
              </w:rPr>
            </w:pPr>
            <w:r w:rsidRPr="00C567FA">
              <w:rPr>
                <w:bCs/>
                <w:i/>
                <w:iCs/>
              </w:rPr>
              <w:lastRenderedPageBreak/>
              <w:t>Recommandation</w:t>
            </w:r>
          </w:p>
          <w:p w14:paraId="3CB0ED88" w14:textId="360C78DA" w:rsidR="000D0774" w:rsidRPr="00C567FA" w:rsidRDefault="000D0774" w:rsidP="007D536E">
            <w:pPr>
              <w:tabs>
                <w:tab w:val="clear" w:pos="567"/>
                <w:tab w:val="left" w:pos="880"/>
              </w:tabs>
              <w:spacing w:after="120"/>
            </w:pPr>
            <w:r w:rsidRPr="00C567FA">
              <w:t>20.17</w:t>
            </w:r>
            <w:r w:rsidRPr="00C567FA">
              <w:tab/>
              <w:t>La Commission recommande au Conseil de prendre note du rapport de gestion financière pour l</w:t>
            </w:r>
            <w:r w:rsidR="007D536E">
              <w:t>'</w:t>
            </w:r>
            <w:r w:rsidRPr="00C567FA">
              <w:t>exercice financier 2020 et d</w:t>
            </w:r>
            <w:r w:rsidR="007D536E">
              <w:t>'</w:t>
            </w:r>
            <w:r w:rsidRPr="00C567FA">
              <w:t>approuver le projet de Résolution figurant dans l</w:t>
            </w:r>
            <w:r w:rsidR="007D536E">
              <w:t>'</w:t>
            </w:r>
            <w:r w:rsidRPr="00C567FA">
              <w:t>Annexe C du présent rapport.</w:t>
            </w:r>
          </w:p>
        </w:tc>
      </w:tr>
    </w:tbl>
    <w:p w14:paraId="7A586E63" w14:textId="77777777" w:rsidR="000D0774" w:rsidRPr="00C567FA" w:rsidRDefault="000D0774" w:rsidP="007D536E">
      <w:pPr>
        <w:pStyle w:val="Heading1"/>
      </w:pPr>
      <w:r w:rsidRPr="00C567FA">
        <w:t>21</w:t>
      </w:r>
      <w:r w:rsidRPr="00C567FA">
        <w:tab/>
        <w:t xml:space="preserve">Rapport du Vérificateur extérieur des comptes (Document </w:t>
      </w:r>
      <w:hyperlink r:id="rId74" w:history="1">
        <w:r w:rsidRPr="00C567FA">
          <w:rPr>
            <w:rStyle w:val="Hyperlink"/>
          </w:rPr>
          <w:t>C22/40</w:t>
        </w:r>
      </w:hyperlink>
      <w:r w:rsidRPr="00C567FA">
        <w:t>)</w:t>
      </w:r>
    </w:p>
    <w:p w14:paraId="2D8FCF04" w14:textId="23477030" w:rsidR="000D0774" w:rsidRPr="00C567FA" w:rsidRDefault="000D0774" w:rsidP="007D536E">
      <w:r w:rsidRPr="00C567FA">
        <w:t>21.1</w:t>
      </w:r>
      <w:r w:rsidRPr="00C567FA">
        <w:tab/>
        <w:t>Le rapport du Vérificateur extérieur des comptes de l</w:t>
      </w:r>
      <w:r w:rsidR="007D536E">
        <w:t>'</w:t>
      </w:r>
      <w:r w:rsidRPr="00C567FA">
        <w:t>UIT pour l</w:t>
      </w:r>
      <w:r w:rsidR="007D536E">
        <w:t>'</w:t>
      </w:r>
      <w:r w:rsidRPr="00C567FA">
        <w:t>exercice 2020 a été présenté par M. Giovanni Coppola, Président de la Chambre d</w:t>
      </w:r>
      <w:r w:rsidR="007D536E">
        <w:t>'</w:t>
      </w:r>
      <w:r w:rsidRPr="00C567FA">
        <w:t>audit pour les affaires européennes et internationales de la Corte dei Conti (Italie). La vérification a été réalisée conformément aux normes internationales des institutions supérieures de contrôle des finances publiques (ISSAI) ainsi qu</w:t>
      </w:r>
      <w:r w:rsidR="007D536E">
        <w:t>'</w:t>
      </w:r>
      <w:r w:rsidRPr="00C567FA">
        <w:t>au Règlement financier et aux Règles financières de l</w:t>
      </w:r>
      <w:r w:rsidR="007D536E">
        <w:t>'</w:t>
      </w:r>
      <w:r w:rsidRPr="00C567FA">
        <w:t>UIT.</w:t>
      </w:r>
    </w:p>
    <w:p w14:paraId="01059A75" w14:textId="6816AF03" w:rsidR="000D0774" w:rsidRPr="00C567FA" w:rsidRDefault="000D0774" w:rsidP="007D536E">
      <w:r w:rsidRPr="00C567FA">
        <w:t>21.2</w:t>
      </w:r>
      <w:r w:rsidRPr="00C567FA">
        <w:tab/>
        <w:t>Les états financiers de l</w:t>
      </w:r>
      <w:r w:rsidR="007D536E">
        <w:t>'</w:t>
      </w:r>
      <w:r w:rsidRPr="00C567FA">
        <w:t>UIT, présentés conformément à la norme IPSAS 1, comprennent les éléments suivants:</w:t>
      </w:r>
    </w:p>
    <w:p w14:paraId="4F03315A" w14:textId="77777777" w:rsidR="000D0774" w:rsidRPr="00C567FA" w:rsidRDefault="000D0774" w:rsidP="007D536E">
      <w:pPr>
        <w:pStyle w:val="enumlev1"/>
      </w:pPr>
      <w:r w:rsidRPr="00C567FA">
        <w:t>–</w:t>
      </w:r>
      <w:r w:rsidRPr="00C567FA">
        <w:tab/>
        <w:t>État de la situation financière – bilan au 31 décembre 2020</w:t>
      </w:r>
    </w:p>
    <w:p w14:paraId="48892209" w14:textId="74354946" w:rsidR="000D0774" w:rsidRPr="00C567FA" w:rsidRDefault="000D0774" w:rsidP="007D536E">
      <w:pPr>
        <w:pStyle w:val="enumlev1"/>
      </w:pPr>
      <w:r w:rsidRPr="00C567FA">
        <w:t>–</w:t>
      </w:r>
      <w:r w:rsidRPr="00C567FA">
        <w:tab/>
        <w:t>État de la performance financière pour l</w:t>
      </w:r>
      <w:r w:rsidR="007D536E">
        <w:t>'</w:t>
      </w:r>
      <w:r w:rsidRPr="00C567FA">
        <w:t>exercice clos le 31 décembre2020</w:t>
      </w:r>
    </w:p>
    <w:p w14:paraId="4FEB9E7E" w14:textId="10650B77" w:rsidR="000D0774" w:rsidRPr="00C567FA" w:rsidRDefault="000D0774" w:rsidP="007D536E">
      <w:pPr>
        <w:pStyle w:val="enumlev1"/>
      </w:pPr>
      <w:r w:rsidRPr="00C567FA">
        <w:t>–</w:t>
      </w:r>
      <w:r w:rsidRPr="00C567FA">
        <w:tab/>
        <w:t>État des variations de l</w:t>
      </w:r>
      <w:r w:rsidR="007D536E">
        <w:t>'</w:t>
      </w:r>
      <w:r w:rsidRPr="00C567FA">
        <w:t>actif net pour l</w:t>
      </w:r>
      <w:r w:rsidR="007D536E">
        <w:t>'</w:t>
      </w:r>
      <w:r w:rsidRPr="00C567FA">
        <w:t>exercice clos le 31 décembre 2020</w:t>
      </w:r>
    </w:p>
    <w:p w14:paraId="1D2C1ED8" w14:textId="29D8A874" w:rsidR="000D0774" w:rsidRPr="00C567FA" w:rsidRDefault="000D0774" w:rsidP="007D536E">
      <w:pPr>
        <w:pStyle w:val="enumlev1"/>
      </w:pPr>
      <w:r w:rsidRPr="00C567FA">
        <w:t>–</w:t>
      </w:r>
      <w:r w:rsidRPr="00C567FA">
        <w:tab/>
        <w:t>Tableau des flux de trésorerie pour l</w:t>
      </w:r>
      <w:r w:rsidR="007D536E">
        <w:t>'</w:t>
      </w:r>
      <w:r w:rsidRPr="00C567FA">
        <w:t>exercice clos le 31 décembre 2020</w:t>
      </w:r>
    </w:p>
    <w:p w14:paraId="40A7FA7E" w14:textId="77777777" w:rsidR="000D0774" w:rsidRPr="00C567FA" w:rsidRDefault="000D0774" w:rsidP="007D536E">
      <w:pPr>
        <w:pStyle w:val="enumlev1"/>
      </w:pPr>
      <w:r w:rsidRPr="00C567FA">
        <w:t>–</w:t>
      </w:r>
      <w:r w:rsidRPr="00C567FA">
        <w:tab/>
        <w:t>Comparaison entre les montants budgétés et les montants effectifs pour 2020</w:t>
      </w:r>
    </w:p>
    <w:p w14:paraId="07418C31" w14:textId="77777777" w:rsidR="000D0774" w:rsidRPr="00C567FA" w:rsidRDefault="000D0774" w:rsidP="007D536E">
      <w:pPr>
        <w:pStyle w:val="enumlev1"/>
      </w:pPr>
      <w:r w:rsidRPr="00C567FA">
        <w:t>–</w:t>
      </w:r>
      <w:r w:rsidRPr="00C567FA">
        <w:tab/>
        <w:t>Notes relatives aux états financiers, donnant des renseignements sur les politiques comptables et les autres renseignements nécessaires à une présentation correcte</w:t>
      </w:r>
    </w:p>
    <w:p w14:paraId="78ABF429" w14:textId="798FA89B" w:rsidR="000D0774" w:rsidRPr="00C567FA" w:rsidRDefault="000D0774" w:rsidP="007D536E">
      <w:pPr>
        <w:tabs>
          <w:tab w:val="clear" w:pos="567"/>
          <w:tab w:val="left" w:pos="851"/>
        </w:tabs>
      </w:pPr>
      <w:r w:rsidRPr="00C567FA">
        <w:t>21.3</w:t>
      </w:r>
      <w:r w:rsidRPr="00C567FA">
        <w:tab/>
        <w:t>Le rapport comprend 11 recommandations ainsi que les commentaires correspondants du Secrétaire général concernant chaque Recommandation. l</w:t>
      </w:r>
      <w:r w:rsidR="007D536E">
        <w:t>'</w:t>
      </w:r>
      <w:r w:rsidRPr="00C567FA">
        <w:t>Annexe 1 du document décrit l</w:t>
      </w:r>
      <w:r w:rsidR="007D536E">
        <w:t>'</w:t>
      </w:r>
      <w:r w:rsidRPr="00C567FA">
        <w:t>état d</w:t>
      </w:r>
      <w:r w:rsidR="007D536E">
        <w:t>'</w:t>
      </w:r>
      <w:r w:rsidRPr="00C567FA">
        <w:t>avancement de la mise en œuvre des recommandations et des suggestions formulées au cours des années précédentes.</w:t>
      </w:r>
    </w:p>
    <w:p w14:paraId="77C2CA38" w14:textId="5DBC335B" w:rsidR="000D0774" w:rsidRPr="00C567FA" w:rsidRDefault="000D0774" w:rsidP="007D536E">
      <w:pPr>
        <w:keepLines/>
        <w:tabs>
          <w:tab w:val="clear" w:pos="567"/>
          <w:tab w:val="left" w:pos="851"/>
        </w:tabs>
      </w:pPr>
      <w:r w:rsidRPr="00C567FA">
        <w:t>21.4</w:t>
      </w:r>
      <w:r w:rsidRPr="00C567FA">
        <w:tab/>
        <w:t>Le Président de Corte dei conti a présenté une attestation de vérification indiquant qu</w:t>
      </w:r>
      <w:r w:rsidR="007D536E">
        <w:t>'</w:t>
      </w:r>
      <w:r w:rsidRPr="00C567FA">
        <w:t>hormis pour ce qui est des effets qui pourraient découler du problème décrit au paragraphe "Fondements de notre opinion avec réserve", les états financiers donnent une image fidèle, pour tous les points essentiels, et sont conformes aux normes IPSAS ainsi qu</w:t>
      </w:r>
      <w:r w:rsidR="007D536E">
        <w:t>'</w:t>
      </w:r>
      <w:r w:rsidRPr="00C567FA">
        <w:t>au Règlement financier et aux Règles financières de l</w:t>
      </w:r>
      <w:r w:rsidR="007D536E">
        <w:t>'</w:t>
      </w:r>
      <w:r w:rsidRPr="00C567FA">
        <w:t>Union. Les opérations de l</w:t>
      </w:r>
      <w:r w:rsidR="007D536E">
        <w:t>'</w:t>
      </w:r>
      <w:r w:rsidRPr="00C567FA">
        <w:t>UIT qui ont été vérifiées ont été effectuées conformément au Règlement financier et aux Règles financières de l</w:t>
      </w:r>
      <w:r w:rsidR="007D536E">
        <w:t>'</w:t>
      </w:r>
      <w:r w:rsidRPr="00C567FA">
        <w:t>UIT et aux prescriptions de l</w:t>
      </w:r>
      <w:r w:rsidR="007D536E">
        <w:t>'</w:t>
      </w:r>
      <w:r w:rsidRPr="00C567FA">
        <w:t>autorité délibérante.</w:t>
      </w:r>
    </w:p>
    <w:p w14:paraId="06D4B3F8" w14:textId="45692964" w:rsidR="000D0774" w:rsidRPr="00C567FA" w:rsidRDefault="000D0774" w:rsidP="007D536E">
      <w:pPr>
        <w:tabs>
          <w:tab w:val="clear" w:pos="567"/>
          <w:tab w:val="left" w:pos="851"/>
        </w:tabs>
      </w:pPr>
      <w:r w:rsidRPr="00C567FA">
        <w:t>21.5</w:t>
      </w:r>
      <w:r w:rsidRPr="00C567FA">
        <w:tab/>
        <w:t>Les fondements de l</w:t>
      </w:r>
      <w:r w:rsidR="007D536E">
        <w:t>'</w:t>
      </w:r>
      <w:r w:rsidRPr="00C567FA">
        <w:t>opinion avec réserve reposent sur les constatations du Vérificateur extérieur des comptes, selon lesquelles les états de la situation financière et de la performance au 31 décembre 2020 présentaient des montants pour les comptes se rapportant à la coopération internationale et à l</w:t>
      </w:r>
      <w:r w:rsidR="007D536E">
        <w:t>'</w:t>
      </w:r>
      <w:r w:rsidRPr="00C567FA">
        <w:t>assistance technique, qui indiquent que le système de contrôles internes ne peut pas être considéré comme fiable aux fins de la vérification et qu</w:t>
      </w:r>
      <w:r w:rsidR="007D536E">
        <w:t>'</w:t>
      </w:r>
      <w:r w:rsidRPr="00C567FA">
        <w:t>il n</w:t>
      </w:r>
      <w:r w:rsidR="007D536E">
        <w:t>'</w:t>
      </w:r>
      <w:r w:rsidRPr="00C567FA">
        <w:t>est pas possible de s</w:t>
      </w:r>
      <w:r w:rsidR="007D536E">
        <w:t>'</w:t>
      </w:r>
      <w:r w:rsidRPr="00C567FA">
        <w:t>assurer que les montants comptabilisés sont exempts d</w:t>
      </w:r>
      <w:r w:rsidR="007D536E">
        <w:t>'</w:t>
      </w:r>
      <w:r w:rsidRPr="00C567FA">
        <w:t>inexactitudes significatives, d</w:t>
      </w:r>
      <w:r w:rsidR="007D536E">
        <w:t>'</w:t>
      </w:r>
      <w:r w:rsidRPr="00C567FA">
        <w:t>erreurs ou de fraudes. L</w:t>
      </w:r>
      <w:r w:rsidR="007D536E">
        <w:t>'</w:t>
      </w:r>
      <w:r w:rsidRPr="00C567FA">
        <w:t>opinion doit être assortie d</w:t>
      </w:r>
      <w:r w:rsidR="007D536E">
        <w:t>'</w:t>
      </w:r>
      <w:r w:rsidRPr="00C567FA">
        <w:t>une réserve, en raison de la nécessité de veiller à ce que l</w:t>
      </w:r>
      <w:r w:rsidR="007D536E">
        <w:t>'</w:t>
      </w:r>
      <w:r w:rsidRPr="00C567FA">
        <w:t>ampleur de la fraude ait été quantifiée et traitée dans les états financiers.</w:t>
      </w:r>
    </w:p>
    <w:p w14:paraId="3231773D" w14:textId="77777777" w:rsidR="00EF4CBE" w:rsidRDefault="00EF4CBE" w:rsidP="007D536E">
      <w:pPr>
        <w:tabs>
          <w:tab w:val="clear" w:pos="567"/>
          <w:tab w:val="left" w:pos="851"/>
        </w:tabs>
      </w:pPr>
      <w:r>
        <w:br w:type="page"/>
      </w:r>
    </w:p>
    <w:p w14:paraId="2908DAAE" w14:textId="3D266BB1" w:rsidR="000D0774" w:rsidRPr="00C567FA" w:rsidRDefault="000D0774" w:rsidP="007D536E">
      <w:pPr>
        <w:tabs>
          <w:tab w:val="clear" w:pos="567"/>
          <w:tab w:val="left" w:pos="851"/>
        </w:tabs>
      </w:pPr>
      <w:r w:rsidRPr="00C567FA">
        <w:lastRenderedPageBreak/>
        <w:t>21.6</w:t>
      </w:r>
      <w:r w:rsidRPr="00C567FA">
        <w:tab/>
        <w:t>Le Vérificateur extérieur des comptes a souligné dans son rapport que l</w:t>
      </w:r>
      <w:r w:rsidR="007D536E">
        <w:t>'</w:t>
      </w:r>
      <w:r w:rsidRPr="00C567FA">
        <w:t>actif net négatif (</w:t>
      </w:r>
      <w:r w:rsidRPr="00C567FA">
        <w:noBreakHyphen/>
      </w:r>
      <w:r w:rsidRPr="00C567FA">
        <w:noBreakHyphen/>
        <w:t>500,6 millions CHF) indiqué dans les états financiers était attribuable essentiellement à l</w:t>
      </w:r>
      <w:r w:rsidR="007D536E">
        <w:t>'</w:t>
      </w:r>
      <w:r w:rsidRPr="00C567FA">
        <w:t>incidence des passifs actuariels correspondant aux prestations à long terme dues aux fonctionnaires, chiffrés à 656 millions CHF dans l</w:t>
      </w:r>
      <w:r w:rsidR="007D536E">
        <w:t>'</w:t>
      </w:r>
      <w:r w:rsidRPr="00C567FA">
        <w:t>état de la situation financière. Le Vérificateur extérieur des comptes a noté que des mesures étaient prises actuellement par la direction, qui continuera de veiller en permanence à leur efficacité. L</w:t>
      </w:r>
      <w:r w:rsidR="007D536E">
        <w:t>'</w:t>
      </w:r>
      <w:r w:rsidRPr="00C567FA">
        <w:t>attention du Conseil est attirée sur le fait qu</w:t>
      </w:r>
      <w:r w:rsidR="007D536E">
        <w:t>'</w:t>
      </w:r>
      <w:r w:rsidRPr="00C567FA">
        <w:t>il devait envisager de prendre des mesures complémentaires dans une perspective à long terme. Néanmoins, l</w:t>
      </w:r>
      <w:r w:rsidR="007D536E">
        <w:t>'</w:t>
      </w:r>
      <w:r w:rsidRPr="00C567FA">
        <w:t>opinion formulée par le Vérificateur extérieur des comptes n</w:t>
      </w:r>
      <w:r w:rsidR="007D536E">
        <w:t>'</w:t>
      </w:r>
      <w:r w:rsidRPr="00C567FA">
        <w:t>est pas modifiée par rapport à ce point.</w:t>
      </w:r>
    </w:p>
    <w:p w14:paraId="53BA17C8" w14:textId="4BB39BE4" w:rsidR="000D0774" w:rsidRPr="00C567FA" w:rsidRDefault="000D0774" w:rsidP="007D536E">
      <w:pPr>
        <w:tabs>
          <w:tab w:val="clear" w:pos="567"/>
          <w:tab w:val="left" w:pos="851"/>
        </w:tabs>
      </w:pPr>
      <w:r w:rsidRPr="00C567FA">
        <w:t>21.7</w:t>
      </w:r>
      <w:r w:rsidRPr="00C567FA">
        <w:tab/>
        <w:t>Le rapport traite également de l</w:t>
      </w:r>
      <w:r w:rsidR="007D536E">
        <w:t>'</w:t>
      </w:r>
      <w:r w:rsidRPr="00C567FA">
        <w:t>examen de l</w:t>
      </w:r>
      <w:r w:rsidR="007D536E">
        <w:t>'</w:t>
      </w:r>
      <w:r w:rsidRPr="00C567FA">
        <w:t>efficacité en matière d</w:t>
      </w:r>
      <w:r w:rsidR="007D536E">
        <w:t>'</w:t>
      </w:r>
      <w:r w:rsidRPr="00C567FA">
        <w:t>enquête, de détection et de quantification des fraudes, y compris les mesures urgentes à prendre à la suite du rapport du Vérificateur extérieur des comptes publié en juin 2019 sur la gestion efficace de la fraude. Voir la Recommandation N° 10.</w:t>
      </w:r>
    </w:p>
    <w:p w14:paraId="252F33F1" w14:textId="77777777" w:rsidR="000D0774" w:rsidRPr="00C567FA" w:rsidRDefault="000D0774" w:rsidP="007D536E">
      <w:pPr>
        <w:tabs>
          <w:tab w:val="clear" w:pos="567"/>
          <w:tab w:val="left" w:pos="851"/>
        </w:tabs>
      </w:pPr>
      <w:r w:rsidRPr="00C567FA">
        <w:t>21.8</w:t>
      </w:r>
      <w:r w:rsidRPr="00C567FA">
        <w:tab/>
        <w:t>Plusieurs délégués ont accueilli avec satisfaction les travaux effectués par le Vérificateur extérieur des comptes.</w:t>
      </w:r>
    </w:p>
    <w:p w14:paraId="54DE9B2F" w14:textId="77777777" w:rsidR="000D0774" w:rsidRPr="00C567FA" w:rsidRDefault="000D0774" w:rsidP="007D536E">
      <w:pPr>
        <w:tabs>
          <w:tab w:val="clear" w:pos="567"/>
          <w:tab w:val="left" w:pos="851"/>
        </w:tabs>
      </w:pPr>
      <w:r w:rsidRPr="00C567FA">
        <w:t>21.9</w:t>
      </w:r>
      <w:r w:rsidRPr="00C567FA">
        <w:tab/>
        <w:t>À la suite de questions posées par les délégués au secrétariat, les éclaircissements suivants ont été apportés:</w:t>
      </w:r>
    </w:p>
    <w:p w14:paraId="7AF44884" w14:textId="05561680" w:rsidR="000D0774" w:rsidRPr="00C567FA" w:rsidRDefault="000D0774" w:rsidP="007D536E">
      <w:pPr>
        <w:pStyle w:val="enumlev1"/>
      </w:pPr>
      <w:r w:rsidRPr="00C567FA">
        <w:t>–</w:t>
      </w:r>
      <w:r w:rsidRPr="00C567FA">
        <w:tab/>
        <w:t>Enquête. Le Conseil a autorisé le recrutement d</w:t>
      </w:r>
      <w:r w:rsidR="007D536E">
        <w:t>'</w:t>
      </w:r>
      <w:r w:rsidRPr="00C567FA">
        <w:t>un vérificateur juricomptable pour examiner le cas de fraude. Comme l</w:t>
      </w:r>
      <w:r w:rsidR="007D536E">
        <w:t>'</w:t>
      </w:r>
      <w:r w:rsidRPr="00C567FA">
        <w:t>avait recommandé le Vérificateur extérieur des comptes, le Bureau des services de contrôle interne des Nations Unies a été contacté, mais n</w:t>
      </w:r>
      <w:r w:rsidR="007D536E">
        <w:t>'</w:t>
      </w:r>
      <w:r w:rsidRPr="00C567FA">
        <w:t>a pu apporter une assistance adéquate à l</w:t>
      </w:r>
      <w:r w:rsidR="007D536E">
        <w:t>'</w:t>
      </w:r>
      <w:r w:rsidRPr="00C567FA">
        <w:t>UIT en raison de sa charge de travail importante. Un enquêteur de l</w:t>
      </w:r>
      <w:r w:rsidR="007D536E">
        <w:t>'</w:t>
      </w:r>
      <w:r w:rsidRPr="00C567FA">
        <w:t>UIT a été recruté dernièrement et le rapport sur le cas de fraude qu</w:t>
      </w:r>
      <w:r w:rsidR="007D536E">
        <w:t>'</w:t>
      </w:r>
      <w:r w:rsidRPr="00C567FA">
        <w:t>il a établi sera publié prochainement.</w:t>
      </w:r>
    </w:p>
    <w:p w14:paraId="088EE61E" w14:textId="77777777" w:rsidR="000D0774" w:rsidRPr="00C567FA" w:rsidRDefault="000D0774" w:rsidP="007D536E">
      <w:pPr>
        <w:pStyle w:val="enumlev1"/>
      </w:pPr>
      <w:r w:rsidRPr="00C567FA">
        <w:t>–</w:t>
      </w:r>
      <w:r w:rsidRPr="00C567FA">
        <w:tab/>
        <w:t>Contrôle interne. Le rapport du Groupe de travail sur les contrôles internes sera présenté dans le Document C22/20 par la Directrice du BDT.</w:t>
      </w:r>
    </w:p>
    <w:p w14:paraId="6D1ED19B" w14:textId="77777777" w:rsidR="000D0774" w:rsidRPr="00C567FA" w:rsidRDefault="000D0774" w:rsidP="007D536E">
      <w:pPr>
        <w:pStyle w:val="enumlev1"/>
      </w:pPr>
      <w:r w:rsidRPr="00C567FA">
        <w:t>–</w:t>
      </w:r>
      <w:r w:rsidRPr="00C567FA">
        <w:tab/>
        <w:t>La limite pour les achats de faible valeur a été ramenée de 20 000 CHF par an à 5 000 CHF par an.</w:t>
      </w:r>
    </w:p>
    <w:p w14:paraId="525C16CD" w14:textId="45EC4D62" w:rsidR="000D0774" w:rsidRPr="00C567FA" w:rsidRDefault="000D0774" w:rsidP="007D536E">
      <w:pPr>
        <w:pStyle w:val="enumlev1"/>
      </w:pPr>
      <w:r w:rsidRPr="00C567FA">
        <w:t>–</w:t>
      </w:r>
      <w:r w:rsidRPr="00C567FA">
        <w:tab/>
        <w:t>Processus d</w:t>
      </w:r>
      <w:r w:rsidR="007D536E">
        <w:t>'</w:t>
      </w:r>
      <w:r w:rsidRPr="00C567FA">
        <w:t>enquête de l</w:t>
      </w:r>
      <w:r w:rsidR="007D536E">
        <w:t>'</w:t>
      </w:r>
      <w:r w:rsidRPr="00C567FA">
        <w:t>Unité de l</w:t>
      </w:r>
      <w:r w:rsidR="007D536E">
        <w:t>'</w:t>
      </w:r>
      <w:r w:rsidRPr="00C567FA">
        <w:t>audit interne. Les allégations de manquement sont prises en compte dans un premier rapport à l</w:t>
      </w:r>
      <w:r w:rsidR="007D536E">
        <w:t>'</w:t>
      </w:r>
      <w:r w:rsidRPr="00C567FA">
        <w:t>intention du Bureau de l</w:t>
      </w:r>
      <w:r w:rsidR="007D536E">
        <w:t>'</w:t>
      </w:r>
      <w:r w:rsidRPr="00C567FA">
        <w:t>éthique ou de toute autre fonction/fonctionnaire désigné dans le cadre réglementaire de l</w:t>
      </w:r>
      <w:r w:rsidR="007D536E">
        <w:t>'</w:t>
      </w:r>
      <w:r w:rsidRPr="00C567FA">
        <w:t>UIT pour recevoir les allégations/signalements de manquements. Le Bureau de l</w:t>
      </w:r>
      <w:r w:rsidR="007D536E">
        <w:t>'</w:t>
      </w:r>
      <w:r w:rsidRPr="00C567FA">
        <w:t>éthique procédera à un examen préliminaire et soumettra une recommandation au Secrétaire général, qui décidera s</w:t>
      </w:r>
      <w:r w:rsidR="007D536E">
        <w:t>'</w:t>
      </w:r>
      <w:r w:rsidRPr="00C567FA">
        <w:t>il y a lieu de charger l</w:t>
      </w:r>
      <w:r w:rsidR="007D536E">
        <w:t>'</w:t>
      </w:r>
      <w:r w:rsidRPr="00C567FA">
        <w:t>Unité de l</w:t>
      </w:r>
      <w:r w:rsidR="007D536E">
        <w:t>'</w:t>
      </w:r>
      <w:r w:rsidRPr="00C567FA">
        <w:t>audit interne (IAU) de mener une enquête. Conformément au cadre réglementaire actuel de l</w:t>
      </w:r>
      <w:r w:rsidR="007D536E">
        <w:t>'</w:t>
      </w:r>
      <w:r w:rsidRPr="00C567FA">
        <w:t>UIT, l</w:t>
      </w:r>
      <w:r w:rsidR="007D536E">
        <w:t>'</w:t>
      </w:r>
      <w:r w:rsidRPr="00C567FA">
        <w:t>Unité de l</w:t>
      </w:r>
      <w:r w:rsidR="007D536E">
        <w:t>'</w:t>
      </w:r>
      <w:r w:rsidRPr="00C567FA">
        <w:t>audit interne, ou toute autre entité compétente en la matière, n</w:t>
      </w:r>
      <w:r w:rsidR="007D536E">
        <w:t>'</w:t>
      </w:r>
      <w:r w:rsidRPr="00C567FA">
        <w:t>est pas habilitée à mener des enquêtes de sa propre initiative. En 2018, suivant les instructions du Secrétaire général, l</w:t>
      </w:r>
      <w:r w:rsidR="007D536E">
        <w:t>'</w:t>
      </w:r>
      <w:r w:rsidRPr="00C567FA">
        <w:t>Unité de l</w:t>
      </w:r>
      <w:r w:rsidR="007D536E">
        <w:t>'</w:t>
      </w:r>
      <w:r w:rsidRPr="00C567FA">
        <w:t>audit interne a procédé à une enquête sur une faute commise par un fonctionnaire et a soumis au Secrétaire général, après un délai de 3,5 mois, un rapport final qui a servi de base à l</w:t>
      </w:r>
      <w:r w:rsidR="007D536E">
        <w:t>'</w:t>
      </w:r>
      <w:r w:rsidRPr="00C567FA">
        <w:t>UIT pour engager rapidement une procédure disciplinaire. En 2019, un enquêteur externe a mené une enquête complémentaire, à la demande de la Directrice du BDT et sur instruction du Secrétaire général, pour évaluer la responsabilité de gestion des supérieurs hiérarchiques du fonctionnaire impliqué dans des activités frauduleuses, afin de déterminer les raisons pour lesquelles ce comportement frauduleux n</w:t>
      </w:r>
      <w:r w:rsidR="007D536E">
        <w:t>'</w:t>
      </w:r>
      <w:r w:rsidRPr="00C567FA">
        <w:t>avait pas été remarqué par cette hiérarchie et par les contrôles internes en place.</w:t>
      </w:r>
    </w:p>
    <w:p w14:paraId="31E39B1A" w14:textId="77777777" w:rsidR="000D0774" w:rsidRPr="00C567FA" w:rsidRDefault="000D0774" w:rsidP="007D536E">
      <w:pPr>
        <w:tabs>
          <w:tab w:val="clear" w:pos="567"/>
          <w:tab w:val="left" w:pos="851"/>
        </w:tabs>
      </w:pPr>
      <w:r w:rsidRPr="00C567FA">
        <w:lastRenderedPageBreak/>
        <w:t>21.10</w:t>
      </w:r>
      <w:r w:rsidRPr="00C567FA">
        <w:tab/>
        <w:t>En réponse à des demandes de renseignements complémentaires, le Vérificateur extérieur des comptes a fourni les éléments suivants:</w:t>
      </w:r>
    </w:p>
    <w:p w14:paraId="03C20C1E" w14:textId="44BD594C" w:rsidR="000D0774" w:rsidRPr="00C567FA" w:rsidRDefault="000D0774" w:rsidP="007D536E">
      <w:pPr>
        <w:pStyle w:val="enumlev1"/>
      </w:pPr>
      <w:r w:rsidRPr="00C567FA">
        <w:t>–</w:t>
      </w:r>
      <w:r w:rsidRPr="00C567FA">
        <w:tab/>
        <w:t>Opinion avec réserve. Le Vérificateur extérieur des comptes a identifié plusieurs lacunes relatives aux contrôles internes en matière de coopération internationale et d</w:t>
      </w:r>
      <w:r w:rsidR="007D536E">
        <w:t>'</w:t>
      </w:r>
      <w:r w:rsidRPr="00C567FA">
        <w:t>assistance technique. Toutefois, en raison de la pandémie de COVID-19, le Vérificateur extérieur des comptes s</w:t>
      </w:r>
      <w:r w:rsidR="007D536E">
        <w:t>'</w:t>
      </w:r>
      <w:r w:rsidRPr="00C567FA">
        <w:t>est heurté à certaines difficultés et n</w:t>
      </w:r>
      <w:r w:rsidR="007D536E">
        <w:t>'</w:t>
      </w:r>
      <w:r w:rsidRPr="00C567FA">
        <w:t>a pas été en mesure de se rendre dans les bureaux régionaux pour procéder à des vérifications sur place. Toutefois, des réunions ont eu lieu avec la Directrice du BDT et le Vérificateur extérieur espère être en mesure d</w:t>
      </w:r>
      <w:r w:rsidR="007D536E">
        <w:t>'</w:t>
      </w:r>
      <w:r w:rsidRPr="00C567FA">
        <w:t>achever ses travaux à l</w:t>
      </w:r>
      <w:r w:rsidR="007D536E">
        <w:t>'</w:t>
      </w:r>
      <w:r w:rsidRPr="00C567FA">
        <w:t>UIT en formulant une opinion sans réserve.</w:t>
      </w:r>
    </w:p>
    <w:p w14:paraId="46577BF1" w14:textId="1302C047" w:rsidR="000D0774" w:rsidRPr="00C567FA" w:rsidRDefault="000D0774" w:rsidP="007D536E">
      <w:pPr>
        <w:pStyle w:val="enumlev1"/>
      </w:pPr>
      <w:r w:rsidRPr="00C567FA">
        <w:t>–</w:t>
      </w:r>
      <w:r w:rsidRPr="00C567FA">
        <w:tab/>
        <w:t>ASHI. Comme l</w:t>
      </w:r>
      <w:r w:rsidR="007D536E">
        <w:t>'</w:t>
      </w:r>
      <w:r w:rsidRPr="00C567FA">
        <w:t>a expliqué le secrétariat, d</w:t>
      </w:r>
      <w:r w:rsidR="007D536E">
        <w:t>'</w:t>
      </w:r>
      <w:r w:rsidRPr="00C567FA">
        <w:t>autres institutions du système des Nations Unies ont les mêmes préoccupations que celles exprimées par l</w:t>
      </w:r>
      <w:r w:rsidR="007D536E">
        <w:t>'</w:t>
      </w:r>
      <w:r w:rsidRPr="00C567FA">
        <w:t>UIT, en ce sens que l</w:t>
      </w:r>
      <w:r w:rsidR="007D536E">
        <w:t>'</w:t>
      </w:r>
      <w:r w:rsidRPr="00C567FA">
        <w:t>UIT a son siège à Genève, où le coût de la vie est très élevé. Le Vérificateur extérieur des comptes est d</w:t>
      </w:r>
      <w:r w:rsidR="007D536E">
        <w:t>'</w:t>
      </w:r>
      <w:r w:rsidRPr="00C567FA">
        <w:t>avis que le fonds d</w:t>
      </w:r>
      <w:r w:rsidR="007D536E">
        <w:t>'</w:t>
      </w:r>
      <w:r w:rsidRPr="00C567FA">
        <w:t>investissement destiné à protéger les passifs de l</w:t>
      </w:r>
      <w:r w:rsidR="007D536E">
        <w:t>'</w:t>
      </w:r>
      <w:r w:rsidRPr="00C567FA">
        <w:t>ASHI peut donner lieu à davantage de risques et de passifs. Dans une autre organisation, les investissements ont entraîné plus de pertes que d</w:t>
      </w:r>
      <w:r w:rsidR="007D536E">
        <w:t>'</w:t>
      </w:r>
      <w:r w:rsidRPr="00C567FA">
        <w:t>avantages.</w:t>
      </w:r>
    </w:p>
    <w:p w14:paraId="253AAA5D" w14:textId="1FFCB160" w:rsidR="000D0774" w:rsidRPr="00C567FA" w:rsidRDefault="000D0774" w:rsidP="007D536E">
      <w:pPr>
        <w:pStyle w:val="enumlev1"/>
      </w:pPr>
      <w:r w:rsidRPr="00C567FA">
        <w:t>–</w:t>
      </w:r>
      <w:r w:rsidRPr="00C567FA">
        <w:tab/>
        <w:t>Achats de faible valeur. Il a été convenu avec la direction de l</w:t>
      </w:r>
      <w:r w:rsidR="007D536E">
        <w:t>'</w:t>
      </w:r>
      <w:r w:rsidRPr="00C567FA">
        <w:t>UIT de ramener cette valeur de 20 000 CHF par an à 5 000 CHF par an, afin de faire preuve de prudence.</w:t>
      </w:r>
    </w:p>
    <w:p w14:paraId="56A67525" w14:textId="0B4A6CCF" w:rsidR="000D0774" w:rsidRPr="00C567FA" w:rsidRDefault="000D0774" w:rsidP="007D536E">
      <w:pPr>
        <w:pStyle w:val="enumlev1"/>
      </w:pPr>
      <w:r w:rsidRPr="00C567FA">
        <w:t>–</w:t>
      </w:r>
      <w:r w:rsidRPr="00C567FA">
        <w:tab/>
        <w:t>Spécialiste de la vérification juricomptable. 65 recommandations ont été formulées par le spécialiste de la vérification juricomptable. Toutefois, le Vérificateur extérieur est d</w:t>
      </w:r>
      <w:r w:rsidR="007D536E">
        <w:t>'</w:t>
      </w:r>
      <w:r w:rsidRPr="00C567FA">
        <w:t>avis que les services du consultant en tant que spécialiste de la vérification juricomptable n</w:t>
      </w:r>
      <w:r w:rsidR="007D536E">
        <w:t>'</w:t>
      </w:r>
      <w:r w:rsidRPr="00C567FA">
        <w:t>ont pas apporté de valeur ajoutée par rapport à ce qui avait déjà été recommandé par le Vérificateur extérieur des comptes et l</w:t>
      </w:r>
      <w:r w:rsidR="007D536E">
        <w:t>'</w:t>
      </w:r>
      <w:r w:rsidRPr="00C567FA">
        <w:t>auditeur interne. Le Vérificateur extérieur des comptes a recommandé au consultant de procéder à une visite sur place pour obtenir une évaluation correcte. Toutefois, la visite sur place n</w:t>
      </w:r>
      <w:r w:rsidR="007D536E">
        <w:t>'</w:t>
      </w:r>
      <w:r w:rsidRPr="00C567FA">
        <w:t>a pas eu lieu, alors que l</w:t>
      </w:r>
      <w:r w:rsidR="007D536E">
        <w:t>'</w:t>
      </w:r>
      <w:r w:rsidRPr="00C567FA">
        <w:t>entreprise était représentée dans plusieurs villes de la région. Le Vérificateur extérieur des comptes s</w:t>
      </w:r>
      <w:r w:rsidR="007D536E">
        <w:t>'</w:t>
      </w:r>
      <w:r w:rsidRPr="00C567FA">
        <w:t>est dit préoccupé par le rapport et le coût élevé des services du consultant.</w:t>
      </w:r>
    </w:p>
    <w:p w14:paraId="4AE8F198" w14:textId="5C3B2EBB" w:rsidR="000D0774" w:rsidRPr="00C567FA" w:rsidRDefault="000D0774" w:rsidP="007D536E">
      <w:pPr>
        <w:pStyle w:val="enumlev1"/>
      </w:pPr>
      <w:r w:rsidRPr="00C567FA">
        <w:t>–</w:t>
      </w:r>
      <w:r w:rsidRPr="00C567FA">
        <w:tab/>
      </w:r>
      <w:r>
        <w:t>Exercice de quantification interne</w:t>
      </w:r>
      <w:r w:rsidRPr="00C567FA">
        <w:t>. Le Vérificateur extérieur des comptes est d</w:t>
      </w:r>
      <w:r w:rsidR="007D536E">
        <w:t>'</w:t>
      </w:r>
      <w:r w:rsidRPr="00C567FA">
        <w:t xml:space="preserve">avis que les travaux de </w:t>
      </w:r>
      <w:r>
        <w:t>quantification</w:t>
      </w:r>
      <w:r w:rsidRPr="00C567FA">
        <w:t xml:space="preserve"> ont donné des résultats positifs par rapport à ceux du cabinet extérieur.</w:t>
      </w:r>
    </w:p>
    <w:p w14:paraId="6589364C" w14:textId="062D81DB" w:rsidR="000D0774" w:rsidRPr="00C567FA" w:rsidRDefault="000D0774" w:rsidP="007D536E">
      <w:pPr>
        <w:pStyle w:val="enumlev1"/>
        <w:spacing w:after="240"/>
      </w:pPr>
      <w:r w:rsidRPr="00C567FA">
        <w:t>–</w:t>
      </w:r>
      <w:r w:rsidRPr="00C567FA">
        <w:tab/>
        <w:t>Mise en œuvre des recommandations en matière de vérification. Un grand nombre de recommandations sont closes cette année. Le Vérificateur extérieur continuera d</w:t>
      </w:r>
      <w:r w:rsidR="007D536E">
        <w:t>'</w:t>
      </w:r>
      <w:r w:rsidRPr="00C567FA">
        <w:t>assurer le suivi, avec la direction de l</w:t>
      </w:r>
      <w:r w:rsidR="007D536E">
        <w:t>'</w:t>
      </w:r>
      <w:r w:rsidRPr="00C567FA">
        <w:t>UIT, de la mise en œuvre des recommandations en suspens et espère déclarer closes un plus grand nombre de recommandations dès que possible.</w:t>
      </w:r>
    </w:p>
    <w:tbl>
      <w:tblPr>
        <w:tblStyle w:val="TableGrid"/>
        <w:tblW w:w="0" w:type="auto"/>
        <w:tblLook w:val="04A0" w:firstRow="1" w:lastRow="0" w:firstColumn="1" w:lastColumn="0" w:noHBand="0" w:noVBand="1"/>
      </w:tblPr>
      <w:tblGrid>
        <w:gridCol w:w="9629"/>
      </w:tblGrid>
      <w:tr w:rsidR="000D0774" w:rsidRPr="00C567FA" w14:paraId="12FE5033" w14:textId="77777777" w:rsidTr="002932F3">
        <w:tc>
          <w:tcPr>
            <w:tcW w:w="9629" w:type="dxa"/>
          </w:tcPr>
          <w:p w14:paraId="5BF4F8E5" w14:textId="77777777" w:rsidR="000D0774" w:rsidRPr="00C567FA" w:rsidRDefault="000D0774" w:rsidP="007D536E">
            <w:pPr>
              <w:pStyle w:val="Headingb"/>
              <w:keepNext w:val="0"/>
              <w:keepLines w:val="0"/>
              <w:rPr>
                <w:i/>
                <w:iCs/>
              </w:rPr>
            </w:pPr>
            <w:r w:rsidRPr="00C567FA">
              <w:rPr>
                <w:i/>
                <w:iCs/>
              </w:rPr>
              <w:t>Recommandation</w:t>
            </w:r>
          </w:p>
          <w:p w14:paraId="5FFD499F" w14:textId="66102987" w:rsidR="000D0774" w:rsidRPr="00C567FA" w:rsidRDefault="000D0774" w:rsidP="007D536E">
            <w:pPr>
              <w:tabs>
                <w:tab w:val="clear" w:pos="567"/>
                <w:tab w:val="left" w:pos="880"/>
              </w:tabs>
              <w:spacing w:after="120"/>
            </w:pPr>
            <w:r w:rsidRPr="00C567FA">
              <w:t>21.11</w:t>
            </w:r>
            <w:r w:rsidRPr="00C567FA">
              <w:tab/>
              <w:t xml:space="preserve">La Commission recommande que le Conseil </w:t>
            </w:r>
            <w:r>
              <w:t>approuve</w:t>
            </w:r>
            <w:r w:rsidRPr="00C567FA">
              <w:t xml:space="preserve"> le Rapport du Vérificateur extérieur des comptes, pour ce qui est des comptes pour l</w:t>
            </w:r>
            <w:r w:rsidR="007D536E">
              <w:t>'</w:t>
            </w:r>
            <w:r w:rsidRPr="00C567FA">
              <w:t>exercice 2020, approuve les comptes tels qu</w:t>
            </w:r>
            <w:r w:rsidR="007D536E">
              <w:t>'</w:t>
            </w:r>
            <w:r w:rsidRPr="00C567FA">
              <w:t>ils ont été vérifiés et présentés dans le Document C22/40</w:t>
            </w:r>
            <w:r>
              <w:t>, et charge le secrétariat de mettre en œuvre les recommandations précitées</w:t>
            </w:r>
            <w:r w:rsidR="007D536E">
              <w:t xml:space="preserve"> </w:t>
            </w:r>
            <w:r>
              <w:t>pour suite à donner</w:t>
            </w:r>
          </w:p>
        </w:tc>
      </w:tr>
    </w:tbl>
    <w:p w14:paraId="0F17D341" w14:textId="77777777" w:rsidR="00EF4CBE" w:rsidRDefault="00EF4CBE" w:rsidP="007D536E">
      <w:pPr>
        <w:pStyle w:val="Heading1"/>
        <w:keepNext w:val="0"/>
        <w:keepLines w:val="0"/>
      </w:pPr>
      <w:r>
        <w:br w:type="page"/>
      </w:r>
    </w:p>
    <w:p w14:paraId="41577C89" w14:textId="7250569E" w:rsidR="000D0774" w:rsidRPr="00C567FA" w:rsidRDefault="000D0774" w:rsidP="007D536E">
      <w:pPr>
        <w:pStyle w:val="Heading1"/>
        <w:keepNext w:val="0"/>
        <w:keepLines w:val="0"/>
      </w:pPr>
      <w:r w:rsidRPr="00C567FA">
        <w:lastRenderedPageBreak/>
        <w:t>22</w:t>
      </w:r>
      <w:r w:rsidRPr="00C567FA">
        <w:tab/>
        <w:t>Présentation des nouveaux vérificateurs extérieurs, Bureau national de contrôle des finances publiques du Royaume-Uni (exposé oral)</w:t>
      </w:r>
    </w:p>
    <w:p w14:paraId="54515C99" w14:textId="4C5F786A" w:rsidR="000D0774" w:rsidRPr="00C567FA" w:rsidRDefault="000D0774" w:rsidP="007D536E">
      <w:r w:rsidRPr="00C567FA">
        <w:t>22.1</w:t>
      </w:r>
      <w:r w:rsidRPr="00C567FA">
        <w:tab/>
        <w:t>Le nouveau Vérificateur extérieur des comptes, au nom du Contrôleur et Vérificateur général du Royaume-Uni, a remercié les États Membres d</w:t>
      </w:r>
      <w:r w:rsidR="007D536E">
        <w:t>'</w:t>
      </w:r>
      <w:r w:rsidRPr="00C567FA">
        <w:t>avoir désigné le Bureau national de contrôle des finances publiques du Royaume-Uni (UK NAO) pour la période quadriennale allant de 2022 à 2025. Le nouveau Vérificateur extérieur des comptes a confirmé que les discussions initiales avaient commencé avec le personnel du secrétariat, et que des dispositions concernant la passation avec Corte dei Conti était en train d</w:t>
      </w:r>
      <w:r w:rsidR="007D536E">
        <w:t>'</w:t>
      </w:r>
      <w:r w:rsidRPr="00C567FA">
        <w:t>être planifiées, conformément aux procédures établies par le Groupe d</w:t>
      </w:r>
      <w:r w:rsidR="007D536E">
        <w:t>'</w:t>
      </w:r>
      <w:r w:rsidRPr="00C567FA">
        <w:t>auditeurs externes des Nations Unies. Le nouveau Vérificateur extérieur des comptes a déclaré que les travaux de planification détaillés ne commenceraient pas avant la fin de l</w:t>
      </w:r>
      <w:r w:rsidR="007D536E">
        <w:t>'</w:t>
      </w:r>
      <w:r w:rsidRPr="00C567FA">
        <w:t>été 2022, et qu</w:t>
      </w:r>
      <w:r w:rsidR="007D536E">
        <w:t>'</w:t>
      </w:r>
      <w:r w:rsidRPr="00C567FA">
        <w:t>il collaborerait avec le secrétariat pour élaborer un calendrier concernant les produits relatifs à la vérification des comptes, afin de répondre aux attentes des États Membres. Le nouveau Vérificateur extérieur des comptes a indiqué que les rapports établis comporteraient des recommandations claires, concrètes et constructives et se concentreraient sur les problèmes les plus importants, que les questions soulevées auprès de la direction seraient moins nombreuses et que ces rapports offriraient une réelle visibilité pour le CCIG. Le Vérificateur extérieur a en outre souligné que des séances informelles seraient disponibles pour les membres, s</w:t>
      </w:r>
      <w:r w:rsidR="007D536E">
        <w:t>'</w:t>
      </w:r>
      <w:r w:rsidRPr="00C567FA">
        <w:t>ils le jugeaient utile. Un délégué a félicité le Bureau national de contrôle des finances publiques du Royaume-Uni, au nom de l</w:t>
      </w:r>
      <w:r w:rsidR="007D536E">
        <w:t>'</w:t>
      </w:r>
      <w:r w:rsidRPr="00C567FA">
        <w:t>Institut supérieur de contrôle des finances publiques de son pays, pour sa nomination en tant que Vérificateur extérieur des comptes de l</w:t>
      </w:r>
      <w:r w:rsidR="007D536E">
        <w:t>'</w:t>
      </w:r>
      <w:r w:rsidRPr="00C567FA">
        <w:t xml:space="preserve">UIT. </w:t>
      </w:r>
    </w:p>
    <w:p w14:paraId="505A48B3" w14:textId="46308676" w:rsidR="000D0774" w:rsidRPr="00C567FA" w:rsidRDefault="000D0774" w:rsidP="007D536E">
      <w:r w:rsidRPr="00C567FA">
        <w:t>22.2</w:t>
      </w:r>
      <w:r w:rsidRPr="00C567FA">
        <w:tab/>
        <w:t>La Présidente a souhaité la bienvenue au nouveau Vérificateur extérieur des comptes et s</w:t>
      </w:r>
      <w:r w:rsidR="007D536E">
        <w:t>'</w:t>
      </w:r>
      <w:r w:rsidRPr="00C567FA">
        <w:t>est réjouie à la perspective d</w:t>
      </w:r>
      <w:r w:rsidR="007D536E">
        <w:t>'</w:t>
      </w:r>
      <w:r w:rsidRPr="00C567FA">
        <w:t>une collaboration fructueuse.</w:t>
      </w:r>
    </w:p>
    <w:p w14:paraId="32A3E32E" w14:textId="77777777" w:rsidR="000D0774" w:rsidRPr="00C567FA" w:rsidRDefault="000D0774" w:rsidP="007D536E">
      <w:pPr>
        <w:pStyle w:val="Heading1"/>
      </w:pPr>
      <w:r w:rsidRPr="00C567FA">
        <w:t>23</w:t>
      </w:r>
      <w:r w:rsidRPr="00C567FA">
        <w:tab/>
        <w:t xml:space="preserve">Onzième rapport annuel du Comité consultatif indépendant pour les questions de gestion (CCIG) (Document </w:t>
      </w:r>
      <w:hyperlink r:id="rId75" w:history="1">
        <w:r w:rsidRPr="00C567FA">
          <w:rPr>
            <w:rStyle w:val="Hyperlink"/>
          </w:rPr>
          <w:t>C22/22</w:t>
        </w:r>
      </w:hyperlink>
      <w:r w:rsidRPr="00C567FA">
        <w:t>)</w:t>
      </w:r>
    </w:p>
    <w:p w14:paraId="544F219E" w14:textId="3DAD60EF" w:rsidR="000D0774" w:rsidRPr="00C567FA" w:rsidRDefault="000D0774" w:rsidP="007D536E">
      <w:r w:rsidRPr="00C567FA">
        <w:t>23.1</w:t>
      </w:r>
      <w:r w:rsidRPr="00C567FA">
        <w:tab/>
        <w:t>Le président du CCIG, M. Kamlesh Vikamsey, a présenté au Conseil le onzième rapport du CCMI, dans lequel figurent les observations et l</w:t>
      </w:r>
      <w:r w:rsidR="007D536E">
        <w:t>'</w:t>
      </w:r>
      <w:r w:rsidRPr="00C567FA">
        <w:t>avis du CCIG concernant le rapport du Vérificateur extérieur des comptes sur les états financiers pour 2020, ainsi que les modifications que le Comité propose d</w:t>
      </w:r>
      <w:r w:rsidR="007D536E">
        <w:t>'</w:t>
      </w:r>
      <w:r w:rsidRPr="00C567FA">
        <w:t>apporter à son mandat.</w:t>
      </w:r>
    </w:p>
    <w:p w14:paraId="7AC9964B" w14:textId="53AE63E7" w:rsidR="000D0774" w:rsidRPr="00C567FA" w:rsidRDefault="000D0774" w:rsidP="007D536E">
      <w:r w:rsidRPr="00C567FA">
        <w:t>23.2</w:t>
      </w:r>
      <w:r w:rsidRPr="00C567FA">
        <w:tab/>
        <w:t>Dans sa recommandation (Rec. 1/2022), le CCIG a recommandé à la haute direction de dialoguer avec les vérificateurs extérieurs des comptes pour les convaincre que les activités de contrôle déjà mises en place sont adaptées, afin qu</w:t>
      </w:r>
      <w:r w:rsidR="007D536E">
        <w:t>'</w:t>
      </w:r>
      <w:r w:rsidRPr="00C567FA">
        <w:t>ils puissent mener des procédures de vérification des comptes satisfaisantes leur permettant d</w:t>
      </w:r>
      <w:r w:rsidR="007D536E">
        <w:t>'</w:t>
      </w:r>
      <w:r w:rsidRPr="00C567FA">
        <w:t>émettre l</w:t>
      </w:r>
      <w:r w:rsidR="007D536E">
        <w:t>'</w:t>
      </w:r>
      <w:r w:rsidRPr="00C567FA">
        <w:t>avis que les états financiers sont exempts d</w:t>
      </w:r>
      <w:r w:rsidR="007D536E">
        <w:t>'</w:t>
      </w:r>
      <w:r w:rsidRPr="00C567FA">
        <w:t>erreurs ou d</w:t>
      </w:r>
      <w:r w:rsidR="007D536E">
        <w:t>'</w:t>
      </w:r>
      <w:r w:rsidRPr="00C567FA">
        <w:t>inexactitudes significatives.</w:t>
      </w:r>
    </w:p>
    <w:p w14:paraId="2297AAAB" w14:textId="595F3FC4" w:rsidR="000D0774" w:rsidRPr="00C567FA" w:rsidRDefault="000D0774" w:rsidP="007D536E">
      <w:r w:rsidRPr="00C567FA">
        <w:t>23.3</w:t>
      </w:r>
      <w:r w:rsidRPr="00C567FA">
        <w:tab/>
        <w:t>Plusieurs délégués ont pris la parole pour remercier le Comité pour son travail et ses conseils, et appuyer les modifications proposées dans le rapport. Il a aussi été proposé d</w:t>
      </w:r>
      <w:r w:rsidR="007D536E">
        <w:t>'</w:t>
      </w:r>
      <w:r w:rsidRPr="00C567FA">
        <w:t>examiner certains autres domaines au moment où le mandat du CCIG serait révisé.</w:t>
      </w:r>
    </w:p>
    <w:p w14:paraId="2F7B197F" w14:textId="09114786" w:rsidR="000D0774" w:rsidRPr="00C567FA" w:rsidRDefault="000D0774" w:rsidP="007D536E">
      <w:pPr>
        <w:spacing w:after="240"/>
      </w:pPr>
      <w:r w:rsidRPr="00C567FA">
        <w:t>23.4</w:t>
      </w:r>
      <w:r w:rsidRPr="00C567FA">
        <w:tab/>
        <w:t>Des précisions ont aussi été demandées sur la façon dont les modifications qu</w:t>
      </w:r>
      <w:r w:rsidR="007D536E">
        <w:t>'</w:t>
      </w:r>
      <w:r w:rsidRPr="00C567FA">
        <w:t>il est proposé d</w:t>
      </w:r>
      <w:r w:rsidR="007D536E">
        <w:t>'</w:t>
      </w:r>
      <w:r w:rsidRPr="00C567FA">
        <w:t>apporter au mandat du CCIG, qui devront apparaître dans la Résolution 162 (Rév. Busan, 2014), pourraient être présentées à la Conférence de plénipotentiaires. Il a été précisé que le Conseil pourrait inviter les États membres à élaborer leurs contributions à la Conférence de plénipotentiaires concernant la résolution 162 (Rév. Busan, 2014), en tenant compte des modifications proposées.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D0774" w:rsidRPr="00C567FA" w14:paraId="110F7A23" w14:textId="77777777" w:rsidTr="002932F3">
        <w:tc>
          <w:tcPr>
            <w:tcW w:w="9287" w:type="dxa"/>
            <w:tcBorders>
              <w:top w:val="single" w:sz="4" w:space="0" w:color="auto"/>
              <w:left w:val="single" w:sz="4" w:space="0" w:color="auto"/>
              <w:bottom w:val="single" w:sz="4" w:space="0" w:color="auto"/>
              <w:right w:val="single" w:sz="4" w:space="0" w:color="auto"/>
            </w:tcBorders>
            <w:hideMark/>
          </w:tcPr>
          <w:p w14:paraId="208DD988" w14:textId="77777777" w:rsidR="000D0774" w:rsidRPr="00C567FA" w:rsidRDefault="000D0774" w:rsidP="007D536E">
            <w:pPr>
              <w:pStyle w:val="Headingb"/>
              <w:rPr>
                <w:i/>
                <w:iCs/>
              </w:rPr>
            </w:pPr>
            <w:r w:rsidRPr="00C567FA">
              <w:rPr>
                <w:i/>
                <w:iCs/>
              </w:rPr>
              <w:lastRenderedPageBreak/>
              <w:t>Recommandation</w:t>
            </w:r>
          </w:p>
          <w:p w14:paraId="7CDEF950" w14:textId="7DD1E81D" w:rsidR="000D0774" w:rsidRPr="00C567FA" w:rsidRDefault="000D0774" w:rsidP="007D536E">
            <w:pPr>
              <w:spacing w:after="120"/>
            </w:pPr>
            <w:r w:rsidRPr="00C567FA">
              <w:t>23.5</w:t>
            </w:r>
            <w:r w:rsidRPr="00C567FA">
              <w:tab/>
              <w:t>Le Comité recommande au Conseil d</w:t>
            </w:r>
            <w:r w:rsidR="007D536E">
              <w:t>'</w:t>
            </w:r>
            <w:r w:rsidRPr="00C567FA">
              <w:t>approuver le rapport du CCIG et la recommandation figurant dans celui-ci (Document C22/22) pour suite à donner par le secrétariat, et d</w:t>
            </w:r>
            <w:r w:rsidR="007D536E">
              <w:t>'</w:t>
            </w:r>
            <w:r w:rsidRPr="00C567FA">
              <w:t>inviter aussi les États membres à examiner les modifications proposées par le Comité concernant son mandat (Annexe du Document C22/22), à titre de propositions de révision de la Résolution 162 (Rév. Busan, 2014), lorsqu</w:t>
            </w:r>
            <w:r w:rsidR="007D536E">
              <w:t>'</w:t>
            </w:r>
            <w:r w:rsidRPr="00C567FA">
              <w:t>ils élaboreront leurs contributions à la Conférence de plénipotentiaires de 2022.</w:t>
            </w:r>
          </w:p>
        </w:tc>
      </w:tr>
    </w:tbl>
    <w:p w14:paraId="19CD3ECC" w14:textId="77777777" w:rsidR="000D0774" w:rsidRPr="00C567FA" w:rsidRDefault="000D0774" w:rsidP="007D536E">
      <w:pPr>
        <w:pStyle w:val="Heading1"/>
      </w:pPr>
      <w:r w:rsidRPr="00C567FA">
        <w:t>24</w:t>
      </w:r>
      <w:r w:rsidRPr="00C567FA">
        <w:tab/>
        <w:t xml:space="preserve">Rapport du Groupe de travail sur les contrôles internes (Document </w:t>
      </w:r>
      <w:hyperlink r:id="rId76" w:history="1">
        <w:r w:rsidRPr="00C567FA">
          <w:rPr>
            <w:rStyle w:val="Hyperlink"/>
          </w:rPr>
          <w:t>C22/20</w:t>
        </w:r>
      </w:hyperlink>
      <w:r w:rsidRPr="00C567FA">
        <w:t>)</w:t>
      </w:r>
    </w:p>
    <w:p w14:paraId="71EEE6C8" w14:textId="75CF4821" w:rsidR="000D0774" w:rsidRPr="00C567FA" w:rsidRDefault="000D0774" w:rsidP="007D536E">
      <w:r w:rsidRPr="00C567FA">
        <w:t>24.1</w:t>
      </w:r>
      <w:r w:rsidRPr="00C567FA">
        <w:tab/>
        <w:t>Le secrétariat a présenté le Document C22/20 concernant le rapport du Groupe de travail de l</w:t>
      </w:r>
      <w:r w:rsidR="007D536E">
        <w:t>'</w:t>
      </w:r>
      <w:r w:rsidRPr="00C567FA">
        <w:t>UIT sur les contrôles internes. En 2018, l</w:t>
      </w:r>
      <w:r w:rsidR="007D536E">
        <w:t>'</w:t>
      </w:r>
      <w:r w:rsidRPr="00C567FA">
        <w:t>Unité de l</w:t>
      </w:r>
      <w:r w:rsidR="007D536E">
        <w:t>'</w:t>
      </w:r>
      <w:r w:rsidRPr="00C567FA">
        <w:t>audit interne (IAU) a mené une enquête au sujet d</w:t>
      </w:r>
      <w:r w:rsidR="007D536E">
        <w:t>'</w:t>
      </w:r>
      <w:r w:rsidRPr="00C567FA">
        <w:t>une fraude commise par un fonctionnaire dans un bureau régional de l</w:t>
      </w:r>
      <w:r w:rsidR="007D536E">
        <w:t>'</w:t>
      </w:r>
      <w:r w:rsidRPr="00C567FA">
        <w:t>UIT. L</w:t>
      </w:r>
      <w:r w:rsidR="007D536E">
        <w:t>'</w:t>
      </w:r>
      <w:r w:rsidRPr="00C567FA">
        <w:t>UIT a institué un groupe de travail, sous la présidence du Directeur du BDT, afin de renforcer les mécanismes de contrôle à l</w:t>
      </w:r>
      <w:r w:rsidR="007D536E">
        <w:t>'</w:t>
      </w:r>
      <w:r w:rsidRPr="00C567FA">
        <w:t>échelle de l</w:t>
      </w:r>
      <w:r w:rsidR="007D536E">
        <w:t>'</w:t>
      </w:r>
      <w:r w:rsidRPr="00C567FA">
        <w:t>UIT en mai 2019. Il a rendu compte des progrès des systèmes et des mesures instaurés en 2021 et au premier trimestre 2022, qui ont complété les améliorations déjà introduites en 2019 et en 2020.</w:t>
      </w:r>
    </w:p>
    <w:p w14:paraId="75187C37" w14:textId="5AEB15DB" w:rsidR="000D0774" w:rsidRPr="00C567FA" w:rsidRDefault="000D0774" w:rsidP="007D536E">
      <w:r w:rsidRPr="00C567FA">
        <w:t>24.2</w:t>
      </w:r>
      <w:r w:rsidRPr="00C567FA">
        <w:tab/>
        <w:t>Ce travail a fait fond sur les activités du Vérificateur extérieur, du CCIG et de l</w:t>
      </w:r>
      <w:r w:rsidR="007D536E">
        <w:t>'</w:t>
      </w:r>
      <w:r w:rsidRPr="00C567FA">
        <w:t>Enquêteur interne.</w:t>
      </w:r>
    </w:p>
    <w:p w14:paraId="47624A08" w14:textId="77777777" w:rsidR="000D0774" w:rsidRPr="00C567FA" w:rsidRDefault="000D0774" w:rsidP="007D536E">
      <w:pPr>
        <w:keepNext/>
        <w:keepLines/>
      </w:pPr>
      <w:r w:rsidRPr="00C567FA">
        <w:t>24.3</w:t>
      </w:r>
      <w:r w:rsidRPr="00C567FA">
        <w:tab/>
        <w:t>Des progrès supplémentaires ont été accomplis concernant les mesures appliquées dans les domaines suivants:</w:t>
      </w:r>
    </w:p>
    <w:p w14:paraId="20BEFF15" w14:textId="77777777" w:rsidR="000D0774" w:rsidRPr="00C567FA" w:rsidRDefault="000D0774" w:rsidP="007D536E">
      <w:pPr>
        <w:pStyle w:val="enumlev1"/>
        <w:keepNext/>
        <w:keepLines/>
      </w:pPr>
      <w:r w:rsidRPr="00C567FA">
        <w:t>–</w:t>
      </w:r>
      <w:r w:rsidRPr="00C567FA">
        <w:tab/>
        <w:t xml:space="preserve">un nouveau </w:t>
      </w:r>
      <w:r w:rsidRPr="00C567FA">
        <w:rPr>
          <w:b/>
        </w:rPr>
        <w:t>système de recrutement en ligne</w:t>
      </w:r>
      <w:r w:rsidRPr="00C567FA">
        <w:t xml:space="preserve"> est entré en service au premier trimestre 2022, complété par de nouvelles procédures de mise au concours et de nouvelles lignes directrices pour le recrutement de consultants;</w:t>
      </w:r>
    </w:p>
    <w:p w14:paraId="5A4C8ADD" w14:textId="77777777" w:rsidR="000D0774" w:rsidRPr="00C567FA" w:rsidRDefault="000D0774" w:rsidP="007D536E">
      <w:pPr>
        <w:pStyle w:val="enumlev1"/>
      </w:pPr>
      <w:r w:rsidRPr="00C567FA">
        <w:t>–</w:t>
      </w:r>
      <w:r w:rsidRPr="00C567FA">
        <w:tab/>
        <w:t xml:space="preserve">de nouvelles mesures de contrôle ont été adoptées pour la </w:t>
      </w:r>
      <w:r w:rsidRPr="00C567FA">
        <w:rPr>
          <w:b/>
        </w:rPr>
        <w:t>gestion des consultants extérieurs</w:t>
      </w:r>
      <w:r w:rsidRPr="00C567FA">
        <w:t>;</w:t>
      </w:r>
    </w:p>
    <w:p w14:paraId="45783001" w14:textId="60B6395E" w:rsidR="000D0774" w:rsidRPr="00C567FA" w:rsidRDefault="000D0774" w:rsidP="007D536E">
      <w:pPr>
        <w:pStyle w:val="enumlev1"/>
      </w:pPr>
      <w:r w:rsidRPr="00C567FA">
        <w:t>–</w:t>
      </w:r>
      <w:r w:rsidRPr="00C567FA">
        <w:tab/>
        <w:t>une meilleure intégration des fonctions essentielles dans les applications logicielles administratives organisationnelles de l</w:t>
      </w:r>
      <w:r w:rsidR="007D536E">
        <w:t>'</w:t>
      </w:r>
      <w:r w:rsidRPr="00C567FA">
        <w:t xml:space="preserve">UIT, dans le cadre du </w:t>
      </w:r>
      <w:r w:rsidRPr="00C567FA">
        <w:rPr>
          <w:b/>
        </w:rPr>
        <w:t>projet IT4BDT</w:t>
      </w:r>
      <w:r w:rsidRPr="00C567FA">
        <w:t>, qui prévoit ce qui suit:</w:t>
      </w:r>
    </w:p>
    <w:p w14:paraId="2ED66989" w14:textId="7515879E" w:rsidR="000D0774" w:rsidRPr="00C567FA" w:rsidRDefault="000D0774" w:rsidP="007D536E">
      <w:pPr>
        <w:pStyle w:val="enumlev2"/>
      </w:pPr>
      <w:r w:rsidRPr="00C567FA">
        <w:t>•</w:t>
      </w:r>
      <w:r w:rsidRPr="00C567FA">
        <w:tab/>
        <w:t>remplacement de l</w:t>
      </w:r>
      <w:r w:rsidR="007D536E">
        <w:t>'</w:t>
      </w:r>
      <w:r w:rsidRPr="00C567FA">
        <w:t>ancien système de planification opérationnelle (OPS) par le système EPPM (gestion de portefeuilles de projets institutionnels), qui est pleinement intégré dans le système institutionnel SAP;</w:t>
      </w:r>
    </w:p>
    <w:p w14:paraId="729B7812" w14:textId="77777777" w:rsidR="000D0774" w:rsidRPr="00C567FA" w:rsidRDefault="000D0774" w:rsidP="007D536E">
      <w:pPr>
        <w:pStyle w:val="enumlev2"/>
      </w:pPr>
      <w:r w:rsidRPr="00C567FA">
        <w:t>•</w:t>
      </w:r>
      <w:r w:rsidRPr="00C567FA">
        <w:tab/>
        <w:t>migration du système de recrutement vers SAP;</w:t>
      </w:r>
    </w:p>
    <w:p w14:paraId="515A396F" w14:textId="7388EB58" w:rsidR="000D0774" w:rsidRPr="00C567FA" w:rsidRDefault="000D0774" w:rsidP="007D536E">
      <w:pPr>
        <w:pStyle w:val="enumlev2"/>
      </w:pPr>
      <w:r w:rsidRPr="00C567FA">
        <w:t>•</w:t>
      </w:r>
      <w:r w:rsidRPr="00C567FA">
        <w:tab/>
        <w:t>mise en œuvre d</w:t>
      </w:r>
      <w:r w:rsidR="007D536E">
        <w:t>'</w:t>
      </w:r>
      <w:r w:rsidRPr="00C567FA">
        <w:t>un suivi des dépenses plus robuste au niveau national;</w:t>
      </w:r>
    </w:p>
    <w:p w14:paraId="0D5A2A93" w14:textId="45300498" w:rsidR="000D0774" w:rsidRPr="00C567FA" w:rsidRDefault="000D0774" w:rsidP="007D536E">
      <w:pPr>
        <w:pStyle w:val="enumlev2"/>
      </w:pPr>
      <w:r w:rsidRPr="00C567FA">
        <w:t>•</w:t>
      </w:r>
      <w:r w:rsidRPr="00C567FA">
        <w:tab/>
        <w:t>de nouveaux moyens d</w:t>
      </w:r>
      <w:r w:rsidR="007D536E">
        <w:t>'</w:t>
      </w:r>
      <w:r w:rsidRPr="00C567FA">
        <w:t>étendre l</w:t>
      </w:r>
      <w:r w:rsidR="007D536E">
        <w:t>'</w:t>
      </w:r>
      <w:r w:rsidRPr="00C567FA">
        <w:t>utilisation de ces systèmes sont évalués en permanence pour dégager de nouvelles possibilités d</w:t>
      </w:r>
      <w:r w:rsidR="007D536E">
        <w:t>'</w:t>
      </w:r>
      <w:r w:rsidRPr="00C567FA">
        <w:t>améliorer les contrôles et l</w:t>
      </w:r>
      <w:r w:rsidR="007D536E">
        <w:t>'</w:t>
      </w:r>
      <w:r w:rsidRPr="00C567FA">
        <w:t>efficacité.</w:t>
      </w:r>
    </w:p>
    <w:p w14:paraId="571FF54F" w14:textId="091E3D5C" w:rsidR="000D0774" w:rsidRPr="00C567FA" w:rsidRDefault="000D0774" w:rsidP="007D536E">
      <w:pPr>
        <w:pStyle w:val="enumlev1"/>
      </w:pPr>
      <w:r w:rsidRPr="00C567FA">
        <w:t>–</w:t>
      </w:r>
      <w:r w:rsidRPr="00C567FA">
        <w:tab/>
        <w:t>dans le domaine de l</w:t>
      </w:r>
      <w:r w:rsidR="007D536E">
        <w:t>'</w:t>
      </w:r>
      <w:r w:rsidRPr="00C567FA">
        <w:rPr>
          <w:b/>
          <w:bCs/>
        </w:rPr>
        <w:t>éthique</w:t>
      </w:r>
      <w:r w:rsidRPr="00C567FA">
        <w:t>, des déclarations d</w:t>
      </w:r>
      <w:r w:rsidR="007D536E">
        <w:t>'</w:t>
      </w:r>
      <w:r w:rsidRPr="00C567FA">
        <w:t>intérêts et des déclarations de conformité ont été remplies par tous les fonctionnaires concernés;</w:t>
      </w:r>
    </w:p>
    <w:p w14:paraId="35101DE6" w14:textId="77777777" w:rsidR="00EF4CBE" w:rsidRDefault="00EF4CBE" w:rsidP="007D536E">
      <w:pPr>
        <w:pStyle w:val="enumlev1"/>
      </w:pPr>
      <w:r>
        <w:br w:type="page"/>
      </w:r>
    </w:p>
    <w:p w14:paraId="0012C27A" w14:textId="79E801DB" w:rsidR="000D0774" w:rsidRPr="00C567FA" w:rsidRDefault="000D0774" w:rsidP="007D536E">
      <w:pPr>
        <w:pStyle w:val="enumlev1"/>
      </w:pPr>
      <w:r w:rsidRPr="00C567FA">
        <w:lastRenderedPageBreak/>
        <w:t>–</w:t>
      </w:r>
      <w:r w:rsidRPr="00C567FA">
        <w:tab/>
        <w:t xml:space="preserve">la </w:t>
      </w:r>
      <w:r w:rsidRPr="00C567FA">
        <w:rPr>
          <w:b/>
        </w:rPr>
        <w:t xml:space="preserve">gestion de projet </w:t>
      </w:r>
      <w:r w:rsidRPr="00C567FA">
        <w:t>a encore fait l</w:t>
      </w:r>
      <w:r w:rsidR="007D536E">
        <w:t>'</w:t>
      </w:r>
      <w:r w:rsidRPr="00C567FA">
        <w:t>objet d</w:t>
      </w:r>
      <w:r w:rsidR="007D536E">
        <w:t>'</w:t>
      </w:r>
      <w:r w:rsidRPr="00C567FA">
        <w:t xml:space="preserve">améliorations </w:t>
      </w:r>
      <w:r w:rsidRPr="00C567FA">
        <w:rPr>
          <w:rFonts w:eastAsia="Calibri"/>
          <w:w w:val="105"/>
        </w:rPr>
        <w:t>grâce à l</w:t>
      </w:r>
      <w:r w:rsidR="007D536E">
        <w:rPr>
          <w:rFonts w:eastAsia="Calibri"/>
          <w:w w:val="105"/>
        </w:rPr>
        <w:t>'</w:t>
      </w:r>
      <w:r w:rsidRPr="00C567FA">
        <w:rPr>
          <w:rFonts w:eastAsia="Calibri"/>
          <w:w w:val="105"/>
        </w:rPr>
        <w:t xml:space="preserve">action du </w:t>
      </w:r>
      <w:r w:rsidRPr="00C567FA">
        <w:t>Comité de projets, à la gouvernance de projet, à la création d</w:t>
      </w:r>
      <w:r w:rsidR="007D536E">
        <w:t>'</w:t>
      </w:r>
      <w:r w:rsidRPr="00C567FA">
        <w:t>une nouvelle "Communauté de pratique", à un suivi systématique des projets et à des évaluations trimestrielles, y compris l</w:t>
      </w:r>
      <w:r w:rsidR="007D536E">
        <w:t>'</w:t>
      </w:r>
      <w:r w:rsidRPr="00C567FA">
        <w:t>utilisation de tableaux de bord de gestion;</w:t>
      </w:r>
    </w:p>
    <w:p w14:paraId="6ABB6F93" w14:textId="08306FC7" w:rsidR="000D0774" w:rsidRPr="00C567FA" w:rsidRDefault="000D0774" w:rsidP="007D536E">
      <w:pPr>
        <w:pStyle w:val="enumlev1"/>
      </w:pPr>
      <w:r w:rsidRPr="00C567FA">
        <w:t>–</w:t>
      </w:r>
      <w:r w:rsidRPr="00C567FA">
        <w:tab/>
        <w:t xml:space="preserve">les contrôles de la gestion de projet ont renforcés plus avant par des améliorations sur le plan des compétences, y compris la </w:t>
      </w:r>
      <w:r w:rsidRPr="00C567FA">
        <w:rPr>
          <w:b/>
        </w:rPr>
        <w:t>certification</w:t>
      </w:r>
      <w:r w:rsidRPr="00C567FA">
        <w:t xml:space="preserve"> de plus de 90 fonctionnaires de l</w:t>
      </w:r>
      <w:r w:rsidR="007D536E">
        <w:t>'</w:t>
      </w:r>
      <w:r w:rsidRPr="00C567FA">
        <w:t>UIT dans le domaine de la gestion de projet;</w:t>
      </w:r>
    </w:p>
    <w:p w14:paraId="33B44F85" w14:textId="62EE1D35" w:rsidR="000D0774" w:rsidRPr="00C567FA" w:rsidRDefault="000D0774" w:rsidP="007D536E">
      <w:pPr>
        <w:pStyle w:val="enumlev1"/>
      </w:pPr>
      <w:r w:rsidRPr="00C567FA">
        <w:t>–</w:t>
      </w:r>
      <w:r w:rsidRPr="00C567FA">
        <w:tab/>
        <w:t>l</w:t>
      </w:r>
      <w:r w:rsidR="007D536E">
        <w:t>'</w:t>
      </w:r>
      <w:r w:rsidRPr="00C567FA">
        <w:t>adoption plus générale parmi l</w:t>
      </w:r>
      <w:r w:rsidR="007D536E">
        <w:t>'</w:t>
      </w:r>
      <w:r w:rsidRPr="00C567FA">
        <w:t xml:space="preserve">équipe de direction du </w:t>
      </w:r>
      <w:r w:rsidRPr="00C567FA">
        <w:rPr>
          <w:b/>
        </w:rPr>
        <w:t>tableau de bord de la conformité à l</w:t>
      </w:r>
      <w:r w:rsidR="007D536E">
        <w:rPr>
          <w:b/>
        </w:rPr>
        <w:t>'</w:t>
      </w:r>
      <w:r w:rsidRPr="00C567FA">
        <w:rPr>
          <w:b/>
        </w:rPr>
        <w:t>échelle de l</w:t>
      </w:r>
      <w:r w:rsidR="007D536E">
        <w:rPr>
          <w:b/>
        </w:rPr>
        <w:t>'</w:t>
      </w:r>
      <w:r w:rsidRPr="00C567FA">
        <w:rPr>
          <w:b/>
        </w:rPr>
        <w:t>UIT</w:t>
      </w:r>
      <w:r w:rsidRPr="00C567FA">
        <w:t>, qui constitue désormais un point récurrent de l</w:t>
      </w:r>
      <w:r w:rsidR="007D536E">
        <w:t>'</w:t>
      </w:r>
      <w:r w:rsidRPr="00C567FA">
        <w:t>ordre du jour du Groupe de coordination de la gestion (MCG);</w:t>
      </w:r>
    </w:p>
    <w:p w14:paraId="275B5EC2" w14:textId="77777777" w:rsidR="000D0774" w:rsidRPr="00C567FA" w:rsidRDefault="000D0774" w:rsidP="007D536E">
      <w:pPr>
        <w:pStyle w:val="enumlev1"/>
      </w:pPr>
      <w:r w:rsidRPr="00C567FA">
        <w:t>–</w:t>
      </w:r>
      <w:r w:rsidRPr="00C567FA">
        <w:tab/>
        <w:t xml:space="preserve">de nouvelles mesures de gestion et de suivi des </w:t>
      </w:r>
      <w:r w:rsidRPr="00C567FA">
        <w:rPr>
          <w:b/>
        </w:rPr>
        <w:t>contributions volontaires</w:t>
      </w:r>
      <w:r w:rsidRPr="00C567FA">
        <w:t>;</w:t>
      </w:r>
    </w:p>
    <w:p w14:paraId="774F1037" w14:textId="77777777" w:rsidR="000D0774" w:rsidRPr="00C567FA" w:rsidRDefault="000D0774" w:rsidP="007D536E">
      <w:pPr>
        <w:pStyle w:val="enumlev1"/>
      </w:pPr>
      <w:r w:rsidRPr="00C567FA">
        <w:t>–</w:t>
      </w:r>
      <w:r w:rsidRPr="00C567FA">
        <w:tab/>
        <w:t xml:space="preserve">le </w:t>
      </w:r>
      <w:r w:rsidRPr="00C567FA">
        <w:rPr>
          <w:b/>
        </w:rPr>
        <w:t>Cadre de responsabilité</w:t>
      </w:r>
      <w:r w:rsidRPr="00C567FA">
        <w:t>, approuvé par le Conseil (Document C22/57), sera un document évolutif dans lequel seront indiquées et intégrées régulièrement des pratiques plus efficaces en matière de responsabilité; et</w:t>
      </w:r>
    </w:p>
    <w:p w14:paraId="2F2E02B8" w14:textId="574EEEC2" w:rsidR="000D0774" w:rsidRPr="00C567FA" w:rsidRDefault="000D0774" w:rsidP="007D536E">
      <w:pPr>
        <w:pStyle w:val="enumlev1"/>
        <w:rPr>
          <w:szCs w:val="24"/>
        </w:rPr>
      </w:pPr>
      <w:r w:rsidRPr="00C567FA">
        <w:rPr>
          <w:szCs w:val="24"/>
        </w:rPr>
        <w:t>–</w:t>
      </w:r>
      <w:r w:rsidRPr="00C567FA">
        <w:rPr>
          <w:szCs w:val="24"/>
        </w:rPr>
        <w:tab/>
        <w:t>la poursuite de l</w:t>
      </w:r>
      <w:r w:rsidR="007D536E">
        <w:rPr>
          <w:szCs w:val="24"/>
        </w:rPr>
        <w:t>'</w:t>
      </w:r>
      <w:r w:rsidRPr="00C567FA">
        <w:rPr>
          <w:b/>
          <w:szCs w:val="24"/>
        </w:rPr>
        <w:t>activité de pondération</w:t>
      </w:r>
      <w:r w:rsidRPr="00C567FA">
        <w:rPr>
          <w:szCs w:val="24"/>
        </w:rPr>
        <w:t xml:space="preserve"> des mesures d</w:t>
      </w:r>
      <w:r w:rsidR="007D536E">
        <w:rPr>
          <w:szCs w:val="24"/>
        </w:rPr>
        <w:t>'</w:t>
      </w:r>
      <w:r w:rsidRPr="00C567FA">
        <w:rPr>
          <w:szCs w:val="24"/>
        </w:rPr>
        <w:t>atténuation.</w:t>
      </w:r>
    </w:p>
    <w:p w14:paraId="132B26B0" w14:textId="1B715C68" w:rsidR="000D0774" w:rsidRPr="00C567FA" w:rsidRDefault="000D0774" w:rsidP="007D536E">
      <w:pPr>
        <w:rPr>
          <w:szCs w:val="24"/>
        </w:rPr>
      </w:pPr>
      <w:r w:rsidRPr="00C567FA">
        <w:rPr>
          <w:szCs w:val="24"/>
        </w:rPr>
        <w:t>24.4</w:t>
      </w:r>
      <w:r w:rsidRPr="00C567FA">
        <w:rPr>
          <w:szCs w:val="24"/>
        </w:rPr>
        <w:tab/>
        <w:t>Le Groupe de travail sur les contrôles internes continuera de se réunir en 2022 afin de poursuivre son action de regroupement, de suivi et de perfectionnement des contrôles internes selon qu</w:t>
      </w:r>
      <w:r w:rsidR="007D536E">
        <w:rPr>
          <w:szCs w:val="24"/>
        </w:rPr>
        <w:t>'</w:t>
      </w:r>
      <w:r w:rsidRPr="00C567FA">
        <w:rPr>
          <w:szCs w:val="24"/>
        </w:rPr>
        <w:t>il conviendra.</w:t>
      </w:r>
    </w:p>
    <w:p w14:paraId="7977D93E" w14:textId="076E3EAC" w:rsidR="000D0774" w:rsidRPr="00C567FA" w:rsidRDefault="000D0774" w:rsidP="007D536E">
      <w:pPr>
        <w:rPr>
          <w:szCs w:val="24"/>
        </w:rPr>
      </w:pPr>
      <w:r w:rsidRPr="00C567FA">
        <w:rPr>
          <w:szCs w:val="24"/>
        </w:rPr>
        <w:t>24.5</w:t>
      </w:r>
      <w:r w:rsidRPr="00C567FA">
        <w:rPr>
          <w:szCs w:val="24"/>
        </w:rPr>
        <w:tab/>
        <w:t>Plusieurs délégués ont pris note avec satisfaction du document, en particulier des renseignements détaillés qu</w:t>
      </w:r>
      <w:r w:rsidR="007D536E">
        <w:rPr>
          <w:szCs w:val="24"/>
        </w:rPr>
        <w:t>'</w:t>
      </w:r>
      <w:r w:rsidRPr="00C567FA">
        <w:rPr>
          <w:szCs w:val="24"/>
        </w:rPr>
        <w:t>il donne sur les progrès accomplis.</w:t>
      </w:r>
    </w:p>
    <w:p w14:paraId="05D61F48" w14:textId="0EE99A39" w:rsidR="000D0774" w:rsidRPr="00C567FA" w:rsidRDefault="000D0774" w:rsidP="007D536E">
      <w:pPr>
        <w:keepNext/>
        <w:keepLines/>
        <w:rPr>
          <w:szCs w:val="24"/>
        </w:rPr>
      </w:pPr>
      <w:r w:rsidRPr="00C567FA">
        <w:rPr>
          <w:szCs w:val="24"/>
        </w:rPr>
        <w:t>24.6</w:t>
      </w:r>
      <w:r w:rsidRPr="00C567FA">
        <w:rPr>
          <w:szCs w:val="24"/>
        </w:rPr>
        <w:tab/>
        <w:t>Répondant à des questions sur les étapes suivant lesquelles les procédures restantes seront appliquées, le secrétariat a résumé comme suit ces étapes: 1) formation complémentaire aux nouveaux systèmes de recrutement en ligne; 2) achèvement de la campagne de reconstitution du fichier d</w:t>
      </w:r>
      <w:r w:rsidR="007D536E">
        <w:rPr>
          <w:szCs w:val="24"/>
        </w:rPr>
        <w:t>'</w:t>
      </w:r>
      <w:r w:rsidRPr="00C567FA">
        <w:rPr>
          <w:szCs w:val="24"/>
        </w:rPr>
        <w:t>experts; 3) étapes complémentaires pour améliorer encore les nouveaux systèmes lancés dans le cadre du projet IT4BDT au moyen de fonctions supplémentaires de suivi des projets; et 4) application et amélioration continue du nouveau Cadre de responsabilité. Le coût supplémentaire de 160 000 CHF indiqué pour le projet IT4BDT a été affecté pour améliorer l</w:t>
      </w:r>
      <w:r w:rsidR="007D536E">
        <w:rPr>
          <w:szCs w:val="24"/>
        </w:rPr>
        <w:t>'</w:t>
      </w:r>
      <w:r w:rsidRPr="00C567FA">
        <w:rPr>
          <w:szCs w:val="24"/>
        </w:rPr>
        <w:t>intégration de l</w:t>
      </w:r>
      <w:r w:rsidR="007D536E">
        <w:rPr>
          <w:szCs w:val="24"/>
        </w:rPr>
        <w:t>'</w:t>
      </w:r>
      <w:r w:rsidRPr="00C567FA">
        <w:rPr>
          <w:szCs w:val="24"/>
        </w:rPr>
        <w:t>ensemble des systèmes institutionnels et ne fait pas partie d</w:t>
      </w:r>
      <w:r w:rsidR="007D536E">
        <w:rPr>
          <w:szCs w:val="24"/>
        </w:rPr>
        <w:t>'</w:t>
      </w:r>
      <w:r w:rsidRPr="00C567FA">
        <w:rPr>
          <w:szCs w:val="24"/>
        </w:rPr>
        <w:t>UMAX, et le secrétariat achèvera l</w:t>
      </w:r>
      <w:r w:rsidR="007D536E">
        <w:rPr>
          <w:szCs w:val="24"/>
        </w:rPr>
        <w:t>'</w:t>
      </w:r>
      <w:r w:rsidRPr="00C567FA">
        <w:rPr>
          <w:szCs w:val="24"/>
        </w:rPr>
        <w:t>application des points restants indiqués ci-dessus au moyen des ressources disponibles.</w:t>
      </w:r>
    </w:p>
    <w:p w14:paraId="027AB519" w14:textId="2B9F86CC" w:rsidR="000D0774" w:rsidRPr="00C567FA" w:rsidRDefault="000D0774" w:rsidP="007D536E">
      <w:pPr>
        <w:rPr>
          <w:szCs w:val="24"/>
        </w:rPr>
      </w:pPr>
      <w:r w:rsidRPr="00C567FA">
        <w:rPr>
          <w:szCs w:val="24"/>
        </w:rPr>
        <w:t>24.7</w:t>
      </w:r>
      <w:r w:rsidRPr="00C567FA">
        <w:rPr>
          <w:szCs w:val="24"/>
        </w:rPr>
        <w:tab/>
        <w:t>Répondant à des questions sur les critères de sélection des consultants, le secrétariat a présenté les nouvelles lignes directrices en matière de publicité, de sélection, de recommandations et de recrutement pour les consultants, ce processus devant être appliqué à tous les consultants qui se représenteront en vue de leur inscription dans le nouveau fichier. En outre, le nouveau cadre contractuel intègre l</w:t>
      </w:r>
      <w:r w:rsidR="007D536E">
        <w:rPr>
          <w:szCs w:val="24"/>
        </w:rPr>
        <w:t>'</w:t>
      </w:r>
      <w:r w:rsidRPr="00C567FA">
        <w:rPr>
          <w:szCs w:val="24"/>
        </w:rPr>
        <w:t>ensemble des exigences éthiques.</w:t>
      </w:r>
    </w:p>
    <w:p w14:paraId="38822C71" w14:textId="113ED12A" w:rsidR="000D0774" w:rsidRPr="00C567FA" w:rsidRDefault="000D0774" w:rsidP="007D536E">
      <w:pPr>
        <w:spacing w:after="240"/>
        <w:rPr>
          <w:szCs w:val="24"/>
        </w:rPr>
      </w:pPr>
      <w:r w:rsidRPr="00C567FA">
        <w:rPr>
          <w:szCs w:val="24"/>
        </w:rPr>
        <w:t>24.8</w:t>
      </w:r>
      <w:r w:rsidRPr="00C567FA">
        <w:rPr>
          <w:szCs w:val="24"/>
        </w:rPr>
        <w:tab/>
        <w:t>Le secrétariat a indiqué que l</w:t>
      </w:r>
      <w:r w:rsidR="007D536E">
        <w:rPr>
          <w:szCs w:val="24"/>
        </w:rPr>
        <w:t>'</w:t>
      </w:r>
      <w:r w:rsidRPr="00C567FA">
        <w:rPr>
          <w:szCs w:val="24"/>
        </w:rPr>
        <w:t>Unité de l</w:t>
      </w:r>
      <w:r w:rsidR="007D536E">
        <w:rPr>
          <w:szCs w:val="24"/>
        </w:rPr>
        <w:t>'</w:t>
      </w:r>
      <w:r w:rsidRPr="00C567FA">
        <w:rPr>
          <w:szCs w:val="24"/>
        </w:rPr>
        <w:t>audit interne évaluera les progrès des nouvelles mesures de contrôle, et que le Vérificateur extérieur se rendra cette année dans au moins un Bureau régional et un Bureau de zone. Des précisions supplémentaires pourront être données dans les mises à jour futures du rapport sur la pondération des risques et l</w:t>
      </w:r>
      <w:r w:rsidR="007D536E">
        <w:rPr>
          <w:szCs w:val="24"/>
        </w:rPr>
        <w:t>'</w:t>
      </w:r>
      <w:r w:rsidRPr="00C567FA">
        <w:rPr>
          <w:szCs w:val="24"/>
        </w:rPr>
        <w:t>incidence des mesures d</w:t>
      </w:r>
      <w:r w:rsidR="007D536E">
        <w:rPr>
          <w:szCs w:val="24"/>
        </w:rPr>
        <w:t>'</w:t>
      </w:r>
      <w:r w:rsidRPr="00C567FA">
        <w:rPr>
          <w:szCs w:val="24"/>
        </w:rPr>
        <w:t>atténuation sur le registre des risques.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D0774" w:rsidRPr="00C567FA" w14:paraId="25FDAA81" w14:textId="77777777" w:rsidTr="002932F3">
        <w:tc>
          <w:tcPr>
            <w:tcW w:w="9287" w:type="dxa"/>
            <w:tcBorders>
              <w:top w:val="single" w:sz="4" w:space="0" w:color="auto"/>
              <w:left w:val="single" w:sz="4" w:space="0" w:color="auto"/>
              <w:bottom w:val="single" w:sz="4" w:space="0" w:color="auto"/>
              <w:right w:val="single" w:sz="4" w:space="0" w:color="auto"/>
            </w:tcBorders>
            <w:hideMark/>
          </w:tcPr>
          <w:p w14:paraId="74EFB2E8" w14:textId="77777777" w:rsidR="000D0774" w:rsidRPr="00C567FA" w:rsidRDefault="000D0774" w:rsidP="007D536E">
            <w:pPr>
              <w:pStyle w:val="Headingb"/>
              <w:rPr>
                <w:i/>
                <w:iCs/>
              </w:rPr>
            </w:pPr>
            <w:r w:rsidRPr="00C567FA">
              <w:rPr>
                <w:i/>
                <w:iCs/>
              </w:rPr>
              <w:lastRenderedPageBreak/>
              <w:t>Recommandation</w:t>
            </w:r>
          </w:p>
          <w:p w14:paraId="2AAF668B" w14:textId="77777777" w:rsidR="000D0774" w:rsidRPr="00C567FA" w:rsidRDefault="000D0774" w:rsidP="007D536E">
            <w:pPr>
              <w:spacing w:after="120"/>
            </w:pPr>
            <w:r w:rsidRPr="00C567FA">
              <w:t>24.9</w:t>
            </w:r>
            <w:r w:rsidRPr="00C567FA">
              <w:tab/>
              <w:t>Le Comité recommande au Conseil de prendre note du rapport figurant dans le Document C22/20.</w:t>
            </w:r>
          </w:p>
        </w:tc>
      </w:tr>
    </w:tbl>
    <w:p w14:paraId="0F82DFB2" w14:textId="6FF62E29" w:rsidR="000D0774" w:rsidRPr="00C567FA" w:rsidRDefault="000D0774" w:rsidP="007D536E">
      <w:pPr>
        <w:pStyle w:val="Heading1"/>
        <w:keepNext w:val="0"/>
        <w:keepLines w:val="0"/>
        <w:spacing w:after="240"/>
      </w:pPr>
      <w:r w:rsidRPr="00C567FA">
        <w:t>25</w:t>
      </w:r>
      <w:r w:rsidRPr="00C567FA">
        <w:tab/>
        <w:t>Rapports du CCI sur les questions relatives à l</w:t>
      </w:r>
      <w:r w:rsidR="007D536E">
        <w:t>'</w:t>
      </w:r>
      <w:r w:rsidRPr="00C567FA">
        <w:t>ensemble du système des Nations Unies pour 2020-2021 et recommandations à l</w:t>
      </w:r>
      <w:r w:rsidR="007D536E">
        <w:t>'</w:t>
      </w:r>
      <w:r w:rsidRPr="00C567FA">
        <w:t xml:space="preserve">intention des chefs de Secrétariat et des organes délibérants et Contribution de la République du Paraguay (Documents </w:t>
      </w:r>
      <w:hyperlink r:id="rId77" w:history="1">
        <w:r w:rsidRPr="00C567FA">
          <w:rPr>
            <w:rStyle w:val="Hyperlink"/>
          </w:rPr>
          <w:t>C22/61</w:t>
        </w:r>
      </w:hyperlink>
      <w:r w:rsidRPr="00C567FA">
        <w:t xml:space="preserve"> et </w:t>
      </w:r>
      <w:hyperlink r:id="rId78" w:history="1">
        <w:r w:rsidRPr="00C567FA">
          <w:rPr>
            <w:rStyle w:val="Hyperlink"/>
          </w:rPr>
          <w:t>C22/66</w:t>
        </w:r>
      </w:hyperlink>
      <w:r w:rsidRPr="00C567FA">
        <w:t>)</w:t>
      </w:r>
    </w:p>
    <w:p w14:paraId="2ACC786C" w14:textId="65843577" w:rsidR="000D0774" w:rsidRPr="00B76B04" w:rsidRDefault="000D0774" w:rsidP="007D536E">
      <w:r w:rsidRPr="00B76B04">
        <w:t>25.1</w:t>
      </w:r>
      <w:r w:rsidRPr="00B76B04">
        <w:tab/>
        <w:t xml:space="preserve">Le Secrétariat a présenté le </w:t>
      </w:r>
      <w:r w:rsidRPr="00C567FA">
        <w:t>D</w:t>
      </w:r>
      <w:r w:rsidRPr="00B76B04">
        <w:t>ocument C22/61 intitulé "Rapports du CCI sur les questions concernant l</w:t>
      </w:r>
      <w:r w:rsidR="007D536E">
        <w:t>'</w:t>
      </w:r>
      <w:r w:rsidRPr="00B76B04">
        <w:t>ensemble du système des Nations Unies pour 2020-2021 et Recommandations à l</w:t>
      </w:r>
      <w:r w:rsidR="007D536E">
        <w:t>'</w:t>
      </w:r>
      <w:r w:rsidRPr="00B76B04">
        <w:t>intention des chefs de secrétariat et des organes délibérants", qui couvre les rapports du CCI dont la liste figure dans le Tableau 1, associant les deux rapports restants du Programme de travail pour 2020 (relatifs à la durabilité environnementale et aux applications de la chaîne de blocs) et deux rapports issus du Programme de travail pour 2021 (relatifs à la cybersécurité et à l</w:t>
      </w:r>
      <w:r w:rsidR="007D536E">
        <w:t>'</w:t>
      </w:r>
      <w:r w:rsidRPr="00B76B04">
        <w:t>appui apporté aux pays en développement sans littoral). Sur les 22 recommandations au total contenues dans ces rapports, cinq sont adressées à l</w:t>
      </w:r>
      <w:r w:rsidR="007D536E">
        <w:t>'</w:t>
      </w:r>
      <w:r w:rsidRPr="00B76B04">
        <w:t>organe délibérant de l</w:t>
      </w:r>
      <w:r w:rsidR="007D536E">
        <w:t>'</w:t>
      </w:r>
      <w:r w:rsidRPr="00B76B04">
        <w:t>UIT (le Conseil), le reste étant adressé au chef du secrétariat (le Secrétaire général). Ces cinq recommandations adressées au Conseil visent, de manière générale, à améliorer la cyberrésilience; à prendre en compte les priorités du programme d</w:t>
      </w:r>
      <w:r w:rsidR="007D536E">
        <w:t>'</w:t>
      </w:r>
      <w:r w:rsidRPr="00B76B04">
        <w:t>action pour les pays en développement sans littoral; à intégrer les considérations de durabilité environnementale dans la gestion de leurs entités; à intégrer, lorsqu</w:t>
      </w:r>
      <w:r w:rsidR="007D536E">
        <w:t>'</w:t>
      </w:r>
      <w:r w:rsidRPr="00B76B04">
        <w:t>il y a lieu, l</w:t>
      </w:r>
      <w:r w:rsidR="007D536E">
        <w:t>'</w:t>
      </w:r>
      <w:r w:rsidRPr="00B76B04">
        <w:t>utilisation des applications de la chaîne de blocs avec d</w:t>
      </w:r>
      <w:r w:rsidR="007D536E">
        <w:t>'</w:t>
      </w:r>
      <w:r w:rsidRPr="00B76B04">
        <w:t>autres technologies numériques dans les stratégies et politiques d</w:t>
      </w:r>
      <w:r w:rsidR="007D536E">
        <w:t>'</w:t>
      </w:r>
      <w:r w:rsidRPr="00B76B04">
        <w:t>innovation; à encourager les États membres à collaborer avec la Commission des Nations Unies pour le droit commercial international. Toutes les recommandations sont considérées comme pertinentes, bien que n</w:t>
      </w:r>
      <w:r w:rsidR="007D536E">
        <w:t>'</w:t>
      </w:r>
      <w:r w:rsidRPr="00B76B04">
        <w:t>étant pas toutes prioritaires, et sans incidences supplémentaires sur les ressources financières et humaines.</w:t>
      </w:r>
    </w:p>
    <w:p w14:paraId="01348907" w14:textId="264E818B" w:rsidR="000D0774" w:rsidRPr="00B76B04" w:rsidRDefault="000D0774" w:rsidP="007D536E">
      <w:r w:rsidRPr="00B76B04">
        <w:t>25.2</w:t>
      </w:r>
      <w:r w:rsidRPr="00B76B04">
        <w:tab/>
        <w:t xml:space="preserve">Les délégués ont remercié le Secrétariat, se sont </w:t>
      </w:r>
      <w:r w:rsidRPr="00C567FA">
        <w:t>dit</w:t>
      </w:r>
      <w:r w:rsidRPr="00B76B04">
        <w:t xml:space="preserve"> satisfaits du document, et ont demandé à en savoir plus sur les travaux en cours dans le cadre du TSB portant sur la chaîne de blocs en matière de normes, ainsi que sur la cybersécurité, en vue de fournir des informations supplémentaires aux administrations concernées sur les efforts déployés en coopération et en coordination avec d</w:t>
      </w:r>
      <w:r w:rsidR="007D536E">
        <w:t>'</w:t>
      </w:r>
      <w:r w:rsidRPr="00B76B04">
        <w:t>autres institutions du système des Nations Unies. Les délégués ont estimé que ces questions étaient pertinentes et opportunes, dans la mesure où les institutions du système des Nations Unies sont en train de procéder à la transformation numérique et d</w:t>
      </w:r>
      <w:r w:rsidR="007D536E">
        <w:t>'</w:t>
      </w:r>
      <w:r w:rsidRPr="00B76B04">
        <w:t>adopter des technologies nouvelles et émergentes, et où le spectre des cybermenaces est de plus en plus large. Ils ont estimé que le respect des bonnes pratiques en matière de technologies nouvelles et émergentes et, en particulier, de cybersécurité, était important. Un délégué a fait observer qu</w:t>
      </w:r>
      <w:r w:rsidR="007D536E">
        <w:t>'</w:t>
      </w:r>
      <w:r w:rsidRPr="00B76B04">
        <w:t>étant donné l</w:t>
      </w:r>
      <w:r w:rsidR="007D536E">
        <w:t>'</w:t>
      </w:r>
      <w:r w:rsidRPr="00B76B04">
        <w:t>importance de la cybersécurité pour l</w:t>
      </w:r>
      <w:r w:rsidR="007D536E">
        <w:t>'</w:t>
      </w:r>
      <w:r w:rsidRPr="00B76B04">
        <w:t>UIT, celle-ci devrait être l</w:t>
      </w:r>
      <w:r w:rsidR="007D536E">
        <w:t>'</w:t>
      </w:r>
      <w:r w:rsidRPr="00B76B04">
        <w:t>une des premières organisations à mettre en œuvre ces recommandations. Un délégué s</w:t>
      </w:r>
      <w:r w:rsidR="007D536E">
        <w:t>'</w:t>
      </w:r>
      <w:r w:rsidRPr="00B76B04">
        <w:t>est interrogé sur la mise en œuvre des recommandations connexes en matière de cybersécurité par le CCI, et a noté que la somme de 13 millions de francs suisses consacrée à la continuité des activités tenait compte de la nécessité de financements supplémentaires, comme indiqué dans la liste des activités demandées mais non budgétées (UMAC).</w:t>
      </w:r>
    </w:p>
    <w:p w14:paraId="56BC322B" w14:textId="77777777" w:rsidR="00EF4CBE" w:rsidRDefault="00EF4CBE" w:rsidP="007D536E">
      <w:pPr>
        <w:spacing w:after="120"/>
      </w:pPr>
      <w:r>
        <w:br w:type="page"/>
      </w:r>
    </w:p>
    <w:p w14:paraId="57797116" w14:textId="163C03E5" w:rsidR="000D0774" w:rsidRPr="00B76B04" w:rsidRDefault="000D0774" w:rsidP="007D536E">
      <w:pPr>
        <w:spacing w:after="120"/>
        <w:rPr>
          <w:b/>
        </w:rPr>
      </w:pPr>
      <w:r w:rsidRPr="00B76B04">
        <w:lastRenderedPageBreak/>
        <w:t>25.3</w:t>
      </w:r>
      <w:r w:rsidRPr="00B76B04">
        <w:tab/>
        <w:t>Le Secrétariat a informé les délégués au sujet des travaux de l</w:t>
      </w:r>
      <w:r w:rsidR="007D536E">
        <w:t>'</w:t>
      </w:r>
      <w:r w:rsidRPr="00B76B04">
        <w:t>UIT-T relatifs à la chaîne de blocs et aux technologies des registres distribués menés depuis plus de cinq ans. À l</w:t>
      </w:r>
      <w:r w:rsidR="007D536E">
        <w:t>'</w:t>
      </w:r>
      <w:r w:rsidRPr="00B76B04">
        <w:t>heure actuelle, quelque 20 Recommandations de l</w:t>
      </w:r>
      <w:r w:rsidR="007D536E">
        <w:t>'</w:t>
      </w:r>
      <w:r w:rsidRPr="00B76B04">
        <w:t>UIT-T sont en vigueur au sujet de la chaîne de blocs, et couvrent notamment les aspects suivants: terminologie, spécifications, critères d</w:t>
      </w:r>
      <w:r w:rsidR="007D536E">
        <w:t>'</w:t>
      </w:r>
      <w:r w:rsidRPr="00B76B04">
        <w:t>évaluation pour les plates-formes de chaîne de blocs, menaces et exigences de sécurité, lignes directrices en matière de sécurité pour la gestion décentralisée des identités, mise en réseau et exigences fonctionnelles pour la chaîne de blocs et pour la chaîne de blocs en tant que service, et utilisation de la technologie de la chaîne de blocs dans le contexte de l</w:t>
      </w:r>
      <w:r w:rsidR="007D536E">
        <w:t>'</w:t>
      </w:r>
      <w:r w:rsidRPr="00B76B04">
        <w:t>Internet des objets et des villes et communautés intelligentes. En outre, des travaux sont en cours dans le cadre de sept des onze commissions d</w:t>
      </w:r>
      <w:r w:rsidR="007D536E">
        <w:t>'</w:t>
      </w:r>
      <w:r w:rsidRPr="00B76B04">
        <w:t>études de l</w:t>
      </w:r>
      <w:r w:rsidR="007D536E">
        <w:t>'</w:t>
      </w:r>
      <w:r w:rsidRPr="00B76B04">
        <w:t>UIT-T (CE 2, 3, 11, 13, 16, 17, 20), au sujet de 30 sujets d</w:t>
      </w:r>
      <w:r w:rsidR="007D536E">
        <w:t>'</w:t>
      </w:r>
      <w:r w:rsidRPr="00B76B04">
        <w:t>étude</w:t>
      </w:r>
      <w:r w:rsidRPr="00C567FA">
        <w:t>s</w:t>
      </w:r>
      <w:r w:rsidRPr="00B76B04">
        <w:t xml:space="preserve"> sur le point d</w:t>
      </w:r>
      <w:r w:rsidR="007D536E">
        <w:t>'</w:t>
      </w:r>
      <w:r w:rsidRPr="00B76B04">
        <w:t>être menés à terme au cours de la nouvelle période d</w:t>
      </w:r>
      <w:r w:rsidR="007D536E">
        <w:t>'</w:t>
      </w:r>
      <w:r w:rsidRPr="00B76B04">
        <w:t>études. Plusieurs organisations, y compris des PME, ont rejoint des commissions d</w:t>
      </w:r>
      <w:r w:rsidR="007D536E">
        <w:t>'</w:t>
      </w:r>
      <w:r w:rsidRPr="00B76B04">
        <w:t>études de l</w:t>
      </w:r>
      <w:r w:rsidR="007D536E">
        <w:t>'</w:t>
      </w:r>
      <w:r w:rsidRPr="00B76B04">
        <w:t>UIT-T en qualité d</w:t>
      </w:r>
      <w:r w:rsidR="007D536E">
        <w:t>'</w:t>
      </w:r>
      <w:r w:rsidRPr="00B76B04">
        <w:t>Associés, afin de prendre part aux travaux en matière de normes relatives à la chaîne de blocs. En ce qui concerne le recours à la chaîne de blocs au sein de l</w:t>
      </w:r>
      <w:r w:rsidR="007D536E">
        <w:t>'</w:t>
      </w:r>
      <w:r w:rsidRPr="00B76B04">
        <w:t>UIT et du système des Nations Unies, les délégués ont été informés du fait que le Conseil des chefs de secrétariat et le Comité de haut niveau sur la gestion des Nations Unies ont approuvé, en septembre de l</w:t>
      </w:r>
      <w:r w:rsidR="007D536E">
        <w:t>'</w:t>
      </w:r>
      <w:r w:rsidRPr="00B76B04">
        <w:t>année dernière, un projet pilote dans le cadre duquel la Caisse commune des pensions du personnel des Nations Unies, le Programme alimentaire mondial et le Haut-Commissariat des Nations Unies pour les réfugiés envisagent d</w:t>
      </w:r>
      <w:r w:rsidR="007D536E">
        <w:t>'</w:t>
      </w:r>
      <w:r w:rsidRPr="00B76B04">
        <w:t>utiliser la chaîne de blocs pour la gestion des identités et pour échanger des données personnelles de façon simple et sécurisée. Cette technologie devrait simplifier l</w:t>
      </w:r>
      <w:r w:rsidR="007D536E">
        <w:t>'</w:t>
      </w:r>
      <w:r w:rsidRPr="00B76B04">
        <w:t>échange de renseignements pertinents sur les fonctionnaires, du recrutement à la retraite, entre les institutions du système des Nations Unies. En ce qui concerne la cybersécurité au sein du système des Nations Unies, les délégués ont été informés du fait que l</w:t>
      </w:r>
      <w:r w:rsidR="007D536E">
        <w:t>'</w:t>
      </w:r>
      <w:r w:rsidRPr="00B76B04">
        <w:t>UIT a pris, en 2010, la direction du groupe sur la cybersécurité au sein du mécanisme de coordination du Conseil des chefs de secrétariat des Nations Unies, et l</w:t>
      </w:r>
      <w:r w:rsidR="007D536E">
        <w:t>'</w:t>
      </w:r>
      <w:r w:rsidRPr="00B76B04">
        <w:t>a dirigé pendant cinq ans environ. Ce groupe est aussi composé de représentants d</w:t>
      </w:r>
      <w:r w:rsidR="007D536E">
        <w:t>'</w:t>
      </w:r>
      <w:r w:rsidRPr="00B76B04">
        <w:t>institutions de l</w:t>
      </w:r>
      <w:r w:rsidR="007D536E">
        <w:t>'</w:t>
      </w:r>
      <w:r w:rsidRPr="00B76B04">
        <w:t>Union européenne et de l</w:t>
      </w:r>
      <w:r w:rsidR="007D536E">
        <w:t>'</w:t>
      </w:r>
      <w:r w:rsidRPr="00B76B04">
        <w:t>OCDE, parmi d</w:t>
      </w:r>
      <w:r w:rsidR="007D536E">
        <w:t>'</w:t>
      </w:r>
      <w:r w:rsidRPr="00B76B04">
        <w:t>autres groupes consacrés à la sûreté et à la sécurité. Des bonnes pratiques sur la façon de mettre en œuvre les mesures de protection au sein des institutions du système des Nations Unies sont échangées, ainsi qu</w:t>
      </w:r>
      <w:r w:rsidR="007D536E">
        <w:t>'</w:t>
      </w:r>
      <w:r w:rsidRPr="00B76B04">
        <w:t>une analyse des menaces et des recommandations pour la mise en œuvre. Le Secrétariat a aussi précisé certains aspects relatifs aux rapports antérieurs et futurs du CCI, suite aux questions soulevées par certains délégués.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D0774" w:rsidRPr="00C567FA" w14:paraId="6F0432F9" w14:textId="77777777" w:rsidTr="002932F3">
        <w:tc>
          <w:tcPr>
            <w:tcW w:w="9287" w:type="dxa"/>
            <w:tcBorders>
              <w:top w:val="single" w:sz="4" w:space="0" w:color="auto"/>
              <w:left w:val="single" w:sz="4" w:space="0" w:color="auto"/>
              <w:bottom w:val="single" w:sz="4" w:space="0" w:color="auto"/>
              <w:right w:val="single" w:sz="4" w:space="0" w:color="auto"/>
            </w:tcBorders>
            <w:hideMark/>
          </w:tcPr>
          <w:p w14:paraId="68F444E3" w14:textId="77777777" w:rsidR="000D0774" w:rsidRPr="00C567FA" w:rsidRDefault="000D0774" w:rsidP="007D536E">
            <w:pPr>
              <w:pStyle w:val="Headingb"/>
              <w:rPr>
                <w:i/>
                <w:iCs/>
              </w:rPr>
            </w:pPr>
            <w:r w:rsidRPr="00C567FA">
              <w:rPr>
                <w:i/>
                <w:iCs/>
              </w:rPr>
              <w:t>Recommandation</w:t>
            </w:r>
          </w:p>
          <w:p w14:paraId="7E03B358" w14:textId="0B19B6FF" w:rsidR="000D0774" w:rsidRPr="00C567FA" w:rsidRDefault="000D0774" w:rsidP="007D536E">
            <w:pPr>
              <w:tabs>
                <w:tab w:val="clear" w:pos="567"/>
                <w:tab w:val="clear" w:pos="1134"/>
                <w:tab w:val="left" w:pos="738"/>
              </w:tabs>
              <w:spacing w:after="120"/>
            </w:pPr>
            <w:r w:rsidRPr="00C567FA">
              <w:t>25.4</w:t>
            </w:r>
            <w:r w:rsidRPr="00C567FA">
              <w:tab/>
              <w:t>La Commission recommande au Conseil de prendre note du rapport figurant dans le Document C22/61, ainsi que de sa recommandation adressée aux chefs de secrétariat, et d</w:t>
            </w:r>
            <w:r w:rsidR="007D536E">
              <w:t>'</w:t>
            </w:r>
            <w:r w:rsidRPr="00C567FA">
              <w:t>accepter les</w:t>
            </w:r>
            <w:r w:rsidR="007D536E">
              <w:t xml:space="preserve"> </w:t>
            </w:r>
            <w:r w:rsidRPr="00C567FA">
              <w:t>recommandations adressées à l</w:t>
            </w:r>
            <w:r w:rsidR="007D536E">
              <w:t>'</w:t>
            </w:r>
            <w:r w:rsidRPr="00C567FA">
              <w:t>organe délibérant de l</w:t>
            </w:r>
            <w:r w:rsidR="007D536E">
              <w:t>'</w:t>
            </w:r>
            <w:r w:rsidRPr="00C567FA">
              <w:t>UIT, tel que présentées dans le Tableau 2.</w:t>
            </w:r>
          </w:p>
        </w:tc>
      </w:tr>
    </w:tbl>
    <w:p w14:paraId="0F246BFA" w14:textId="6EDB323D" w:rsidR="000D0774" w:rsidRPr="00C567FA" w:rsidRDefault="000D0774" w:rsidP="007D536E">
      <w:r w:rsidRPr="00C567FA">
        <w:t>25.5</w:t>
      </w:r>
      <w:r w:rsidRPr="00C567FA">
        <w:tab/>
        <w:t>Le délégué du Paraguay a présenté le Document C22/66, qui contient les observations et les propositions du Paraguay en ce qui concerne les recommandations formulées par le Corps commun d</w:t>
      </w:r>
      <w:r w:rsidR="007D536E">
        <w:t>'</w:t>
      </w:r>
      <w:r w:rsidRPr="00C567FA">
        <w:t>inspection dans le Rapport JIU/REP/2021/2 "Examen de l</w:t>
      </w:r>
      <w:r w:rsidR="007D536E">
        <w:t>'</w:t>
      </w:r>
      <w:r w:rsidRPr="00C567FA">
        <w:t>appui apporté par le système des Nations Unies aux pays en développement sans littoral dans l</w:t>
      </w:r>
      <w:r w:rsidR="007D536E">
        <w:t>'</w:t>
      </w:r>
      <w:r w:rsidRPr="00C567FA">
        <w:t>application du Programme d</w:t>
      </w:r>
      <w:r w:rsidR="007D536E">
        <w:t>'</w:t>
      </w:r>
      <w:r w:rsidRPr="00C567FA">
        <w:t>action de Vienne".</w:t>
      </w:r>
    </w:p>
    <w:p w14:paraId="4A860FE6" w14:textId="77777777" w:rsidR="00EF4CBE" w:rsidRDefault="00EF4CBE" w:rsidP="007D536E">
      <w:r>
        <w:br w:type="page"/>
      </w:r>
    </w:p>
    <w:p w14:paraId="034F107E" w14:textId="65433165" w:rsidR="000D0774" w:rsidRPr="00C567FA" w:rsidRDefault="000D0774" w:rsidP="007D536E">
      <w:r w:rsidRPr="00C567FA">
        <w:lastRenderedPageBreak/>
        <w:t>25.6</w:t>
      </w:r>
      <w:r w:rsidRPr="00C567FA">
        <w:tab/>
        <w:t>Au vu des informations présentées et des recommandations formulées par le CCI, le Paraguay a soumis les propositions suivantes au Secrétariat, en vue d</w:t>
      </w:r>
      <w:r w:rsidR="007D536E">
        <w:t>'</w:t>
      </w:r>
      <w:r w:rsidRPr="00C567FA">
        <w:t>assurer un suivi plus étroit et plus clair des recommandations du CCI:</w:t>
      </w:r>
    </w:p>
    <w:p w14:paraId="0B386DDF" w14:textId="65440F58" w:rsidR="000D0774" w:rsidRPr="00C567FA" w:rsidRDefault="000D0774" w:rsidP="007D536E">
      <w:pPr>
        <w:pStyle w:val="enumlev1"/>
      </w:pPr>
      <w:r w:rsidRPr="00C567FA">
        <w:t>–</w:t>
      </w:r>
      <w:r w:rsidRPr="00C567FA">
        <w:tab/>
        <w:t>Demander au Secrétariat qu</w:t>
      </w:r>
      <w:r w:rsidR="007D536E">
        <w:t>'</w:t>
      </w:r>
      <w:r w:rsidRPr="00C567FA">
        <w:t>il prenne les mesures nécessaires pour publier sur le site web consacré aux PDSL le nom et les coordonnées principales du coordonnateur désigné pour promouvoir l</w:t>
      </w:r>
      <w:r w:rsidR="007D536E">
        <w:t>'</w:t>
      </w:r>
      <w:r w:rsidRPr="00C567FA">
        <w:t>application du Programme d</w:t>
      </w:r>
      <w:r w:rsidR="007D536E">
        <w:t>'</w:t>
      </w:r>
      <w:r w:rsidRPr="00C567FA">
        <w:t>action de Vienne et qu</w:t>
      </w:r>
      <w:r w:rsidR="007D536E">
        <w:t>'</w:t>
      </w:r>
      <w:r w:rsidRPr="00C567FA">
        <w:t>il informe les PDSL au moyen d</w:t>
      </w:r>
      <w:r w:rsidR="007D536E">
        <w:t>'</w:t>
      </w:r>
      <w:r w:rsidRPr="00C567FA">
        <w:t>une lettre circulaire de tout changement concernant le coordonnateur désigné, son rôle ou ses responsabilités.</w:t>
      </w:r>
    </w:p>
    <w:p w14:paraId="0EDBAB0E" w14:textId="77777777" w:rsidR="000D0774" w:rsidRPr="00C567FA" w:rsidRDefault="000D0774" w:rsidP="007D536E">
      <w:pPr>
        <w:pStyle w:val="enumlev1"/>
      </w:pPr>
      <w:r w:rsidRPr="00C567FA">
        <w:t>–</w:t>
      </w:r>
      <w:r w:rsidRPr="00C567FA">
        <w:tab/>
        <w:t>Inviter le Secrétariat et le BDT à inclure dans leurs plans opérationnels respectifs des cadres de présentation des résultats clairs pour aider les PDSL, y compris les liens entre les résultats devant être obtenus, la stratégie relative aux produits principaux et les activités fondamentales.</w:t>
      </w:r>
    </w:p>
    <w:p w14:paraId="1C3DF48C" w14:textId="428A38B9" w:rsidR="000D0774" w:rsidRPr="00C567FA" w:rsidRDefault="000D0774" w:rsidP="007D536E">
      <w:pPr>
        <w:pStyle w:val="enumlev1"/>
      </w:pPr>
      <w:r w:rsidRPr="00C567FA">
        <w:t>–</w:t>
      </w:r>
      <w:r w:rsidRPr="00C567FA">
        <w:tab/>
        <w:t>Prier le Secrétariat de soumettre chaque année au Conseil, ainsi qu</w:t>
      </w:r>
      <w:r w:rsidR="007D536E">
        <w:t>'</w:t>
      </w:r>
      <w:r w:rsidRPr="00C567FA">
        <w:t>aux organes indiqués précédemment (OHRLLS, GCDT, CMDT et PP), un rapport concernant sur l</w:t>
      </w:r>
      <w:r w:rsidR="007D536E">
        <w:t>'</w:t>
      </w:r>
      <w:r w:rsidRPr="00C567FA">
        <w:t>appui relatif au Programme d</w:t>
      </w:r>
      <w:r w:rsidR="007D536E">
        <w:t>'</w:t>
      </w:r>
      <w:r w:rsidRPr="00C567FA">
        <w:t>action de Vienne, et de publier ce rapport sur le site web consacré aux PDSL.</w:t>
      </w:r>
    </w:p>
    <w:p w14:paraId="0FDB597E" w14:textId="6F16733D" w:rsidR="000D0774" w:rsidRPr="00C567FA" w:rsidRDefault="000D0774" w:rsidP="007D536E">
      <w:r w:rsidRPr="00C567FA">
        <w:t>25.7</w:t>
      </w:r>
      <w:r w:rsidRPr="00C567FA">
        <w:tab/>
        <w:t>Le Secrétariat a répondu en faisant observer que le BDT a déjà pris des mesures pour mettre en œuvre les trois Recommandations, ainsi que des mesures visant à étudier les propositions présentées par le Paraguay. Le site web consacré aux pays les moins avancés, aux pays en développement sans littoral et aux petits États insulaires en développement a été mis à jour avec la publication du rapport du CCI. Il comporte un espace consacré aux pays en développement sans littoral, comme l</w:t>
      </w:r>
      <w:r w:rsidR="007D536E">
        <w:t>'</w:t>
      </w:r>
      <w:r w:rsidRPr="00C567FA">
        <w:t>a indiqué le Paraguay. Des informations relatives à la coordonnatrice de l</w:t>
      </w:r>
      <w:r w:rsidR="007D536E">
        <w:t>'</w:t>
      </w:r>
      <w:r w:rsidRPr="00C567FA">
        <w:t>UIT sont disponibles sur ce site web; il s</w:t>
      </w:r>
      <w:r w:rsidR="007D536E">
        <w:t>'</w:t>
      </w:r>
      <w:r w:rsidRPr="00C567FA">
        <w:t>agit précisément de Mme Ida Jallow, chargée de liaison principale pour le BDT au sein du Bureau de liaison de l</w:t>
      </w:r>
      <w:r w:rsidR="007D536E">
        <w:t>'</w:t>
      </w:r>
      <w:r w:rsidRPr="00C567FA">
        <w:t>UIT à New York.</w:t>
      </w:r>
    </w:p>
    <w:p w14:paraId="6D050290" w14:textId="6A192207" w:rsidR="000D0774" w:rsidRPr="00C567FA" w:rsidRDefault="000D0774" w:rsidP="007D536E">
      <w:pPr>
        <w:keepLines/>
      </w:pPr>
      <w:r w:rsidRPr="00C567FA">
        <w:t>25.8</w:t>
      </w:r>
      <w:r w:rsidRPr="00C567FA">
        <w:tab/>
        <w:t>Le BDT a collaboré avec le Bureau du Haut Représentant des Nations Unies pour les PMA, les PDSL et les PEID (UN-OHRLLS) au sujet de la mise en œuvre accélérée du Programme d</w:t>
      </w:r>
      <w:r w:rsidR="007D536E">
        <w:t>'</w:t>
      </w:r>
      <w:r w:rsidRPr="00C567FA">
        <w:t>action de Vienne et de l</w:t>
      </w:r>
      <w:r w:rsidR="007D536E">
        <w:t>'</w:t>
      </w:r>
      <w:r w:rsidRPr="00C567FA">
        <w:t>établissement de rapport à cet égard, et fournit actuellement des contributions à ce sujet. En outre, l</w:t>
      </w:r>
      <w:r w:rsidR="007D536E">
        <w:t>'</w:t>
      </w:r>
      <w:r w:rsidRPr="00C567FA">
        <w:t>UIT a rendu des comptes à la CMDT et à la conférence de plénipotentiaires concernant ses activités avec les pays en développement sans littoral par le biais du Groupe consultatif pour le développement des télécommunications dans le cadre de l</w:t>
      </w:r>
      <w:r w:rsidR="007D536E">
        <w:t>'</w:t>
      </w:r>
      <w:r w:rsidRPr="00C567FA">
        <w:t>établissement de rapports sur le Plan d</w:t>
      </w:r>
      <w:r w:rsidR="007D536E">
        <w:t>'</w:t>
      </w:r>
      <w:r w:rsidRPr="00C567FA">
        <w:t>action de Buenos Aires, y compris au sujet de la mise en œuvre des résolutions pertinentes.</w:t>
      </w:r>
    </w:p>
    <w:p w14:paraId="744030F4" w14:textId="48087555" w:rsidR="000D0774" w:rsidRPr="00C567FA" w:rsidRDefault="000D0774" w:rsidP="007D536E">
      <w:pPr>
        <w:spacing w:after="120"/>
      </w:pPr>
      <w:r w:rsidRPr="00C567FA">
        <w:t>25.9</w:t>
      </w:r>
      <w:r w:rsidRPr="00C567FA">
        <w:tab/>
        <w:t>Enfin, le Secrétariat a noté qu</w:t>
      </w:r>
      <w:r w:rsidR="007D536E">
        <w:t>'</w:t>
      </w:r>
      <w:r w:rsidRPr="00C567FA">
        <w:t>au vu des incidences sur le plan budgétaire et sur le plan des ressources humaines, aucune ressource supplémentaire n</w:t>
      </w:r>
      <w:r w:rsidR="007D536E">
        <w:t>'</w:t>
      </w:r>
      <w:r w:rsidRPr="00C567FA">
        <w:t>est nécessaire, ces travaux étant déjà intégrés aux travaux en cours sur les priorités thématiques, conformément aux pratiques de gestion axée sur les résultats.</w:t>
      </w:r>
    </w:p>
    <w:tbl>
      <w:tblPr>
        <w:tblStyle w:val="TableGrid"/>
        <w:tblW w:w="0" w:type="auto"/>
        <w:tblLook w:val="04A0" w:firstRow="1" w:lastRow="0" w:firstColumn="1" w:lastColumn="0" w:noHBand="0" w:noVBand="1"/>
      </w:tblPr>
      <w:tblGrid>
        <w:gridCol w:w="9629"/>
      </w:tblGrid>
      <w:tr w:rsidR="000D0774" w:rsidRPr="00C567FA" w14:paraId="0FE4CAE6" w14:textId="77777777" w:rsidTr="00B76B04">
        <w:tc>
          <w:tcPr>
            <w:tcW w:w="9629" w:type="dxa"/>
          </w:tcPr>
          <w:p w14:paraId="5DA2F2C1" w14:textId="77777777" w:rsidR="000D0774" w:rsidRPr="00C567FA" w:rsidRDefault="000D0774" w:rsidP="007D536E">
            <w:pPr>
              <w:pStyle w:val="Headingb"/>
              <w:rPr>
                <w:i/>
                <w:iCs/>
              </w:rPr>
            </w:pPr>
            <w:r w:rsidRPr="00C567FA">
              <w:rPr>
                <w:i/>
                <w:iCs/>
              </w:rPr>
              <w:t>Recommandation</w:t>
            </w:r>
          </w:p>
          <w:p w14:paraId="4F47C887" w14:textId="5D4087DA" w:rsidR="000D0774" w:rsidRPr="00C567FA" w:rsidRDefault="000D0774" w:rsidP="007D536E">
            <w:pPr>
              <w:tabs>
                <w:tab w:val="clear" w:pos="567"/>
                <w:tab w:val="left" w:pos="880"/>
              </w:tabs>
              <w:spacing w:after="120"/>
            </w:pPr>
            <w:r w:rsidRPr="00C567FA">
              <w:t>25.10</w:t>
            </w:r>
            <w:r w:rsidRPr="00C567FA">
              <w:tab/>
              <w:t>La Commission recommande au Conseil de prendre note du contenu de la présente contribution, ainsi que d</w:t>
            </w:r>
            <w:r w:rsidR="007D536E">
              <w:t>'</w:t>
            </w:r>
            <w:r w:rsidRPr="00C567FA">
              <w:t>examiner et</w:t>
            </w:r>
            <w:r w:rsidR="007D536E">
              <w:t xml:space="preserve"> </w:t>
            </w:r>
            <w:r w:rsidRPr="00C567FA">
              <w:t>d</w:t>
            </w:r>
            <w:r w:rsidR="007D536E">
              <w:t>'</w:t>
            </w:r>
            <w:r>
              <w:t>approuver</w:t>
            </w:r>
            <w:r w:rsidRPr="00C567FA">
              <w:t xml:space="preserve"> les propositions</w:t>
            </w:r>
            <w:r w:rsidR="007D536E">
              <w:t xml:space="preserve"> </w:t>
            </w:r>
          </w:p>
        </w:tc>
      </w:tr>
    </w:tbl>
    <w:p w14:paraId="02A13B12" w14:textId="77777777" w:rsidR="00EF4CBE" w:rsidRDefault="00EF4CBE" w:rsidP="007D536E">
      <w:pPr>
        <w:pStyle w:val="Heading1"/>
        <w:keepNext w:val="0"/>
        <w:keepLines w:val="0"/>
        <w:spacing w:after="240"/>
      </w:pPr>
      <w:r>
        <w:br w:type="page"/>
      </w:r>
    </w:p>
    <w:p w14:paraId="57488397" w14:textId="3A656A09" w:rsidR="000D0774" w:rsidRPr="00C567FA" w:rsidRDefault="000D0774" w:rsidP="007D536E">
      <w:pPr>
        <w:pStyle w:val="Heading1"/>
        <w:keepNext w:val="0"/>
        <w:keepLines w:val="0"/>
        <w:spacing w:after="240"/>
      </w:pPr>
      <w:r w:rsidRPr="00C567FA">
        <w:lastRenderedPageBreak/>
        <w:t>26</w:t>
      </w:r>
      <w:r w:rsidRPr="00C567FA">
        <w:tab/>
        <w:t>Rapport de l</w:t>
      </w:r>
      <w:r w:rsidR="007D536E">
        <w:t>'</w:t>
      </w:r>
      <w:r w:rsidRPr="00C567FA">
        <w:t>Auditeur interne concernant l</w:t>
      </w:r>
      <w:r w:rsidR="007D536E">
        <w:t>'</w:t>
      </w:r>
      <w:r w:rsidRPr="00C567FA">
        <w:t>activité d</w:t>
      </w:r>
      <w:r w:rsidR="007D536E">
        <w:t>'</w:t>
      </w:r>
      <w:r w:rsidRPr="00C567FA">
        <w:t>audit interne (Document </w:t>
      </w:r>
      <w:hyperlink r:id="rId79" w:history="1">
        <w:r w:rsidRPr="00C567FA">
          <w:rPr>
            <w:rStyle w:val="Hyperlink"/>
          </w:rPr>
          <w:t>C22/44</w:t>
        </w:r>
      </w:hyperlink>
      <w:r w:rsidRPr="00C567FA">
        <w:t>)</w:t>
      </w:r>
    </w:p>
    <w:p w14:paraId="13ED0DE0" w14:textId="1C23AD76" w:rsidR="000D0774" w:rsidRPr="00C31151" w:rsidRDefault="000D0774" w:rsidP="007D536E">
      <w:r w:rsidRPr="00C31151">
        <w:t>26.1</w:t>
      </w:r>
      <w:r w:rsidRPr="00C31151">
        <w:tab/>
        <w:t>L</w:t>
      </w:r>
      <w:r w:rsidR="007D536E">
        <w:t>'</w:t>
      </w:r>
      <w:r w:rsidRPr="00C31151">
        <w:t>Auditeur interne a présenté et soumis au Conseil pour examen le Document C22/44, qui porte sur la période comprise entre avril 2021 et janvier 2022. Le rapport contient des éléments relatifs à l</w:t>
      </w:r>
      <w:r w:rsidR="007D536E">
        <w:t>'</w:t>
      </w:r>
      <w:r w:rsidRPr="00C31151">
        <w:t>orientation et au champ des activités d</w:t>
      </w:r>
      <w:r w:rsidR="007D536E">
        <w:t>'</w:t>
      </w:r>
      <w:r w:rsidRPr="00C31151">
        <w:t>audit interne ainsi qu</w:t>
      </w:r>
      <w:r w:rsidR="007D536E">
        <w:t>'</w:t>
      </w:r>
      <w:r w:rsidRPr="00C31151">
        <w:t>un aperçu des missions d</w:t>
      </w:r>
      <w:r w:rsidR="007D536E">
        <w:t>'</w:t>
      </w:r>
      <w:r w:rsidRPr="00C31151">
        <w:t>assurance qui ont été menées pendant la période considérée. L</w:t>
      </w:r>
      <w:r w:rsidR="007D536E">
        <w:t>'</w:t>
      </w:r>
      <w:r w:rsidRPr="00C31151">
        <w:t>Auditeur interne a indiqué que le plan annuel d</w:t>
      </w:r>
      <w:r w:rsidR="007D536E">
        <w:t>'</w:t>
      </w:r>
      <w:r w:rsidRPr="00C31151">
        <w:t>audit avait été examiné par le Comité consultatif indépendant pour les questions de gestion à sa 28ème réunion, qu</w:t>
      </w:r>
      <w:r w:rsidR="007D536E">
        <w:t>'</w:t>
      </w:r>
      <w:r w:rsidRPr="00C31151">
        <w:t>il avait été approuvé par le Secrétaire général le 29 mars 2021 puis transmis au Vérificateur extérieur des comptes. Les délais impartis pour les investigations ont été réduits autant que possible pour 2021, de façon à permettre à l</w:t>
      </w:r>
      <w:r w:rsidR="007D536E">
        <w:t>'</w:t>
      </w:r>
      <w:r w:rsidRPr="00C31151">
        <w:t>Unité de l</w:t>
      </w:r>
      <w:r w:rsidR="007D536E">
        <w:t>'</w:t>
      </w:r>
      <w:r w:rsidRPr="00C31151">
        <w:t>audit interne de mener à bien sa mission première. Les travaux d</w:t>
      </w:r>
      <w:r w:rsidR="007D536E">
        <w:t>'</w:t>
      </w:r>
      <w:r w:rsidRPr="00C31151">
        <w:t>audit ont été principalement axés sur les domaines liés aux missions d</w:t>
      </w:r>
      <w:r w:rsidR="007D536E">
        <w:t>'</w:t>
      </w:r>
      <w:r w:rsidRPr="00C31151">
        <w:t>assurance. L</w:t>
      </w:r>
      <w:r w:rsidR="007D536E">
        <w:t>'</w:t>
      </w:r>
      <w:r w:rsidRPr="00C31151">
        <w:t>Auditeur interne a indiqué que deux missions d</w:t>
      </w:r>
      <w:r w:rsidR="007D536E">
        <w:t>'</w:t>
      </w:r>
      <w:r w:rsidRPr="00C31151">
        <w:t>assurance avaient été menées en 2021, dont une inspection portant sur les prestations accordées au personnel de l</w:t>
      </w:r>
      <w:r w:rsidR="007D536E">
        <w:t>'</w:t>
      </w:r>
      <w:r w:rsidRPr="00C31151">
        <w:t>UIT entre janvier 2012 et décembre 2019 et un audit des programmes, projets et activités supplémentaires (PPSA) financés par des contributions volontaires et des fonds d</w:t>
      </w:r>
      <w:r w:rsidR="007D536E">
        <w:t>'</w:t>
      </w:r>
      <w:r w:rsidRPr="00C31151">
        <w:t>affectation spéciale entre janvier 2016 et décembre 2020. En outre, l</w:t>
      </w:r>
      <w:r w:rsidR="007D536E">
        <w:t>'</w:t>
      </w:r>
      <w:r w:rsidRPr="00C31151">
        <w:t>Auditeur interne a souligné que, conformément à la Décision 613 du Conseil, l</w:t>
      </w:r>
      <w:r w:rsidR="007D536E">
        <w:t>'</w:t>
      </w:r>
      <w:r w:rsidRPr="00C31151">
        <w:t>Unité de l</w:t>
      </w:r>
      <w:r w:rsidR="007D536E">
        <w:t>'</w:t>
      </w:r>
      <w:r w:rsidRPr="00C31151">
        <w:t>audit interne était chargée de fournir des services de secrétariat pour la vérification juricomptable et que l</w:t>
      </w:r>
      <w:r w:rsidR="007D536E">
        <w:t>'</w:t>
      </w:r>
      <w:r w:rsidRPr="00C31151">
        <w:t>Unité de l</w:t>
      </w:r>
      <w:r w:rsidR="007D536E">
        <w:t>'</w:t>
      </w:r>
      <w:r w:rsidRPr="00C31151">
        <w:t>audit interne continuait d</w:t>
      </w:r>
      <w:r w:rsidR="007D536E">
        <w:t>'</w:t>
      </w:r>
      <w:r w:rsidRPr="00C31151">
        <w:t>assurer le suivi des recommandations formulées dans les rapports d</w:t>
      </w:r>
      <w:r w:rsidR="007D536E">
        <w:t>'</w:t>
      </w:r>
      <w:r w:rsidRPr="00C31151">
        <w:t>audit précédents.</w:t>
      </w:r>
    </w:p>
    <w:p w14:paraId="083A11EF" w14:textId="77777777" w:rsidR="000D0774" w:rsidRPr="00C31151" w:rsidRDefault="000D0774" w:rsidP="007D536E">
      <w:r w:rsidRPr="00C31151">
        <w:t>26.2</w:t>
      </w:r>
      <w:r w:rsidRPr="00C31151">
        <w:tab/>
        <w:t>La Présidente a invité les participants à formuler des observations.</w:t>
      </w:r>
    </w:p>
    <w:p w14:paraId="36CEC335" w14:textId="41C4CBC7" w:rsidR="000D0774" w:rsidRPr="00C31151" w:rsidRDefault="000D0774" w:rsidP="007D536E">
      <w:r w:rsidRPr="00C31151">
        <w:t>26.3</w:t>
      </w:r>
      <w:r w:rsidRPr="00C31151">
        <w:tab/>
        <w:t>En ce qui concerne l</w:t>
      </w:r>
      <w:r w:rsidR="007D536E">
        <w:t>'</w:t>
      </w:r>
      <w:r w:rsidRPr="00C31151">
        <w:t>audit des prestations accordées au personnel de l</w:t>
      </w:r>
      <w:r w:rsidR="007D536E">
        <w:t>'</w:t>
      </w:r>
      <w:r w:rsidRPr="00C31151">
        <w:t>UIT, un délégué a demandé des éclaircissements sur les recommandations formulées par l</w:t>
      </w:r>
      <w:r w:rsidR="007D536E">
        <w:t>'</w:t>
      </w:r>
      <w:r w:rsidRPr="00C31151">
        <w:t>Unité de l</w:t>
      </w:r>
      <w:r w:rsidR="007D536E">
        <w:t>'</w:t>
      </w:r>
      <w:r w:rsidRPr="00C31151">
        <w:t>audit interne à l</w:t>
      </w:r>
      <w:r w:rsidR="007D536E">
        <w:t>'</w:t>
      </w:r>
      <w:r w:rsidRPr="00C31151">
        <w:t>intention du Département HRMD qui n</w:t>
      </w:r>
      <w:r w:rsidR="007D536E">
        <w:t>'</w:t>
      </w:r>
      <w:r w:rsidRPr="00C31151">
        <w:t>avaient pas fait l</w:t>
      </w:r>
      <w:r w:rsidR="007D536E">
        <w:t>'</w:t>
      </w:r>
      <w:r w:rsidRPr="00C31151">
        <w:t>objet d</w:t>
      </w:r>
      <w:r w:rsidR="007D536E">
        <w:t>'</w:t>
      </w:r>
      <w:r w:rsidRPr="00C31151">
        <w:t>un consensus. L</w:t>
      </w:r>
      <w:r w:rsidR="007D536E">
        <w:t>'</w:t>
      </w:r>
      <w:r w:rsidRPr="00C31151">
        <w:t>Auditeur interne a expliqué, à titre d</w:t>
      </w:r>
      <w:r w:rsidR="007D536E">
        <w:t>'</w:t>
      </w:r>
      <w:r w:rsidRPr="00C31151">
        <w:t>exemple, qu</w:t>
      </w:r>
      <w:r w:rsidR="007D536E">
        <w:t>'</w:t>
      </w:r>
      <w:r w:rsidRPr="00C31151">
        <w:t>étant donné que l</w:t>
      </w:r>
      <w:r w:rsidR="007D536E">
        <w:t>'</w:t>
      </w:r>
      <w:r w:rsidRPr="00C31151">
        <w:t>audit portait sur une longue période (2012</w:t>
      </w:r>
      <w:r w:rsidRPr="00C31151">
        <w:noBreakHyphen/>
        <w:t>2019), beaucoup de précisions ont été fournies en termes de méthodologie de calcul des différentes prestations, y compris les prestations/remboursements erronés. La marge d</w:t>
      </w:r>
      <w:r w:rsidR="007D536E">
        <w:t>'</w:t>
      </w:r>
      <w:r w:rsidRPr="00C31151">
        <w:t>erreur pour cette période n</w:t>
      </w:r>
      <w:r w:rsidR="007D536E">
        <w:t>'</w:t>
      </w:r>
      <w:r w:rsidRPr="00C31151">
        <w:t>était pas énorme, et bien qu</w:t>
      </w:r>
      <w:r w:rsidR="007D536E">
        <w:t>'</w:t>
      </w:r>
      <w:r w:rsidRPr="00C31151">
        <w:t>il ait été recommandé au Département HRMD de recalculer les prestations pour la période, ce Département a estimé que cette demande serait très onéreuse et n</w:t>
      </w:r>
      <w:r w:rsidR="007D536E">
        <w:t>'</w:t>
      </w:r>
      <w:r w:rsidRPr="00C31151">
        <w:t>a donc pas approuvé la recommandation de l</w:t>
      </w:r>
      <w:r w:rsidR="007D536E">
        <w:t>'</w:t>
      </w:r>
      <w:r w:rsidRPr="00C31151">
        <w:t>Unité de l</w:t>
      </w:r>
      <w:r w:rsidR="007D536E">
        <w:t>'</w:t>
      </w:r>
      <w:r w:rsidRPr="00C31151">
        <w:t>audit interne.</w:t>
      </w:r>
    </w:p>
    <w:p w14:paraId="3523A9BD" w14:textId="2B60301E" w:rsidR="000D0774" w:rsidRDefault="000D0774" w:rsidP="007D536E">
      <w:r w:rsidRPr="00922008">
        <w:t>26.4</w:t>
      </w:r>
      <w:r w:rsidRPr="00922008">
        <w:tab/>
        <w:t xml:space="preserve">En ce qui concerne la vérification des contributions volontaires et </w:t>
      </w:r>
      <w:r>
        <w:t xml:space="preserve">des </w:t>
      </w:r>
      <w:r w:rsidRPr="00922008">
        <w:t>fonds d</w:t>
      </w:r>
      <w:r w:rsidR="007D536E">
        <w:t>'</w:t>
      </w:r>
      <w:r w:rsidRPr="00922008">
        <w:t>affectation spéc</w:t>
      </w:r>
      <w:r>
        <w:t>iale, plusieurs</w:t>
      </w:r>
      <w:r w:rsidRPr="00922008">
        <w:t xml:space="preserve"> délégués ont demandé des éclaircissements concernant la responsabilité (au sein du secrétariat ou au niveau du Conseil) </w:t>
      </w:r>
      <w:r>
        <w:t>de l</w:t>
      </w:r>
      <w:r w:rsidR="007D536E">
        <w:t>'</w:t>
      </w:r>
      <w:r>
        <w:t>élaboration</w:t>
      </w:r>
      <w:r w:rsidRPr="00922008">
        <w:t xml:space="preserve"> des lignes directrices relatives aux politiques</w:t>
      </w:r>
      <w:r>
        <w:t xml:space="preserve">, afin </w:t>
      </w:r>
      <w:r w:rsidRPr="00922008">
        <w:t>d</w:t>
      </w:r>
      <w:r w:rsidR="007D536E">
        <w:t>'</w:t>
      </w:r>
      <w:r w:rsidRPr="00922008">
        <w:t xml:space="preserve">établir une distinction entre </w:t>
      </w:r>
      <w:r>
        <w:t xml:space="preserve">les </w:t>
      </w:r>
      <w:r w:rsidRPr="00922008">
        <w:t xml:space="preserve">contributions volontaires et </w:t>
      </w:r>
      <w:r>
        <w:t xml:space="preserve">les </w:t>
      </w:r>
      <w:r w:rsidRPr="00922008">
        <w:t>fonds d</w:t>
      </w:r>
      <w:r w:rsidR="007D536E">
        <w:t>'</w:t>
      </w:r>
      <w:r w:rsidRPr="00922008">
        <w:t>affectation spéciale,</w:t>
      </w:r>
      <w:r>
        <w:t xml:space="preserve"> le contrôle </w:t>
      </w:r>
      <w:r w:rsidRPr="00922008">
        <w:t xml:space="preserve">des </w:t>
      </w:r>
      <w:r>
        <w:t>donateurs</w:t>
      </w:r>
      <w:r w:rsidRPr="00922008">
        <w:t xml:space="preserve"> du secteur privé, une base de données sur les</w:t>
      </w:r>
      <w:r>
        <w:t xml:space="preserve"> catégories de donateurs et les montants concernés</w:t>
      </w:r>
      <w:r w:rsidRPr="00922008">
        <w:t>, un registre des risques</w:t>
      </w:r>
      <w:r>
        <w:t xml:space="preserve"> complet comprenant les risques liés aux donateurs du secteur privé, la vérification des nouveaux donateurs et des </w:t>
      </w:r>
      <w:r w:rsidRPr="00306738">
        <w:t>contributions. En outre, il a été demandé d</w:t>
      </w:r>
      <w:r w:rsidR="007D536E">
        <w:t>'</w:t>
      </w:r>
      <w:r w:rsidRPr="00306738">
        <w:t>assurer le suivi de la mise en œuvre des Mémorandums d</w:t>
      </w:r>
      <w:r w:rsidR="007D536E">
        <w:t>'</w:t>
      </w:r>
      <w:r w:rsidRPr="00306738">
        <w:t>Accord avec diverses parties et l</w:t>
      </w:r>
      <w:r w:rsidR="007D536E">
        <w:t>'</w:t>
      </w:r>
      <w:r w:rsidRPr="00306738">
        <w:t>UIT pour garantir un niveau approprié de contrôle. L</w:t>
      </w:r>
      <w:r w:rsidR="007D536E">
        <w:t>'</w:t>
      </w:r>
      <w:r w:rsidRPr="00306738">
        <w:t>Auditeur interne a indiqué que les définitions existantes relatives aux contributions volontaires et au Fonds d</w:t>
      </w:r>
      <w:r w:rsidR="007D536E">
        <w:t>'</w:t>
      </w:r>
      <w:r w:rsidRPr="00306738">
        <w:t>affectation spéciale qui figurent dans le Règlement financier et les Règles financières de l</w:t>
      </w:r>
      <w:r w:rsidR="007D536E">
        <w:t>'</w:t>
      </w:r>
      <w:r w:rsidRPr="00306738">
        <w:t>UIT avaient été jugées insuffisantes pour le personnel et les gestionnaires, étant donné qu</w:t>
      </w:r>
      <w:r w:rsidR="007D536E">
        <w:t>'</w:t>
      </w:r>
      <w:r w:rsidRPr="00306738">
        <w:t>elles n</w:t>
      </w:r>
      <w:r w:rsidR="007D536E">
        <w:t>'</w:t>
      </w:r>
      <w:r w:rsidRPr="00306738">
        <w:t>apportent pas d</w:t>
      </w:r>
      <w:r w:rsidR="007D536E">
        <w:t>'</w:t>
      </w:r>
      <w:r w:rsidRPr="00306738">
        <w:t>éclaircissements sur la manière de traiter comme il se doit les contributions volontaires et le Fonds d</w:t>
      </w:r>
      <w:r w:rsidR="007D536E">
        <w:t>'</w:t>
      </w:r>
      <w:r w:rsidRPr="00306738">
        <w:t>affectation spéciale. L</w:t>
      </w:r>
      <w:r w:rsidR="007D536E">
        <w:t>'</w:t>
      </w:r>
      <w:r w:rsidRPr="00306738">
        <w:t>Auditeur interne a déclaré qu</w:t>
      </w:r>
      <w:r w:rsidR="007D536E">
        <w:t>'</w:t>
      </w:r>
      <w:r w:rsidRPr="00306738">
        <w:t>une recommandation avait été formulée au niveau du Secrétariat général, en vue d</w:t>
      </w:r>
      <w:r w:rsidR="007D536E">
        <w:t>'</w:t>
      </w:r>
      <w:r w:rsidRPr="00306738">
        <w:t xml:space="preserve">élaborer des indications plus détaillées reposant sur les principes du Règlement financier et des Règles </w:t>
      </w:r>
      <w:r w:rsidRPr="00306738">
        <w:lastRenderedPageBreak/>
        <w:t>financières de l</w:t>
      </w:r>
      <w:r w:rsidR="007D536E">
        <w:t>'</w:t>
      </w:r>
      <w:r w:rsidRPr="00306738">
        <w:t>UIT, mais plus concrètes et mieux adaptées au traitement de diverses contributions volontaires. Concernant les nouveaux donateurs qui ne sont pas encore connus de l</w:t>
      </w:r>
      <w:r w:rsidR="007D536E">
        <w:t>'</w:t>
      </w:r>
      <w:r w:rsidRPr="00306738">
        <w:t>UIT, l</w:t>
      </w:r>
      <w:r w:rsidR="007D536E">
        <w:t>'</w:t>
      </w:r>
      <w:r w:rsidRPr="00306738">
        <w:t>Auditeur interne a indiqué qu</w:t>
      </w:r>
      <w:r w:rsidR="007D536E">
        <w:t>'</w:t>
      </w:r>
      <w:r w:rsidRPr="00306738">
        <w:t>une recommandation avait été formulée pour qu</w:t>
      </w:r>
      <w:r w:rsidR="007D536E">
        <w:t>'</w:t>
      </w:r>
      <w:r w:rsidRPr="00306738">
        <w:t>il soit procédé aux vérifications nécessaires fondées sur la diligence due, afin de veiller à ce que les nouveaux donateurs ne portent pas atteinte à la réputation de l</w:t>
      </w:r>
      <w:r w:rsidR="007D536E">
        <w:t>'</w:t>
      </w:r>
      <w:r w:rsidRPr="00306738">
        <w:t>UIT et ne l</w:t>
      </w:r>
      <w:r w:rsidR="007D536E">
        <w:t>'</w:t>
      </w:r>
      <w:r w:rsidRPr="00306738">
        <w:t>exposent pas à des risques financiers. En outre, il a indiqué que le secrétariat avait élaboré un ordre de service énonçant des procédures adaptées pour procéder aux vérifications nécessaires sur la base de la diligence due concernant les nouveaux donateurs qui apportent des fonds, en intégrant également ces risques dans le registre des risques global de l</w:t>
      </w:r>
      <w:r w:rsidR="007D536E">
        <w:t>'</w:t>
      </w:r>
      <w:r w:rsidRPr="00306738">
        <w:t>UIT. Concernant le montant des fonds, il a été précisé que le rapport de gestion financière (Document C22/42) donnait un aperçu de la situation et que le secrétariat reviendrait vers les délégués concernant la base de données contenant la liste des Mémorandums d</w:t>
      </w:r>
      <w:r w:rsidR="007D536E">
        <w:t>'</w:t>
      </w:r>
      <w:r w:rsidRPr="00306738">
        <w:t>Accord signés</w:t>
      </w:r>
      <w:r>
        <w:t xml:space="preserve"> avec diverses parties.</w:t>
      </w:r>
    </w:p>
    <w:p w14:paraId="34337733" w14:textId="7253CB11" w:rsidR="000D0774" w:rsidRDefault="000D0774" w:rsidP="007D536E">
      <w:r w:rsidRPr="0041113D">
        <w:t>26.5</w:t>
      </w:r>
      <w:r w:rsidRPr="0041113D">
        <w:tab/>
      </w:r>
      <w:r w:rsidRPr="00C24E04">
        <w:t>Un autre délégué a souligné qu</w:t>
      </w:r>
      <w:r w:rsidR="007D536E">
        <w:t>'</w:t>
      </w:r>
      <w:r w:rsidRPr="00C24E04">
        <w:t>il était important d</w:t>
      </w:r>
      <w:r w:rsidR="007D536E">
        <w:t>'</w:t>
      </w:r>
      <w:r w:rsidRPr="00C24E04">
        <w:t>élaborer des lignes directrices et a demandé des éclaircissements sur les raisons pour lesquelles les fonctionnaires de l</w:t>
      </w:r>
      <w:r w:rsidR="007D536E">
        <w:t>'</w:t>
      </w:r>
      <w:r w:rsidRPr="00C24E04">
        <w:t>UIT estiment que les mesures relatives à leurs rôles et responsabilités</w:t>
      </w:r>
      <w:r w:rsidRPr="008E1FB8">
        <w:t xml:space="preserve"> concernant l</w:t>
      </w:r>
      <w:r w:rsidR="007D536E">
        <w:t>'</w:t>
      </w:r>
      <w:r w:rsidRPr="008E1FB8">
        <w:t>utilisation des fonds externes et les dépenses liées aux consultants ne sont pas claires. L</w:t>
      </w:r>
      <w:r w:rsidR="007D536E">
        <w:t>'</w:t>
      </w:r>
      <w:r w:rsidRPr="008E1FB8">
        <w:t>Auditeur interne a fait observer qu</w:t>
      </w:r>
      <w:r w:rsidR="007D536E">
        <w:t>'</w:t>
      </w:r>
      <w:r w:rsidRPr="008E1FB8">
        <w:t>un certain nombre de ces mesures font partie de celles</w:t>
      </w:r>
      <w:r>
        <w:t xml:space="preserve"> sur lesquelles le Groupe de travail sur les contrôles internes concentre ses travaux, conformément aux explications données par la Directrice du BDT lors de l</w:t>
      </w:r>
      <w:r w:rsidR="007D536E">
        <w:t>'</w:t>
      </w:r>
      <w:r>
        <w:t>examen du Document C22/20. Ce groupe de travail a en effet élaboré des mécanismes pour assurer le suivi des travaux des consultants et la vérification des produits attendus.</w:t>
      </w:r>
    </w:p>
    <w:p w14:paraId="3570BA91" w14:textId="4C6DFBF9" w:rsidR="000D0774" w:rsidRDefault="000D0774" w:rsidP="007D536E">
      <w:r w:rsidRPr="004A7F1A">
        <w:t>26.6</w:t>
      </w:r>
      <w:r w:rsidRPr="004A7F1A">
        <w:tab/>
      </w:r>
      <w:r w:rsidRPr="00A5495E">
        <w:t>Un délégué a déclaré que le document présenté par le Groupe de travail sur les contr</w:t>
      </w:r>
      <w:r>
        <w:t>ôles internes ne semblait pas avoir été harmonisé avec les conclusions de l</w:t>
      </w:r>
      <w:r w:rsidR="007D536E">
        <w:t>'</w:t>
      </w:r>
      <w:r>
        <w:t>audit des programmes, projets et activités supplémentaires et que de nombreuses recommandations avaient déjà été formulées, et a demandé des éclaircissements sur le lien entre les deux documents. L</w:t>
      </w:r>
      <w:r w:rsidR="007D536E">
        <w:t>'</w:t>
      </w:r>
      <w:r>
        <w:t>Auditeur interne a indiqué que l</w:t>
      </w:r>
      <w:r w:rsidR="007D536E">
        <w:t>'</w:t>
      </w:r>
      <w:r>
        <w:t>absence d</w:t>
      </w:r>
      <w:r w:rsidR="007D536E">
        <w:t>'</w:t>
      </w:r>
      <w:r>
        <w:t>harmonisation tenait au fait que les conclusions de l</w:t>
      </w:r>
      <w:r w:rsidR="007D536E">
        <w:t>'</w:t>
      </w:r>
      <w:r>
        <w:t>audit avaient été formulées sur la base d</w:t>
      </w:r>
      <w:r w:rsidR="007D536E">
        <w:t>'</w:t>
      </w:r>
      <w:r>
        <w:t xml:space="preserve">activités extérieures au BDT, alors que le document présenté </w:t>
      </w:r>
      <w:r w:rsidRPr="00306738">
        <w:t>par</w:t>
      </w:r>
      <w:r>
        <w:t xml:space="preserve"> le Groupe de travail sur les contrôles internes est axé sur les activités de contrôle liées au BDT. Conscient du fait que le BDT est le Bureau qui met en œuvre le plus grand nombre de projets, l</w:t>
      </w:r>
      <w:r w:rsidR="007D536E">
        <w:t>'</w:t>
      </w:r>
      <w:r>
        <w:t>Auditeur interne a ajouté que des mesures similaires devaient être prises pour faire en sorte que des lignes directrices sur la gestion de projets adaptées à l</w:t>
      </w:r>
      <w:r w:rsidR="007D536E">
        <w:t>'</w:t>
      </w:r>
      <w:r>
        <w:t>échelle de l</w:t>
      </w:r>
      <w:r w:rsidR="007D536E">
        <w:t>'</w:t>
      </w:r>
      <w:r>
        <w:t>UIT soient adoptées et que les projets soient supervisés de manière uniforme.</w:t>
      </w:r>
    </w:p>
    <w:p w14:paraId="40B21AC0" w14:textId="252ACE23" w:rsidR="000D0774" w:rsidRPr="00C567FA" w:rsidRDefault="000D0774" w:rsidP="007D536E">
      <w:r w:rsidRPr="001F1D14">
        <w:t>26.7</w:t>
      </w:r>
      <w:r w:rsidRPr="001F1D14">
        <w:tab/>
      </w:r>
      <w:r w:rsidRPr="00BB5044">
        <w:t xml:space="preserve">Certains délégués ont demandé </w:t>
      </w:r>
      <w:r>
        <w:t>que comme pour l</w:t>
      </w:r>
      <w:r w:rsidR="007D536E">
        <w:t>'</w:t>
      </w:r>
      <w:r>
        <w:t>état d</w:t>
      </w:r>
      <w:r w:rsidR="007D536E">
        <w:t>'</w:t>
      </w:r>
      <w:r>
        <w:t xml:space="preserve">avancement </w:t>
      </w:r>
      <w:r w:rsidRPr="00BB5044">
        <w:t>des recommandations du Vér</w:t>
      </w:r>
      <w:r>
        <w:t xml:space="preserve">ificateur extérieur des </w:t>
      </w:r>
      <w:r w:rsidRPr="00306738">
        <w:t>comptes, davantage de statistiques soient fournies concernant</w:t>
      </w:r>
      <w:r>
        <w:t xml:space="preserve"> l</w:t>
      </w:r>
      <w:r w:rsidR="007D536E">
        <w:t>'</w:t>
      </w:r>
      <w:r>
        <w:t>état d</w:t>
      </w:r>
      <w:r w:rsidR="007D536E">
        <w:t>'</w:t>
      </w:r>
      <w:r>
        <w:t>avancement de la mise en œuvre des recommandations de l</w:t>
      </w:r>
      <w:r w:rsidR="007D536E">
        <w:t>'</w:t>
      </w:r>
      <w:r>
        <w:t>Auditeur interne. L</w:t>
      </w:r>
      <w:r w:rsidR="007D536E">
        <w:t>'</w:t>
      </w:r>
      <w:r>
        <w:t>Auditeur interne a indiqué qu</w:t>
      </w:r>
      <w:r w:rsidR="007D536E">
        <w:t>'</w:t>
      </w:r>
      <w:r>
        <w:t>il assurerait la liaison avec le Secrétaire général concernant cette demande. Ces renseignements devraient</w:t>
      </w:r>
      <w:r w:rsidR="007D536E">
        <w:t xml:space="preserve"> </w:t>
      </w:r>
      <w:r>
        <w:t>être fournis lors de la session du Conseil de l</w:t>
      </w:r>
      <w:r w:rsidR="007D536E">
        <w:t>'</w:t>
      </w:r>
      <w:r>
        <w:t>année prochaine et</w:t>
      </w:r>
      <w:r w:rsidR="007D536E">
        <w:t xml:space="preserve"> </w:t>
      </w:r>
      <w:r>
        <w:t xml:space="preserve"> un document d</w:t>
      </w:r>
      <w:r w:rsidR="007D536E">
        <w:t>'</w:t>
      </w:r>
      <w:r>
        <w:t>information pourrait être publié chaque année pour traiter les différentes recommandations de l</w:t>
      </w:r>
      <w:r w:rsidR="007D536E">
        <w:t>'</w:t>
      </w:r>
      <w:r>
        <w:t>Auditeur interne qui sont toujours en cours.</w:t>
      </w:r>
    </w:p>
    <w:p w14:paraId="25C56ECE" w14:textId="14762022" w:rsidR="00EF4CBE" w:rsidRDefault="000D0774" w:rsidP="007D536E">
      <w:r w:rsidRPr="00C567FA">
        <w:t>26.8</w:t>
      </w:r>
      <w:r w:rsidRPr="00C567FA">
        <w:tab/>
        <w:t>Un délégué a demandé des informations complémentaires sur la question de savoir si l</w:t>
      </w:r>
      <w:r w:rsidR="007D536E">
        <w:t>'</w:t>
      </w:r>
      <w:r w:rsidRPr="00C567FA">
        <w:t>Unité de l</w:t>
      </w:r>
      <w:r w:rsidR="007D536E">
        <w:t>'</w:t>
      </w:r>
      <w:r w:rsidRPr="00C567FA">
        <w:t>audit interne avait quantifié le montant des éventuelles prestations accordées indûment au personnel au cours de la période 2012-2019. L</w:t>
      </w:r>
      <w:r w:rsidR="007D536E">
        <w:t>'</w:t>
      </w:r>
      <w:r w:rsidRPr="00C567FA">
        <w:t>Auditeur interne a expliqué que, comme indiqué précédemment, des calculs avaient été effectués au cours de l</w:t>
      </w:r>
      <w:r w:rsidR="007D536E">
        <w:t>'</w:t>
      </w:r>
      <w:r w:rsidRPr="00C567FA">
        <w:t xml:space="preserve">audit, mais que dans certains cas, </w:t>
      </w:r>
      <w:r w:rsidR="00EF4CBE">
        <w:br w:type="page"/>
      </w:r>
    </w:p>
    <w:p w14:paraId="0BB91BEF" w14:textId="18CF61A8" w:rsidR="000D0774" w:rsidRPr="00C567FA" w:rsidRDefault="000D0774" w:rsidP="007D536E">
      <w:r w:rsidRPr="00C567FA">
        <w:lastRenderedPageBreak/>
        <w:t>ces montants étaient très faibles. L</w:t>
      </w:r>
      <w:r w:rsidR="007D536E">
        <w:t>'</w:t>
      </w:r>
      <w:r w:rsidRPr="00C567FA">
        <w:t>Unité de l</w:t>
      </w:r>
      <w:r w:rsidR="007D536E">
        <w:t>'</w:t>
      </w:r>
      <w:r w:rsidRPr="00C567FA">
        <w:t>audit interne avait néanmoins formulé des recommandations invitant le Département HRMD à faire le nécessaire pour corriger les montants des éventuelles prestations accordées indûment, ce que la direction a considéré comme une mesure trop onéreuse.</w:t>
      </w:r>
    </w:p>
    <w:p w14:paraId="57714DAE" w14:textId="3F78C9C0" w:rsidR="000D0774" w:rsidRPr="00B76B04" w:rsidRDefault="000D0774" w:rsidP="007D536E">
      <w:r w:rsidRPr="00B76B04">
        <w:t>26.9</w:t>
      </w:r>
      <w:r w:rsidRPr="00B76B04">
        <w:tab/>
        <w:t>Un délégué a également évoqué les conclusions de l</w:t>
      </w:r>
      <w:r w:rsidR="007D536E">
        <w:t>'</w:t>
      </w:r>
      <w:r w:rsidRPr="00B76B04">
        <w:t>audit interne, selon lesquelles la gestion financière et la gestion des actifs sont en partie efficaces et les contrôles internes relatifs aux consultants ne sont pas efficaces, et a demandé si l</w:t>
      </w:r>
      <w:r w:rsidR="007D536E">
        <w:t>'</w:t>
      </w:r>
      <w:r w:rsidRPr="00B76B04">
        <w:t>Unité de l</w:t>
      </w:r>
      <w:r w:rsidR="007D536E">
        <w:t>'</w:t>
      </w:r>
      <w:r w:rsidRPr="00B76B04">
        <w:t>audit interne pouvait faire en sorte que ces conclusions deviennent positives.</w:t>
      </w:r>
    </w:p>
    <w:p w14:paraId="30BDEC58" w14:textId="2FA4DB57" w:rsidR="000D0774" w:rsidRPr="00B76B04" w:rsidRDefault="000D0774" w:rsidP="007D536E">
      <w:pPr>
        <w:tabs>
          <w:tab w:val="clear" w:pos="567"/>
          <w:tab w:val="left" w:pos="851"/>
        </w:tabs>
      </w:pPr>
      <w:r w:rsidRPr="00B76B04">
        <w:t>26.10</w:t>
      </w:r>
      <w:r w:rsidRPr="00B76B04">
        <w:tab/>
        <w:t>Un autre délégué a demandé si le secrétariat et l</w:t>
      </w:r>
      <w:r w:rsidR="007D536E">
        <w:t>'</w:t>
      </w:r>
      <w:r w:rsidRPr="00B76B04">
        <w:t>Unité de l</w:t>
      </w:r>
      <w:r w:rsidR="007D536E">
        <w:t>'</w:t>
      </w:r>
      <w:r w:rsidRPr="00B76B04">
        <w:t>audit interne allaient suivre la pratique consistant à formuler des opinions d</w:t>
      </w:r>
      <w:r w:rsidR="007D536E">
        <w:t>'</w:t>
      </w:r>
      <w:r w:rsidRPr="00B76B04">
        <w:t>audit annuelles sur la gouvernance et la gestion des risques, en plus des contrôles internes. Cette pratique, qui a été considérée comme une bonne pratique, permettrait aux États membres participant à ce processus de l</w:t>
      </w:r>
      <w:r w:rsidR="007D536E">
        <w:t>'</w:t>
      </w:r>
      <w:r w:rsidRPr="00B76B04">
        <w:t>examiner au Conseil. L</w:t>
      </w:r>
      <w:r w:rsidR="007D536E">
        <w:t>'</w:t>
      </w:r>
      <w:r w:rsidRPr="00B76B04">
        <w:t>Auditeur interne a souligné que dans d</w:t>
      </w:r>
      <w:r w:rsidR="007D536E">
        <w:t>'</w:t>
      </w:r>
      <w:r w:rsidRPr="00B76B04">
        <w:t>autres institutions du système des Nations Unies, une déclaration générale est formulée par les services d</w:t>
      </w:r>
      <w:r w:rsidR="007D536E">
        <w:t>'</w:t>
      </w:r>
      <w:r w:rsidRPr="00B76B04">
        <w:t>audit interne, ou par les services de contrôle interne compétents, afin de fournir une assurance relative sur la base des travaux d</w:t>
      </w:r>
      <w:r w:rsidR="007D536E">
        <w:t>'</w:t>
      </w:r>
      <w:r w:rsidRPr="00B76B04">
        <w:t>audit réalisés. L</w:t>
      </w:r>
      <w:r w:rsidR="007D536E">
        <w:t>'</w:t>
      </w:r>
      <w:r w:rsidRPr="00B76B04">
        <w:t>Auditeur interne a déclaré que tel n</w:t>
      </w:r>
      <w:r w:rsidR="007D536E">
        <w:t>'</w:t>
      </w:r>
      <w:r w:rsidRPr="00B76B04">
        <w:t>était pas encore le cas à l</w:t>
      </w:r>
      <w:r w:rsidR="007D536E">
        <w:t>'</w:t>
      </w:r>
      <w:r w:rsidRPr="00B76B04">
        <w:t>UIT, et que l</w:t>
      </w:r>
      <w:r w:rsidR="007D536E">
        <w:t>'</w:t>
      </w:r>
      <w:r w:rsidRPr="00B76B04">
        <w:t>assurance était émise sur la base de thèmes spécifiques, plutôt que sur une évaluation globale.</w:t>
      </w:r>
    </w:p>
    <w:p w14:paraId="0120C789" w14:textId="1AC29114" w:rsidR="000D0774" w:rsidRPr="00B76B04" w:rsidRDefault="000D0774" w:rsidP="007D536E">
      <w:pPr>
        <w:tabs>
          <w:tab w:val="clear" w:pos="567"/>
          <w:tab w:val="left" w:pos="851"/>
        </w:tabs>
      </w:pPr>
      <w:r w:rsidRPr="00B76B04">
        <w:t>26.11</w:t>
      </w:r>
      <w:r w:rsidRPr="00B76B04">
        <w:tab/>
        <w:t>Un délégué a demandé s</w:t>
      </w:r>
      <w:r w:rsidR="007D536E">
        <w:t>'</w:t>
      </w:r>
      <w:r w:rsidRPr="00B76B04">
        <w:t>il existait un document exhaustif couvrant tous les risques auxquels l</w:t>
      </w:r>
      <w:r w:rsidR="007D536E">
        <w:t>'</w:t>
      </w:r>
      <w:r w:rsidRPr="00B76B04">
        <w:t>UIT est exposée et s</w:t>
      </w:r>
      <w:r w:rsidR="007D536E">
        <w:t>'</w:t>
      </w:r>
      <w:r w:rsidRPr="00B76B04">
        <w:t>il serait possible de consacrer une page à ces risques sur le site web de l</w:t>
      </w:r>
      <w:r w:rsidR="007D536E">
        <w:t>'</w:t>
      </w:r>
      <w:r w:rsidRPr="00B76B04">
        <w:t>UIT ou dans les publications de l</w:t>
      </w:r>
      <w:r w:rsidR="007D536E">
        <w:t>'</w:t>
      </w:r>
      <w:r w:rsidRPr="00B76B04">
        <w:t>UIT. L</w:t>
      </w:r>
      <w:r w:rsidR="007D536E">
        <w:t>'</w:t>
      </w:r>
      <w:r w:rsidRPr="00B76B04">
        <w:t>Auditeur interne a précisé qu</w:t>
      </w:r>
      <w:r w:rsidR="007D536E">
        <w:t>'</w:t>
      </w:r>
      <w:r w:rsidRPr="00B76B04">
        <w:t>un registre des risques à l</w:t>
      </w:r>
      <w:r w:rsidR="007D536E">
        <w:t>'</w:t>
      </w:r>
      <w:r w:rsidRPr="00B76B04">
        <w:t>échelle de l</w:t>
      </w:r>
      <w:r w:rsidR="007D536E">
        <w:t>'</w:t>
      </w:r>
      <w:r w:rsidRPr="00B76B04">
        <w:t>UIT était tenu à jour par la Division de la stratégie institutionnelle de SPM et a renvoyé les délégués au Document C21/61 établi l</w:t>
      </w:r>
      <w:r w:rsidR="007D536E">
        <w:t>'</w:t>
      </w:r>
      <w:r w:rsidRPr="00B76B04">
        <w:t>année dernière, dans lequel le registre des risques de l</w:t>
      </w:r>
      <w:r w:rsidR="007D536E">
        <w:t>'</w:t>
      </w:r>
      <w:r w:rsidRPr="00B76B04">
        <w:t>UIT était présenté. L</w:t>
      </w:r>
      <w:r w:rsidR="007D536E">
        <w:t>'</w:t>
      </w:r>
      <w:r w:rsidRPr="00B76B04">
        <w:t>Auditeur interne a également expliqué qu</w:t>
      </w:r>
      <w:r w:rsidR="007D536E">
        <w:t>'</w:t>
      </w:r>
      <w:r w:rsidRPr="00B76B04">
        <w:t>à un niveau plus détaillé, la gestion des risques pour certaines missions d</w:t>
      </w:r>
      <w:r w:rsidR="007D536E">
        <w:t>'</w:t>
      </w:r>
      <w:r w:rsidRPr="00B76B04">
        <w:t>audit était examinée parallèlement aux aspects de gouvernance et aux contrôles internes, qui sont ensuite présentés dans les conclusions des différents rapports d</w:t>
      </w:r>
      <w:r w:rsidR="007D536E">
        <w:t>'</w:t>
      </w:r>
      <w:r w:rsidRPr="00B76B04">
        <w:t>audit interne.</w:t>
      </w:r>
    </w:p>
    <w:p w14:paraId="619384E5" w14:textId="6F95764D" w:rsidR="000D0774" w:rsidRPr="00B76B04" w:rsidRDefault="000D0774" w:rsidP="007D536E">
      <w:pPr>
        <w:keepLines/>
        <w:tabs>
          <w:tab w:val="clear" w:pos="567"/>
          <w:tab w:val="left" w:pos="851"/>
        </w:tabs>
      </w:pPr>
      <w:r w:rsidRPr="00B76B04">
        <w:t>26.12</w:t>
      </w:r>
      <w:r w:rsidRPr="00B76B04">
        <w:tab/>
        <w:t>Le secrétariat a pris la parole pour indiquer que le registre des risques à l</w:t>
      </w:r>
      <w:r w:rsidR="007D536E">
        <w:t>'</w:t>
      </w:r>
      <w:r w:rsidRPr="00B76B04">
        <w:t>échelle de l</w:t>
      </w:r>
      <w:r w:rsidR="007D536E">
        <w:t>'</w:t>
      </w:r>
      <w:r w:rsidRPr="00B76B04">
        <w:t>UIT était compilé depuis l</w:t>
      </w:r>
      <w:r w:rsidR="007D536E">
        <w:t>'</w:t>
      </w:r>
      <w:r w:rsidRPr="00B76B04">
        <w:t>année dernière et comprenait tous les différents risques auxquels l</w:t>
      </w:r>
      <w:r w:rsidR="007D536E">
        <w:t>'</w:t>
      </w:r>
      <w:r w:rsidRPr="00B76B04">
        <w:t>UIT peut être exposée, y compris les risques liés au nouveau bâtiment, ainsi que les risques financiers actuellement liés aux taux négatifs appliqués non seulement en Suisse, mais dans tous les établissements bancaires gérant des fonds en francs suisses, ce qui constitue un nouveau risque contre lequel on a recours à la diversification des fonds en francs suisses, en convertissant ces derniers en dollars ou en euros, afin de permettre une compensation.</w:t>
      </w:r>
    </w:p>
    <w:p w14:paraId="735E32E3" w14:textId="2DF81A29" w:rsidR="000D0774" w:rsidRPr="00B76B04" w:rsidRDefault="000D0774" w:rsidP="007D536E">
      <w:pPr>
        <w:tabs>
          <w:tab w:val="clear" w:pos="567"/>
          <w:tab w:val="left" w:pos="851"/>
        </w:tabs>
      </w:pPr>
      <w:r w:rsidRPr="00B76B04">
        <w:t>26.13</w:t>
      </w:r>
      <w:r w:rsidRPr="00B76B04">
        <w:tab/>
        <w:t>Dans le prolongement des discussions sur le Document C22/20, la Directrice du BDT a également fourni des informations complémentaires concernant les Lignes directrices du BDT en matière de gestion de projet publiées en 2020, en plus des 80 membres du personnel chargés de la gestion de projets déjà certifiés, qui sont à présent étendues à l</w:t>
      </w:r>
      <w:r w:rsidR="007D536E">
        <w:t>'</w:t>
      </w:r>
      <w:r w:rsidRPr="00B76B04">
        <w:t>ensemble de l</w:t>
      </w:r>
      <w:r w:rsidR="007D536E">
        <w:t>'</w:t>
      </w:r>
      <w:r w:rsidRPr="00B76B04">
        <w:t>UIT. Le mécanisme de contrôle pour le suivi adéquat des résultats des travaux des experts/consultants que le BDT avait mis en place en 2019 a également été déployé dans l</w:t>
      </w:r>
      <w:r w:rsidR="007D536E">
        <w:t>'</w:t>
      </w:r>
      <w:r w:rsidRPr="00B76B04">
        <w:t>ensemble du secrétariat de l</w:t>
      </w:r>
      <w:r w:rsidR="007D536E">
        <w:t>'</w:t>
      </w:r>
      <w:r w:rsidRPr="00B76B04">
        <w:t>UIT. Depuis 2021, un mécanisme de rapport sur les contributions volontaires du BDT a été mis en place et il a également déjà été décidé de l</w:t>
      </w:r>
      <w:r w:rsidR="007D536E">
        <w:t>'</w:t>
      </w:r>
      <w:r w:rsidRPr="00B76B04">
        <w:t>étendre en 2022 à toutes les contributions volontaires, en collaboration avec le Département HRMD.</w:t>
      </w:r>
    </w:p>
    <w:p w14:paraId="7FD310C4" w14:textId="677D5F1C" w:rsidR="000D0774" w:rsidRPr="00B76B04" w:rsidRDefault="000D0774" w:rsidP="007D536E">
      <w:pPr>
        <w:tabs>
          <w:tab w:val="clear" w:pos="567"/>
          <w:tab w:val="left" w:pos="851"/>
        </w:tabs>
        <w:spacing w:after="120"/>
      </w:pPr>
      <w:r w:rsidRPr="00B76B04">
        <w:t>26.14</w:t>
      </w:r>
      <w:r w:rsidRPr="00B76B04">
        <w:tab/>
        <w:t>La Présidente a remercié l</w:t>
      </w:r>
      <w:r w:rsidR="007D536E">
        <w:t>'</w:t>
      </w:r>
      <w:r w:rsidRPr="00B76B04">
        <w:t>Auditeur interne et le secrétariat pour les précisions apportées et a conclu que ce document devait être transmis au Conseil pour examen.</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D0774" w:rsidRPr="00C567FA" w14:paraId="28C59BE9" w14:textId="77777777" w:rsidTr="002932F3">
        <w:tc>
          <w:tcPr>
            <w:tcW w:w="9287" w:type="dxa"/>
            <w:tcBorders>
              <w:top w:val="single" w:sz="4" w:space="0" w:color="auto"/>
              <w:left w:val="single" w:sz="4" w:space="0" w:color="auto"/>
              <w:bottom w:val="single" w:sz="4" w:space="0" w:color="auto"/>
              <w:right w:val="single" w:sz="4" w:space="0" w:color="auto"/>
            </w:tcBorders>
            <w:hideMark/>
          </w:tcPr>
          <w:p w14:paraId="5F373B64" w14:textId="77777777" w:rsidR="000D0774" w:rsidRPr="00C567FA" w:rsidRDefault="000D0774" w:rsidP="007D536E">
            <w:pPr>
              <w:pStyle w:val="Headingb"/>
              <w:keepNext w:val="0"/>
              <w:keepLines w:val="0"/>
              <w:rPr>
                <w:i/>
                <w:iCs/>
              </w:rPr>
            </w:pPr>
            <w:r w:rsidRPr="00C567FA">
              <w:rPr>
                <w:i/>
                <w:iCs/>
              </w:rPr>
              <w:lastRenderedPageBreak/>
              <w:t>Recommandation</w:t>
            </w:r>
          </w:p>
          <w:p w14:paraId="64EE65D5" w14:textId="2E3F4239" w:rsidR="000D0774" w:rsidRPr="00C567FA" w:rsidRDefault="000D0774" w:rsidP="007D536E">
            <w:pPr>
              <w:tabs>
                <w:tab w:val="clear" w:pos="567"/>
                <w:tab w:val="left" w:pos="738"/>
              </w:tabs>
              <w:spacing w:after="120"/>
            </w:pPr>
            <w:r w:rsidRPr="00C567FA">
              <w:t>26.15</w:t>
            </w:r>
            <w:r w:rsidRPr="00C567FA">
              <w:tab/>
              <w:t xml:space="preserve">La Commission a examiné le rapport et recommande au Conseil de prendre note du rapport figurant dans le Document C22/44 </w:t>
            </w:r>
            <w:r>
              <w:t>et d</w:t>
            </w:r>
            <w:r w:rsidR="007D536E">
              <w:t>'</w:t>
            </w:r>
            <w:r>
              <w:t>entériner les</w:t>
            </w:r>
            <w:r w:rsidRPr="00C567FA">
              <w:t xml:space="preserve"> considérations de la Commission</w:t>
            </w:r>
            <w:r>
              <w:t xml:space="preserve"> ci-dessus</w:t>
            </w:r>
            <w:r w:rsidRPr="00C567FA">
              <w:t>.</w:t>
            </w:r>
          </w:p>
        </w:tc>
      </w:tr>
    </w:tbl>
    <w:p w14:paraId="3FFAF2F7" w14:textId="5D5B129A" w:rsidR="000D0774" w:rsidRPr="00C567FA" w:rsidRDefault="000D0774" w:rsidP="007D536E">
      <w:pPr>
        <w:pStyle w:val="Heading1"/>
        <w:spacing w:after="240"/>
      </w:pPr>
      <w:r w:rsidRPr="00C567FA">
        <w:t>27</w:t>
      </w:r>
      <w:r w:rsidRPr="00C567FA">
        <w:tab/>
        <w:t>Rapport du Bureau de l</w:t>
      </w:r>
      <w:r w:rsidR="007D536E">
        <w:t>'</w:t>
      </w:r>
      <w:r w:rsidRPr="00C567FA">
        <w:t xml:space="preserve">éthique (Document </w:t>
      </w:r>
      <w:hyperlink r:id="rId80" w:history="1">
        <w:r w:rsidRPr="00C567FA">
          <w:rPr>
            <w:rStyle w:val="Hyperlink"/>
          </w:rPr>
          <w:t>C22/14</w:t>
        </w:r>
      </w:hyperlink>
      <w:r w:rsidRPr="00C567FA">
        <w:t>)</w:t>
      </w:r>
    </w:p>
    <w:p w14:paraId="1947C5D9" w14:textId="46CEC20C" w:rsidR="000D0774" w:rsidRPr="00B76B04" w:rsidRDefault="000D0774" w:rsidP="007D536E">
      <w:r w:rsidRPr="00B76B04">
        <w:t>27.1</w:t>
      </w:r>
      <w:r w:rsidRPr="00B76B04">
        <w:tab/>
        <w:t>Le Responsable de l</w:t>
      </w:r>
      <w:r w:rsidR="007D536E">
        <w:t>'</w:t>
      </w:r>
      <w:r w:rsidRPr="00B76B04">
        <w:t>éthique a présenté le Document C22/14 et présenté les principaux domaines de travail pour 2021.</w:t>
      </w:r>
    </w:p>
    <w:p w14:paraId="717DE0AF" w14:textId="19E57BD2" w:rsidR="000D0774" w:rsidRPr="00B76B04" w:rsidRDefault="000D0774" w:rsidP="007D536E">
      <w:r w:rsidRPr="00B76B04">
        <w:t>27.2</w:t>
      </w:r>
      <w:r w:rsidRPr="00B76B04">
        <w:tab/>
        <w:t>Les délégués se sont félicités des travaux menés par le Bureau de l</w:t>
      </w:r>
      <w:r w:rsidR="007D536E">
        <w:t>'</w:t>
      </w:r>
      <w:r w:rsidRPr="00B76B04">
        <w:t>éthique et ont renouvelé leur appui à ses travaux.</w:t>
      </w:r>
    </w:p>
    <w:p w14:paraId="05218506" w14:textId="1A235AFB" w:rsidR="000D0774" w:rsidRPr="00B76B04" w:rsidRDefault="000D0774" w:rsidP="007D536E">
      <w:r w:rsidRPr="00B76B04">
        <w:t>27.3</w:t>
      </w:r>
      <w:r w:rsidRPr="00B76B04">
        <w:tab/>
        <w:t>Plusieurs délégués ont posé des questions sur les ressources en personnel du Bureau de l</w:t>
      </w:r>
      <w:r w:rsidR="007D536E">
        <w:t>'</w:t>
      </w:r>
      <w:r w:rsidRPr="00B76B04">
        <w:t>éthique et noté qu</w:t>
      </w:r>
      <w:r w:rsidR="007D536E">
        <w:t>'</w:t>
      </w:r>
      <w:r w:rsidRPr="00B76B04">
        <w:t>un fonctionnaire travaillait à 80% et qu</w:t>
      </w:r>
      <w:r w:rsidR="007D536E">
        <w:t>'</w:t>
      </w:r>
      <w:r w:rsidRPr="00B76B04">
        <w:t>un fonctionnaire travaillait à 50%.</w:t>
      </w:r>
    </w:p>
    <w:p w14:paraId="71F8FCEF" w14:textId="3AC5B074" w:rsidR="000D0774" w:rsidRPr="00B76B04" w:rsidRDefault="000D0774" w:rsidP="007D536E">
      <w:r w:rsidRPr="00B76B04">
        <w:t>27.4</w:t>
      </w:r>
      <w:r w:rsidRPr="00B76B04">
        <w:tab/>
        <w:t>Quelques délégués ont posé des questions sur la Déclaration d</w:t>
      </w:r>
      <w:r w:rsidR="007D536E">
        <w:t>'</w:t>
      </w:r>
      <w:r w:rsidRPr="00B76B04">
        <w:t>intérêts, ainsi que sur sa portée et le statut de cette Déclaration.</w:t>
      </w:r>
    </w:p>
    <w:p w14:paraId="780C6125" w14:textId="77777777" w:rsidR="000D0774" w:rsidRPr="00B76B04" w:rsidRDefault="000D0774" w:rsidP="007D536E">
      <w:r w:rsidRPr="00B76B04">
        <w:t>27.5</w:t>
      </w:r>
      <w:r w:rsidRPr="00B76B04">
        <w:tab/>
        <w:t>Un délégué a demandé quelle était la politique actualisée en matière de harcèlement et quel était son statut.</w:t>
      </w:r>
    </w:p>
    <w:p w14:paraId="0DF7C041" w14:textId="37C20FE4" w:rsidR="000D0774" w:rsidRPr="00B76B04" w:rsidRDefault="000D0774" w:rsidP="007D536E">
      <w:r w:rsidRPr="00B76B04">
        <w:t>27.6</w:t>
      </w:r>
      <w:r w:rsidRPr="00B76B04">
        <w:tab/>
        <w:t>Un autre délégué a posé des questions sur la formation en matière d</w:t>
      </w:r>
      <w:r w:rsidR="007D536E">
        <w:t>'</w:t>
      </w:r>
      <w:r w:rsidRPr="00B76B04">
        <w:t>éthique, la formation sur la lutte contre la fraude et la périodicité des formations sur les questions d</w:t>
      </w:r>
      <w:r w:rsidR="007D536E">
        <w:t>'</w:t>
      </w:r>
      <w:r w:rsidRPr="00B76B04">
        <w:t>éthique.</w:t>
      </w:r>
    </w:p>
    <w:p w14:paraId="7497422B" w14:textId="77777777" w:rsidR="000D0774" w:rsidRPr="00B76B04" w:rsidRDefault="000D0774" w:rsidP="007D536E">
      <w:r w:rsidRPr="00B76B04">
        <w:t>27.7</w:t>
      </w:r>
      <w:r w:rsidRPr="00B76B04">
        <w:tab/>
        <w:t>Quelques délégués ont posé des questions sur les mesures disciplinaires et le processus de traitement des plaintes, le renforcement de la responsabilité et les "espaces de confiance".</w:t>
      </w:r>
    </w:p>
    <w:p w14:paraId="69D2738A" w14:textId="3F8027A9" w:rsidR="000D0774" w:rsidRPr="00B76B04" w:rsidRDefault="000D0774" w:rsidP="007D536E">
      <w:pPr>
        <w:keepLines/>
      </w:pPr>
      <w:r w:rsidRPr="00B76B04">
        <w:t>27.8</w:t>
      </w:r>
      <w:r w:rsidRPr="00B76B04">
        <w:tab/>
        <w:t>Le Responsable de l</w:t>
      </w:r>
      <w:r w:rsidR="007D536E">
        <w:t>'</w:t>
      </w:r>
      <w:r w:rsidRPr="00B76B04">
        <w:t>éthique a confirmé que la politique actualisée en matière de déclaration d</w:t>
      </w:r>
      <w:r w:rsidR="007D536E">
        <w:t>'</w:t>
      </w:r>
      <w:r w:rsidRPr="00B76B04">
        <w:t>intérêts et la politique actualisée de l</w:t>
      </w:r>
      <w:r w:rsidR="007D536E">
        <w:t>'</w:t>
      </w:r>
      <w:r w:rsidRPr="00B76B04">
        <w:t>UIT en matière de harcèlement, y compris le harcèlement sexuel, l</w:t>
      </w:r>
      <w:r w:rsidR="007D536E">
        <w:t>'</w:t>
      </w:r>
      <w:r w:rsidRPr="00B76B04">
        <w:t>abus de pouvoir et la discrimination, avaient été publiées et étaient disponibles sur la page web externe du Bureau de l</w:t>
      </w:r>
      <w:r w:rsidR="007D536E">
        <w:t>'</w:t>
      </w:r>
      <w:r w:rsidRPr="00B76B04">
        <w:t>éthique. Le Bureau de l</w:t>
      </w:r>
      <w:r w:rsidR="007D536E">
        <w:t>'</w:t>
      </w:r>
      <w:r w:rsidRPr="00B76B04">
        <w:t>éthique a noté que la politique en matière de déclaration d</w:t>
      </w:r>
      <w:r w:rsidR="007D536E">
        <w:t>'</w:t>
      </w:r>
      <w:r w:rsidRPr="00B76B04">
        <w:t>intérêts s</w:t>
      </w:r>
      <w:r w:rsidR="007D536E">
        <w:t>'</w:t>
      </w:r>
      <w:r w:rsidRPr="00B76B04">
        <w:t>applique à l</w:t>
      </w:r>
      <w:r w:rsidR="007D536E">
        <w:t>'</w:t>
      </w:r>
      <w:r w:rsidRPr="00B76B04">
        <w:t>ensemble du personnel et a récemment été étendue aux titulaires de contrats SSA. Le Bureau de l</w:t>
      </w:r>
      <w:r w:rsidR="007D536E">
        <w:t>'</w:t>
      </w:r>
      <w:r w:rsidRPr="00B76B04">
        <w:t>éthique a confirmé qu</w:t>
      </w:r>
      <w:r w:rsidR="007D536E">
        <w:t>'</w:t>
      </w:r>
      <w:r w:rsidRPr="00B76B04">
        <w:t>une formation obligatoire sur l</w:t>
      </w:r>
      <w:r w:rsidR="007D536E">
        <w:t>'</w:t>
      </w:r>
      <w:r w:rsidRPr="00B76B04">
        <w:t>éthique, incluant la fraude, était en cours d</w:t>
      </w:r>
      <w:r w:rsidR="007D536E">
        <w:t>'</w:t>
      </w:r>
      <w:r w:rsidRPr="00B76B04">
        <w:t>élaboration, ainsi que la fréquence des formations. Le Bureau de l</w:t>
      </w:r>
      <w:r w:rsidR="007D536E">
        <w:t>'</w:t>
      </w:r>
      <w:r w:rsidRPr="00B76B04">
        <w:t>éthique a indiqué que la possibilité d</w:t>
      </w:r>
      <w:r w:rsidR="007D536E">
        <w:t>'</w:t>
      </w:r>
      <w:r w:rsidRPr="00B76B04">
        <w:t>un rapport public annuel sur les mesures disciplinaires pour l</w:t>
      </w:r>
      <w:r w:rsidR="007D536E">
        <w:t>'</w:t>
      </w:r>
      <w:r w:rsidRPr="00B76B04">
        <w:t>UIT était à l</w:t>
      </w:r>
      <w:r w:rsidR="007D536E">
        <w:t>'</w:t>
      </w:r>
      <w:r w:rsidRPr="00B76B04">
        <w:t>étude. Le Bureau de l</w:t>
      </w:r>
      <w:r w:rsidR="007D536E">
        <w:t>'</w:t>
      </w:r>
      <w:r w:rsidRPr="00B76B04">
        <w:t>éthique a également indiqué que les ordres de service et le cadre relatifs aux questions d</w:t>
      </w:r>
      <w:r w:rsidR="007D536E">
        <w:t>'</w:t>
      </w:r>
      <w:r w:rsidRPr="00B76B04">
        <w:t>éthique décrivent la procédure de traitement des plaintes et le rôle du Bureau de l</w:t>
      </w:r>
      <w:r w:rsidR="007D536E">
        <w:t>'</w:t>
      </w:r>
      <w:r w:rsidRPr="00B76B04">
        <w:t>éthique. Le Bureau de l</w:t>
      </w:r>
      <w:r w:rsidR="007D536E">
        <w:t>'</w:t>
      </w:r>
      <w:r w:rsidRPr="00B76B04">
        <w:t>éthique a décrit les efforts qu</w:t>
      </w:r>
      <w:r w:rsidR="007D536E">
        <w:t>'</w:t>
      </w:r>
      <w:r w:rsidRPr="00B76B04">
        <w:t>il déploie pour renforcer la responsabilité et la confiance.</w:t>
      </w:r>
    </w:p>
    <w:p w14:paraId="49A76227" w14:textId="2E166EB1" w:rsidR="000D0774" w:rsidRDefault="000D0774" w:rsidP="007D536E">
      <w:pPr>
        <w:spacing w:after="120"/>
      </w:pPr>
      <w:r w:rsidRPr="00B76B04">
        <w:t>27.9</w:t>
      </w:r>
      <w:r w:rsidRPr="00B76B04">
        <w:tab/>
      </w:r>
      <w:r>
        <w:t>Certains délégués ont</w:t>
      </w:r>
      <w:r w:rsidRPr="00B76B04">
        <w:t xml:space="preserve"> demandé qu</w:t>
      </w:r>
      <w:r w:rsidR="007D536E">
        <w:t>'</w:t>
      </w:r>
      <w:r w:rsidRPr="00B76B04">
        <w:t>il soit noté que les ressources en personnel du Bureau de l</w:t>
      </w:r>
      <w:r w:rsidR="007D536E">
        <w:t>'</w:t>
      </w:r>
      <w:r w:rsidRPr="00B76B04">
        <w:t xml:space="preserve">éthique doivent être examinées, pour veiller à ce que ce Bureau soit doté </w:t>
      </w:r>
      <w:r>
        <w:t>du personnel voulu</w:t>
      </w:r>
      <w:r w:rsidRPr="00B76B04">
        <w:t>.</w:t>
      </w:r>
      <w:r>
        <w:t xml:space="preserve"> </w:t>
      </w:r>
    </w:p>
    <w:p w14:paraId="356D5706" w14:textId="3AAC9526" w:rsidR="000D0774" w:rsidRPr="00B76B04" w:rsidRDefault="000D0774" w:rsidP="007D536E">
      <w:pPr>
        <w:spacing w:after="120"/>
      </w:pPr>
      <w:r>
        <w:t>27.10</w:t>
      </w:r>
      <w:r>
        <w:tab/>
      </w:r>
      <w:r>
        <w:tab/>
        <w:t>Un délégué s</w:t>
      </w:r>
      <w:r w:rsidR="007D536E">
        <w:t>'</w:t>
      </w:r>
      <w:r>
        <w:t>est interrogé sur la mise en œuvre du nouveau rapport du CCI sur l</w:t>
      </w:r>
      <w:r w:rsidR="007D536E">
        <w:t>'</w:t>
      </w:r>
      <w:r>
        <w:t>examen des fonctions relatives à l</w:t>
      </w:r>
      <w:r w:rsidR="007D536E">
        <w:t>'</w:t>
      </w:r>
      <w:r>
        <w:t>éthique au sein du système des Nations Unies. Le secrétariat a réaffirmé que le rapport susmentionné</w:t>
      </w:r>
      <w:r w:rsidR="007D536E">
        <w:t xml:space="preserve"> </w:t>
      </w:r>
      <w:r>
        <w:t>devait être</w:t>
      </w:r>
      <w:r w:rsidR="007D536E">
        <w:t xml:space="preserve"> </w:t>
      </w:r>
      <w:r>
        <w:t>porté à l</w:t>
      </w:r>
      <w:r w:rsidR="007D536E">
        <w:t>'</w:t>
      </w:r>
      <w:r>
        <w:t xml:space="preserve">attention de la prochaine réunion du </w:t>
      </w:r>
      <w:r w:rsidRPr="006F0F85">
        <w:t>Groupe de travail du Conseil sur les ressources financières et les ressources humaines</w:t>
      </w:r>
      <w:r>
        <w:t>.</w:t>
      </w:r>
    </w:p>
    <w:p w14:paraId="3EB04763" w14:textId="77777777" w:rsidR="000D0774" w:rsidRPr="00B76B04" w:rsidRDefault="000D0774" w:rsidP="007D536E">
      <w:pPr>
        <w:spacing w:after="120"/>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287"/>
      </w:tblGrid>
      <w:tr w:rsidR="000D0774" w:rsidRPr="00C567FA" w14:paraId="37BFD593" w14:textId="77777777" w:rsidTr="002932F3">
        <w:tc>
          <w:tcPr>
            <w:tcW w:w="9287" w:type="dxa"/>
            <w:tcBorders>
              <w:top w:val="single" w:sz="4" w:space="0" w:color="auto"/>
              <w:left w:val="single" w:sz="4" w:space="0" w:color="auto"/>
              <w:bottom w:val="single" w:sz="4" w:space="0" w:color="auto"/>
              <w:right w:val="single" w:sz="4" w:space="0" w:color="auto"/>
            </w:tcBorders>
            <w:hideMark/>
          </w:tcPr>
          <w:p w14:paraId="0BAF8260" w14:textId="77777777" w:rsidR="000D0774" w:rsidRPr="00C567FA" w:rsidRDefault="000D0774" w:rsidP="007D536E">
            <w:pPr>
              <w:pStyle w:val="Headingb"/>
              <w:rPr>
                <w:i/>
                <w:iCs/>
              </w:rPr>
            </w:pPr>
            <w:r w:rsidRPr="00C567FA">
              <w:rPr>
                <w:i/>
                <w:iCs/>
              </w:rPr>
              <w:lastRenderedPageBreak/>
              <w:t>Recommandation</w:t>
            </w:r>
          </w:p>
          <w:p w14:paraId="67295572" w14:textId="56B2D6DF" w:rsidR="000D0774" w:rsidRPr="00C567FA" w:rsidRDefault="000D0774" w:rsidP="007D536E">
            <w:pPr>
              <w:tabs>
                <w:tab w:val="clear" w:pos="567"/>
                <w:tab w:val="left" w:pos="738"/>
              </w:tabs>
              <w:spacing w:after="120"/>
            </w:pPr>
            <w:r w:rsidRPr="00C567FA">
              <w:t>27.1</w:t>
            </w:r>
            <w:r>
              <w:t>1</w:t>
            </w:r>
            <w:r w:rsidRPr="00C567FA">
              <w:tab/>
              <w:t>La Commission recommande au Conseil de prendre note du rapport du Bureau de l</w:t>
            </w:r>
            <w:r w:rsidR="007D536E">
              <w:t>'</w:t>
            </w:r>
            <w:r w:rsidRPr="00C567FA">
              <w:t>éthique pour 2021</w:t>
            </w:r>
            <w:r>
              <w:t xml:space="preserve"> et recommande au Conseil d</w:t>
            </w:r>
            <w:r w:rsidR="007D536E">
              <w:t>'</w:t>
            </w:r>
            <w:r>
              <w:t>examiner la question des</w:t>
            </w:r>
            <w:r w:rsidRPr="00C567FA">
              <w:t xml:space="preserve"> ressources en personnel du Bureau de l</w:t>
            </w:r>
            <w:r w:rsidR="007D536E">
              <w:t>'</w:t>
            </w:r>
            <w:r w:rsidRPr="00C567FA">
              <w:t>éthique</w:t>
            </w:r>
            <w:r>
              <w:t>, afin qu</w:t>
            </w:r>
            <w:r w:rsidR="007D536E">
              <w:t>'</w:t>
            </w:r>
            <w:r>
              <w:t>il soit doté du personnel voulu</w:t>
            </w:r>
            <w:r w:rsidR="007D536E">
              <w:t xml:space="preserve"> </w:t>
            </w:r>
          </w:p>
        </w:tc>
      </w:tr>
    </w:tbl>
    <w:p w14:paraId="5571361A" w14:textId="0B3D10F0" w:rsidR="00EF4CBE" w:rsidRDefault="00EF4CBE" w:rsidP="007D536E">
      <w:r>
        <w:br w:type="page"/>
      </w:r>
    </w:p>
    <w:p w14:paraId="73356B25" w14:textId="77777777" w:rsidR="000D0774" w:rsidRPr="00C567FA" w:rsidRDefault="000D0774" w:rsidP="007D536E">
      <w:pPr>
        <w:pStyle w:val="AnnexNo"/>
      </w:pPr>
      <w:r w:rsidRPr="00C567FA">
        <w:lastRenderedPageBreak/>
        <w:t>ANNEXE A</w:t>
      </w:r>
    </w:p>
    <w:p w14:paraId="635C5344" w14:textId="77777777" w:rsidR="000D0774" w:rsidRPr="00C567FA" w:rsidRDefault="000D0774" w:rsidP="007D536E">
      <w:pPr>
        <w:pStyle w:val="ResNo"/>
      </w:pPr>
      <w:r w:rsidRPr="00C567FA">
        <w:t>PrOJET DE rÉsolution [...]</w:t>
      </w:r>
    </w:p>
    <w:p w14:paraId="67F33609" w14:textId="4EA191F3" w:rsidR="000D0774" w:rsidRPr="00C567FA" w:rsidRDefault="000D0774" w:rsidP="007D536E">
      <w:pPr>
        <w:pStyle w:val="Restitle"/>
      </w:pPr>
      <w:r w:rsidRPr="00C567FA">
        <w:t>Conditions d</w:t>
      </w:r>
      <w:r w:rsidR="007D536E">
        <w:t>'</w:t>
      </w:r>
      <w:r w:rsidRPr="00C567FA">
        <w:t>emploi des fonctionnaires élus de l</w:t>
      </w:r>
      <w:r w:rsidR="007D536E">
        <w:t>'</w:t>
      </w:r>
      <w:r w:rsidRPr="00C567FA">
        <w:t>UIT</w:t>
      </w:r>
    </w:p>
    <w:p w14:paraId="786CEB68" w14:textId="7DEBB51B" w:rsidR="000D0774" w:rsidRPr="00C567FA" w:rsidRDefault="000D0774" w:rsidP="007D536E">
      <w:pPr>
        <w:pStyle w:val="Normalaftertitle"/>
      </w:pPr>
      <w:r w:rsidRPr="00C567FA">
        <w:t>Le Conseil de l</w:t>
      </w:r>
      <w:r w:rsidR="007D536E">
        <w:t>'</w:t>
      </w:r>
      <w:r w:rsidRPr="00C567FA">
        <w:t>UIT,</w:t>
      </w:r>
    </w:p>
    <w:p w14:paraId="058FE374" w14:textId="77777777" w:rsidR="000D0774" w:rsidRPr="00C567FA" w:rsidRDefault="000D0774" w:rsidP="007D536E">
      <w:pPr>
        <w:pStyle w:val="Call"/>
      </w:pPr>
      <w:r w:rsidRPr="00C567FA">
        <w:t>au vu</w:t>
      </w:r>
    </w:p>
    <w:p w14:paraId="7C15978D" w14:textId="77777777" w:rsidR="000D0774" w:rsidRPr="00C567FA" w:rsidRDefault="000D0774" w:rsidP="007D536E">
      <w:r w:rsidRPr="00C567FA">
        <w:t>des dispositions de la Résolution 46 (Kyoto, 1994) de la Conférence de plénipotentiaires,</w:t>
      </w:r>
    </w:p>
    <w:p w14:paraId="63640830" w14:textId="77777777" w:rsidR="000D0774" w:rsidRPr="00C567FA" w:rsidRDefault="000D0774" w:rsidP="007D536E">
      <w:pPr>
        <w:pStyle w:val="Call"/>
      </w:pPr>
      <w:r w:rsidRPr="00C567FA">
        <w:t>ayant examiné</w:t>
      </w:r>
    </w:p>
    <w:p w14:paraId="0F9AFEF8" w14:textId="608C0EB2" w:rsidR="000D0774" w:rsidRPr="00C567FA" w:rsidRDefault="000D0774" w:rsidP="007D536E">
      <w:r w:rsidRPr="00C567FA">
        <w:t>le rapport du Secrétaire général sur les mesures prises dans le cadre du régime commun des Nations Unies à la suite des décisions de l</w:t>
      </w:r>
      <w:r w:rsidR="007D536E">
        <w:t>'</w:t>
      </w:r>
      <w:r w:rsidRPr="00C567FA">
        <w:t>Assemblée générale des Nations Unies (76ème session) sur les conditions d</w:t>
      </w:r>
      <w:r w:rsidR="007D536E">
        <w:t>'</w:t>
      </w:r>
      <w:r w:rsidRPr="00C567FA">
        <w:t>emploi (Résolution 76/240 du 24 décembre 2021),</w:t>
      </w:r>
    </w:p>
    <w:p w14:paraId="4834284A" w14:textId="77777777" w:rsidR="000D0774" w:rsidRPr="00C567FA" w:rsidRDefault="000D0774" w:rsidP="007D536E">
      <w:pPr>
        <w:pStyle w:val="Call"/>
      </w:pPr>
      <w:r w:rsidRPr="00C567FA">
        <w:t>décide</w:t>
      </w:r>
    </w:p>
    <w:p w14:paraId="13FA8191" w14:textId="192421E7" w:rsidR="000D0774" w:rsidRPr="00C567FA" w:rsidRDefault="000D0774" w:rsidP="007D536E">
      <w:pPr>
        <w:spacing w:after="120"/>
      </w:pPr>
      <w:r w:rsidRPr="00C567FA">
        <w:t>d</w:t>
      </w:r>
      <w:r w:rsidR="007D536E">
        <w:t>'</w:t>
      </w:r>
      <w:r w:rsidRPr="00C567FA">
        <w:t>approuver les traitements suivants, avec effet au 1er janvier 2022, et la rémunération considérée aux fins de la pension ci</w:t>
      </w:r>
      <w:r w:rsidRPr="00C567FA">
        <w:noBreakHyphen/>
        <w:t>après, avec effet au 1er février 2022, pour les fonctionnaires élus de l</w:t>
      </w:r>
      <w:r w:rsidR="007D536E">
        <w:t>'</w:t>
      </w:r>
      <w:r w:rsidRPr="00C567FA">
        <w:t>UIT:</w:t>
      </w:r>
    </w:p>
    <w:tbl>
      <w:tblPr>
        <w:tblpPr w:leftFromText="180" w:rightFromText="180" w:vertAnchor="text" w:tblpXSpec="center"/>
        <w:tblW w:w="0" w:type="auto"/>
        <w:tblCellMar>
          <w:left w:w="0" w:type="dxa"/>
          <w:right w:w="0" w:type="dxa"/>
        </w:tblCellMar>
        <w:tblLook w:val="04A0" w:firstRow="1" w:lastRow="0" w:firstColumn="1" w:lastColumn="0" w:noHBand="0" w:noVBand="1"/>
      </w:tblPr>
      <w:tblGrid>
        <w:gridCol w:w="2552"/>
        <w:gridCol w:w="1843"/>
        <w:gridCol w:w="1843"/>
        <w:gridCol w:w="2693"/>
      </w:tblGrid>
      <w:tr w:rsidR="000D0774" w:rsidRPr="00C567FA" w14:paraId="1A0A1724" w14:textId="77777777" w:rsidTr="002932F3">
        <w:tc>
          <w:tcPr>
            <w:tcW w:w="2552" w:type="dxa"/>
            <w:tcMar>
              <w:top w:w="0" w:type="dxa"/>
              <w:left w:w="108" w:type="dxa"/>
              <w:bottom w:w="0" w:type="dxa"/>
              <w:right w:w="108" w:type="dxa"/>
            </w:tcMar>
          </w:tcPr>
          <w:p w14:paraId="0C49539F" w14:textId="77777777" w:rsidR="000D0774" w:rsidRPr="00C567FA" w:rsidRDefault="000D0774" w:rsidP="007D536E">
            <w:pPr>
              <w:pStyle w:val="Tablehead"/>
              <w:rPr>
                <w:rFonts w:asciiTheme="minorHAnsi" w:hAnsiTheme="minorHAnsi" w:cstheme="minorHAnsi"/>
              </w:rPr>
            </w:pPr>
          </w:p>
        </w:tc>
        <w:tc>
          <w:tcPr>
            <w:tcW w:w="637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9BA39" w14:textId="77777777" w:rsidR="000D0774" w:rsidRPr="00C567FA" w:rsidRDefault="000D0774" w:rsidP="007D536E">
            <w:pPr>
              <w:pStyle w:val="Tablehead"/>
              <w:rPr>
                <w:rFonts w:asciiTheme="minorHAnsi" w:hAnsiTheme="minorHAnsi" w:cstheme="minorHAnsi"/>
              </w:rPr>
            </w:pPr>
            <w:r w:rsidRPr="00C567FA">
              <w:rPr>
                <w:rFonts w:asciiTheme="minorHAnsi" w:hAnsiTheme="minorHAnsi" w:cstheme="minorHAnsi"/>
              </w:rPr>
              <w:t>USD par an</w:t>
            </w:r>
          </w:p>
        </w:tc>
      </w:tr>
      <w:tr w:rsidR="000D0774" w:rsidRPr="00C567FA" w14:paraId="7BD163A7" w14:textId="77777777" w:rsidTr="002932F3">
        <w:tc>
          <w:tcPr>
            <w:tcW w:w="2552" w:type="dxa"/>
            <w:tcBorders>
              <w:bottom w:val="single" w:sz="8" w:space="0" w:color="auto"/>
            </w:tcBorders>
            <w:tcMar>
              <w:top w:w="0" w:type="dxa"/>
              <w:left w:w="108" w:type="dxa"/>
              <w:bottom w:w="0" w:type="dxa"/>
              <w:right w:w="108" w:type="dxa"/>
            </w:tcMar>
          </w:tcPr>
          <w:p w14:paraId="1026926D" w14:textId="77777777" w:rsidR="000D0774" w:rsidRPr="00C567FA" w:rsidRDefault="000D0774" w:rsidP="007D536E">
            <w:pPr>
              <w:pStyle w:val="Tablehead"/>
              <w:rPr>
                <w:rFonts w:asciiTheme="minorHAnsi" w:hAnsiTheme="minorHAnsi" w:cstheme="minorHAnsi"/>
              </w:rPr>
            </w:pP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C2AFA" w14:textId="77777777" w:rsidR="000D0774" w:rsidRPr="00C567FA" w:rsidRDefault="000D0774" w:rsidP="007D536E">
            <w:pPr>
              <w:pStyle w:val="Tablehead"/>
              <w:rPr>
                <w:rFonts w:asciiTheme="minorHAnsi" w:hAnsiTheme="minorHAnsi" w:cstheme="minorHAnsi"/>
              </w:rPr>
            </w:pPr>
            <w:r w:rsidRPr="00C567FA">
              <w:rPr>
                <w:rFonts w:asciiTheme="minorHAnsi" w:hAnsiTheme="minorHAnsi" w:cstheme="minorHAnsi"/>
              </w:rPr>
              <w:t>Brut</w:t>
            </w:r>
            <w:r w:rsidRPr="00C567FA">
              <w:rPr>
                <w:rFonts w:asciiTheme="minorHAnsi" w:hAnsiTheme="minorHAnsi" w:cstheme="minorHAnsi"/>
              </w:rPr>
              <w:br/>
            </w:r>
            <w:r w:rsidRPr="00C567FA">
              <w:rPr>
                <w:rFonts w:asciiTheme="minorHAnsi" w:hAnsiTheme="minorHAnsi" w:cstheme="minorHAnsi"/>
                <w:b w:val="0"/>
                <w:bCs/>
              </w:rPr>
              <w:t>(1er janvier 2019)</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998851" w14:textId="77777777" w:rsidR="000D0774" w:rsidRPr="00C567FA" w:rsidRDefault="000D0774" w:rsidP="007D536E">
            <w:pPr>
              <w:pStyle w:val="Tablehead"/>
              <w:rPr>
                <w:rFonts w:asciiTheme="minorHAnsi" w:hAnsiTheme="minorHAnsi" w:cstheme="minorHAnsi"/>
              </w:rPr>
            </w:pPr>
            <w:r w:rsidRPr="00C567FA">
              <w:rPr>
                <w:rFonts w:asciiTheme="minorHAnsi" w:hAnsiTheme="minorHAnsi" w:cstheme="minorHAnsi"/>
              </w:rPr>
              <w:t xml:space="preserve">Net </w:t>
            </w:r>
            <w:r w:rsidRPr="00C567FA">
              <w:rPr>
                <w:rFonts w:asciiTheme="minorHAnsi" w:hAnsiTheme="minorHAnsi" w:cstheme="minorHAnsi"/>
              </w:rPr>
              <w:br/>
            </w:r>
            <w:r w:rsidRPr="00C567FA">
              <w:rPr>
                <w:rFonts w:asciiTheme="minorHAnsi" w:hAnsiTheme="minorHAnsi" w:cstheme="minorHAnsi"/>
                <w:b w:val="0"/>
                <w:bCs/>
              </w:rPr>
              <w:t>(1er janvier 2019)</w:t>
            </w:r>
          </w:p>
        </w:tc>
        <w:tc>
          <w:tcPr>
            <w:tcW w:w="2693" w:type="dxa"/>
            <w:tcBorders>
              <w:top w:val="single" w:sz="8" w:space="0" w:color="auto"/>
              <w:left w:val="nil"/>
              <w:bottom w:val="single" w:sz="8" w:space="0" w:color="auto"/>
              <w:right w:val="single" w:sz="8" w:space="0" w:color="auto"/>
            </w:tcBorders>
          </w:tcPr>
          <w:p w14:paraId="660F80E9" w14:textId="77777777" w:rsidR="000D0774" w:rsidRPr="00C567FA" w:rsidRDefault="000D0774" w:rsidP="007D536E">
            <w:pPr>
              <w:pStyle w:val="Tablehead"/>
              <w:rPr>
                <w:rFonts w:asciiTheme="minorHAnsi" w:hAnsiTheme="minorHAnsi" w:cstheme="minorHAnsi"/>
              </w:rPr>
            </w:pPr>
            <w:r w:rsidRPr="00C567FA">
              <w:rPr>
                <w:rFonts w:asciiTheme="minorHAnsi" w:hAnsiTheme="minorHAnsi" w:cstheme="minorHAnsi"/>
              </w:rPr>
              <w:t>Rémunération considérée aux fins de la pension</w:t>
            </w:r>
            <w:r w:rsidRPr="00C567FA">
              <w:rPr>
                <w:rFonts w:asciiTheme="minorHAnsi" w:hAnsiTheme="minorHAnsi" w:cstheme="minorHAnsi"/>
              </w:rPr>
              <w:br/>
            </w:r>
            <w:r w:rsidRPr="00C567FA">
              <w:rPr>
                <w:rFonts w:asciiTheme="minorHAnsi" w:hAnsiTheme="minorHAnsi" w:cstheme="minorHAnsi"/>
                <w:b w:val="0"/>
                <w:bCs/>
              </w:rPr>
              <w:t>(1er février 2019)</w:t>
            </w:r>
          </w:p>
        </w:tc>
      </w:tr>
      <w:tr w:rsidR="000D0774" w:rsidRPr="00C567FA" w14:paraId="6170C549" w14:textId="77777777" w:rsidTr="002932F3">
        <w:tc>
          <w:tcPr>
            <w:tcW w:w="255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AE8E4EC" w14:textId="77777777" w:rsidR="000D0774" w:rsidRPr="00C567FA" w:rsidRDefault="000D0774" w:rsidP="007D536E">
            <w:pPr>
              <w:pStyle w:val="Tabletext"/>
              <w:rPr>
                <w:rFonts w:asciiTheme="minorHAnsi" w:hAnsiTheme="minorHAnsi" w:cstheme="minorHAnsi"/>
              </w:rPr>
            </w:pPr>
            <w:r w:rsidRPr="00C567FA">
              <w:rPr>
                <w:rFonts w:asciiTheme="minorHAnsi" w:hAnsiTheme="minorHAnsi" w:cstheme="minorHAnsi"/>
              </w:rPr>
              <w:t>Secrétaire général</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3A2F0E6" w14:textId="77777777" w:rsidR="000D0774" w:rsidRPr="00C567FA" w:rsidRDefault="000D0774" w:rsidP="007D536E">
            <w:pPr>
              <w:pStyle w:val="Tabletext"/>
              <w:jc w:val="center"/>
            </w:pPr>
            <w:r w:rsidRPr="00C567FA">
              <w:t>251 017</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D00861D" w14:textId="77777777" w:rsidR="000D0774" w:rsidRPr="00C567FA" w:rsidRDefault="000D0774" w:rsidP="007D536E">
            <w:pPr>
              <w:pStyle w:val="Tabletext"/>
              <w:jc w:val="center"/>
            </w:pPr>
            <w:r w:rsidRPr="00C567FA">
              <w:t>181 171</w:t>
            </w:r>
          </w:p>
        </w:tc>
        <w:tc>
          <w:tcPr>
            <w:tcW w:w="2693" w:type="dxa"/>
            <w:tcBorders>
              <w:top w:val="single" w:sz="8" w:space="0" w:color="auto"/>
              <w:left w:val="nil"/>
              <w:bottom w:val="single" w:sz="4" w:space="0" w:color="auto"/>
              <w:right w:val="single" w:sz="8" w:space="0" w:color="auto"/>
            </w:tcBorders>
            <w:vAlign w:val="center"/>
          </w:tcPr>
          <w:p w14:paraId="7825E936" w14:textId="77777777" w:rsidR="000D0774" w:rsidRPr="00C567FA" w:rsidRDefault="000D0774" w:rsidP="007D536E">
            <w:pPr>
              <w:pStyle w:val="Tabletext"/>
              <w:jc w:val="center"/>
            </w:pPr>
            <w:r w:rsidRPr="00C567FA">
              <w:t>409 225</w:t>
            </w:r>
          </w:p>
        </w:tc>
      </w:tr>
      <w:tr w:rsidR="000D0774" w:rsidRPr="00C567FA" w14:paraId="7B4483D8" w14:textId="77777777" w:rsidTr="002932F3">
        <w:tc>
          <w:tcPr>
            <w:tcW w:w="255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D6759" w14:textId="77777777" w:rsidR="000D0774" w:rsidRPr="00C567FA" w:rsidRDefault="000D0774" w:rsidP="007D536E">
            <w:pPr>
              <w:pStyle w:val="Tabletext"/>
              <w:rPr>
                <w:rFonts w:asciiTheme="minorHAnsi" w:hAnsiTheme="minorHAnsi" w:cstheme="minorHAnsi"/>
              </w:rPr>
            </w:pPr>
            <w:r w:rsidRPr="00C567FA">
              <w:rPr>
                <w:rFonts w:asciiTheme="minorHAnsi" w:hAnsiTheme="minorHAnsi" w:cstheme="minorHAnsi"/>
              </w:rPr>
              <w:t>Vice-Secrétaire général et Directeurs des Bureaux</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A829567" w14:textId="77777777" w:rsidR="000D0774" w:rsidRPr="00C567FA" w:rsidRDefault="000D0774" w:rsidP="007D536E">
            <w:pPr>
              <w:pStyle w:val="Tabletext"/>
              <w:jc w:val="center"/>
            </w:pPr>
            <w:r w:rsidRPr="00C567FA">
              <w:t>228 482</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EAA629D" w14:textId="77777777" w:rsidR="000D0774" w:rsidRPr="00C567FA" w:rsidRDefault="000D0774" w:rsidP="007D536E">
            <w:pPr>
              <w:pStyle w:val="Tabletext"/>
              <w:jc w:val="center"/>
            </w:pPr>
            <w:r w:rsidRPr="00C567FA">
              <w:t>166 298</w:t>
            </w:r>
          </w:p>
        </w:tc>
        <w:tc>
          <w:tcPr>
            <w:tcW w:w="2693" w:type="dxa"/>
            <w:tcBorders>
              <w:top w:val="single" w:sz="4" w:space="0" w:color="auto"/>
              <w:left w:val="nil"/>
              <w:bottom w:val="single" w:sz="8" w:space="0" w:color="auto"/>
              <w:right w:val="single" w:sz="8" w:space="0" w:color="auto"/>
            </w:tcBorders>
            <w:vAlign w:val="center"/>
          </w:tcPr>
          <w:p w14:paraId="299604D7" w14:textId="77777777" w:rsidR="000D0774" w:rsidRPr="00C567FA" w:rsidRDefault="000D0774" w:rsidP="007D536E">
            <w:pPr>
              <w:pStyle w:val="Tabletext"/>
              <w:jc w:val="center"/>
            </w:pPr>
            <w:r w:rsidRPr="00C567FA">
              <w:t>379 541</w:t>
            </w:r>
          </w:p>
        </w:tc>
      </w:tr>
    </w:tbl>
    <w:p w14:paraId="0E82EA36" w14:textId="77777777" w:rsidR="000D0774" w:rsidRPr="00C567FA" w:rsidRDefault="000D0774" w:rsidP="007D536E">
      <w:r w:rsidRPr="00C567FA">
        <w:br w:type="page"/>
      </w:r>
    </w:p>
    <w:p w14:paraId="4F5FCD18" w14:textId="77777777" w:rsidR="000D0774" w:rsidRPr="00C567FA" w:rsidRDefault="000D0774" w:rsidP="007D536E">
      <w:pPr>
        <w:pStyle w:val="AnnexNo"/>
        <w:spacing w:before="0"/>
      </w:pPr>
      <w:r w:rsidRPr="00C567FA">
        <w:lastRenderedPageBreak/>
        <w:t>ANNEXE B</w:t>
      </w:r>
    </w:p>
    <w:p w14:paraId="294BE364" w14:textId="77777777" w:rsidR="000D0774" w:rsidRPr="00C567FA" w:rsidRDefault="000D0774" w:rsidP="007D536E">
      <w:pPr>
        <w:pStyle w:val="ResNo"/>
        <w:spacing w:after="240"/>
      </w:pPr>
      <w:r w:rsidRPr="00C567FA">
        <w:t>PROJET DE DÉCISION [...]</w:t>
      </w:r>
    </w:p>
    <w:p w14:paraId="5F5F4CB7" w14:textId="77777777" w:rsidR="000D0774" w:rsidRPr="00C567FA" w:rsidRDefault="000D0774" w:rsidP="007D536E">
      <w:pPr>
        <w:pStyle w:val="Restitle"/>
      </w:pPr>
      <w:r w:rsidRPr="00C567FA">
        <w:t xml:space="preserve">Amendements du Statut du personnel applicable </w:t>
      </w:r>
      <w:r w:rsidRPr="00C567FA">
        <w:br/>
        <w:t>aux fonctionnaires nommés</w:t>
      </w:r>
    </w:p>
    <w:p w14:paraId="660EFD11" w14:textId="77777777" w:rsidR="000D0774" w:rsidRPr="00C567FA" w:rsidRDefault="000D0774" w:rsidP="007D536E">
      <w:pPr>
        <w:pStyle w:val="Title4"/>
        <w:spacing w:before="600"/>
      </w:pPr>
      <w:r w:rsidRPr="00C567FA">
        <w:t>Article 3.4 Avancement dans le grade</w:t>
      </w:r>
    </w:p>
    <w:p w14:paraId="680F674A" w14:textId="0BBF56D7" w:rsidR="000D0774" w:rsidRPr="00C567FA" w:rsidRDefault="000D0774" w:rsidP="007D536E">
      <w:pPr>
        <w:pStyle w:val="Normalaftertitle"/>
      </w:pPr>
      <w:r w:rsidRPr="00C567FA">
        <w:t>Le Conseil de l</w:t>
      </w:r>
      <w:r w:rsidR="007D536E">
        <w:t>'</w:t>
      </w:r>
      <w:r w:rsidRPr="00C567FA">
        <w:t>UIT,</w:t>
      </w:r>
    </w:p>
    <w:p w14:paraId="31FA7439" w14:textId="77777777" w:rsidR="000D0774" w:rsidRPr="00C567FA" w:rsidRDefault="000D0774" w:rsidP="007D536E">
      <w:pPr>
        <w:pStyle w:val="Call"/>
      </w:pPr>
      <w:r w:rsidRPr="00C567FA">
        <w:rPr>
          <w:iCs/>
        </w:rPr>
        <w:t>vu</w:t>
      </w:r>
    </w:p>
    <w:p w14:paraId="70498F96" w14:textId="49B8FA31" w:rsidR="000D0774" w:rsidRPr="00C567FA" w:rsidRDefault="000D0774" w:rsidP="007D536E">
      <w:r w:rsidRPr="00C567FA">
        <w:rPr>
          <w:rFonts w:cstheme="minorHAnsi"/>
          <w:szCs w:val="24"/>
        </w:rPr>
        <w:t>le numéro 63 de la Convention de l</w:t>
      </w:r>
      <w:r w:rsidR="007D536E">
        <w:rPr>
          <w:rFonts w:cstheme="minorHAnsi"/>
          <w:szCs w:val="24"/>
        </w:rPr>
        <w:t>'</w:t>
      </w:r>
      <w:r w:rsidRPr="00C567FA">
        <w:rPr>
          <w:rFonts w:cstheme="minorHAnsi"/>
          <w:szCs w:val="24"/>
        </w:rPr>
        <w:t>Union internationale des télécommunications, le Statut du personnel applicable aux fonctionnaires nommés et le Régime commun des traitements, indemnités et autres prestations des Nations Unies établi par la Commission de la fonction publique internationale (CFPI),</w:t>
      </w:r>
    </w:p>
    <w:p w14:paraId="51166860" w14:textId="77777777" w:rsidR="000D0774" w:rsidRPr="00C567FA" w:rsidRDefault="000D0774" w:rsidP="007D536E">
      <w:pPr>
        <w:pStyle w:val="Call"/>
      </w:pPr>
      <w:r w:rsidRPr="00C567FA">
        <w:t>ayant examiné</w:t>
      </w:r>
    </w:p>
    <w:p w14:paraId="63AF0084" w14:textId="77777777" w:rsidR="000D0774" w:rsidRPr="00C567FA" w:rsidRDefault="000D0774" w:rsidP="007D536E">
      <w:r w:rsidRPr="00C567FA">
        <w:t xml:space="preserve">le rapport soumis par le Secrétaire général au Conseil dans le </w:t>
      </w:r>
      <w:hyperlink r:id="rId81" w:history="1">
        <w:r w:rsidRPr="00C567FA">
          <w:rPr>
            <w:rStyle w:val="Hyperlink"/>
          </w:rPr>
          <w:t>Document C22/36</w:t>
        </w:r>
      </w:hyperlink>
      <w:r w:rsidRPr="00C567FA">
        <w:t>,</w:t>
      </w:r>
    </w:p>
    <w:p w14:paraId="4BB3B965" w14:textId="77777777" w:rsidR="000D0774" w:rsidRPr="00C567FA" w:rsidRDefault="000D0774" w:rsidP="007D536E">
      <w:pPr>
        <w:pStyle w:val="Call"/>
      </w:pPr>
      <w:r w:rsidRPr="00C567FA">
        <w:t>décide</w:t>
      </w:r>
    </w:p>
    <w:p w14:paraId="48DC31AE" w14:textId="193FC615" w:rsidR="000D0774" w:rsidRPr="00C567FA" w:rsidRDefault="000D0774" w:rsidP="007D536E">
      <w:pPr>
        <w:rPr>
          <w:rFonts w:cstheme="minorHAnsi"/>
          <w:szCs w:val="24"/>
        </w:rPr>
      </w:pPr>
      <w:r w:rsidRPr="00C567FA">
        <w:t>d</w:t>
      </w:r>
      <w:r w:rsidR="007D536E">
        <w:t>'</w:t>
      </w:r>
      <w:r w:rsidRPr="00C567FA">
        <w:t>approuver les amendements du Statut du personnel applicable aux fonctionnaires nommés qui figurent dans l</w:t>
      </w:r>
      <w:r w:rsidR="007D536E">
        <w:t>'</w:t>
      </w:r>
      <w:r w:rsidRPr="00C567FA">
        <w:t>Annexe de la présente Décision.</w:t>
      </w:r>
    </w:p>
    <w:p w14:paraId="426ABFD2" w14:textId="77777777" w:rsidR="000D0774" w:rsidRPr="00C567FA" w:rsidRDefault="000D0774" w:rsidP="007D536E">
      <w:pPr>
        <w:pStyle w:val="AnnexNo"/>
        <w:spacing w:before="600"/>
      </w:pPr>
      <w:r w:rsidRPr="00C567FA">
        <w:t>Annexe du projet de décision</w:t>
      </w:r>
    </w:p>
    <w:p w14:paraId="144DAC70" w14:textId="77777777" w:rsidR="000D0774" w:rsidRPr="00C567FA" w:rsidRDefault="000D0774" w:rsidP="007D536E">
      <w:pPr>
        <w:pStyle w:val="Annextitle"/>
        <w:spacing w:after="360"/>
      </w:pPr>
      <w:r w:rsidRPr="00C567FA">
        <w:t>STATUT DU PERSONNEL APPLICABLE AUX FONCTIONNAIRES NOMMÉS</w:t>
      </w:r>
    </w:p>
    <w:p w14:paraId="02DD13AA" w14:textId="6E6E2FC7" w:rsidR="000D0774" w:rsidRPr="00C567FA" w:rsidRDefault="000D0774" w:rsidP="007D536E">
      <w:pPr>
        <w:spacing w:before="480"/>
        <w:rPr>
          <w:color w:val="000000"/>
          <w:szCs w:val="24"/>
        </w:rPr>
      </w:pPr>
      <w:r w:rsidRPr="00C567FA">
        <w:rPr>
          <w:szCs w:val="24"/>
        </w:rPr>
        <w:t>1</w:t>
      </w:r>
      <w:r w:rsidRPr="00C567FA">
        <w:rPr>
          <w:szCs w:val="24"/>
        </w:rPr>
        <w:tab/>
      </w:r>
      <w:r w:rsidRPr="00C567FA">
        <w:rPr>
          <w:color w:val="000000"/>
          <w:szCs w:val="24"/>
        </w:rPr>
        <w:t>Les fonctionnaires reçoivent, sous réserve de l</w:t>
      </w:r>
      <w:r w:rsidR="007D536E">
        <w:rPr>
          <w:color w:val="000000"/>
          <w:szCs w:val="24"/>
        </w:rPr>
        <w:t>'</w:t>
      </w:r>
      <w:r w:rsidRPr="00C567FA">
        <w:rPr>
          <w:color w:val="000000"/>
          <w:szCs w:val="24"/>
        </w:rPr>
        <w:t>exercice satisfaisant de leurs fonctions, une augmentation de traitement selon les échelons prévus dans les échelles figurant aux Annexes 3 et 4 au présent Statut.</w:t>
      </w:r>
    </w:p>
    <w:p w14:paraId="1809DCE1" w14:textId="2CD9449B" w:rsidR="000D0774" w:rsidRPr="00C567FA" w:rsidRDefault="000D0774" w:rsidP="007D536E">
      <w:r w:rsidRPr="00C567FA">
        <w:t>2</w:t>
      </w:r>
      <w:r w:rsidRPr="00C567FA">
        <w:tab/>
        <w:t>La périodicité des augmentations de traitement pour les conseillers supérieurs et les fonctionnaires de la catégorie professionnelle est déterminée par le Secrétaire général conformément aux normes établies par la Commission de la fonction publique internationale (CFPI). Le Secrétaire général informe les fonctionnaires chaque année en cas de modification de la périodicité des augmentations de traitement.</w:t>
      </w:r>
    </w:p>
    <w:p w14:paraId="4D6B5B8F" w14:textId="77777777" w:rsidR="000D0774" w:rsidRPr="00C567FA" w:rsidRDefault="000D0774" w:rsidP="007D536E">
      <w:r w:rsidRPr="00C567FA">
        <w:br w:type="page"/>
      </w:r>
    </w:p>
    <w:p w14:paraId="2AA46327" w14:textId="77777777" w:rsidR="000D0774" w:rsidRPr="00C567FA" w:rsidRDefault="000D0774" w:rsidP="007D536E">
      <w:pPr>
        <w:pStyle w:val="AnnexNo"/>
      </w:pPr>
      <w:r w:rsidRPr="00C567FA">
        <w:lastRenderedPageBreak/>
        <w:t>ANNEXE C</w:t>
      </w:r>
    </w:p>
    <w:p w14:paraId="7F7C9FB6" w14:textId="77777777" w:rsidR="000D0774" w:rsidRPr="00C567FA" w:rsidRDefault="000D0774" w:rsidP="007D536E">
      <w:pPr>
        <w:pStyle w:val="ResNo"/>
        <w:spacing w:after="240"/>
      </w:pPr>
      <w:r w:rsidRPr="00C567FA">
        <w:t>projet de RÉSOLUTION</w:t>
      </w:r>
    </w:p>
    <w:p w14:paraId="6B08136F" w14:textId="70050DDA" w:rsidR="000D0774" w:rsidRPr="00C567FA" w:rsidRDefault="000D0774" w:rsidP="007D536E">
      <w:pPr>
        <w:pStyle w:val="Restitle"/>
        <w:spacing w:after="480"/>
        <w:rPr>
          <w:highlight w:val="yellow"/>
        </w:rPr>
      </w:pPr>
      <w:r w:rsidRPr="00C567FA">
        <w:t>Rapport de gestion financière pour l</w:t>
      </w:r>
      <w:r w:rsidR="007D536E">
        <w:t>'</w:t>
      </w:r>
      <w:r w:rsidRPr="00C567FA">
        <w:t>exercice 2020</w:t>
      </w:r>
    </w:p>
    <w:p w14:paraId="2FDE6F27" w14:textId="24380848" w:rsidR="000D0774" w:rsidRPr="00C567FA" w:rsidRDefault="000D0774" w:rsidP="007D536E">
      <w:pPr>
        <w:pStyle w:val="Normalaftertitle"/>
      </w:pPr>
      <w:r w:rsidRPr="00C567FA">
        <w:t>Le Conseil de l</w:t>
      </w:r>
      <w:r w:rsidR="007D536E">
        <w:t>'</w:t>
      </w:r>
      <w:r w:rsidRPr="00C567FA">
        <w:t>UIT,</w:t>
      </w:r>
    </w:p>
    <w:p w14:paraId="035AFF51" w14:textId="77777777" w:rsidR="000D0774" w:rsidRPr="00C567FA" w:rsidRDefault="000D0774" w:rsidP="007D536E">
      <w:pPr>
        <w:pStyle w:val="Call"/>
      </w:pPr>
      <w:r w:rsidRPr="00C567FA">
        <w:t>vu</w:t>
      </w:r>
    </w:p>
    <w:p w14:paraId="5501793A" w14:textId="5B04B708" w:rsidR="000D0774" w:rsidRPr="00C567FA" w:rsidRDefault="000D0774" w:rsidP="007D536E">
      <w:r w:rsidRPr="00C567FA">
        <w:t xml:space="preserve">le </w:t>
      </w:r>
      <w:hyperlink r:id="rId82" w:history="1">
        <w:r w:rsidRPr="00C567FA">
          <w:rPr>
            <w:color w:val="0000FF"/>
            <w:u w:val="single"/>
          </w:rPr>
          <w:t>numéro 101</w:t>
        </w:r>
      </w:hyperlink>
      <w:r w:rsidRPr="00C567FA">
        <w:t> de la Convention de l</w:t>
      </w:r>
      <w:r w:rsidR="007D536E">
        <w:t>'</w:t>
      </w:r>
      <w:r w:rsidRPr="00C567FA">
        <w:t xml:space="preserve">Union internationale des télécommunications et </w:t>
      </w:r>
      <w:hyperlink r:id="rId83" w:history="1">
        <w:r w:rsidRPr="00C567FA">
          <w:t>l</w:t>
        </w:r>
        <w:r w:rsidR="007D536E">
          <w:t>'</w:t>
        </w:r>
        <w:r w:rsidRPr="00C567FA">
          <w:rPr>
            <w:color w:val="0000FF"/>
            <w:u w:val="single"/>
          </w:rPr>
          <w:t>Article 30</w:t>
        </w:r>
        <w:r w:rsidRPr="00C567FA">
          <w:rPr>
            <w:color w:val="0000FF"/>
          </w:rPr>
          <w:t> </w:t>
        </w:r>
      </w:hyperlink>
      <w:r w:rsidRPr="00C567FA">
        <w:t>du Règlement financier de l</w:t>
      </w:r>
      <w:r w:rsidR="007D536E">
        <w:t>'</w:t>
      </w:r>
      <w:r w:rsidRPr="00C567FA">
        <w:t>Union,</w:t>
      </w:r>
    </w:p>
    <w:p w14:paraId="349485C1" w14:textId="77777777" w:rsidR="000D0774" w:rsidRPr="00C567FA" w:rsidRDefault="000D0774" w:rsidP="007D536E">
      <w:pPr>
        <w:pStyle w:val="Call"/>
      </w:pPr>
      <w:r w:rsidRPr="00C567FA">
        <w:t>ayant examiné</w:t>
      </w:r>
    </w:p>
    <w:p w14:paraId="40DC153B" w14:textId="0578821F" w:rsidR="000D0774" w:rsidRPr="00C567FA" w:rsidRDefault="000D0774" w:rsidP="007D536E">
      <w:r w:rsidRPr="00C567FA">
        <w:t>le Rapport de gestion financière pour l</w:t>
      </w:r>
      <w:r w:rsidR="007D536E">
        <w:t>'</w:t>
      </w:r>
      <w:r w:rsidRPr="00C567FA">
        <w:t>exercice financier 2020 portant sur les comptes vérifiés de l</w:t>
      </w:r>
      <w:r w:rsidR="007D536E">
        <w:t>'</w:t>
      </w:r>
      <w:r w:rsidRPr="00C567FA">
        <w:t>exercice financier 2020 du Budget de l</w:t>
      </w:r>
      <w:r w:rsidR="007D536E">
        <w:t>'</w:t>
      </w:r>
      <w:r w:rsidRPr="00C567FA">
        <w:t>Union ainsi que la position des comptes ITU TELECOM de 2020, les comptes vérifiés 2020 pour les projets de coopération technique, les contributions volontaires et la Caisse d</w:t>
      </w:r>
      <w:r w:rsidR="007D536E">
        <w:t>'</w:t>
      </w:r>
      <w:r w:rsidRPr="00C567FA">
        <w:t>assurance du personnel de l</w:t>
      </w:r>
      <w:r w:rsidR="007D536E">
        <w:t>'</w:t>
      </w:r>
      <w:r w:rsidRPr="00C567FA">
        <w:t>UIT,</w:t>
      </w:r>
    </w:p>
    <w:p w14:paraId="56274349" w14:textId="77777777" w:rsidR="000D0774" w:rsidRPr="00C567FA" w:rsidRDefault="000D0774" w:rsidP="007D536E">
      <w:pPr>
        <w:pStyle w:val="Call"/>
      </w:pPr>
      <w:r w:rsidRPr="00C567FA">
        <w:t>et ayant noté</w:t>
      </w:r>
    </w:p>
    <w:p w14:paraId="3B4D32F8" w14:textId="4720B72F" w:rsidR="000D0774" w:rsidRPr="00C567FA" w:rsidRDefault="000D0774" w:rsidP="007D536E">
      <w:r w:rsidRPr="00C567FA">
        <w:t>que les rapports du Vérificateur extérieur des comptes de l</w:t>
      </w:r>
      <w:r w:rsidR="007D536E">
        <w:t>'</w:t>
      </w:r>
      <w:r w:rsidRPr="00C567FA">
        <w:t>Union sont présentés dans le </w:t>
      </w:r>
      <w:hyperlink r:id="rId84" w:history="1">
        <w:r w:rsidRPr="00C567FA">
          <w:rPr>
            <w:color w:val="0000FF"/>
            <w:u w:val="single"/>
          </w:rPr>
          <w:t>Document C22/40</w:t>
        </w:r>
      </w:hyperlink>
      <w:r w:rsidRPr="00C567FA">
        <w:t>,</w:t>
      </w:r>
    </w:p>
    <w:p w14:paraId="1BA919B4" w14:textId="77777777" w:rsidR="000D0774" w:rsidRPr="00C567FA" w:rsidRDefault="000D0774" w:rsidP="007D536E">
      <w:pPr>
        <w:pStyle w:val="Call"/>
      </w:pPr>
      <w:r w:rsidRPr="00C567FA">
        <w:t>décide</w:t>
      </w:r>
    </w:p>
    <w:p w14:paraId="414BDE6A" w14:textId="1CC36817" w:rsidR="000D0774" w:rsidRDefault="000D0774" w:rsidP="007D536E">
      <w:r w:rsidRPr="00C567FA">
        <w:t>d</w:t>
      </w:r>
      <w:r w:rsidR="007D536E">
        <w:t>'</w:t>
      </w:r>
      <w:r w:rsidRPr="00C567FA">
        <w:t>approuver le Rapport de gestion finan</w:t>
      </w:r>
      <w:bookmarkStart w:id="12" w:name="_GoBack"/>
      <w:bookmarkEnd w:id="12"/>
      <w:r w:rsidRPr="00C567FA">
        <w:t>cière pour l</w:t>
      </w:r>
      <w:r w:rsidR="007D536E">
        <w:t>'</w:t>
      </w:r>
      <w:r w:rsidRPr="00C567FA">
        <w:t>exercice financier 2020 (</w:t>
      </w:r>
      <w:hyperlink r:id="rId85" w:history="1">
        <w:r w:rsidRPr="00C567FA">
          <w:rPr>
            <w:rStyle w:val="Hyperlink"/>
          </w:rPr>
          <w:t>Document C22/42</w:t>
        </w:r>
      </w:hyperlink>
      <w:r w:rsidRPr="00C567FA">
        <w:t>) portant sur les comptes vérifiés de l</w:t>
      </w:r>
      <w:r w:rsidR="007D536E">
        <w:t>'</w:t>
      </w:r>
      <w:r w:rsidRPr="00C567FA">
        <w:t>Union, la position des comptes ITU TELECOM de 2020 ainsi que les comptes 2020 vérifiés pour les projets de coopération technique, les contributions volontaires et la Caisse d</w:t>
      </w:r>
      <w:r w:rsidR="007D536E">
        <w:t>'</w:t>
      </w:r>
      <w:r w:rsidRPr="00C567FA">
        <w:t>assurance du personnel de l</w:t>
      </w:r>
      <w:r w:rsidR="007D536E">
        <w:t>'</w:t>
      </w:r>
      <w:r w:rsidRPr="00C567FA">
        <w:t>UIT.</w:t>
      </w:r>
    </w:p>
    <w:p w14:paraId="6E907360" w14:textId="77777777" w:rsidR="00EF4CBE" w:rsidRPr="00C567FA" w:rsidRDefault="00EF4CBE" w:rsidP="007D536E"/>
    <w:p w14:paraId="16A0620D" w14:textId="77777777" w:rsidR="000D0774" w:rsidRPr="00C567FA" w:rsidRDefault="000D0774" w:rsidP="007D536E">
      <w:pPr>
        <w:jc w:val="center"/>
      </w:pPr>
      <w:r w:rsidRPr="00C567FA">
        <w:t>______________</w:t>
      </w:r>
    </w:p>
    <w:sectPr w:rsidR="000D0774" w:rsidRPr="00C567FA" w:rsidSect="005C3890">
      <w:headerReference w:type="even" r:id="rId86"/>
      <w:headerReference w:type="default" r:id="rId87"/>
      <w:footerReference w:type="even" r:id="rId88"/>
      <w:footerReference w:type="default" r:id="rId89"/>
      <w:footerReference w:type="first" r:id="rId90"/>
      <w:pgSz w:w="11907" w:h="16840" w:code="9"/>
      <w:pgMar w:top="1418" w:right="1134" w:bottom="1418" w:left="1134" w:header="720" w:footer="720" w:gutter="0"/>
      <w:paperSrc w:first="261" w:other="261"/>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EEEFF" w16cex:dateUtc="2022-03-30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040AA3" w16cid:durableId="25EEEE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F1159" w14:textId="77777777" w:rsidR="00A34BDA" w:rsidRDefault="00A34BDA">
      <w:r>
        <w:separator/>
      </w:r>
    </w:p>
  </w:endnote>
  <w:endnote w:type="continuationSeparator" w:id="0">
    <w:p w14:paraId="3EC8E4F3" w14:textId="77777777" w:rsidR="00A34BDA" w:rsidRDefault="00A3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A019" w14:textId="79975DE1" w:rsidR="00A34BDA" w:rsidRDefault="00A34BDA">
    <w:pPr>
      <w:pStyle w:val="Footer"/>
    </w:pPr>
    <w:fldSimple w:instr=" FILENAME \p \* MERGEFORMAT ">
      <w:r>
        <w:t>P:\FRA\SG\CONSEIL\C22\DIV\037F.docx</w:t>
      </w:r>
    </w:fldSimple>
    <w:r>
      <w:tab/>
    </w:r>
    <w:r>
      <w:fldChar w:fldCharType="begin"/>
    </w:r>
    <w:r>
      <w:instrText xml:space="preserve"> savedate \@ dd.MM.yy </w:instrText>
    </w:r>
    <w:r>
      <w:fldChar w:fldCharType="separate"/>
    </w:r>
    <w:r>
      <w:t>30.03.22</w:t>
    </w:r>
    <w:r>
      <w:fldChar w:fldCharType="end"/>
    </w:r>
    <w:r>
      <w:tab/>
    </w:r>
    <w:r>
      <w:fldChar w:fldCharType="begin"/>
    </w:r>
    <w:r>
      <w:instrText xml:space="preserve"> printdate \@ dd.MM.yy </w:instrText>
    </w:r>
    <w:r>
      <w:fldChar w:fldCharType="separate"/>
    </w:r>
    <w:r>
      <w:t>18.07.00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066E4" w14:textId="1C6EBB06" w:rsidR="00A34BDA" w:rsidRDefault="00A34BDA" w:rsidP="00A34BDA">
    <w:pPr>
      <w:pStyle w:val="Footer"/>
    </w:pPr>
    <w:fldSimple w:instr=" FILENAME \p  \* MERGEFORMAT ">
      <w:r>
        <w:t>P:\FRA\SG\CONSEIL\C22\000\088F.docx</w:t>
      </w:r>
    </w:fldSimple>
    <w:r>
      <w:t xml:space="preserve"> (503222)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39532" w14:textId="77777777" w:rsidR="00A34BDA" w:rsidRDefault="00A34BDA">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6C6E4" w14:textId="77777777" w:rsidR="00A34BDA" w:rsidRDefault="00A34BDA">
      <w:r>
        <w:t>____________________</w:t>
      </w:r>
    </w:p>
  </w:footnote>
  <w:footnote w:type="continuationSeparator" w:id="0">
    <w:p w14:paraId="14ADD547" w14:textId="77777777" w:rsidR="00A34BDA" w:rsidRDefault="00A3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3A2F5" w14:textId="77777777" w:rsidR="00A34BDA" w:rsidRDefault="00A34BDA">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2F1F40BC" w14:textId="77777777" w:rsidR="00A34BDA" w:rsidRDefault="00A34BDA">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488EB" w14:textId="37CC7204" w:rsidR="00A34BDA" w:rsidRDefault="00A34BDA" w:rsidP="00475FB3">
    <w:pPr>
      <w:pStyle w:val="Header"/>
    </w:pPr>
    <w:r>
      <w:fldChar w:fldCharType="begin"/>
    </w:r>
    <w:r>
      <w:instrText>PAGE</w:instrText>
    </w:r>
    <w:r>
      <w:fldChar w:fldCharType="separate"/>
    </w:r>
    <w:r w:rsidR="007D536E">
      <w:rPr>
        <w:noProof/>
      </w:rPr>
      <w:t>57</w:t>
    </w:r>
    <w:r>
      <w:rPr>
        <w:noProof/>
      </w:rPr>
      <w:fldChar w:fldCharType="end"/>
    </w:r>
    <w:r>
      <w:rPr>
        <w:noProof/>
      </w:rPr>
      <w:br/>
      <w:t>C22/88-F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8634C6"/>
    <w:multiLevelType w:val="multilevel"/>
    <w:tmpl w:val="A25E5C82"/>
    <w:lvl w:ilvl="0">
      <w:start w:val="25"/>
      <w:numFmt w:val="decimal"/>
      <w:lvlText w:val="%1"/>
      <w:lvlJc w:val="left"/>
      <w:pPr>
        <w:ind w:left="420" w:hanging="420"/>
      </w:pPr>
      <w:rPr>
        <w:rFonts w:eastAsia="SimHei" w:hint="default"/>
        <w:color w:val="auto"/>
      </w:rPr>
    </w:lvl>
    <w:lvl w:ilvl="1">
      <w:start w:val="7"/>
      <w:numFmt w:val="decimal"/>
      <w:lvlText w:val="%1.%2"/>
      <w:lvlJc w:val="left"/>
      <w:pPr>
        <w:ind w:left="420" w:hanging="420"/>
      </w:pPr>
      <w:rPr>
        <w:rFonts w:eastAsia="SimHei" w:hint="default"/>
        <w:color w:val="auto"/>
      </w:rPr>
    </w:lvl>
    <w:lvl w:ilvl="2">
      <w:start w:val="1"/>
      <w:numFmt w:val="decimal"/>
      <w:lvlText w:val="%1.%2.%3"/>
      <w:lvlJc w:val="left"/>
      <w:pPr>
        <w:ind w:left="720" w:hanging="720"/>
      </w:pPr>
      <w:rPr>
        <w:rFonts w:eastAsia="SimHei" w:hint="default"/>
        <w:color w:val="auto"/>
      </w:rPr>
    </w:lvl>
    <w:lvl w:ilvl="3">
      <w:start w:val="1"/>
      <w:numFmt w:val="decimal"/>
      <w:lvlText w:val="%1.%2.%3.%4"/>
      <w:lvlJc w:val="left"/>
      <w:pPr>
        <w:ind w:left="720" w:hanging="720"/>
      </w:pPr>
      <w:rPr>
        <w:rFonts w:eastAsia="SimHei" w:hint="default"/>
        <w:color w:val="auto"/>
      </w:rPr>
    </w:lvl>
    <w:lvl w:ilvl="4">
      <w:start w:val="1"/>
      <w:numFmt w:val="decimal"/>
      <w:lvlText w:val="%1.%2.%3.%4.%5"/>
      <w:lvlJc w:val="left"/>
      <w:pPr>
        <w:ind w:left="1080" w:hanging="1080"/>
      </w:pPr>
      <w:rPr>
        <w:rFonts w:eastAsia="SimHei" w:hint="default"/>
        <w:color w:val="auto"/>
      </w:rPr>
    </w:lvl>
    <w:lvl w:ilvl="5">
      <w:start w:val="1"/>
      <w:numFmt w:val="decimal"/>
      <w:lvlText w:val="%1.%2.%3.%4.%5.%6"/>
      <w:lvlJc w:val="left"/>
      <w:pPr>
        <w:ind w:left="1080" w:hanging="1080"/>
      </w:pPr>
      <w:rPr>
        <w:rFonts w:eastAsia="SimHei" w:hint="default"/>
        <w:color w:val="auto"/>
      </w:rPr>
    </w:lvl>
    <w:lvl w:ilvl="6">
      <w:start w:val="1"/>
      <w:numFmt w:val="decimal"/>
      <w:lvlText w:val="%1.%2.%3.%4.%5.%6.%7"/>
      <w:lvlJc w:val="left"/>
      <w:pPr>
        <w:ind w:left="1440" w:hanging="1440"/>
      </w:pPr>
      <w:rPr>
        <w:rFonts w:eastAsia="SimHei" w:hint="default"/>
        <w:color w:val="auto"/>
      </w:rPr>
    </w:lvl>
    <w:lvl w:ilvl="7">
      <w:start w:val="1"/>
      <w:numFmt w:val="decimal"/>
      <w:lvlText w:val="%1.%2.%3.%4.%5.%6.%7.%8"/>
      <w:lvlJc w:val="left"/>
      <w:pPr>
        <w:ind w:left="1440" w:hanging="1440"/>
      </w:pPr>
      <w:rPr>
        <w:rFonts w:eastAsia="SimHei" w:hint="default"/>
        <w:color w:val="auto"/>
      </w:rPr>
    </w:lvl>
    <w:lvl w:ilvl="8">
      <w:start w:val="1"/>
      <w:numFmt w:val="decimal"/>
      <w:lvlText w:val="%1.%2.%3.%4.%5.%6.%7.%8.%9"/>
      <w:lvlJc w:val="left"/>
      <w:pPr>
        <w:ind w:left="1800" w:hanging="1800"/>
      </w:pPr>
      <w:rPr>
        <w:rFonts w:eastAsia="SimHei"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B3D"/>
    <w:rsid w:val="000011D6"/>
    <w:rsid w:val="00010426"/>
    <w:rsid w:val="000220A5"/>
    <w:rsid w:val="00031310"/>
    <w:rsid w:val="00066842"/>
    <w:rsid w:val="000D0774"/>
    <w:rsid w:val="000D0D0A"/>
    <w:rsid w:val="00103163"/>
    <w:rsid w:val="00106B19"/>
    <w:rsid w:val="00115D93"/>
    <w:rsid w:val="00116FB8"/>
    <w:rsid w:val="001247A8"/>
    <w:rsid w:val="001378C0"/>
    <w:rsid w:val="00155535"/>
    <w:rsid w:val="00165AA1"/>
    <w:rsid w:val="00176AC3"/>
    <w:rsid w:val="0018694A"/>
    <w:rsid w:val="001A3287"/>
    <w:rsid w:val="001A6508"/>
    <w:rsid w:val="001A67A3"/>
    <w:rsid w:val="001D00C9"/>
    <w:rsid w:val="001D4C31"/>
    <w:rsid w:val="001E3CDE"/>
    <w:rsid w:val="001E4D21"/>
    <w:rsid w:val="001E6F79"/>
    <w:rsid w:val="001F290D"/>
    <w:rsid w:val="00207CD1"/>
    <w:rsid w:val="002357FF"/>
    <w:rsid w:val="002477A2"/>
    <w:rsid w:val="00263A51"/>
    <w:rsid w:val="00267E02"/>
    <w:rsid w:val="002932F3"/>
    <w:rsid w:val="002A5D44"/>
    <w:rsid w:val="002E0BC4"/>
    <w:rsid w:val="002F1B76"/>
    <w:rsid w:val="003141F2"/>
    <w:rsid w:val="0033568E"/>
    <w:rsid w:val="00355FF5"/>
    <w:rsid w:val="00361350"/>
    <w:rsid w:val="003925A8"/>
    <w:rsid w:val="003C3FAE"/>
    <w:rsid w:val="003F2437"/>
    <w:rsid w:val="004038CB"/>
    <w:rsid w:val="0040546F"/>
    <w:rsid w:val="00417530"/>
    <w:rsid w:val="0042404A"/>
    <w:rsid w:val="0044618F"/>
    <w:rsid w:val="0046769A"/>
    <w:rsid w:val="00475FB3"/>
    <w:rsid w:val="004841E4"/>
    <w:rsid w:val="00491BCB"/>
    <w:rsid w:val="004C3563"/>
    <w:rsid w:val="004C37A9"/>
    <w:rsid w:val="004D1D50"/>
    <w:rsid w:val="004F021F"/>
    <w:rsid w:val="004F259E"/>
    <w:rsid w:val="00511F1D"/>
    <w:rsid w:val="00520F36"/>
    <w:rsid w:val="00536045"/>
    <w:rsid w:val="00540615"/>
    <w:rsid w:val="00540A6D"/>
    <w:rsid w:val="00565D5F"/>
    <w:rsid w:val="00571EEA"/>
    <w:rsid w:val="00573510"/>
    <w:rsid w:val="0057411C"/>
    <w:rsid w:val="00575417"/>
    <w:rsid w:val="005768E1"/>
    <w:rsid w:val="00592C28"/>
    <w:rsid w:val="005B06E1"/>
    <w:rsid w:val="005B1938"/>
    <w:rsid w:val="005B6BD5"/>
    <w:rsid w:val="005C3890"/>
    <w:rsid w:val="005D6C1A"/>
    <w:rsid w:val="005F7BFE"/>
    <w:rsid w:val="00600017"/>
    <w:rsid w:val="00605A80"/>
    <w:rsid w:val="00611BFA"/>
    <w:rsid w:val="006235CA"/>
    <w:rsid w:val="00653726"/>
    <w:rsid w:val="00653E50"/>
    <w:rsid w:val="0066287F"/>
    <w:rsid w:val="006643AB"/>
    <w:rsid w:val="006D0B3D"/>
    <w:rsid w:val="006E523B"/>
    <w:rsid w:val="006E7D71"/>
    <w:rsid w:val="006F0A53"/>
    <w:rsid w:val="007210CD"/>
    <w:rsid w:val="00732045"/>
    <w:rsid w:val="007369DB"/>
    <w:rsid w:val="0073776F"/>
    <w:rsid w:val="00777178"/>
    <w:rsid w:val="007956C2"/>
    <w:rsid w:val="007A187E"/>
    <w:rsid w:val="007A4C7F"/>
    <w:rsid w:val="007C72C2"/>
    <w:rsid w:val="007D4436"/>
    <w:rsid w:val="007D536E"/>
    <w:rsid w:val="007E68AB"/>
    <w:rsid w:val="007F257A"/>
    <w:rsid w:val="007F2D4D"/>
    <w:rsid w:val="007F3665"/>
    <w:rsid w:val="007F50D5"/>
    <w:rsid w:val="007F6037"/>
    <w:rsid w:val="00800037"/>
    <w:rsid w:val="0083391C"/>
    <w:rsid w:val="00861D73"/>
    <w:rsid w:val="00870AA8"/>
    <w:rsid w:val="00897553"/>
    <w:rsid w:val="008A4E87"/>
    <w:rsid w:val="008B3FD4"/>
    <w:rsid w:val="008D76E6"/>
    <w:rsid w:val="008E5F4D"/>
    <w:rsid w:val="00910A91"/>
    <w:rsid w:val="009118F9"/>
    <w:rsid w:val="0092392D"/>
    <w:rsid w:val="0093234A"/>
    <w:rsid w:val="00955EE4"/>
    <w:rsid w:val="00956169"/>
    <w:rsid w:val="00956A78"/>
    <w:rsid w:val="0097363B"/>
    <w:rsid w:val="009C307F"/>
    <w:rsid w:val="009C353C"/>
    <w:rsid w:val="00A005D8"/>
    <w:rsid w:val="00A2113E"/>
    <w:rsid w:val="00A23A51"/>
    <w:rsid w:val="00A24607"/>
    <w:rsid w:val="00A25CD3"/>
    <w:rsid w:val="00A34BDA"/>
    <w:rsid w:val="00A53962"/>
    <w:rsid w:val="00A709FE"/>
    <w:rsid w:val="00A82767"/>
    <w:rsid w:val="00A8573E"/>
    <w:rsid w:val="00AA332F"/>
    <w:rsid w:val="00AA5D9C"/>
    <w:rsid w:val="00AA7BBB"/>
    <w:rsid w:val="00AB64A8"/>
    <w:rsid w:val="00AC0266"/>
    <w:rsid w:val="00AD24EC"/>
    <w:rsid w:val="00B03CD9"/>
    <w:rsid w:val="00B309F9"/>
    <w:rsid w:val="00B32B60"/>
    <w:rsid w:val="00B61619"/>
    <w:rsid w:val="00B65213"/>
    <w:rsid w:val="00B76B04"/>
    <w:rsid w:val="00BB4545"/>
    <w:rsid w:val="00BB4CC1"/>
    <w:rsid w:val="00BB7B33"/>
    <w:rsid w:val="00BD5873"/>
    <w:rsid w:val="00C04BE3"/>
    <w:rsid w:val="00C0766D"/>
    <w:rsid w:val="00C164A2"/>
    <w:rsid w:val="00C25D29"/>
    <w:rsid w:val="00C27A7C"/>
    <w:rsid w:val="00C31151"/>
    <w:rsid w:val="00C567FA"/>
    <w:rsid w:val="00C674C7"/>
    <w:rsid w:val="00CA08ED"/>
    <w:rsid w:val="00CA3BC0"/>
    <w:rsid w:val="00CA63BC"/>
    <w:rsid w:val="00CF183B"/>
    <w:rsid w:val="00D00F2D"/>
    <w:rsid w:val="00D375CD"/>
    <w:rsid w:val="00D553A2"/>
    <w:rsid w:val="00D765D8"/>
    <w:rsid w:val="00D774D3"/>
    <w:rsid w:val="00D84925"/>
    <w:rsid w:val="00D86502"/>
    <w:rsid w:val="00D904E8"/>
    <w:rsid w:val="00D90DF8"/>
    <w:rsid w:val="00DA08C3"/>
    <w:rsid w:val="00DB5A3E"/>
    <w:rsid w:val="00DC22AA"/>
    <w:rsid w:val="00DE6C63"/>
    <w:rsid w:val="00DF74DD"/>
    <w:rsid w:val="00E25AD0"/>
    <w:rsid w:val="00E5762B"/>
    <w:rsid w:val="00E72A7A"/>
    <w:rsid w:val="00EB6350"/>
    <w:rsid w:val="00ED6E24"/>
    <w:rsid w:val="00EF4CBE"/>
    <w:rsid w:val="00F15B57"/>
    <w:rsid w:val="00F16CC7"/>
    <w:rsid w:val="00F427DB"/>
    <w:rsid w:val="00F45C29"/>
    <w:rsid w:val="00F51166"/>
    <w:rsid w:val="00F62F8E"/>
    <w:rsid w:val="00F66524"/>
    <w:rsid w:val="00F96F0C"/>
    <w:rsid w:val="00FA5EB1"/>
    <w:rsid w:val="00FA7439"/>
    <w:rsid w:val="00FB16A8"/>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A9BF81"/>
  <w15:docId w15:val="{4AB319F1-A6EF-4B76-BA00-E095A1BE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link w:val="NormalaftertitleChar"/>
    <w:rsid w:val="00732045"/>
    <w:pPr>
      <w:spacing w:before="240"/>
    </w:pPr>
  </w:style>
  <w:style w:type="paragraph" w:customStyle="1" w:styleId="Call">
    <w:name w:val="Call"/>
    <w:basedOn w:val="Normal"/>
    <w:next w:val="Normal"/>
    <w:link w:val="CallChar"/>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超级链接,Style 58,超????,超?级链,하이퍼링크2,하이퍼링크21"/>
    <w:basedOn w:val="DefaultParagraphFont"/>
    <w:qForma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link w:val="AnnexNoChar"/>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link w:val="RestitleChar"/>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link w:val="TabletextChar"/>
    <w:qFormat/>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styleId="CommentReference">
    <w:name w:val="annotation reference"/>
    <w:basedOn w:val="DefaultParagraphFont"/>
    <w:semiHidden/>
    <w:unhideWhenUsed/>
    <w:rsid w:val="006D0B3D"/>
    <w:rPr>
      <w:sz w:val="16"/>
      <w:szCs w:val="16"/>
    </w:rPr>
  </w:style>
  <w:style w:type="paragraph" w:styleId="CommentText">
    <w:name w:val="annotation text"/>
    <w:basedOn w:val="Normal"/>
    <w:link w:val="CommentTextChar"/>
    <w:unhideWhenUsed/>
    <w:rsid w:val="006D0B3D"/>
    <w:rPr>
      <w:sz w:val="20"/>
    </w:rPr>
  </w:style>
  <w:style w:type="character" w:customStyle="1" w:styleId="CommentTextChar">
    <w:name w:val="Comment Text Char"/>
    <w:basedOn w:val="DefaultParagraphFont"/>
    <w:link w:val="CommentText"/>
    <w:rsid w:val="006D0B3D"/>
    <w:rPr>
      <w:rFonts w:ascii="Calibri" w:hAnsi="Calibri"/>
      <w:lang w:val="fr-FR" w:eastAsia="en-US"/>
    </w:rPr>
  </w:style>
  <w:style w:type="character" w:customStyle="1" w:styleId="UnresolvedMention1">
    <w:name w:val="Unresolved Mention1"/>
    <w:basedOn w:val="DefaultParagraphFont"/>
    <w:uiPriority w:val="99"/>
    <w:semiHidden/>
    <w:unhideWhenUsed/>
    <w:rsid w:val="006D0B3D"/>
    <w:rPr>
      <w:color w:val="605E5C"/>
      <w:shd w:val="clear" w:color="auto" w:fill="E1DFDD"/>
    </w:rPr>
  </w:style>
  <w:style w:type="character" w:customStyle="1" w:styleId="NormalaftertitleChar">
    <w:name w:val="Normal after title Char"/>
    <w:basedOn w:val="DefaultParagraphFont"/>
    <w:link w:val="Normalaftertitle"/>
    <w:rsid w:val="00D00F2D"/>
    <w:rPr>
      <w:rFonts w:ascii="Calibri" w:hAnsi="Calibri"/>
      <w:sz w:val="24"/>
      <w:lang w:val="fr-FR" w:eastAsia="en-US"/>
    </w:rPr>
  </w:style>
  <w:style w:type="character" w:customStyle="1" w:styleId="RestitleChar">
    <w:name w:val="Res_title Char"/>
    <w:basedOn w:val="DefaultParagraphFont"/>
    <w:link w:val="Restitle"/>
    <w:rsid w:val="00D00F2D"/>
    <w:rPr>
      <w:rFonts w:ascii="Calibri" w:hAnsi="Calibri"/>
      <w:b/>
      <w:sz w:val="28"/>
      <w:lang w:val="fr-FR" w:eastAsia="en-US"/>
    </w:rPr>
  </w:style>
  <w:style w:type="character" w:customStyle="1" w:styleId="CallChar">
    <w:name w:val="Call Char"/>
    <w:basedOn w:val="DefaultParagraphFont"/>
    <w:link w:val="Call"/>
    <w:rsid w:val="00D00F2D"/>
    <w:rPr>
      <w:rFonts w:ascii="Calibri" w:hAnsi="Calibri"/>
      <w:i/>
      <w:sz w:val="24"/>
      <w:lang w:val="fr-FR" w:eastAsia="en-US"/>
    </w:rPr>
  </w:style>
  <w:style w:type="character" w:customStyle="1" w:styleId="AnnexNoChar">
    <w:name w:val="Annex_No Char"/>
    <w:basedOn w:val="DefaultParagraphFont"/>
    <w:link w:val="AnnexNo"/>
    <w:rsid w:val="00D00F2D"/>
    <w:rPr>
      <w:rFonts w:ascii="Calibri" w:hAnsi="Calibri"/>
      <w:caps/>
      <w:sz w:val="28"/>
      <w:lang w:val="fr-FR" w:eastAsia="en-US"/>
    </w:rPr>
  </w:style>
  <w:style w:type="character" w:customStyle="1" w:styleId="TabletextChar">
    <w:name w:val="Table_text Char"/>
    <w:link w:val="Tabletext"/>
    <w:qFormat/>
    <w:locked/>
    <w:rsid w:val="00D00F2D"/>
    <w:rPr>
      <w:rFonts w:ascii="Calibri" w:hAnsi="Calibri"/>
      <w:sz w:val="22"/>
      <w:lang w:val="fr-FR" w:eastAsia="en-US"/>
    </w:rPr>
  </w:style>
  <w:style w:type="table" w:styleId="TableGrid">
    <w:name w:val="Table Grid"/>
    <w:basedOn w:val="TableNormal"/>
    <w:rsid w:val="007E6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1D00C9"/>
    <w:rPr>
      <w:b/>
      <w:bCs/>
    </w:rPr>
  </w:style>
  <w:style w:type="character" w:customStyle="1" w:styleId="CommentSubjectChar">
    <w:name w:val="Comment Subject Char"/>
    <w:basedOn w:val="CommentTextChar"/>
    <w:link w:val="CommentSubject"/>
    <w:semiHidden/>
    <w:rsid w:val="001D00C9"/>
    <w:rPr>
      <w:rFonts w:ascii="Calibri" w:hAnsi="Calibri"/>
      <w:b/>
      <w:bCs/>
      <w:lang w:val="fr-FR" w:eastAsia="en-US"/>
    </w:rPr>
  </w:style>
  <w:style w:type="paragraph" w:styleId="Revision">
    <w:name w:val="Revision"/>
    <w:hidden/>
    <w:uiPriority w:val="99"/>
    <w:semiHidden/>
    <w:rsid w:val="001D00C9"/>
    <w:rPr>
      <w:rFonts w:ascii="Calibri" w:hAnsi="Calibri"/>
      <w:sz w:val="24"/>
      <w:lang w:val="fr-FR" w:eastAsia="en-US"/>
    </w:rPr>
  </w:style>
  <w:style w:type="paragraph" w:styleId="BalloonText">
    <w:name w:val="Balloon Text"/>
    <w:basedOn w:val="Normal"/>
    <w:link w:val="BalloonTextChar"/>
    <w:semiHidden/>
    <w:unhideWhenUsed/>
    <w:rsid w:val="001D00C9"/>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D00C9"/>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22-CWGFHR15-C-0005/en" TargetMode="External"/><Relationship Id="rId21" Type="http://schemas.openxmlformats.org/officeDocument/2006/relationships/hyperlink" Target="https://www.itu.int/md/S21-CWGFHR14-C-0011/en" TargetMode="External"/><Relationship Id="rId42" Type="http://schemas.openxmlformats.org/officeDocument/2006/relationships/hyperlink" Target="https://www.itu.int/md/S22-CWGFHR15-C-0015/en" TargetMode="External"/><Relationship Id="rId47" Type="http://schemas.openxmlformats.org/officeDocument/2006/relationships/hyperlink" Target="http://www.itu.int/md/S22-CL-C-0031/en" TargetMode="External"/><Relationship Id="rId63" Type="http://schemas.openxmlformats.org/officeDocument/2006/relationships/hyperlink" Target="http://www.itu.int/md/S22-CL-C-0065/en" TargetMode="External"/><Relationship Id="rId68" Type="http://schemas.openxmlformats.org/officeDocument/2006/relationships/hyperlink" Target="http://www.itu.int/md/S22-CL-C-0036/en" TargetMode="External"/><Relationship Id="rId84" Type="http://schemas.openxmlformats.org/officeDocument/2006/relationships/hyperlink" Target="http://www.itu.int/md/S20-CL-C-0040/en" TargetMode="External"/><Relationship Id="rId89" Type="http://schemas.openxmlformats.org/officeDocument/2006/relationships/footer" Target="footer2.xml"/><Relationship Id="rId16" Type="http://schemas.openxmlformats.org/officeDocument/2006/relationships/hyperlink" Target="https://www.itu.int/md/S21-CWGFHR14-C-0007/en" TargetMode="External"/><Relationship Id="rId11" Type="http://schemas.openxmlformats.org/officeDocument/2006/relationships/hyperlink" Target="https://www.itu.int/md/S21-CWGFHR14-C-0005/en" TargetMode="External"/><Relationship Id="rId32" Type="http://schemas.openxmlformats.org/officeDocument/2006/relationships/hyperlink" Target="https://www.itu.int/md/S22-CWGFHR15-C-0011/en" TargetMode="External"/><Relationship Id="rId37" Type="http://schemas.openxmlformats.org/officeDocument/2006/relationships/hyperlink" Target="https://www.itu.int/md/S22-CWGFHR15-C-0012/en" TargetMode="External"/><Relationship Id="rId53" Type="http://schemas.openxmlformats.org/officeDocument/2006/relationships/hyperlink" Target="http://www.itu.int/md/S22-CL-C-0057/en" TargetMode="External"/><Relationship Id="rId58" Type="http://schemas.openxmlformats.org/officeDocument/2006/relationships/hyperlink" Target="https://www.itu.int/md/S22-CL-C-0038/en" TargetMode="External"/><Relationship Id="rId74" Type="http://schemas.openxmlformats.org/officeDocument/2006/relationships/hyperlink" Target="https://www.itu.int/md/S22-CL-C-0040/en" TargetMode="External"/><Relationship Id="rId79" Type="http://schemas.openxmlformats.org/officeDocument/2006/relationships/hyperlink" Target="http://www.itu.int/md/S22-CL-C-0044/en" TargetMode="External"/><Relationship Id="rId5" Type="http://schemas.openxmlformats.org/officeDocument/2006/relationships/webSettings" Target="webSettings.xml"/><Relationship Id="rId90" Type="http://schemas.openxmlformats.org/officeDocument/2006/relationships/footer" Target="footer3.xml"/><Relationship Id="rId22" Type="http://schemas.openxmlformats.org/officeDocument/2006/relationships/hyperlink" Target="https://www.itu.int/md/S22-CWGFHR15-C-0003/en" TargetMode="External"/><Relationship Id="rId27" Type="http://schemas.openxmlformats.org/officeDocument/2006/relationships/hyperlink" Target="https://www.itu.int/md/S21-CWGFHR14-C-0003/en" TargetMode="External"/><Relationship Id="rId43" Type="http://schemas.openxmlformats.org/officeDocument/2006/relationships/hyperlink" Target="http://www.itu.int/md/S22-CL-C-0068/en" TargetMode="External"/><Relationship Id="rId48" Type="http://schemas.openxmlformats.org/officeDocument/2006/relationships/hyperlink" Target="http://www.itu.int/md/S22-CL-C-0039/en" TargetMode="External"/><Relationship Id="rId64" Type="http://schemas.openxmlformats.org/officeDocument/2006/relationships/hyperlink" Target="http://www.itu.int/md/S22-CL-C-0069/en" TargetMode="External"/><Relationship Id="rId69" Type="http://schemas.openxmlformats.org/officeDocument/2006/relationships/hyperlink" Target="http://www.itu.int/md/S22-CL-C-0023/en" TargetMode="External"/><Relationship Id="rId8" Type="http://schemas.openxmlformats.org/officeDocument/2006/relationships/image" Target="media/image1.jpeg"/><Relationship Id="rId51" Type="http://schemas.openxmlformats.org/officeDocument/2006/relationships/hyperlink" Target="http://www.itu.int/md/S22-CL-C-0063/en" TargetMode="External"/><Relationship Id="rId72" Type="http://schemas.openxmlformats.org/officeDocument/2006/relationships/hyperlink" Target="https://www.itu.int/md/S22-CL-C-0049/en" TargetMode="External"/><Relationship Id="rId80" Type="http://schemas.openxmlformats.org/officeDocument/2006/relationships/hyperlink" Target="http://www.itu.int/md/S22-CL-C-0014/en" TargetMode="External"/><Relationship Id="rId85" Type="http://schemas.openxmlformats.org/officeDocument/2006/relationships/hyperlink" Target="https://www.itu.int/md/S22-CL-C-0042/en" TargetMode="External"/><Relationship Id="rId93"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www.itu.int/md/S22-CWGFHR15-C-0019/en" TargetMode="External"/><Relationship Id="rId17" Type="http://schemas.openxmlformats.org/officeDocument/2006/relationships/hyperlink" Target="https://www.itu.int/md/S22-CWGFHR15-C-0009/en" TargetMode="External"/><Relationship Id="rId25" Type="http://schemas.openxmlformats.org/officeDocument/2006/relationships/hyperlink" Target="https://www.itu.int/md/S21-CWGFHR14-INF-0001/en" TargetMode="External"/><Relationship Id="rId33" Type="http://schemas.openxmlformats.org/officeDocument/2006/relationships/hyperlink" Target="https://www.itu.int/md/S22-CWGFHR15-C-0021/en" TargetMode="External"/><Relationship Id="rId38" Type="http://schemas.openxmlformats.org/officeDocument/2006/relationships/hyperlink" Target="https://www.itu.int/md/S22-CWGFHR15-C-0002/en" TargetMode="External"/><Relationship Id="rId46" Type="http://schemas.openxmlformats.org/officeDocument/2006/relationships/hyperlink" Target="http://www.itu.int/md/S22-CL-C-0016/en" TargetMode="External"/><Relationship Id="rId59" Type="http://schemas.openxmlformats.org/officeDocument/2006/relationships/hyperlink" Target="https://www.itu.int/md/S22-CL-C-0007/en" TargetMode="External"/><Relationship Id="rId67" Type="http://schemas.openxmlformats.org/officeDocument/2006/relationships/hyperlink" Target="http://www.itu.int/md/S22-CL-C-0070/en" TargetMode="External"/><Relationship Id="rId20" Type="http://schemas.openxmlformats.org/officeDocument/2006/relationships/hyperlink" Target="https://www.itu.int/md/S21-CWGFHR14-C-0009/en" TargetMode="External"/><Relationship Id="rId41" Type="http://schemas.openxmlformats.org/officeDocument/2006/relationships/hyperlink" Target="https://www.itu.int/md/S22-CWGFHR15-C-0017/en" TargetMode="External"/><Relationship Id="rId54" Type="http://schemas.openxmlformats.org/officeDocument/2006/relationships/hyperlink" Target="https://www.itu.int/md/S22-CWGFHR15-C-0005/en" TargetMode="External"/><Relationship Id="rId62" Type="http://schemas.openxmlformats.org/officeDocument/2006/relationships/hyperlink" Target="http://www.itu.int/md/S22-CL-C-0034/en" TargetMode="External"/><Relationship Id="rId70" Type="http://schemas.openxmlformats.org/officeDocument/2006/relationships/hyperlink" Target="http://www.itu.int/md/S22-CL-C-0052/en" TargetMode="External"/><Relationship Id="rId75" Type="http://schemas.openxmlformats.org/officeDocument/2006/relationships/hyperlink" Target="https://www.itu.int/md/S22-CL-C-0022/en" TargetMode="External"/><Relationship Id="rId83" Type="http://schemas.openxmlformats.org/officeDocument/2006/relationships/hyperlink" Target="https://www.itu.int/en/council/Documents/Financial-Regulations/S-GEN-REG_RGTFIN-2018-PDF-F.pdf" TargetMode="External"/><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md/S21-CWGFHR14-C-0006/en" TargetMode="External"/><Relationship Id="rId23" Type="http://schemas.openxmlformats.org/officeDocument/2006/relationships/hyperlink" Target="https://www.itu.int/md/S22-CWGFHR15-C-0014/en" TargetMode="External"/><Relationship Id="rId28" Type="http://schemas.openxmlformats.org/officeDocument/2006/relationships/hyperlink" Target="https://www.itu.int/md/S22-CWGFHR15-C-0004/en" TargetMode="External"/><Relationship Id="rId36" Type="http://schemas.openxmlformats.org/officeDocument/2006/relationships/hyperlink" Target="https://www.itu.int/md/S22-CWGFHR15-C-0020/en" TargetMode="External"/><Relationship Id="rId49" Type="http://schemas.openxmlformats.org/officeDocument/2006/relationships/hyperlink" Target="https://www.itu.int/md/S22-CL-C-0079/en" TargetMode="External"/><Relationship Id="rId57" Type="http://schemas.openxmlformats.org/officeDocument/2006/relationships/hyperlink" Target="https://www.itu.int/md/S22-CL-C-0041/fr" TargetMode="External"/><Relationship Id="rId10" Type="http://schemas.openxmlformats.org/officeDocument/2006/relationships/hyperlink" Target="http://www.itu.int/md/S22-CL-C-0050/en" TargetMode="External"/><Relationship Id="rId31" Type="http://schemas.openxmlformats.org/officeDocument/2006/relationships/hyperlink" Target="https://www.itu.int/md/S22-CWGFHR15-C-0010/en" TargetMode="External"/><Relationship Id="rId44" Type="http://schemas.openxmlformats.org/officeDocument/2006/relationships/hyperlink" Target="https://www.itu.int/md/S22-CL-C-0054/en" TargetMode="External"/><Relationship Id="rId52" Type="http://schemas.openxmlformats.org/officeDocument/2006/relationships/hyperlink" Target="https://www.itu.int/md/S22-CWGFHR15-C-0010/en" TargetMode="External"/><Relationship Id="rId60" Type="http://schemas.openxmlformats.org/officeDocument/2006/relationships/hyperlink" Target="https://www.itu.int/md/S22-CL-C-0048/en" TargetMode="External"/><Relationship Id="rId65" Type="http://schemas.openxmlformats.org/officeDocument/2006/relationships/hyperlink" Target="http://www.itu.int/md/S22-CL-C-0073/en" TargetMode="External"/><Relationship Id="rId73" Type="http://schemas.openxmlformats.org/officeDocument/2006/relationships/hyperlink" Target="https://www.itu.int/md/S22-CL-C-0042/en" TargetMode="External"/><Relationship Id="rId78" Type="http://schemas.openxmlformats.org/officeDocument/2006/relationships/hyperlink" Target="https://www.itu.int/md/S22-CL-C-0066/en" TargetMode="External"/><Relationship Id="rId81" Type="http://schemas.openxmlformats.org/officeDocument/2006/relationships/hyperlink" Target="https://www.itu.int/md/S22-CL-C-0036/en" TargetMode="External"/><Relationship Id="rId86" Type="http://schemas.openxmlformats.org/officeDocument/2006/relationships/header" Target="header1.xml"/><Relationship Id="rId9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itu.int/md/S22-CL-INF-0015/en" TargetMode="External"/><Relationship Id="rId13" Type="http://schemas.openxmlformats.org/officeDocument/2006/relationships/hyperlink" Target="https://www.itu.int/md/S21-CWGFHR14-C-0010/en" TargetMode="External"/><Relationship Id="rId18" Type="http://schemas.openxmlformats.org/officeDocument/2006/relationships/hyperlink" Target="https://www.itu.int/md/S22-CWGFHR15-C-0016/en" TargetMode="External"/><Relationship Id="rId39" Type="http://schemas.openxmlformats.org/officeDocument/2006/relationships/hyperlink" Target="https://www.itu.int/md/S22-CWGFHR15-C-0007/en" TargetMode="External"/><Relationship Id="rId34" Type="http://schemas.openxmlformats.org/officeDocument/2006/relationships/hyperlink" Target="https://www.itu.int/md/S21-CWGFHR14-C-0018/en" TargetMode="External"/><Relationship Id="rId50" Type="http://schemas.openxmlformats.org/officeDocument/2006/relationships/hyperlink" Target="http://www.itu.int/md/S22-CL-C-0029/en" TargetMode="External"/><Relationship Id="rId55" Type="http://schemas.openxmlformats.org/officeDocument/2006/relationships/hyperlink" Target="https://www.itu.int/md/S21-CWGFHR14-C-0002/en" TargetMode="External"/><Relationship Id="rId76" Type="http://schemas.openxmlformats.org/officeDocument/2006/relationships/hyperlink" Target="https://www.itu.int/md/S22-CL-C-0020/en" TargetMode="External"/><Relationship Id="rId7" Type="http://schemas.openxmlformats.org/officeDocument/2006/relationships/endnotes" Target="endnotes.xml"/><Relationship Id="rId71" Type="http://schemas.openxmlformats.org/officeDocument/2006/relationships/hyperlink" Target="https://www.itu.int/md/S22-CL-C-0047/en"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itu.int/md/S21-CWGFHR14-C-0004/en" TargetMode="External"/><Relationship Id="rId24" Type="http://schemas.openxmlformats.org/officeDocument/2006/relationships/hyperlink" Target="https://www.itu.int/md/S21-CWGFHR14-C-0002/en" TargetMode="External"/><Relationship Id="rId40" Type="http://schemas.openxmlformats.org/officeDocument/2006/relationships/hyperlink" Target="https://www.itu.int/md/S22-CWGFHR15-C-0018/en" TargetMode="External"/><Relationship Id="rId45" Type="http://schemas.openxmlformats.org/officeDocument/2006/relationships/hyperlink" Target="http://www.itu.int/md/S22-CL-C-0009/en" TargetMode="External"/><Relationship Id="rId66" Type="http://schemas.openxmlformats.org/officeDocument/2006/relationships/hyperlink" Target="http://www.itu.int/md/S22-CL-C-0056/en" TargetMode="External"/><Relationship Id="rId87" Type="http://schemas.openxmlformats.org/officeDocument/2006/relationships/header" Target="header2.xml"/><Relationship Id="rId61" Type="http://schemas.openxmlformats.org/officeDocument/2006/relationships/hyperlink" Target="https://www.itu.int/md/S22-CL-C-0062/en" TargetMode="External"/><Relationship Id="rId82" Type="http://schemas.openxmlformats.org/officeDocument/2006/relationships/hyperlink" Target="https://www.itu.int/en/council/Documents/basic-texts/Convention-F.pdf" TargetMode="External"/><Relationship Id="rId19" Type="http://schemas.openxmlformats.org/officeDocument/2006/relationships/hyperlink" Target="https://www.itu.int/md/S22-CWGFHR15-C-0008/en" TargetMode="External"/><Relationship Id="rId14" Type="http://schemas.openxmlformats.org/officeDocument/2006/relationships/hyperlink" Target="https://www.itu.int/md/S21-CL-C-0054/en" TargetMode="External"/><Relationship Id="rId30" Type="http://schemas.openxmlformats.org/officeDocument/2006/relationships/hyperlink" Target="https://www.itu.int/md/S22-CWGFHR15-C-0006/en" TargetMode="External"/><Relationship Id="rId35" Type="http://schemas.openxmlformats.org/officeDocument/2006/relationships/hyperlink" Target="https://www.itu.int/md/S22-CWGFHR15-C-0013/en" TargetMode="External"/><Relationship Id="rId56" Type="http://schemas.openxmlformats.org/officeDocument/2006/relationships/hyperlink" Target="http://www.itu.int/md/S22-CL-C-0025/en" TargetMode="External"/><Relationship Id="rId77" Type="http://schemas.openxmlformats.org/officeDocument/2006/relationships/hyperlink" Target="http://www.itu.int/md/S22-CL-C-0061/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C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01598-4E36-4FCC-9A63-2190995F5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PF_C22.dotx</Template>
  <TotalTime>28</TotalTime>
  <Pages>61</Pages>
  <Words>28434</Words>
  <Characters>162076</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190130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2022</dc:subject>
  <dc:creator>French</dc:creator>
  <cp:keywords>C2022, C22, Council-22</cp:keywords>
  <dc:description/>
  <cp:lastModifiedBy>Royer, Veronique</cp:lastModifiedBy>
  <cp:revision>5</cp:revision>
  <cp:lastPrinted>2000-07-18T08:55:00Z</cp:lastPrinted>
  <dcterms:created xsi:type="dcterms:W3CDTF">2022-03-30T13:08:00Z</dcterms:created>
  <dcterms:modified xsi:type="dcterms:W3CDTF">2022-03-30T13:39:00Z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