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B33A2" w14:paraId="29BED430" w14:textId="77777777">
        <w:trPr>
          <w:cantSplit/>
        </w:trPr>
        <w:tc>
          <w:tcPr>
            <w:tcW w:w="6912" w:type="dxa"/>
          </w:tcPr>
          <w:p w14:paraId="3AD2E2C1" w14:textId="77777777" w:rsidR="00520F36" w:rsidRPr="004B33A2" w:rsidRDefault="00520F36" w:rsidP="00135181">
            <w:pPr>
              <w:spacing w:before="360"/>
            </w:pPr>
            <w:bookmarkStart w:id="0" w:name="dc06"/>
            <w:bookmarkEnd w:id="0"/>
            <w:r w:rsidRPr="004B33A2">
              <w:rPr>
                <w:b/>
                <w:bCs/>
                <w:sz w:val="30"/>
                <w:szCs w:val="30"/>
              </w:rPr>
              <w:t>Conseil 20</w:t>
            </w:r>
            <w:r w:rsidR="009C353C" w:rsidRPr="004B33A2">
              <w:rPr>
                <w:b/>
                <w:bCs/>
                <w:sz w:val="30"/>
                <w:szCs w:val="30"/>
              </w:rPr>
              <w:t>2</w:t>
            </w:r>
            <w:r w:rsidR="0083391C" w:rsidRPr="004B33A2">
              <w:rPr>
                <w:b/>
                <w:bCs/>
                <w:sz w:val="30"/>
                <w:szCs w:val="30"/>
              </w:rPr>
              <w:t>2</w:t>
            </w:r>
            <w:r w:rsidRPr="004B33A2">
              <w:rPr>
                <w:rFonts w:ascii="Verdana" w:hAnsi="Verdana"/>
                <w:b/>
                <w:bCs/>
                <w:sz w:val="26"/>
                <w:szCs w:val="26"/>
              </w:rPr>
              <w:br/>
            </w:r>
            <w:r w:rsidR="0083391C" w:rsidRPr="004B33A2">
              <w:rPr>
                <w:b/>
                <w:bCs/>
                <w:sz w:val="26"/>
                <w:szCs w:val="26"/>
              </w:rPr>
              <w:t>Genève</w:t>
            </w:r>
            <w:r w:rsidRPr="004B33A2">
              <w:rPr>
                <w:b/>
                <w:bCs/>
                <w:sz w:val="26"/>
                <w:szCs w:val="26"/>
              </w:rPr>
              <w:t xml:space="preserve">, </w:t>
            </w:r>
            <w:r w:rsidR="0083391C" w:rsidRPr="004B33A2">
              <w:rPr>
                <w:b/>
                <w:bCs/>
                <w:sz w:val="26"/>
                <w:szCs w:val="26"/>
              </w:rPr>
              <w:t>21</w:t>
            </w:r>
            <w:r w:rsidRPr="004B33A2">
              <w:rPr>
                <w:b/>
                <w:bCs/>
                <w:sz w:val="26"/>
                <w:szCs w:val="26"/>
              </w:rPr>
              <w:t>-</w:t>
            </w:r>
            <w:r w:rsidR="0083391C" w:rsidRPr="004B33A2">
              <w:rPr>
                <w:b/>
                <w:bCs/>
                <w:sz w:val="26"/>
                <w:szCs w:val="26"/>
              </w:rPr>
              <w:t>31</w:t>
            </w:r>
            <w:r w:rsidR="00106B19" w:rsidRPr="004B33A2">
              <w:rPr>
                <w:b/>
                <w:bCs/>
                <w:sz w:val="26"/>
                <w:szCs w:val="26"/>
              </w:rPr>
              <w:t xml:space="preserve"> </w:t>
            </w:r>
            <w:r w:rsidR="0083391C" w:rsidRPr="004B33A2">
              <w:rPr>
                <w:b/>
                <w:bCs/>
                <w:sz w:val="26"/>
                <w:szCs w:val="26"/>
              </w:rPr>
              <w:t>mars</w:t>
            </w:r>
            <w:r w:rsidRPr="004B33A2">
              <w:rPr>
                <w:b/>
                <w:bCs/>
                <w:sz w:val="26"/>
                <w:szCs w:val="26"/>
              </w:rPr>
              <w:t xml:space="preserve"> 20</w:t>
            </w:r>
            <w:r w:rsidR="009C353C" w:rsidRPr="004B33A2">
              <w:rPr>
                <w:b/>
                <w:bCs/>
                <w:sz w:val="26"/>
                <w:szCs w:val="26"/>
              </w:rPr>
              <w:t>2</w:t>
            </w:r>
            <w:r w:rsidR="0083391C" w:rsidRPr="004B33A2">
              <w:rPr>
                <w:b/>
                <w:bCs/>
                <w:sz w:val="26"/>
                <w:szCs w:val="26"/>
              </w:rPr>
              <w:t>2</w:t>
            </w:r>
          </w:p>
        </w:tc>
        <w:tc>
          <w:tcPr>
            <w:tcW w:w="3261" w:type="dxa"/>
          </w:tcPr>
          <w:p w14:paraId="4751D756" w14:textId="77777777" w:rsidR="00520F36" w:rsidRPr="004B33A2" w:rsidRDefault="009C353C" w:rsidP="00135181">
            <w:pPr>
              <w:spacing w:before="0"/>
            </w:pPr>
            <w:bookmarkStart w:id="1" w:name="ditulogo"/>
            <w:bookmarkEnd w:id="1"/>
            <w:r w:rsidRPr="004B33A2">
              <w:rPr>
                <w:noProof/>
              </w:rPr>
              <w:drawing>
                <wp:inline distT="0" distB="0" distL="0" distR="0" wp14:anchorId="777BF1DF" wp14:editId="68FAEC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B33A2" w14:paraId="29869178" w14:textId="77777777" w:rsidTr="00EF41DD">
        <w:trPr>
          <w:cantSplit/>
          <w:trHeight w:val="20"/>
        </w:trPr>
        <w:tc>
          <w:tcPr>
            <w:tcW w:w="6912" w:type="dxa"/>
            <w:tcBorders>
              <w:bottom w:val="single" w:sz="12" w:space="0" w:color="auto"/>
            </w:tcBorders>
            <w:vAlign w:val="center"/>
          </w:tcPr>
          <w:p w14:paraId="18DEF607" w14:textId="77777777" w:rsidR="00520F36" w:rsidRPr="004B33A2" w:rsidRDefault="00520F36" w:rsidP="00135181">
            <w:pPr>
              <w:spacing w:before="0"/>
              <w:rPr>
                <w:b/>
                <w:bCs/>
                <w:sz w:val="26"/>
                <w:szCs w:val="26"/>
              </w:rPr>
            </w:pPr>
          </w:p>
        </w:tc>
        <w:tc>
          <w:tcPr>
            <w:tcW w:w="3261" w:type="dxa"/>
            <w:tcBorders>
              <w:bottom w:val="single" w:sz="12" w:space="0" w:color="auto"/>
            </w:tcBorders>
          </w:tcPr>
          <w:p w14:paraId="3C91340C" w14:textId="77777777" w:rsidR="00520F36" w:rsidRPr="004B33A2" w:rsidRDefault="00520F36" w:rsidP="00135181">
            <w:pPr>
              <w:spacing w:before="0"/>
              <w:rPr>
                <w:b/>
                <w:bCs/>
              </w:rPr>
            </w:pPr>
          </w:p>
        </w:tc>
      </w:tr>
      <w:tr w:rsidR="00520F36" w:rsidRPr="004B33A2" w14:paraId="4DB92A44" w14:textId="77777777">
        <w:trPr>
          <w:cantSplit/>
          <w:trHeight w:val="20"/>
        </w:trPr>
        <w:tc>
          <w:tcPr>
            <w:tcW w:w="6912" w:type="dxa"/>
            <w:tcBorders>
              <w:top w:val="single" w:sz="12" w:space="0" w:color="auto"/>
            </w:tcBorders>
          </w:tcPr>
          <w:p w14:paraId="2A876BA8" w14:textId="77777777" w:rsidR="00520F36" w:rsidRPr="004B33A2" w:rsidRDefault="00520F36" w:rsidP="00135181">
            <w:pPr>
              <w:spacing w:before="0"/>
              <w:rPr>
                <w:smallCaps/>
                <w:sz w:val="22"/>
              </w:rPr>
            </w:pPr>
          </w:p>
        </w:tc>
        <w:tc>
          <w:tcPr>
            <w:tcW w:w="3261" w:type="dxa"/>
            <w:tcBorders>
              <w:top w:val="single" w:sz="12" w:space="0" w:color="auto"/>
            </w:tcBorders>
          </w:tcPr>
          <w:p w14:paraId="2839D550" w14:textId="77777777" w:rsidR="00520F36" w:rsidRPr="004B33A2" w:rsidRDefault="00520F36" w:rsidP="00135181">
            <w:pPr>
              <w:spacing w:before="0"/>
              <w:rPr>
                <w:b/>
                <w:bCs/>
              </w:rPr>
            </w:pPr>
          </w:p>
        </w:tc>
      </w:tr>
      <w:tr w:rsidR="00520F36" w:rsidRPr="004B33A2" w14:paraId="1D9BC636" w14:textId="77777777">
        <w:trPr>
          <w:cantSplit/>
          <w:trHeight w:val="20"/>
        </w:trPr>
        <w:tc>
          <w:tcPr>
            <w:tcW w:w="6912" w:type="dxa"/>
            <w:vMerge w:val="restart"/>
          </w:tcPr>
          <w:p w14:paraId="53974220" w14:textId="77777777" w:rsidR="00520F36" w:rsidRPr="004B33A2" w:rsidRDefault="00520F36" w:rsidP="00135181">
            <w:pPr>
              <w:spacing w:before="0"/>
              <w:rPr>
                <w:rFonts w:cs="Times"/>
                <w:b/>
                <w:bCs/>
                <w:szCs w:val="24"/>
              </w:rPr>
            </w:pPr>
            <w:bookmarkStart w:id="2" w:name="dnum" w:colFirst="1" w:colLast="1"/>
            <w:bookmarkStart w:id="3" w:name="dmeeting" w:colFirst="0" w:colLast="0"/>
          </w:p>
        </w:tc>
        <w:tc>
          <w:tcPr>
            <w:tcW w:w="3261" w:type="dxa"/>
          </w:tcPr>
          <w:p w14:paraId="6CD0B424" w14:textId="05F8552D" w:rsidR="00520F36" w:rsidRPr="004B33A2" w:rsidRDefault="00520F36" w:rsidP="00135181">
            <w:pPr>
              <w:spacing w:before="0"/>
              <w:rPr>
                <w:b/>
                <w:bCs/>
              </w:rPr>
            </w:pPr>
            <w:r w:rsidRPr="004B33A2">
              <w:rPr>
                <w:b/>
                <w:bCs/>
              </w:rPr>
              <w:t>Document C</w:t>
            </w:r>
            <w:r w:rsidR="009C353C" w:rsidRPr="004B33A2">
              <w:rPr>
                <w:b/>
                <w:bCs/>
              </w:rPr>
              <w:t>2</w:t>
            </w:r>
            <w:r w:rsidR="0083391C" w:rsidRPr="004B33A2">
              <w:rPr>
                <w:b/>
                <w:bCs/>
              </w:rPr>
              <w:t>2</w:t>
            </w:r>
            <w:r w:rsidRPr="004B33A2">
              <w:rPr>
                <w:b/>
                <w:bCs/>
              </w:rPr>
              <w:t>/</w:t>
            </w:r>
            <w:r w:rsidR="001B4495" w:rsidRPr="004B33A2">
              <w:rPr>
                <w:b/>
                <w:bCs/>
              </w:rPr>
              <w:t>87</w:t>
            </w:r>
            <w:r w:rsidRPr="004B33A2">
              <w:rPr>
                <w:b/>
                <w:bCs/>
              </w:rPr>
              <w:t>-F</w:t>
            </w:r>
          </w:p>
        </w:tc>
      </w:tr>
      <w:tr w:rsidR="00520F36" w:rsidRPr="004B33A2" w14:paraId="3B2465A0" w14:textId="77777777">
        <w:trPr>
          <w:cantSplit/>
          <w:trHeight w:val="20"/>
        </w:trPr>
        <w:tc>
          <w:tcPr>
            <w:tcW w:w="6912" w:type="dxa"/>
            <w:vMerge/>
          </w:tcPr>
          <w:p w14:paraId="7C0FC647" w14:textId="77777777" w:rsidR="00520F36" w:rsidRPr="004B33A2" w:rsidRDefault="00520F36" w:rsidP="00135181">
            <w:pPr>
              <w:shd w:val="solid" w:color="FFFFFF" w:fill="FFFFFF"/>
              <w:spacing w:before="180"/>
              <w:rPr>
                <w:smallCaps/>
              </w:rPr>
            </w:pPr>
            <w:bookmarkStart w:id="4" w:name="ddate" w:colFirst="1" w:colLast="1"/>
            <w:bookmarkEnd w:id="2"/>
            <w:bookmarkEnd w:id="3"/>
          </w:p>
        </w:tc>
        <w:tc>
          <w:tcPr>
            <w:tcW w:w="3261" w:type="dxa"/>
          </w:tcPr>
          <w:p w14:paraId="043688A2" w14:textId="2371681F" w:rsidR="00520F36" w:rsidRPr="004B33A2" w:rsidRDefault="001B4495" w:rsidP="00135181">
            <w:pPr>
              <w:spacing w:before="0"/>
              <w:rPr>
                <w:b/>
                <w:bCs/>
              </w:rPr>
            </w:pPr>
            <w:r w:rsidRPr="004B33A2">
              <w:rPr>
                <w:b/>
                <w:bCs/>
              </w:rPr>
              <w:t>28 mars 2022</w:t>
            </w:r>
          </w:p>
        </w:tc>
      </w:tr>
      <w:tr w:rsidR="00520F36" w:rsidRPr="004B33A2" w14:paraId="770E903C" w14:textId="77777777">
        <w:trPr>
          <w:cantSplit/>
          <w:trHeight w:val="20"/>
        </w:trPr>
        <w:tc>
          <w:tcPr>
            <w:tcW w:w="6912" w:type="dxa"/>
            <w:vMerge/>
          </w:tcPr>
          <w:p w14:paraId="7E5B7C7E" w14:textId="77777777" w:rsidR="00520F36" w:rsidRPr="004B33A2" w:rsidRDefault="00520F36" w:rsidP="00135181">
            <w:pPr>
              <w:shd w:val="solid" w:color="FFFFFF" w:fill="FFFFFF"/>
              <w:spacing w:before="180"/>
              <w:rPr>
                <w:smallCaps/>
              </w:rPr>
            </w:pPr>
            <w:bookmarkStart w:id="5" w:name="dorlang" w:colFirst="1" w:colLast="1"/>
            <w:bookmarkEnd w:id="4"/>
          </w:p>
        </w:tc>
        <w:tc>
          <w:tcPr>
            <w:tcW w:w="3261" w:type="dxa"/>
          </w:tcPr>
          <w:p w14:paraId="16C3F805" w14:textId="77777777" w:rsidR="00520F36" w:rsidRPr="004B33A2" w:rsidRDefault="00520F36" w:rsidP="00135181">
            <w:pPr>
              <w:spacing w:before="0"/>
              <w:rPr>
                <w:b/>
                <w:bCs/>
              </w:rPr>
            </w:pPr>
            <w:r w:rsidRPr="004B33A2">
              <w:rPr>
                <w:b/>
                <w:bCs/>
              </w:rPr>
              <w:t>Original: anglais</w:t>
            </w:r>
          </w:p>
        </w:tc>
      </w:tr>
      <w:tr w:rsidR="00520F36" w:rsidRPr="004B33A2" w14:paraId="5F32968B" w14:textId="77777777">
        <w:trPr>
          <w:cantSplit/>
        </w:trPr>
        <w:tc>
          <w:tcPr>
            <w:tcW w:w="10173" w:type="dxa"/>
            <w:gridSpan w:val="2"/>
          </w:tcPr>
          <w:p w14:paraId="777DF593" w14:textId="77777777" w:rsidR="001B4495" w:rsidRPr="004B33A2" w:rsidRDefault="001B4495" w:rsidP="00135181">
            <w:pPr>
              <w:pStyle w:val="Source"/>
              <w:rPr>
                <w:b w:val="0"/>
                <w:bCs/>
              </w:rPr>
            </w:pPr>
            <w:bookmarkStart w:id="6" w:name="dsource" w:colFirst="0" w:colLast="0"/>
            <w:bookmarkEnd w:id="5"/>
            <w:r w:rsidRPr="004B33A2">
              <w:rPr>
                <w:b w:val="0"/>
                <w:bCs/>
              </w:rPr>
              <w:t>COMPTE RENDU</w:t>
            </w:r>
          </w:p>
          <w:p w14:paraId="3642F340" w14:textId="77777777" w:rsidR="001B4495" w:rsidRPr="004B33A2" w:rsidRDefault="001B4495" w:rsidP="00135181">
            <w:pPr>
              <w:pStyle w:val="Source"/>
              <w:spacing w:before="120"/>
              <w:rPr>
                <w:b w:val="0"/>
                <w:bCs/>
              </w:rPr>
            </w:pPr>
            <w:r w:rsidRPr="004B33A2">
              <w:rPr>
                <w:b w:val="0"/>
                <w:bCs/>
              </w:rPr>
              <w:t>DE LA</w:t>
            </w:r>
          </w:p>
          <w:p w14:paraId="04C04563" w14:textId="417AB8FD" w:rsidR="00520F36" w:rsidRPr="004B33A2" w:rsidRDefault="001B4495" w:rsidP="00135181">
            <w:pPr>
              <w:pStyle w:val="Source"/>
              <w:spacing w:before="120"/>
            </w:pPr>
            <w:r w:rsidRPr="004B33A2">
              <w:rPr>
                <w:b w:val="0"/>
                <w:bCs/>
              </w:rPr>
              <w:t>TROISIÈME SÉANCE PLÉNIÈRE</w:t>
            </w:r>
          </w:p>
        </w:tc>
      </w:tr>
      <w:tr w:rsidR="00520F36" w:rsidRPr="004B33A2" w14:paraId="7996BA47" w14:textId="77777777">
        <w:trPr>
          <w:cantSplit/>
        </w:trPr>
        <w:tc>
          <w:tcPr>
            <w:tcW w:w="10173" w:type="dxa"/>
            <w:gridSpan w:val="2"/>
          </w:tcPr>
          <w:p w14:paraId="32C63973" w14:textId="0C4502CD" w:rsidR="00520F36" w:rsidRPr="004B33A2" w:rsidRDefault="001B4495" w:rsidP="00135181">
            <w:pPr>
              <w:pStyle w:val="Title1"/>
              <w:rPr>
                <w:sz w:val="24"/>
                <w:szCs w:val="24"/>
              </w:rPr>
            </w:pPr>
            <w:bookmarkStart w:id="7" w:name="dtitle1" w:colFirst="0" w:colLast="0"/>
            <w:bookmarkEnd w:id="6"/>
            <w:r w:rsidRPr="004B33A2">
              <w:rPr>
                <w:sz w:val="24"/>
                <w:szCs w:val="24"/>
              </w:rPr>
              <w:t>M</w:t>
            </w:r>
            <w:r w:rsidRPr="004B33A2">
              <w:rPr>
                <w:caps w:val="0"/>
                <w:sz w:val="24"/>
                <w:szCs w:val="24"/>
              </w:rPr>
              <w:t>ercredi 23 mars 2022, de 9 h 30 à 12 h 40</w:t>
            </w:r>
          </w:p>
        </w:tc>
      </w:tr>
      <w:tr w:rsidR="001B4495" w:rsidRPr="004B33A2" w14:paraId="288B6B0C" w14:textId="77777777">
        <w:trPr>
          <w:cantSplit/>
        </w:trPr>
        <w:tc>
          <w:tcPr>
            <w:tcW w:w="10173" w:type="dxa"/>
            <w:gridSpan w:val="2"/>
          </w:tcPr>
          <w:p w14:paraId="6F5199EF" w14:textId="090E6E6C" w:rsidR="001B4495" w:rsidRPr="004B33A2" w:rsidRDefault="001B4495" w:rsidP="00135181">
            <w:pPr>
              <w:pStyle w:val="Title1"/>
              <w:rPr>
                <w:sz w:val="24"/>
                <w:szCs w:val="24"/>
              </w:rPr>
            </w:pPr>
            <w:r w:rsidRPr="004B33A2">
              <w:rPr>
                <w:b/>
                <w:bCs/>
                <w:sz w:val="24"/>
                <w:szCs w:val="24"/>
              </w:rPr>
              <w:t>P</w:t>
            </w:r>
            <w:r w:rsidRPr="004B33A2">
              <w:rPr>
                <w:b/>
                <w:bCs/>
                <w:caps w:val="0"/>
                <w:sz w:val="24"/>
                <w:szCs w:val="24"/>
              </w:rPr>
              <w:t>résident</w:t>
            </w:r>
            <w:r w:rsidRPr="004B33A2">
              <w:rPr>
                <w:sz w:val="24"/>
                <w:szCs w:val="24"/>
              </w:rPr>
              <w:t xml:space="preserve">: M. S. </w:t>
            </w:r>
            <w:r w:rsidRPr="004B33A2">
              <w:rPr>
                <w:caps w:val="0"/>
                <w:sz w:val="24"/>
                <w:szCs w:val="24"/>
              </w:rPr>
              <w:t xml:space="preserve">BIN GHELAITA </w:t>
            </w:r>
            <w:r w:rsidRPr="004B33A2">
              <w:rPr>
                <w:sz w:val="24"/>
                <w:szCs w:val="24"/>
              </w:rPr>
              <w:t>(É</w:t>
            </w:r>
            <w:r w:rsidRPr="004B33A2">
              <w:rPr>
                <w:caps w:val="0"/>
                <w:sz w:val="24"/>
                <w:szCs w:val="24"/>
              </w:rPr>
              <w:t>mirats arabes unis)</w:t>
            </w:r>
          </w:p>
        </w:tc>
      </w:tr>
      <w:bookmarkEnd w:id="7"/>
    </w:tbl>
    <w:p w14:paraId="26753D44" w14:textId="77777777" w:rsidR="00520F36" w:rsidRPr="004B33A2" w:rsidRDefault="00520F36" w:rsidP="00135181"/>
    <w:tbl>
      <w:tblPr>
        <w:tblW w:w="5221" w:type="pct"/>
        <w:tblLook w:val="0000" w:firstRow="0" w:lastRow="0" w:firstColumn="0" w:lastColumn="0" w:noHBand="0" w:noVBand="0"/>
      </w:tblPr>
      <w:tblGrid>
        <w:gridCol w:w="505"/>
        <w:gridCol w:w="7575"/>
        <w:gridCol w:w="1985"/>
      </w:tblGrid>
      <w:tr w:rsidR="001B4495" w:rsidRPr="004B33A2" w14:paraId="698BC184" w14:textId="77777777" w:rsidTr="00E84767">
        <w:tc>
          <w:tcPr>
            <w:tcW w:w="251" w:type="pct"/>
          </w:tcPr>
          <w:p w14:paraId="238F2C13" w14:textId="77777777" w:rsidR="001B4495" w:rsidRPr="004B33A2" w:rsidRDefault="001B4495" w:rsidP="00135181">
            <w:pPr>
              <w:pStyle w:val="toc0"/>
              <w:spacing w:after="120"/>
              <w:jc w:val="both"/>
            </w:pPr>
            <w:r w:rsidRPr="004B33A2">
              <w:rPr>
                <w:b w:val="0"/>
              </w:rPr>
              <w:br w:type="page"/>
            </w:r>
            <w:r w:rsidRPr="004B33A2">
              <w:rPr>
                <w:b w:val="0"/>
              </w:rPr>
              <w:br w:type="page"/>
            </w:r>
          </w:p>
        </w:tc>
        <w:tc>
          <w:tcPr>
            <w:tcW w:w="3763" w:type="pct"/>
          </w:tcPr>
          <w:p w14:paraId="469A8A1A" w14:textId="77777777" w:rsidR="001B4495" w:rsidRPr="004B33A2" w:rsidRDefault="001B4495" w:rsidP="00135181">
            <w:pPr>
              <w:pStyle w:val="toc0"/>
              <w:spacing w:after="120"/>
              <w:jc w:val="both"/>
            </w:pPr>
            <w:r w:rsidRPr="004B33A2">
              <w:t>Sujets traités</w:t>
            </w:r>
          </w:p>
        </w:tc>
        <w:tc>
          <w:tcPr>
            <w:tcW w:w="986" w:type="pct"/>
          </w:tcPr>
          <w:p w14:paraId="31B0DFF0" w14:textId="77777777" w:rsidR="001B4495" w:rsidRPr="004B33A2" w:rsidRDefault="001B4495" w:rsidP="00135181">
            <w:pPr>
              <w:pStyle w:val="toc0"/>
              <w:spacing w:after="120"/>
              <w:jc w:val="both"/>
            </w:pPr>
            <w:r w:rsidRPr="004B33A2">
              <w:t>Documents</w:t>
            </w:r>
          </w:p>
        </w:tc>
      </w:tr>
      <w:tr w:rsidR="001B4495" w:rsidRPr="004B33A2" w14:paraId="54FB6D45" w14:textId="77777777" w:rsidTr="00E84767">
        <w:tc>
          <w:tcPr>
            <w:tcW w:w="251" w:type="pct"/>
          </w:tcPr>
          <w:p w14:paraId="318BE229" w14:textId="77777777" w:rsidR="001B4495" w:rsidRPr="004B33A2" w:rsidRDefault="001B4495" w:rsidP="00135181">
            <w:pPr>
              <w:jc w:val="both"/>
            </w:pPr>
            <w:r w:rsidRPr="004B33A2">
              <w:t>1</w:t>
            </w:r>
          </w:p>
        </w:tc>
        <w:tc>
          <w:tcPr>
            <w:tcW w:w="3763" w:type="pct"/>
          </w:tcPr>
          <w:p w14:paraId="5E700660" w14:textId="6E9A14F4" w:rsidR="001B4495" w:rsidRPr="004B33A2" w:rsidRDefault="001B4495" w:rsidP="00135181">
            <w:pPr>
              <w:rPr>
                <w:highlight w:val="yellow"/>
              </w:rPr>
            </w:pPr>
            <w:r w:rsidRPr="004B33A2">
              <w:rPr>
                <w:rFonts w:asciiTheme="minorHAnsi" w:hAnsiTheme="minorHAnsi"/>
                <w:szCs w:val="28"/>
              </w:rPr>
              <w:t>Activités de l'UIT relatives à l'Internet: Résolutions 101, 102, 133, 180 et</w:t>
            </w:r>
            <w:r w:rsidR="00135181" w:rsidRPr="004B33A2">
              <w:rPr>
                <w:rFonts w:asciiTheme="minorHAnsi" w:hAnsiTheme="minorHAnsi"/>
                <w:szCs w:val="28"/>
              </w:rPr>
              <w:t> </w:t>
            </w:r>
            <w:r w:rsidRPr="004B33A2">
              <w:rPr>
                <w:rFonts w:asciiTheme="minorHAnsi" w:hAnsiTheme="minorHAnsi"/>
                <w:szCs w:val="28"/>
              </w:rPr>
              <w:t>206</w:t>
            </w:r>
          </w:p>
        </w:tc>
        <w:tc>
          <w:tcPr>
            <w:tcW w:w="986" w:type="pct"/>
          </w:tcPr>
          <w:p w14:paraId="0AB175A8" w14:textId="77777777" w:rsidR="001B4495" w:rsidRPr="004B33A2" w:rsidRDefault="00A852E3" w:rsidP="00135181">
            <w:pPr>
              <w:jc w:val="center"/>
            </w:pPr>
            <w:hyperlink r:id="rId7" w:history="1">
              <w:r w:rsidR="001B4495" w:rsidRPr="004B33A2">
                <w:rPr>
                  <w:rStyle w:val="Hyperlink"/>
                </w:rPr>
                <w:t>C22/33</w:t>
              </w:r>
            </w:hyperlink>
          </w:p>
        </w:tc>
      </w:tr>
      <w:tr w:rsidR="001B4495" w:rsidRPr="004B33A2" w14:paraId="57AE4CC3" w14:textId="77777777" w:rsidTr="00E84767">
        <w:tc>
          <w:tcPr>
            <w:tcW w:w="251" w:type="pct"/>
          </w:tcPr>
          <w:p w14:paraId="4C9BD598" w14:textId="77777777" w:rsidR="001B4495" w:rsidRPr="004B33A2" w:rsidRDefault="001B4495" w:rsidP="00135181">
            <w:pPr>
              <w:jc w:val="both"/>
            </w:pPr>
            <w:r w:rsidRPr="004B33A2">
              <w:t>2</w:t>
            </w:r>
          </w:p>
        </w:tc>
        <w:tc>
          <w:tcPr>
            <w:tcW w:w="3763" w:type="pct"/>
          </w:tcPr>
          <w:p w14:paraId="115E06C8" w14:textId="77777777" w:rsidR="001B4495" w:rsidRPr="004B33A2" w:rsidRDefault="001B4495" w:rsidP="00135181">
            <w:pPr>
              <w:rPr>
                <w:rFonts w:asciiTheme="minorHAnsi" w:hAnsiTheme="minorHAnsi" w:cstheme="minorHAnsi"/>
                <w:szCs w:val="24"/>
                <w:highlight w:val="yellow"/>
              </w:rPr>
            </w:pPr>
            <w:r w:rsidRPr="004B33A2">
              <w:rPr>
                <w:rFonts w:asciiTheme="minorHAnsi" w:hAnsiTheme="minorHAnsi"/>
                <w:szCs w:val="28"/>
              </w:rPr>
              <w:t>Activités de l'UIT relatives au renforcement du rôle de l'Union dans l'instauration de la confiance et de la sécurité dans l'utilisation des TIC</w:t>
            </w:r>
          </w:p>
        </w:tc>
        <w:tc>
          <w:tcPr>
            <w:tcW w:w="986" w:type="pct"/>
          </w:tcPr>
          <w:p w14:paraId="5F36E2F9" w14:textId="77777777" w:rsidR="001B4495" w:rsidRPr="004B33A2" w:rsidRDefault="00A852E3" w:rsidP="00135181">
            <w:pPr>
              <w:jc w:val="center"/>
            </w:pPr>
            <w:hyperlink r:id="rId8" w:history="1">
              <w:r w:rsidR="001B4495" w:rsidRPr="004B33A2">
                <w:rPr>
                  <w:rStyle w:val="Hyperlink"/>
                </w:rPr>
                <w:t>C22/18</w:t>
              </w:r>
            </w:hyperlink>
          </w:p>
        </w:tc>
      </w:tr>
      <w:tr w:rsidR="001B4495" w:rsidRPr="004B33A2" w14:paraId="0F93B585" w14:textId="77777777" w:rsidTr="00E84767">
        <w:tc>
          <w:tcPr>
            <w:tcW w:w="251" w:type="pct"/>
          </w:tcPr>
          <w:p w14:paraId="54C3BAAB" w14:textId="77777777" w:rsidR="001B4495" w:rsidRPr="004B33A2" w:rsidRDefault="001B4495" w:rsidP="00135181">
            <w:pPr>
              <w:jc w:val="both"/>
            </w:pPr>
            <w:r w:rsidRPr="004B33A2">
              <w:t>3</w:t>
            </w:r>
          </w:p>
        </w:tc>
        <w:tc>
          <w:tcPr>
            <w:tcW w:w="3763" w:type="pct"/>
          </w:tcPr>
          <w:p w14:paraId="73DD0630" w14:textId="77777777" w:rsidR="001B4495" w:rsidRPr="004B33A2" w:rsidRDefault="001B4495" w:rsidP="00135181">
            <w:pPr>
              <w:rPr>
                <w:rFonts w:asciiTheme="minorHAnsi" w:hAnsiTheme="minorHAnsi" w:cstheme="minorHAnsi"/>
                <w:bCs/>
                <w:szCs w:val="24"/>
                <w:highlight w:val="yellow"/>
              </w:rPr>
            </w:pPr>
            <w:r w:rsidRPr="004B33A2">
              <w:rPr>
                <w:rFonts w:asciiTheme="minorHAnsi" w:hAnsiTheme="minorHAnsi"/>
                <w:bCs/>
                <w:szCs w:val="28"/>
              </w:rPr>
              <w:t xml:space="preserve">Rapport du Président du Groupe de travail du Conseil sur les questions de politiques publiques internationales relatives à l'Internet </w:t>
            </w:r>
          </w:p>
        </w:tc>
        <w:tc>
          <w:tcPr>
            <w:tcW w:w="986" w:type="pct"/>
          </w:tcPr>
          <w:p w14:paraId="01435800" w14:textId="77777777" w:rsidR="001B4495" w:rsidRPr="004B33A2" w:rsidRDefault="00A852E3" w:rsidP="00135181">
            <w:pPr>
              <w:jc w:val="center"/>
            </w:pPr>
            <w:hyperlink r:id="rId9" w:history="1">
              <w:r w:rsidR="001B4495" w:rsidRPr="004B33A2">
                <w:rPr>
                  <w:rStyle w:val="Hyperlink"/>
                </w:rPr>
                <w:t>C22/51</w:t>
              </w:r>
            </w:hyperlink>
          </w:p>
        </w:tc>
      </w:tr>
      <w:tr w:rsidR="001B4495" w:rsidRPr="004B33A2" w14:paraId="758A9CF5" w14:textId="77777777" w:rsidTr="00E84767">
        <w:tc>
          <w:tcPr>
            <w:tcW w:w="251" w:type="pct"/>
          </w:tcPr>
          <w:p w14:paraId="30A767AA" w14:textId="77777777" w:rsidR="001B4495" w:rsidRPr="004B33A2" w:rsidRDefault="001B4495" w:rsidP="00135181">
            <w:pPr>
              <w:jc w:val="both"/>
            </w:pPr>
            <w:r w:rsidRPr="004B33A2">
              <w:t>4</w:t>
            </w:r>
          </w:p>
        </w:tc>
        <w:tc>
          <w:tcPr>
            <w:tcW w:w="3763" w:type="pct"/>
          </w:tcPr>
          <w:p w14:paraId="2140BA84" w14:textId="77777777" w:rsidR="001B4495" w:rsidRPr="004B33A2" w:rsidRDefault="001B4495" w:rsidP="00135181">
            <w:pPr>
              <w:rPr>
                <w:rFonts w:cstheme="minorHAnsi"/>
                <w:bCs/>
                <w:szCs w:val="24"/>
                <w:highlight w:val="yellow"/>
              </w:rPr>
            </w:pPr>
            <w:r w:rsidRPr="004B33A2">
              <w:t>Rapport quadriennal du Groupe de travail du Conseil sur les questions de politiques publiques internationales relatives à l'Internet</w:t>
            </w:r>
          </w:p>
        </w:tc>
        <w:tc>
          <w:tcPr>
            <w:tcW w:w="986" w:type="pct"/>
          </w:tcPr>
          <w:p w14:paraId="4B401C4D" w14:textId="77777777" w:rsidR="001B4495" w:rsidRPr="004B33A2" w:rsidRDefault="00A852E3" w:rsidP="00135181">
            <w:pPr>
              <w:jc w:val="center"/>
            </w:pPr>
            <w:hyperlink r:id="rId10" w:history="1">
              <w:r w:rsidR="001B4495" w:rsidRPr="004B33A2">
                <w:rPr>
                  <w:rStyle w:val="Hyperlink"/>
                </w:rPr>
                <w:t>C22/58</w:t>
              </w:r>
            </w:hyperlink>
          </w:p>
        </w:tc>
      </w:tr>
      <w:tr w:rsidR="001B4495" w:rsidRPr="004B33A2" w14:paraId="053A34E0" w14:textId="77777777" w:rsidTr="00E84767">
        <w:tc>
          <w:tcPr>
            <w:tcW w:w="251" w:type="pct"/>
          </w:tcPr>
          <w:p w14:paraId="61B46993" w14:textId="77777777" w:rsidR="001B4495" w:rsidRPr="004B33A2" w:rsidRDefault="001B4495" w:rsidP="00135181">
            <w:pPr>
              <w:jc w:val="both"/>
            </w:pPr>
            <w:r w:rsidRPr="004B33A2">
              <w:t>5</w:t>
            </w:r>
          </w:p>
        </w:tc>
        <w:tc>
          <w:tcPr>
            <w:tcW w:w="3763" w:type="pct"/>
          </w:tcPr>
          <w:p w14:paraId="61430EEE" w14:textId="396210BF" w:rsidR="001B4495" w:rsidRPr="004B33A2" w:rsidRDefault="001B4495" w:rsidP="00DA7E4F">
            <w:pPr>
              <w:rPr>
                <w:rFonts w:asciiTheme="minorHAnsi" w:hAnsiTheme="minorHAnsi" w:cstheme="minorHAnsi"/>
                <w:bCs/>
                <w:szCs w:val="24"/>
                <w:highlight w:val="yellow"/>
              </w:rPr>
            </w:pPr>
            <w:r w:rsidRPr="004B33A2">
              <w:rPr>
                <w:rFonts w:cstheme="minorHAnsi"/>
                <w:bCs/>
                <w:szCs w:val="28"/>
              </w:rPr>
              <w:t xml:space="preserve">Lignes directrices relatives à l'utilisation du Programme </w:t>
            </w:r>
            <w:r w:rsidR="006B3F6C" w:rsidRPr="004B33A2">
              <w:rPr>
                <w:rFonts w:cstheme="minorHAnsi"/>
                <w:bCs/>
                <w:szCs w:val="28"/>
              </w:rPr>
              <w:t>m</w:t>
            </w:r>
            <w:r w:rsidRPr="004B33A2">
              <w:rPr>
                <w:rFonts w:cstheme="minorHAnsi"/>
                <w:bCs/>
                <w:szCs w:val="28"/>
              </w:rPr>
              <w:t xml:space="preserve">ondial </w:t>
            </w:r>
            <w:r w:rsidR="00DA7E4F" w:rsidRPr="004B33A2">
              <w:rPr>
                <w:rFonts w:cstheme="minorHAnsi"/>
                <w:bCs/>
                <w:szCs w:val="28"/>
              </w:rPr>
              <w:t>c</w:t>
            </w:r>
            <w:r w:rsidRPr="004B33A2">
              <w:rPr>
                <w:rFonts w:cstheme="minorHAnsi"/>
                <w:bCs/>
                <w:szCs w:val="28"/>
              </w:rPr>
              <w:t>ybersécurité (GCA)</w:t>
            </w:r>
          </w:p>
        </w:tc>
        <w:tc>
          <w:tcPr>
            <w:tcW w:w="986" w:type="pct"/>
          </w:tcPr>
          <w:p w14:paraId="64A0BB31" w14:textId="77777777" w:rsidR="001B4495" w:rsidRPr="004B33A2" w:rsidRDefault="00A852E3" w:rsidP="00135181">
            <w:pPr>
              <w:jc w:val="center"/>
            </w:pPr>
            <w:hyperlink r:id="rId11" w:history="1">
              <w:r w:rsidR="001B4495" w:rsidRPr="004B33A2">
                <w:rPr>
                  <w:rStyle w:val="Hyperlink"/>
                </w:rPr>
                <w:t>C22/32(Rév.1)</w:t>
              </w:r>
            </w:hyperlink>
            <w:r w:rsidR="001B4495" w:rsidRPr="004B33A2">
              <w:t>,</w:t>
            </w:r>
            <w:r w:rsidR="001B4495" w:rsidRPr="004B33A2">
              <w:br/>
            </w:r>
            <w:hyperlink r:id="rId12" w:history="1">
              <w:r w:rsidR="001B4495" w:rsidRPr="004B33A2">
                <w:rPr>
                  <w:rStyle w:val="Hyperlink"/>
                </w:rPr>
                <w:t>C22/71</w:t>
              </w:r>
            </w:hyperlink>
          </w:p>
        </w:tc>
      </w:tr>
      <w:tr w:rsidR="001B4495" w:rsidRPr="004B33A2" w14:paraId="0C0E1639" w14:textId="77777777" w:rsidTr="00E84767">
        <w:tc>
          <w:tcPr>
            <w:tcW w:w="251" w:type="pct"/>
          </w:tcPr>
          <w:p w14:paraId="250B2255" w14:textId="77777777" w:rsidR="001B4495" w:rsidRPr="004B33A2" w:rsidRDefault="001B4495" w:rsidP="00135181">
            <w:pPr>
              <w:jc w:val="both"/>
            </w:pPr>
            <w:r w:rsidRPr="004B33A2">
              <w:t>6</w:t>
            </w:r>
          </w:p>
        </w:tc>
        <w:tc>
          <w:tcPr>
            <w:tcW w:w="3763" w:type="pct"/>
          </w:tcPr>
          <w:p w14:paraId="3730F01F" w14:textId="5F6767FA" w:rsidR="001B4495" w:rsidRPr="004B33A2" w:rsidRDefault="001B4495" w:rsidP="00AD057B">
            <w:pPr>
              <w:rPr>
                <w:rFonts w:asciiTheme="minorHAnsi" w:hAnsiTheme="minorHAnsi" w:cstheme="minorHAnsi"/>
                <w:bCs/>
                <w:szCs w:val="24"/>
                <w:highlight w:val="yellow"/>
              </w:rPr>
            </w:pPr>
            <w:r w:rsidRPr="004B33A2">
              <w:rPr>
                <w:rFonts w:cstheme="minorHAnsi"/>
                <w:bCs/>
                <w:szCs w:val="28"/>
              </w:rPr>
              <w:t xml:space="preserve">Rapport sur les résultats des </w:t>
            </w:r>
            <w:r w:rsidR="00AD057B" w:rsidRPr="004B33A2">
              <w:rPr>
                <w:rFonts w:cstheme="minorHAnsi"/>
                <w:bCs/>
                <w:szCs w:val="28"/>
              </w:rPr>
              <w:t>réunions</w:t>
            </w:r>
            <w:r w:rsidR="00C941BB" w:rsidRPr="004B33A2">
              <w:rPr>
                <w:rFonts w:cstheme="minorHAnsi"/>
                <w:bCs/>
                <w:szCs w:val="28"/>
              </w:rPr>
              <w:t xml:space="preserve"> </w:t>
            </w:r>
            <w:r w:rsidRPr="004B33A2">
              <w:rPr>
                <w:rFonts w:cstheme="minorHAnsi"/>
                <w:bCs/>
                <w:szCs w:val="28"/>
              </w:rPr>
              <w:t>du GTC-SMSI/ODD tenues depuis la session de 2021 du Conseil</w:t>
            </w:r>
          </w:p>
        </w:tc>
        <w:tc>
          <w:tcPr>
            <w:tcW w:w="986" w:type="pct"/>
          </w:tcPr>
          <w:p w14:paraId="6B78958C" w14:textId="77777777" w:rsidR="001B4495" w:rsidRPr="004B33A2" w:rsidRDefault="00A852E3" w:rsidP="00135181">
            <w:pPr>
              <w:jc w:val="center"/>
            </w:pPr>
            <w:hyperlink r:id="rId13" w:history="1">
              <w:r w:rsidR="001B4495" w:rsidRPr="004B33A2">
                <w:rPr>
                  <w:rStyle w:val="Hyperlink"/>
                </w:rPr>
                <w:t>C22/8</w:t>
              </w:r>
            </w:hyperlink>
          </w:p>
        </w:tc>
      </w:tr>
      <w:tr w:rsidR="001B4495" w:rsidRPr="004B33A2" w14:paraId="2D6E592F" w14:textId="77777777" w:rsidTr="00E84767">
        <w:tc>
          <w:tcPr>
            <w:tcW w:w="251" w:type="pct"/>
          </w:tcPr>
          <w:p w14:paraId="13772DA6" w14:textId="77777777" w:rsidR="001B4495" w:rsidRPr="004B33A2" w:rsidRDefault="001B4495" w:rsidP="00135181">
            <w:pPr>
              <w:jc w:val="both"/>
            </w:pPr>
            <w:r w:rsidRPr="004B33A2">
              <w:t>7</w:t>
            </w:r>
          </w:p>
        </w:tc>
        <w:tc>
          <w:tcPr>
            <w:tcW w:w="3763" w:type="pct"/>
          </w:tcPr>
          <w:p w14:paraId="5E1F01D5" w14:textId="75582113" w:rsidR="001B4495" w:rsidRPr="004B33A2" w:rsidRDefault="001B4495" w:rsidP="006B3F6C">
            <w:pPr>
              <w:rPr>
                <w:rFonts w:asciiTheme="minorHAnsi" w:hAnsiTheme="minorHAnsi" w:cstheme="minorHAnsi"/>
                <w:bCs/>
                <w:szCs w:val="24"/>
                <w:highlight w:val="yellow"/>
              </w:rPr>
            </w:pPr>
            <w:r w:rsidRPr="004B33A2">
              <w:rPr>
                <w:rFonts w:cstheme="minorHAnsi"/>
                <w:bCs/>
                <w:szCs w:val="28"/>
              </w:rPr>
              <w:t xml:space="preserve">Rapport quadriennal sur le résultat des activités du GTC-SMSI/ODD depuis la Conférence de </w:t>
            </w:r>
            <w:r w:rsidR="006B3F6C" w:rsidRPr="004B33A2">
              <w:rPr>
                <w:rFonts w:cstheme="minorHAnsi"/>
                <w:bCs/>
                <w:szCs w:val="28"/>
              </w:rPr>
              <w:t>p</w:t>
            </w:r>
            <w:r w:rsidRPr="004B33A2">
              <w:rPr>
                <w:rFonts w:cstheme="minorHAnsi"/>
                <w:bCs/>
                <w:szCs w:val="28"/>
              </w:rPr>
              <w:t>lénipotentiaires de 2018</w:t>
            </w:r>
          </w:p>
        </w:tc>
        <w:tc>
          <w:tcPr>
            <w:tcW w:w="986" w:type="pct"/>
          </w:tcPr>
          <w:p w14:paraId="669641FC" w14:textId="77777777" w:rsidR="001B4495" w:rsidRPr="004B33A2" w:rsidRDefault="00A852E3" w:rsidP="00135181">
            <w:pPr>
              <w:jc w:val="center"/>
            </w:pPr>
            <w:hyperlink r:id="rId14" w:history="1">
              <w:r w:rsidR="001B4495" w:rsidRPr="004B33A2">
                <w:rPr>
                  <w:rStyle w:val="Hyperlink"/>
                </w:rPr>
                <w:t>C22/60</w:t>
              </w:r>
            </w:hyperlink>
          </w:p>
        </w:tc>
      </w:tr>
      <w:tr w:rsidR="001B4495" w:rsidRPr="004B33A2" w14:paraId="7AE99340" w14:textId="77777777" w:rsidTr="00135181">
        <w:trPr>
          <w:trHeight w:val="448"/>
        </w:trPr>
        <w:tc>
          <w:tcPr>
            <w:tcW w:w="251" w:type="pct"/>
          </w:tcPr>
          <w:p w14:paraId="7D60247B" w14:textId="77777777" w:rsidR="001B4495" w:rsidRPr="004B33A2" w:rsidRDefault="001B4495" w:rsidP="00135181">
            <w:pPr>
              <w:jc w:val="both"/>
            </w:pPr>
            <w:r w:rsidRPr="004B33A2">
              <w:t>8</w:t>
            </w:r>
          </w:p>
        </w:tc>
        <w:tc>
          <w:tcPr>
            <w:tcW w:w="3763" w:type="pct"/>
          </w:tcPr>
          <w:p w14:paraId="6C647CAA" w14:textId="77777777" w:rsidR="001B4495" w:rsidRPr="004B33A2" w:rsidRDefault="001B4495" w:rsidP="00135181">
            <w:pPr>
              <w:rPr>
                <w:rFonts w:asciiTheme="minorHAnsi" w:hAnsiTheme="minorHAnsi" w:cstheme="minorHAnsi"/>
                <w:bCs/>
                <w:szCs w:val="24"/>
                <w:highlight w:val="yellow"/>
              </w:rPr>
            </w:pPr>
            <w:r w:rsidRPr="004B33A2">
              <w:rPr>
                <w:bCs/>
                <w:szCs w:val="28"/>
              </w:rPr>
              <w:t>Déclarations des Ministres et des Conseillers</w:t>
            </w:r>
          </w:p>
        </w:tc>
        <w:tc>
          <w:tcPr>
            <w:tcW w:w="986" w:type="pct"/>
          </w:tcPr>
          <w:p w14:paraId="660F7ADE" w14:textId="727511AA" w:rsidR="001B4495" w:rsidRPr="004B33A2" w:rsidRDefault="00135181" w:rsidP="00135181">
            <w:pPr>
              <w:jc w:val="center"/>
            </w:pPr>
            <w:r w:rsidRPr="004B33A2">
              <w:t>–</w:t>
            </w:r>
          </w:p>
        </w:tc>
      </w:tr>
    </w:tbl>
    <w:p w14:paraId="2DF3A7DF" w14:textId="796644F3" w:rsidR="001B4495" w:rsidRPr="004B33A2" w:rsidRDefault="001B4495" w:rsidP="00135181">
      <w:r w:rsidRPr="004B33A2">
        <w:br w:type="page"/>
      </w:r>
    </w:p>
    <w:p w14:paraId="53D575D5" w14:textId="77777777" w:rsidR="001B4495" w:rsidRPr="004B33A2" w:rsidRDefault="001B4495" w:rsidP="00135181">
      <w:pPr>
        <w:pStyle w:val="Heading1"/>
      </w:pPr>
      <w:r w:rsidRPr="004B33A2">
        <w:lastRenderedPageBreak/>
        <w:t>1</w:t>
      </w:r>
      <w:r w:rsidRPr="004B33A2">
        <w:tab/>
        <w:t>Activités de l'UIT relatives à l'Internet: Résolutions 101, 102, 133, 180 et 206 (Document C22/33)</w:t>
      </w:r>
    </w:p>
    <w:p w14:paraId="3F164162" w14:textId="72623B01" w:rsidR="001B4495" w:rsidRPr="004B33A2" w:rsidRDefault="001B4495" w:rsidP="008504EA">
      <w:pPr>
        <w:rPr>
          <w:rFonts w:asciiTheme="minorHAnsi" w:hAnsiTheme="minorHAnsi"/>
        </w:rPr>
      </w:pPr>
      <w:r w:rsidRPr="004B33A2">
        <w:rPr>
          <w:rFonts w:asciiTheme="minorHAnsi" w:hAnsiTheme="minorHAnsi"/>
        </w:rPr>
        <w:t>1.1</w:t>
      </w:r>
      <w:r w:rsidRPr="004B33A2">
        <w:rPr>
          <w:rFonts w:asciiTheme="minorHAnsi" w:hAnsiTheme="minorHAnsi"/>
        </w:rPr>
        <w:tab/>
        <w:t xml:space="preserve">Le représentant du Secrétariat général présente le Document </w:t>
      </w:r>
      <w:hyperlink r:id="rId15" w:history="1">
        <w:r w:rsidRPr="004B33A2">
          <w:rPr>
            <w:rStyle w:val="Hyperlink"/>
            <w:rFonts w:asciiTheme="minorHAnsi" w:hAnsiTheme="minorHAnsi"/>
            <w:szCs w:val="24"/>
          </w:rPr>
          <w:t>C22/33</w:t>
        </w:r>
      </w:hyperlink>
      <w:r w:rsidRPr="004B33A2">
        <w:rPr>
          <w:rFonts w:asciiTheme="minorHAnsi" w:hAnsiTheme="minorHAnsi"/>
        </w:rPr>
        <w:t xml:space="preserve">, qui </w:t>
      </w:r>
      <w:r w:rsidRPr="004B33A2">
        <w:rPr>
          <w:lang w:eastAsia="zh-CN"/>
        </w:rPr>
        <w:t>est une synthèse des activités de l'UIT relatives à l'Internet menées dans le cadre des</w:t>
      </w:r>
      <w:r w:rsidR="00135181" w:rsidRPr="004B33A2">
        <w:rPr>
          <w:lang w:eastAsia="zh-CN"/>
        </w:rPr>
        <w:t xml:space="preserve"> </w:t>
      </w:r>
      <w:r w:rsidRPr="004B33A2">
        <w:rPr>
          <w:lang w:eastAsia="zh-CN"/>
        </w:rPr>
        <w:t>Résolutions 101 (Rév.</w:t>
      </w:r>
      <w:r w:rsidR="00135181" w:rsidRPr="004B33A2">
        <w:rPr>
          <w:lang w:eastAsia="zh-CN"/>
        </w:rPr>
        <w:t> </w:t>
      </w:r>
      <w:r w:rsidRPr="004B33A2">
        <w:rPr>
          <w:lang w:eastAsia="zh-CN"/>
        </w:rPr>
        <w:t>Dubaï,</w:t>
      </w:r>
      <w:r w:rsidR="00135181" w:rsidRPr="004B33A2">
        <w:rPr>
          <w:lang w:eastAsia="zh-CN"/>
        </w:rPr>
        <w:t> </w:t>
      </w:r>
      <w:r w:rsidRPr="004B33A2">
        <w:rPr>
          <w:lang w:eastAsia="zh-CN"/>
        </w:rPr>
        <w:t>2018),</w:t>
      </w:r>
      <w:r w:rsidR="00135181" w:rsidRPr="004B33A2">
        <w:rPr>
          <w:lang w:eastAsia="zh-CN"/>
        </w:rPr>
        <w:t xml:space="preserve"> </w:t>
      </w:r>
      <w:r w:rsidRPr="004B33A2">
        <w:rPr>
          <w:lang w:eastAsia="zh-CN"/>
        </w:rPr>
        <w:t>102 (Rév. Dubaï, 2018),</w:t>
      </w:r>
      <w:r w:rsidR="00135181" w:rsidRPr="004B33A2">
        <w:rPr>
          <w:lang w:eastAsia="zh-CN"/>
        </w:rPr>
        <w:t xml:space="preserve"> </w:t>
      </w:r>
      <w:r w:rsidRPr="004B33A2">
        <w:rPr>
          <w:lang w:eastAsia="zh-CN"/>
        </w:rPr>
        <w:t>133 (Rév. Dubaï, 2018),</w:t>
      </w:r>
      <w:r w:rsidR="00135181" w:rsidRPr="004B33A2">
        <w:rPr>
          <w:lang w:eastAsia="zh-CN"/>
        </w:rPr>
        <w:t xml:space="preserve"> </w:t>
      </w:r>
      <w:r w:rsidRPr="004B33A2">
        <w:rPr>
          <w:lang w:eastAsia="zh-CN"/>
        </w:rPr>
        <w:t xml:space="preserve">180 (Rév. Dubaï, 2018) </w:t>
      </w:r>
      <w:r w:rsidRPr="004B33A2">
        <w:rPr>
          <w:bCs/>
          <w:lang w:eastAsia="zh-CN"/>
        </w:rPr>
        <w:t>et</w:t>
      </w:r>
      <w:r w:rsidR="006B3F6C" w:rsidRPr="004B33A2">
        <w:rPr>
          <w:bCs/>
          <w:lang w:eastAsia="zh-CN"/>
        </w:rPr>
        <w:t> </w:t>
      </w:r>
      <w:r w:rsidRPr="004B33A2">
        <w:rPr>
          <w:bCs/>
          <w:lang w:eastAsia="zh-CN"/>
        </w:rPr>
        <w:t>206</w:t>
      </w:r>
      <w:r w:rsidR="00135181" w:rsidRPr="004B33A2">
        <w:rPr>
          <w:bCs/>
          <w:lang w:eastAsia="zh-CN"/>
        </w:rPr>
        <w:t> </w:t>
      </w:r>
      <w:r w:rsidRPr="004B33A2">
        <w:rPr>
          <w:bCs/>
          <w:lang w:eastAsia="zh-CN"/>
        </w:rPr>
        <w:t xml:space="preserve">(Dubaï, 2018) </w:t>
      </w:r>
      <w:r w:rsidRPr="004B33A2">
        <w:rPr>
          <w:lang w:eastAsia="zh-CN"/>
        </w:rPr>
        <w:t>de la Conférence de plénipotentiaires.</w:t>
      </w:r>
      <w:r w:rsidRPr="004B33A2">
        <w:rPr>
          <w:rFonts w:asciiTheme="minorHAnsi" w:hAnsiTheme="minorHAnsi"/>
        </w:rPr>
        <w:t xml:space="preserve"> Une version plus longue et</w:t>
      </w:r>
      <w:r w:rsidR="00135181" w:rsidRPr="004B33A2">
        <w:rPr>
          <w:rFonts w:asciiTheme="minorHAnsi" w:hAnsiTheme="minorHAnsi"/>
        </w:rPr>
        <w:t xml:space="preserve"> </w:t>
      </w:r>
      <w:r w:rsidRPr="004B33A2">
        <w:rPr>
          <w:rFonts w:asciiTheme="minorHAnsi" w:hAnsiTheme="minorHAnsi"/>
        </w:rPr>
        <w:t>détaillée du rapport a été soumise au</w:t>
      </w:r>
      <w:r w:rsidR="00135181" w:rsidRPr="004B33A2">
        <w:rPr>
          <w:rFonts w:asciiTheme="minorHAnsi" w:hAnsiTheme="minorHAnsi"/>
        </w:rPr>
        <w:t xml:space="preserve"> </w:t>
      </w:r>
      <w:r w:rsidRPr="004B33A2">
        <w:rPr>
          <w:rFonts w:asciiTheme="minorHAnsi" w:hAnsiTheme="minorHAnsi"/>
        </w:rPr>
        <w:t>GTC-Internet</w:t>
      </w:r>
      <w:r w:rsidR="00135181" w:rsidRPr="004B33A2">
        <w:rPr>
          <w:rFonts w:asciiTheme="minorHAnsi" w:hAnsiTheme="minorHAnsi"/>
        </w:rPr>
        <w:t xml:space="preserve"> </w:t>
      </w:r>
      <w:r w:rsidRPr="004B33A2">
        <w:rPr>
          <w:rFonts w:asciiTheme="minorHAnsi" w:hAnsiTheme="minorHAnsi"/>
        </w:rPr>
        <w:t>en janvier 2022.</w:t>
      </w:r>
    </w:p>
    <w:p w14:paraId="53D72564" w14:textId="671824C0" w:rsidR="001B4495" w:rsidRPr="004B33A2" w:rsidRDefault="001B4495" w:rsidP="008504EA">
      <w:pPr>
        <w:rPr>
          <w:rFonts w:asciiTheme="minorHAnsi" w:hAnsiTheme="minorHAnsi"/>
          <w:bCs/>
        </w:rPr>
      </w:pPr>
      <w:r w:rsidRPr="004B33A2">
        <w:rPr>
          <w:rFonts w:asciiTheme="minorHAnsi" w:hAnsiTheme="minorHAnsi"/>
        </w:rPr>
        <w:t>1.2</w:t>
      </w:r>
      <w:r w:rsidRPr="004B33A2">
        <w:rPr>
          <w:rFonts w:asciiTheme="minorHAnsi" w:hAnsiTheme="minorHAnsi"/>
        </w:rPr>
        <w:tab/>
        <w:t xml:space="preserve">Les Conseillers se félicitent du rapport exhaustif et factuel et soulignent l'importance que revêtent les activités de l'Union relatives à l'Internet pour tous les </w:t>
      </w:r>
      <w:r w:rsidRPr="004B33A2">
        <w:t>É</w:t>
      </w:r>
      <w:r w:rsidRPr="004B33A2">
        <w:rPr>
          <w:rFonts w:asciiTheme="minorHAnsi" w:hAnsiTheme="minorHAnsi"/>
        </w:rPr>
        <w:t>tats Membres ainsi que le rôle crucial du large bande dans la réduction de la fracture numérique. Un Conseiller suggère d'établir des liens directs dans le rapport entre les activités de l'UIT et le Plan d'action pour la coopération numérique du Secrétaire général de l</w:t>
      </w:r>
      <w:r w:rsidR="00135181" w:rsidRPr="004B33A2">
        <w:rPr>
          <w:rFonts w:asciiTheme="minorHAnsi" w:hAnsiTheme="minorHAnsi"/>
        </w:rPr>
        <w:t>'</w:t>
      </w:r>
      <w:r w:rsidRPr="004B33A2">
        <w:rPr>
          <w:rFonts w:asciiTheme="minorHAnsi" w:hAnsiTheme="minorHAnsi"/>
        </w:rPr>
        <w:t>ONU</w:t>
      </w:r>
      <w:r w:rsidR="00135181" w:rsidRPr="004B33A2">
        <w:rPr>
          <w:rFonts w:asciiTheme="minorHAnsi" w:hAnsiTheme="minorHAnsi"/>
        </w:rPr>
        <w:t>,</w:t>
      </w:r>
      <w:r w:rsidRPr="004B33A2">
        <w:rPr>
          <w:rFonts w:asciiTheme="minorHAnsi" w:hAnsiTheme="minorHAnsi"/>
        </w:rPr>
        <w:t xml:space="preserve"> ainsi que l'initiative intitulée "Notre programme commun".</w:t>
      </w:r>
    </w:p>
    <w:p w14:paraId="7FC25088" w14:textId="59A70D7E" w:rsidR="001B4495" w:rsidRPr="004B33A2" w:rsidRDefault="001B4495" w:rsidP="008504EA">
      <w:pPr>
        <w:rPr>
          <w:rFonts w:asciiTheme="minorHAnsi" w:hAnsiTheme="minorHAnsi"/>
        </w:rPr>
      </w:pPr>
      <w:r w:rsidRPr="004B33A2">
        <w:rPr>
          <w:rFonts w:asciiTheme="minorHAnsi" w:hAnsiTheme="minorHAnsi"/>
        </w:rPr>
        <w:t>1.3</w:t>
      </w:r>
      <w:r w:rsidRPr="004B33A2">
        <w:rPr>
          <w:rFonts w:asciiTheme="minorHAnsi" w:hAnsiTheme="minorHAnsi"/>
        </w:rPr>
        <w:tab/>
        <w:t xml:space="preserve">Le représentant du Secrétariat général fait observer que les renseignements concernant la contribution de l'UIT aux efforts déployés par le Secrétaire général de l'ONU dans ce domaine seront inclus dans des rapports futurs. Il rappelle que, conformément au point 7 du </w:t>
      </w:r>
      <w:r w:rsidRPr="004B33A2">
        <w:rPr>
          <w:rFonts w:asciiTheme="minorHAnsi" w:hAnsiTheme="minorHAnsi"/>
          <w:i/>
        </w:rPr>
        <w:t xml:space="preserve">charge le Secrétaire général </w:t>
      </w:r>
      <w:r w:rsidRPr="004B33A2">
        <w:rPr>
          <w:rFonts w:asciiTheme="minorHAnsi" w:hAnsiTheme="minorHAnsi"/>
        </w:rPr>
        <w:t>de la Résolution 102 (</w:t>
      </w:r>
      <w:r w:rsidRPr="004B33A2">
        <w:rPr>
          <w:lang w:eastAsia="zh-CN"/>
        </w:rPr>
        <w:t>Rév. Dubaï, 2018</w:t>
      </w:r>
      <w:r w:rsidRPr="004B33A2">
        <w:rPr>
          <w:rFonts w:asciiTheme="minorHAnsi" w:hAnsiTheme="minorHAnsi"/>
        </w:rPr>
        <w:t xml:space="preserve">), les commentaires des </w:t>
      </w:r>
      <w:r w:rsidRPr="004B33A2">
        <w:t>É</w:t>
      </w:r>
      <w:r w:rsidRPr="004B33A2">
        <w:rPr>
          <w:rFonts w:asciiTheme="minorHAnsi" w:hAnsiTheme="minorHAnsi"/>
        </w:rPr>
        <w:t xml:space="preserve">tats Membres </w:t>
      </w:r>
      <w:r w:rsidR="004008C1" w:rsidRPr="004B33A2">
        <w:rPr>
          <w:rFonts w:asciiTheme="minorHAnsi" w:hAnsiTheme="minorHAnsi"/>
        </w:rPr>
        <w:t xml:space="preserve">sur le rapport, </w:t>
      </w:r>
      <w:r w:rsidR="004D39D8" w:rsidRPr="004B33A2">
        <w:rPr>
          <w:rFonts w:asciiTheme="minorHAnsi" w:hAnsiTheme="minorHAnsi"/>
        </w:rPr>
        <w:t>tels que consignés</w:t>
      </w:r>
      <w:r w:rsidR="00BF040A" w:rsidRPr="004B33A2">
        <w:rPr>
          <w:rFonts w:asciiTheme="minorHAnsi" w:hAnsiTheme="minorHAnsi"/>
        </w:rPr>
        <w:t xml:space="preserve"> dans le</w:t>
      </w:r>
      <w:r w:rsidR="006C1C40" w:rsidRPr="004B33A2">
        <w:rPr>
          <w:rFonts w:asciiTheme="minorHAnsi" w:hAnsiTheme="minorHAnsi"/>
        </w:rPr>
        <w:t>s</w:t>
      </w:r>
      <w:r w:rsidR="00BF040A" w:rsidRPr="004B33A2">
        <w:rPr>
          <w:rFonts w:asciiTheme="minorHAnsi" w:hAnsiTheme="minorHAnsi"/>
        </w:rPr>
        <w:t xml:space="preserve"> comp</w:t>
      </w:r>
      <w:r w:rsidR="006D5E96" w:rsidRPr="004B33A2">
        <w:rPr>
          <w:rFonts w:asciiTheme="minorHAnsi" w:hAnsiTheme="minorHAnsi"/>
        </w:rPr>
        <w:t>te</w:t>
      </w:r>
      <w:r w:rsidR="00BA615E" w:rsidRPr="004B33A2">
        <w:rPr>
          <w:rFonts w:asciiTheme="minorHAnsi" w:hAnsiTheme="minorHAnsi"/>
        </w:rPr>
        <w:t>s</w:t>
      </w:r>
      <w:r w:rsidR="006D5E96" w:rsidRPr="004B33A2">
        <w:rPr>
          <w:rFonts w:asciiTheme="minorHAnsi" w:hAnsiTheme="minorHAnsi"/>
        </w:rPr>
        <w:t xml:space="preserve"> rendu</w:t>
      </w:r>
      <w:r w:rsidR="00BA615E" w:rsidRPr="004B33A2">
        <w:rPr>
          <w:rFonts w:asciiTheme="minorHAnsi" w:hAnsiTheme="minorHAnsi"/>
        </w:rPr>
        <w:t>s</w:t>
      </w:r>
      <w:r w:rsidR="006D5E96" w:rsidRPr="004B33A2">
        <w:rPr>
          <w:rFonts w:asciiTheme="minorHAnsi" w:hAnsiTheme="minorHAnsi"/>
        </w:rPr>
        <w:t xml:space="preserve">, </w:t>
      </w:r>
      <w:r w:rsidRPr="004B33A2">
        <w:rPr>
          <w:rFonts w:asciiTheme="minorHAnsi" w:hAnsiTheme="minorHAnsi"/>
        </w:rPr>
        <w:t>seront soumis au Secrétaire général de l'ONU.</w:t>
      </w:r>
    </w:p>
    <w:p w14:paraId="5C985E20" w14:textId="181DBD11" w:rsidR="001B4495" w:rsidRPr="004B33A2" w:rsidRDefault="001B4495" w:rsidP="008504EA">
      <w:pPr>
        <w:rPr>
          <w:rFonts w:asciiTheme="minorHAnsi" w:hAnsiTheme="minorHAnsi"/>
        </w:rPr>
      </w:pPr>
      <w:r w:rsidRPr="004B33A2">
        <w:rPr>
          <w:rFonts w:asciiTheme="minorHAnsi" w:hAnsiTheme="minorHAnsi"/>
        </w:rPr>
        <w:t>1.4</w:t>
      </w:r>
      <w:r w:rsidRPr="004B33A2">
        <w:rPr>
          <w:rFonts w:asciiTheme="minorHAnsi" w:hAnsiTheme="minorHAnsi"/>
        </w:rPr>
        <w:tab/>
        <w:t xml:space="preserve">Le Conseil </w:t>
      </w:r>
      <w:r w:rsidRPr="004B33A2">
        <w:rPr>
          <w:rFonts w:asciiTheme="minorHAnsi" w:hAnsiTheme="minorHAnsi"/>
          <w:b/>
        </w:rPr>
        <w:t xml:space="preserve">prend note </w:t>
      </w:r>
      <w:r w:rsidRPr="004B33A2">
        <w:rPr>
          <w:rFonts w:asciiTheme="minorHAnsi" w:hAnsiTheme="minorHAnsi"/>
        </w:rPr>
        <w:t xml:space="preserve">du rapport figurant dans le Document C22/33 et </w:t>
      </w:r>
      <w:r w:rsidRPr="004B33A2">
        <w:rPr>
          <w:rFonts w:asciiTheme="minorHAnsi" w:hAnsiTheme="minorHAnsi"/>
          <w:b/>
        </w:rPr>
        <w:t>approuve</w:t>
      </w:r>
      <w:r w:rsidRPr="004B33A2">
        <w:rPr>
          <w:rFonts w:asciiTheme="minorHAnsi" w:hAnsiTheme="minorHAnsi"/>
        </w:rPr>
        <w:t xml:space="preserve"> la transmission de celui-ci</w:t>
      </w:r>
      <w:r w:rsidR="00135181" w:rsidRPr="004B33A2">
        <w:rPr>
          <w:rFonts w:asciiTheme="minorHAnsi" w:hAnsiTheme="minorHAnsi"/>
        </w:rPr>
        <w:t>,</w:t>
      </w:r>
      <w:r w:rsidRPr="004B33A2">
        <w:rPr>
          <w:rFonts w:asciiTheme="minorHAnsi" w:hAnsiTheme="minorHAnsi"/>
        </w:rPr>
        <w:t xml:space="preserve"> assorti d</w:t>
      </w:r>
      <w:r w:rsidR="00135181" w:rsidRPr="004B33A2">
        <w:rPr>
          <w:rFonts w:asciiTheme="minorHAnsi" w:hAnsiTheme="minorHAnsi"/>
        </w:rPr>
        <w:t>'</w:t>
      </w:r>
      <w:r w:rsidRPr="004B33A2">
        <w:rPr>
          <w:rFonts w:asciiTheme="minorHAnsi" w:hAnsiTheme="minorHAnsi"/>
        </w:rPr>
        <w:t>une</w:t>
      </w:r>
      <w:r w:rsidRPr="004B33A2">
        <w:rPr>
          <w:lang w:eastAsia="zh-CN"/>
        </w:rPr>
        <w:t xml:space="preserve"> compilation regroupant les vues des</w:t>
      </w:r>
      <w:r w:rsidR="00135181" w:rsidRPr="004B33A2">
        <w:rPr>
          <w:lang w:eastAsia="zh-CN"/>
        </w:rPr>
        <w:t xml:space="preserve"> </w:t>
      </w:r>
      <w:r w:rsidRPr="004B33A2">
        <w:rPr>
          <w:lang w:eastAsia="zh-CN"/>
        </w:rPr>
        <w:t xml:space="preserve">États Membres </w:t>
      </w:r>
      <w:r w:rsidR="004D39D8" w:rsidRPr="004B33A2">
        <w:rPr>
          <w:lang w:eastAsia="zh-CN"/>
        </w:rPr>
        <w:t xml:space="preserve">et figurant </w:t>
      </w:r>
      <w:r w:rsidR="00170919" w:rsidRPr="004B33A2">
        <w:rPr>
          <w:lang w:eastAsia="zh-CN"/>
        </w:rPr>
        <w:t xml:space="preserve">dans le </w:t>
      </w:r>
      <w:r w:rsidRPr="004B33A2">
        <w:rPr>
          <w:color w:val="000000"/>
        </w:rPr>
        <w:t>compte rendu pertinent, ainsi que d'une lettre de couverture appropriée</w:t>
      </w:r>
      <w:r w:rsidR="00621665" w:rsidRPr="004B33A2">
        <w:rPr>
          <w:color w:val="000000"/>
        </w:rPr>
        <w:t xml:space="preserve"> </w:t>
      </w:r>
      <w:r w:rsidRPr="004B33A2">
        <w:rPr>
          <w:lang w:eastAsia="zh-CN"/>
        </w:rPr>
        <w:t>au Secrétaire général de l'ONU</w:t>
      </w:r>
      <w:r w:rsidR="00621665" w:rsidRPr="004B33A2">
        <w:rPr>
          <w:lang w:eastAsia="zh-CN"/>
        </w:rPr>
        <w:t>.</w:t>
      </w:r>
    </w:p>
    <w:p w14:paraId="5C5FE10B" w14:textId="77777777" w:rsidR="001B4495" w:rsidRPr="004B33A2" w:rsidRDefault="001B4495" w:rsidP="00621665">
      <w:pPr>
        <w:pStyle w:val="Heading1"/>
      </w:pPr>
      <w:r w:rsidRPr="004B33A2">
        <w:t>2</w:t>
      </w:r>
      <w:r w:rsidRPr="004B33A2">
        <w:tab/>
        <w:t>Activités de l'UIT relatives au renforcement du rôle de l'Union dans l'instauration de la confiance et de la sécurité dans l'utilisation des TIC (Document C22/18)</w:t>
      </w:r>
    </w:p>
    <w:p w14:paraId="654940A8" w14:textId="7FEF8829" w:rsidR="001B4495" w:rsidRPr="004B33A2" w:rsidRDefault="001B4495" w:rsidP="008504EA">
      <w:pPr>
        <w:rPr>
          <w:rFonts w:asciiTheme="minorHAnsi" w:hAnsiTheme="minorHAnsi"/>
          <w:szCs w:val="24"/>
        </w:rPr>
      </w:pPr>
      <w:r w:rsidRPr="004B33A2">
        <w:rPr>
          <w:rFonts w:asciiTheme="minorHAnsi" w:hAnsiTheme="minorHAnsi"/>
          <w:szCs w:val="24"/>
        </w:rPr>
        <w:t>2.1</w:t>
      </w:r>
      <w:r w:rsidRPr="004B33A2">
        <w:rPr>
          <w:rFonts w:asciiTheme="minorHAnsi" w:hAnsiTheme="minorHAnsi"/>
          <w:szCs w:val="24"/>
        </w:rPr>
        <w:tab/>
        <w:t xml:space="preserve">Le représentant du Secrétariat général présente le Document </w:t>
      </w:r>
      <w:hyperlink r:id="rId16" w:history="1">
        <w:r w:rsidRPr="004B33A2">
          <w:rPr>
            <w:rStyle w:val="Hyperlink"/>
            <w:rFonts w:asciiTheme="minorHAnsi" w:hAnsiTheme="minorHAnsi"/>
            <w:szCs w:val="24"/>
          </w:rPr>
          <w:t>C22/18</w:t>
        </w:r>
      </w:hyperlink>
      <w:r w:rsidRPr="004B33A2">
        <w:rPr>
          <w:rFonts w:asciiTheme="minorHAnsi" w:hAnsiTheme="minorHAnsi"/>
          <w:szCs w:val="24"/>
        </w:rPr>
        <w:t>, qui</w:t>
      </w:r>
      <w:r w:rsidR="00135181" w:rsidRPr="004B33A2">
        <w:rPr>
          <w:rFonts w:asciiTheme="minorHAnsi" w:hAnsiTheme="minorHAnsi"/>
          <w:szCs w:val="24"/>
        </w:rPr>
        <w:t xml:space="preserve"> </w:t>
      </w:r>
      <w:r w:rsidRPr="004B33A2">
        <w:rPr>
          <w:rFonts w:asciiTheme="minorHAnsi" w:hAnsiTheme="minorHAnsi"/>
          <w:szCs w:val="24"/>
        </w:rPr>
        <w:t>traite brièvement des</w:t>
      </w:r>
      <w:r w:rsidRPr="004B33A2">
        <w:t xml:space="preserve"> activités menées par l'UIT en 2021 au titre de la Résolution 130 (Rév. Dubaï, 2018)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w:t>
      </w:r>
      <w:r w:rsidR="00135181" w:rsidRPr="004B33A2">
        <w:t xml:space="preserve"> </w:t>
      </w:r>
      <w:r w:rsidRPr="004B33A2">
        <w:t>TIC.</w:t>
      </w:r>
      <w:r w:rsidRPr="004B33A2">
        <w:rPr>
          <w:rFonts w:asciiTheme="minorHAnsi" w:hAnsiTheme="minorHAnsi"/>
          <w:szCs w:val="24"/>
        </w:rPr>
        <w:t xml:space="preserve"> Une version révisée du document contenant de légères modifications de forme sera publiée en temps voulu.</w:t>
      </w:r>
    </w:p>
    <w:p w14:paraId="464248D1" w14:textId="41DCD2BB" w:rsidR="001B4495" w:rsidRPr="004B33A2" w:rsidRDefault="001B4495" w:rsidP="008504EA">
      <w:pPr>
        <w:rPr>
          <w:rFonts w:asciiTheme="minorHAnsi" w:hAnsiTheme="minorHAnsi"/>
          <w:szCs w:val="24"/>
        </w:rPr>
      </w:pPr>
      <w:r w:rsidRPr="004B33A2">
        <w:rPr>
          <w:rFonts w:asciiTheme="minorHAnsi" w:hAnsiTheme="minorHAnsi"/>
          <w:szCs w:val="24"/>
        </w:rPr>
        <w:t>2.2</w:t>
      </w:r>
      <w:r w:rsidRPr="004B33A2">
        <w:rPr>
          <w:rFonts w:asciiTheme="minorHAnsi" w:hAnsiTheme="minorHAnsi"/>
          <w:szCs w:val="24"/>
        </w:rPr>
        <w:tab/>
        <w:t>Les Conseillers se félicitent des renseignements fournis dans le rapport. Compte tenu de l'importance des TIC dans la vie quotidienne,</w:t>
      </w:r>
      <w:r w:rsidR="00135181" w:rsidRPr="004B33A2">
        <w:rPr>
          <w:rFonts w:asciiTheme="minorHAnsi" w:hAnsiTheme="minorHAnsi"/>
          <w:szCs w:val="24"/>
        </w:rPr>
        <w:t xml:space="preserve"> </w:t>
      </w:r>
      <w:r w:rsidRPr="004B33A2">
        <w:rPr>
          <w:rFonts w:asciiTheme="minorHAnsi" w:hAnsiTheme="minorHAnsi"/>
          <w:szCs w:val="24"/>
        </w:rPr>
        <w:t>notamment à la suite</w:t>
      </w:r>
      <w:r w:rsidR="00135181" w:rsidRPr="004B33A2">
        <w:rPr>
          <w:rFonts w:asciiTheme="minorHAnsi" w:hAnsiTheme="minorHAnsi"/>
          <w:szCs w:val="24"/>
        </w:rPr>
        <w:t xml:space="preserve"> </w:t>
      </w:r>
      <w:r w:rsidRPr="004B33A2">
        <w:rPr>
          <w:rFonts w:asciiTheme="minorHAnsi" w:hAnsiTheme="minorHAnsi"/>
          <w:szCs w:val="24"/>
        </w:rPr>
        <w:t>des</w:t>
      </w:r>
      <w:r w:rsidR="00135181" w:rsidRPr="004B33A2">
        <w:rPr>
          <w:rFonts w:asciiTheme="minorHAnsi" w:hAnsiTheme="minorHAnsi"/>
          <w:szCs w:val="24"/>
        </w:rPr>
        <w:t xml:space="preserve"> </w:t>
      </w:r>
      <w:r w:rsidRPr="004B33A2">
        <w:rPr>
          <w:rFonts w:asciiTheme="minorHAnsi" w:hAnsiTheme="minorHAnsi"/>
          <w:szCs w:val="24"/>
        </w:rPr>
        <w:t>problèmes</w:t>
      </w:r>
      <w:r w:rsidR="00135181" w:rsidRPr="004B33A2">
        <w:rPr>
          <w:rFonts w:asciiTheme="minorHAnsi" w:hAnsiTheme="minorHAnsi"/>
          <w:szCs w:val="24"/>
        </w:rPr>
        <w:t xml:space="preserve"> </w:t>
      </w:r>
      <w:r w:rsidRPr="004B33A2">
        <w:rPr>
          <w:rFonts w:asciiTheme="minorHAnsi" w:hAnsiTheme="minorHAnsi"/>
          <w:szCs w:val="24"/>
        </w:rPr>
        <w:t>liés à la pandémie de COVID-19, il est indispensable</w:t>
      </w:r>
      <w:r w:rsidR="00135181" w:rsidRPr="004B33A2">
        <w:rPr>
          <w:rFonts w:asciiTheme="minorHAnsi" w:hAnsiTheme="minorHAnsi"/>
          <w:szCs w:val="24"/>
        </w:rPr>
        <w:t xml:space="preserve"> </w:t>
      </w:r>
      <w:r w:rsidRPr="004B33A2">
        <w:rPr>
          <w:rFonts w:asciiTheme="minorHAnsi" w:hAnsiTheme="minorHAnsi"/>
          <w:szCs w:val="24"/>
        </w:rPr>
        <w:t>de renforcer la cybersécurité et d'instaurer la confiance dans l'utilisation des TIC. Les participants saluent le rôle de l'Union à cet égard. Un Conseiller souligne l</w:t>
      </w:r>
      <w:r w:rsidR="00135181" w:rsidRPr="004B33A2">
        <w:rPr>
          <w:rFonts w:asciiTheme="minorHAnsi" w:hAnsiTheme="minorHAnsi"/>
          <w:szCs w:val="24"/>
        </w:rPr>
        <w:t>'</w:t>
      </w:r>
      <w:r w:rsidRPr="004B33A2">
        <w:rPr>
          <w:rFonts w:asciiTheme="minorHAnsi" w:hAnsiTheme="minorHAnsi"/>
          <w:szCs w:val="24"/>
        </w:rPr>
        <w:t>importance particulière que revêtent les activités de l'Union</w:t>
      </w:r>
      <w:r w:rsidR="00135181" w:rsidRPr="004B33A2">
        <w:rPr>
          <w:rFonts w:asciiTheme="minorHAnsi" w:hAnsiTheme="minorHAnsi"/>
          <w:szCs w:val="24"/>
        </w:rPr>
        <w:t xml:space="preserve"> </w:t>
      </w:r>
      <w:r w:rsidRPr="004B33A2">
        <w:rPr>
          <w:rFonts w:asciiTheme="minorHAnsi" w:hAnsiTheme="minorHAnsi"/>
          <w:szCs w:val="24"/>
        </w:rPr>
        <w:t>dans les domaines du renforcement des capacités, de la protection en ligne des enfants et de la coopération internationale. Un autre Conseiller se félicite de l'assistance fournie par l'UIT dans la création d'un centre d'intervention en cas d'incident informatique dans son pays et encourage</w:t>
      </w:r>
      <w:r w:rsidR="00135181" w:rsidRPr="004B33A2">
        <w:rPr>
          <w:rFonts w:asciiTheme="minorHAnsi" w:hAnsiTheme="minorHAnsi"/>
          <w:szCs w:val="24"/>
        </w:rPr>
        <w:t xml:space="preserve"> </w:t>
      </w:r>
      <w:r w:rsidRPr="004B33A2">
        <w:rPr>
          <w:rFonts w:asciiTheme="minorHAnsi" w:hAnsiTheme="minorHAnsi"/>
          <w:szCs w:val="24"/>
        </w:rPr>
        <w:t>l'Union à promouvoir des initiatives similaires ailleurs et à</w:t>
      </w:r>
      <w:r w:rsidR="00135181" w:rsidRPr="004B33A2">
        <w:rPr>
          <w:rFonts w:asciiTheme="minorHAnsi" w:hAnsiTheme="minorHAnsi"/>
          <w:szCs w:val="24"/>
        </w:rPr>
        <w:t xml:space="preserve"> </w:t>
      </w:r>
      <w:r w:rsidRPr="004B33A2">
        <w:rPr>
          <w:rFonts w:asciiTheme="minorHAnsi" w:hAnsiTheme="minorHAnsi"/>
          <w:szCs w:val="24"/>
        </w:rPr>
        <w:t>mobiliser des</w:t>
      </w:r>
      <w:r w:rsidR="00135181" w:rsidRPr="004B33A2">
        <w:rPr>
          <w:rFonts w:asciiTheme="minorHAnsi" w:hAnsiTheme="minorHAnsi"/>
          <w:szCs w:val="24"/>
        </w:rPr>
        <w:t xml:space="preserve"> </w:t>
      </w:r>
      <w:r w:rsidRPr="004B33A2">
        <w:rPr>
          <w:rFonts w:asciiTheme="minorHAnsi" w:hAnsiTheme="minorHAnsi"/>
          <w:szCs w:val="24"/>
        </w:rPr>
        <w:t>partenaires</w:t>
      </w:r>
      <w:r w:rsidR="00135181" w:rsidRPr="004B33A2">
        <w:rPr>
          <w:rFonts w:asciiTheme="minorHAnsi" w:hAnsiTheme="minorHAnsi"/>
          <w:szCs w:val="24"/>
        </w:rPr>
        <w:t xml:space="preserve"> </w:t>
      </w:r>
      <w:r w:rsidRPr="004B33A2">
        <w:rPr>
          <w:rFonts w:asciiTheme="minorHAnsi" w:hAnsiTheme="minorHAnsi"/>
          <w:szCs w:val="24"/>
        </w:rPr>
        <w:t>pour qu</w:t>
      </w:r>
      <w:r w:rsidR="00135181" w:rsidRPr="004B33A2">
        <w:rPr>
          <w:rFonts w:asciiTheme="minorHAnsi" w:hAnsiTheme="minorHAnsi"/>
          <w:szCs w:val="24"/>
        </w:rPr>
        <w:t>'</w:t>
      </w:r>
      <w:r w:rsidRPr="004B33A2">
        <w:rPr>
          <w:rFonts w:asciiTheme="minorHAnsi" w:hAnsiTheme="minorHAnsi"/>
          <w:szCs w:val="24"/>
        </w:rPr>
        <w:t xml:space="preserve">ils </w:t>
      </w:r>
      <w:r w:rsidRPr="004B33A2">
        <w:rPr>
          <w:rFonts w:asciiTheme="minorHAnsi" w:hAnsiTheme="minorHAnsi"/>
          <w:szCs w:val="24"/>
        </w:rPr>
        <w:lastRenderedPageBreak/>
        <w:t>appuient les</w:t>
      </w:r>
      <w:r w:rsidR="00135181" w:rsidRPr="004B33A2">
        <w:rPr>
          <w:rFonts w:asciiTheme="minorHAnsi" w:hAnsiTheme="minorHAnsi"/>
          <w:szCs w:val="24"/>
        </w:rPr>
        <w:t xml:space="preserve"> </w:t>
      </w:r>
      <w:r w:rsidRPr="004B33A2">
        <w:rPr>
          <w:rFonts w:asciiTheme="minorHAnsi" w:hAnsiTheme="minorHAnsi"/>
          <w:szCs w:val="24"/>
        </w:rPr>
        <w:t xml:space="preserve">projets de ce type. Il est proposé que l'UIT aide les </w:t>
      </w:r>
      <w:r w:rsidRPr="004B33A2">
        <w:rPr>
          <w:szCs w:val="24"/>
        </w:rPr>
        <w:t>É</w:t>
      </w:r>
      <w:r w:rsidRPr="004B33A2">
        <w:rPr>
          <w:rFonts w:asciiTheme="minorHAnsi" w:hAnsiTheme="minorHAnsi"/>
          <w:szCs w:val="24"/>
        </w:rPr>
        <w:t>tats Membres à se préparer en cas de cybermenaces et d'attaques, en</w:t>
      </w:r>
      <w:r w:rsidR="00135181" w:rsidRPr="004B33A2">
        <w:rPr>
          <w:rFonts w:asciiTheme="minorHAnsi" w:hAnsiTheme="minorHAnsi"/>
          <w:szCs w:val="24"/>
        </w:rPr>
        <w:t xml:space="preserve"> </w:t>
      </w:r>
      <w:r w:rsidRPr="004B33A2">
        <w:rPr>
          <w:rFonts w:asciiTheme="minorHAnsi" w:hAnsiTheme="minorHAnsi"/>
          <w:szCs w:val="24"/>
        </w:rPr>
        <w:t>élaborant</w:t>
      </w:r>
      <w:r w:rsidR="00135181" w:rsidRPr="004B33A2">
        <w:rPr>
          <w:rFonts w:asciiTheme="minorHAnsi" w:hAnsiTheme="minorHAnsi"/>
          <w:szCs w:val="24"/>
        </w:rPr>
        <w:t xml:space="preserve"> </w:t>
      </w:r>
      <w:r w:rsidRPr="004B33A2">
        <w:rPr>
          <w:rFonts w:asciiTheme="minorHAnsi" w:hAnsiTheme="minorHAnsi"/>
          <w:szCs w:val="24"/>
        </w:rPr>
        <w:t>un plan type d'intervention en cas d'incident,</w:t>
      </w:r>
      <w:r w:rsidR="00135181" w:rsidRPr="004B33A2">
        <w:rPr>
          <w:rFonts w:asciiTheme="minorHAnsi" w:hAnsiTheme="minorHAnsi"/>
          <w:szCs w:val="24"/>
        </w:rPr>
        <w:t xml:space="preserve"> </w:t>
      </w:r>
      <w:r w:rsidRPr="004B33A2">
        <w:rPr>
          <w:rFonts w:asciiTheme="minorHAnsi" w:hAnsiTheme="minorHAnsi"/>
          <w:szCs w:val="24"/>
        </w:rPr>
        <w:t>qui sera adapté au niveau national.</w:t>
      </w:r>
    </w:p>
    <w:p w14:paraId="77F06751" w14:textId="23478B3A" w:rsidR="001B4495" w:rsidRPr="004B33A2" w:rsidRDefault="001B4495" w:rsidP="008504EA">
      <w:pPr>
        <w:rPr>
          <w:rFonts w:asciiTheme="minorHAnsi" w:hAnsiTheme="minorHAnsi"/>
          <w:szCs w:val="24"/>
        </w:rPr>
      </w:pPr>
      <w:r w:rsidRPr="004B33A2">
        <w:rPr>
          <w:rFonts w:asciiTheme="minorHAnsi" w:hAnsiTheme="minorHAnsi"/>
          <w:szCs w:val="24"/>
        </w:rPr>
        <w:t>2.3</w:t>
      </w:r>
      <w:r w:rsidRPr="004B33A2">
        <w:rPr>
          <w:rFonts w:asciiTheme="minorHAnsi" w:hAnsiTheme="minorHAnsi"/>
          <w:szCs w:val="24"/>
        </w:rPr>
        <w:tab/>
        <w:t xml:space="preserve">Un Conseiller s'enquiert de la coopération au titre du Programme de cybersécurité de l'Organisation des </w:t>
      </w:r>
      <w:r w:rsidRPr="004B33A2">
        <w:rPr>
          <w:szCs w:val="24"/>
        </w:rPr>
        <w:t>É</w:t>
      </w:r>
      <w:r w:rsidRPr="004B33A2">
        <w:rPr>
          <w:rFonts w:asciiTheme="minorHAnsi" w:hAnsiTheme="minorHAnsi"/>
          <w:szCs w:val="24"/>
        </w:rPr>
        <w:t>tats américains (OEA), qui,</w:t>
      </w:r>
      <w:r w:rsidR="00135181" w:rsidRPr="004B33A2">
        <w:rPr>
          <w:rFonts w:asciiTheme="minorHAnsi" w:hAnsiTheme="minorHAnsi"/>
          <w:szCs w:val="24"/>
        </w:rPr>
        <w:t xml:space="preserve"> </w:t>
      </w:r>
      <w:r w:rsidRPr="004B33A2">
        <w:rPr>
          <w:rFonts w:asciiTheme="minorHAnsi" w:hAnsiTheme="minorHAnsi"/>
          <w:szCs w:val="24"/>
        </w:rPr>
        <w:t>bien qu</w:t>
      </w:r>
      <w:r w:rsidR="00135181" w:rsidRPr="004B33A2">
        <w:rPr>
          <w:rFonts w:asciiTheme="minorHAnsi" w:hAnsiTheme="minorHAnsi"/>
          <w:szCs w:val="24"/>
        </w:rPr>
        <w:t>'</w:t>
      </w:r>
      <w:r w:rsidRPr="004B33A2">
        <w:rPr>
          <w:rFonts w:asciiTheme="minorHAnsi" w:hAnsiTheme="minorHAnsi"/>
          <w:szCs w:val="24"/>
        </w:rPr>
        <w:t>elle soit très active dans sa région,</w:t>
      </w:r>
      <w:r w:rsidR="00135181" w:rsidRPr="004B33A2">
        <w:rPr>
          <w:rFonts w:asciiTheme="minorHAnsi" w:hAnsiTheme="minorHAnsi"/>
          <w:szCs w:val="24"/>
        </w:rPr>
        <w:t xml:space="preserve"> </w:t>
      </w:r>
      <w:r w:rsidRPr="004B33A2">
        <w:rPr>
          <w:rFonts w:asciiTheme="minorHAnsi" w:hAnsiTheme="minorHAnsi"/>
          <w:szCs w:val="24"/>
        </w:rPr>
        <w:t>n</w:t>
      </w:r>
      <w:r w:rsidR="00135181" w:rsidRPr="004B33A2">
        <w:rPr>
          <w:rFonts w:asciiTheme="minorHAnsi" w:hAnsiTheme="minorHAnsi"/>
          <w:szCs w:val="24"/>
        </w:rPr>
        <w:t>'</w:t>
      </w:r>
      <w:r w:rsidRPr="004B33A2">
        <w:rPr>
          <w:rFonts w:asciiTheme="minorHAnsi" w:hAnsiTheme="minorHAnsi"/>
          <w:szCs w:val="24"/>
        </w:rPr>
        <w:t>est pas</w:t>
      </w:r>
      <w:r w:rsidR="00135181" w:rsidRPr="004B33A2">
        <w:rPr>
          <w:rFonts w:asciiTheme="minorHAnsi" w:hAnsiTheme="minorHAnsi"/>
          <w:szCs w:val="24"/>
        </w:rPr>
        <w:t xml:space="preserve"> </w:t>
      </w:r>
      <w:r w:rsidRPr="004B33A2">
        <w:rPr>
          <w:rFonts w:asciiTheme="minorHAnsi" w:hAnsiTheme="minorHAnsi"/>
          <w:szCs w:val="24"/>
        </w:rPr>
        <w:t>évoquée dans la section 6 du document. Un autre Conseiller demande des</w:t>
      </w:r>
      <w:r w:rsidR="00135181" w:rsidRPr="004B33A2">
        <w:rPr>
          <w:rFonts w:asciiTheme="minorHAnsi" w:hAnsiTheme="minorHAnsi"/>
          <w:szCs w:val="24"/>
        </w:rPr>
        <w:t xml:space="preserve"> </w:t>
      </w:r>
      <w:r w:rsidRPr="004B33A2">
        <w:rPr>
          <w:rFonts w:asciiTheme="minorHAnsi" w:hAnsiTheme="minorHAnsi"/>
          <w:szCs w:val="24"/>
        </w:rPr>
        <w:t xml:space="preserve">renseignements complémentaires sur les activités menées au titre de la Résolution 174 </w:t>
      </w:r>
      <w:bookmarkStart w:id="8" w:name="_Hlk99263170"/>
      <w:r w:rsidRPr="004B33A2">
        <w:rPr>
          <w:rFonts w:asciiTheme="minorHAnsi" w:hAnsiTheme="minorHAnsi"/>
          <w:szCs w:val="24"/>
        </w:rPr>
        <w:t>(Rév. Busan, 2014)</w:t>
      </w:r>
      <w:bookmarkEnd w:id="8"/>
      <w:r w:rsidRPr="004B33A2">
        <w:rPr>
          <w:rFonts w:asciiTheme="minorHAnsi" w:hAnsiTheme="minorHAnsi"/>
          <w:szCs w:val="24"/>
        </w:rPr>
        <w:t xml:space="preserve"> de la PP et pense qu</w:t>
      </w:r>
      <w:r w:rsidR="00135181" w:rsidRPr="004B33A2">
        <w:rPr>
          <w:rFonts w:asciiTheme="minorHAnsi" w:hAnsiTheme="minorHAnsi"/>
          <w:szCs w:val="24"/>
        </w:rPr>
        <w:t>'</w:t>
      </w:r>
      <w:r w:rsidRPr="004B33A2">
        <w:rPr>
          <w:rFonts w:asciiTheme="minorHAnsi" w:hAnsiTheme="minorHAnsi"/>
          <w:szCs w:val="24"/>
        </w:rPr>
        <w:t>il serait utile d'établir des liens</w:t>
      </w:r>
      <w:r w:rsidR="00135181" w:rsidRPr="004B33A2">
        <w:rPr>
          <w:rFonts w:asciiTheme="minorHAnsi" w:hAnsiTheme="minorHAnsi"/>
          <w:szCs w:val="24"/>
        </w:rPr>
        <w:t xml:space="preserve"> </w:t>
      </w:r>
      <w:r w:rsidRPr="004B33A2">
        <w:rPr>
          <w:rFonts w:asciiTheme="minorHAnsi" w:hAnsiTheme="minorHAnsi"/>
          <w:szCs w:val="24"/>
        </w:rPr>
        <w:t xml:space="preserve">avec les mesures de renforcement des capacités dans le cadre des activités </w:t>
      </w:r>
      <w:r w:rsidRPr="004B33A2">
        <w:t>conduites dans l</w:t>
      </w:r>
      <w:r w:rsidR="00135181" w:rsidRPr="004B33A2">
        <w:t>'</w:t>
      </w:r>
      <w:r w:rsidRPr="004B33A2">
        <w:t>espace extra-atmosphérique</w:t>
      </w:r>
      <w:r w:rsidR="00135181" w:rsidRPr="004B33A2">
        <w:t xml:space="preserve"> </w:t>
      </w:r>
      <w:r w:rsidRPr="004B33A2">
        <w:rPr>
          <w:rFonts w:asciiTheme="minorHAnsi" w:hAnsiTheme="minorHAnsi"/>
          <w:szCs w:val="24"/>
        </w:rPr>
        <w:t>au titre de la Résolution 186 (Rév. Dubaï, 2018) de la PP. Un troisième Conseiller demande si une formation en ligne continue et des activités de renforcement des capacités en matière de protection en ligne des enfants seront assurées, d'autant que de nouveaux problèmes</w:t>
      </w:r>
      <w:r w:rsidR="00135181" w:rsidRPr="004B33A2">
        <w:rPr>
          <w:rFonts w:asciiTheme="minorHAnsi" w:hAnsiTheme="minorHAnsi"/>
          <w:szCs w:val="24"/>
        </w:rPr>
        <w:t xml:space="preserve"> </w:t>
      </w:r>
      <w:r w:rsidRPr="004B33A2">
        <w:rPr>
          <w:rFonts w:asciiTheme="minorHAnsi" w:hAnsiTheme="minorHAnsi"/>
          <w:szCs w:val="24"/>
        </w:rPr>
        <w:t>apparaissent</w:t>
      </w:r>
      <w:r w:rsidR="00135181" w:rsidRPr="004B33A2">
        <w:rPr>
          <w:rFonts w:asciiTheme="minorHAnsi" w:hAnsiTheme="minorHAnsi"/>
          <w:szCs w:val="24"/>
        </w:rPr>
        <w:t xml:space="preserve"> </w:t>
      </w:r>
      <w:r w:rsidRPr="004B33A2">
        <w:rPr>
          <w:rFonts w:asciiTheme="minorHAnsi" w:hAnsiTheme="minorHAnsi"/>
          <w:szCs w:val="24"/>
        </w:rPr>
        <w:t>constamment</w:t>
      </w:r>
      <w:r w:rsidR="00135181" w:rsidRPr="004B33A2">
        <w:rPr>
          <w:rFonts w:asciiTheme="minorHAnsi" w:hAnsiTheme="minorHAnsi"/>
          <w:szCs w:val="24"/>
        </w:rPr>
        <w:t xml:space="preserve"> </w:t>
      </w:r>
      <w:r w:rsidRPr="004B33A2">
        <w:rPr>
          <w:rFonts w:asciiTheme="minorHAnsi" w:hAnsiTheme="minorHAnsi"/>
          <w:szCs w:val="24"/>
        </w:rPr>
        <w:t>dans ce domaine.</w:t>
      </w:r>
    </w:p>
    <w:p w14:paraId="5CB8961F" w14:textId="2007274A" w:rsidR="001B4495" w:rsidRPr="004B33A2" w:rsidRDefault="001B4495" w:rsidP="008504EA">
      <w:pPr>
        <w:rPr>
          <w:rFonts w:asciiTheme="minorHAnsi" w:hAnsiTheme="minorHAnsi"/>
          <w:szCs w:val="24"/>
        </w:rPr>
      </w:pPr>
      <w:r w:rsidRPr="004B33A2">
        <w:rPr>
          <w:rFonts w:asciiTheme="minorHAnsi" w:hAnsiTheme="minorHAnsi"/>
          <w:szCs w:val="24"/>
        </w:rPr>
        <w:t>2.4</w:t>
      </w:r>
      <w:r w:rsidRPr="004B33A2">
        <w:rPr>
          <w:rFonts w:asciiTheme="minorHAnsi" w:hAnsiTheme="minorHAnsi"/>
          <w:szCs w:val="24"/>
        </w:rPr>
        <w:tab/>
        <w:t>Le représentant du Secrétariat général</w:t>
      </w:r>
      <w:r w:rsidR="00135181" w:rsidRPr="004B33A2">
        <w:rPr>
          <w:rFonts w:asciiTheme="minorHAnsi" w:hAnsiTheme="minorHAnsi"/>
          <w:szCs w:val="24"/>
        </w:rPr>
        <w:t xml:space="preserve"> </w:t>
      </w:r>
      <w:r w:rsidRPr="004B33A2">
        <w:rPr>
          <w:rFonts w:asciiTheme="minorHAnsi" w:hAnsiTheme="minorHAnsi"/>
          <w:szCs w:val="24"/>
        </w:rPr>
        <w:t>explique que la liste des organisations citées au paragraphe 6.1 du document n'est pas exhaustive;</w:t>
      </w:r>
      <w:r w:rsidR="00135181" w:rsidRPr="004B33A2">
        <w:rPr>
          <w:rFonts w:asciiTheme="minorHAnsi" w:hAnsiTheme="minorHAnsi"/>
          <w:szCs w:val="24"/>
        </w:rPr>
        <w:t xml:space="preserve"> </w:t>
      </w:r>
      <w:r w:rsidRPr="004B33A2">
        <w:rPr>
          <w:rFonts w:asciiTheme="minorHAnsi" w:hAnsiTheme="minorHAnsi"/>
          <w:szCs w:val="24"/>
        </w:rPr>
        <w:t>il pourra être fait mention du Programme de cybersécurité de l'OEA</w:t>
      </w:r>
      <w:r w:rsidR="00135181" w:rsidRPr="004B33A2">
        <w:rPr>
          <w:rFonts w:asciiTheme="minorHAnsi" w:hAnsiTheme="minorHAnsi"/>
          <w:szCs w:val="24"/>
        </w:rPr>
        <w:t xml:space="preserve"> </w:t>
      </w:r>
      <w:r w:rsidRPr="004B33A2">
        <w:rPr>
          <w:rFonts w:asciiTheme="minorHAnsi" w:hAnsiTheme="minorHAnsi"/>
          <w:szCs w:val="24"/>
        </w:rPr>
        <w:t>lorsque le document sera révisé. Bon nombre des activités</w:t>
      </w:r>
      <w:r w:rsidR="00135181" w:rsidRPr="004B33A2">
        <w:rPr>
          <w:rFonts w:asciiTheme="minorHAnsi" w:hAnsiTheme="minorHAnsi"/>
          <w:szCs w:val="24"/>
        </w:rPr>
        <w:t xml:space="preserve"> </w:t>
      </w:r>
      <w:r w:rsidRPr="004B33A2">
        <w:rPr>
          <w:rFonts w:asciiTheme="minorHAnsi" w:hAnsiTheme="minorHAnsi"/>
          <w:szCs w:val="24"/>
        </w:rPr>
        <w:t>évoquées</w:t>
      </w:r>
      <w:r w:rsidR="00135181" w:rsidRPr="004B33A2">
        <w:rPr>
          <w:rFonts w:asciiTheme="minorHAnsi" w:hAnsiTheme="minorHAnsi"/>
          <w:szCs w:val="24"/>
        </w:rPr>
        <w:t xml:space="preserve"> </w:t>
      </w:r>
      <w:r w:rsidRPr="004B33A2">
        <w:rPr>
          <w:rFonts w:asciiTheme="minorHAnsi" w:hAnsiTheme="minorHAnsi"/>
          <w:szCs w:val="24"/>
        </w:rPr>
        <w:t>dans le rapport sont directement liées aux exigences définies au titre de la Résolution 174 (Rév.</w:t>
      </w:r>
      <w:r w:rsidR="00621665" w:rsidRPr="004B33A2">
        <w:rPr>
          <w:rFonts w:asciiTheme="minorHAnsi" w:hAnsiTheme="minorHAnsi"/>
          <w:szCs w:val="24"/>
        </w:rPr>
        <w:t> </w:t>
      </w:r>
      <w:r w:rsidRPr="004B33A2">
        <w:rPr>
          <w:rFonts w:asciiTheme="minorHAnsi" w:hAnsiTheme="minorHAnsi"/>
          <w:szCs w:val="24"/>
        </w:rPr>
        <w:t>Busan,</w:t>
      </w:r>
      <w:r w:rsidR="00621665" w:rsidRPr="004B33A2">
        <w:rPr>
          <w:rFonts w:asciiTheme="minorHAnsi" w:hAnsiTheme="minorHAnsi"/>
          <w:szCs w:val="24"/>
        </w:rPr>
        <w:t> </w:t>
      </w:r>
      <w:r w:rsidRPr="004B33A2">
        <w:rPr>
          <w:rFonts w:asciiTheme="minorHAnsi" w:hAnsiTheme="minorHAnsi"/>
          <w:szCs w:val="24"/>
        </w:rPr>
        <w:t>2014), mais cela pourra être</w:t>
      </w:r>
      <w:r w:rsidRPr="004B33A2">
        <w:rPr>
          <w:color w:val="000000"/>
        </w:rPr>
        <w:t xml:space="preserve"> expressément indiqué</w:t>
      </w:r>
      <w:r w:rsidR="00135181" w:rsidRPr="004B33A2">
        <w:rPr>
          <w:color w:val="000000"/>
        </w:rPr>
        <w:t xml:space="preserve"> </w:t>
      </w:r>
      <w:r w:rsidRPr="004B33A2">
        <w:rPr>
          <w:rFonts w:asciiTheme="minorHAnsi" w:hAnsiTheme="minorHAnsi"/>
          <w:szCs w:val="24"/>
        </w:rPr>
        <w:t>à l'avenir.</w:t>
      </w:r>
    </w:p>
    <w:p w14:paraId="3063FB4E" w14:textId="1967E64B" w:rsidR="001B4495" w:rsidRPr="004B33A2" w:rsidRDefault="001B4495" w:rsidP="008504EA">
      <w:pPr>
        <w:rPr>
          <w:rFonts w:asciiTheme="minorHAnsi" w:hAnsiTheme="minorHAnsi"/>
          <w:szCs w:val="24"/>
        </w:rPr>
      </w:pPr>
      <w:r w:rsidRPr="004B33A2">
        <w:rPr>
          <w:rFonts w:asciiTheme="minorHAnsi" w:hAnsiTheme="minorHAnsi"/>
          <w:szCs w:val="24"/>
        </w:rPr>
        <w:t>2.5</w:t>
      </w:r>
      <w:r w:rsidRPr="004B33A2">
        <w:rPr>
          <w:rFonts w:asciiTheme="minorHAnsi" w:hAnsiTheme="minorHAnsi"/>
          <w:szCs w:val="24"/>
        </w:rPr>
        <w:tab/>
        <w:t xml:space="preserve">Un représentant du </w:t>
      </w:r>
      <w:r w:rsidR="00303296" w:rsidRPr="004B33A2">
        <w:rPr>
          <w:rFonts w:asciiTheme="minorHAnsi" w:hAnsiTheme="minorHAnsi"/>
          <w:szCs w:val="24"/>
        </w:rPr>
        <w:t>BDT</w:t>
      </w:r>
      <w:r w:rsidRPr="004B33A2">
        <w:rPr>
          <w:rFonts w:asciiTheme="minorHAnsi" w:hAnsiTheme="minorHAnsi"/>
          <w:szCs w:val="24"/>
        </w:rPr>
        <w:t xml:space="preserve"> note qu</w:t>
      </w:r>
      <w:r w:rsidR="00135181" w:rsidRPr="004B33A2">
        <w:rPr>
          <w:rFonts w:asciiTheme="minorHAnsi" w:hAnsiTheme="minorHAnsi"/>
          <w:szCs w:val="24"/>
        </w:rPr>
        <w:t>'</w:t>
      </w:r>
      <w:r w:rsidRPr="004B33A2">
        <w:rPr>
          <w:rFonts w:asciiTheme="minorHAnsi" w:hAnsiTheme="minorHAnsi"/>
          <w:szCs w:val="24"/>
        </w:rPr>
        <w:t>une</w:t>
      </w:r>
      <w:r w:rsidR="00135181" w:rsidRPr="004B33A2">
        <w:rPr>
          <w:rFonts w:asciiTheme="minorHAnsi" w:hAnsiTheme="minorHAnsi"/>
          <w:szCs w:val="24"/>
        </w:rPr>
        <w:t xml:space="preserve"> </w:t>
      </w:r>
      <w:r w:rsidRPr="004B33A2">
        <w:rPr>
          <w:rFonts w:asciiTheme="minorHAnsi" w:hAnsiTheme="minorHAnsi"/>
          <w:szCs w:val="24"/>
        </w:rPr>
        <w:t>coopération suivie</w:t>
      </w:r>
      <w:r w:rsidR="00135181" w:rsidRPr="004B33A2">
        <w:rPr>
          <w:rFonts w:asciiTheme="minorHAnsi" w:hAnsiTheme="minorHAnsi"/>
          <w:szCs w:val="24"/>
        </w:rPr>
        <w:t xml:space="preserve"> </w:t>
      </w:r>
      <w:r w:rsidRPr="004B33A2">
        <w:rPr>
          <w:rFonts w:asciiTheme="minorHAnsi" w:hAnsiTheme="minorHAnsi"/>
          <w:szCs w:val="24"/>
        </w:rPr>
        <w:t>a été mise en place entre l'UIT et le Programme de cybersécurité de l'OEA, en vue de parvenir à une compréhension commune de la manière dont les organisations pourraient collaborer</w:t>
      </w:r>
      <w:r w:rsidR="00135181" w:rsidRPr="004B33A2">
        <w:rPr>
          <w:rFonts w:asciiTheme="minorHAnsi" w:hAnsiTheme="minorHAnsi"/>
          <w:szCs w:val="24"/>
        </w:rPr>
        <w:t xml:space="preserve"> </w:t>
      </w:r>
      <w:r w:rsidRPr="004B33A2">
        <w:rPr>
          <w:rFonts w:asciiTheme="minorHAnsi" w:hAnsiTheme="minorHAnsi"/>
          <w:szCs w:val="24"/>
        </w:rPr>
        <w:t>à</w:t>
      </w:r>
      <w:r w:rsidR="00135181" w:rsidRPr="004B33A2">
        <w:rPr>
          <w:rFonts w:asciiTheme="minorHAnsi" w:hAnsiTheme="minorHAnsi"/>
          <w:szCs w:val="24"/>
        </w:rPr>
        <w:t xml:space="preserve"> </w:t>
      </w:r>
      <w:r w:rsidRPr="004B33A2">
        <w:rPr>
          <w:rFonts w:asciiTheme="minorHAnsi" w:hAnsiTheme="minorHAnsi"/>
          <w:szCs w:val="24"/>
        </w:rPr>
        <w:t>terme. En ce qui concerne la formation en matière de protection en ligne des enfants, diverses initiatives sont en cours, notamment un projet mondial parrainé par l'Administration de l'Arabie saoudite, qui vise à</w:t>
      </w:r>
      <w:r w:rsidR="00135181" w:rsidRPr="004B33A2">
        <w:rPr>
          <w:rFonts w:asciiTheme="minorHAnsi" w:hAnsiTheme="minorHAnsi"/>
          <w:szCs w:val="24"/>
        </w:rPr>
        <w:t xml:space="preserve"> </w:t>
      </w:r>
      <w:r w:rsidRPr="004B33A2">
        <w:rPr>
          <w:rFonts w:asciiTheme="minorHAnsi" w:hAnsiTheme="minorHAnsi"/>
          <w:szCs w:val="24"/>
        </w:rPr>
        <w:t>traduire</w:t>
      </w:r>
      <w:r w:rsidRPr="004B33A2">
        <w:rPr>
          <w:color w:val="000000"/>
        </w:rPr>
        <w:t xml:space="preserve"> en actes</w:t>
      </w:r>
      <w:r w:rsidRPr="004B33A2">
        <w:rPr>
          <w:rFonts w:asciiTheme="minorHAnsi" w:hAnsiTheme="minorHAnsi"/>
          <w:szCs w:val="24"/>
        </w:rPr>
        <w:t xml:space="preserve"> les lignes directrices existantes</w:t>
      </w:r>
      <w:r w:rsidR="00135181" w:rsidRPr="004B33A2">
        <w:rPr>
          <w:rFonts w:asciiTheme="minorHAnsi" w:hAnsiTheme="minorHAnsi"/>
          <w:szCs w:val="24"/>
        </w:rPr>
        <w:t xml:space="preserve"> </w:t>
      </w:r>
      <w:r w:rsidRPr="004B33A2">
        <w:rPr>
          <w:rFonts w:asciiTheme="minorHAnsi" w:hAnsiTheme="minorHAnsi"/>
          <w:szCs w:val="24"/>
        </w:rPr>
        <w:t>à l'échelle nationale.</w:t>
      </w:r>
    </w:p>
    <w:p w14:paraId="06ACA33A" w14:textId="0636E1A4" w:rsidR="001B4495" w:rsidRPr="004B33A2" w:rsidRDefault="001B4495" w:rsidP="008504EA">
      <w:pPr>
        <w:rPr>
          <w:rFonts w:asciiTheme="minorHAnsi" w:hAnsiTheme="minorHAnsi"/>
          <w:szCs w:val="24"/>
        </w:rPr>
      </w:pPr>
      <w:r w:rsidRPr="004B33A2">
        <w:rPr>
          <w:rFonts w:asciiTheme="minorHAnsi" w:hAnsiTheme="minorHAnsi"/>
          <w:szCs w:val="24"/>
        </w:rPr>
        <w:t>2.6</w:t>
      </w:r>
      <w:r w:rsidRPr="004B33A2">
        <w:rPr>
          <w:rFonts w:asciiTheme="minorHAnsi" w:hAnsiTheme="minorHAnsi"/>
          <w:szCs w:val="24"/>
        </w:rPr>
        <w:tab/>
        <w:t xml:space="preserve">Le Conseil </w:t>
      </w:r>
      <w:r w:rsidRPr="004B33A2">
        <w:rPr>
          <w:rFonts w:asciiTheme="minorHAnsi" w:hAnsiTheme="minorHAnsi"/>
          <w:b/>
          <w:szCs w:val="24"/>
        </w:rPr>
        <w:t xml:space="preserve">prend note </w:t>
      </w:r>
      <w:r w:rsidRPr="004B33A2">
        <w:rPr>
          <w:rFonts w:asciiTheme="minorHAnsi" w:hAnsiTheme="minorHAnsi"/>
          <w:szCs w:val="24"/>
        </w:rPr>
        <w:t>du rapport figurant dans le Document C22/18,</w:t>
      </w:r>
      <w:r w:rsidR="00135181" w:rsidRPr="004B33A2">
        <w:rPr>
          <w:rFonts w:asciiTheme="minorHAnsi" w:hAnsiTheme="minorHAnsi"/>
          <w:szCs w:val="24"/>
        </w:rPr>
        <w:t xml:space="preserve"> </w:t>
      </w:r>
      <w:r w:rsidRPr="004B33A2">
        <w:rPr>
          <w:rFonts w:asciiTheme="minorHAnsi" w:hAnsiTheme="minorHAnsi"/>
          <w:szCs w:val="24"/>
        </w:rPr>
        <w:t>compte</w:t>
      </w:r>
      <w:r w:rsidR="00135181" w:rsidRPr="004B33A2">
        <w:rPr>
          <w:rFonts w:asciiTheme="minorHAnsi" w:hAnsiTheme="minorHAnsi"/>
          <w:szCs w:val="24"/>
        </w:rPr>
        <w:t xml:space="preserve"> </w:t>
      </w:r>
      <w:r w:rsidRPr="004B33A2">
        <w:rPr>
          <w:rFonts w:asciiTheme="minorHAnsi" w:hAnsiTheme="minorHAnsi"/>
          <w:szCs w:val="24"/>
        </w:rPr>
        <w:t>tenu des commentaires formulés en séance.</w:t>
      </w:r>
    </w:p>
    <w:p w14:paraId="27FE8AEA" w14:textId="77777777" w:rsidR="001B4495" w:rsidRPr="004B33A2" w:rsidRDefault="001B4495" w:rsidP="00621665">
      <w:pPr>
        <w:pStyle w:val="Heading1"/>
      </w:pPr>
      <w:r w:rsidRPr="004B33A2">
        <w:t>3</w:t>
      </w:r>
      <w:r w:rsidRPr="004B33A2">
        <w:tab/>
        <w:t>Rapport du Président du Groupe de travail du Conseil sur les questions de politiques publiques internationales relatives à l'Internet (Document C22/51)</w:t>
      </w:r>
    </w:p>
    <w:p w14:paraId="6B23F83D" w14:textId="6ACE18E0" w:rsidR="001B4495" w:rsidRPr="004B33A2" w:rsidRDefault="001B4495" w:rsidP="008504EA">
      <w:r w:rsidRPr="004B33A2">
        <w:t>3.1</w:t>
      </w:r>
      <w:r w:rsidRPr="004B33A2">
        <w:tab/>
        <w:t xml:space="preserve">Le Président du GTC-Internet présente le Document </w:t>
      </w:r>
      <w:hyperlink r:id="rId17" w:history="1">
        <w:r w:rsidRPr="004B33A2">
          <w:rPr>
            <w:rStyle w:val="Hyperlink"/>
            <w:rFonts w:asciiTheme="minorHAnsi" w:hAnsiTheme="minorHAnsi"/>
            <w:szCs w:val="24"/>
          </w:rPr>
          <w:t>C22/51</w:t>
        </w:r>
      </w:hyperlink>
      <w:r w:rsidRPr="004B33A2">
        <w:t>, qui récapitule les principaux résultats des 16ème et</w:t>
      </w:r>
      <w:r w:rsidR="00135181" w:rsidRPr="004B33A2">
        <w:t xml:space="preserve"> </w:t>
      </w:r>
      <w:r w:rsidRPr="004B33A2">
        <w:t>17ème</w:t>
      </w:r>
      <w:r w:rsidR="00135181" w:rsidRPr="004B33A2">
        <w:t xml:space="preserve"> </w:t>
      </w:r>
      <w:r w:rsidRPr="004B33A2">
        <w:t>réunions du Groupe, tenues respect</w:t>
      </w:r>
      <w:r w:rsidR="006B3F6C" w:rsidRPr="004B33A2">
        <w:t>ivement de manière virtuelle le </w:t>
      </w:r>
      <w:r w:rsidRPr="004B33A2">
        <w:t>23 septembre 2021 et les 19 et 20 janvier 2022</w:t>
      </w:r>
      <w:r w:rsidR="00135181" w:rsidRPr="004B33A2">
        <w:t>.</w:t>
      </w:r>
      <w:r w:rsidRPr="004B33A2">
        <w:t xml:space="preserve"> À chacune de ces réunions, les participants ont examiné les résultats de la</w:t>
      </w:r>
      <w:r w:rsidR="00135181" w:rsidRPr="004B33A2">
        <w:t xml:space="preserve"> </w:t>
      </w:r>
      <w:r w:rsidRPr="004B33A2">
        <w:t>consultation</w:t>
      </w:r>
      <w:r w:rsidR="00135181" w:rsidRPr="004B33A2">
        <w:t xml:space="preserve"> </w:t>
      </w:r>
      <w:r w:rsidRPr="004B33A2">
        <w:t>ouverte</w:t>
      </w:r>
      <w:r w:rsidR="00135181" w:rsidRPr="004B33A2">
        <w:t xml:space="preserve"> </w:t>
      </w:r>
      <w:r w:rsidRPr="004B33A2">
        <w:t>lancée</w:t>
      </w:r>
      <w:r w:rsidR="00135181" w:rsidRPr="004B33A2">
        <w:t xml:space="preserve"> </w:t>
      </w:r>
      <w:r w:rsidRPr="004B33A2">
        <w:t xml:space="preserve">aux réunions précédentes et les Directeurs des Bureaux ont été invités à tenir compte des </w:t>
      </w:r>
      <w:r w:rsidRPr="004B33A2">
        <w:rPr>
          <w:color w:val="000000"/>
        </w:rPr>
        <w:t xml:space="preserve">réponses aux </w:t>
      </w:r>
      <w:r w:rsidRPr="004B33A2">
        <w:t xml:space="preserve">consultations dans leurs travaux, selon </w:t>
      </w:r>
      <w:r w:rsidRPr="004B33A2">
        <w:rPr>
          <w:color w:val="000000"/>
        </w:rPr>
        <w:t>qu'il conviendra</w:t>
      </w:r>
      <w:r w:rsidRPr="004B33A2">
        <w:t xml:space="preserve">. </w:t>
      </w:r>
      <w:r w:rsidRPr="004B33A2">
        <w:rPr>
          <w:rFonts w:eastAsia="Calibri" w:cstheme="minorHAnsi"/>
          <w:color w:val="000000"/>
          <w:u w:color="000000"/>
          <w:bdr w:val="nil"/>
          <w:lang w:eastAsia="zh-CN"/>
        </w:rPr>
        <w:t>En l</w:t>
      </w:r>
      <w:r w:rsidR="00135181" w:rsidRPr="004B33A2">
        <w:rPr>
          <w:rFonts w:eastAsia="Calibri" w:cstheme="minorHAnsi"/>
          <w:color w:val="000000"/>
          <w:u w:color="000000"/>
          <w:bdr w:val="nil"/>
          <w:lang w:eastAsia="zh-CN"/>
        </w:rPr>
        <w:t>'</w:t>
      </w:r>
      <w:r w:rsidRPr="004B33A2">
        <w:rPr>
          <w:rFonts w:eastAsia="Calibri" w:cstheme="minorHAnsi"/>
          <w:color w:val="000000"/>
          <w:u w:color="000000"/>
          <w:bdr w:val="nil"/>
          <w:lang w:eastAsia="zh-CN"/>
        </w:rPr>
        <w:t>absence de consensus à la</w:t>
      </w:r>
      <w:r w:rsidR="00135181" w:rsidRPr="004B33A2">
        <w:rPr>
          <w:rFonts w:eastAsia="Calibri" w:cstheme="minorHAnsi"/>
          <w:color w:val="000000"/>
          <w:u w:color="000000"/>
          <w:bdr w:val="nil"/>
          <w:lang w:eastAsia="zh-CN"/>
        </w:rPr>
        <w:t xml:space="preserve"> </w:t>
      </w:r>
      <w:r w:rsidRPr="004B33A2">
        <w:t>17ème</w:t>
      </w:r>
      <w:r w:rsidR="00135181" w:rsidRPr="004B33A2">
        <w:t xml:space="preserve"> </w:t>
      </w:r>
      <w:r w:rsidRPr="004B33A2">
        <w:rPr>
          <w:rFonts w:eastAsia="Calibri" w:cstheme="minorHAnsi"/>
          <w:color w:val="000000"/>
          <w:u w:color="000000"/>
          <w:bdr w:val="nil"/>
          <w:lang w:eastAsia="zh-CN"/>
        </w:rPr>
        <w:t>réunion sur le choix des thèmes proposés pour la consultation ouverte, le Groupe a reporté l'examen de la question des thèmes à retenir pour les consultations futures à la réunion suivante du GTC-Internet, au cas où la PP-22 déciderait de poursuivre les consultations ouvertes.</w:t>
      </w:r>
    </w:p>
    <w:p w14:paraId="5DF73611" w14:textId="4174D589" w:rsidR="001B4495" w:rsidRPr="004B33A2" w:rsidRDefault="001B4495" w:rsidP="008504EA">
      <w:r w:rsidRPr="004B33A2">
        <w:t>3.2</w:t>
      </w:r>
      <w:r w:rsidRPr="004B33A2">
        <w:tab/>
        <w:t>Les Conseillers accueillent avec satisfaction le rapport et expriment leur appui aux trava</w:t>
      </w:r>
      <w:r w:rsidR="00DA7E4F" w:rsidRPr="004B33A2">
        <w:t>ux du GTC-Internet ainsi qu'au P</w:t>
      </w:r>
      <w:r w:rsidRPr="004B33A2">
        <w:t>résident du Groupe pour la</w:t>
      </w:r>
      <w:r w:rsidR="00135181" w:rsidRPr="004B33A2">
        <w:t xml:space="preserve"> </w:t>
      </w:r>
      <w:r w:rsidRPr="004B33A2">
        <w:t>patience et le</w:t>
      </w:r>
      <w:r w:rsidR="00135181" w:rsidRPr="004B33A2">
        <w:t xml:space="preserve"> </w:t>
      </w:r>
      <w:r w:rsidRPr="004B33A2">
        <w:t>professionnalisme dont il a fait preuve et</w:t>
      </w:r>
      <w:r w:rsidR="00135181" w:rsidRPr="004B33A2">
        <w:t xml:space="preserve"> </w:t>
      </w:r>
      <w:r w:rsidRPr="004B33A2">
        <w:t>pour les efforts inlassables qu</w:t>
      </w:r>
      <w:r w:rsidR="00135181" w:rsidRPr="004B33A2">
        <w:t>'</w:t>
      </w:r>
      <w:r w:rsidRPr="004B33A2">
        <w:t>il a déployés. Le processus de consultation ouverte, en particulier, est</w:t>
      </w:r>
      <w:r w:rsidR="00135181" w:rsidRPr="004B33A2">
        <w:t xml:space="preserve"> </w:t>
      </w:r>
      <w:r w:rsidRPr="004B33A2">
        <w:rPr>
          <w:color w:val="000000"/>
        </w:rPr>
        <w:t xml:space="preserve">particulièrement </w:t>
      </w:r>
      <w:r w:rsidRPr="004B33A2">
        <w:t>apprécié: les thèmes abordés</w:t>
      </w:r>
      <w:r w:rsidR="00135181" w:rsidRPr="004B33A2">
        <w:t xml:space="preserve"> </w:t>
      </w:r>
      <w:r w:rsidRPr="004B33A2">
        <w:t>étaient opportuns et pertinents</w:t>
      </w:r>
      <w:r w:rsidR="00135181" w:rsidRPr="004B33A2">
        <w:t xml:space="preserve"> </w:t>
      </w:r>
      <w:r w:rsidRPr="004B33A2">
        <w:t>et</w:t>
      </w:r>
      <w:r w:rsidR="00135181" w:rsidRPr="004B33A2">
        <w:t xml:space="preserve"> </w:t>
      </w:r>
      <w:r w:rsidRPr="004B33A2">
        <w:t>la participation de la société civile et d'autres parties prenantes est un nouvel enrichissement pour</w:t>
      </w:r>
      <w:r w:rsidR="00135181" w:rsidRPr="004B33A2">
        <w:t xml:space="preserve"> </w:t>
      </w:r>
      <w:r w:rsidRPr="004B33A2">
        <w:t xml:space="preserve">les travaux de l'Union. En effet, il convient d'envisager de renforcer l'approche </w:t>
      </w:r>
      <w:r w:rsidRPr="004B33A2">
        <w:rPr>
          <w:color w:val="000000"/>
        </w:rPr>
        <w:t>multi-parties prenantes</w:t>
      </w:r>
      <w:r w:rsidR="00135181" w:rsidRPr="004B33A2">
        <w:rPr>
          <w:color w:val="000000"/>
        </w:rPr>
        <w:t xml:space="preserve"> </w:t>
      </w:r>
      <w:r w:rsidRPr="004B33A2">
        <w:t>selon</w:t>
      </w:r>
      <w:r w:rsidR="00135181" w:rsidRPr="004B33A2">
        <w:t xml:space="preserve"> </w:t>
      </w:r>
      <w:r w:rsidRPr="004B33A2">
        <w:t xml:space="preserve">des modèles qui favoriseront une participation encore plus active de tous les </w:t>
      </w:r>
      <w:r w:rsidRPr="004B33A2">
        <w:lastRenderedPageBreak/>
        <w:t>partenaires aux discussions et aux résultats. Une Conseillère se dit déçue de constater</w:t>
      </w:r>
      <w:r w:rsidR="00135181" w:rsidRPr="004B33A2">
        <w:t xml:space="preserve"> </w:t>
      </w:r>
      <w:r w:rsidRPr="004B33A2">
        <w:t>qu'il n'a</w:t>
      </w:r>
      <w:r w:rsidR="00135181" w:rsidRPr="004B33A2">
        <w:t xml:space="preserve"> </w:t>
      </w:r>
      <w:r w:rsidRPr="004B33A2">
        <w:t>pas été possible, à la 17ème</w:t>
      </w:r>
      <w:r w:rsidR="00135181" w:rsidRPr="004B33A2">
        <w:t xml:space="preserve"> </w:t>
      </w:r>
      <w:r w:rsidRPr="004B33A2">
        <w:t>réunion du Groupe, de s</w:t>
      </w:r>
      <w:r w:rsidR="00135181" w:rsidRPr="004B33A2">
        <w:t>'</w:t>
      </w:r>
      <w:r w:rsidRPr="004B33A2">
        <w:t>entendre sur</w:t>
      </w:r>
      <w:r w:rsidR="00135181" w:rsidRPr="004B33A2">
        <w:t xml:space="preserve"> </w:t>
      </w:r>
      <w:r w:rsidRPr="004B33A2">
        <w:t>un thème à retenir pour une consultation ouverte et souligne combien il est important de poursuivre les travaux du Groupe. Les sujets que le Groupe a traités, en particulier les incidences de l'Internet sur l'environnement, revêtent une importance considérable pour l'avenir du secteur des télécommunications</w:t>
      </w:r>
      <w:r w:rsidR="00693350" w:rsidRPr="004B33A2">
        <w:t>/TIC</w:t>
      </w:r>
      <w:r w:rsidRPr="004B33A2">
        <w:t>. Un autre Conseiller met en avant la contribution que</w:t>
      </w:r>
      <w:r w:rsidR="00135181" w:rsidRPr="004B33A2">
        <w:t xml:space="preserve"> </w:t>
      </w:r>
      <w:r w:rsidRPr="004B33A2">
        <w:t>pourrait apporter le processus de consultation ouverte aux discussions</w:t>
      </w:r>
      <w:r w:rsidR="00135181" w:rsidRPr="004B33A2">
        <w:t xml:space="preserve"> </w:t>
      </w:r>
      <w:r w:rsidRPr="004B33A2">
        <w:t>de la PP.</w:t>
      </w:r>
    </w:p>
    <w:p w14:paraId="6FE21865" w14:textId="77777777" w:rsidR="001B4495" w:rsidRPr="004B33A2" w:rsidRDefault="001B4495" w:rsidP="008504EA">
      <w:r w:rsidRPr="004B33A2">
        <w:t>3.3</w:t>
      </w:r>
      <w:r w:rsidRPr="004B33A2">
        <w:tab/>
        <w:t xml:space="preserve">Le Conseil </w:t>
      </w:r>
      <w:r w:rsidRPr="004B33A2">
        <w:rPr>
          <w:b/>
        </w:rPr>
        <w:t xml:space="preserve">prend note </w:t>
      </w:r>
      <w:r w:rsidRPr="004B33A2">
        <w:t>du rapport figurant dans le Document C22/51.</w:t>
      </w:r>
    </w:p>
    <w:p w14:paraId="4FCEBBF3" w14:textId="646B195C" w:rsidR="001B4495" w:rsidRPr="004B33A2" w:rsidRDefault="001B4495" w:rsidP="00F900DB">
      <w:pPr>
        <w:pStyle w:val="Heading1"/>
      </w:pPr>
      <w:r w:rsidRPr="004B33A2">
        <w:t>4</w:t>
      </w:r>
      <w:r w:rsidRPr="004B33A2">
        <w:tab/>
        <w:t>Rapport quadriennal du Groupe de travail du Conseil sur les questions</w:t>
      </w:r>
      <w:r w:rsidR="00F900DB" w:rsidRPr="004B33A2">
        <w:t xml:space="preserve"> </w:t>
      </w:r>
      <w:r w:rsidRPr="004B33A2">
        <w:t>de politiques publiques internationales relatives à l'Internet (Document</w:t>
      </w:r>
      <w:r w:rsidR="00F900DB" w:rsidRPr="004B33A2">
        <w:t> </w:t>
      </w:r>
      <w:r w:rsidRPr="004B33A2">
        <w:t>C22/58)</w:t>
      </w:r>
    </w:p>
    <w:p w14:paraId="490D2A6D" w14:textId="7BB8D541" w:rsidR="001B4495" w:rsidRPr="004B33A2" w:rsidRDefault="001B4495" w:rsidP="008504EA">
      <w:r w:rsidRPr="004B33A2">
        <w:t>4.1</w:t>
      </w:r>
      <w:r w:rsidRPr="004B33A2">
        <w:tab/>
        <w:t xml:space="preserve">Le Président du GTC-Internet présente le Document </w:t>
      </w:r>
      <w:hyperlink r:id="rId18" w:history="1">
        <w:r w:rsidRPr="004B33A2">
          <w:rPr>
            <w:rStyle w:val="Hyperlink"/>
            <w:rFonts w:asciiTheme="minorHAnsi" w:hAnsiTheme="minorHAnsi"/>
            <w:szCs w:val="24"/>
          </w:rPr>
          <w:t>C22/58</w:t>
        </w:r>
      </w:hyperlink>
      <w:r w:rsidRPr="004B33A2">
        <w:t>, qui récapitule les principaux résultats des réunions du Groupe</w:t>
      </w:r>
      <w:r w:rsidR="00135181" w:rsidRPr="004B33A2">
        <w:t xml:space="preserve"> </w:t>
      </w:r>
      <w:r w:rsidRPr="004B33A2">
        <w:t xml:space="preserve">tenues entre février 2019 et janvier 2022, conformément aux Résolutions 102 (Rév. Dubaï, 2018) et 140 (Rév. Dubaï, 2018) de la Conférence de plénipotentiaires, ainsi qu'aux Résolutions 1305 (modifiée en 2019) et 1336 (modifiée en 2019) du Conseil. Il prie instamment les États Membres de prendre les décisions qui s'imposent afin de poursuivre les travaux du Groupe et de réfléchir à la manière de renforcer ces travaux et leurs incidences. Il exprime en outre sa sincère gratitude à tous ceux et toutes celles qui ont contribué au </w:t>
      </w:r>
      <w:r w:rsidRPr="004B33A2">
        <w:rPr>
          <w:color w:val="000000"/>
        </w:rPr>
        <w:t>succès</w:t>
      </w:r>
      <w:r w:rsidR="00F900DB" w:rsidRPr="004B33A2">
        <w:rPr>
          <w:color w:val="000000"/>
        </w:rPr>
        <w:t xml:space="preserve"> </w:t>
      </w:r>
      <w:r w:rsidRPr="004B33A2">
        <w:t>des travaux du groupe, malgré les difficultés rencontrées.</w:t>
      </w:r>
    </w:p>
    <w:p w14:paraId="19216693" w14:textId="530D8E41" w:rsidR="001B4495" w:rsidRPr="004B33A2" w:rsidRDefault="001B4495" w:rsidP="008504EA">
      <w:r w:rsidRPr="004B33A2">
        <w:t>4.2</w:t>
      </w:r>
      <w:r w:rsidRPr="004B33A2">
        <w:tab/>
        <w:t>Les Conseillers se félicitent à</w:t>
      </w:r>
      <w:r w:rsidR="00135181" w:rsidRPr="004B33A2">
        <w:t xml:space="preserve"> </w:t>
      </w:r>
      <w:r w:rsidRPr="004B33A2">
        <w:t>nouveau des tra</w:t>
      </w:r>
      <w:r w:rsidR="00DA7E4F" w:rsidRPr="004B33A2">
        <w:t>vaux du GTC-Internet et de son P</w:t>
      </w:r>
      <w:r w:rsidRPr="004B33A2">
        <w:t>résident et souscrivent sans réserve à la poursuite des travaux du Groupe pour une nouvelle période de quatre ans, compte tenu en particulier du rôle essentiel que joue l'Internet dans la</w:t>
      </w:r>
      <w:r w:rsidR="00135181" w:rsidRPr="004B33A2">
        <w:t xml:space="preserve"> </w:t>
      </w:r>
      <w:r w:rsidRPr="004B33A2">
        <w:t>société d</w:t>
      </w:r>
      <w:r w:rsidR="00135181" w:rsidRPr="004B33A2">
        <w:t>'</w:t>
      </w:r>
      <w:r w:rsidRPr="004B33A2">
        <w:t>aujourd</w:t>
      </w:r>
      <w:r w:rsidR="00135181" w:rsidRPr="004B33A2">
        <w:t>'</w:t>
      </w:r>
      <w:r w:rsidRPr="004B33A2">
        <w:t>hui, comme en atteste la très forte augmentation de l'utilisation de l'Internet durant la pandémie de COVID-19. Plusieurs Conseillers</w:t>
      </w:r>
      <w:r w:rsidR="00135181" w:rsidRPr="004B33A2">
        <w:t xml:space="preserve"> </w:t>
      </w:r>
      <w:r w:rsidRPr="004B33A2">
        <w:t>insistent sur l'importance de l'Internet au service du développement et suggèrent d'encourager la participation des pays en développement dans le cadre d</w:t>
      </w:r>
      <w:r w:rsidR="00135181" w:rsidRPr="004B33A2">
        <w:t>'</w:t>
      </w:r>
      <w:r w:rsidRPr="004B33A2">
        <w:t>activités de renforcement des capacités et d</w:t>
      </w:r>
      <w:r w:rsidR="00135181" w:rsidRPr="004B33A2">
        <w:t>'</w:t>
      </w:r>
      <w:r w:rsidRPr="004B33A2">
        <w:t>ateliers régionaux, des efforts particuliers devant être faits pour accroître la participation des petits États insulaires en développement et des pays les moins avancés. Une autre Conseillère</w:t>
      </w:r>
      <w:r w:rsidR="00135181" w:rsidRPr="004B33A2">
        <w:t xml:space="preserve"> </w:t>
      </w:r>
      <w:r w:rsidRPr="004B33A2">
        <w:t>estime qu'il convient de réfléchir à la manière d</w:t>
      </w:r>
      <w:r w:rsidR="00135181" w:rsidRPr="004B33A2">
        <w:t>'</w:t>
      </w:r>
      <w:r w:rsidRPr="004B33A2">
        <w:t>améliorer encore et d</w:t>
      </w:r>
      <w:r w:rsidR="00135181" w:rsidRPr="004B33A2">
        <w:t>'</w:t>
      </w:r>
      <w:r w:rsidRPr="004B33A2">
        <w:t>approfondir</w:t>
      </w:r>
      <w:r w:rsidR="00135181" w:rsidRPr="004B33A2">
        <w:t xml:space="preserve"> </w:t>
      </w:r>
      <w:r w:rsidRPr="004B33A2">
        <w:t>les travaux du GTC-Internet, en particulier le processus de consultation publique,</w:t>
      </w:r>
      <w:r w:rsidR="00135181" w:rsidRPr="004B33A2">
        <w:t xml:space="preserve"> </w:t>
      </w:r>
      <w:r w:rsidRPr="004B33A2">
        <w:t>et à la façon dont les représentants de la société civile, les établissements universitaires et d'autres parties prenantes concernées pourraient participer non seulement au processus, mais également à ses résultats. Il est suggéré de rechercher</w:t>
      </w:r>
      <w:r w:rsidR="00135181" w:rsidRPr="004B33A2">
        <w:t xml:space="preserve"> </w:t>
      </w:r>
      <w:r w:rsidRPr="004B33A2">
        <w:t>des synergies</w:t>
      </w:r>
      <w:r w:rsidR="00135181" w:rsidRPr="004B33A2">
        <w:t xml:space="preserve"> </w:t>
      </w:r>
      <w:r w:rsidRPr="004B33A2">
        <w:t>avec d'autres initiatives du système des Nations Unies dans le même domaine, tout en veillant à ce que les travaux de l'UIT restent conformes à</w:t>
      </w:r>
      <w:r w:rsidR="00135181" w:rsidRPr="004B33A2">
        <w:t xml:space="preserve"> </w:t>
      </w:r>
      <w:r w:rsidRPr="004B33A2">
        <w:t>son mandat, et de faire en sorte que</w:t>
      </w:r>
      <w:r w:rsidR="00135181" w:rsidRPr="004B33A2">
        <w:t xml:space="preserve"> </w:t>
      </w:r>
      <w:r w:rsidRPr="004B33A2">
        <w:t>le thème général des travaux que le GTC-Internet effectuera après la PP-22 soit choisi de manière à tenir compte du fait qu</w:t>
      </w:r>
      <w:r w:rsidR="00135181" w:rsidRPr="004B33A2">
        <w:t>'</w:t>
      </w:r>
      <w:r w:rsidRPr="004B33A2">
        <w:t>il a son</w:t>
      </w:r>
      <w:r w:rsidR="00135181" w:rsidRPr="004B33A2">
        <w:t xml:space="preserve"> </w:t>
      </w:r>
      <w:r w:rsidRPr="004B33A2">
        <w:t>origine</w:t>
      </w:r>
      <w:r w:rsidR="00135181" w:rsidRPr="004B33A2">
        <w:t xml:space="preserve"> </w:t>
      </w:r>
      <w:r w:rsidRPr="004B33A2">
        <w:t>dans le SMSI et</w:t>
      </w:r>
      <w:r w:rsidR="00135181" w:rsidRPr="004B33A2">
        <w:t xml:space="preserve"> </w:t>
      </w:r>
      <w:r w:rsidRPr="004B33A2">
        <w:t>soit toujours plus en phase avec</w:t>
      </w:r>
      <w:r w:rsidR="00135181" w:rsidRPr="004B33A2">
        <w:t xml:space="preserve"> </w:t>
      </w:r>
      <w:r w:rsidRPr="004B33A2">
        <w:t>les évolutions les plus récentes, par exemple</w:t>
      </w:r>
      <w:r w:rsidR="00135181" w:rsidRPr="004B33A2">
        <w:t xml:space="preserve"> </w:t>
      </w:r>
      <w:r w:rsidRPr="004B33A2">
        <w:t>le Plan d'action pour la coopération numérique du Secrétaire général de l'ONU et le rapport "Notre programme commun".</w:t>
      </w:r>
    </w:p>
    <w:p w14:paraId="3168DA1D" w14:textId="33639DEB" w:rsidR="001B4495" w:rsidRPr="004B33A2" w:rsidRDefault="001B4495" w:rsidP="008504EA">
      <w:pPr>
        <w:rPr>
          <w:bCs/>
        </w:rPr>
      </w:pPr>
      <w:r w:rsidRPr="004B33A2">
        <w:t>4.3</w:t>
      </w:r>
      <w:r w:rsidRPr="004B33A2">
        <w:tab/>
        <w:t xml:space="preserve">Le Conseil </w:t>
      </w:r>
      <w:r w:rsidRPr="004B33A2">
        <w:rPr>
          <w:b/>
        </w:rPr>
        <w:t xml:space="preserve">prend note </w:t>
      </w:r>
      <w:r w:rsidRPr="004B33A2">
        <w:t>du rapport figurant dans le</w:t>
      </w:r>
      <w:r w:rsidRPr="004B33A2">
        <w:rPr>
          <w:rFonts w:cstheme="minorHAnsi"/>
        </w:rPr>
        <w:t xml:space="preserve"> Document C22/58 et </w:t>
      </w:r>
      <w:r w:rsidRPr="004B33A2">
        <w:rPr>
          <w:rFonts w:cstheme="minorHAnsi"/>
          <w:b/>
        </w:rPr>
        <w:t xml:space="preserve">décide </w:t>
      </w:r>
      <w:r w:rsidRPr="004B33A2">
        <w:rPr>
          <w:rFonts w:cstheme="minorHAnsi"/>
        </w:rPr>
        <w:t>de le transmettre à la Conférence de plénipotentiaires, accompagné du compte rendu de la séance reprenant</w:t>
      </w:r>
      <w:r w:rsidR="00135181" w:rsidRPr="004B33A2">
        <w:rPr>
          <w:rFonts w:cstheme="minorHAnsi"/>
        </w:rPr>
        <w:t xml:space="preserve"> </w:t>
      </w:r>
      <w:r w:rsidRPr="004B33A2">
        <w:rPr>
          <w:rFonts w:cstheme="minorHAnsi"/>
        </w:rPr>
        <w:t>les recommandations et les</w:t>
      </w:r>
      <w:r w:rsidR="00135181" w:rsidRPr="004B33A2">
        <w:rPr>
          <w:rFonts w:cstheme="minorHAnsi"/>
        </w:rPr>
        <w:t xml:space="preserve"> </w:t>
      </w:r>
      <w:r w:rsidRPr="004B33A2">
        <w:rPr>
          <w:rFonts w:cstheme="minorHAnsi"/>
        </w:rPr>
        <w:t xml:space="preserve">vues des </w:t>
      </w:r>
      <w:r w:rsidRPr="004B33A2">
        <w:t>É</w:t>
      </w:r>
      <w:r w:rsidRPr="004B33A2">
        <w:rPr>
          <w:rFonts w:cstheme="minorHAnsi"/>
        </w:rPr>
        <w:t>tats Membres du Conseil.</w:t>
      </w:r>
    </w:p>
    <w:p w14:paraId="1E8453AB" w14:textId="53E5D6B5" w:rsidR="001B4495" w:rsidRPr="004B33A2" w:rsidRDefault="001B4495" w:rsidP="00F900DB">
      <w:pPr>
        <w:pStyle w:val="Heading1"/>
      </w:pPr>
      <w:r w:rsidRPr="004B33A2">
        <w:lastRenderedPageBreak/>
        <w:t>5</w:t>
      </w:r>
      <w:r w:rsidRPr="004B33A2">
        <w:tab/>
        <w:t xml:space="preserve">Lignes directrices relatives à l'utilisation, par l'UIT, du </w:t>
      </w:r>
      <w:r w:rsidR="00DA7E4F" w:rsidRPr="004B33A2">
        <w:t>Programme m</w:t>
      </w:r>
      <w:r w:rsidRPr="004B33A2">
        <w:t xml:space="preserve">ondial </w:t>
      </w:r>
      <w:r w:rsidR="00DA7E4F" w:rsidRPr="004B33A2">
        <w:t>c</w:t>
      </w:r>
      <w:r w:rsidRPr="004B33A2">
        <w:t>ybersécurité (GCA) (Documents C22/32(Rév.1) et C22/71)</w:t>
      </w:r>
    </w:p>
    <w:p w14:paraId="558A8563" w14:textId="5268BC78"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5.1</w:t>
      </w:r>
      <w:r w:rsidRPr="004B33A2">
        <w:rPr>
          <w:rFonts w:cstheme="minorHAnsi"/>
          <w:szCs w:val="24"/>
        </w:rPr>
        <w:tab/>
        <w:t>Le représentant du Secrétariat général présente le rapport figurant dans le Document</w:t>
      </w:r>
      <w:r w:rsidR="00F900DB" w:rsidRPr="004B33A2">
        <w:rPr>
          <w:rFonts w:cstheme="minorHAnsi"/>
          <w:szCs w:val="24"/>
        </w:rPr>
        <w:t> </w:t>
      </w:r>
      <w:hyperlink r:id="rId19" w:history="1">
        <w:r w:rsidRPr="004B33A2">
          <w:rPr>
            <w:rStyle w:val="Hyperlink"/>
            <w:rFonts w:cstheme="minorHAnsi"/>
            <w:szCs w:val="24"/>
          </w:rPr>
          <w:t>C22/32(Rév.1)</w:t>
        </w:r>
      </w:hyperlink>
      <w:r w:rsidRPr="004B33A2">
        <w:rPr>
          <w:rFonts w:cstheme="minorHAnsi"/>
          <w:szCs w:val="24"/>
        </w:rPr>
        <w:t xml:space="preserve">, qui contient les projets de lignes directrices relatives à l'utilisation, par l'UIT, du Programme </w:t>
      </w:r>
      <w:r w:rsidR="00DA7E4F" w:rsidRPr="004B33A2">
        <w:rPr>
          <w:rFonts w:cstheme="minorHAnsi"/>
          <w:szCs w:val="24"/>
        </w:rPr>
        <w:t>m</w:t>
      </w:r>
      <w:r w:rsidRPr="004B33A2">
        <w:rPr>
          <w:rFonts w:cstheme="minorHAnsi"/>
          <w:szCs w:val="24"/>
        </w:rPr>
        <w:t xml:space="preserve">ondial </w:t>
      </w:r>
      <w:r w:rsidR="00DA7E4F" w:rsidRPr="004B33A2">
        <w:rPr>
          <w:rFonts w:cstheme="minorHAnsi"/>
          <w:szCs w:val="24"/>
        </w:rPr>
        <w:t>c</w:t>
      </w:r>
      <w:r w:rsidRPr="004B33A2">
        <w:rPr>
          <w:rFonts w:cstheme="minorHAnsi"/>
          <w:szCs w:val="24"/>
        </w:rPr>
        <w:t>ybersécurité (GCA). Ces lignes directrices sont le fruit d'un long processus de discussions et de consultations formelles et informelles. Seules deux dispositions contiennent encore des passages</w:t>
      </w:r>
      <w:r w:rsidR="00135181" w:rsidRPr="004B33A2">
        <w:rPr>
          <w:rFonts w:cstheme="minorHAnsi"/>
          <w:szCs w:val="24"/>
        </w:rPr>
        <w:t xml:space="preserve"> </w:t>
      </w:r>
      <w:r w:rsidRPr="004B33A2">
        <w:rPr>
          <w:rFonts w:cstheme="minorHAnsi"/>
          <w:szCs w:val="24"/>
        </w:rPr>
        <w:t>entre crochets.</w:t>
      </w:r>
    </w:p>
    <w:p w14:paraId="3E2BFEA2" w14:textId="586102FB"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5.2</w:t>
      </w:r>
      <w:r w:rsidRPr="004B33A2">
        <w:rPr>
          <w:rFonts w:cstheme="minorHAnsi"/>
          <w:szCs w:val="24"/>
        </w:rPr>
        <w:tab/>
        <w:t xml:space="preserve">Le Conseiller de la Chine présente le Document </w:t>
      </w:r>
      <w:hyperlink r:id="rId20" w:history="1">
        <w:r w:rsidRPr="004B33A2">
          <w:rPr>
            <w:rStyle w:val="Hyperlink"/>
            <w:rFonts w:cstheme="minorHAnsi"/>
            <w:szCs w:val="24"/>
          </w:rPr>
          <w:t>C22/71</w:t>
        </w:r>
      </w:hyperlink>
      <w:r w:rsidR="00135181" w:rsidRPr="004B33A2">
        <w:rPr>
          <w:rFonts w:cstheme="minorHAnsi"/>
          <w:szCs w:val="24"/>
        </w:rPr>
        <w:t>,</w:t>
      </w:r>
      <w:r w:rsidRPr="004B33A2">
        <w:rPr>
          <w:rFonts w:cstheme="minorHAnsi"/>
          <w:szCs w:val="24"/>
        </w:rPr>
        <w:t xml:space="preserve"> dans lequel il est proposé</w:t>
      </w:r>
      <w:r w:rsidR="00135181" w:rsidRPr="004B33A2">
        <w:rPr>
          <w:rFonts w:cstheme="minorHAnsi"/>
          <w:szCs w:val="24"/>
        </w:rPr>
        <w:t xml:space="preserve"> </w:t>
      </w:r>
      <w:r w:rsidRPr="004B33A2">
        <w:rPr>
          <w:rFonts w:cstheme="minorHAnsi"/>
          <w:szCs w:val="24"/>
        </w:rPr>
        <w:t>que le Conseil adopte les projets de lignes directrices et les utilise</w:t>
      </w:r>
      <w:r w:rsidR="00135181" w:rsidRPr="004B33A2">
        <w:rPr>
          <w:rFonts w:cstheme="minorHAnsi"/>
          <w:szCs w:val="24"/>
        </w:rPr>
        <w:t xml:space="preserve"> </w:t>
      </w:r>
      <w:r w:rsidRPr="004B33A2">
        <w:rPr>
          <w:rFonts w:cstheme="minorHAnsi"/>
          <w:szCs w:val="24"/>
        </w:rPr>
        <w:t>pour orienter les travaux de l'UIT, et qu'il mette à jour et révise en permanence les lignes directrices afin de tenir compte des avancées dans le domaine des technologies Internet et de la situation en matière de cybersécurité. Plusieurs Conseillers souscrivent</w:t>
      </w:r>
      <w:r w:rsidR="00135181" w:rsidRPr="004B33A2">
        <w:rPr>
          <w:rFonts w:cstheme="minorHAnsi"/>
          <w:szCs w:val="24"/>
        </w:rPr>
        <w:t xml:space="preserve"> </w:t>
      </w:r>
      <w:r w:rsidRPr="004B33A2">
        <w:rPr>
          <w:rFonts w:cstheme="minorHAnsi"/>
          <w:szCs w:val="24"/>
        </w:rPr>
        <w:t>à la proposition de la Chine.</w:t>
      </w:r>
    </w:p>
    <w:p w14:paraId="38D45442" w14:textId="0B0710A2"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5.3</w:t>
      </w:r>
      <w:r w:rsidRPr="004B33A2">
        <w:rPr>
          <w:rFonts w:cstheme="minorHAnsi"/>
          <w:szCs w:val="24"/>
        </w:rPr>
        <w:tab/>
        <w:t>Bien que les projets de lignes directrices, telles qu'elles figurent dans le Document</w:t>
      </w:r>
      <w:r w:rsidR="00F900DB" w:rsidRPr="004B33A2">
        <w:rPr>
          <w:rFonts w:cstheme="minorHAnsi"/>
          <w:szCs w:val="24"/>
        </w:rPr>
        <w:t> </w:t>
      </w:r>
      <w:r w:rsidRPr="004B33A2">
        <w:rPr>
          <w:rFonts w:cstheme="minorHAnsi"/>
          <w:szCs w:val="24"/>
        </w:rPr>
        <w:t>C22/32(Rév.1), recueillent l'assentiment général, des</w:t>
      </w:r>
      <w:r w:rsidR="00135181" w:rsidRPr="004B33A2">
        <w:rPr>
          <w:rFonts w:cstheme="minorHAnsi"/>
          <w:szCs w:val="24"/>
        </w:rPr>
        <w:t xml:space="preserve"> </w:t>
      </w:r>
      <w:r w:rsidRPr="004B33A2">
        <w:rPr>
          <w:rFonts w:cstheme="minorHAnsi"/>
          <w:szCs w:val="24"/>
        </w:rPr>
        <w:t>divergences de vues apparaissent</w:t>
      </w:r>
      <w:r w:rsidR="00135181" w:rsidRPr="004B33A2">
        <w:rPr>
          <w:rFonts w:cstheme="minorHAnsi"/>
          <w:szCs w:val="24"/>
        </w:rPr>
        <w:t xml:space="preserve"> </w:t>
      </w:r>
      <w:r w:rsidRPr="004B33A2">
        <w:rPr>
          <w:rFonts w:cstheme="minorHAnsi"/>
          <w:szCs w:val="24"/>
        </w:rPr>
        <w:t>au sujet du maintien,</w:t>
      </w:r>
      <w:r w:rsidR="00135181" w:rsidRPr="004B33A2">
        <w:rPr>
          <w:rFonts w:cstheme="minorHAnsi"/>
          <w:szCs w:val="24"/>
        </w:rPr>
        <w:t xml:space="preserve"> </w:t>
      </w:r>
      <w:r w:rsidRPr="004B33A2">
        <w:rPr>
          <w:rFonts w:cstheme="minorHAnsi"/>
          <w:szCs w:val="24"/>
        </w:rPr>
        <w:t>de</w:t>
      </w:r>
      <w:r w:rsidR="00135181" w:rsidRPr="004B33A2">
        <w:rPr>
          <w:rFonts w:cstheme="minorHAnsi"/>
          <w:szCs w:val="24"/>
        </w:rPr>
        <w:t xml:space="preserve"> </w:t>
      </w:r>
      <w:r w:rsidRPr="004B33A2">
        <w:rPr>
          <w:rFonts w:cstheme="minorHAnsi"/>
          <w:szCs w:val="24"/>
        </w:rPr>
        <w:t>la suppression ou de</w:t>
      </w:r>
      <w:r w:rsidR="00135181" w:rsidRPr="004B33A2">
        <w:rPr>
          <w:rFonts w:cstheme="minorHAnsi"/>
          <w:szCs w:val="24"/>
        </w:rPr>
        <w:t xml:space="preserve"> </w:t>
      </w:r>
      <w:r w:rsidRPr="004B33A2">
        <w:rPr>
          <w:rFonts w:cstheme="minorHAnsi"/>
          <w:szCs w:val="24"/>
        </w:rPr>
        <w:t>la</w:t>
      </w:r>
      <w:r w:rsidR="00135181" w:rsidRPr="004B33A2">
        <w:rPr>
          <w:rFonts w:cstheme="minorHAnsi"/>
          <w:szCs w:val="24"/>
        </w:rPr>
        <w:t xml:space="preserve"> </w:t>
      </w:r>
      <w:r w:rsidRPr="004B33A2">
        <w:rPr>
          <w:rFonts w:cstheme="minorHAnsi"/>
          <w:szCs w:val="24"/>
        </w:rPr>
        <w:t>formulation à nouveau des deux passages</w:t>
      </w:r>
      <w:r w:rsidR="00135181" w:rsidRPr="004B33A2">
        <w:rPr>
          <w:rFonts w:cstheme="minorHAnsi"/>
          <w:szCs w:val="24"/>
        </w:rPr>
        <w:t xml:space="preserve"> </w:t>
      </w:r>
      <w:r w:rsidRPr="004B33A2">
        <w:rPr>
          <w:rFonts w:cstheme="minorHAnsi"/>
          <w:szCs w:val="24"/>
        </w:rPr>
        <w:t>entre crochets.</w:t>
      </w:r>
    </w:p>
    <w:p w14:paraId="44B145C9" w14:textId="042216BC"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5.4</w:t>
      </w:r>
      <w:r w:rsidRPr="004B33A2">
        <w:rPr>
          <w:rFonts w:cstheme="minorHAnsi"/>
          <w:szCs w:val="24"/>
        </w:rPr>
        <w:tab/>
        <w:t>Certains Conseillers font valoir que, comme il existe déjà de nombreux instruments pour orienter les travaux de l'UIT dans ce domaine, il n'est pas nécessaire d'adapter en permanence les lignes directrices, qui</w:t>
      </w:r>
      <w:r w:rsidR="00135181" w:rsidRPr="004B33A2">
        <w:rPr>
          <w:rFonts w:cstheme="minorHAnsi"/>
          <w:szCs w:val="24"/>
        </w:rPr>
        <w:t xml:space="preserve"> </w:t>
      </w:r>
      <w:r w:rsidRPr="004B33A2">
        <w:rPr>
          <w:rFonts w:cstheme="minorHAnsi"/>
          <w:szCs w:val="24"/>
        </w:rPr>
        <w:t xml:space="preserve">devraient servir essentiellement de référence aux </w:t>
      </w:r>
      <w:r w:rsidRPr="004B33A2">
        <w:rPr>
          <w:szCs w:val="24"/>
        </w:rPr>
        <w:t>É</w:t>
      </w:r>
      <w:r w:rsidRPr="004B33A2">
        <w:rPr>
          <w:rFonts w:cstheme="minorHAnsi"/>
          <w:szCs w:val="24"/>
        </w:rPr>
        <w:t>tats Membres. Certains Conseillers se demandent en outre à quels</w:t>
      </w:r>
      <w:r w:rsidR="00135181" w:rsidRPr="004B33A2">
        <w:rPr>
          <w:rFonts w:cstheme="minorHAnsi"/>
          <w:szCs w:val="24"/>
        </w:rPr>
        <w:t xml:space="preserve"> </w:t>
      </w:r>
      <w:r w:rsidRPr="004B33A2">
        <w:rPr>
          <w:rFonts w:cstheme="minorHAnsi"/>
          <w:szCs w:val="24"/>
        </w:rPr>
        <w:t>utilisateurs s</w:t>
      </w:r>
      <w:r w:rsidR="00135181" w:rsidRPr="004B33A2">
        <w:rPr>
          <w:rFonts w:cstheme="minorHAnsi"/>
          <w:szCs w:val="24"/>
        </w:rPr>
        <w:t>'</w:t>
      </w:r>
      <w:r w:rsidRPr="004B33A2">
        <w:rPr>
          <w:rFonts w:cstheme="minorHAnsi"/>
          <w:szCs w:val="24"/>
        </w:rPr>
        <w:t>adressent</w:t>
      </w:r>
      <w:r w:rsidR="00135181" w:rsidRPr="004B33A2">
        <w:rPr>
          <w:rFonts w:cstheme="minorHAnsi"/>
          <w:szCs w:val="24"/>
        </w:rPr>
        <w:t xml:space="preserve"> </w:t>
      </w:r>
      <w:r w:rsidRPr="004B33A2">
        <w:rPr>
          <w:rFonts w:cstheme="minorHAnsi"/>
          <w:szCs w:val="24"/>
        </w:rPr>
        <w:t>les projets de lignes directrices et suggèrent que</w:t>
      </w:r>
      <w:r w:rsidR="00135181" w:rsidRPr="004B33A2">
        <w:rPr>
          <w:rFonts w:cstheme="minorHAnsi"/>
          <w:szCs w:val="24"/>
        </w:rPr>
        <w:t xml:space="preserve"> </w:t>
      </w:r>
      <w:r w:rsidRPr="004B33A2">
        <w:rPr>
          <w:rFonts w:cstheme="minorHAnsi"/>
          <w:szCs w:val="24"/>
        </w:rPr>
        <w:t>le paragraphe 6.c</w:t>
      </w:r>
      <w:r w:rsidR="00135181" w:rsidRPr="004B33A2">
        <w:rPr>
          <w:rFonts w:cstheme="minorHAnsi"/>
          <w:szCs w:val="24"/>
        </w:rPr>
        <w:t xml:space="preserve"> </w:t>
      </w:r>
      <w:r w:rsidRPr="004B33A2">
        <w:rPr>
          <w:rFonts w:cstheme="minorHAnsi"/>
          <w:szCs w:val="24"/>
        </w:rPr>
        <w:t>s</w:t>
      </w:r>
      <w:r w:rsidR="00135181" w:rsidRPr="004B33A2">
        <w:rPr>
          <w:rFonts w:cstheme="minorHAnsi"/>
          <w:szCs w:val="24"/>
        </w:rPr>
        <w:t>'</w:t>
      </w:r>
      <w:r w:rsidRPr="004B33A2">
        <w:rPr>
          <w:rFonts w:cstheme="minorHAnsi"/>
          <w:szCs w:val="24"/>
        </w:rPr>
        <w:t>apparente davantage à</w:t>
      </w:r>
      <w:r w:rsidR="00135181" w:rsidRPr="004B33A2">
        <w:rPr>
          <w:rFonts w:cstheme="minorHAnsi"/>
          <w:szCs w:val="24"/>
        </w:rPr>
        <w:t xml:space="preserve"> </w:t>
      </w:r>
      <w:r w:rsidRPr="004B33A2">
        <w:rPr>
          <w:rFonts w:cstheme="minorHAnsi"/>
          <w:szCs w:val="24"/>
        </w:rPr>
        <w:t>une directive</w:t>
      </w:r>
      <w:r w:rsidR="00135181" w:rsidRPr="004B33A2">
        <w:rPr>
          <w:rFonts w:cstheme="minorHAnsi"/>
          <w:szCs w:val="24"/>
        </w:rPr>
        <w:t xml:space="preserve"> </w:t>
      </w:r>
      <w:r w:rsidRPr="004B33A2">
        <w:rPr>
          <w:rFonts w:cstheme="minorHAnsi"/>
          <w:szCs w:val="24"/>
        </w:rPr>
        <w:t>simplifiée</w:t>
      </w:r>
      <w:r w:rsidR="00135181" w:rsidRPr="004B33A2">
        <w:rPr>
          <w:rFonts w:cstheme="minorHAnsi"/>
          <w:szCs w:val="24"/>
        </w:rPr>
        <w:t xml:space="preserve"> </w:t>
      </w:r>
      <w:r w:rsidRPr="004B33A2">
        <w:rPr>
          <w:rFonts w:cstheme="minorHAnsi"/>
          <w:szCs w:val="24"/>
        </w:rPr>
        <w:t xml:space="preserve">destinée à aider le </w:t>
      </w:r>
      <w:r w:rsidR="00F900DB" w:rsidRPr="004B33A2">
        <w:rPr>
          <w:rFonts w:cstheme="minorHAnsi"/>
          <w:szCs w:val="24"/>
        </w:rPr>
        <w:t>S</w:t>
      </w:r>
      <w:r w:rsidRPr="004B33A2">
        <w:rPr>
          <w:rFonts w:cstheme="minorHAnsi"/>
          <w:szCs w:val="24"/>
        </w:rPr>
        <w:t>ecrétariat à intégrer le Programme GCA dans les travaux de l'Union.</w:t>
      </w:r>
    </w:p>
    <w:p w14:paraId="5FCF19BE" w14:textId="3766376F"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5.5</w:t>
      </w:r>
      <w:r w:rsidRPr="004B33A2">
        <w:rPr>
          <w:rFonts w:cstheme="minorHAnsi"/>
          <w:szCs w:val="24"/>
        </w:rPr>
        <w:tab/>
        <w:t>Parallèlement, certains Conseillers rappellent que la PP</w:t>
      </w:r>
      <w:r w:rsidR="00135181" w:rsidRPr="004B33A2">
        <w:rPr>
          <w:rFonts w:cstheme="minorHAnsi"/>
          <w:szCs w:val="24"/>
        </w:rPr>
        <w:t>,</w:t>
      </w:r>
      <w:r w:rsidRPr="004B33A2">
        <w:rPr>
          <w:rFonts w:cstheme="minorHAnsi"/>
          <w:szCs w:val="24"/>
        </w:rPr>
        <w:t xml:space="preserve"> dans sa Résolution 130 (Rév.</w:t>
      </w:r>
      <w:r w:rsidR="00F900DB" w:rsidRPr="004B33A2">
        <w:rPr>
          <w:rFonts w:cstheme="minorHAnsi"/>
          <w:szCs w:val="24"/>
        </w:rPr>
        <w:t> </w:t>
      </w:r>
      <w:r w:rsidRPr="004B33A2">
        <w:rPr>
          <w:rFonts w:cstheme="minorHAnsi"/>
          <w:szCs w:val="24"/>
        </w:rPr>
        <w:t>Dubaï, 2018), a décidé d'utiliser le cadre qu</w:t>
      </w:r>
      <w:r w:rsidR="00135181" w:rsidRPr="004B33A2">
        <w:rPr>
          <w:rFonts w:cstheme="minorHAnsi"/>
          <w:szCs w:val="24"/>
        </w:rPr>
        <w:t>'</w:t>
      </w:r>
      <w:r w:rsidRPr="004B33A2">
        <w:rPr>
          <w:rFonts w:cstheme="minorHAnsi"/>
          <w:szCs w:val="24"/>
        </w:rPr>
        <w:t xml:space="preserve">offre le Programme GCA pour mieux orienter les travaux de l'Union sur les efforts visant à instaurer la confiance et la </w:t>
      </w:r>
      <w:r w:rsidR="006B3F6C" w:rsidRPr="004B33A2">
        <w:rPr>
          <w:rFonts w:cstheme="minorHAnsi"/>
          <w:szCs w:val="24"/>
        </w:rPr>
        <w:t>sécurité dans l'utilisation des </w:t>
      </w:r>
      <w:r w:rsidRPr="004B33A2">
        <w:rPr>
          <w:rFonts w:cstheme="minorHAnsi"/>
          <w:szCs w:val="24"/>
        </w:rPr>
        <w:t xml:space="preserve">TIC, et que des mesures ont déjà été prises à cette fin. Ces lignes directrices sont donc nécessaires pour renforcer la cohérence des activités de l'UIT, et </w:t>
      </w:r>
      <w:r w:rsidR="006B3F6C" w:rsidRPr="004B33A2">
        <w:rPr>
          <w:rFonts w:cstheme="minorHAnsi"/>
          <w:szCs w:val="24"/>
        </w:rPr>
        <w:t>le texte des paragraphes 2.b et </w:t>
      </w:r>
      <w:r w:rsidRPr="004B33A2">
        <w:rPr>
          <w:rFonts w:cstheme="minorHAnsi"/>
          <w:szCs w:val="24"/>
        </w:rPr>
        <w:t>6.c peut être maintenu, étant donné que le libellé proposé n'a pas d'incidence majeure sur l'ensemble du texte ou sur</w:t>
      </w:r>
      <w:r w:rsidR="00135181" w:rsidRPr="004B33A2">
        <w:rPr>
          <w:rFonts w:cstheme="minorHAnsi"/>
          <w:szCs w:val="24"/>
        </w:rPr>
        <w:t xml:space="preserve"> </w:t>
      </w:r>
      <w:r w:rsidRPr="004B33A2">
        <w:rPr>
          <w:rFonts w:cstheme="minorHAnsi"/>
          <w:szCs w:val="24"/>
        </w:rPr>
        <w:t>les travaux de l'UIT.</w:t>
      </w:r>
    </w:p>
    <w:p w14:paraId="271B732E" w14:textId="0C1AAB56"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5.6</w:t>
      </w:r>
      <w:r w:rsidRPr="004B33A2">
        <w:rPr>
          <w:rFonts w:cstheme="minorHAnsi"/>
          <w:szCs w:val="24"/>
        </w:rPr>
        <w:tab/>
        <w:t>Un autre Conseiller</w:t>
      </w:r>
      <w:r w:rsidR="00135181" w:rsidRPr="004B33A2">
        <w:rPr>
          <w:rFonts w:cstheme="minorHAnsi"/>
          <w:szCs w:val="24"/>
        </w:rPr>
        <w:t xml:space="preserve"> </w:t>
      </w:r>
      <w:r w:rsidRPr="004B33A2">
        <w:rPr>
          <w:rFonts w:cstheme="minorHAnsi"/>
          <w:szCs w:val="24"/>
        </w:rPr>
        <w:t>insiste sur l'importance des dispositions du texte dans lesquelles</w:t>
      </w:r>
      <w:r w:rsidR="00135181" w:rsidRPr="004B33A2">
        <w:rPr>
          <w:rFonts w:cstheme="minorHAnsi"/>
          <w:szCs w:val="24"/>
        </w:rPr>
        <w:t xml:space="preserve"> </w:t>
      </w:r>
      <w:r w:rsidRPr="004B33A2">
        <w:rPr>
          <w:rFonts w:cstheme="minorHAnsi"/>
          <w:szCs w:val="24"/>
        </w:rPr>
        <w:t>l'UIT est encouragée à continuer d'apporter un appui aux</w:t>
      </w:r>
      <w:r w:rsidR="00135181" w:rsidRPr="004B33A2">
        <w:rPr>
          <w:rFonts w:cstheme="minorHAnsi"/>
          <w:szCs w:val="24"/>
        </w:rPr>
        <w:t xml:space="preserve"> </w:t>
      </w:r>
      <w:r w:rsidRPr="004B33A2">
        <w:rPr>
          <w:rFonts w:cstheme="minorHAnsi"/>
          <w:szCs w:val="24"/>
        </w:rPr>
        <w:t>pays les moins avancés et</w:t>
      </w:r>
      <w:r w:rsidR="00135181" w:rsidRPr="004B33A2">
        <w:rPr>
          <w:rFonts w:cstheme="minorHAnsi"/>
          <w:szCs w:val="24"/>
        </w:rPr>
        <w:t xml:space="preserve"> </w:t>
      </w:r>
      <w:r w:rsidRPr="004B33A2">
        <w:rPr>
          <w:rFonts w:cstheme="minorHAnsi"/>
          <w:szCs w:val="24"/>
        </w:rPr>
        <w:t xml:space="preserve">aux petits </w:t>
      </w:r>
      <w:r w:rsidRPr="004B33A2">
        <w:rPr>
          <w:szCs w:val="24"/>
        </w:rPr>
        <w:t>É</w:t>
      </w:r>
      <w:r w:rsidRPr="004B33A2">
        <w:rPr>
          <w:rFonts w:cstheme="minorHAnsi"/>
          <w:szCs w:val="24"/>
        </w:rPr>
        <w:t>tats insulaires en développement dans le domaine de la cybersécurité et à établir des partenariats avec des</w:t>
      </w:r>
      <w:r w:rsidR="00135181" w:rsidRPr="004B33A2">
        <w:rPr>
          <w:rFonts w:cstheme="minorHAnsi"/>
          <w:szCs w:val="24"/>
        </w:rPr>
        <w:t xml:space="preserve"> </w:t>
      </w:r>
      <w:r w:rsidRPr="004B33A2">
        <w:rPr>
          <w:rFonts w:cstheme="minorHAnsi"/>
          <w:szCs w:val="24"/>
        </w:rPr>
        <w:t xml:space="preserve">start-up et </w:t>
      </w:r>
      <w:r w:rsidRPr="004B33A2">
        <w:rPr>
          <w:color w:val="000000"/>
        </w:rPr>
        <w:t>des micro-entreprises ainsi que des</w:t>
      </w:r>
      <w:r w:rsidR="00135181" w:rsidRPr="004B33A2">
        <w:rPr>
          <w:rFonts w:cstheme="minorHAnsi"/>
          <w:szCs w:val="24"/>
        </w:rPr>
        <w:t xml:space="preserve"> </w:t>
      </w:r>
      <w:r w:rsidRPr="004B33A2">
        <w:rPr>
          <w:rFonts w:cstheme="minorHAnsi"/>
          <w:szCs w:val="24"/>
        </w:rPr>
        <w:t>petites et moyennes entreprises.</w:t>
      </w:r>
    </w:p>
    <w:p w14:paraId="631E676D" w14:textId="4AFD1802"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5.7</w:t>
      </w:r>
      <w:r w:rsidRPr="004B33A2">
        <w:rPr>
          <w:rFonts w:cstheme="minorHAnsi"/>
          <w:szCs w:val="24"/>
        </w:rPr>
        <w:tab/>
        <w:t>Un autre Conseiller demande quand le BDT prévoit de commencer à</w:t>
      </w:r>
      <w:r w:rsidR="00135181" w:rsidRPr="004B33A2">
        <w:rPr>
          <w:rFonts w:cstheme="minorHAnsi"/>
          <w:szCs w:val="24"/>
        </w:rPr>
        <w:t xml:space="preserve"> </w:t>
      </w:r>
      <w:r w:rsidRPr="004B33A2">
        <w:rPr>
          <w:rFonts w:cstheme="minorHAnsi"/>
          <w:szCs w:val="24"/>
        </w:rPr>
        <w:t>mener des travaux sur l'Indice mondial de cybersécurité et propose que ces travaux soient entrepris après la fin</w:t>
      </w:r>
      <w:r w:rsidR="00135181" w:rsidRPr="004B33A2">
        <w:rPr>
          <w:rFonts w:cstheme="minorHAnsi"/>
          <w:szCs w:val="24"/>
        </w:rPr>
        <w:t xml:space="preserve"> </w:t>
      </w:r>
      <w:r w:rsidR="00C941BB" w:rsidRPr="004B33A2">
        <w:rPr>
          <w:rFonts w:cstheme="minorHAnsi"/>
          <w:szCs w:val="24"/>
        </w:rPr>
        <w:t>de la </w:t>
      </w:r>
      <w:r w:rsidRPr="004B33A2">
        <w:rPr>
          <w:rFonts w:cstheme="minorHAnsi"/>
          <w:szCs w:val="24"/>
        </w:rPr>
        <w:t>PP</w:t>
      </w:r>
      <w:r w:rsidR="00412243" w:rsidRPr="004B33A2">
        <w:rPr>
          <w:rFonts w:cstheme="minorHAnsi"/>
          <w:szCs w:val="24"/>
        </w:rPr>
        <w:noBreakHyphen/>
      </w:r>
      <w:r w:rsidRPr="004B33A2">
        <w:rPr>
          <w:rFonts w:cstheme="minorHAnsi"/>
          <w:szCs w:val="24"/>
        </w:rPr>
        <w:t>22, de façon à</w:t>
      </w:r>
      <w:r w:rsidR="00135181" w:rsidRPr="004B33A2">
        <w:rPr>
          <w:rFonts w:cstheme="minorHAnsi"/>
          <w:szCs w:val="24"/>
        </w:rPr>
        <w:t xml:space="preserve"> </w:t>
      </w:r>
      <w:r w:rsidR="004D39D8" w:rsidRPr="004B33A2">
        <w:rPr>
          <w:rFonts w:cstheme="minorHAnsi"/>
          <w:szCs w:val="24"/>
        </w:rPr>
        <w:t xml:space="preserve">laisser </w:t>
      </w:r>
      <w:r w:rsidR="00F94EFD" w:rsidRPr="004B33A2">
        <w:rPr>
          <w:rFonts w:cstheme="minorHAnsi"/>
          <w:szCs w:val="24"/>
        </w:rPr>
        <w:t xml:space="preserve">suffisamment de temps </w:t>
      </w:r>
      <w:r w:rsidR="004D39D8" w:rsidRPr="004B33A2">
        <w:rPr>
          <w:rFonts w:cstheme="minorHAnsi"/>
          <w:szCs w:val="24"/>
        </w:rPr>
        <w:t xml:space="preserve">pour </w:t>
      </w:r>
      <w:r w:rsidRPr="004B33A2">
        <w:rPr>
          <w:rFonts w:cstheme="minorHAnsi"/>
          <w:szCs w:val="24"/>
        </w:rPr>
        <w:t>la coordination entre les pays et les régions.</w:t>
      </w:r>
    </w:p>
    <w:p w14:paraId="2072B7E3" w14:textId="77777777"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5.8</w:t>
      </w:r>
      <w:r w:rsidRPr="004B33A2">
        <w:rPr>
          <w:rFonts w:cstheme="minorHAnsi"/>
          <w:szCs w:val="24"/>
        </w:rPr>
        <w:tab/>
        <w:t xml:space="preserve">Le Conseil </w:t>
      </w:r>
      <w:r w:rsidRPr="004B33A2">
        <w:rPr>
          <w:rFonts w:cstheme="minorHAnsi"/>
          <w:b/>
          <w:szCs w:val="24"/>
        </w:rPr>
        <w:t xml:space="preserve">décide </w:t>
      </w:r>
      <w:r w:rsidRPr="004B33A2">
        <w:rPr>
          <w:rFonts w:cstheme="minorHAnsi"/>
          <w:szCs w:val="24"/>
        </w:rPr>
        <w:t>de mener des consultations informelles sur les paragraphes en suspens des projets de lignes directrices et de faire rapport à une séance plénière suivante.</w:t>
      </w:r>
    </w:p>
    <w:p w14:paraId="6C053988" w14:textId="463DDEB3" w:rsidR="001B4495" w:rsidRPr="004B33A2" w:rsidRDefault="001B4495" w:rsidP="00412243">
      <w:pPr>
        <w:pStyle w:val="Heading1"/>
      </w:pPr>
      <w:r w:rsidRPr="004B33A2">
        <w:lastRenderedPageBreak/>
        <w:t>6</w:t>
      </w:r>
      <w:r w:rsidRPr="004B33A2">
        <w:tab/>
        <w:t xml:space="preserve">Rapport sur les résultats des </w:t>
      </w:r>
      <w:r w:rsidR="00AD057B" w:rsidRPr="004B33A2">
        <w:t>réunions</w:t>
      </w:r>
      <w:r w:rsidRPr="004B33A2">
        <w:t xml:space="preserve"> du GTC-SMSI/ODD</w:t>
      </w:r>
      <w:r w:rsidR="00135181" w:rsidRPr="004B33A2">
        <w:t xml:space="preserve"> </w:t>
      </w:r>
      <w:r w:rsidRPr="004B33A2">
        <w:t>depuis la session de</w:t>
      </w:r>
      <w:r w:rsidR="0079539D" w:rsidRPr="004B33A2">
        <w:t> </w:t>
      </w:r>
      <w:r w:rsidRPr="004B33A2">
        <w:t>2021 du Conseil (Document C22/8)</w:t>
      </w:r>
    </w:p>
    <w:p w14:paraId="1F7D0DD8" w14:textId="41A9040C"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6.1</w:t>
      </w:r>
      <w:r w:rsidRPr="004B33A2">
        <w:rPr>
          <w:rFonts w:cstheme="minorHAnsi"/>
          <w:szCs w:val="24"/>
        </w:rPr>
        <w:tab/>
        <w:t>Le Président du Groupe de travail du Conseil sur le S</w:t>
      </w:r>
      <w:r w:rsidR="006B3F6C" w:rsidRPr="004B33A2">
        <w:rPr>
          <w:rFonts w:cstheme="minorHAnsi"/>
          <w:szCs w:val="24"/>
        </w:rPr>
        <w:t>ommet mondial sur la société de </w:t>
      </w:r>
      <w:r w:rsidRPr="004B33A2">
        <w:rPr>
          <w:rFonts w:cstheme="minorHAnsi"/>
          <w:szCs w:val="24"/>
        </w:rPr>
        <w:t>l'information et les Objectifs de développement durable (GT</w:t>
      </w:r>
      <w:r w:rsidR="006B3F6C" w:rsidRPr="004B33A2">
        <w:rPr>
          <w:rFonts w:cstheme="minorHAnsi"/>
          <w:szCs w:val="24"/>
        </w:rPr>
        <w:t>C-SMSI/ODD) présente le rapport </w:t>
      </w:r>
      <w:r w:rsidRPr="004B33A2">
        <w:rPr>
          <w:rFonts w:cstheme="minorHAnsi"/>
          <w:szCs w:val="24"/>
        </w:rPr>
        <w:t xml:space="preserve">figurant dans le Document </w:t>
      </w:r>
      <w:hyperlink r:id="rId21" w:history="1">
        <w:r w:rsidRPr="004B33A2">
          <w:rPr>
            <w:rStyle w:val="Hyperlink"/>
            <w:rFonts w:cstheme="minorHAnsi"/>
            <w:szCs w:val="24"/>
          </w:rPr>
          <w:t>C22/8</w:t>
        </w:r>
      </w:hyperlink>
      <w:r w:rsidRPr="004B33A2">
        <w:rPr>
          <w:rFonts w:cstheme="minorHAnsi"/>
          <w:szCs w:val="24"/>
        </w:rPr>
        <w:t>, qui récapitule les pr</w:t>
      </w:r>
      <w:r w:rsidR="006B3F6C" w:rsidRPr="004B33A2">
        <w:rPr>
          <w:rFonts w:cstheme="minorHAnsi"/>
          <w:szCs w:val="24"/>
        </w:rPr>
        <w:t>incipaux résultats des 37ème et </w:t>
      </w:r>
      <w:r w:rsidRPr="004B33A2">
        <w:rPr>
          <w:rFonts w:cstheme="minorHAnsi"/>
          <w:szCs w:val="24"/>
        </w:rPr>
        <w:t>38ème</w:t>
      </w:r>
      <w:r w:rsidR="00F43B9B" w:rsidRPr="004B33A2">
        <w:rPr>
          <w:rFonts w:cstheme="minorHAnsi"/>
          <w:szCs w:val="24"/>
        </w:rPr>
        <w:t> </w:t>
      </w:r>
      <w:r w:rsidRPr="004B33A2">
        <w:rPr>
          <w:rFonts w:cstheme="minorHAnsi"/>
          <w:szCs w:val="24"/>
        </w:rPr>
        <w:t>réunions du Groupe.</w:t>
      </w:r>
    </w:p>
    <w:p w14:paraId="1B88DFA1" w14:textId="4AF08658"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6.2</w:t>
      </w:r>
      <w:r w:rsidRPr="004B33A2">
        <w:rPr>
          <w:rFonts w:cstheme="minorHAnsi"/>
          <w:szCs w:val="24"/>
        </w:rPr>
        <w:tab/>
        <w:t xml:space="preserve">De nombreux Conseillers se disent favorables à la poursuite des travaux du Groupe, compte tenu de leur importance pour le développement durable. Un Conseiller encourage les </w:t>
      </w:r>
      <w:r w:rsidRPr="004B33A2">
        <w:rPr>
          <w:szCs w:val="24"/>
        </w:rPr>
        <w:t>É</w:t>
      </w:r>
      <w:r w:rsidRPr="004B33A2">
        <w:rPr>
          <w:rFonts w:cstheme="minorHAnsi"/>
          <w:szCs w:val="24"/>
        </w:rPr>
        <w:t xml:space="preserve">tats Membres à </w:t>
      </w:r>
      <w:r w:rsidRPr="004B33A2">
        <w:rPr>
          <w:color w:val="000000"/>
        </w:rPr>
        <w:t>verser des contributions</w:t>
      </w:r>
      <w:r w:rsidR="00135181" w:rsidRPr="004B33A2">
        <w:rPr>
          <w:color w:val="000000"/>
        </w:rPr>
        <w:t xml:space="preserve"> </w:t>
      </w:r>
      <w:r w:rsidRPr="004B33A2">
        <w:rPr>
          <w:rFonts w:cstheme="minorHAnsi"/>
          <w:szCs w:val="24"/>
        </w:rPr>
        <w:t>au Fonds d'affectation spéciale pour le SMSI.</w:t>
      </w:r>
    </w:p>
    <w:p w14:paraId="6CF7D3E4" w14:textId="085EC633"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6.3</w:t>
      </w:r>
      <w:r w:rsidRPr="004B33A2">
        <w:rPr>
          <w:rFonts w:cstheme="minorHAnsi"/>
          <w:szCs w:val="24"/>
        </w:rPr>
        <w:tab/>
        <w:t>Deux Conseillers expriment le souhait qu'une autre édition du Forum "Les TIC pour tous" soit organisée,</w:t>
      </w:r>
      <w:r w:rsidR="00135181" w:rsidRPr="004B33A2">
        <w:rPr>
          <w:rFonts w:cstheme="minorHAnsi"/>
          <w:szCs w:val="24"/>
        </w:rPr>
        <w:t xml:space="preserve"> </w:t>
      </w:r>
      <w:r w:rsidRPr="004B33A2">
        <w:rPr>
          <w:rFonts w:cstheme="minorHAnsi"/>
          <w:szCs w:val="24"/>
        </w:rPr>
        <w:t>notamment</w:t>
      </w:r>
      <w:r w:rsidR="00135181" w:rsidRPr="004B33A2">
        <w:rPr>
          <w:rFonts w:cstheme="minorHAnsi"/>
          <w:szCs w:val="24"/>
        </w:rPr>
        <w:t xml:space="preserve"> </w:t>
      </w:r>
      <w:r w:rsidRPr="004B33A2">
        <w:rPr>
          <w:rFonts w:cstheme="minorHAnsi"/>
          <w:szCs w:val="24"/>
        </w:rPr>
        <w:t>le Conseiller de la Tunisie, qui précise</w:t>
      </w:r>
      <w:r w:rsidR="00135181" w:rsidRPr="004B33A2">
        <w:rPr>
          <w:rFonts w:cstheme="minorHAnsi"/>
          <w:szCs w:val="24"/>
        </w:rPr>
        <w:t xml:space="preserve"> </w:t>
      </w:r>
      <w:r w:rsidRPr="004B33A2">
        <w:rPr>
          <w:rFonts w:cstheme="minorHAnsi"/>
          <w:szCs w:val="24"/>
        </w:rPr>
        <w:t>que son pays collaborera avec des partenaires à cette fin.</w:t>
      </w:r>
    </w:p>
    <w:p w14:paraId="7A88B8B4" w14:textId="6BBC6938"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6.4</w:t>
      </w:r>
      <w:r w:rsidRPr="004B33A2">
        <w:rPr>
          <w:rFonts w:cstheme="minorHAnsi"/>
          <w:szCs w:val="24"/>
        </w:rPr>
        <w:tab/>
        <w:t xml:space="preserve">Le Conseil </w:t>
      </w:r>
      <w:r w:rsidRPr="004B33A2">
        <w:rPr>
          <w:rFonts w:cstheme="minorHAnsi"/>
          <w:b/>
          <w:szCs w:val="24"/>
        </w:rPr>
        <w:t xml:space="preserve">décide </w:t>
      </w:r>
      <w:r w:rsidRPr="004B33A2">
        <w:rPr>
          <w:rFonts w:cstheme="minorHAnsi"/>
          <w:szCs w:val="24"/>
        </w:rPr>
        <w:t>de prendre note des travaux du GTC-SMSI/ODD et d'examiner les recommandations</w:t>
      </w:r>
      <w:r w:rsidR="00135181" w:rsidRPr="004B33A2">
        <w:rPr>
          <w:rFonts w:cstheme="minorHAnsi"/>
          <w:szCs w:val="24"/>
        </w:rPr>
        <w:t xml:space="preserve"> </w:t>
      </w:r>
      <w:r w:rsidRPr="004B33A2">
        <w:rPr>
          <w:rFonts w:cstheme="minorHAnsi"/>
          <w:szCs w:val="24"/>
        </w:rPr>
        <w:t>figurant dans le Document C22/8.</w:t>
      </w:r>
    </w:p>
    <w:p w14:paraId="6A22BA5D" w14:textId="669D1AEA" w:rsidR="001B4495" w:rsidRPr="004B33A2" w:rsidRDefault="001B4495" w:rsidP="00C971E4">
      <w:pPr>
        <w:pStyle w:val="Heading1"/>
      </w:pPr>
      <w:r w:rsidRPr="004B33A2">
        <w:t>7</w:t>
      </w:r>
      <w:r w:rsidRPr="004B33A2">
        <w:tab/>
        <w:t xml:space="preserve">Rapport quadriennal sur le résultat des activités du GTC-SMSI/ODD depuis la Conférence de </w:t>
      </w:r>
      <w:r w:rsidR="00C941BB" w:rsidRPr="004B33A2">
        <w:t>p</w:t>
      </w:r>
      <w:r w:rsidRPr="004B33A2">
        <w:t>lénipotentiaires de 2018 (Document C22/60)</w:t>
      </w:r>
    </w:p>
    <w:p w14:paraId="51546E0E" w14:textId="77777777"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7.1</w:t>
      </w:r>
      <w:r w:rsidRPr="004B33A2">
        <w:rPr>
          <w:rFonts w:cstheme="minorHAnsi"/>
          <w:szCs w:val="24"/>
        </w:rPr>
        <w:tab/>
        <w:t xml:space="preserve">Le Président du GTC-SMSI/ODD présente le rapport quadriennal sur le résultat des activités du Groupe depuis la PP-18, qui figure dans le Document </w:t>
      </w:r>
      <w:hyperlink r:id="rId22" w:history="1">
        <w:r w:rsidRPr="004B33A2">
          <w:rPr>
            <w:rStyle w:val="Hyperlink"/>
            <w:rFonts w:cstheme="minorHAnsi"/>
            <w:szCs w:val="24"/>
          </w:rPr>
          <w:t>C22/60</w:t>
        </w:r>
      </w:hyperlink>
      <w:r w:rsidRPr="004B33A2">
        <w:rPr>
          <w:rFonts w:cstheme="minorHAnsi"/>
          <w:szCs w:val="24"/>
        </w:rPr>
        <w:t>.</w:t>
      </w:r>
    </w:p>
    <w:p w14:paraId="2F0EFAFC" w14:textId="0EB56DAF"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7.2</w:t>
      </w:r>
      <w:r w:rsidRPr="004B33A2">
        <w:rPr>
          <w:rFonts w:cstheme="minorHAnsi"/>
          <w:szCs w:val="24"/>
        </w:rPr>
        <w:tab/>
        <w:t xml:space="preserve">Les Conseillers </w:t>
      </w:r>
      <w:r w:rsidRPr="004B33A2">
        <w:rPr>
          <w:color w:val="000000"/>
        </w:rPr>
        <w:t>réaffirment qu'ils sont</w:t>
      </w:r>
      <w:r w:rsidR="00135181" w:rsidRPr="004B33A2">
        <w:rPr>
          <w:color w:val="000000"/>
        </w:rPr>
        <w:t xml:space="preserve"> </w:t>
      </w:r>
      <w:r w:rsidRPr="004B33A2">
        <w:rPr>
          <w:color w:val="000000"/>
        </w:rPr>
        <w:t>favorables</w:t>
      </w:r>
      <w:r w:rsidRPr="004B33A2" w:rsidDel="00456A74">
        <w:rPr>
          <w:rFonts w:cstheme="minorHAnsi"/>
          <w:szCs w:val="24"/>
        </w:rPr>
        <w:t xml:space="preserve"> </w:t>
      </w:r>
      <w:r w:rsidRPr="004B33A2">
        <w:rPr>
          <w:rFonts w:cstheme="minorHAnsi"/>
          <w:szCs w:val="24"/>
        </w:rPr>
        <w:t>à la poursuite des travaux du Groupe ainsi qu'aux recommandations figurant dans le rapport.</w:t>
      </w:r>
    </w:p>
    <w:p w14:paraId="6CBF5E99" w14:textId="613D878C" w:rsidR="001B4495" w:rsidRPr="004B33A2" w:rsidRDefault="001B4495" w:rsidP="00135181">
      <w:pPr>
        <w:tabs>
          <w:tab w:val="clear" w:pos="567"/>
          <w:tab w:val="clear" w:pos="1134"/>
          <w:tab w:val="clear" w:pos="1701"/>
          <w:tab w:val="clear" w:pos="2268"/>
          <w:tab w:val="clear" w:pos="2835"/>
        </w:tabs>
        <w:snapToGrid w:val="0"/>
        <w:rPr>
          <w:rFonts w:cstheme="minorHAnsi"/>
          <w:szCs w:val="24"/>
        </w:rPr>
      </w:pPr>
      <w:r w:rsidRPr="004B33A2">
        <w:rPr>
          <w:rFonts w:cstheme="minorHAnsi"/>
          <w:szCs w:val="24"/>
        </w:rPr>
        <w:t>7.3</w:t>
      </w:r>
      <w:r w:rsidRPr="004B33A2">
        <w:rPr>
          <w:rFonts w:cstheme="minorHAnsi"/>
          <w:szCs w:val="24"/>
        </w:rPr>
        <w:tab/>
        <w:t xml:space="preserve">Le Conseil </w:t>
      </w:r>
      <w:r w:rsidRPr="004B33A2">
        <w:rPr>
          <w:rFonts w:cstheme="minorHAnsi"/>
          <w:b/>
          <w:szCs w:val="24"/>
        </w:rPr>
        <w:t xml:space="preserve">décide </w:t>
      </w:r>
      <w:r w:rsidRPr="004B33A2">
        <w:rPr>
          <w:rFonts w:cstheme="minorHAnsi"/>
          <w:szCs w:val="24"/>
        </w:rPr>
        <w:t>d'examiner le rapport et de soumettre les recommandations qui y figurent à la PP-22.</w:t>
      </w:r>
    </w:p>
    <w:p w14:paraId="049D179C" w14:textId="77777777" w:rsidR="001B4495" w:rsidRPr="004B33A2" w:rsidRDefault="001B4495" w:rsidP="00135181">
      <w:pPr>
        <w:pStyle w:val="Heading1"/>
        <w:keepNext w:val="0"/>
        <w:keepLines w:val="0"/>
        <w:tabs>
          <w:tab w:val="clear" w:pos="567"/>
          <w:tab w:val="clear" w:pos="1134"/>
          <w:tab w:val="clear" w:pos="1701"/>
          <w:tab w:val="clear" w:pos="2268"/>
          <w:tab w:val="clear" w:pos="2835"/>
        </w:tabs>
        <w:snapToGrid w:val="0"/>
        <w:spacing w:before="360" w:after="120"/>
        <w:ind w:left="720" w:hanging="720"/>
        <w:rPr>
          <w:b w:val="0"/>
          <w:bCs/>
          <w:szCs w:val="28"/>
        </w:rPr>
      </w:pPr>
      <w:r w:rsidRPr="004B33A2">
        <w:rPr>
          <w:bCs/>
          <w:szCs w:val="28"/>
        </w:rPr>
        <w:t>8</w:t>
      </w:r>
      <w:r w:rsidRPr="004B33A2">
        <w:rPr>
          <w:bCs/>
          <w:szCs w:val="28"/>
        </w:rPr>
        <w:tab/>
        <w:t>Déclarations des Ministres et des Conseillers</w:t>
      </w:r>
    </w:p>
    <w:p w14:paraId="199F7140" w14:textId="139DFE8F" w:rsidR="001B4495" w:rsidRPr="004B33A2" w:rsidRDefault="001B4495" w:rsidP="00135181">
      <w:pPr>
        <w:tabs>
          <w:tab w:val="clear" w:pos="567"/>
          <w:tab w:val="clear" w:pos="1134"/>
          <w:tab w:val="clear" w:pos="1701"/>
          <w:tab w:val="clear" w:pos="2268"/>
          <w:tab w:val="clear" w:pos="2835"/>
        </w:tabs>
        <w:snapToGrid w:val="0"/>
        <w:rPr>
          <w:rFonts w:asciiTheme="minorHAnsi" w:hAnsiTheme="minorHAnsi"/>
          <w:szCs w:val="24"/>
        </w:rPr>
      </w:pPr>
      <w:r w:rsidRPr="004B33A2">
        <w:rPr>
          <w:szCs w:val="24"/>
        </w:rPr>
        <w:t>8.1</w:t>
      </w:r>
      <w:r w:rsidRPr="004B33A2">
        <w:rPr>
          <w:szCs w:val="24"/>
        </w:rPr>
        <w:tab/>
        <w:t xml:space="preserve">Dans leurs déclarations, Mme </w:t>
      </w:r>
      <w:r w:rsidRPr="004B33A2">
        <w:rPr>
          <w:rFonts w:asciiTheme="minorHAnsi" w:hAnsiTheme="minorHAnsi"/>
          <w:szCs w:val="24"/>
        </w:rPr>
        <w:t xml:space="preserve">Erica J. Barks-Ruggles (Ambassadrice, Politique internationale </w:t>
      </w:r>
      <w:r w:rsidRPr="004B33A2">
        <w:rPr>
          <w:color w:val="000000"/>
        </w:rPr>
        <w:t>en matière de</w:t>
      </w:r>
      <w:r w:rsidR="00135181" w:rsidRPr="004B33A2">
        <w:rPr>
          <w:rFonts w:asciiTheme="minorHAnsi" w:hAnsiTheme="minorHAnsi"/>
          <w:szCs w:val="24"/>
        </w:rPr>
        <w:t xml:space="preserve"> </w:t>
      </w:r>
      <w:r w:rsidRPr="004B33A2">
        <w:rPr>
          <w:rFonts w:asciiTheme="minorHAnsi" w:hAnsiTheme="minorHAnsi"/>
          <w:szCs w:val="24"/>
        </w:rPr>
        <w:t>communications et d</w:t>
      </w:r>
      <w:r w:rsidR="00135181" w:rsidRPr="004B33A2">
        <w:rPr>
          <w:rFonts w:asciiTheme="minorHAnsi" w:hAnsiTheme="minorHAnsi"/>
          <w:szCs w:val="24"/>
        </w:rPr>
        <w:t>'</w:t>
      </w:r>
      <w:r w:rsidRPr="004B33A2">
        <w:rPr>
          <w:rFonts w:asciiTheme="minorHAnsi" w:hAnsiTheme="minorHAnsi"/>
          <w:szCs w:val="24"/>
        </w:rPr>
        <w:t xml:space="preserve">information, </w:t>
      </w:r>
      <w:r w:rsidRPr="004B33A2">
        <w:rPr>
          <w:szCs w:val="24"/>
        </w:rPr>
        <w:t>É</w:t>
      </w:r>
      <w:r w:rsidRPr="004B33A2">
        <w:rPr>
          <w:rFonts w:asciiTheme="minorHAnsi" w:hAnsiTheme="minorHAnsi"/>
          <w:szCs w:val="24"/>
        </w:rPr>
        <w:t>tats-Unis), M.</w:t>
      </w:r>
      <w:r w:rsidR="00C971E4" w:rsidRPr="004B33A2">
        <w:rPr>
          <w:rFonts w:asciiTheme="minorHAnsi" w:hAnsiTheme="minorHAnsi"/>
          <w:szCs w:val="24"/>
        </w:rPr>
        <w:t> </w:t>
      </w:r>
      <w:r w:rsidRPr="004B33A2">
        <w:rPr>
          <w:rFonts w:asciiTheme="minorHAnsi" w:hAnsiTheme="minorHAnsi"/>
          <w:szCs w:val="24"/>
        </w:rPr>
        <w:t>Athanasios</w:t>
      </w:r>
      <w:r w:rsidR="00C971E4" w:rsidRPr="004B33A2">
        <w:rPr>
          <w:rFonts w:asciiTheme="minorHAnsi" w:hAnsiTheme="minorHAnsi"/>
          <w:szCs w:val="24"/>
        </w:rPr>
        <w:t> </w:t>
      </w:r>
      <w:r w:rsidRPr="004B33A2">
        <w:rPr>
          <w:rFonts w:asciiTheme="minorHAnsi" w:hAnsiTheme="minorHAnsi"/>
          <w:szCs w:val="24"/>
        </w:rPr>
        <w:t>Staveris-Polykalas (Secrétaire général des télécommunications et des postes, Grèce) et le Conseiller de la Thaïlande réaffirment</w:t>
      </w:r>
      <w:r w:rsidR="00135181" w:rsidRPr="004B33A2">
        <w:rPr>
          <w:rFonts w:asciiTheme="minorHAnsi" w:hAnsiTheme="minorHAnsi"/>
          <w:szCs w:val="24"/>
        </w:rPr>
        <w:t xml:space="preserve"> </w:t>
      </w:r>
      <w:r w:rsidRPr="004B33A2">
        <w:rPr>
          <w:szCs w:val="24"/>
        </w:rPr>
        <w:t>leur engagement envers l'UIT et ses travaux</w:t>
      </w:r>
      <w:r w:rsidR="00135181" w:rsidRPr="004B33A2">
        <w:rPr>
          <w:szCs w:val="24"/>
        </w:rPr>
        <w:t xml:space="preserve"> </w:t>
      </w:r>
      <w:r w:rsidRPr="004B33A2">
        <w:rPr>
          <w:szCs w:val="24"/>
        </w:rPr>
        <w:t>et annoncent que leurs pays respectifs présenteront leur candidature en vue de leur réélection au Conseil lors de la PP-22.</w:t>
      </w:r>
    </w:p>
    <w:p w14:paraId="14C852DC" w14:textId="4EFE4C6F" w:rsidR="001B4495" w:rsidRPr="004B33A2" w:rsidRDefault="001B4495" w:rsidP="00135181">
      <w:pPr>
        <w:tabs>
          <w:tab w:val="clear" w:pos="567"/>
          <w:tab w:val="clear" w:pos="1134"/>
          <w:tab w:val="clear" w:pos="1701"/>
          <w:tab w:val="clear" w:pos="2268"/>
          <w:tab w:val="clear" w:pos="2835"/>
        </w:tabs>
        <w:snapToGrid w:val="0"/>
        <w:rPr>
          <w:rFonts w:asciiTheme="minorHAnsi" w:hAnsiTheme="minorHAnsi"/>
          <w:szCs w:val="24"/>
        </w:rPr>
      </w:pPr>
      <w:r w:rsidRPr="004B33A2">
        <w:rPr>
          <w:rFonts w:asciiTheme="minorHAnsi" w:hAnsiTheme="minorHAnsi"/>
          <w:szCs w:val="24"/>
        </w:rPr>
        <w:t>8.2</w:t>
      </w:r>
      <w:r w:rsidRPr="004B33A2">
        <w:rPr>
          <w:rFonts w:asciiTheme="minorHAnsi" w:hAnsiTheme="minorHAnsi"/>
          <w:szCs w:val="24"/>
        </w:rPr>
        <w:tab/>
      </w:r>
      <w:r w:rsidRPr="004B33A2">
        <w:rPr>
          <w:szCs w:val="24"/>
        </w:rPr>
        <w:t xml:space="preserve">Mme </w:t>
      </w:r>
      <w:r w:rsidRPr="004B33A2">
        <w:rPr>
          <w:rFonts w:asciiTheme="minorHAnsi" w:hAnsiTheme="minorHAnsi"/>
          <w:szCs w:val="24"/>
        </w:rPr>
        <w:t xml:space="preserve">Erica J. Barks-Ruggles (Ambassadrice, Politique internationale </w:t>
      </w:r>
      <w:r w:rsidRPr="004B33A2">
        <w:rPr>
          <w:color w:val="000000"/>
        </w:rPr>
        <w:t>en matière de</w:t>
      </w:r>
      <w:r w:rsidRPr="004B33A2">
        <w:rPr>
          <w:rFonts w:asciiTheme="minorHAnsi" w:hAnsiTheme="minorHAnsi"/>
          <w:szCs w:val="24"/>
        </w:rPr>
        <w:t xml:space="preserve"> communication</w:t>
      </w:r>
      <w:r w:rsidR="00135181" w:rsidRPr="004B33A2">
        <w:rPr>
          <w:rFonts w:asciiTheme="minorHAnsi" w:hAnsiTheme="minorHAnsi"/>
          <w:szCs w:val="24"/>
        </w:rPr>
        <w:t xml:space="preserve"> </w:t>
      </w:r>
      <w:r w:rsidRPr="004B33A2">
        <w:rPr>
          <w:rFonts w:asciiTheme="minorHAnsi" w:hAnsiTheme="minorHAnsi"/>
          <w:szCs w:val="24"/>
        </w:rPr>
        <w:t>et d</w:t>
      </w:r>
      <w:r w:rsidR="00135181" w:rsidRPr="004B33A2">
        <w:rPr>
          <w:rFonts w:asciiTheme="minorHAnsi" w:hAnsiTheme="minorHAnsi"/>
          <w:szCs w:val="24"/>
        </w:rPr>
        <w:t>'</w:t>
      </w:r>
      <w:r w:rsidRPr="004B33A2">
        <w:rPr>
          <w:rFonts w:asciiTheme="minorHAnsi" w:hAnsiTheme="minorHAnsi"/>
          <w:szCs w:val="24"/>
        </w:rPr>
        <w:t xml:space="preserve">information, </w:t>
      </w:r>
      <w:r w:rsidRPr="004B33A2">
        <w:rPr>
          <w:szCs w:val="24"/>
        </w:rPr>
        <w:t>É</w:t>
      </w:r>
      <w:r w:rsidRPr="004B33A2">
        <w:rPr>
          <w:rFonts w:asciiTheme="minorHAnsi" w:hAnsiTheme="minorHAnsi"/>
          <w:szCs w:val="24"/>
        </w:rPr>
        <w:t>tats-Unis) annonce en outre que son pays présentera la candidature de Mme Doreen Bogdan-Martin en vue de son élection au poste de Secrétaire général de l'UIT.</w:t>
      </w:r>
    </w:p>
    <w:p w14:paraId="641F74A5" w14:textId="7ED78BBC" w:rsidR="001B4495" w:rsidRPr="004B33A2" w:rsidRDefault="001B4495" w:rsidP="00C941BB">
      <w:pPr>
        <w:tabs>
          <w:tab w:val="clear" w:pos="567"/>
          <w:tab w:val="clear" w:pos="1134"/>
          <w:tab w:val="clear" w:pos="1701"/>
          <w:tab w:val="clear" w:pos="2268"/>
          <w:tab w:val="clear" w:pos="2835"/>
        </w:tabs>
        <w:snapToGrid w:val="0"/>
        <w:rPr>
          <w:szCs w:val="24"/>
        </w:rPr>
      </w:pPr>
      <w:r w:rsidRPr="004B33A2">
        <w:rPr>
          <w:rFonts w:asciiTheme="minorHAnsi" w:hAnsiTheme="minorHAnsi"/>
          <w:szCs w:val="24"/>
        </w:rPr>
        <w:t>8.3</w:t>
      </w:r>
      <w:r w:rsidRPr="004B33A2">
        <w:rPr>
          <w:rFonts w:asciiTheme="minorHAnsi" w:hAnsiTheme="minorHAnsi"/>
          <w:szCs w:val="24"/>
        </w:rPr>
        <w:tab/>
        <w:t>La Conseillère du Ghana annonce que son pays présentera la candidature de M.</w:t>
      </w:r>
      <w:r w:rsidR="00C971E4" w:rsidRPr="004B33A2">
        <w:rPr>
          <w:rFonts w:asciiTheme="minorHAnsi" w:hAnsiTheme="minorHAnsi"/>
          <w:szCs w:val="24"/>
        </w:rPr>
        <w:t> </w:t>
      </w:r>
      <w:r w:rsidRPr="004B33A2">
        <w:rPr>
          <w:rFonts w:asciiTheme="minorHAnsi" w:hAnsiTheme="minorHAnsi"/>
          <w:szCs w:val="24"/>
        </w:rPr>
        <w:t>Edmund</w:t>
      </w:r>
      <w:r w:rsidR="00C971E4" w:rsidRPr="004B33A2">
        <w:rPr>
          <w:rFonts w:asciiTheme="minorHAnsi" w:hAnsiTheme="minorHAnsi"/>
          <w:szCs w:val="24"/>
        </w:rPr>
        <w:t> </w:t>
      </w:r>
      <w:r w:rsidRPr="004B33A2">
        <w:rPr>
          <w:rFonts w:asciiTheme="minorHAnsi" w:hAnsiTheme="minorHAnsi"/>
          <w:szCs w:val="24"/>
        </w:rPr>
        <w:t xml:space="preserve">Yirenkyi Fianko </w:t>
      </w:r>
      <w:r w:rsidRPr="004B33A2">
        <w:rPr>
          <w:color w:val="000000"/>
        </w:rPr>
        <w:t>au poste de membre</w:t>
      </w:r>
      <w:r w:rsidR="00135181" w:rsidRPr="004B33A2">
        <w:rPr>
          <w:rFonts w:asciiTheme="minorHAnsi" w:hAnsiTheme="minorHAnsi"/>
          <w:szCs w:val="24"/>
        </w:rPr>
        <w:t xml:space="preserve"> </w:t>
      </w:r>
      <w:r w:rsidRPr="004B33A2">
        <w:rPr>
          <w:rFonts w:asciiTheme="minorHAnsi" w:hAnsiTheme="minorHAnsi"/>
          <w:szCs w:val="24"/>
        </w:rPr>
        <w:t>du Comité du Règlement des radiocommunications à la PP-22.</w:t>
      </w:r>
    </w:p>
    <w:p w14:paraId="25CADD06" w14:textId="77777777" w:rsidR="001B4495" w:rsidRPr="004B33A2" w:rsidRDefault="001B4495" w:rsidP="00C941BB">
      <w:pPr>
        <w:tabs>
          <w:tab w:val="clear" w:pos="567"/>
          <w:tab w:val="clear" w:pos="1134"/>
          <w:tab w:val="clear" w:pos="1701"/>
          <w:tab w:val="clear" w:pos="2268"/>
          <w:tab w:val="clear" w:pos="2835"/>
          <w:tab w:val="left" w:pos="7088"/>
        </w:tabs>
        <w:spacing w:before="480"/>
      </w:pPr>
      <w:bookmarkStart w:id="9" w:name="_Hlk98833803"/>
      <w:r w:rsidRPr="004B33A2">
        <w:t>Le Secrétaire général:</w:t>
      </w:r>
      <w:r w:rsidRPr="004B33A2">
        <w:tab/>
        <w:t>Le Président:</w:t>
      </w:r>
    </w:p>
    <w:p w14:paraId="728DE50D" w14:textId="77777777" w:rsidR="001B4495" w:rsidRPr="004B33A2" w:rsidRDefault="001B4495" w:rsidP="00C941BB">
      <w:pPr>
        <w:tabs>
          <w:tab w:val="clear" w:pos="567"/>
          <w:tab w:val="clear" w:pos="1134"/>
          <w:tab w:val="clear" w:pos="1701"/>
          <w:tab w:val="clear" w:pos="2268"/>
          <w:tab w:val="clear" w:pos="2835"/>
          <w:tab w:val="left" w:pos="7088"/>
        </w:tabs>
        <w:spacing w:before="0"/>
      </w:pPr>
      <w:r w:rsidRPr="004B33A2">
        <w:t>H. ZHAO</w:t>
      </w:r>
      <w:r w:rsidRPr="004B33A2">
        <w:tab/>
      </w:r>
      <w:r w:rsidRPr="004B33A2">
        <w:rPr>
          <w:rFonts w:asciiTheme="minorHAnsi" w:hAnsiTheme="minorHAnsi" w:cstheme="minorHAnsi"/>
          <w:color w:val="000000"/>
          <w:u w:color="000000"/>
        </w:rPr>
        <w:t>S. BIN GHELAITA</w:t>
      </w:r>
      <w:bookmarkEnd w:id="9"/>
    </w:p>
    <w:sectPr w:rsidR="001B4495" w:rsidRPr="004B33A2"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FE98" w14:textId="77777777" w:rsidR="005113E1" w:rsidRDefault="005113E1">
      <w:r>
        <w:separator/>
      </w:r>
    </w:p>
  </w:endnote>
  <w:endnote w:type="continuationSeparator" w:id="0">
    <w:p w14:paraId="3A7A9DDC" w14:textId="77777777" w:rsidR="005113E1" w:rsidRDefault="0051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3939" w14:textId="42F899B9" w:rsidR="00732045" w:rsidRDefault="00857220">
    <w:pPr>
      <w:pStyle w:val="Footer"/>
    </w:pPr>
    <w:fldSimple w:instr=" FILENAME \p \* MERGEFORMAT ">
      <w:r w:rsidR="00734303">
        <w:t>P:\FRA\SG\CONSEIL\C22\000\087V2F.docx</w:t>
      </w:r>
    </w:fldSimple>
    <w:r w:rsidR="00732045">
      <w:tab/>
    </w:r>
    <w:r w:rsidR="002F1B76">
      <w:fldChar w:fldCharType="begin"/>
    </w:r>
    <w:r w:rsidR="00732045">
      <w:instrText xml:space="preserve"> savedate \@ dd.MM.yy </w:instrText>
    </w:r>
    <w:r w:rsidR="002F1B76">
      <w:fldChar w:fldCharType="separate"/>
    </w:r>
    <w:r w:rsidR="00A852E3">
      <w:t>09.05.22</w:t>
    </w:r>
    <w:r w:rsidR="002F1B76">
      <w:fldChar w:fldCharType="end"/>
    </w:r>
    <w:r w:rsidR="00732045">
      <w:tab/>
    </w:r>
    <w:r w:rsidR="002F1B76">
      <w:fldChar w:fldCharType="begin"/>
    </w:r>
    <w:r w:rsidR="00732045">
      <w:instrText xml:space="preserve"> printdate \@ dd.MM.yy </w:instrText>
    </w:r>
    <w:r w:rsidR="002F1B76">
      <w:fldChar w:fldCharType="separate"/>
    </w:r>
    <w:r w:rsidR="0073430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EE9" w14:textId="1BDA7FC9" w:rsidR="00732045" w:rsidRDefault="00857220">
    <w:pPr>
      <w:pStyle w:val="Footer"/>
    </w:pPr>
    <w:r w:rsidRPr="00857220">
      <w:rPr>
        <w:color w:val="F2F2F2" w:themeColor="background1" w:themeShade="F2"/>
      </w:rPr>
      <w:fldChar w:fldCharType="begin"/>
    </w:r>
    <w:r w:rsidRPr="00857220">
      <w:rPr>
        <w:color w:val="F2F2F2" w:themeColor="background1" w:themeShade="F2"/>
      </w:rPr>
      <w:instrText xml:space="preserve"> FILENAME \p \* MERGEFORMAT </w:instrText>
    </w:r>
    <w:r w:rsidRPr="00857220">
      <w:rPr>
        <w:color w:val="F2F2F2" w:themeColor="background1" w:themeShade="F2"/>
      </w:rPr>
      <w:fldChar w:fldCharType="separate"/>
    </w:r>
    <w:r w:rsidR="00734303" w:rsidRPr="00857220">
      <w:rPr>
        <w:color w:val="F2F2F2" w:themeColor="background1" w:themeShade="F2"/>
      </w:rPr>
      <w:t>P:\FRA\SG\CONSEIL\C22\000\087V2F.docx</w:t>
    </w:r>
    <w:r w:rsidRPr="00857220">
      <w:rPr>
        <w:color w:val="F2F2F2" w:themeColor="background1" w:themeShade="F2"/>
      </w:rPr>
      <w:fldChar w:fldCharType="end"/>
    </w:r>
    <w:r w:rsidR="00F900DB" w:rsidRPr="00857220">
      <w:rPr>
        <w:color w:val="F2F2F2" w:themeColor="background1" w:themeShade="F2"/>
      </w:rPr>
      <w:t xml:space="preserve"> (503148)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F84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56C6" w14:textId="77777777" w:rsidR="005113E1" w:rsidRDefault="005113E1">
      <w:r>
        <w:t>____________________</w:t>
      </w:r>
    </w:p>
  </w:footnote>
  <w:footnote w:type="continuationSeparator" w:id="0">
    <w:p w14:paraId="699354A1" w14:textId="77777777" w:rsidR="005113E1" w:rsidRDefault="0051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75B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4F09B3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590E" w14:textId="1546C485" w:rsidR="00732045" w:rsidRDefault="00C27A7C" w:rsidP="00475FB3">
    <w:pPr>
      <w:pStyle w:val="Header"/>
    </w:pPr>
    <w:r>
      <w:fldChar w:fldCharType="begin"/>
    </w:r>
    <w:r>
      <w:instrText>PAGE</w:instrText>
    </w:r>
    <w:r>
      <w:fldChar w:fldCharType="separate"/>
    </w:r>
    <w:r w:rsidR="001D0A0A">
      <w:rPr>
        <w:noProof/>
      </w:rPr>
      <w:t>2</w:t>
    </w:r>
    <w:r>
      <w:rPr>
        <w:noProof/>
      </w:rPr>
      <w:fldChar w:fldCharType="end"/>
    </w:r>
  </w:p>
  <w:p w14:paraId="32302DB4" w14:textId="563E52EE" w:rsidR="00732045" w:rsidRDefault="00732045" w:rsidP="00106B19">
    <w:pPr>
      <w:pStyle w:val="Header"/>
    </w:pPr>
    <w:r>
      <w:t>C</w:t>
    </w:r>
    <w:r w:rsidR="009C353C">
      <w:t>2</w:t>
    </w:r>
    <w:r w:rsidR="0083391C">
      <w:t>2</w:t>
    </w:r>
    <w:r>
      <w:t>/</w:t>
    </w:r>
    <w:r w:rsidR="001B4495">
      <w:t>87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95"/>
    <w:rsid w:val="000B51B4"/>
    <w:rsid w:val="000D0D0A"/>
    <w:rsid w:val="00103163"/>
    <w:rsid w:val="00106B19"/>
    <w:rsid w:val="00115D93"/>
    <w:rsid w:val="001247A8"/>
    <w:rsid w:val="00135181"/>
    <w:rsid w:val="001378C0"/>
    <w:rsid w:val="00170919"/>
    <w:rsid w:val="0018694A"/>
    <w:rsid w:val="001A3287"/>
    <w:rsid w:val="001A6508"/>
    <w:rsid w:val="001B4495"/>
    <w:rsid w:val="001D0A0A"/>
    <w:rsid w:val="001D4C31"/>
    <w:rsid w:val="001E4D21"/>
    <w:rsid w:val="00207CD1"/>
    <w:rsid w:val="00214D43"/>
    <w:rsid w:val="002477A2"/>
    <w:rsid w:val="00263A51"/>
    <w:rsid w:val="00267E02"/>
    <w:rsid w:val="002A5D44"/>
    <w:rsid w:val="002E0BC4"/>
    <w:rsid w:val="002F1B76"/>
    <w:rsid w:val="00303296"/>
    <w:rsid w:val="0033568E"/>
    <w:rsid w:val="00355FF5"/>
    <w:rsid w:val="00361350"/>
    <w:rsid w:val="003C3FAE"/>
    <w:rsid w:val="004008C1"/>
    <w:rsid w:val="004038CB"/>
    <w:rsid w:val="0040546F"/>
    <w:rsid w:val="00412243"/>
    <w:rsid w:val="0042404A"/>
    <w:rsid w:val="0044618F"/>
    <w:rsid w:val="0046769A"/>
    <w:rsid w:val="00475FB3"/>
    <w:rsid w:val="004B33A2"/>
    <w:rsid w:val="004C37A9"/>
    <w:rsid w:val="004D1D50"/>
    <w:rsid w:val="004D39D8"/>
    <w:rsid w:val="004F259E"/>
    <w:rsid w:val="005113E1"/>
    <w:rsid w:val="00511F1D"/>
    <w:rsid w:val="00520F36"/>
    <w:rsid w:val="00540615"/>
    <w:rsid w:val="00540A6D"/>
    <w:rsid w:val="00571EEA"/>
    <w:rsid w:val="00575417"/>
    <w:rsid w:val="005768E1"/>
    <w:rsid w:val="005B1938"/>
    <w:rsid w:val="005C3890"/>
    <w:rsid w:val="005F7BFE"/>
    <w:rsid w:val="00600017"/>
    <w:rsid w:val="00621665"/>
    <w:rsid w:val="006235CA"/>
    <w:rsid w:val="006643AB"/>
    <w:rsid w:val="00693350"/>
    <w:rsid w:val="006B3F6C"/>
    <w:rsid w:val="006C1C40"/>
    <w:rsid w:val="006D5E96"/>
    <w:rsid w:val="006F0A53"/>
    <w:rsid w:val="007210CD"/>
    <w:rsid w:val="00732045"/>
    <w:rsid w:val="00734303"/>
    <w:rsid w:val="007369DB"/>
    <w:rsid w:val="0079539D"/>
    <w:rsid w:val="007956C2"/>
    <w:rsid w:val="007A187E"/>
    <w:rsid w:val="007C72C2"/>
    <w:rsid w:val="007D4436"/>
    <w:rsid w:val="007F257A"/>
    <w:rsid w:val="007F3665"/>
    <w:rsid w:val="00800037"/>
    <w:rsid w:val="0083391C"/>
    <w:rsid w:val="008504EA"/>
    <w:rsid w:val="00857220"/>
    <w:rsid w:val="00861D73"/>
    <w:rsid w:val="00897553"/>
    <w:rsid w:val="008A4E87"/>
    <w:rsid w:val="008D76E6"/>
    <w:rsid w:val="00921D3A"/>
    <w:rsid w:val="0092392D"/>
    <w:rsid w:val="0093234A"/>
    <w:rsid w:val="00956A78"/>
    <w:rsid w:val="0097363B"/>
    <w:rsid w:val="009C307F"/>
    <w:rsid w:val="009C353C"/>
    <w:rsid w:val="00A2113E"/>
    <w:rsid w:val="00A23A51"/>
    <w:rsid w:val="00A24607"/>
    <w:rsid w:val="00A25CD3"/>
    <w:rsid w:val="00A709FE"/>
    <w:rsid w:val="00A82767"/>
    <w:rsid w:val="00A852E3"/>
    <w:rsid w:val="00AA332F"/>
    <w:rsid w:val="00AA7BBB"/>
    <w:rsid w:val="00AB64A8"/>
    <w:rsid w:val="00AC0266"/>
    <w:rsid w:val="00AD057B"/>
    <w:rsid w:val="00AD24EC"/>
    <w:rsid w:val="00B309F9"/>
    <w:rsid w:val="00B32B60"/>
    <w:rsid w:val="00B61619"/>
    <w:rsid w:val="00BA615E"/>
    <w:rsid w:val="00BB4545"/>
    <w:rsid w:val="00BD5873"/>
    <w:rsid w:val="00BF040A"/>
    <w:rsid w:val="00BF3727"/>
    <w:rsid w:val="00C04BE3"/>
    <w:rsid w:val="00C25D29"/>
    <w:rsid w:val="00C27A7C"/>
    <w:rsid w:val="00C941BB"/>
    <w:rsid w:val="00C971E4"/>
    <w:rsid w:val="00CA08ED"/>
    <w:rsid w:val="00CF183B"/>
    <w:rsid w:val="00D375CD"/>
    <w:rsid w:val="00D553A2"/>
    <w:rsid w:val="00D774D3"/>
    <w:rsid w:val="00D904E8"/>
    <w:rsid w:val="00DA08C3"/>
    <w:rsid w:val="00DA7E4F"/>
    <w:rsid w:val="00DB5A3E"/>
    <w:rsid w:val="00DC22AA"/>
    <w:rsid w:val="00DF74DD"/>
    <w:rsid w:val="00E25AD0"/>
    <w:rsid w:val="00EB6350"/>
    <w:rsid w:val="00F15B57"/>
    <w:rsid w:val="00F427DB"/>
    <w:rsid w:val="00F43B9B"/>
    <w:rsid w:val="00F900DB"/>
    <w:rsid w:val="00F94EFD"/>
    <w:rsid w:val="00FA5EB1"/>
    <w:rsid w:val="00FA7439"/>
    <w:rsid w:val="00FC4EC0"/>
    <w:rsid w:val="00FF0181"/>
    <w:rsid w:val="00FF1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44B5"/>
  <w15:docId w15:val="{B9AB7C46-B1D8-4495-9C7D-15ECEC44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1B4495"/>
    <w:rPr>
      <w:sz w:val="16"/>
      <w:szCs w:val="16"/>
    </w:rPr>
  </w:style>
  <w:style w:type="paragraph" w:styleId="CommentText">
    <w:name w:val="annotation text"/>
    <w:basedOn w:val="Normal"/>
    <w:link w:val="CommentTextChar"/>
    <w:unhideWhenUsed/>
    <w:rsid w:val="001B4495"/>
    <w:rPr>
      <w:rFonts w:eastAsia="SimSun"/>
      <w:sz w:val="20"/>
      <w:lang w:val="en-GB"/>
    </w:rPr>
  </w:style>
  <w:style w:type="character" w:customStyle="1" w:styleId="CommentTextChar">
    <w:name w:val="Comment Text Char"/>
    <w:basedOn w:val="DefaultParagraphFont"/>
    <w:link w:val="CommentText"/>
    <w:rsid w:val="001B4495"/>
    <w:rPr>
      <w:rFonts w:ascii="Calibri" w:eastAsia="SimSun" w:hAnsi="Calibri"/>
      <w:lang w:val="en-GB" w:eastAsia="en-US"/>
    </w:rPr>
  </w:style>
  <w:style w:type="paragraph" w:styleId="Revision">
    <w:name w:val="Revision"/>
    <w:hidden/>
    <w:uiPriority w:val="99"/>
    <w:semiHidden/>
    <w:rsid w:val="00BF372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8/en" TargetMode="External"/><Relationship Id="rId13" Type="http://schemas.openxmlformats.org/officeDocument/2006/relationships/hyperlink" Target="https://www.itu.int/md/S22-CL-C-0008/en" TargetMode="External"/><Relationship Id="rId18" Type="http://schemas.openxmlformats.org/officeDocument/2006/relationships/hyperlink" Target="https://www.itu.int/md/S22-CL-C-0058/en"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itu.int/md/S22-CL-C-0008/en" TargetMode="External"/><Relationship Id="rId7" Type="http://schemas.openxmlformats.org/officeDocument/2006/relationships/hyperlink" Target="https://www.itu.int/md/S22-CL-C-0033/en" TargetMode="External"/><Relationship Id="rId12" Type="http://schemas.openxmlformats.org/officeDocument/2006/relationships/hyperlink" Target="https://www.itu.int/md/S22-CL-C-0071/en" TargetMode="External"/><Relationship Id="rId17" Type="http://schemas.openxmlformats.org/officeDocument/2006/relationships/hyperlink" Target="https://www.itu.int/md/S22-CL-C-0051/e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S22-CL-C-0018/en" TargetMode="External"/><Relationship Id="rId20" Type="http://schemas.openxmlformats.org/officeDocument/2006/relationships/hyperlink" Target="https://www.itu.int/md/S22-CL-C-0071/e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32/en"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md/S22-CL-C-0033/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S22-CL-C-0058/en" TargetMode="External"/><Relationship Id="rId19" Type="http://schemas.openxmlformats.org/officeDocument/2006/relationships/hyperlink" Target="https://www.itu.int/md/S22-CL-C-0032/en" TargetMode="External"/><Relationship Id="rId4" Type="http://schemas.openxmlformats.org/officeDocument/2006/relationships/footnotes" Target="footnotes.xml"/><Relationship Id="rId9" Type="http://schemas.openxmlformats.org/officeDocument/2006/relationships/hyperlink" Target="https://www.itu.int/md/S22-CL-C-0051/en" TargetMode="External"/><Relationship Id="rId14" Type="http://schemas.openxmlformats.org/officeDocument/2006/relationships/hyperlink" Target="https://www.itu.int/md/S22-CL-C-0060/en" TargetMode="External"/><Relationship Id="rId22" Type="http://schemas.openxmlformats.org/officeDocument/2006/relationships/hyperlink" Target="https://www.itu.int/md/S22-CL-C-0060/en"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2752</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Compte rendu PROVISOIRE de la troisième Séance plénière</vt:lpstr>
    </vt:vector>
  </TitlesOfParts>
  <Manager>Secrétariat général - Pool</Manager>
  <Company>Union internationale des télécommunications (UIT)</Company>
  <LinksUpToDate>false</LinksUpToDate>
  <CharactersWithSpaces>18810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troisième Séance plénière</dc:title>
  <dc:subject>Conseil 2022</dc:subject>
  <dc:creator>French</dc:creator>
  <cp:keywords>C2022, C22, Council-22</cp:keywords>
  <dc:description/>
  <cp:lastModifiedBy>Xue, Kun</cp:lastModifiedBy>
  <cp:revision>3</cp:revision>
  <cp:lastPrinted>2000-07-18T08:55:00Z</cp:lastPrinted>
  <dcterms:created xsi:type="dcterms:W3CDTF">2022-05-09T17:07:00Z</dcterms:created>
  <dcterms:modified xsi:type="dcterms:W3CDTF">2022-05-09T17:09:00Z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