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70B57" w14:paraId="030B5930" w14:textId="77777777">
        <w:trPr>
          <w:cantSplit/>
        </w:trPr>
        <w:tc>
          <w:tcPr>
            <w:tcW w:w="6912" w:type="dxa"/>
          </w:tcPr>
          <w:p w14:paraId="1253A208" w14:textId="77777777" w:rsidR="00520F36" w:rsidRPr="00670B57" w:rsidRDefault="00520F36" w:rsidP="00970E2E">
            <w:pPr>
              <w:spacing w:before="360"/>
            </w:pPr>
            <w:bookmarkStart w:id="0" w:name="dc06"/>
            <w:bookmarkEnd w:id="0"/>
            <w:r w:rsidRPr="00670B57">
              <w:rPr>
                <w:b/>
                <w:bCs/>
                <w:sz w:val="30"/>
                <w:szCs w:val="30"/>
              </w:rPr>
              <w:t>Conseil 20</w:t>
            </w:r>
            <w:r w:rsidR="009C353C" w:rsidRPr="00670B57">
              <w:rPr>
                <w:b/>
                <w:bCs/>
                <w:sz w:val="30"/>
                <w:szCs w:val="30"/>
              </w:rPr>
              <w:t>2</w:t>
            </w:r>
            <w:r w:rsidR="0083391C" w:rsidRPr="00670B57">
              <w:rPr>
                <w:b/>
                <w:bCs/>
                <w:sz w:val="30"/>
                <w:szCs w:val="30"/>
              </w:rPr>
              <w:t>2</w:t>
            </w:r>
            <w:r w:rsidRPr="00670B57">
              <w:rPr>
                <w:rFonts w:ascii="Verdana" w:hAnsi="Verdana"/>
                <w:b/>
                <w:bCs/>
                <w:sz w:val="26"/>
                <w:szCs w:val="26"/>
              </w:rPr>
              <w:br/>
            </w:r>
            <w:r w:rsidR="0083391C" w:rsidRPr="00670B57">
              <w:rPr>
                <w:b/>
                <w:bCs/>
                <w:sz w:val="26"/>
                <w:szCs w:val="26"/>
              </w:rPr>
              <w:t>Genève</w:t>
            </w:r>
            <w:r w:rsidRPr="00670B57">
              <w:rPr>
                <w:b/>
                <w:bCs/>
                <w:sz w:val="26"/>
                <w:szCs w:val="26"/>
              </w:rPr>
              <w:t xml:space="preserve">, </w:t>
            </w:r>
            <w:r w:rsidR="0083391C" w:rsidRPr="00670B57">
              <w:rPr>
                <w:b/>
                <w:bCs/>
                <w:sz w:val="26"/>
                <w:szCs w:val="26"/>
              </w:rPr>
              <w:t>21</w:t>
            </w:r>
            <w:r w:rsidRPr="00670B57">
              <w:rPr>
                <w:b/>
                <w:bCs/>
                <w:sz w:val="26"/>
                <w:szCs w:val="26"/>
              </w:rPr>
              <w:t>-</w:t>
            </w:r>
            <w:r w:rsidR="0083391C" w:rsidRPr="00670B57">
              <w:rPr>
                <w:b/>
                <w:bCs/>
                <w:sz w:val="26"/>
                <w:szCs w:val="26"/>
              </w:rPr>
              <w:t>31</w:t>
            </w:r>
            <w:r w:rsidR="00106B19" w:rsidRPr="00670B57">
              <w:rPr>
                <w:b/>
                <w:bCs/>
                <w:sz w:val="26"/>
                <w:szCs w:val="26"/>
              </w:rPr>
              <w:t xml:space="preserve"> </w:t>
            </w:r>
            <w:r w:rsidR="0083391C" w:rsidRPr="00670B57">
              <w:rPr>
                <w:b/>
                <w:bCs/>
                <w:sz w:val="26"/>
                <w:szCs w:val="26"/>
              </w:rPr>
              <w:t>mars</w:t>
            </w:r>
            <w:r w:rsidRPr="00670B57">
              <w:rPr>
                <w:b/>
                <w:bCs/>
                <w:sz w:val="26"/>
                <w:szCs w:val="26"/>
              </w:rPr>
              <w:t xml:space="preserve"> 20</w:t>
            </w:r>
            <w:r w:rsidR="009C353C" w:rsidRPr="00670B57">
              <w:rPr>
                <w:b/>
                <w:bCs/>
                <w:sz w:val="26"/>
                <w:szCs w:val="26"/>
              </w:rPr>
              <w:t>2</w:t>
            </w:r>
            <w:r w:rsidR="0083391C" w:rsidRPr="00670B57">
              <w:rPr>
                <w:b/>
                <w:bCs/>
                <w:sz w:val="26"/>
                <w:szCs w:val="26"/>
              </w:rPr>
              <w:t>2</w:t>
            </w:r>
          </w:p>
        </w:tc>
        <w:tc>
          <w:tcPr>
            <w:tcW w:w="3261" w:type="dxa"/>
          </w:tcPr>
          <w:p w14:paraId="2D7BD79C" w14:textId="77777777" w:rsidR="00520F36" w:rsidRPr="00670B57" w:rsidRDefault="009C353C" w:rsidP="00970E2E">
            <w:pPr>
              <w:spacing w:before="0"/>
            </w:pPr>
            <w:bookmarkStart w:id="1" w:name="ditulogo"/>
            <w:bookmarkEnd w:id="1"/>
            <w:r w:rsidRPr="00670B57">
              <w:rPr>
                <w:noProof/>
                <w:lang w:val="en-US"/>
              </w:rPr>
              <w:drawing>
                <wp:inline distT="0" distB="0" distL="0" distR="0" wp14:anchorId="2B621EBD" wp14:editId="6E4200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70B57" w14:paraId="00C8B01A" w14:textId="77777777" w:rsidTr="00EF41DD">
        <w:trPr>
          <w:cantSplit/>
          <w:trHeight w:val="20"/>
        </w:trPr>
        <w:tc>
          <w:tcPr>
            <w:tcW w:w="6912" w:type="dxa"/>
            <w:tcBorders>
              <w:bottom w:val="single" w:sz="12" w:space="0" w:color="auto"/>
            </w:tcBorders>
            <w:vAlign w:val="center"/>
          </w:tcPr>
          <w:p w14:paraId="65692DEC" w14:textId="77777777" w:rsidR="00520F36" w:rsidRPr="00670B57" w:rsidRDefault="00520F36" w:rsidP="00970E2E">
            <w:pPr>
              <w:spacing w:before="0"/>
              <w:rPr>
                <w:b/>
                <w:bCs/>
                <w:sz w:val="26"/>
                <w:szCs w:val="26"/>
              </w:rPr>
            </w:pPr>
          </w:p>
        </w:tc>
        <w:tc>
          <w:tcPr>
            <w:tcW w:w="3261" w:type="dxa"/>
            <w:tcBorders>
              <w:bottom w:val="single" w:sz="12" w:space="0" w:color="auto"/>
            </w:tcBorders>
          </w:tcPr>
          <w:p w14:paraId="0F13AC61" w14:textId="77777777" w:rsidR="00520F36" w:rsidRPr="00670B57" w:rsidRDefault="00520F36" w:rsidP="00970E2E">
            <w:pPr>
              <w:spacing w:before="0"/>
              <w:rPr>
                <w:b/>
                <w:bCs/>
              </w:rPr>
            </w:pPr>
          </w:p>
        </w:tc>
      </w:tr>
      <w:tr w:rsidR="00520F36" w:rsidRPr="00670B57" w14:paraId="01F4D35D" w14:textId="77777777">
        <w:trPr>
          <w:cantSplit/>
          <w:trHeight w:val="20"/>
        </w:trPr>
        <w:tc>
          <w:tcPr>
            <w:tcW w:w="6912" w:type="dxa"/>
            <w:tcBorders>
              <w:top w:val="single" w:sz="12" w:space="0" w:color="auto"/>
            </w:tcBorders>
          </w:tcPr>
          <w:p w14:paraId="2E188507" w14:textId="77777777" w:rsidR="00520F36" w:rsidRPr="00670B57" w:rsidRDefault="00520F36" w:rsidP="00970E2E">
            <w:pPr>
              <w:spacing w:before="0"/>
              <w:rPr>
                <w:smallCaps/>
                <w:sz w:val="22"/>
              </w:rPr>
            </w:pPr>
          </w:p>
        </w:tc>
        <w:tc>
          <w:tcPr>
            <w:tcW w:w="3261" w:type="dxa"/>
            <w:tcBorders>
              <w:top w:val="single" w:sz="12" w:space="0" w:color="auto"/>
            </w:tcBorders>
          </w:tcPr>
          <w:p w14:paraId="7DB41E21" w14:textId="77777777" w:rsidR="00520F36" w:rsidRPr="00670B57" w:rsidRDefault="00520F36" w:rsidP="00970E2E">
            <w:pPr>
              <w:spacing w:before="0"/>
              <w:rPr>
                <w:b/>
                <w:bCs/>
              </w:rPr>
            </w:pPr>
          </w:p>
        </w:tc>
      </w:tr>
      <w:tr w:rsidR="00520F36" w:rsidRPr="00670B57" w14:paraId="35EE3D52" w14:textId="77777777">
        <w:trPr>
          <w:cantSplit/>
          <w:trHeight w:val="20"/>
        </w:trPr>
        <w:tc>
          <w:tcPr>
            <w:tcW w:w="6912" w:type="dxa"/>
            <w:vMerge w:val="restart"/>
          </w:tcPr>
          <w:p w14:paraId="285D39EE" w14:textId="77777777" w:rsidR="00520F36" w:rsidRPr="00670B57" w:rsidRDefault="00520F36" w:rsidP="00730782">
            <w:pPr>
              <w:spacing w:before="0"/>
              <w:rPr>
                <w:rFonts w:cs="Times"/>
                <w:b/>
                <w:bCs/>
                <w:szCs w:val="24"/>
              </w:rPr>
            </w:pPr>
            <w:bookmarkStart w:id="2" w:name="dnum" w:colFirst="1" w:colLast="1"/>
            <w:bookmarkStart w:id="3" w:name="dmeeting" w:colFirst="0" w:colLast="0"/>
          </w:p>
        </w:tc>
        <w:tc>
          <w:tcPr>
            <w:tcW w:w="3261" w:type="dxa"/>
          </w:tcPr>
          <w:p w14:paraId="1B841A36" w14:textId="5517A90D" w:rsidR="00520F36" w:rsidRPr="00670B57" w:rsidRDefault="00520F36" w:rsidP="00730782">
            <w:pPr>
              <w:spacing w:before="0"/>
              <w:rPr>
                <w:b/>
                <w:bCs/>
              </w:rPr>
            </w:pPr>
            <w:r w:rsidRPr="00670B57">
              <w:rPr>
                <w:b/>
                <w:bCs/>
              </w:rPr>
              <w:t>Document C</w:t>
            </w:r>
            <w:r w:rsidR="009C353C" w:rsidRPr="00670B57">
              <w:rPr>
                <w:b/>
                <w:bCs/>
              </w:rPr>
              <w:t>2</w:t>
            </w:r>
            <w:r w:rsidR="0083391C" w:rsidRPr="00670B57">
              <w:rPr>
                <w:b/>
                <w:bCs/>
              </w:rPr>
              <w:t>2</w:t>
            </w:r>
            <w:r w:rsidRPr="00670B57">
              <w:rPr>
                <w:b/>
                <w:bCs/>
              </w:rPr>
              <w:t>/</w:t>
            </w:r>
            <w:r w:rsidR="00D87E29" w:rsidRPr="00670B57">
              <w:rPr>
                <w:b/>
                <w:bCs/>
              </w:rPr>
              <w:t>85</w:t>
            </w:r>
            <w:r w:rsidRPr="00670B57">
              <w:rPr>
                <w:b/>
                <w:bCs/>
              </w:rPr>
              <w:t>-F</w:t>
            </w:r>
          </w:p>
        </w:tc>
      </w:tr>
      <w:tr w:rsidR="00520F36" w:rsidRPr="00670B57" w14:paraId="083C1DAE" w14:textId="77777777">
        <w:trPr>
          <w:cantSplit/>
          <w:trHeight w:val="20"/>
        </w:trPr>
        <w:tc>
          <w:tcPr>
            <w:tcW w:w="6912" w:type="dxa"/>
            <w:vMerge/>
          </w:tcPr>
          <w:p w14:paraId="0FB33302" w14:textId="77777777" w:rsidR="00520F36" w:rsidRPr="00670B57" w:rsidRDefault="00520F36" w:rsidP="00730782">
            <w:pPr>
              <w:shd w:val="solid" w:color="FFFFFF" w:fill="FFFFFF"/>
              <w:spacing w:before="180"/>
              <w:rPr>
                <w:smallCaps/>
              </w:rPr>
            </w:pPr>
            <w:bookmarkStart w:id="4" w:name="ddate" w:colFirst="1" w:colLast="1"/>
            <w:bookmarkEnd w:id="2"/>
            <w:bookmarkEnd w:id="3"/>
          </w:p>
        </w:tc>
        <w:tc>
          <w:tcPr>
            <w:tcW w:w="3261" w:type="dxa"/>
          </w:tcPr>
          <w:p w14:paraId="68B87A63" w14:textId="2872162E" w:rsidR="00520F36" w:rsidRPr="00670B57" w:rsidRDefault="00D87E29" w:rsidP="00730782">
            <w:pPr>
              <w:spacing w:before="0"/>
              <w:rPr>
                <w:b/>
                <w:bCs/>
              </w:rPr>
            </w:pPr>
            <w:r w:rsidRPr="00670B57">
              <w:rPr>
                <w:b/>
                <w:bCs/>
              </w:rPr>
              <w:t>25 mars</w:t>
            </w:r>
            <w:r w:rsidR="00520F36" w:rsidRPr="00670B57">
              <w:rPr>
                <w:b/>
                <w:bCs/>
              </w:rPr>
              <w:t xml:space="preserve"> 20</w:t>
            </w:r>
            <w:r w:rsidR="009C353C" w:rsidRPr="00670B57">
              <w:rPr>
                <w:b/>
                <w:bCs/>
              </w:rPr>
              <w:t>2</w:t>
            </w:r>
            <w:r w:rsidRPr="00670B57">
              <w:rPr>
                <w:b/>
                <w:bCs/>
              </w:rPr>
              <w:t>2</w:t>
            </w:r>
          </w:p>
        </w:tc>
      </w:tr>
      <w:tr w:rsidR="00520F36" w:rsidRPr="00670B57" w14:paraId="5070C00D" w14:textId="77777777">
        <w:trPr>
          <w:cantSplit/>
          <w:trHeight w:val="20"/>
        </w:trPr>
        <w:tc>
          <w:tcPr>
            <w:tcW w:w="6912" w:type="dxa"/>
            <w:vMerge/>
          </w:tcPr>
          <w:p w14:paraId="054B5D67" w14:textId="77777777" w:rsidR="00520F36" w:rsidRPr="00670B57" w:rsidRDefault="00520F36" w:rsidP="00730782">
            <w:pPr>
              <w:shd w:val="solid" w:color="FFFFFF" w:fill="FFFFFF"/>
              <w:spacing w:before="180"/>
              <w:rPr>
                <w:smallCaps/>
              </w:rPr>
            </w:pPr>
            <w:bookmarkStart w:id="5" w:name="dorlang" w:colFirst="1" w:colLast="1"/>
            <w:bookmarkEnd w:id="4"/>
          </w:p>
        </w:tc>
        <w:tc>
          <w:tcPr>
            <w:tcW w:w="3261" w:type="dxa"/>
          </w:tcPr>
          <w:p w14:paraId="374AECF2" w14:textId="77777777" w:rsidR="00520F36" w:rsidRPr="00670B57" w:rsidRDefault="00520F36" w:rsidP="00730782">
            <w:pPr>
              <w:spacing w:before="0"/>
              <w:rPr>
                <w:b/>
                <w:bCs/>
              </w:rPr>
            </w:pPr>
            <w:proofErr w:type="gramStart"/>
            <w:r w:rsidRPr="00670B57">
              <w:rPr>
                <w:b/>
                <w:bCs/>
              </w:rPr>
              <w:t>Original:</w:t>
            </w:r>
            <w:proofErr w:type="gramEnd"/>
            <w:r w:rsidRPr="00670B57">
              <w:rPr>
                <w:b/>
                <w:bCs/>
              </w:rPr>
              <w:t xml:space="preserve"> anglais</w:t>
            </w:r>
          </w:p>
        </w:tc>
      </w:tr>
      <w:tr w:rsidR="00520F36" w:rsidRPr="00670B57" w14:paraId="4ADA21E9" w14:textId="77777777">
        <w:trPr>
          <w:cantSplit/>
        </w:trPr>
        <w:tc>
          <w:tcPr>
            <w:tcW w:w="10173" w:type="dxa"/>
            <w:gridSpan w:val="2"/>
          </w:tcPr>
          <w:p w14:paraId="2B03914E" w14:textId="77777777" w:rsidR="00D87E29" w:rsidRPr="00670B57" w:rsidRDefault="00D87E29" w:rsidP="00730782">
            <w:pPr>
              <w:pStyle w:val="Title1"/>
              <w:rPr>
                <w:rFonts w:eastAsia="MS Mincho"/>
              </w:rPr>
            </w:pPr>
            <w:bookmarkStart w:id="6" w:name="dsource" w:colFirst="0" w:colLast="0"/>
            <w:bookmarkEnd w:id="5"/>
            <w:r w:rsidRPr="00670B57">
              <w:rPr>
                <w:rFonts w:eastAsia="MS Mincho"/>
              </w:rPr>
              <w:t>COMPTE RENDU</w:t>
            </w:r>
          </w:p>
          <w:p w14:paraId="42EA3A2C" w14:textId="77777777" w:rsidR="00D87E29" w:rsidRPr="00670B57" w:rsidRDefault="00D87E29" w:rsidP="00730782">
            <w:pPr>
              <w:pStyle w:val="Title1"/>
              <w:rPr>
                <w:rFonts w:eastAsia="MS Mincho"/>
              </w:rPr>
            </w:pPr>
            <w:r w:rsidRPr="00670B57">
              <w:rPr>
                <w:rFonts w:eastAsia="MS Mincho"/>
              </w:rPr>
              <w:t>DE LA</w:t>
            </w:r>
          </w:p>
          <w:p w14:paraId="10849F26" w14:textId="6C37E687" w:rsidR="00520F36" w:rsidRPr="00670B57" w:rsidRDefault="00D87E29" w:rsidP="00730782">
            <w:pPr>
              <w:pStyle w:val="Title1"/>
              <w:rPr>
                <w:rFonts w:eastAsia="MS Mincho"/>
              </w:rPr>
            </w:pPr>
            <w:r w:rsidRPr="00670B57">
              <w:rPr>
                <w:rFonts w:eastAsia="MS Mincho"/>
              </w:rPr>
              <w:t>PREMIÈRE SÉANCE</w:t>
            </w:r>
            <w:r w:rsidR="002A5067" w:rsidRPr="00670B57">
              <w:rPr>
                <w:rFonts w:eastAsia="MS Mincho"/>
              </w:rPr>
              <w:t xml:space="preserve"> PLÉNIÈRE</w:t>
            </w:r>
          </w:p>
        </w:tc>
      </w:tr>
      <w:tr w:rsidR="00520F36" w:rsidRPr="00670B57" w14:paraId="03322CB4" w14:textId="77777777">
        <w:trPr>
          <w:cantSplit/>
        </w:trPr>
        <w:tc>
          <w:tcPr>
            <w:tcW w:w="10173" w:type="dxa"/>
            <w:gridSpan w:val="2"/>
          </w:tcPr>
          <w:p w14:paraId="2D53CED2" w14:textId="69F11132" w:rsidR="00520F36" w:rsidRPr="00670B57" w:rsidRDefault="00D87E29" w:rsidP="00730782">
            <w:pPr>
              <w:pStyle w:val="Title1"/>
            </w:pPr>
            <w:bookmarkStart w:id="7" w:name="lt_pId012"/>
            <w:bookmarkStart w:id="8" w:name="dtitle1" w:colFirst="0" w:colLast="0"/>
            <w:bookmarkEnd w:id="6"/>
            <w:r w:rsidRPr="00670B57">
              <w:rPr>
                <w:caps w:val="0"/>
                <w:sz w:val="24"/>
                <w:szCs w:val="24"/>
              </w:rPr>
              <w:t xml:space="preserve">Lundi 21 mars 2022, de 15 </w:t>
            </w:r>
            <w:r w:rsidR="002A5067" w:rsidRPr="00670B57">
              <w:rPr>
                <w:caps w:val="0"/>
                <w:sz w:val="24"/>
                <w:szCs w:val="24"/>
              </w:rPr>
              <w:t>h</w:t>
            </w:r>
            <w:r w:rsidR="00970E2E" w:rsidRPr="00670B57">
              <w:rPr>
                <w:caps w:val="0"/>
                <w:sz w:val="24"/>
                <w:szCs w:val="24"/>
              </w:rPr>
              <w:t xml:space="preserve"> 00</w:t>
            </w:r>
            <w:r w:rsidRPr="00670B57">
              <w:rPr>
                <w:caps w:val="0"/>
                <w:sz w:val="24"/>
                <w:szCs w:val="24"/>
              </w:rPr>
              <w:t xml:space="preserve"> à 18 </w:t>
            </w:r>
            <w:bookmarkEnd w:id="7"/>
            <w:r w:rsidR="002A5067" w:rsidRPr="00670B57">
              <w:rPr>
                <w:caps w:val="0"/>
                <w:sz w:val="24"/>
                <w:szCs w:val="24"/>
              </w:rPr>
              <w:t>h</w:t>
            </w:r>
            <w:r w:rsidR="00970E2E" w:rsidRPr="00670B57">
              <w:rPr>
                <w:caps w:val="0"/>
                <w:sz w:val="24"/>
                <w:szCs w:val="24"/>
              </w:rPr>
              <w:t xml:space="preserve"> 00</w:t>
            </w:r>
          </w:p>
        </w:tc>
      </w:tr>
      <w:tr w:rsidR="00D87E29" w:rsidRPr="00670B57" w14:paraId="3C608DF3" w14:textId="77777777">
        <w:trPr>
          <w:cantSplit/>
        </w:trPr>
        <w:tc>
          <w:tcPr>
            <w:tcW w:w="10173" w:type="dxa"/>
            <w:gridSpan w:val="2"/>
          </w:tcPr>
          <w:p w14:paraId="24506C89" w14:textId="3E926F66" w:rsidR="00D87E29" w:rsidRPr="00670B57" w:rsidRDefault="00D87E29" w:rsidP="00730782">
            <w:pPr>
              <w:spacing w:before="240" w:after="480"/>
              <w:jc w:val="center"/>
            </w:pPr>
            <w:proofErr w:type="gramStart"/>
            <w:r w:rsidRPr="00670B57">
              <w:rPr>
                <w:rFonts w:eastAsia="MS Mincho" w:cs="Calibri"/>
                <w:b/>
                <w:bCs/>
                <w:szCs w:val="24"/>
              </w:rPr>
              <w:t>Président</w:t>
            </w:r>
            <w:r w:rsidRPr="00670B57">
              <w:rPr>
                <w:rFonts w:eastAsia="MS Mincho" w:cs="Calibri"/>
                <w:bCs/>
                <w:szCs w:val="24"/>
              </w:rPr>
              <w:t>:</w:t>
            </w:r>
            <w:proofErr w:type="gramEnd"/>
            <w:r w:rsidRPr="00670B57">
              <w:rPr>
                <w:rFonts w:eastAsia="MS Mincho" w:cs="Calibri"/>
                <w:bCs/>
                <w:szCs w:val="24"/>
              </w:rPr>
              <w:t xml:space="preserve"> M. S. BIN GHELAITA (Émirats arabes unis)</w:t>
            </w:r>
          </w:p>
        </w:tc>
      </w:tr>
      <w:bookmarkEnd w:id="8"/>
    </w:tbl>
    <w:p w14:paraId="36E9A3C6" w14:textId="77777777" w:rsidR="00520F36" w:rsidRPr="00670B57" w:rsidRDefault="00520F36" w:rsidP="00730782"/>
    <w:tbl>
      <w:tblPr>
        <w:tblW w:w="5221" w:type="pct"/>
        <w:tblLook w:val="0000" w:firstRow="0" w:lastRow="0" w:firstColumn="0" w:lastColumn="0" w:noHBand="0" w:noVBand="0"/>
      </w:tblPr>
      <w:tblGrid>
        <w:gridCol w:w="505"/>
        <w:gridCol w:w="7575"/>
        <w:gridCol w:w="1985"/>
      </w:tblGrid>
      <w:tr w:rsidR="00D87E29" w:rsidRPr="00670B57" w14:paraId="67EB5DD6" w14:textId="77777777" w:rsidTr="00C94436">
        <w:tc>
          <w:tcPr>
            <w:tcW w:w="251" w:type="pct"/>
          </w:tcPr>
          <w:p w14:paraId="2BA8C9F3" w14:textId="77777777" w:rsidR="00D87E29" w:rsidRPr="00670B57" w:rsidRDefault="00D87E29" w:rsidP="00730782">
            <w:pPr>
              <w:rPr>
                <w:b/>
                <w:bCs/>
              </w:rPr>
            </w:pPr>
            <w:r w:rsidRPr="00670B57">
              <w:rPr>
                <w:b/>
                <w:bCs/>
              </w:rPr>
              <w:br w:type="page"/>
            </w:r>
            <w:r w:rsidRPr="00670B57">
              <w:rPr>
                <w:b/>
                <w:bCs/>
              </w:rPr>
              <w:br w:type="page"/>
            </w:r>
          </w:p>
        </w:tc>
        <w:tc>
          <w:tcPr>
            <w:tcW w:w="3763" w:type="pct"/>
          </w:tcPr>
          <w:p w14:paraId="0558302B" w14:textId="5F8FE107" w:rsidR="00D87E29" w:rsidRPr="00670B57" w:rsidRDefault="00D87E29" w:rsidP="00730782">
            <w:pPr>
              <w:rPr>
                <w:b/>
                <w:bCs/>
              </w:rPr>
            </w:pPr>
            <w:r w:rsidRPr="00670B57">
              <w:rPr>
                <w:b/>
                <w:bCs/>
              </w:rPr>
              <w:t>Suje</w:t>
            </w:r>
            <w:r w:rsidR="00D30578" w:rsidRPr="00670B57">
              <w:rPr>
                <w:b/>
                <w:bCs/>
              </w:rPr>
              <w:t>ts traités</w:t>
            </w:r>
          </w:p>
        </w:tc>
        <w:tc>
          <w:tcPr>
            <w:tcW w:w="986" w:type="pct"/>
          </w:tcPr>
          <w:p w14:paraId="233CA0A3" w14:textId="77777777" w:rsidR="00D87E29" w:rsidRPr="00670B57" w:rsidRDefault="00D87E29" w:rsidP="00730782">
            <w:pPr>
              <w:rPr>
                <w:b/>
                <w:bCs/>
              </w:rPr>
            </w:pPr>
            <w:r w:rsidRPr="00670B57">
              <w:rPr>
                <w:b/>
                <w:bCs/>
              </w:rPr>
              <w:t>Documents</w:t>
            </w:r>
          </w:p>
        </w:tc>
      </w:tr>
      <w:tr w:rsidR="00D87E29" w:rsidRPr="00670B57" w14:paraId="377298BE" w14:textId="77777777" w:rsidTr="00C94436">
        <w:tc>
          <w:tcPr>
            <w:tcW w:w="251" w:type="pct"/>
          </w:tcPr>
          <w:p w14:paraId="4B7BC5AA" w14:textId="77777777" w:rsidR="00D87E29" w:rsidRPr="00670B57" w:rsidRDefault="00D87E29" w:rsidP="00730782">
            <w:pPr>
              <w:jc w:val="both"/>
            </w:pPr>
            <w:r w:rsidRPr="00670B57">
              <w:t>1</w:t>
            </w:r>
          </w:p>
        </w:tc>
        <w:tc>
          <w:tcPr>
            <w:tcW w:w="3763" w:type="pct"/>
          </w:tcPr>
          <w:p w14:paraId="665AEC50" w14:textId="6FEEE3DA" w:rsidR="00D87E29" w:rsidRPr="00670B57" w:rsidRDefault="00D87E29" w:rsidP="00730782">
            <w:r w:rsidRPr="00670B57">
              <w:t xml:space="preserve">Rapport sur la mise en œuvre du </w:t>
            </w:r>
            <w:r w:rsidR="00F97029" w:rsidRPr="00670B57">
              <w:t>P</w:t>
            </w:r>
            <w:r w:rsidRPr="00670B57">
              <w:t>lan stratégique et</w:t>
            </w:r>
            <w:r w:rsidR="00F97029" w:rsidRPr="00670B57">
              <w:t xml:space="preserve"> </w:t>
            </w:r>
            <w:r w:rsidR="0000265F" w:rsidRPr="00670B57">
              <w:t>les activités de l</w:t>
            </w:r>
            <w:r w:rsidR="00730782">
              <w:t>'</w:t>
            </w:r>
            <w:r w:rsidR="0000265F" w:rsidRPr="00670B57">
              <w:t>U</w:t>
            </w:r>
            <w:r w:rsidRPr="00670B57">
              <w:t>nion, avril 2018 – février 2022</w:t>
            </w:r>
          </w:p>
        </w:tc>
        <w:tc>
          <w:tcPr>
            <w:tcW w:w="986" w:type="pct"/>
          </w:tcPr>
          <w:p w14:paraId="4928A5EF" w14:textId="77777777" w:rsidR="00D87E29" w:rsidRPr="00670B57" w:rsidRDefault="002C6A86" w:rsidP="00730782">
            <w:pPr>
              <w:jc w:val="center"/>
            </w:pPr>
            <w:hyperlink r:id="rId7" w:history="1">
              <w:r w:rsidR="00D87E29" w:rsidRPr="00670B57">
                <w:rPr>
                  <w:rStyle w:val="Hyperlink"/>
                </w:rPr>
                <w:t>C22/35</w:t>
              </w:r>
            </w:hyperlink>
          </w:p>
        </w:tc>
      </w:tr>
      <w:tr w:rsidR="00D87E29" w:rsidRPr="00670B57" w14:paraId="3945FB19" w14:textId="77777777" w:rsidTr="00C94436">
        <w:tc>
          <w:tcPr>
            <w:tcW w:w="251" w:type="pct"/>
          </w:tcPr>
          <w:p w14:paraId="425A7F79" w14:textId="77777777" w:rsidR="00D87E29" w:rsidRPr="00670B57" w:rsidRDefault="00D87E29" w:rsidP="00730782">
            <w:pPr>
              <w:jc w:val="both"/>
            </w:pPr>
            <w:r w:rsidRPr="00670B57">
              <w:t>2</w:t>
            </w:r>
          </w:p>
        </w:tc>
        <w:tc>
          <w:tcPr>
            <w:tcW w:w="3763" w:type="pct"/>
          </w:tcPr>
          <w:p w14:paraId="24D9259E" w14:textId="602B0A24" w:rsidR="00D87E29" w:rsidRPr="00670B57" w:rsidRDefault="00D87E29" w:rsidP="00730782">
            <w:pPr>
              <w:jc w:val="both"/>
              <w:rPr>
                <w:rFonts w:asciiTheme="minorHAnsi" w:hAnsiTheme="minorHAnsi" w:cstheme="minorHAnsi"/>
                <w:szCs w:val="24"/>
              </w:rPr>
            </w:pPr>
            <w:bookmarkStart w:id="9" w:name="_Hlk98236254"/>
            <w:r w:rsidRPr="00670B57">
              <w:t xml:space="preserve">Projet de </w:t>
            </w:r>
            <w:r w:rsidR="0000265F" w:rsidRPr="00670B57">
              <w:t>P</w:t>
            </w:r>
            <w:r w:rsidRPr="00670B57">
              <w:t>lan opérationnel de l</w:t>
            </w:r>
            <w:r w:rsidR="00730782">
              <w:t>'</w:t>
            </w:r>
            <w:r w:rsidR="00256A01" w:rsidRPr="00670B57">
              <w:t>U</w:t>
            </w:r>
            <w:r w:rsidRPr="00670B57">
              <w:t xml:space="preserve">nion </w:t>
            </w:r>
            <w:r w:rsidR="00256A01" w:rsidRPr="00670B57">
              <w:t>pour</w:t>
            </w:r>
            <w:r w:rsidRPr="00670B57">
              <w:t xml:space="preserve"> 2023</w:t>
            </w:r>
            <w:bookmarkEnd w:id="9"/>
          </w:p>
        </w:tc>
        <w:tc>
          <w:tcPr>
            <w:tcW w:w="986" w:type="pct"/>
          </w:tcPr>
          <w:p w14:paraId="3984DE03" w14:textId="77777777" w:rsidR="00D87E29" w:rsidRPr="00670B57" w:rsidRDefault="002C6A86" w:rsidP="00730782">
            <w:pPr>
              <w:jc w:val="center"/>
            </w:pPr>
            <w:hyperlink r:id="rId8" w:history="1">
              <w:r w:rsidR="00D87E29" w:rsidRPr="00670B57">
                <w:rPr>
                  <w:rStyle w:val="Hyperlink"/>
                </w:rPr>
                <w:t>C22/28</w:t>
              </w:r>
            </w:hyperlink>
          </w:p>
        </w:tc>
      </w:tr>
      <w:tr w:rsidR="00D87E29" w:rsidRPr="00670B57" w14:paraId="7E691838" w14:textId="77777777" w:rsidTr="00C94436">
        <w:tc>
          <w:tcPr>
            <w:tcW w:w="251" w:type="pct"/>
          </w:tcPr>
          <w:p w14:paraId="4CBEB809" w14:textId="77777777" w:rsidR="00D87E29" w:rsidRPr="00670B57" w:rsidRDefault="00D87E29" w:rsidP="00730782">
            <w:pPr>
              <w:jc w:val="both"/>
            </w:pPr>
            <w:r w:rsidRPr="00670B57">
              <w:t>3</w:t>
            </w:r>
          </w:p>
        </w:tc>
        <w:tc>
          <w:tcPr>
            <w:tcW w:w="3763" w:type="pct"/>
          </w:tcPr>
          <w:p w14:paraId="4BA715D3" w14:textId="486CAAE0" w:rsidR="00D87E29" w:rsidRPr="00670B57" w:rsidRDefault="00D87E29" w:rsidP="00730782">
            <w:pPr>
              <w:rPr>
                <w:rFonts w:asciiTheme="minorHAnsi" w:hAnsiTheme="minorHAnsi" w:cstheme="minorHAnsi"/>
                <w:bCs/>
                <w:szCs w:val="24"/>
              </w:rPr>
            </w:pPr>
            <w:r w:rsidRPr="00670B57">
              <w:t>R</w:t>
            </w:r>
            <w:r w:rsidR="007E4350" w:rsidRPr="00670B57">
              <w:t>apport sur le sixième F</w:t>
            </w:r>
            <w:r w:rsidRPr="00670B57">
              <w:t>orum mondial des politiques de télécommunication/</w:t>
            </w:r>
            <w:r w:rsidR="00256A01" w:rsidRPr="00670B57">
              <w:t>TIC</w:t>
            </w:r>
            <w:r w:rsidRPr="00670B57">
              <w:t xml:space="preserve"> (</w:t>
            </w:r>
            <w:r w:rsidR="00BE2D92" w:rsidRPr="00670B57">
              <w:t>FMPT</w:t>
            </w:r>
            <w:r w:rsidRPr="00670B57">
              <w:t>-21)</w:t>
            </w:r>
          </w:p>
        </w:tc>
        <w:tc>
          <w:tcPr>
            <w:tcW w:w="986" w:type="pct"/>
          </w:tcPr>
          <w:p w14:paraId="63FD1059" w14:textId="77777777" w:rsidR="00D87E29" w:rsidRPr="00670B57" w:rsidRDefault="002C6A86" w:rsidP="00730782">
            <w:pPr>
              <w:jc w:val="center"/>
            </w:pPr>
            <w:hyperlink r:id="rId9" w:history="1">
              <w:r w:rsidR="00D87E29" w:rsidRPr="00670B57">
                <w:rPr>
                  <w:rStyle w:val="Hyperlink"/>
                </w:rPr>
                <w:t>C22/5</w:t>
              </w:r>
            </w:hyperlink>
          </w:p>
        </w:tc>
      </w:tr>
      <w:tr w:rsidR="00D87E29" w:rsidRPr="00670B57" w14:paraId="0C939DF6" w14:textId="77777777" w:rsidTr="00C94436">
        <w:tc>
          <w:tcPr>
            <w:tcW w:w="251" w:type="pct"/>
          </w:tcPr>
          <w:p w14:paraId="20D32025" w14:textId="77777777" w:rsidR="00D87E29" w:rsidRPr="00670B57" w:rsidRDefault="00D87E29" w:rsidP="00730782">
            <w:pPr>
              <w:jc w:val="both"/>
            </w:pPr>
            <w:r w:rsidRPr="00670B57">
              <w:t>4</w:t>
            </w:r>
          </w:p>
        </w:tc>
        <w:tc>
          <w:tcPr>
            <w:tcW w:w="3763" w:type="pct"/>
          </w:tcPr>
          <w:p w14:paraId="5E84F266" w14:textId="64E35AFA" w:rsidR="00D87E29" w:rsidRPr="00670B57" w:rsidRDefault="00BE0274" w:rsidP="00730782">
            <w:pPr>
              <w:rPr>
                <w:rFonts w:ascii="Times New Roman" w:hAnsi="Times New Roman"/>
                <w:lang w:eastAsia="en-GB"/>
              </w:rPr>
            </w:pPr>
            <w:r w:rsidRPr="00670B57">
              <w:t>Journée mondiale des télécommunications et</w:t>
            </w:r>
            <w:r w:rsidR="00256A01" w:rsidRPr="00670B57">
              <w:t xml:space="preserve"> </w:t>
            </w:r>
            <w:r w:rsidRPr="00670B57">
              <w:t>de la société de l</w:t>
            </w:r>
            <w:r w:rsidR="00730782">
              <w:t>'</w:t>
            </w:r>
            <w:r w:rsidRPr="00670B57">
              <w:t>information</w:t>
            </w:r>
            <w:r w:rsidR="00970E2E" w:rsidRPr="00670B57">
              <w:t> </w:t>
            </w:r>
            <w:r w:rsidR="007E4350" w:rsidRPr="00670B57">
              <w:t>(WTISD)</w:t>
            </w:r>
          </w:p>
        </w:tc>
        <w:tc>
          <w:tcPr>
            <w:tcW w:w="986" w:type="pct"/>
          </w:tcPr>
          <w:p w14:paraId="2D540D6B" w14:textId="77777777" w:rsidR="00D87E29" w:rsidRPr="00670B57" w:rsidRDefault="002C6A86" w:rsidP="00730782">
            <w:hyperlink r:id="rId10" w:history="1">
              <w:r w:rsidR="00D87E29" w:rsidRPr="00670B57">
                <w:rPr>
                  <w:rStyle w:val="Hyperlink"/>
                </w:rPr>
                <w:t>C22/17</w:t>
              </w:r>
            </w:hyperlink>
            <w:r w:rsidR="00D87E29" w:rsidRPr="00670B57">
              <w:t xml:space="preserve">, </w:t>
            </w:r>
            <w:hyperlink r:id="rId11" w:history="1">
              <w:r w:rsidR="00D87E29" w:rsidRPr="00670B57">
                <w:rPr>
                  <w:rStyle w:val="Hyperlink"/>
                </w:rPr>
                <w:t>C22/78</w:t>
              </w:r>
            </w:hyperlink>
          </w:p>
        </w:tc>
      </w:tr>
      <w:tr w:rsidR="00D87E29" w:rsidRPr="00670B57" w14:paraId="7115E55A" w14:textId="77777777" w:rsidTr="00C94436">
        <w:tc>
          <w:tcPr>
            <w:tcW w:w="251" w:type="pct"/>
          </w:tcPr>
          <w:p w14:paraId="161FA2EA" w14:textId="77777777" w:rsidR="00D87E29" w:rsidRPr="00670B57" w:rsidRDefault="00D87E29" w:rsidP="00730782">
            <w:pPr>
              <w:jc w:val="both"/>
            </w:pPr>
            <w:r w:rsidRPr="00670B57">
              <w:t>5</w:t>
            </w:r>
          </w:p>
        </w:tc>
        <w:tc>
          <w:tcPr>
            <w:tcW w:w="3763" w:type="pct"/>
          </w:tcPr>
          <w:p w14:paraId="56B9957E" w14:textId="2B2F7455" w:rsidR="00D87E29" w:rsidRPr="00670B57" w:rsidRDefault="00D87E29" w:rsidP="00730782">
            <w:pPr>
              <w:rPr>
                <w:rFonts w:ascii="Times New Roman" w:hAnsi="Times New Roman"/>
                <w:lang w:eastAsia="en-GB"/>
              </w:rPr>
            </w:pPr>
            <w:r w:rsidRPr="00670B57">
              <w:t xml:space="preserve">Rapport sur le </w:t>
            </w:r>
            <w:r w:rsidR="001B0146" w:rsidRPr="00670B57">
              <w:t>C</w:t>
            </w:r>
            <w:r w:rsidRPr="00670B57">
              <w:t>olloque mondial sur la normalisation (</w:t>
            </w:r>
            <w:r w:rsidR="00256A01" w:rsidRPr="00670B57">
              <w:t>GSS</w:t>
            </w:r>
            <w:r w:rsidRPr="00670B57">
              <w:t>-20) et sur l</w:t>
            </w:r>
            <w:r w:rsidR="00730782">
              <w:t>'</w:t>
            </w:r>
            <w:r w:rsidR="001B0146" w:rsidRPr="00670B57">
              <w:t>A</w:t>
            </w:r>
            <w:r w:rsidRPr="00670B57">
              <w:t>ssemblée mondiale de normalisation des télécommunications (</w:t>
            </w:r>
            <w:r w:rsidR="00256A01" w:rsidRPr="00670B57">
              <w:t>AMNT</w:t>
            </w:r>
            <w:r w:rsidR="00256A01" w:rsidRPr="00670B57">
              <w:noBreakHyphen/>
            </w:r>
            <w:r w:rsidRPr="00670B57">
              <w:t>20)</w:t>
            </w:r>
          </w:p>
        </w:tc>
        <w:tc>
          <w:tcPr>
            <w:tcW w:w="986" w:type="pct"/>
          </w:tcPr>
          <w:p w14:paraId="28A8DC3D" w14:textId="77777777" w:rsidR="00D87E29" w:rsidRPr="00670B57" w:rsidRDefault="002C6A86" w:rsidP="00730782">
            <w:pPr>
              <w:jc w:val="center"/>
            </w:pPr>
            <w:hyperlink r:id="rId12" w:history="1">
              <w:r w:rsidR="00D87E29" w:rsidRPr="00670B57">
                <w:rPr>
                  <w:rStyle w:val="Hyperlink"/>
                </w:rPr>
                <w:t>C22/24</w:t>
              </w:r>
            </w:hyperlink>
          </w:p>
        </w:tc>
      </w:tr>
      <w:tr w:rsidR="00D87E29" w:rsidRPr="00670B57" w14:paraId="696D0FB0" w14:textId="77777777" w:rsidTr="00C94436">
        <w:tc>
          <w:tcPr>
            <w:tcW w:w="251" w:type="pct"/>
          </w:tcPr>
          <w:p w14:paraId="700C9BB0" w14:textId="77777777" w:rsidR="00D87E29" w:rsidRPr="00670B57" w:rsidRDefault="00D87E29" w:rsidP="00730782">
            <w:pPr>
              <w:jc w:val="both"/>
            </w:pPr>
            <w:r w:rsidRPr="00670B57">
              <w:t>6</w:t>
            </w:r>
          </w:p>
        </w:tc>
        <w:tc>
          <w:tcPr>
            <w:tcW w:w="3763" w:type="pct"/>
          </w:tcPr>
          <w:p w14:paraId="2EBDA1A7" w14:textId="484E87E5" w:rsidR="00D87E29" w:rsidRPr="00670B57" w:rsidRDefault="00BE0274" w:rsidP="00730782">
            <w:pPr>
              <w:spacing w:after="120"/>
              <w:rPr>
                <w:rFonts w:asciiTheme="minorHAnsi" w:hAnsiTheme="minorHAnsi" w:cstheme="minorHAnsi"/>
                <w:bCs/>
                <w:szCs w:val="24"/>
              </w:rPr>
            </w:pPr>
            <w:r w:rsidRPr="00670B57">
              <w:t xml:space="preserve">Déclarations des </w:t>
            </w:r>
            <w:r w:rsidR="007B036B" w:rsidRPr="00670B57">
              <w:t>M</w:t>
            </w:r>
            <w:r w:rsidRPr="00670B57">
              <w:t xml:space="preserve">inistres et des </w:t>
            </w:r>
            <w:r w:rsidR="007B036B" w:rsidRPr="00670B57">
              <w:t>C</w:t>
            </w:r>
            <w:r w:rsidRPr="00670B57">
              <w:t>onseillers</w:t>
            </w:r>
          </w:p>
        </w:tc>
        <w:tc>
          <w:tcPr>
            <w:tcW w:w="986" w:type="pct"/>
          </w:tcPr>
          <w:p w14:paraId="3BEF611B" w14:textId="4C794A00" w:rsidR="00D87E29" w:rsidRPr="00670B57" w:rsidRDefault="00970E2E" w:rsidP="00730782">
            <w:pPr>
              <w:jc w:val="center"/>
            </w:pPr>
            <w:r w:rsidRPr="00670B57">
              <w:t>–</w:t>
            </w:r>
          </w:p>
        </w:tc>
      </w:tr>
    </w:tbl>
    <w:p w14:paraId="6F5F0CF6" w14:textId="71CA278B" w:rsidR="00BE0274" w:rsidRPr="00670B57" w:rsidRDefault="00BE0274" w:rsidP="00730782">
      <w:pPr>
        <w:tabs>
          <w:tab w:val="clear" w:pos="567"/>
          <w:tab w:val="clear" w:pos="1134"/>
          <w:tab w:val="clear" w:pos="1701"/>
          <w:tab w:val="clear" w:pos="2268"/>
          <w:tab w:val="clear" w:pos="2835"/>
        </w:tabs>
        <w:overflowPunct/>
        <w:autoSpaceDE/>
        <w:autoSpaceDN/>
        <w:adjustRightInd/>
        <w:spacing w:before="0"/>
        <w:textAlignment w:val="auto"/>
      </w:pPr>
      <w:r w:rsidRPr="00670B57">
        <w:br w:type="page"/>
      </w:r>
    </w:p>
    <w:p w14:paraId="6F74444A" w14:textId="3D085D3C" w:rsidR="00BE2D92" w:rsidRPr="00670B57" w:rsidRDefault="00BE2D92" w:rsidP="00730782">
      <w:pPr>
        <w:pStyle w:val="Heading1"/>
        <w:rPr>
          <w:rFonts w:ascii="Times New Roman" w:hAnsi="Times New Roman"/>
          <w:lang w:eastAsia="en-GB"/>
        </w:rPr>
      </w:pPr>
      <w:r w:rsidRPr="00670B57">
        <w:rPr>
          <w:rFonts w:asciiTheme="minorHAnsi" w:hAnsiTheme="minorHAnsi"/>
          <w:sz w:val="26"/>
          <w:szCs w:val="26"/>
        </w:rPr>
        <w:lastRenderedPageBreak/>
        <w:t>1</w:t>
      </w:r>
      <w:r w:rsidRPr="00670B57">
        <w:rPr>
          <w:rFonts w:asciiTheme="minorHAnsi" w:hAnsiTheme="minorHAnsi"/>
          <w:sz w:val="26"/>
          <w:szCs w:val="26"/>
        </w:rPr>
        <w:tab/>
      </w:r>
      <w:r w:rsidRPr="00670B57">
        <w:t xml:space="preserve">Rapport sur la mise en œuvre du </w:t>
      </w:r>
      <w:r w:rsidR="004D6827" w:rsidRPr="00670B57">
        <w:t>P</w:t>
      </w:r>
      <w:r w:rsidRPr="00670B57">
        <w:t>lan stratégique et les activités de l</w:t>
      </w:r>
      <w:r w:rsidR="00730782">
        <w:t>'</w:t>
      </w:r>
      <w:r w:rsidR="00D30578" w:rsidRPr="00670B57">
        <w:t>U</w:t>
      </w:r>
      <w:r w:rsidRPr="00670B57">
        <w:t>nion, avril 2018 – février 2022 (Document C22/35)</w:t>
      </w:r>
    </w:p>
    <w:p w14:paraId="375C7AAC" w14:textId="6897CE68" w:rsidR="00242B3C" w:rsidRPr="00670B57" w:rsidRDefault="00BE2D92" w:rsidP="00730782">
      <w:pPr>
        <w:rPr>
          <w:rFonts w:cstheme="minorHAnsi"/>
          <w:szCs w:val="24"/>
        </w:rPr>
      </w:pPr>
      <w:r w:rsidRPr="00670B57">
        <w:rPr>
          <w:rFonts w:asciiTheme="minorHAnsi" w:hAnsiTheme="minorHAnsi"/>
          <w:szCs w:val="24"/>
        </w:rPr>
        <w:t>1.1</w:t>
      </w:r>
      <w:r w:rsidRPr="00670B57">
        <w:rPr>
          <w:rFonts w:asciiTheme="minorHAnsi" w:hAnsiTheme="minorHAnsi"/>
          <w:szCs w:val="24"/>
        </w:rPr>
        <w:tab/>
      </w:r>
      <w:r w:rsidRPr="00670B57">
        <w:t xml:space="preserve">Le Vice-Secrétaire général présente le </w:t>
      </w:r>
      <w:hyperlink r:id="rId13" w:history="1">
        <w:r w:rsidRPr="00670B57">
          <w:t xml:space="preserve">Document </w:t>
        </w:r>
        <w:r w:rsidRPr="00670B57">
          <w:rPr>
            <w:rStyle w:val="Hyperlink"/>
          </w:rPr>
          <w:t>C</w:t>
        </w:r>
        <w:r w:rsidR="00D30578" w:rsidRPr="00670B57">
          <w:rPr>
            <w:rStyle w:val="Hyperlink"/>
          </w:rPr>
          <w:t>22</w:t>
        </w:r>
        <w:r w:rsidRPr="00670B57">
          <w:rPr>
            <w:rStyle w:val="Hyperlink"/>
          </w:rPr>
          <w:t>/35</w:t>
        </w:r>
      </w:hyperlink>
      <w:r w:rsidRPr="00670B57">
        <w:t xml:space="preserve">, qui </w:t>
      </w:r>
      <w:r w:rsidR="00234F99" w:rsidRPr="00670B57">
        <w:t xml:space="preserve">décrit les </w:t>
      </w:r>
      <w:r w:rsidRPr="00670B57">
        <w:t>progrès accomplis en vue de la réalisation des buts et des cibles</w:t>
      </w:r>
      <w:r w:rsidR="001B3FAA" w:rsidRPr="00670B57">
        <w:t xml:space="preserve"> stratégiques</w:t>
      </w:r>
      <w:r w:rsidRPr="00670B57">
        <w:t xml:space="preserve"> de </w:t>
      </w:r>
      <w:r w:rsidR="005265BD" w:rsidRPr="00670B57">
        <w:t>l</w:t>
      </w:r>
      <w:r w:rsidR="00730782">
        <w:t>'</w:t>
      </w:r>
      <w:r w:rsidR="005265BD" w:rsidRPr="00670B57">
        <w:t>UIT</w:t>
      </w:r>
      <w:r w:rsidRPr="00670B57">
        <w:t xml:space="preserve"> ainsi que des objectifs propres aux Secteurs et intersectoriels</w:t>
      </w:r>
      <w:r w:rsidR="006E7184" w:rsidRPr="00670B57">
        <w:t xml:space="preserve"> entre avril 2018 et février 2022</w:t>
      </w:r>
      <w:r w:rsidRPr="00670B57">
        <w:rPr>
          <w:rFonts w:cstheme="minorHAnsi"/>
          <w:szCs w:val="24"/>
        </w:rPr>
        <w:t xml:space="preserve">. </w:t>
      </w:r>
      <w:r w:rsidR="00FC1E46" w:rsidRPr="00670B57">
        <w:rPr>
          <w:rFonts w:cstheme="minorHAnsi"/>
          <w:szCs w:val="24"/>
        </w:rPr>
        <w:t xml:space="preserve">Le document constituera la base du rapport du Conseil à la PP-22 sur la mise en œuvre du Plan stratégique. </w:t>
      </w:r>
      <w:r w:rsidRPr="00670B57">
        <w:t>La présentation est axée sur les résultats et se fonde sur des données probantes, et des résultats analytiques mettent en évidence l</w:t>
      </w:r>
      <w:r w:rsidR="00730782">
        <w:t>'</w:t>
      </w:r>
      <w:r w:rsidRPr="00670B57">
        <w:t xml:space="preserve">ensemble des progrès accomplis concernant </w:t>
      </w:r>
      <w:r w:rsidR="0023444B" w:rsidRPr="00670B57">
        <w:t>la réalisation des cibles du</w:t>
      </w:r>
      <w:r w:rsidRPr="00670B57">
        <w:t xml:space="preserve"> Programme </w:t>
      </w:r>
      <w:proofErr w:type="spellStart"/>
      <w:r w:rsidRPr="00670B57">
        <w:t>Connect</w:t>
      </w:r>
      <w:proofErr w:type="spellEnd"/>
      <w:r w:rsidRPr="00670B57">
        <w:t xml:space="preserve"> 20</w:t>
      </w:r>
      <w:r w:rsidR="00062570" w:rsidRPr="00670B57">
        <w:t>3</w:t>
      </w:r>
      <w:r w:rsidRPr="00670B57">
        <w:t>0 et les indicateurs fondamentaux de performance approuvés par les membres dans les plans opérationnels des trois Secteurs et du Secrétariat général</w:t>
      </w:r>
      <w:r w:rsidRPr="00670B57">
        <w:rPr>
          <w:rFonts w:cstheme="minorHAnsi"/>
          <w:szCs w:val="24"/>
        </w:rPr>
        <w:t>.</w:t>
      </w:r>
      <w:r w:rsidRPr="00670B57">
        <w:rPr>
          <w:rFonts w:cstheme="minorHAnsi"/>
          <w:bCs/>
          <w:szCs w:val="24"/>
        </w:rPr>
        <w:t xml:space="preserve"> </w:t>
      </w:r>
      <w:r w:rsidR="00A56ED7" w:rsidRPr="00670B57">
        <w:rPr>
          <w:rFonts w:cstheme="minorHAnsi"/>
          <w:szCs w:val="24"/>
        </w:rPr>
        <w:t xml:space="preserve">Le rapport est </w:t>
      </w:r>
      <w:r w:rsidR="00832C1B" w:rsidRPr="00670B57">
        <w:rPr>
          <w:rFonts w:cstheme="minorHAnsi"/>
          <w:szCs w:val="24"/>
        </w:rPr>
        <w:t xml:space="preserve">complété par </w:t>
      </w:r>
      <w:r w:rsidR="00A56ED7" w:rsidRPr="00670B57">
        <w:rPr>
          <w:rFonts w:cstheme="minorHAnsi"/>
          <w:szCs w:val="24"/>
        </w:rPr>
        <w:t xml:space="preserve">un </w:t>
      </w:r>
      <w:r w:rsidR="001544B7" w:rsidRPr="00670B57">
        <w:rPr>
          <w:rFonts w:cstheme="minorHAnsi"/>
          <w:szCs w:val="24"/>
        </w:rPr>
        <w:t>outil</w:t>
      </w:r>
      <w:r w:rsidR="007018F7" w:rsidRPr="00670B57">
        <w:rPr>
          <w:rFonts w:cstheme="minorHAnsi"/>
          <w:szCs w:val="24"/>
        </w:rPr>
        <w:t xml:space="preserve"> </w:t>
      </w:r>
      <w:r w:rsidR="00D84556" w:rsidRPr="00670B57">
        <w:rPr>
          <w:rFonts w:cstheme="minorHAnsi"/>
          <w:szCs w:val="24"/>
        </w:rPr>
        <w:t xml:space="preserve">en ligne </w:t>
      </w:r>
      <w:r w:rsidR="007018F7" w:rsidRPr="00670B57">
        <w:rPr>
          <w:rFonts w:cstheme="minorHAnsi"/>
          <w:szCs w:val="24"/>
        </w:rPr>
        <w:t xml:space="preserve">de </w:t>
      </w:r>
      <w:r w:rsidR="00046C14" w:rsidRPr="00670B57">
        <w:rPr>
          <w:rFonts w:cstheme="minorHAnsi"/>
          <w:szCs w:val="24"/>
        </w:rPr>
        <w:t>présentation</w:t>
      </w:r>
      <w:r w:rsidR="007018F7" w:rsidRPr="00670B57">
        <w:rPr>
          <w:rFonts w:cstheme="minorHAnsi"/>
          <w:szCs w:val="24"/>
        </w:rPr>
        <w:t xml:space="preserve"> de contenus</w:t>
      </w:r>
      <w:r w:rsidR="00832C1B" w:rsidRPr="00670B57">
        <w:rPr>
          <w:rFonts w:cstheme="minorHAnsi"/>
          <w:szCs w:val="24"/>
        </w:rPr>
        <w:t xml:space="preserve"> interactifs, diversifiés et lisibles sur dispositif mobile</w:t>
      </w:r>
      <w:r w:rsidR="00BC277C" w:rsidRPr="00670B57">
        <w:rPr>
          <w:rFonts w:cstheme="minorHAnsi"/>
          <w:szCs w:val="24"/>
        </w:rPr>
        <w:t xml:space="preserve">, qui </w:t>
      </w:r>
      <w:r w:rsidR="00FD3D46" w:rsidRPr="00670B57">
        <w:rPr>
          <w:rFonts w:cstheme="minorHAnsi"/>
          <w:szCs w:val="24"/>
        </w:rPr>
        <w:t xml:space="preserve">présente les </w:t>
      </w:r>
      <w:r w:rsidR="00C66ED3" w:rsidRPr="00670B57">
        <w:rPr>
          <w:rFonts w:cstheme="minorHAnsi"/>
          <w:szCs w:val="24"/>
        </w:rPr>
        <w:t xml:space="preserve">points </w:t>
      </w:r>
      <w:r w:rsidR="00832C1B" w:rsidRPr="00670B57">
        <w:rPr>
          <w:rFonts w:cstheme="minorHAnsi"/>
          <w:szCs w:val="24"/>
        </w:rPr>
        <w:t xml:space="preserve">saillants </w:t>
      </w:r>
      <w:r w:rsidR="00C66ED3" w:rsidRPr="00670B57">
        <w:rPr>
          <w:rFonts w:cstheme="minorHAnsi"/>
          <w:szCs w:val="24"/>
        </w:rPr>
        <w:t>des travaux de l</w:t>
      </w:r>
      <w:r w:rsidR="00730782">
        <w:rPr>
          <w:rFonts w:cstheme="minorHAnsi"/>
          <w:szCs w:val="24"/>
        </w:rPr>
        <w:t>'</w:t>
      </w:r>
      <w:r w:rsidR="00C66ED3" w:rsidRPr="00670B57">
        <w:rPr>
          <w:rFonts w:cstheme="minorHAnsi"/>
          <w:szCs w:val="24"/>
        </w:rPr>
        <w:t>UIT pendant la pér</w:t>
      </w:r>
      <w:r w:rsidR="00512039" w:rsidRPr="00670B57">
        <w:rPr>
          <w:rFonts w:cstheme="minorHAnsi"/>
          <w:szCs w:val="24"/>
        </w:rPr>
        <w:t>iode considérée</w:t>
      </w:r>
      <w:r w:rsidR="00265B4A">
        <w:rPr>
          <w:rFonts w:cstheme="minorHAnsi"/>
          <w:szCs w:val="24"/>
        </w:rPr>
        <w:t>, disponible à l</w:t>
      </w:r>
      <w:r w:rsidR="00730782">
        <w:rPr>
          <w:rFonts w:cstheme="minorHAnsi"/>
          <w:szCs w:val="24"/>
        </w:rPr>
        <w:t>'</w:t>
      </w:r>
      <w:r w:rsidR="00265B4A">
        <w:rPr>
          <w:rFonts w:cstheme="minorHAnsi"/>
          <w:szCs w:val="24"/>
        </w:rPr>
        <w:t xml:space="preserve">adresse </w:t>
      </w:r>
      <w:hyperlink r:id="rId14" w:history="1">
        <w:r w:rsidR="00265B4A" w:rsidRPr="004E3DAD">
          <w:rPr>
            <w:rStyle w:val="Hyperlink"/>
            <w:rFonts w:cstheme="minorHAnsi"/>
            <w:szCs w:val="24"/>
          </w:rPr>
          <w:t>https://www.itu.int/highlights-report-activities</w:t>
        </w:r>
      </w:hyperlink>
      <w:r w:rsidR="00C66ED3" w:rsidRPr="00670B57">
        <w:rPr>
          <w:rFonts w:cstheme="minorHAnsi"/>
          <w:szCs w:val="24"/>
        </w:rPr>
        <w:t>.</w:t>
      </w:r>
      <w:r w:rsidR="00265B4A">
        <w:rPr>
          <w:rFonts w:cstheme="minorHAnsi"/>
          <w:szCs w:val="24"/>
        </w:rPr>
        <w:t xml:space="preserve"> </w:t>
      </w:r>
    </w:p>
    <w:p w14:paraId="7575EE2A" w14:textId="1C1AB1AA" w:rsidR="006F77E6" w:rsidRPr="00670B57" w:rsidRDefault="00BE2D92" w:rsidP="00730782">
      <w:r w:rsidRPr="00670B57">
        <w:t>1.2</w:t>
      </w:r>
      <w:r w:rsidRPr="00670B57">
        <w:tab/>
      </w:r>
      <w:r w:rsidR="006F77E6" w:rsidRPr="00670B57">
        <w:t>Le</w:t>
      </w:r>
      <w:r w:rsidR="00D333C5" w:rsidRPr="00670B57">
        <w:t>s</w:t>
      </w:r>
      <w:r w:rsidR="006F77E6" w:rsidRPr="00670B57">
        <w:t xml:space="preserve"> Conseillers </w:t>
      </w:r>
      <w:r w:rsidR="00D333C5" w:rsidRPr="00670B57">
        <w:t xml:space="preserve">félicitent le Secrétariat général pour son rapport </w:t>
      </w:r>
      <w:r w:rsidR="00F12675" w:rsidRPr="00670B57">
        <w:t xml:space="preserve">complet et </w:t>
      </w:r>
      <w:r w:rsidR="00794A5B" w:rsidRPr="00670B57">
        <w:t xml:space="preserve">instructif. </w:t>
      </w:r>
      <w:r w:rsidR="003C7BEE" w:rsidRPr="00670B57">
        <w:t xml:space="preserve">Un Conseiller </w:t>
      </w:r>
      <w:r w:rsidR="0011466B" w:rsidRPr="00670B57">
        <w:t xml:space="preserve">souligne plusieurs points particulièrement positifs, à savoir </w:t>
      </w:r>
      <w:r w:rsidR="00DD05EF" w:rsidRPr="00670B57">
        <w:t>que les travaux sont axés sur la durabilité, que l</w:t>
      </w:r>
      <w:r w:rsidR="00730782">
        <w:t>'</w:t>
      </w:r>
      <w:r w:rsidR="00DD05EF" w:rsidRPr="00670B57">
        <w:t xml:space="preserve">Union </w:t>
      </w:r>
      <w:r w:rsidR="002256BF" w:rsidRPr="00670B57">
        <w:t>s</w:t>
      </w:r>
      <w:r w:rsidR="00730782">
        <w:t>'</w:t>
      </w:r>
      <w:r w:rsidR="002256BF" w:rsidRPr="00670B57">
        <w:t>efforce de contribuer à la réalisation des Objectifs de dév</w:t>
      </w:r>
      <w:r w:rsidR="004326E1" w:rsidRPr="00670B57">
        <w:t>eloppement durable (ODD) et qu</w:t>
      </w:r>
      <w:r w:rsidR="004608D9" w:rsidRPr="00670B57">
        <w:t>e le nombre de membres de l</w:t>
      </w:r>
      <w:r w:rsidR="00730782">
        <w:t>'</w:t>
      </w:r>
      <w:r w:rsidR="004608D9" w:rsidRPr="00670B57">
        <w:t>Union a augmenté.</w:t>
      </w:r>
      <w:r w:rsidR="00137701" w:rsidRPr="00670B57">
        <w:t xml:space="preserve"> </w:t>
      </w:r>
      <w:r w:rsidR="00034166" w:rsidRPr="00670B57">
        <w:t>Il propose d</w:t>
      </w:r>
      <w:r w:rsidR="00730782">
        <w:t>'</w:t>
      </w:r>
      <w:r w:rsidR="00034166" w:rsidRPr="00670B57">
        <w:t xml:space="preserve">intégrer une courte vidéo </w:t>
      </w:r>
      <w:r w:rsidR="0095270D" w:rsidRPr="00670B57">
        <w:t xml:space="preserve">décrivant les </w:t>
      </w:r>
      <w:r w:rsidR="00832C1B" w:rsidRPr="00670B57">
        <w:t xml:space="preserve">activités </w:t>
      </w:r>
      <w:r w:rsidR="0095270D" w:rsidRPr="00670B57">
        <w:t xml:space="preserve">de mise en œuvre </w:t>
      </w:r>
      <w:r w:rsidR="00832C1B" w:rsidRPr="00670B57">
        <w:t xml:space="preserve">de ces </w:t>
      </w:r>
      <w:r w:rsidR="006E52AB" w:rsidRPr="00670B57">
        <w:t>quatre dernièr</w:t>
      </w:r>
      <w:r w:rsidR="00812A1A" w:rsidRPr="00670B57">
        <w:t>es années dans l</w:t>
      </w:r>
      <w:r w:rsidR="00730782">
        <w:t>'</w:t>
      </w:r>
      <w:r w:rsidR="00812A1A" w:rsidRPr="00670B57">
        <w:t xml:space="preserve">outil en ligne, </w:t>
      </w:r>
      <w:r w:rsidR="00707AB7" w:rsidRPr="00670B57">
        <w:t xml:space="preserve">ce qui serait </w:t>
      </w:r>
      <w:r w:rsidR="00AC5B29" w:rsidRPr="00670B57">
        <w:t xml:space="preserve">un moyen utile </w:t>
      </w:r>
      <w:r w:rsidR="008E3970" w:rsidRPr="00670B57">
        <w:t xml:space="preserve">pour les </w:t>
      </w:r>
      <w:r w:rsidR="00315311" w:rsidRPr="00670B57">
        <w:t>décideurs de se familiariser avec les travaux de l</w:t>
      </w:r>
      <w:r w:rsidR="00730782">
        <w:t>'</w:t>
      </w:r>
      <w:r w:rsidR="00315311" w:rsidRPr="00670B57">
        <w:t>Union.</w:t>
      </w:r>
      <w:r w:rsidR="00C656ED" w:rsidRPr="00670B57">
        <w:t xml:space="preserve"> Une autre Conseillère </w:t>
      </w:r>
      <w:r w:rsidR="00723983" w:rsidRPr="00670B57">
        <w:t>se félicite</w:t>
      </w:r>
      <w:r w:rsidR="009E1841" w:rsidRPr="00670B57">
        <w:t xml:space="preserve"> des programmes </w:t>
      </w:r>
      <w:r w:rsidR="00832C1B" w:rsidRPr="00670B57">
        <w:t xml:space="preserve">réalisés </w:t>
      </w:r>
      <w:r w:rsidR="009E1841" w:rsidRPr="00670B57">
        <w:t xml:space="preserve">dans son pays </w:t>
      </w:r>
      <w:r w:rsidR="00BF3EE5" w:rsidRPr="00670B57">
        <w:t>avec le soutien de l</w:t>
      </w:r>
      <w:r w:rsidR="00730782">
        <w:t>'</w:t>
      </w:r>
      <w:r w:rsidR="00BF3EE5" w:rsidRPr="00670B57">
        <w:t xml:space="preserve">UIT et </w:t>
      </w:r>
      <w:r w:rsidR="00832C1B" w:rsidRPr="00670B57">
        <w:t>exprime l</w:t>
      </w:r>
      <w:r w:rsidR="00730782">
        <w:t>'</w:t>
      </w:r>
      <w:r w:rsidR="00832C1B" w:rsidRPr="00670B57">
        <w:t xml:space="preserve">espoir </w:t>
      </w:r>
      <w:r w:rsidR="006D4B22" w:rsidRPr="00670B57">
        <w:t xml:space="preserve">que </w:t>
      </w:r>
      <w:r w:rsidR="009731B9" w:rsidRPr="00670B57">
        <w:t xml:space="preserve">ces efforts se poursuivront </w:t>
      </w:r>
      <w:r w:rsidR="00705004" w:rsidRPr="00670B57">
        <w:t>et que les pays en développement</w:t>
      </w:r>
      <w:r w:rsidR="00A0798F" w:rsidRPr="00670B57">
        <w:t>,</w:t>
      </w:r>
      <w:r w:rsidR="00705004" w:rsidRPr="00670B57">
        <w:t xml:space="preserve"> </w:t>
      </w:r>
      <w:r w:rsidR="001D64A0" w:rsidRPr="00670B57">
        <w:t xml:space="preserve">en </w:t>
      </w:r>
      <w:r w:rsidR="00A0798F" w:rsidRPr="00670B57">
        <w:t xml:space="preserve">particulier, en </w:t>
      </w:r>
      <w:r w:rsidR="001D64A0" w:rsidRPr="00670B57">
        <w:t xml:space="preserve">tireront parti. </w:t>
      </w:r>
      <w:r w:rsidR="00B10342" w:rsidRPr="00670B57">
        <w:t>Plusi</w:t>
      </w:r>
      <w:r w:rsidR="009E6639" w:rsidRPr="00670B57">
        <w:t>eurs Conseillers soulignent qu</w:t>
      </w:r>
      <w:r w:rsidR="00730782">
        <w:t>'</w:t>
      </w:r>
      <w:r w:rsidR="009E6639" w:rsidRPr="00670B57">
        <w:t>il import</w:t>
      </w:r>
      <w:r w:rsidR="00832C1B" w:rsidRPr="00670B57">
        <w:t>e</w:t>
      </w:r>
      <w:r w:rsidR="009E6639" w:rsidRPr="00670B57">
        <w:t xml:space="preserve"> de collaborer pour </w:t>
      </w:r>
      <w:r w:rsidR="002277D0" w:rsidRPr="00670B57">
        <w:t xml:space="preserve">garantir </w:t>
      </w:r>
      <w:r w:rsidR="00832C1B" w:rsidRPr="00670B57">
        <w:t>l</w:t>
      </w:r>
      <w:r w:rsidR="00730782">
        <w:t>'</w:t>
      </w:r>
      <w:r w:rsidR="00832C1B" w:rsidRPr="00670B57">
        <w:t xml:space="preserve">application </w:t>
      </w:r>
      <w:r w:rsidR="002277D0" w:rsidRPr="00670B57">
        <w:t>efficace du Plan stratégique de l</w:t>
      </w:r>
      <w:r w:rsidR="00730782">
        <w:t>'</w:t>
      </w:r>
      <w:r w:rsidR="002277D0" w:rsidRPr="00670B57">
        <w:t xml:space="preserve">Union et </w:t>
      </w:r>
      <w:r w:rsidR="007E33AF" w:rsidRPr="00670B57">
        <w:t xml:space="preserve">de tirer </w:t>
      </w:r>
      <w:r w:rsidR="00AC15D5" w:rsidRPr="00670B57">
        <w:t xml:space="preserve">les </w:t>
      </w:r>
      <w:r w:rsidR="007E33AF" w:rsidRPr="00670B57">
        <w:t xml:space="preserve">enseignements </w:t>
      </w:r>
      <w:r w:rsidR="00D81AC2" w:rsidRPr="00670B57">
        <w:t xml:space="preserve">des </w:t>
      </w:r>
      <w:r w:rsidR="00AC15D5" w:rsidRPr="00670B57">
        <w:t>difficultés passées.</w:t>
      </w:r>
    </w:p>
    <w:p w14:paraId="6D4043A2" w14:textId="56DD5D9D" w:rsidR="00083834" w:rsidRPr="00670B57" w:rsidRDefault="00BE2D92" w:rsidP="00730782">
      <w:r w:rsidRPr="00670B57">
        <w:t>1.3</w:t>
      </w:r>
      <w:r w:rsidRPr="00670B57">
        <w:tab/>
      </w:r>
      <w:r w:rsidR="00083834" w:rsidRPr="00670B57">
        <w:t xml:space="preserve">Un Conseiller </w:t>
      </w:r>
      <w:r w:rsidR="00AC15D5" w:rsidRPr="00670B57">
        <w:t xml:space="preserve">estime que </w:t>
      </w:r>
      <w:r w:rsidR="00E1684F" w:rsidRPr="00670B57">
        <w:t>le rapport</w:t>
      </w:r>
      <w:r w:rsidR="00AC15D5" w:rsidRPr="00670B57">
        <w:t xml:space="preserve"> devrait rendre compte </w:t>
      </w:r>
      <w:r w:rsidR="00E1684F" w:rsidRPr="00670B57">
        <w:t xml:space="preserve">davantage </w:t>
      </w:r>
      <w:r w:rsidR="00AC15D5" w:rsidRPr="00670B57">
        <w:t xml:space="preserve">de la façon </w:t>
      </w:r>
      <w:r w:rsidR="00033D28" w:rsidRPr="00670B57">
        <w:t xml:space="preserve">dont les </w:t>
      </w:r>
      <w:r w:rsidR="00F04A4F" w:rsidRPr="00670B57">
        <w:t>diff</w:t>
      </w:r>
      <w:r w:rsidR="00053A77" w:rsidRPr="00670B57">
        <w:t xml:space="preserve">érentes composantes du cadre </w:t>
      </w:r>
      <w:r w:rsidR="00AC15D5" w:rsidRPr="00670B57">
        <w:t xml:space="preserve">de </w:t>
      </w:r>
      <w:r w:rsidR="003D3EB6" w:rsidRPr="00670B57">
        <w:t>résultats</w:t>
      </w:r>
      <w:r w:rsidR="00AC15D5" w:rsidRPr="00670B57">
        <w:t xml:space="preserve"> de l</w:t>
      </w:r>
      <w:r w:rsidR="00730782">
        <w:t>'</w:t>
      </w:r>
      <w:r w:rsidR="00AC15D5" w:rsidRPr="00670B57">
        <w:t>UIT</w:t>
      </w:r>
      <w:r w:rsidR="003D3EB6" w:rsidRPr="00670B57">
        <w:t xml:space="preserve">, notamment le cadre de responsabilité, les travaux de la Directrice du BDT sur les contrôles internes et </w:t>
      </w:r>
      <w:r w:rsidR="00AC15D5" w:rsidRPr="00670B57">
        <w:t>l</w:t>
      </w:r>
      <w:r w:rsidR="00730782">
        <w:t>'</w:t>
      </w:r>
      <w:r w:rsidR="00AC15D5" w:rsidRPr="00670B57">
        <w:t xml:space="preserve">exécution </w:t>
      </w:r>
      <w:r w:rsidR="003D3EB6" w:rsidRPr="00670B57">
        <w:t xml:space="preserve">du Plan stratégique pour les ressources humaines, </w:t>
      </w:r>
      <w:r w:rsidR="00A26730" w:rsidRPr="00670B57">
        <w:t xml:space="preserve">contribuent à </w:t>
      </w:r>
      <w:r w:rsidR="00AC15D5" w:rsidRPr="00670B57">
        <w:t>l</w:t>
      </w:r>
      <w:r w:rsidR="00730782">
        <w:t>'</w:t>
      </w:r>
      <w:r w:rsidR="00AC15D5" w:rsidRPr="00670B57">
        <w:t xml:space="preserve">exécution </w:t>
      </w:r>
      <w:r w:rsidR="00A26730" w:rsidRPr="00670B57">
        <w:t>du Plan stratégique dans son ensemble.</w:t>
      </w:r>
      <w:r w:rsidR="00162C7E" w:rsidRPr="00670B57">
        <w:t xml:space="preserve"> </w:t>
      </w:r>
      <w:r w:rsidR="003A3162" w:rsidRPr="00670B57">
        <w:t xml:space="preserve">Un autre Conseiller </w:t>
      </w:r>
      <w:r w:rsidR="00AE719A" w:rsidRPr="00670B57">
        <w:t>demande</w:t>
      </w:r>
      <w:r w:rsidR="00CD12D0" w:rsidRPr="00670B57">
        <w:t xml:space="preserve"> comment </w:t>
      </w:r>
      <w:r w:rsidR="00AC15D5" w:rsidRPr="00670B57">
        <w:t xml:space="preserve">les problèmes découlant des </w:t>
      </w:r>
      <w:r w:rsidR="00C84D1F" w:rsidRPr="00670B57">
        <w:t xml:space="preserve">contraintes budgétaires et </w:t>
      </w:r>
      <w:r w:rsidR="00AC15D5" w:rsidRPr="00670B57">
        <w:t xml:space="preserve">du </w:t>
      </w:r>
      <w:r w:rsidR="00C84D1F" w:rsidRPr="00670B57">
        <w:t xml:space="preserve">déficit de 31 millions de CHF </w:t>
      </w:r>
      <w:r w:rsidR="00AC15D5" w:rsidRPr="00670B57">
        <w:t xml:space="preserve">pourraient être mis en évidence de façon </w:t>
      </w:r>
      <w:r w:rsidR="00C84D1F" w:rsidRPr="00670B57">
        <w:t xml:space="preserve">que des mesures correctives, ou </w:t>
      </w:r>
      <w:r w:rsidR="00AC15D5" w:rsidRPr="00670B57">
        <w:t xml:space="preserve">à tout le </w:t>
      </w:r>
      <w:r w:rsidR="00C84D1F" w:rsidRPr="00670B57">
        <w:t>moins préventives, puissent être prises.</w:t>
      </w:r>
    </w:p>
    <w:p w14:paraId="1912E9E6" w14:textId="4F212CA3" w:rsidR="00556105" w:rsidRPr="00670B57" w:rsidRDefault="00BE2D92" w:rsidP="00730782">
      <w:pPr>
        <w:rPr>
          <w:bCs/>
        </w:rPr>
      </w:pPr>
      <w:bookmarkStart w:id="10" w:name="_Hlk99042362"/>
      <w:r w:rsidRPr="00670B57">
        <w:t>1.4</w:t>
      </w:r>
      <w:r w:rsidRPr="00670B57">
        <w:tab/>
      </w:r>
      <w:r w:rsidR="002C6A86" w:rsidRPr="002C6A86">
        <w:rPr>
          <w:bCs/>
        </w:rPr>
        <w:t>Le Président du GTC-SMSI/ODD rappelle qu'à la suite de débats approfondis au sein de ce groupe, il a été convenu d'éviter d'utiliser l'expression spécifique "société numérique" dans le Plan stratégique et suggère de continuer d'utiliser l'expression "société de l'information jusqu'à ce que l'Assemblée générale des Nations Unies prenne une décision sur ce terme".</w:t>
      </w:r>
    </w:p>
    <w:bookmarkEnd w:id="10"/>
    <w:p w14:paraId="1606EAFE" w14:textId="12713E2C" w:rsidR="006E76BD" w:rsidRPr="00670B57" w:rsidRDefault="00BE2D92" w:rsidP="00730782">
      <w:r w:rsidRPr="00670B57">
        <w:t>1.5</w:t>
      </w:r>
      <w:r w:rsidRPr="00670B57">
        <w:tab/>
      </w:r>
      <w:r w:rsidR="00D6630D" w:rsidRPr="00670B57">
        <w:t>Le Vice-Secrétaire général</w:t>
      </w:r>
      <w:r w:rsidR="00AC15D5" w:rsidRPr="00670B57">
        <w:t xml:space="preserve">, prenant note avec gratitude des suggestions </w:t>
      </w:r>
      <w:r w:rsidR="006E0DEB" w:rsidRPr="00670B57">
        <w:t>formulées</w:t>
      </w:r>
      <w:r w:rsidR="00AC15D5" w:rsidRPr="00670B57">
        <w:t xml:space="preserve">, </w:t>
      </w:r>
      <w:r w:rsidR="0097304D" w:rsidRPr="00670B57">
        <w:t xml:space="preserve">indique </w:t>
      </w:r>
      <w:r w:rsidR="00AC15D5" w:rsidRPr="00670B57">
        <w:t xml:space="preserve">que des améliorations supplémentaires seront apportées au </w:t>
      </w:r>
      <w:r w:rsidR="0097304D" w:rsidRPr="00670B57">
        <w:t>rapport</w:t>
      </w:r>
      <w:r w:rsidR="004E51A3" w:rsidRPr="00670B57">
        <w:t>, sous la supervision d</w:t>
      </w:r>
      <w:r w:rsidR="000003C4" w:rsidRPr="00670B57">
        <w:t xml:space="preserve">u Président et conformément à la pratique </w:t>
      </w:r>
      <w:r w:rsidR="00194EC8" w:rsidRPr="00670B57">
        <w:t>établie</w:t>
      </w:r>
      <w:r w:rsidR="000003C4" w:rsidRPr="00670B57">
        <w:t>, afin d</w:t>
      </w:r>
      <w:r w:rsidR="00730782">
        <w:t>'</w:t>
      </w:r>
      <w:r w:rsidR="000003C4" w:rsidRPr="00670B57">
        <w:t>inclure les résultats de l</w:t>
      </w:r>
      <w:r w:rsidR="00730782">
        <w:t>'</w:t>
      </w:r>
      <w:r w:rsidR="000003C4" w:rsidRPr="00670B57">
        <w:t xml:space="preserve">AMNT-20 et </w:t>
      </w:r>
      <w:r w:rsidR="00F21078" w:rsidRPr="00670B57">
        <w:t xml:space="preserve">de </w:t>
      </w:r>
      <w:r w:rsidR="00073D9E">
        <w:t>la </w:t>
      </w:r>
      <w:r w:rsidR="000003C4" w:rsidRPr="00670B57">
        <w:t xml:space="preserve">CMDT </w:t>
      </w:r>
      <w:r w:rsidR="00045C90" w:rsidRPr="00670B57">
        <w:t xml:space="preserve">et de </w:t>
      </w:r>
      <w:r w:rsidR="007D588B" w:rsidRPr="00670B57">
        <w:t>rendre compte des délibérations du Conseil.</w:t>
      </w:r>
    </w:p>
    <w:p w14:paraId="091B4E3F" w14:textId="59B1483B" w:rsidR="00E87C8C" w:rsidRPr="00670B57" w:rsidRDefault="00BE2D92" w:rsidP="00730782">
      <w:r w:rsidRPr="00670B57">
        <w:t>1.6</w:t>
      </w:r>
      <w:r w:rsidRPr="00670B57">
        <w:tab/>
      </w:r>
      <w:r w:rsidR="00E87C8C" w:rsidRPr="00670B57">
        <w:t xml:space="preserve">Cela étant entendu, le Document C22/35 est </w:t>
      </w:r>
      <w:r w:rsidR="00E87C8C" w:rsidRPr="00670B57">
        <w:rPr>
          <w:b/>
        </w:rPr>
        <w:t>approuvé</w:t>
      </w:r>
      <w:r w:rsidR="00E87C8C" w:rsidRPr="00670B57">
        <w:t>.</w:t>
      </w:r>
    </w:p>
    <w:p w14:paraId="0202048F" w14:textId="266B281C" w:rsidR="00BE2D92" w:rsidRPr="00670B57" w:rsidRDefault="00BE2D92" w:rsidP="00730782">
      <w:pPr>
        <w:pStyle w:val="Heading1"/>
      </w:pPr>
      <w:r w:rsidRPr="00670B57">
        <w:lastRenderedPageBreak/>
        <w:t>2</w:t>
      </w:r>
      <w:r w:rsidRPr="00670B57">
        <w:tab/>
        <w:t xml:space="preserve">Projet de </w:t>
      </w:r>
      <w:r w:rsidR="00841275" w:rsidRPr="00670B57">
        <w:t>P</w:t>
      </w:r>
      <w:r w:rsidRPr="00670B57">
        <w:t>lan opérationnel de l</w:t>
      </w:r>
      <w:r w:rsidR="00730782">
        <w:t>'</w:t>
      </w:r>
      <w:r w:rsidR="00256A01" w:rsidRPr="00670B57">
        <w:t>U</w:t>
      </w:r>
      <w:r w:rsidRPr="00670B57">
        <w:t xml:space="preserve">nion </w:t>
      </w:r>
      <w:r w:rsidR="00256A01" w:rsidRPr="00670B57">
        <w:t>pour</w:t>
      </w:r>
      <w:r w:rsidRPr="00670B57">
        <w:t xml:space="preserve"> 2023 (Document C22/28)</w:t>
      </w:r>
    </w:p>
    <w:p w14:paraId="58ABEFC3" w14:textId="3281C543" w:rsidR="004C70D5" w:rsidRPr="00670B57" w:rsidRDefault="00BE2D92" w:rsidP="00730782">
      <w:pPr>
        <w:tabs>
          <w:tab w:val="clear" w:pos="567"/>
          <w:tab w:val="clear" w:pos="1134"/>
          <w:tab w:val="clear" w:pos="1701"/>
          <w:tab w:val="clear" w:pos="2268"/>
          <w:tab w:val="clear" w:pos="2835"/>
        </w:tabs>
        <w:snapToGrid w:val="0"/>
      </w:pPr>
      <w:r w:rsidRPr="00670B57">
        <w:rPr>
          <w:rFonts w:asciiTheme="minorHAnsi" w:hAnsiTheme="minorHAnsi"/>
          <w:szCs w:val="24"/>
        </w:rPr>
        <w:t>2.1</w:t>
      </w:r>
      <w:r w:rsidRPr="00670B57">
        <w:rPr>
          <w:rFonts w:asciiTheme="minorHAnsi" w:hAnsiTheme="minorHAnsi"/>
          <w:szCs w:val="24"/>
        </w:rPr>
        <w:tab/>
      </w:r>
      <w:r w:rsidR="00257D3E" w:rsidRPr="00670B57">
        <w:t xml:space="preserve">Le Chef du Département de la gestion des ressources financières (FRMD) </w:t>
      </w:r>
      <w:r w:rsidR="00456E16" w:rsidRPr="00670B57">
        <w:t xml:space="preserve">présente le Document </w:t>
      </w:r>
      <w:hyperlink r:id="rId15" w:history="1">
        <w:r w:rsidR="00180086" w:rsidRPr="00670B57">
          <w:rPr>
            <w:rStyle w:val="Hyperlink"/>
            <w:rFonts w:asciiTheme="minorHAnsi" w:hAnsiTheme="minorHAnsi"/>
            <w:szCs w:val="24"/>
          </w:rPr>
          <w:t>C22/28</w:t>
        </w:r>
      </w:hyperlink>
      <w:r w:rsidR="00456E16" w:rsidRPr="00670B57">
        <w:t>,</w:t>
      </w:r>
      <w:r w:rsidR="00180086" w:rsidRPr="00670B57">
        <w:t xml:space="preserve"> qui contient le projet de Plan opérationnel de l</w:t>
      </w:r>
      <w:r w:rsidR="00730782">
        <w:t>'</w:t>
      </w:r>
      <w:r w:rsidR="00180086" w:rsidRPr="00670B57">
        <w:t xml:space="preserve">Union pour </w:t>
      </w:r>
      <w:r w:rsidR="001872EE" w:rsidRPr="00670B57">
        <w:t xml:space="preserve">2023 et, dans son Annexe A, </w:t>
      </w:r>
      <w:r w:rsidR="00C70FC7" w:rsidRPr="00670B57">
        <w:t>un projet de Résolution sur l</w:t>
      </w:r>
      <w:r w:rsidR="00730782">
        <w:t>'</w:t>
      </w:r>
      <w:r w:rsidR="00C70FC7" w:rsidRPr="00670B57">
        <w:t xml:space="preserve">approbation </w:t>
      </w:r>
      <w:r w:rsidR="004A34BB" w:rsidRPr="00670B57">
        <w:t xml:space="preserve">de ce </w:t>
      </w:r>
      <w:r w:rsidR="007852DC" w:rsidRPr="00670B57">
        <w:t>Plan</w:t>
      </w:r>
      <w:r w:rsidR="004A34BB" w:rsidRPr="00670B57">
        <w:t>.</w:t>
      </w:r>
      <w:r w:rsidR="0066352F" w:rsidRPr="00670B57">
        <w:t xml:space="preserve"> </w:t>
      </w:r>
      <w:r w:rsidR="00AC48F7" w:rsidRPr="00670B57">
        <w:t xml:space="preserve">Le plan de synthèse est </w:t>
      </w:r>
      <w:r w:rsidR="00194EC8" w:rsidRPr="00670B57">
        <w:t xml:space="preserve">fondé </w:t>
      </w:r>
      <w:r w:rsidR="00AC48F7" w:rsidRPr="00670B57">
        <w:t>sur la structure du Plan stratégique de l</w:t>
      </w:r>
      <w:r w:rsidR="00730782">
        <w:t>'</w:t>
      </w:r>
      <w:r w:rsidR="00AC48F7" w:rsidRPr="00670B57">
        <w:t>Union pour la période 2020-2023,</w:t>
      </w:r>
      <w:r w:rsidR="00A21C44" w:rsidRPr="00670B57">
        <w:t xml:space="preserve"> qui a été</w:t>
      </w:r>
      <w:r w:rsidR="00073D9E">
        <w:t xml:space="preserve"> adopté par la </w:t>
      </w:r>
      <w:r w:rsidR="006123D8" w:rsidRPr="00670B57">
        <w:t>PP</w:t>
      </w:r>
      <w:r w:rsidR="009C2844" w:rsidRPr="00670B57">
        <w:noBreakHyphen/>
      </w:r>
      <w:r w:rsidR="006123D8" w:rsidRPr="00670B57">
        <w:t>18. Une fois les nouveaux plans stratégique et financier adoptés par la PP-22, un plan opérationnel quadriennal glissant complet pour 2024-2027 sera élaboré.</w:t>
      </w:r>
    </w:p>
    <w:p w14:paraId="239DBB3F" w14:textId="5EA4AD74" w:rsidR="00E21C80" w:rsidRPr="00670B57" w:rsidRDefault="00BE2D92" w:rsidP="00730782">
      <w:r w:rsidRPr="00670B57">
        <w:t>2.2</w:t>
      </w:r>
      <w:r w:rsidRPr="00670B57">
        <w:tab/>
      </w:r>
      <w:r w:rsidR="004A6C62" w:rsidRPr="00670B57">
        <w:t>Un Conseiller s</w:t>
      </w:r>
      <w:r w:rsidR="00730782">
        <w:t>'</w:t>
      </w:r>
      <w:r w:rsidR="004A6C62" w:rsidRPr="00670B57">
        <w:t>enquiert des mesures d</w:t>
      </w:r>
      <w:r w:rsidR="00730782">
        <w:t>'</w:t>
      </w:r>
      <w:r w:rsidR="004A6C62" w:rsidRPr="00670B57">
        <w:t xml:space="preserve">atténuation </w:t>
      </w:r>
      <w:r w:rsidR="000B52D3" w:rsidRPr="00670B57">
        <w:t>dans chaque domaine du Plan</w:t>
      </w:r>
      <w:r w:rsidR="00194EC8" w:rsidRPr="00670B57">
        <w:t xml:space="preserve"> pour faire face aux risques</w:t>
      </w:r>
      <w:r w:rsidR="000B52D3" w:rsidRPr="00670B57">
        <w:t xml:space="preserve">. </w:t>
      </w:r>
      <w:r w:rsidR="00B141BD" w:rsidRPr="00670B57">
        <w:t xml:space="preserve">Un autre Conseiller </w:t>
      </w:r>
      <w:r w:rsidR="00194EC8" w:rsidRPr="00670B57">
        <w:t>suggère d</w:t>
      </w:r>
      <w:r w:rsidR="00730782">
        <w:t>'</w:t>
      </w:r>
      <w:r w:rsidR="00194EC8" w:rsidRPr="00670B57">
        <w:t xml:space="preserve">incorporer dans le document </w:t>
      </w:r>
      <w:r w:rsidR="004A46E1" w:rsidRPr="00670B57">
        <w:t xml:space="preserve">des renseignements sur les évolutions </w:t>
      </w:r>
      <w:r w:rsidR="00194EC8" w:rsidRPr="00670B57">
        <w:t xml:space="preserve">prospectives </w:t>
      </w:r>
      <w:r w:rsidR="004A46E1" w:rsidRPr="00670B57">
        <w:t>et les résultats attendus.</w:t>
      </w:r>
      <w:r w:rsidR="0025037C" w:rsidRPr="00670B57">
        <w:t xml:space="preserve"> Un troisième Conseiller </w:t>
      </w:r>
      <w:r w:rsidR="00194EC8" w:rsidRPr="00670B57">
        <w:t xml:space="preserve">estime </w:t>
      </w:r>
      <w:r w:rsidR="0091397A" w:rsidRPr="00670B57">
        <w:t xml:space="preserve">que les indicateurs du Plan </w:t>
      </w:r>
      <w:r w:rsidR="007A5752" w:rsidRPr="00670B57">
        <w:t xml:space="preserve">pourraient être plus objectifs et plus ciblés et devraient </w:t>
      </w:r>
      <w:r w:rsidR="00956817" w:rsidRPr="00670B57">
        <w:t xml:space="preserve">respecter les critères </w:t>
      </w:r>
      <w:r w:rsidR="009C2844" w:rsidRPr="00670B57">
        <w:t>"</w:t>
      </w:r>
      <w:r w:rsidR="00B43349" w:rsidRPr="00670B57">
        <w:t>SMART</w:t>
      </w:r>
      <w:r w:rsidR="009C2844" w:rsidRPr="00670B57">
        <w:t>"</w:t>
      </w:r>
      <w:r w:rsidR="00B43349" w:rsidRPr="00670B57">
        <w:t xml:space="preserve">. </w:t>
      </w:r>
      <w:r w:rsidR="007E3871" w:rsidRPr="00670B57">
        <w:t xml:space="preserve">En outre, </w:t>
      </w:r>
      <w:r w:rsidR="00D155E7" w:rsidRPr="00670B57">
        <w:t xml:space="preserve">il serait utile </w:t>
      </w:r>
      <w:r w:rsidR="00155A99" w:rsidRPr="00670B57">
        <w:t xml:space="preserve">de faire figurer </w:t>
      </w:r>
      <w:r w:rsidR="00D155E7" w:rsidRPr="00670B57">
        <w:t xml:space="preserve">des renseignements sur </w:t>
      </w:r>
      <w:r w:rsidR="0038410F" w:rsidRPr="00670B57">
        <w:t>les ré</w:t>
      </w:r>
      <w:r w:rsidR="00217FE7" w:rsidRPr="00670B57">
        <w:t>sultats a</w:t>
      </w:r>
      <w:r w:rsidR="00E767FA" w:rsidRPr="00670B57">
        <w:t xml:space="preserve">ntérieurs dans le plan, afin </w:t>
      </w:r>
      <w:r w:rsidR="00155A99" w:rsidRPr="00670B57">
        <w:t xml:space="preserve">de pouvoir effectuer </w:t>
      </w:r>
      <w:r w:rsidR="00E767FA" w:rsidRPr="00670B57">
        <w:t xml:space="preserve">des comparaisons. </w:t>
      </w:r>
      <w:r w:rsidR="004329A5" w:rsidRPr="00670B57">
        <w:t>D</w:t>
      </w:r>
      <w:r w:rsidR="00730782">
        <w:t>'</w:t>
      </w:r>
      <w:r w:rsidR="004329A5" w:rsidRPr="00670B57">
        <w:t xml:space="preserve">autres Conseillers </w:t>
      </w:r>
      <w:r w:rsidR="00880D63" w:rsidRPr="00670B57">
        <w:t xml:space="preserve">demandent des éclaircissements concernant la souplesse </w:t>
      </w:r>
      <w:r w:rsidR="00155A99" w:rsidRPr="00670B57">
        <w:t>à accorder</w:t>
      </w:r>
      <w:r w:rsidR="00880D63" w:rsidRPr="00670B57">
        <w:t xml:space="preserve"> au Secrétaire général et aux Directeurs des Bureaux</w:t>
      </w:r>
      <w:r w:rsidR="00155A99" w:rsidRPr="00670B57">
        <w:t xml:space="preserve"> en application du </w:t>
      </w:r>
      <w:r w:rsidR="00880D63" w:rsidRPr="00670B57">
        <w:t xml:space="preserve">point 2 du </w:t>
      </w:r>
      <w:r w:rsidR="00880D63" w:rsidRPr="00670B57">
        <w:rPr>
          <w:i/>
        </w:rPr>
        <w:t>décide</w:t>
      </w:r>
      <w:r w:rsidR="00880D63" w:rsidRPr="00670B57">
        <w:t xml:space="preserve"> du projet de Résolution.</w:t>
      </w:r>
    </w:p>
    <w:p w14:paraId="1F04AC33" w14:textId="4FD4DD20" w:rsidR="001F3DD6" w:rsidRPr="00670B57" w:rsidRDefault="00BE2D92" w:rsidP="00730782">
      <w:r w:rsidRPr="00670B57">
        <w:t>2.3</w:t>
      </w:r>
      <w:r w:rsidRPr="00670B57">
        <w:tab/>
      </w:r>
      <w:r w:rsidR="001F3DD6" w:rsidRPr="00670B57">
        <w:t xml:space="preserve">Le Chef du Département FRMD </w:t>
      </w:r>
      <w:r w:rsidR="0075081B" w:rsidRPr="00670B57">
        <w:t>indique</w:t>
      </w:r>
      <w:r w:rsidR="009C2844" w:rsidRPr="00670B57">
        <w:t xml:space="preserve"> que</w:t>
      </w:r>
      <w:r w:rsidR="0075081B" w:rsidRPr="00670B57">
        <w:t xml:space="preserve"> le </w:t>
      </w:r>
      <w:r w:rsidR="009C2844" w:rsidRPr="00670B57">
        <w:t>S</w:t>
      </w:r>
      <w:r w:rsidR="0075081B" w:rsidRPr="00670B57">
        <w:t xml:space="preserve">ecrétariat </w:t>
      </w:r>
      <w:r w:rsidR="00620A51" w:rsidRPr="00670B57">
        <w:t xml:space="preserve">tient à jour un registre des risques </w:t>
      </w:r>
      <w:r w:rsidR="00E61068" w:rsidRPr="00670B57">
        <w:t>et s</w:t>
      </w:r>
      <w:r w:rsidR="00730782">
        <w:t>'</w:t>
      </w:r>
      <w:r w:rsidR="00E61068" w:rsidRPr="00670B57">
        <w:t xml:space="preserve">efforcera </w:t>
      </w:r>
      <w:r w:rsidR="004C3470" w:rsidRPr="00670B57">
        <w:t>d</w:t>
      </w:r>
      <w:r w:rsidR="00730782">
        <w:t>'</w:t>
      </w:r>
      <w:r w:rsidR="004C3470" w:rsidRPr="00670B57">
        <w:t xml:space="preserve">atténuer </w:t>
      </w:r>
      <w:r w:rsidR="002B3911" w:rsidRPr="00670B57">
        <w:t xml:space="preserve">les risques éventuels avant le début de la mise en œuvre. </w:t>
      </w:r>
      <w:r w:rsidR="001E066A" w:rsidRPr="00670B57">
        <w:t xml:space="preserve">Concernant les évolutions </w:t>
      </w:r>
      <w:r w:rsidR="00155A99" w:rsidRPr="00670B57">
        <w:t xml:space="preserve">prospectives </w:t>
      </w:r>
      <w:r w:rsidR="001059FE" w:rsidRPr="00670B57">
        <w:t xml:space="preserve">et les résultats attendus, </w:t>
      </w:r>
      <w:r w:rsidR="00155A99" w:rsidRPr="00670B57">
        <w:t>un complément d</w:t>
      </w:r>
      <w:r w:rsidR="00730782">
        <w:t>'</w:t>
      </w:r>
      <w:r w:rsidR="00155A99" w:rsidRPr="00670B57">
        <w:t xml:space="preserve">information sera donné </w:t>
      </w:r>
      <w:r w:rsidR="003943FA" w:rsidRPr="00670B57">
        <w:t xml:space="preserve">dans le </w:t>
      </w:r>
      <w:r w:rsidR="00B131A1" w:rsidRPr="00670B57">
        <w:t xml:space="preserve">plan quadriennal pour 2024-2027, </w:t>
      </w:r>
      <w:r w:rsidR="00340395" w:rsidRPr="00670B57">
        <w:t>qui sera soumis en temps utile.</w:t>
      </w:r>
      <w:r w:rsidR="00D00D70" w:rsidRPr="00670B57">
        <w:t xml:space="preserve"> </w:t>
      </w:r>
      <w:r w:rsidR="00155A99" w:rsidRPr="00670B57">
        <w:t>On n</w:t>
      </w:r>
      <w:r w:rsidR="00730782">
        <w:t>'</w:t>
      </w:r>
      <w:r w:rsidR="00155A99" w:rsidRPr="00670B57">
        <w:t xml:space="preserve">a pas inclus de données comparatives sur les résultats antérieurs dans le </w:t>
      </w:r>
      <w:r w:rsidR="00D00D70" w:rsidRPr="00670B57">
        <w:t xml:space="preserve">document </w:t>
      </w:r>
      <w:r w:rsidR="00155A99" w:rsidRPr="00670B57">
        <w:t xml:space="preserve">dans la mesure où </w:t>
      </w:r>
      <w:r w:rsidR="00D00D70" w:rsidRPr="00670B57">
        <w:t xml:space="preserve">la session du Conseil </w:t>
      </w:r>
      <w:r w:rsidR="00155A99" w:rsidRPr="00670B57">
        <w:t xml:space="preserve">a lieu très </w:t>
      </w:r>
      <w:r w:rsidR="00C06D8B" w:rsidRPr="00670B57">
        <w:t xml:space="preserve">peu de temps après la fin </w:t>
      </w:r>
      <w:r w:rsidR="009C2844" w:rsidRPr="00670B57">
        <w:t xml:space="preserve">de la </w:t>
      </w:r>
      <w:r w:rsidR="00C06D8B" w:rsidRPr="00670B57">
        <w:t>de</w:t>
      </w:r>
      <w:r w:rsidR="00155A99" w:rsidRPr="00670B57">
        <w:t>rnière</w:t>
      </w:r>
      <w:r w:rsidR="00C06D8B" w:rsidRPr="00670B57">
        <w:t xml:space="preserve"> </w:t>
      </w:r>
      <w:r w:rsidR="00DD6179" w:rsidRPr="00670B57">
        <w:t>pér</w:t>
      </w:r>
      <w:r w:rsidR="00AA341C" w:rsidRPr="00670B57">
        <w:t xml:space="preserve">iode considérée </w:t>
      </w:r>
      <w:r w:rsidR="00155A99" w:rsidRPr="00670B57">
        <w:t>en date</w:t>
      </w:r>
      <w:r w:rsidR="00AA341C" w:rsidRPr="00670B57">
        <w:t xml:space="preserve">, mais ces </w:t>
      </w:r>
      <w:r w:rsidR="00155A99" w:rsidRPr="00670B57">
        <w:t xml:space="preserve">éléments y figureront </w:t>
      </w:r>
      <w:r w:rsidR="00A56476" w:rsidRPr="00670B57">
        <w:t>à l</w:t>
      </w:r>
      <w:r w:rsidR="00730782">
        <w:t>'</w:t>
      </w:r>
      <w:r w:rsidR="00A56476" w:rsidRPr="00670B57">
        <w:t>avenir</w:t>
      </w:r>
      <w:r w:rsidR="006C1BBC" w:rsidRPr="00670B57">
        <w:t xml:space="preserve">. </w:t>
      </w:r>
      <w:r w:rsidR="00302D29" w:rsidRPr="00670B57">
        <w:t xml:space="preserve">La souplesse </w:t>
      </w:r>
      <w:r w:rsidR="00155A99" w:rsidRPr="00670B57">
        <w:t xml:space="preserve">mentionnée au </w:t>
      </w:r>
      <w:r w:rsidR="00302D29" w:rsidRPr="00670B57">
        <w:t xml:space="preserve">point 2 du </w:t>
      </w:r>
      <w:r w:rsidR="00302D29" w:rsidRPr="00670B57">
        <w:rPr>
          <w:i/>
        </w:rPr>
        <w:t>décide</w:t>
      </w:r>
      <w:r w:rsidR="00302D29" w:rsidRPr="00670B57">
        <w:t xml:space="preserve"> du projet de Résolution </w:t>
      </w:r>
      <w:r w:rsidR="00DA1BED" w:rsidRPr="00670B57">
        <w:t xml:space="preserve">est conforme à la pratique </w:t>
      </w:r>
      <w:r w:rsidR="00155A99" w:rsidRPr="00670B57">
        <w:t xml:space="preserve">établie </w:t>
      </w:r>
      <w:r w:rsidR="00707E96" w:rsidRPr="00670B57">
        <w:t>de l</w:t>
      </w:r>
      <w:r w:rsidR="00730782">
        <w:t>'</w:t>
      </w:r>
      <w:r w:rsidR="00707E96" w:rsidRPr="00670B57">
        <w:t xml:space="preserve">Union et permet au Secrétaire général et aux Directeurs des Bureaux de </w:t>
      </w:r>
      <w:r w:rsidR="00283C64" w:rsidRPr="00670B57">
        <w:t>fa</w:t>
      </w:r>
      <w:r w:rsidR="00C54F1F" w:rsidRPr="00670B57">
        <w:t xml:space="preserve">ire face aux dépenses imprévues, et parfois </w:t>
      </w:r>
      <w:r w:rsidR="001E4CFD" w:rsidRPr="00670B57">
        <w:t>impératives</w:t>
      </w:r>
      <w:r w:rsidR="00C54F1F" w:rsidRPr="00670B57">
        <w:t xml:space="preserve">, </w:t>
      </w:r>
      <w:r w:rsidR="000A7EEA" w:rsidRPr="00670B57">
        <w:t xml:space="preserve">qui surviennent entre les Conférences de plénipotentiaires. </w:t>
      </w:r>
      <w:r w:rsidR="00155A99" w:rsidRPr="00670B57">
        <w:t xml:space="preserve">Cette </w:t>
      </w:r>
      <w:r w:rsidR="00253B91" w:rsidRPr="00670B57">
        <w:t xml:space="preserve">pratique </w:t>
      </w:r>
      <w:r w:rsidR="00155A99" w:rsidRPr="00670B57">
        <w:t xml:space="preserve">repose </w:t>
      </w:r>
      <w:r w:rsidR="00253B91" w:rsidRPr="00670B57">
        <w:t>sur le Règlement financier, la Constitution, la Convention et les Décisions du Conseil relatives à l</w:t>
      </w:r>
      <w:r w:rsidR="00730782">
        <w:t>'</w:t>
      </w:r>
      <w:r w:rsidR="00253B91" w:rsidRPr="00670B57">
        <w:t>approbation du budget.</w:t>
      </w:r>
    </w:p>
    <w:p w14:paraId="02498FC5" w14:textId="4AF652DF" w:rsidR="0035712E" w:rsidRPr="00670B57" w:rsidRDefault="00BE2D92" w:rsidP="00730782">
      <w:r w:rsidRPr="00670B57">
        <w:t>2.4</w:t>
      </w:r>
      <w:r w:rsidRPr="00670B57">
        <w:tab/>
      </w:r>
      <w:r w:rsidR="0035712E" w:rsidRPr="00670B57">
        <w:t xml:space="preserve">Le Conseil </w:t>
      </w:r>
      <w:r w:rsidR="0035712E" w:rsidRPr="00670B57">
        <w:rPr>
          <w:b/>
        </w:rPr>
        <w:t>approuve</w:t>
      </w:r>
      <w:r w:rsidR="0035712E" w:rsidRPr="00670B57">
        <w:t xml:space="preserve"> le projet de Plan opérationnel de l</w:t>
      </w:r>
      <w:r w:rsidR="00730782">
        <w:t>'</w:t>
      </w:r>
      <w:r w:rsidR="0035712E" w:rsidRPr="00670B57">
        <w:t xml:space="preserve">Union pour 2023 </w:t>
      </w:r>
      <w:r w:rsidR="00607BC8" w:rsidRPr="00670B57">
        <w:t xml:space="preserve">et </w:t>
      </w:r>
      <w:r w:rsidR="00607BC8" w:rsidRPr="00670B57">
        <w:rPr>
          <w:b/>
        </w:rPr>
        <w:t>adopte</w:t>
      </w:r>
      <w:r w:rsidR="00607BC8" w:rsidRPr="00670B57">
        <w:t xml:space="preserve"> la Résolution f</w:t>
      </w:r>
      <w:r w:rsidR="001B5CF9" w:rsidRPr="00670B57">
        <w:t>igurant dans le Document C22/28.</w:t>
      </w:r>
    </w:p>
    <w:p w14:paraId="19AB65FF" w14:textId="5939C3FA" w:rsidR="00BE2D92" w:rsidRPr="00670B57" w:rsidRDefault="00BE2D92" w:rsidP="00730782">
      <w:pPr>
        <w:pStyle w:val="Heading1"/>
      </w:pPr>
      <w:r w:rsidRPr="00670B57">
        <w:t>3</w:t>
      </w:r>
      <w:r w:rsidRPr="00670B57">
        <w:tab/>
      </w:r>
      <w:r w:rsidR="00256A01" w:rsidRPr="00670B57">
        <w:t xml:space="preserve">Rapport sur le sixième </w:t>
      </w:r>
      <w:r w:rsidR="004713C6" w:rsidRPr="00670B57">
        <w:t>F</w:t>
      </w:r>
      <w:r w:rsidR="00256A01" w:rsidRPr="00670B57">
        <w:t>orum mondial des politiques de télécommunication/TIC (FMPT-21)</w:t>
      </w:r>
      <w:r w:rsidRPr="00670B57">
        <w:t xml:space="preserve"> (Document C22/5)</w:t>
      </w:r>
    </w:p>
    <w:p w14:paraId="2F0EBD1E" w14:textId="7C58ACE0" w:rsidR="002468EA" w:rsidRPr="00670B57" w:rsidRDefault="00BE2D92" w:rsidP="00730782">
      <w:r w:rsidRPr="00670B57">
        <w:t>3.1</w:t>
      </w:r>
      <w:r w:rsidRPr="00670B57">
        <w:tab/>
      </w:r>
      <w:r w:rsidR="002468EA" w:rsidRPr="00670B57">
        <w:t xml:space="preserve">Le représentant du Secrétariat général présente le Document </w:t>
      </w:r>
      <w:hyperlink r:id="rId16" w:history="1">
        <w:r w:rsidR="00AA4D96" w:rsidRPr="00670B57">
          <w:rPr>
            <w:rStyle w:val="Hyperlink"/>
            <w:rFonts w:asciiTheme="minorHAnsi" w:hAnsiTheme="minorHAnsi"/>
            <w:szCs w:val="24"/>
          </w:rPr>
          <w:t>C22/5</w:t>
        </w:r>
      </w:hyperlink>
      <w:r w:rsidR="002468EA" w:rsidRPr="00670B57">
        <w:t>,</w:t>
      </w:r>
      <w:r w:rsidR="00AA4D96" w:rsidRPr="00670B57">
        <w:t xml:space="preserve"> qui </w:t>
      </w:r>
      <w:r w:rsidR="00A23F25" w:rsidRPr="00670B57">
        <w:t xml:space="preserve">récapitule le processus </w:t>
      </w:r>
      <w:r w:rsidR="00CC2247" w:rsidRPr="00670B57">
        <w:t xml:space="preserve">préparatoire, le déroulement et les résultats du sixième Forum mondial des politiques de télécommunication/TIC </w:t>
      </w:r>
      <w:r w:rsidR="00214DF3" w:rsidRPr="00670B57">
        <w:t xml:space="preserve">(FMPT-21), </w:t>
      </w:r>
      <w:r w:rsidR="00155A99" w:rsidRPr="00670B57">
        <w:t xml:space="preserve">organisé selon des modalités virtuelles </w:t>
      </w:r>
      <w:r w:rsidR="00073D9E">
        <w:t>du 16 au </w:t>
      </w:r>
      <w:r w:rsidR="007A7098" w:rsidRPr="00670B57">
        <w:t>18</w:t>
      </w:r>
      <w:r w:rsidR="009C2844" w:rsidRPr="00670B57">
        <w:t> </w:t>
      </w:r>
      <w:r w:rsidR="007A7098" w:rsidRPr="00670B57">
        <w:t>décembre 2021, à l</w:t>
      </w:r>
      <w:r w:rsidR="00730782">
        <w:t>'</w:t>
      </w:r>
      <w:r w:rsidR="007A7098" w:rsidRPr="00670B57">
        <w:t>issue d</w:t>
      </w:r>
      <w:r w:rsidR="00730782">
        <w:t>'</w:t>
      </w:r>
      <w:r w:rsidR="007A7098" w:rsidRPr="00670B57">
        <w:t xml:space="preserve">un processus préparatoire de </w:t>
      </w:r>
      <w:proofErr w:type="gramStart"/>
      <w:r w:rsidR="007A7098" w:rsidRPr="00670B57">
        <w:t>deux ans supervisé</w:t>
      </w:r>
      <w:proofErr w:type="gramEnd"/>
      <w:r w:rsidR="007A7098" w:rsidRPr="00670B57">
        <w:t xml:space="preserve"> par un Groupe d</w:t>
      </w:r>
      <w:r w:rsidR="00730782">
        <w:t>'</w:t>
      </w:r>
      <w:r w:rsidR="007A7098" w:rsidRPr="00670B57">
        <w:t xml:space="preserve">experts informel </w:t>
      </w:r>
      <w:r w:rsidR="00D10342" w:rsidRPr="00670B57">
        <w:t xml:space="preserve">(GEI-FMPT-21) présidé par M. Fabio </w:t>
      </w:r>
      <w:proofErr w:type="spellStart"/>
      <w:r w:rsidR="00D10342" w:rsidRPr="00670B57">
        <w:t>Bigi</w:t>
      </w:r>
      <w:proofErr w:type="spellEnd"/>
      <w:r w:rsidR="00D10342" w:rsidRPr="00670B57">
        <w:t xml:space="preserve">. </w:t>
      </w:r>
      <w:r w:rsidR="00745DB4" w:rsidRPr="00670B57">
        <w:t xml:space="preserve">Le FMPT-21 a adopté </w:t>
      </w:r>
      <w:r w:rsidR="00B21E51" w:rsidRPr="00670B57">
        <w:t xml:space="preserve">cinq avis non contraignants, que le Secrétariat général </w:t>
      </w:r>
      <w:r w:rsidR="00155A99" w:rsidRPr="00670B57">
        <w:t>s</w:t>
      </w:r>
      <w:r w:rsidR="00730782">
        <w:t>'</w:t>
      </w:r>
      <w:r w:rsidR="00155A99" w:rsidRPr="00670B57">
        <w:t xml:space="preserve">efforcera de </w:t>
      </w:r>
      <w:r w:rsidR="00245E1C" w:rsidRPr="00670B57">
        <w:t xml:space="preserve">diffuser plus largement, y compris lors du Forum du SMSI à venir, </w:t>
      </w:r>
      <w:r w:rsidR="00ED6AF4" w:rsidRPr="00670B57">
        <w:t xml:space="preserve">et qui </w:t>
      </w:r>
      <w:r w:rsidR="00155A99" w:rsidRPr="00670B57">
        <w:t xml:space="preserve">éclaireront </w:t>
      </w:r>
      <w:r w:rsidR="00ED6AF4" w:rsidRPr="00670B57">
        <w:t>les travaux de l</w:t>
      </w:r>
      <w:r w:rsidR="00730782">
        <w:t>'</w:t>
      </w:r>
      <w:r w:rsidR="00ED6AF4" w:rsidRPr="00670B57">
        <w:t>Union.</w:t>
      </w:r>
      <w:r w:rsidR="00EB7B8D" w:rsidRPr="00670B57">
        <w:t xml:space="preserve"> Certains avis se</w:t>
      </w:r>
      <w:r w:rsidR="00FE3266" w:rsidRPr="00670B57">
        <w:t xml:space="preserve"> sont d</w:t>
      </w:r>
      <w:r w:rsidR="00C366FA" w:rsidRPr="00670B57">
        <w:t>éjà révélés utile</w:t>
      </w:r>
      <w:r w:rsidR="00DA1346" w:rsidRPr="00670B57">
        <w:t>s</w:t>
      </w:r>
      <w:r w:rsidR="00155A99" w:rsidRPr="00670B57">
        <w:t xml:space="preserve"> pour </w:t>
      </w:r>
      <w:r w:rsidR="00DA1346" w:rsidRPr="00670B57">
        <w:t>parvenir à un consensus sur le texte des Résolutions à l</w:t>
      </w:r>
      <w:r w:rsidR="00730782">
        <w:t>'</w:t>
      </w:r>
      <w:r w:rsidR="00DA1346" w:rsidRPr="00670B57">
        <w:t>AMNT-20.</w:t>
      </w:r>
    </w:p>
    <w:p w14:paraId="108DED4A" w14:textId="77777777" w:rsidR="00730782" w:rsidRDefault="00730782" w:rsidP="00730782">
      <w:r>
        <w:br w:type="page"/>
      </w:r>
    </w:p>
    <w:p w14:paraId="3EF83617" w14:textId="6DE1F557" w:rsidR="0068434D" w:rsidRPr="00670B57" w:rsidRDefault="00BE2D92" w:rsidP="00730782">
      <w:r w:rsidRPr="00670B57">
        <w:lastRenderedPageBreak/>
        <w:t>3.2</w:t>
      </w:r>
      <w:r w:rsidRPr="00670B57">
        <w:tab/>
      </w:r>
      <w:r w:rsidR="00F703F7" w:rsidRPr="00670B57">
        <w:t xml:space="preserve">Mme Ama </w:t>
      </w:r>
      <w:proofErr w:type="spellStart"/>
      <w:r w:rsidR="00F703F7" w:rsidRPr="00670B57">
        <w:t>Pomaa</w:t>
      </w:r>
      <w:proofErr w:type="spellEnd"/>
      <w:r w:rsidR="00F703F7" w:rsidRPr="00670B57">
        <w:t xml:space="preserve"> Boateng (</w:t>
      </w:r>
      <w:r w:rsidR="00C13A6F" w:rsidRPr="00670B57">
        <w:t>Vice-Ministre des communications et de la numérisation</w:t>
      </w:r>
      <w:r w:rsidR="00FE0F8A" w:rsidRPr="00670B57">
        <w:t xml:space="preserve"> du</w:t>
      </w:r>
      <w:r w:rsidR="00C13A6F" w:rsidRPr="00670B57">
        <w:t xml:space="preserve"> Ghana)</w:t>
      </w:r>
      <w:r w:rsidR="00900524" w:rsidRPr="00670B57">
        <w:t>,</w:t>
      </w:r>
      <w:r w:rsidR="00C13A6F" w:rsidRPr="00670B57">
        <w:t xml:space="preserve"> </w:t>
      </w:r>
      <w:r w:rsidR="00900524" w:rsidRPr="00670B57">
        <w:t xml:space="preserve">prononçant une déclaration </w:t>
      </w:r>
      <w:r w:rsidR="00FE0F8A" w:rsidRPr="00670B57">
        <w:t>au nom de Mme Ursula Owusu-</w:t>
      </w:r>
      <w:proofErr w:type="spellStart"/>
      <w:r w:rsidR="00FE0F8A" w:rsidRPr="00670B57">
        <w:t>Ekuful</w:t>
      </w:r>
      <w:proofErr w:type="spellEnd"/>
      <w:r w:rsidR="00FE0F8A" w:rsidRPr="00670B57">
        <w:t xml:space="preserve"> (</w:t>
      </w:r>
      <w:proofErr w:type="gramStart"/>
      <w:r w:rsidR="00FE0F8A" w:rsidRPr="00670B57">
        <w:t>Ministre des communications</w:t>
      </w:r>
      <w:proofErr w:type="gramEnd"/>
      <w:r w:rsidR="00FE0F8A" w:rsidRPr="00670B57">
        <w:t xml:space="preserve"> </w:t>
      </w:r>
      <w:r w:rsidR="00CC1D82" w:rsidRPr="00670B57">
        <w:t>et de la numérisation du G</w:t>
      </w:r>
      <w:r w:rsidR="00A75326" w:rsidRPr="00670B57">
        <w:t>hana), qui a présidé le FMPT-21</w:t>
      </w:r>
      <w:r w:rsidR="00900524" w:rsidRPr="00670B57">
        <w:t xml:space="preserve">, dit </w:t>
      </w:r>
      <w:r w:rsidR="00A75326" w:rsidRPr="00670B57">
        <w:t xml:space="preserve">que </w:t>
      </w:r>
      <w:r w:rsidR="00C5541B" w:rsidRPr="00670B57">
        <w:t xml:space="preserve">les résultats du Forum </w:t>
      </w:r>
      <w:r w:rsidR="00900524" w:rsidRPr="00670B57">
        <w:t xml:space="preserve">seront utiles à </w:t>
      </w:r>
      <w:r w:rsidR="006A0BF1" w:rsidRPr="00670B57">
        <w:t xml:space="preserve">la tâche </w:t>
      </w:r>
      <w:r w:rsidR="00900524" w:rsidRPr="00670B57">
        <w:t xml:space="preserve">immense </w:t>
      </w:r>
      <w:r w:rsidR="00A670E3" w:rsidRPr="00670B57">
        <w:t xml:space="preserve">consistant à </w:t>
      </w:r>
      <w:r w:rsidR="00900524" w:rsidRPr="00670B57">
        <w:t xml:space="preserve">aligner </w:t>
      </w:r>
      <w:r w:rsidR="00A670E3" w:rsidRPr="00670B57">
        <w:t xml:space="preserve">les TIC </w:t>
      </w:r>
      <w:r w:rsidR="00900524" w:rsidRPr="00670B57">
        <w:t xml:space="preserve">sur </w:t>
      </w:r>
      <w:r w:rsidR="00A670E3" w:rsidRPr="00670B57">
        <w:t xml:space="preserve">les priorités mondiales en </w:t>
      </w:r>
      <w:r w:rsidR="00900524" w:rsidRPr="00670B57">
        <w:t xml:space="preserve">matière </w:t>
      </w:r>
      <w:r w:rsidR="00A670E3" w:rsidRPr="00670B57">
        <w:t xml:space="preserve">de développement durable. </w:t>
      </w:r>
      <w:r w:rsidR="00BF79B4" w:rsidRPr="00670B57">
        <w:t xml:space="preserve">Ces résultats ont déjà alimenté les travaux </w:t>
      </w:r>
      <w:r w:rsidR="00992A28" w:rsidRPr="00670B57">
        <w:t>de l</w:t>
      </w:r>
      <w:r w:rsidR="00730782">
        <w:t>'</w:t>
      </w:r>
      <w:r w:rsidR="00992A28" w:rsidRPr="00670B57">
        <w:t>AMNT-</w:t>
      </w:r>
      <w:proofErr w:type="gramStart"/>
      <w:r w:rsidR="00992A28" w:rsidRPr="00670B57">
        <w:t>20</w:t>
      </w:r>
      <w:r w:rsidR="00900524" w:rsidRPr="00670B57">
        <w:t>;</w:t>
      </w:r>
      <w:proofErr w:type="gramEnd"/>
      <w:r w:rsidR="00900524" w:rsidRPr="00670B57">
        <w:t xml:space="preserve"> on doit s</w:t>
      </w:r>
      <w:r w:rsidR="00730782">
        <w:t>'</w:t>
      </w:r>
      <w:r w:rsidR="00900524" w:rsidRPr="00670B57">
        <w:t xml:space="preserve">employer maintenant à faire en sorte que les résultats du forum </w:t>
      </w:r>
      <w:r w:rsidR="00992A28" w:rsidRPr="00670B57">
        <w:t xml:space="preserve">soient pris en compte par la CMDT et la PP et que </w:t>
      </w:r>
      <w:r w:rsidR="00900524" w:rsidRPr="00670B57">
        <w:t xml:space="preserve">ses </w:t>
      </w:r>
      <w:r w:rsidR="00992A28" w:rsidRPr="00670B57">
        <w:t xml:space="preserve">recommandations soient </w:t>
      </w:r>
      <w:r w:rsidR="00AF0414" w:rsidRPr="00670B57">
        <w:t>appliquées</w:t>
      </w:r>
      <w:r w:rsidR="00992A28" w:rsidRPr="00670B57">
        <w:t>.</w:t>
      </w:r>
    </w:p>
    <w:p w14:paraId="39B6ADEC" w14:textId="46CA4739" w:rsidR="00970E2E" w:rsidRPr="00970E2E" w:rsidRDefault="00970E2E" w:rsidP="00730782">
      <w:r w:rsidRPr="00970E2E">
        <w:t>3.3</w:t>
      </w:r>
      <w:r w:rsidRPr="00970E2E">
        <w:tab/>
        <w:t>Le Président du GEI-FMPT-21, remerciant toutes les personnes qui ont contribué à la réussite du FMPT-21 et à son processus préparatoire, souscrit à l</w:t>
      </w:r>
      <w:r w:rsidR="00730782">
        <w:t>'</w:t>
      </w:r>
      <w:r w:rsidRPr="00970E2E">
        <w:t>avis qu</w:t>
      </w:r>
      <w:r w:rsidR="00730782">
        <w:t>'</w:t>
      </w:r>
      <w:r w:rsidRPr="00970E2E">
        <w:t>il est nécessaire de transmettre les résultats du Forum, en particulier les cinq avis adoptés, à la CMDT et à la PP-22.</w:t>
      </w:r>
    </w:p>
    <w:p w14:paraId="303B15E5" w14:textId="7D2634E4" w:rsidR="00970E2E" w:rsidRPr="00970E2E" w:rsidRDefault="00970E2E" w:rsidP="00730782">
      <w:r w:rsidRPr="00970E2E">
        <w:t>3.4</w:t>
      </w:r>
      <w:r w:rsidRPr="00970E2E">
        <w:tab/>
        <w:t xml:space="preserve">Des </w:t>
      </w:r>
      <w:r w:rsidR="00E12C0C" w:rsidRPr="00670B57">
        <w:t>C</w:t>
      </w:r>
      <w:r w:rsidRPr="00970E2E">
        <w:t xml:space="preserve">onseillers saluent la réussite du FMPT-21, obtenue en dépit des difficultés liées à la pandémie de COVID-19, et accueillent avec satisfaction les avis adoptés, en remerciant les </w:t>
      </w:r>
      <w:r w:rsidR="00E12C0C" w:rsidRPr="00670B57">
        <w:t>P</w:t>
      </w:r>
      <w:r w:rsidRPr="00970E2E">
        <w:t>résidents du FMPT-21 et du GEI-FMPT-21, ainsi que tous les autres participants. Ils invitent l</w:t>
      </w:r>
      <w:r w:rsidR="00730782">
        <w:t>'</w:t>
      </w:r>
      <w:r w:rsidRPr="00970E2E">
        <w:t>UIT à diffuser les résultats du Forum auprès des décideurs et des autres acteurs intéressés et à poursuivre le processus du FMPT, eu égard en particulier à sa contribution potentielle à la croissance économique et au développement durables et à la réalisation des ODD. Un Conseiller souligne en particulier l</w:t>
      </w:r>
      <w:r w:rsidR="00730782">
        <w:t>'</w:t>
      </w:r>
      <w:r w:rsidRPr="00970E2E">
        <w:t>intérêt de l</w:t>
      </w:r>
      <w:r w:rsidR="00730782">
        <w:t>'</w:t>
      </w:r>
      <w:r w:rsidRPr="00970E2E">
        <w:t>avis 5 relatif à l</w:t>
      </w:r>
      <w:r w:rsidR="00730782">
        <w:t>'</w:t>
      </w:r>
      <w:r w:rsidRPr="00970E2E">
        <w:t>utilisation des télécommunications/TIC dans le contexte de la pandémie de COVID-19 et de la préparation aux pandémies et épidémies futures et des interventions face à ces situations, sachant que le FMPT-21 a dû finalement avoir lieu en ligne; et l</w:t>
      </w:r>
      <w:r w:rsidR="00730782">
        <w:t>'</w:t>
      </w:r>
      <w:r w:rsidRPr="00970E2E">
        <w:t>importance de l</w:t>
      </w:r>
      <w:r w:rsidR="00730782">
        <w:t>'</w:t>
      </w:r>
      <w:r w:rsidRPr="00970E2E">
        <w:t>avis 4, relatif aux technologies et aux services nouveaux et émergents pour favoriser l</w:t>
      </w:r>
      <w:r w:rsidR="00730782">
        <w:t>'</w:t>
      </w:r>
      <w:r w:rsidRPr="00970E2E">
        <w:t xml:space="preserve">utilisation des télécommunications/TIC au service du développement durable. Un autre </w:t>
      </w:r>
      <w:r w:rsidR="00E12C0C" w:rsidRPr="00670B57">
        <w:t>C</w:t>
      </w:r>
      <w:r w:rsidRPr="00970E2E">
        <w:t>onseiller, soulignant l</w:t>
      </w:r>
      <w:r w:rsidR="00730782">
        <w:t>'</w:t>
      </w:r>
      <w:r w:rsidRPr="00970E2E">
        <w:t>importance des technologies émergentes pour tous les États Membres, en particulier les pays en développement, les pays les moins avancés, les pays en développement sans littoral et les petits États insulaires en développement, fait valoir que l</w:t>
      </w:r>
      <w:r w:rsidR="00730782">
        <w:t>'</w:t>
      </w:r>
      <w:r w:rsidRPr="00970E2E">
        <w:t>avis 3, relatif à la maîtrise des outils numériques et à l</w:t>
      </w:r>
      <w:r w:rsidR="00730782">
        <w:t>'</w:t>
      </w:r>
      <w:r w:rsidRPr="00970E2E">
        <w:t>acquisition de compétences numériques pour un accès inclusif, est particulièrement prioritaire, et sollicite l</w:t>
      </w:r>
      <w:r w:rsidR="00730782">
        <w:t>'</w:t>
      </w:r>
      <w:r w:rsidRPr="00970E2E">
        <w:t>appui des États Membres afin que cet objectif soit atteint.</w:t>
      </w:r>
    </w:p>
    <w:p w14:paraId="65C3BFE4" w14:textId="5C2D0D02" w:rsidR="00970E2E" w:rsidRPr="00970E2E" w:rsidRDefault="00970E2E" w:rsidP="00730782">
      <w:r w:rsidRPr="00970E2E">
        <w:t>3.5</w:t>
      </w:r>
      <w:r w:rsidRPr="00970E2E">
        <w:tab/>
        <w:t xml:space="preserve">Le Conseil </w:t>
      </w:r>
      <w:r w:rsidRPr="00970E2E">
        <w:rPr>
          <w:b/>
          <w:bCs/>
        </w:rPr>
        <w:t>prend note</w:t>
      </w:r>
      <w:r w:rsidRPr="00970E2E">
        <w:t xml:space="preserve"> du rapport figurant dans le Document C22/5</w:t>
      </w:r>
      <w:r w:rsidR="00855079">
        <w:t xml:space="preserve"> </w:t>
      </w:r>
      <w:r w:rsidRPr="00970E2E">
        <w:t xml:space="preserve">et </w:t>
      </w:r>
      <w:r w:rsidR="001A55C9">
        <w:t xml:space="preserve">convient de transmettre le rapport </w:t>
      </w:r>
      <w:r w:rsidR="00855079">
        <w:t xml:space="preserve">reprenant </w:t>
      </w:r>
      <w:r w:rsidR="001A55C9">
        <w:t xml:space="preserve">les résultats du FMPT-21 à la CMDT et à la </w:t>
      </w:r>
      <w:r w:rsidRPr="00970E2E">
        <w:t xml:space="preserve">Conférence de plénipotentiaires </w:t>
      </w:r>
      <w:r w:rsidR="001A55C9">
        <w:t xml:space="preserve">pour examen, </w:t>
      </w:r>
      <w:r w:rsidR="006C13CC">
        <w:t>le cas échéant</w:t>
      </w:r>
      <w:r w:rsidRPr="00970E2E">
        <w:t>.</w:t>
      </w:r>
    </w:p>
    <w:p w14:paraId="21A57588" w14:textId="3E7E2CFC" w:rsidR="00970E2E" w:rsidRPr="00670B57" w:rsidRDefault="00970E2E" w:rsidP="00730782">
      <w:pPr>
        <w:pStyle w:val="Heading1"/>
      </w:pPr>
      <w:r w:rsidRPr="00670B57">
        <w:t>4</w:t>
      </w:r>
      <w:r w:rsidRPr="00670B57">
        <w:tab/>
        <w:t>Journée mondiale des télécommunications et de la société de l</w:t>
      </w:r>
      <w:r w:rsidR="00730782">
        <w:t>'</w:t>
      </w:r>
      <w:r w:rsidRPr="00670B57">
        <w:t>information (Documents C22/17 et C22/78)</w:t>
      </w:r>
    </w:p>
    <w:p w14:paraId="639AA4DE" w14:textId="52D874DD" w:rsidR="00970E2E" w:rsidRPr="00970E2E" w:rsidRDefault="00970E2E" w:rsidP="00730782">
      <w:r w:rsidRPr="00970E2E">
        <w:t>4.1</w:t>
      </w:r>
      <w:r w:rsidRPr="00970E2E">
        <w:tab/>
        <w:t xml:space="preserve">Le représentant du Secrétaire général présente le Document </w:t>
      </w:r>
      <w:hyperlink r:id="rId17" w:history="1">
        <w:r w:rsidRPr="00970E2E">
          <w:rPr>
            <w:rStyle w:val="Hyperlink"/>
          </w:rPr>
          <w:t>C22/17</w:t>
        </w:r>
      </w:hyperlink>
      <w:r w:rsidRPr="00970E2E">
        <w:t>, qui contient un rapport du Secrétaire général sur la Journée mondiale des télécommunications et de la société de l</w:t>
      </w:r>
      <w:r w:rsidR="00730782">
        <w:t>'</w:t>
      </w:r>
      <w:r w:rsidRPr="00970E2E">
        <w:t>information, dans lequel figurent des informations sur l</w:t>
      </w:r>
      <w:r w:rsidR="00730782">
        <w:t>'</w:t>
      </w:r>
      <w:r w:rsidRPr="00970E2E">
        <w:t>édition de 2022, ainsi qu</w:t>
      </w:r>
      <w:r w:rsidR="00730782">
        <w:t>'</w:t>
      </w:r>
      <w:r w:rsidRPr="00970E2E">
        <w:t>une proposition de thème pour l</w:t>
      </w:r>
      <w:r w:rsidR="00730782">
        <w:t>'</w:t>
      </w:r>
      <w:r w:rsidRPr="00970E2E">
        <w:t>édition de 2023 de la Journée mondiale.</w:t>
      </w:r>
    </w:p>
    <w:p w14:paraId="3EB3B6E9" w14:textId="438C0E7D" w:rsidR="00970E2E" w:rsidRPr="00970E2E" w:rsidRDefault="00970E2E" w:rsidP="00730782">
      <w:r w:rsidRPr="00970E2E">
        <w:t>4.2</w:t>
      </w:r>
      <w:r w:rsidRPr="00970E2E">
        <w:tab/>
        <w:t>La Conseillère de l</w:t>
      </w:r>
      <w:r w:rsidR="00730782">
        <w:t>'</w:t>
      </w:r>
      <w:r w:rsidRPr="00970E2E">
        <w:t xml:space="preserve">Inde présente le Document </w:t>
      </w:r>
      <w:hyperlink r:id="rId18" w:history="1">
        <w:r w:rsidRPr="00970E2E">
          <w:rPr>
            <w:rStyle w:val="Hyperlink"/>
          </w:rPr>
          <w:t>C22/78</w:t>
        </w:r>
      </w:hyperlink>
      <w:r w:rsidRPr="00970E2E">
        <w:t>, qui propose de retenir le thème suivant pour la Journée mondiale des télécommunications et de la société de l</w:t>
      </w:r>
      <w:r w:rsidR="00730782">
        <w:t>'</w:t>
      </w:r>
      <w:r w:rsidRPr="00970E2E">
        <w:t>information de</w:t>
      </w:r>
      <w:r w:rsidR="00E12C0C" w:rsidRPr="00670B57">
        <w:t> </w:t>
      </w:r>
      <w:proofErr w:type="gramStart"/>
      <w:r w:rsidRPr="00970E2E">
        <w:t>2023:</w:t>
      </w:r>
      <w:proofErr w:type="gramEnd"/>
      <w:r w:rsidRPr="00970E2E">
        <w:t xml:space="preserve"> "Donner des moyens d</w:t>
      </w:r>
      <w:r w:rsidR="00730782">
        <w:t>'</w:t>
      </w:r>
      <w:r w:rsidRPr="00970E2E">
        <w:t>action aux pays les moins avancés grâce aux technologies de l</w:t>
      </w:r>
      <w:r w:rsidR="00730782">
        <w:t>'</w:t>
      </w:r>
      <w:r w:rsidRPr="00970E2E">
        <w:t xml:space="preserve">information et de la communication". Plusieurs </w:t>
      </w:r>
      <w:r w:rsidR="00670B57">
        <w:t>C</w:t>
      </w:r>
      <w:r w:rsidRPr="00970E2E">
        <w:t>onseillers appuient la proposition.</w:t>
      </w:r>
    </w:p>
    <w:p w14:paraId="0F7CCF74" w14:textId="46C551AA" w:rsidR="00970E2E" w:rsidRPr="00970E2E" w:rsidRDefault="00970E2E" w:rsidP="00730782">
      <w:r w:rsidRPr="00970E2E">
        <w:t>4.3</w:t>
      </w:r>
      <w:r w:rsidRPr="00970E2E">
        <w:tab/>
        <w:t xml:space="preserve">Deux </w:t>
      </w:r>
      <w:r w:rsidR="00E12C0C" w:rsidRPr="00670B57">
        <w:t>C</w:t>
      </w:r>
      <w:r w:rsidRPr="00970E2E">
        <w:t>onseillers suggèrent que le thème proposé par l</w:t>
      </w:r>
      <w:r w:rsidR="00730782">
        <w:t>'</w:t>
      </w:r>
      <w:r w:rsidRPr="00970E2E">
        <w:t xml:space="preserve">Inde fasse aussi expressément mention des pays en développement, des petits États insulaires en développement, des pays en développement sans littoral et des pays en transition. Un autre </w:t>
      </w:r>
      <w:r w:rsidR="00E12C0C" w:rsidRPr="00670B57">
        <w:t>C</w:t>
      </w:r>
      <w:r w:rsidRPr="00970E2E">
        <w:t xml:space="preserve">onseiller met en garde contre le </w:t>
      </w:r>
      <w:r w:rsidRPr="00970E2E">
        <w:lastRenderedPageBreak/>
        <w:t>risque de confusion entre les expressions "pays en développement" et "pays les moins avancés", ces derniers ayant été définis clairement comme un groupe distinct et spécifique. La Conseillère de l</w:t>
      </w:r>
      <w:r w:rsidR="00730782">
        <w:t>'</w:t>
      </w:r>
      <w:r w:rsidRPr="00970E2E">
        <w:t xml:space="preserve">Inde confirme que la proposition vise à sensibiliser spécifiquement aux besoins des pays les moins avancés. Le </w:t>
      </w:r>
      <w:r w:rsidR="00855079">
        <w:t>s</w:t>
      </w:r>
      <w:r w:rsidR="00855079" w:rsidRPr="00970E2E">
        <w:t xml:space="preserve">ecrétariat </w:t>
      </w:r>
      <w:r w:rsidRPr="00970E2E">
        <w:t>fait observer que les intitulés des thèmes de la Journée mondiale des télécommunications et de la société de l</w:t>
      </w:r>
      <w:r w:rsidR="00730782">
        <w:t>'</w:t>
      </w:r>
      <w:r w:rsidRPr="00970E2E">
        <w:t>information doivent être concis.</w:t>
      </w:r>
    </w:p>
    <w:p w14:paraId="422F6191" w14:textId="4B533466" w:rsidR="00970E2E" w:rsidRPr="00970E2E" w:rsidRDefault="00970E2E" w:rsidP="00730782">
      <w:pPr>
        <w:rPr>
          <w:bCs/>
        </w:rPr>
      </w:pPr>
      <w:r w:rsidRPr="00970E2E">
        <w:t>4.4</w:t>
      </w:r>
      <w:r w:rsidRPr="00970E2E">
        <w:tab/>
        <w:t xml:space="preserve">Le Conseil </w:t>
      </w:r>
      <w:r w:rsidRPr="00970E2E">
        <w:rPr>
          <w:b/>
          <w:bCs/>
        </w:rPr>
        <w:t>prend note</w:t>
      </w:r>
      <w:r w:rsidRPr="00970E2E">
        <w:t xml:space="preserve"> de la célébration de la Journée mondiale des télécommunications et de la société de l</w:t>
      </w:r>
      <w:r w:rsidR="00730782">
        <w:t>'</w:t>
      </w:r>
      <w:r w:rsidRPr="00970E2E">
        <w:t>information de 2022, sur le thème "Les technologies numériques au service des personnes âgées et d</w:t>
      </w:r>
      <w:r w:rsidR="00730782">
        <w:t>'</w:t>
      </w:r>
      <w:r w:rsidRPr="00970E2E">
        <w:t xml:space="preserve">un vieillissement en bonne santé", et </w:t>
      </w:r>
      <w:r w:rsidRPr="00970E2E">
        <w:rPr>
          <w:b/>
          <w:bCs/>
        </w:rPr>
        <w:t>approuve</w:t>
      </w:r>
      <w:r w:rsidRPr="00970E2E">
        <w:t xml:space="preserve"> le choix du thème "Donner des moyens d</w:t>
      </w:r>
      <w:r w:rsidR="00730782">
        <w:t>'</w:t>
      </w:r>
      <w:r w:rsidRPr="00970E2E">
        <w:t>action aux pays les moins avancés grâce aux technologies de l</w:t>
      </w:r>
      <w:r w:rsidR="00730782">
        <w:t>'</w:t>
      </w:r>
      <w:r w:rsidRPr="00970E2E">
        <w:t>information et de la communication" pour l</w:t>
      </w:r>
      <w:r w:rsidR="00730782">
        <w:t>'</w:t>
      </w:r>
      <w:r w:rsidRPr="00970E2E">
        <w:t>édition de 2023 de la Journée mondiale.</w:t>
      </w:r>
    </w:p>
    <w:p w14:paraId="2EBEDC02" w14:textId="7E341BFB" w:rsidR="00970E2E" w:rsidRPr="00670B57" w:rsidRDefault="00970E2E" w:rsidP="00730782">
      <w:pPr>
        <w:pStyle w:val="Heading1"/>
      </w:pPr>
      <w:r w:rsidRPr="00670B57">
        <w:rPr>
          <w:bCs/>
        </w:rPr>
        <w:t>5</w:t>
      </w:r>
      <w:r w:rsidRPr="00670B57">
        <w:rPr>
          <w:bCs/>
        </w:rPr>
        <w:tab/>
      </w:r>
      <w:r w:rsidRPr="00670B57">
        <w:t xml:space="preserve">Rapport sur le </w:t>
      </w:r>
      <w:r w:rsidR="00E12C0C" w:rsidRPr="00670B57">
        <w:t>C</w:t>
      </w:r>
      <w:r w:rsidRPr="00670B57">
        <w:t>olloque mondial sur la normalisation (GSS-20) et sur l</w:t>
      </w:r>
      <w:r w:rsidR="00730782">
        <w:t>'</w:t>
      </w:r>
      <w:r w:rsidRPr="00670B57">
        <w:t>Assemblée mondiale de normalisation des télécommunications (AMNT</w:t>
      </w:r>
      <w:r w:rsidRPr="00670B57">
        <w:noBreakHyphen/>
        <w:t>20)</w:t>
      </w:r>
      <w:r w:rsidRPr="00670B57">
        <w:rPr>
          <w:bCs/>
        </w:rPr>
        <w:t xml:space="preserve"> (Document C22/24)</w:t>
      </w:r>
    </w:p>
    <w:p w14:paraId="6B0AF484" w14:textId="74BE95F5" w:rsidR="00970E2E" w:rsidRPr="00970E2E" w:rsidRDefault="00970E2E" w:rsidP="00730782">
      <w:r w:rsidRPr="00970E2E">
        <w:t>5.1</w:t>
      </w:r>
      <w:r w:rsidRPr="00970E2E">
        <w:tab/>
        <w:t xml:space="preserve">Le Directeur du TSB présente le Document </w:t>
      </w:r>
      <w:hyperlink r:id="rId19" w:history="1">
        <w:r w:rsidRPr="00970E2E">
          <w:rPr>
            <w:rStyle w:val="Hyperlink"/>
          </w:rPr>
          <w:t>C22/24</w:t>
        </w:r>
      </w:hyperlink>
      <w:r w:rsidRPr="00970E2E">
        <w:t>, qui contient un rapport relatif au GSS-20 et à l</w:t>
      </w:r>
      <w:r w:rsidR="00730782">
        <w:t>'</w:t>
      </w:r>
      <w:r w:rsidRPr="00970E2E">
        <w:t>AMNT-20, les deux manifestations ayant eu lieu en 2022 selon des modalités en partie présentielles pour la première fois depuis le début de la pandémie de COVID-19. Il note que le rapport sera modifié pour faire état de l</w:t>
      </w:r>
      <w:r w:rsidR="00730782">
        <w:t>'</w:t>
      </w:r>
      <w:r w:rsidRPr="00970E2E">
        <w:t>approbation, par l</w:t>
      </w:r>
      <w:r w:rsidR="00730782">
        <w:t>'</w:t>
      </w:r>
      <w:r w:rsidRPr="00970E2E">
        <w:t>AMNT-20, du texte d</w:t>
      </w:r>
      <w:r w:rsidR="00730782">
        <w:t>'</w:t>
      </w:r>
      <w:r w:rsidRPr="00970E2E">
        <w:t>un projet de nouvelle résolution sur le rôle des TIC dans l</w:t>
      </w:r>
      <w:r w:rsidR="00730782">
        <w:t>'</w:t>
      </w:r>
      <w:r w:rsidRPr="00970E2E">
        <w:t>atténuation des effets des pandémies mondiales dans son rapport final, et pour inviter la Conférence de plénipotentiaires à examiner le texte et à prendre les mesures nécessaires à ce sujet.</w:t>
      </w:r>
    </w:p>
    <w:p w14:paraId="1E536A36" w14:textId="0573B763" w:rsidR="00970E2E" w:rsidRPr="00970E2E" w:rsidRDefault="00970E2E" w:rsidP="00730782">
      <w:r w:rsidRPr="00970E2E">
        <w:t>5.2</w:t>
      </w:r>
      <w:r w:rsidRPr="00970E2E">
        <w:tab/>
        <w:t>Le Conseiller de la Fédération de Russie, notant que le rapport figurant dans le Document</w:t>
      </w:r>
      <w:r w:rsidR="00E12C0C" w:rsidRPr="00670B57">
        <w:t> </w:t>
      </w:r>
      <w:r w:rsidRPr="00970E2E">
        <w:t>C22/24 omet de faire mention du traitement discriminatoire à l</w:t>
      </w:r>
      <w:r w:rsidR="00730782">
        <w:t>'</w:t>
      </w:r>
      <w:r w:rsidRPr="00970E2E">
        <w:t>égard des candidats russes et de la RCC dans l</w:t>
      </w:r>
      <w:r w:rsidR="00730782">
        <w:t>'</w:t>
      </w:r>
      <w:r w:rsidRPr="00970E2E">
        <w:t>accès aux postes de direction lors de l</w:t>
      </w:r>
      <w:r w:rsidR="00730782">
        <w:t>'</w:t>
      </w:r>
      <w:r w:rsidRPr="00970E2E">
        <w:t>AMNT et dans le cadre de groupes de l</w:t>
      </w:r>
      <w:r w:rsidR="00730782">
        <w:t>'</w:t>
      </w:r>
      <w:r w:rsidRPr="00970E2E">
        <w:t xml:space="preserve">UIT-T au motif de leur nationalité, prononce la déclaration suivante: </w:t>
      </w:r>
      <w:hyperlink r:id="rId20" w:history="1">
        <w:r w:rsidR="00CE5955" w:rsidRPr="004E3DAD">
          <w:rPr>
            <w:rStyle w:val="Hyperlink"/>
          </w:rPr>
          <w:t>https://www.itu.int/en/council/2022/Documents/speeches/Statement-Russian-Federation-on-document-C22-24-en.docx</w:t>
        </w:r>
      </w:hyperlink>
      <w:r w:rsidR="00CE5955">
        <w:t xml:space="preserve">. </w:t>
      </w:r>
    </w:p>
    <w:p w14:paraId="011E4FA5" w14:textId="7E16AF9C" w:rsidR="00970E2E" w:rsidRPr="00970E2E" w:rsidRDefault="00970E2E" w:rsidP="00730782">
      <w:r w:rsidRPr="00970E2E">
        <w:t>5.3</w:t>
      </w:r>
      <w:r w:rsidRPr="00970E2E">
        <w:tab/>
        <w:t xml:space="preserve">Un autre </w:t>
      </w:r>
      <w:r w:rsidR="00E12C0C" w:rsidRPr="00670B57">
        <w:t>C</w:t>
      </w:r>
      <w:r w:rsidRPr="00970E2E">
        <w:t>onseiller estime que le rapport rend compte avec exactitude des événements de l</w:t>
      </w:r>
      <w:r w:rsidR="00730782">
        <w:t>'</w:t>
      </w:r>
      <w:r w:rsidRPr="00970E2E">
        <w:t>AMNT-20, y compris le processus de désignation, qui s</w:t>
      </w:r>
      <w:r w:rsidR="00730782">
        <w:t>'</w:t>
      </w:r>
      <w:r w:rsidRPr="00970E2E">
        <w:t>est tenu d</w:t>
      </w:r>
      <w:r w:rsidR="00730782">
        <w:t>'</w:t>
      </w:r>
      <w:r w:rsidRPr="00970E2E">
        <w:t>une manière concertée, pleinement responsable et transparente.</w:t>
      </w:r>
    </w:p>
    <w:p w14:paraId="02E21EFF" w14:textId="0821424F" w:rsidR="00970E2E" w:rsidRPr="00970E2E" w:rsidRDefault="00970E2E" w:rsidP="00730782">
      <w:r w:rsidRPr="00970E2E">
        <w:t>5.4</w:t>
      </w:r>
      <w:r w:rsidRPr="00970E2E">
        <w:tab/>
        <w:t xml:space="preserve">Un </w:t>
      </w:r>
      <w:r w:rsidR="00E12C0C" w:rsidRPr="00670B57">
        <w:t>C</w:t>
      </w:r>
      <w:r w:rsidRPr="00970E2E">
        <w:t>onseiller souligne que les incidences financières des résolutions de l</w:t>
      </w:r>
      <w:r w:rsidR="00730782">
        <w:t>'</w:t>
      </w:r>
      <w:r w:rsidRPr="00970E2E">
        <w:t>AMNT-20 sont venues s</w:t>
      </w:r>
      <w:r w:rsidR="00730782">
        <w:t>'</w:t>
      </w:r>
      <w:r w:rsidRPr="00970E2E">
        <w:t xml:space="preserve">ajouter au déficit important qui préexistait dans le budget du TSB. Un autre </w:t>
      </w:r>
      <w:r w:rsidR="00E12C0C" w:rsidRPr="00670B57">
        <w:t>C</w:t>
      </w:r>
      <w:r w:rsidRPr="00970E2E">
        <w:t>onseiller propose de mettre en place des procédures à l</w:t>
      </w:r>
      <w:r w:rsidR="00730782">
        <w:t>'</w:t>
      </w:r>
      <w:r w:rsidRPr="00970E2E">
        <w:t>échelle de l</w:t>
      </w:r>
      <w:r w:rsidR="00730782">
        <w:t>'</w:t>
      </w:r>
      <w:r w:rsidRPr="00970E2E">
        <w:t>Union concernant les réunions en présentiel et à distance, et d</w:t>
      </w:r>
      <w:r w:rsidR="00730782">
        <w:t>'</w:t>
      </w:r>
      <w:r w:rsidRPr="00970E2E">
        <w:t>aborder au sein du Conseil la question importante de la mobilisation et de la participation du secteur privé dans tous les domaines de compétence de l</w:t>
      </w:r>
      <w:r w:rsidR="00730782">
        <w:t>'</w:t>
      </w:r>
      <w:r w:rsidRPr="00970E2E">
        <w:t>Union, qui a été soulevée à l</w:t>
      </w:r>
      <w:r w:rsidR="00730782">
        <w:t>'</w:t>
      </w:r>
      <w:r w:rsidRPr="00970E2E">
        <w:t>occasion de l</w:t>
      </w:r>
      <w:r w:rsidR="00730782">
        <w:t>'</w:t>
      </w:r>
      <w:r w:rsidRPr="00970E2E">
        <w:t xml:space="preserve">AMNT. Un </w:t>
      </w:r>
      <w:r w:rsidR="00E12C0C" w:rsidRPr="00670B57">
        <w:t>C</w:t>
      </w:r>
      <w:r w:rsidRPr="00970E2E">
        <w:t>onseiller fait observer que le rapport ne mentionne pas la proposition tendant à modifier les dates de la prochaine AMNT de façon à répartir les réunions sur neuf jours ouvrables, sans compter les week-ends. Un participant demande si le mémorandum d</w:t>
      </w:r>
      <w:r w:rsidR="00730782">
        <w:t>'</w:t>
      </w:r>
      <w:r w:rsidRPr="00970E2E">
        <w:t>accord signé entre l</w:t>
      </w:r>
      <w:r w:rsidR="00730782">
        <w:t>'</w:t>
      </w:r>
      <w:r w:rsidRPr="00970E2E">
        <w:t>Australie et l</w:t>
      </w:r>
      <w:r w:rsidR="00730782">
        <w:t>'</w:t>
      </w:r>
      <w:r w:rsidRPr="00970E2E">
        <w:t>UIT à l</w:t>
      </w:r>
      <w:r w:rsidR="00730782">
        <w:t>'</w:t>
      </w:r>
      <w:r w:rsidRPr="00970E2E">
        <w:t>occasion de la deuxième manifestation du Groupe d</w:t>
      </w:r>
      <w:r w:rsidR="00730782">
        <w:t>'</w:t>
      </w:r>
      <w:r w:rsidRPr="00970E2E">
        <w:t>experts sur la place des femmes dans le domaine de la normalisation (WISE) a des incidences sur le plan financier ou stratégique, auquel cas il devrait normalement en être fait état au Conseil. Des remerciements sont adressés au Secrétariat pour avoir continué de permettre la participation en ligne, tant au GSS-20 qu</w:t>
      </w:r>
      <w:r w:rsidR="00730782">
        <w:t>'</w:t>
      </w:r>
      <w:r w:rsidRPr="00970E2E">
        <w:t>à l</w:t>
      </w:r>
      <w:r w:rsidR="00730782">
        <w:t>'</w:t>
      </w:r>
      <w:r w:rsidRPr="00970E2E">
        <w:t>AMNT-20.</w:t>
      </w:r>
    </w:p>
    <w:p w14:paraId="37CBDD01" w14:textId="438D3853" w:rsidR="00970E2E" w:rsidRPr="00970E2E" w:rsidRDefault="00970E2E" w:rsidP="00730782">
      <w:r w:rsidRPr="00970E2E">
        <w:lastRenderedPageBreak/>
        <w:t>5.5</w:t>
      </w:r>
      <w:r w:rsidRPr="00970E2E">
        <w:tab/>
        <w:t xml:space="preserve">Le Conseil </w:t>
      </w:r>
      <w:r w:rsidRPr="00970E2E">
        <w:rPr>
          <w:b/>
          <w:bCs/>
        </w:rPr>
        <w:t>prend note</w:t>
      </w:r>
      <w:r w:rsidR="00073D9E">
        <w:t xml:space="preserve"> du D</w:t>
      </w:r>
      <w:r w:rsidRPr="00970E2E">
        <w:t xml:space="preserve">ocument C22/24 et </w:t>
      </w:r>
      <w:r w:rsidRPr="00970E2E">
        <w:rPr>
          <w:b/>
          <w:bCs/>
        </w:rPr>
        <w:t>décide</w:t>
      </w:r>
      <w:r w:rsidRPr="00970E2E">
        <w:t xml:space="preserve"> de transmettre celui-ci à la Commission permanente de l</w:t>
      </w:r>
      <w:r w:rsidR="00730782">
        <w:t>'</w:t>
      </w:r>
      <w:r w:rsidRPr="00970E2E">
        <w:t>administration et de la gestion pour examen de la section 2.2 relative aux incidences budgétaires.</w:t>
      </w:r>
    </w:p>
    <w:p w14:paraId="22EA2F77" w14:textId="65784B90" w:rsidR="00970E2E" w:rsidRPr="00670B57" w:rsidRDefault="00970E2E" w:rsidP="00730782">
      <w:pPr>
        <w:pStyle w:val="Heading1"/>
        <w:rPr>
          <w:bCs/>
        </w:rPr>
      </w:pPr>
      <w:r w:rsidRPr="00670B57">
        <w:rPr>
          <w:bCs/>
        </w:rPr>
        <w:t>6</w:t>
      </w:r>
      <w:r w:rsidRPr="00670B57">
        <w:rPr>
          <w:bCs/>
        </w:rPr>
        <w:tab/>
      </w:r>
      <w:r w:rsidRPr="00670B57">
        <w:t xml:space="preserve">Déclarations des </w:t>
      </w:r>
      <w:r w:rsidR="00670B57" w:rsidRPr="00670B57">
        <w:t>M</w:t>
      </w:r>
      <w:r w:rsidRPr="00670B57">
        <w:t xml:space="preserve">inistres et des </w:t>
      </w:r>
      <w:r w:rsidR="00670B57" w:rsidRPr="00670B57">
        <w:t>C</w:t>
      </w:r>
      <w:r w:rsidRPr="00670B57">
        <w:t>onseillers</w:t>
      </w:r>
    </w:p>
    <w:p w14:paraId="0D2BA706" w14:textId="712DF3C3" w:rsidR="00970E2E" w:rsidRPr="00970E2E" w:rsidRDefault="00970E2E" w:rsidP="00730782">
      <w:bookmarkStart w:id="11" w:name="_Hlk98833803"/>
      <w:r w:rsidRPr="00970E2E">
        <w:t>6.1</w:t>
      </w:r>
      <w:r w:rsidRPr="00970E2E">
        <w:tab/>
        <w:t xml:space="preserve">Dans leurs déclarations, Mme Paula </w:t>
      </w:r>
      <w:proofErr w:type="spellStart"/>
      <w:r w:rsidRPr="00970E2E">
        <w:t>Ingabire</w:t>
      </w:r>
      <w:proofErr w:type="spellEnd"/>
      <w:r w:rsidRPr="00970E2E">
        <w:t xml:space="preserve"> (Ministre des TIC et de l</w:t>
      </w:r>
      <w:r w:rsidR="00730782">
        <w:t>'</w:t>
      </w:r>
      <w:r w:rsidRPr="00970E2E">
        <w:t>innovation, République</w:t>
      </w:r>
      <w:r w:rsidR="00E12C0C" w:rsidRPr="00670B57">
        <w:t> </w:t>
      </w:r>
      <w:r w:rsidRPr="00970E2E">
        <w:t>du Rwanda), M. Salim M. Al-</w:t>
      </w:r>
      <w:proofErr w:type="spellStart"/>
      <w:r w:rsidRPr="00970E2E">
        <w:t>Ozainah</w:t>
      </w:r>
      <w:proofErr w:type="spellEnd"/>
      <w:r w:rsidRPr="00970E2E">
        <w:t xml:space="preserve"> (Président et Directeur général, Autorité de réglementation des technologies de la communication et de l</w:t>
      </w:r>
      <w:r w:rsidR="00730782">
        <w:t>'</w:t>
      </w:r>
      <w:r w:rsidRPr="00970E2E">
        <w:t>information, Koweït), M.</w:t>
      </w:r>
      <w:r w:rsidR="00E12C0C" w:rsidRPr="00670B57">
        <w:t> </w:t>
      </w:r>
      <w:r w:rsidRPr="00970E2E">
        <w:t xml:space="preserve">Mohammed </w:t>
      </w:r>
      <w:proofErr w:type="spellStart"/>
      <w:r w:rsidRPr="00970E2E">
        <w:t>Altamaimi</w:t>
      </w:r>
      <w:proofErr w:type="spellEnd"/>
      <w:r w:rsidRPr="00970E2E">
        <w:t xml:space="preserve"> (Gouverneur, Commission des technologies de la communication et de l</w:t>
      </w:r>
      <w:r w:rsidR="00730782">
        <w:t>'</w:t>
      </w:r>
      <w:r w:rsidRPr="00970E2E">
        <w:t xml:space="preserve">information, Arabie saoudite), M. </w:t>
      </w:r>
      <w:proofErr w:type="spellStart"/>
      <w:r w:rsidRPr="00970E2E">
        <w:t>Umaru</w:t>
      </w:r>
      <w:proofErr w:type="spellEnd"/>
      <w:r w:rsidRPr="00970E2E">
        <w:t xml:space="preserve"> </w:t>
      </w:r>
      <w:proofErr w:type="spellStart"/>
      <w:r w:rsidRPr="00970E2E">
        <w:t>Garba</w:t>
      </w:r>
      <w:proofErr w:type="spellEnd"/>
      <w:r w:rsidRPr="00970E2E">
        <w:t xml:space="preserve"> </w:t>
      </w:r>
      <w:proofErr w:type="spellStart"/>
      <w:r w:rsidRPr="00970E2E">
        <w:t>Danbatta</w:t>
      </w:r>
      <w:proofErr w:type="spellEnd"/>
      <w:r w:rsidRPr="00970E2E">
        <w:t xml:space="preserve"> (Vice-Président exécutif/P.-D. G., Commission des communications, Nigéria), s</w:t>
      </w:r>
      <w:r w:rsidR="00730782">
        <w:t>'</w:t>
      </w:r>
      <w:r w:rsidRPr="00970E2E">
        <w:t>exprimant au nom du Ministre des communications et de l</w:t>
      </w:r>
      <w:r w:rsidR="00730782">
        <w:t>'</w:t>
      </w:r>
      <w:r w:rsidRPr="00970E2E">
        <w:t xml:space="preserve">économie numérique, et M. </w:t>
      </w:r>
      <w:proofErr w:type="spellStart"/>
      <w:r w:rsidRPr="00970E2E">
        <w:t>Zhicheng</w:t>
      </w:r>
      <w:proofErr w:type="spellEnd"/>
      <w:r w:rsidRPr="00970E2E">
        <w:t xml:space="preserve"> Yu (Directeur général adjoint, Département de la coopération internationale, Ministère de l</w:t>
      </w:r>
      <w:r w:rsidR="00730782">
        <w:t>'</w:t>
      </w:r>
      <w:r w:rsidRPr="00970E2E">
        <w:t>industrie et des technologies de l</w:t>
      </w:r>
      <w:r w:rsidR="00730782">
        <w:t>'</w:t>
      </w:r>
      <w:r w:rsidRPr="00970E2E">
        <w:t>information, Chine), renouvèlent leur engagement envers l</w:t>
      </w:r>
      <w:r w:rsidR="00730782">
        <w:t>'</w:t>
      </w:r>
      <w:r w:rsidRPr="00970E2E">
        <w:t>UIT et ses travaux, et annoncent que leurs pays respectifs présenteront leur candidature en vue de leur réélection au Conseil lors de la Conférence de plénipotentiaires de 2022 (PP-22).</w:t>
      </w:r>
    </w:p>
    <w:p w14:paraId="5EB34CE5" w14:textId="0B46E10E" w:rsidR="00970E2E" w:rsidRPr="00970E2E" w:rsidRDefault="00970E2E" w:rsidP="00730782">
      <w:r w:rsidRPr="00970E2E">
        <w:t>6.2</w:t>
      </w:r>
      <w:r w:rsidRPr="00970E2E">
        <w:tab/>
        <w:t xml:space="preserve">M. </w:t>
      </w:r>
      <w:proofErr w:type="spellStart"/>
      <w:r w:rsidRPr="00970E2E">
        <w:t>Zhicheng</w:t>
      </w:r>
      <w:proofErr w:type="spellEnd"/>
      <w:r w:rsidRPr="00970E2E">
        <w:t xml:space="preserve"> Yu (Directeur général adjoint, Département de la coopération internationale, </w:t>
      </w:r>
      <w:proofErr w:type="gramStart"/>
      <w:r w:rsidRPr="00970E2E">
        <w:t>Ministère de l</w:t>
      </w:r>
      <w:r w:rsidR="00730782">
        <w:t>'</w:t>
      </w:r>
      <w:r w:rsidRPr="00970E2E">
        <w:t>industrie</w:t>
      </w:r>
      <w:proofErr w:type="gramEnd"/>
      <w:r w:rsidRPr="00970E2E">
        <w:t xml:space="preserve"> et des technologies de l</w:t>
      </w:r>
      <w:r w:rsidR="00730782">
        <w:t>'</w:t>
      </w:r>
      <w:r w:rsidRPr="00970E2E">
        <w:t xml:space="preserve">information, Chine) annonce également que son pays soumettra la candidature de M. </w:t>
      </w:r>
      <w:proofErr w:type="spellStart"/>
      <w:r w:rsidRPr="00970E2E">
        <w:t>Jianjun</w:t>
      </w:r>
      <w:proofErr w:type="spellEnd"/>
      <w:r w:rsidRPr="00970E2E">
        <w:t xml:space="preserve"> Cheng au poste de membre du Comité du Règlement des radiocommunications lors de la PP-22.</w:t>
      </w:r>
    </w:p>
    <w:p w14:paraId="1F99E47B" w14:textId="318AF418" w:rsidR="00970E2E" w:rsidRPr="00970E2E" w:rsidRDefault="00970E2E" w:rsidP="00730782">
      <w:r w:rsidRPr="00970E2E">
        <w:t>6.3</w:t>
      </w:r>
      <w:r w:rsidRPr="00970E2E">
        <w:tab/>
        <w:t xml:space="preserve">M. Mohammed </w:t>
      </w:r>
      <w:proofErr w:type="spellStart"/>
      <w:r w:rsidRPr="00970E2E">
        <w:t>Altamaimi</w:t>
      </w:r>
      <w:proofErr w:type="spellEnd"/>
      <w:r w:rsidRPr="00970E2E">
        <w:t xml:space="preserve"> (Gouverneur, Commission des technologies de la communication et de l</w:t>
      </w:r>
      <w:r w:rsidR="00730782">
        <w:t>'</w:t>
      </w:r>
      <w:r w:rsidRPr="00970E2E">
        <w:t>information, Arabie saoudite) annonce également que son pays présentera la candidature de M. </w:t>
      </w:r>
      <w:proofErr w:type="spellStart"/>
      <w:r w:rsidRPr="00970E2E">
        <w:t>Majed</w:t>
      </w:r>
      <w:proofErr w:type="spellEnd"/>
      <w:r w:rsidRPr="00970E2E">
        <w:t> </w:t>
      </w:r>
      <w:proofErr w:type="spellStart"/>
      <w:r w:rsidRPr="00970E2E">
        <w:t>Alkahtani</w:t>
      </w:r>
      <w:proofErr w:type="spellEnd"/>
      <w:r w:rsidRPr="00970E2E">
        <w:t xml:space="preserve"> au poste de membre du Comité du Règlement des radiocommunications lors de la PP-22.</w:t>
      </w:r>
    </w:p>
    <w:p w14:paraId="6DDEFCC0" w14:textId="77777777" w:rsidR="00970E2E" w:rsidRPr="00970E2E" w:rsidRDefault="00970E2E" w:rsidP="00730782">
      <w:pPr>
        <w:tabs>
          <w:tab w:val="clear" w:pos="567"/>
          <w:tab w:val="clear" w:pos="1134"/>
          <w:tab w:val="clear" w:pos="1701"/>
          <w:tab w:val="clear" w:pos="2268"/>
          <w:tab w:val="clear" w:pos="2835"/>
          <w:tab w:val="left" w:pos="6804"/>
        </w:tabs>
        <w:spacing w:before="840"/>
      </w:pPr>
      <w:r w:rsidRPr="00970E2E">
        <w:t xml:space="preserve">Le Secrétaire </w:t>
      </w:r>
      <w:proofErr w:type="gramStart"/>
      <w:r w:rsidRPr="00970E2E">
        <w:t>général:</w:t>
      </w:r>
      <w:proofErr w:type="gramEnd"/>
      <w:r w:rsidRPr="00970E2E">
        <w:tab/>
        <w:t>Le Président:</w:t>
      </w:r>
    </w:p>
    <w:p w14:paraId="1E934930" w14:textId="5CCC39C9" w:rsidR="00970E2E" w:rsidRDefault="00970E2E" w:rsidP="00730782">
      <w:pPr>
        <w:tabs>
          <w:tab w:val="clear" w:pos="567"/>
          <w:tab w:val="clear" w:pos="1134"/>
          <w:tab w:val="clear" w:pos="1701"/>
          <w:tab w:val="clear" w:pos="2268"/>
          <w:tab w:val="clear" w:pos="2835"/>
          <w:tab w:val="left" w:pos="6804"/>
        </w:tabs>
        <w:spacing w:before="0"/>
      </w:pPr>
      <w:r w:rsidRPr="00970E2E">
        <w:t>H. ZHAO</w:t>
      </w:r>
      <w:r w:rsidRPr="00970E2E">
        <w:tab/>
        <w:t>S. BIN GHELAITA</w:t>
      </w:r>
      <w:bookmarkEnd w:id="11"/>
    </w:p>
    <w:p w14:paraId="20328425" w14:textId="77777777" w:rsidR="002C6A86" w:rsidRDefault="002C6A86" w:rsidP="00411C49">
      <w:pPr>
        <w:pStyle w:val="Reasons"/>
      </w:pPr>
    </w:p>
    <w:p w14:paraId="4D043936" w14:textId="77777777" w:rsidR="002C6A86" w:rsidRDefault="002C6A86">
      <w:pPr>
        <w:jc w:val="center"/>
      </w:pPr>
      <w:r>
        <w:t>______________</w:t>
      </w:r>
    </w:p>
    <w:p w14:paraId="21D1AF0F" w14:textId="77777777" w:rsidR="002C6A86" w:rsidRPr="00970E2E" w:rsidRDefault="002C6A86" w:rsidP="00730782">
      <w:pPr>
        <w:tabs>
          <w:tab w:val="clear" w:pos="567"/>
          <w:tab w:val="clear" w:pos="1134"/>
          <w:tab w:val="clear" w:pos="1701"/>
          <w:tab w:val="clear" w:pos="2268"/>
          <w:tab w:val="clear" w:pos="2835"/>
          <w:tab w:val="left" w:pos="6804"/>
        </w:tabs>
        <w:spacing w:before="0"/>
      </w:pPr>
    </w:p>
    <w:sectPr w:rsidR="002C6A86" w:rsidRPr="00970E2E"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B13C" w14:textId="77777777" w:rsidR="00D87E29" w:rsidRDefault="00D87E29">
      <w:r>
        <w:separator/>
      </w:r>
    </w:p>
    <w:p w14:paraId="18C19237" w14:textId="77777777" w:rsidR="00F502E1" w:rsidRDefault="00F502E1"/>
  </w:endnote>
  <w:endnote w:type="continuationSeparator" w:id="0">
    <w:p w14:paraId="3CA051DA" w14:textId="77777777" w:rsidR="00D87E29" w:rsidRDefault="00D87E29">
      <w:r>
        <w:continuationSeparator/>
      </w:r>
    </w:p>
    <w:p w14:paraId="01D0C294" w14:textId="77777777" w:rsidR="00F502E1" w:rsidRDefault="00F5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2AE6" w14:textId="4EF900A1" w:rsidR="00732045" w:rsidRDefault="00730782">
    <w:pPr>
      <w:pStyle w:val="Footer"/>
    </w:pPr>
    <w:fldSimple w:instr=" FILENAME \p \* MERGEFORMAT ">
      <w:r w:rsidR="00C50A5D">
        <w:t>P:\FRA\SG\CONSEIL\C22\000\085F.docx</w:t>
      </w:r>
    </w:fldSimple>
    <w:r w:rsidR="00732045">
      <w:tab/>
    </w:r>
    <w:r w:rsidR="002F1B76">
      <w:fldChar w:fldCharType="begin"/>
    </w:r>
    <w:r w:rsidR="00732045">
      <w:instrText xml:space="preserve"> savedate \@ dd.MM.yy </w:instrText>
    </w:r>
    <w:r w:rsidR="002F1B76">
      <w:fldChar w:fldCharType="separate"/>
    </w:r>
    <w:r w:rsidR="002C6A86">
      <w:t>28.04.22</w:t>
    </w:r>
    <w:r w:rsidR="002F1B76">
      <w:fldChar w:fldCharType="end"/>
    </w:r>
    <w:r w:rsidR="00732045">
      <w:tab/>
    </w:r>
    <w:r w:rsidR="002F1B76">
      <w:fldChar w:fldCharType="begin"/>
    </w:r>
    <w:r w:rsidR="00732045">
      <w:instrText xml:space="preserve"> printdate \@ dd.MM.yy </w:instrText>
    </w:r>
    <w:r w:rsidR="002F1B76">
      <w:fldChar w:fldCharType="separate"/>
    </w:r>
    <w:r w:rsidR="00C50A5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AC2D" w14:textId="65B05BFB" w:rsidR="00732045" w:rsidRDefault="00730782" w:rsidP="00730782">
    <w:pPr>
      <w:pStyle w:val="Footer"/>
    </w:pPr>
    <w:r w:rsidRPr="002C6A86">
      <w:rPr>
        <w:color w:val="F2F2F2" w:themeColor="background1" w:themeShade="F2"/>
        <w:rPrChange w:id="12" w:author="Xue, Kun" w:date="2022-05-10T16:27:00Z">
          <w:rPr/>
        </w:rPrChange>
      </w:rPr>
      <w:fldChar w:fldCharType="begin"/>
    </w:r>
    <w:r w:rsidRPr="002C6A86">
      <w:rPr>
        <w:color w:val="F2F2F2" w:themeColor="background1" w:themeShade="F2"/>
        <w:rPrChange w:id="13" w:author="Xue, Kun" w:date="2022-05-10T16:27:00Z">
          <w:rPr/>
        </w:rPrChange>
      </w:rPr>
      <w:instrText xml:space="preserve"> FILENAME \p  \* MERGEFORMAT </w:instrText>
    </w:r>
    <w:r w:rsidRPr="002C6A86">
      <w:rPr>
        <w:color w:val="F2F2F2" w:themeColor="background1" w:themeShade="F2"/>
        <w:rPrChange w:id="14" w:author="Xue, Kun" w:date="2022-05-10T16:27:00Z">
          <w:rPr/>
        </w:rPrChange>
      </w:rPr>
      <w:fldChar w:fldCharType="separate"/>
    </w:r>
    <w:r w:rsidRPr="002C6A86">
      <w:rPr>
        <w:color w:val="F2F2F2" w:themeColor="background1" w:themeShade="F2"/>
        <w:rPrChange w:id="15" w:author="Xue, Kun" w:date="2022-05-10T16:27:00Z">
          <w:rPr/>
        </w:rPrChange>
      </w:rPr>
      <w:t>P:\FRA\SG\CONSEIL\C22\000\085V2F.docx</w:t>
    </w:r>
    <w:r w:rsidRPr="002C6A86">
      <w:rPr>
        <w:color w:val="F2F2F2" w:themeColor="background1" w:themeShade="F2"/>
        <w:rPrChange w:id="16" w:author="Xue, Kun" w:date="2022-05-10T16:27:00Z">
          <w:rPr/>
        </w:rPrChange>
      </w:rPr>
      <w:fldChar w:fldCharType="end"/>
    </w:r>
    <w:r w:rsidRPr="002C6A86">
      <w:rPr>
        <w:color w:val="F2F2F2" w:themeColor="background1" w:themeShade="F2"/>
        <w:rPrChange w:id="17" w:author="Xue, Kun" w:date="2022-05-10T16:27:00Z">
          <w:rPr/>
        </w:rPrChange>
      </w:rPr>
      <w:t xml:space="preserve"> </w:t>
    </w:r>
    <w:r w:rsidR="00BE2D92" w:rsidRPr="002C6A86">
      <w:rPr>
        <w:color w:val="F2F2F2" w:themeColor="background1" w:themeShade="F2"/>
        <w:rPrChange w:id="18" w:author="Xue, Kun" w:date="2022-05-10T16:27:00Z">
          <w:rPr/>
        </w:rPrChange>
      </w:rPr>
      <w:t>(503138)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A3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F554" w14:textId="77777777" w:rsidR="00D87E29" w:rsidRDefault="00D87E29">
      <w:r>
        <w:t>____________________</w:t>
      </w:r>
    </w:p>
    <w:p w14:paraId="023508DD" w14:textId="77777777" w:rsidR="00F502E1" w:rsidRDefault="00F502E1"/>
  </w:footnote>
  <w:footnote w:type="continuationSeparator" w:id="0">
    <w:p w14:paraId="0A0011C5" w14:textId="77777777" w:rsidR="00D87E29" w:rsidRDefault="00D87E29">
      <w:r>
        <w:continuationSeparator/>
      </w:r>
    </w:p>
    <w:p w14:paraId="23E265FF" w14:textId="77777777" w:rsidR="00F502E1" w:rsidRDefault="00F5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8C2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29E5BA8" w14:textId="77777777" w:rsidR="00732045" w:rsidRDefault="00732045">
    <w:pPr>
      <w:pStyle w:val="Header"/>
    </w:pPr>
    <w:r>
      <w:t>C2001/#-F</w:t>
    </w:r>
  </w:p>
  <w:p w14:paraId="6DCE1A59" w14:textId="77777777" w:rsidR="00F502E1" w:rsidRDefault="00F502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8FEC" w14:textId="68DDA9EA" w:rsidR="00732045" w:rsidRDefault="00C27A7C" w:rsidP="00475FB3">
    <w:pPr>
      <w:pStyle w:val="Header"/>
    </w:pPr>
    <w:r>
      <w:fldChar w:fldCharType="begin"/>
    </w:r>
    <w:r>
      <w:instrText>PAGE</w:instrText>
    </w:r>
    <w:r>
      <w:fldChar w:fldCharType="separate"/>
    </w:r>
    <w:r w:rsidR="00730782">
      <w:rPr>
        <w:noProof/>
      </w:rPr>
      <w:t>6</w:t>
    </w:r>
    <w:r>
      <w:rPr>
        <w:noProof/>
      </w:rPr>
      <w:fldChar w:fldCharType="end"/>
    </w:r>
  </w:p>
  <w:p w14:paraId="0A350B40" w14:textId="17C9571D" w:rsidR="00F502E1" w:rsidRDefault="00732045" w:rsidP="00730782">
    <w:pPr>
      <w:pStyle w:val="Header"/>
    </w:pPr>
    <w:r>
      <w:t>C</w:t>
    </w:r>
    <w:r w:rsidR="009C353C">
      <w:t>2</w:t>
    </w:r>
    <w:r w:rsidR="0083391C">
      <w:t>2</w:t>
    </w:r>
    <w:r>
      <w:t>/</w:t>
    </w:r>
    <w:r w:rsidR="00BE0274">
      <w:t>85</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29"/>
    <w:rsid w:val="000003C4"/>
    <w:rsid w:val="0000265F"/>
    <w:rsid w:val="00006DBE"/>
    <w:rsid w:val="00024510"/>
    <w:rsid w:val="00033D28"/>
    <w:rsid w:val="00034166"/>
    <w:rsid w:val="00045A45"/>
    <w:rsid w:val="00045C90"/>
    <w:rsid w:val="00046C14"/>
    <w:rsid w:val="00053A77"/>
    <w:rsid w:val="0006052C"/>
    <w:rsid w:val="00062570"/>
    <w:rsid w:val="00073D9E"/>
    <w:rsid w:val="00083834"/>
    <w:rsid w:val="0008795E"/>
    <w:rsid w:val="000A5E01"/>
    <w:rsid w:val="000A7EEA"/>
    <w:rsid w:val="000B52D3"/>
    <w:rsid w:val="000C1F14"/>
    <w:rsid w:val="000D0D0A"/>
    <w:rsid w:val="0010288D"/>
    <w:rsid w:val="00103163"/>
    <w:rsid w:val="001059FE"/>
    <w:rsid w:val="00106B19"/>
    <w:rsid w:val="001127F6"/>
    <w:rsid w:val="0011466B"/>
    <w:rsid w:val="00115D93"/>
    <w:rsid w:val="001247A8"/>
    <w:rsid w:val="00137701"/>
    <w:rsid w:val="001378C0"/>
    <w:rsid w:val="00143775"/>
    <w:rsid w:val="001544B7"/>
    <w:rsid w:val="00155A99"/>
    <w:rsid w:val="00162C7E"/>
    <w:rsid w:val="00180086"/>
    <w:rsid w:val="0018694A"/>
    <w:rsid w:val="001872EE"/>
    <w:rsid w:val="00190B7A"/>
    <w:rsid w:val="00194EC8"/>
    <w:rsid w:val="001A3287"/>
    <w:rsid w:val="001A55C9"/>
    <w:rsid w:val="001A6508"/>
    <w:rsid w:val="001B0146"/>
    <w:rsid w:val="001B3FAA"/>
    <w:rsid w:val="001B5CF9"/>
    <w:rsid w:val="001D08A9"/>
    <w:rsid w:val="001D4C31"/>
    <w:rsid w:val="001D64A0"/>
    <w:rsid w:val="001E066A"/>
    <w:rsid w:val="001E4CFD"/>
    <w:rsid w:val="001E4D21"/>
    <w:rsid w:val="001E55F0"/>
    <w:rsid w:val="001F3DD6"/>
    <w:rsid w:val="00203A4A"/>
    <w:rsid w:val="00207CD1"/>
    <w:rsid w:val="00214DF3"/>
    <w:rsid w:val="00217FE7"/>
    <w:rsid w:val="002256BF"/>
    <w:rsid w:val="002277D0"/>
    <w:rsid w:val="0023444B"/>
    <w:rsid w:val="00234F99"/>
    <w:rsid w:val="00240826"/>
    <w:rsid w:val="00242B3C"/>
    <w:rsid w:val="002457FA"/>
    <w:rsid w:val="00245E1C"/>
    <w:rsid w:val="002468EA"/>
    <w:rsid w:val="002477A2"/>
    <w:rsid w:val="0025037C"/>
    <w:rsid w:val="002514E2"/>
    <w:rsid w:val="00253B91"/>
    <w:rsid w:val="00256A01"/>
    <w:rsid w:val="00257D3E"/>
    <w:rsid w:val="00257FBB"/>
    <w:rsid w:val="00260EBB"/>
    <w:rsid w:val="00263A51"/>
    <w:rsid w:val="00265B4A"/>
    <w:rsid w:val="00267E02"/>
    <w:rsid w:val="00275CF1"/>
    <w:rsid w:val="00283C64"/>
    <w:rsid w:val="00284D18"/>
    <w:rsid w:val="00285688"/>
    <w:rsid w:val="002922CB"/>
    <w:rsid w:val="002A5067"/>
    <w:rsid w:val="002A5D44"/>
    <w:rsid w:val="002B3911"/>
    <w:rsid w:val="002C6A86"/>
    <w:rsid w:val="002E0BC4"/>
    <w:rsid w:val="002E35D0"/>
    <w:rsid w:val="002F1B76"/>
    <w:rsid w:val="00302D29"/>
    <w:rsid w:val="00315311"/>
    <w:rsid w:val="00323C32"/>
    <w:rsid w:val="00334A78"/>
    <w:rsid w:val="0033568E"/>
    <w:rsid w:val="00340395"/>
    <w:rsid w:val="00345663"/>
    <w:rsid w:val="00355FF5"/>
    <w:rsid w:val="003566DA"/>
    <w:rsid w:val="0035712E"/>
    <w:rsid w:val="00361350"/>
    <w:rsid w:val="0038410F"/>
    <w:rsid w:val="003943FA"/>
    <w:rsid w:val="003A3162"/>
    <w:rsid w:val="003A7753"/>
    <w:rsid w:val="003B0420"/>
    <w:rsid w:val="003C3FAE"/>
    <w:rsid w:val="003C7BEE"/>
    <w:rsid w:val="003D3EB6"/>
    <w:rsid w:val="003D3FB9"/>
    <w:rsid w:val="003F2C0F"/>
    <w:rsid w:val="004012A8"/>
    <w:rsid w:val="004038CB"/>
    <w:rsid w:val="0040546F"/>
    <w:rsid w:val="00410DEB"/>
    <w:rsid w:val="00415755"/>
    <w:rsid w:val="0042404A"/>
    <w:rsid w:val="004326E1"/>
    <w:rsid w:val="004329A5"/>
    <w:rsid w:val="00434A68"/>
    <w:rsid w:val="00445D3A"/>
    <w:rsid w:val="0044618F"/>
    <w:rsid w:val="00456E16"/>
    <w:rsid w:val="004608D9"/>
    <w:rsid w:val="00463ED9"/>
    <w:rsid w:val="0046769A"/>
    <w:rsid w:val="004713C6"/>
    <w:rsid w:val="00475FB3"/>
    <w:rsid w:val="004A34BB"/>
    <w:rsid w:val="004A46E1"/>
    <w:rsid w:val="004A6C62"/>
    <w:rsid w:val="004C3470"/>
    <w:rsid w:val="004C37A9"/>
    <w:rsid w:val="004C70D5"/>
    <w:rsid w:val="004C71DA"/>
    <w:rsid w:val="004D1D50"/>
    <w:rsid w:val="004D3C3E"/>
    <w:rsid w:val="004D6827"/>
    <w:rsid w:val="004E217C"/>
    <w:rsid w:val="004E51A3"/>
    <w:rsid w:val="004F259E"/>
    <w:rsid w:val="004F7C7E"/>
    <w:rsid w:val="00511F1D"/>
    <w:rsid w:val="00512039"/>
    <w:rsid w:val="00520F36"/>
    <w:rsid w:val="005265BD"/>
    <w:rsid w:val="00540615"/>
    <w:rsid w:val="00540A6D"/>
    <w:rsid w:val="00543FF1"/>
    <w:rsid w:val="00556105"/>
    <w:rsid w:val="005711B9"/>
    <w:rsid w:val="00571EEA"/>
    <w:rsid w:val="00575417"/>
    <w:rsid w:val="005768E1"/>
    <w:rsid w:val="0059325F"/>
    <w:rsid w:val="005B1938"/>
    <w:rsid w:val="005C3890"/>
    <w:rsid w:val="005C7491"/>
    <w:rsid w:val="005D20FB"/>
    <w:rsid w:val="005F7BFE"/>
    <w:rsid w:val="00600017"/>
    <w:rsid w:val="00607238"/>
    <w:rsid w:val="00607BC8"/>
    <w:rsid w:val="006123D8"/>
    <w:rsid w:val="00620A51"/>
    <w:rsid w:val="006235CA"/>
    <w:rsid w:val="00624295"/>
    <w:rsid w:val="00624401"/>
    <w:rsid w:val="00641344"/>
    <w:rsid w:val="0066352F"/>
    <w:rsid w:val="006643AB"/>
    <w:rsid w:val="006659A9"/>
    <w:rsid w:val="00670B57"/>
    <w:rsid w:val="00677216"/>
    <w:rsid w:val="0068434D"/>
    <w:rsid w:val="00695A8D"/>
    <w:rsid w:val="006A0BF1"/>
    <w:rsid w:val="006B76AA"/>
    <w:rsid w:val="006C13CC"/>
    <w:rsid w:val="006C1BBC"/>
    <w:rsid w:val="006C212F"/>
    <w:rsid w:val="006D4B22"/>
    <w:rsid w:val="006E0DEB"/>
    <w:rsid w:val="006E11B2"/>
    <w:rsid w:val="006E52AB"/>
    <w:rsid w:val="006E7184"/>
    <w:rsid w:val="006E76BD"/>
    <w:rsid w:val="006F0A53"/>
    <w:rsid w:val="006F77E6"/>
    <w:rsid w:val="007018F7"/>
    <w:rsid w:val="00705004"/>
    <w:rsid w:val="00707AB7"/>
    <w:rsid w:val="00707E96"/>
    <w:rsid w:val="007113A0"/>
    <w:rsid w:val="0071485E"/>
    <w:rsid w:val="007210CD"/>
    <w:rsid w:val="00723983"/>
    <w:rsid w:val="00730782"/>
    <w:rsid w:val="00732045"/>
    <w:rsid w:val="0073228A"/>
    <w:rsid w:val="007369DB"/>
    <w:rsid w:val="00741406"/>
    <w:rsid w:val="00745DB4"/>
    <w:rsid w:val="0075081B"/>
    <w:rsid w:val="007852DC"/>
    <w:rsid w:val="00794A5B"/>
    <w:rsid w:val="007956C2"/>
    <w:rsid w:val="007A187E"/>
    <w:rsid w:val="007A5752"/>
    <w:rsid w:val="007A7098"/>
    <w:rsid w:val="007B036B"/>
    <w:rsid w:val="007C72C2"/>
    <w:rsid w:val="007D4436"/>
    <w:rsid w:val="007D588B"/>
    <w:rsid w:val="007E2C02"/>
    <w:rsid w:val="007E33AF"/>
    <w:rsid w:val="007E3871"/>
    <w:rsid w:val="007E4350"/>
    <w:rsid w:val="007F257A"/>
    <w:rsid w:val="007F3665"/>
    <w:rsid w:val="007F4A88"/>
    <w:rsid w:val="00800037"/>
    <w:rsid w:val="00806A0A"/>
    <w:rsid w:val="00810EE0"/>
    <w:rsid w:val="00812A1A"/>
    <w:rsid w:val="00816748"/>
    <w:rsid w:val="00832C1B"/>
    <w:rsid w:val="0083391C"/>
    <w:rsid w:val="00835C7B"/>
    <w:rsid w:val="0083615B"/>
    <w:rsid w:val="00841275"/>
    <w:rsid w:val="00855079"/>
    <w:rsid w:val="00861885"/>
    <w:rsid w:val="00861D73"/>
    <w:rsid w:val="00880D63"/>
    <w:rsid w:val="00882D1D"/>
    <w:rsid w:val="00896F03"/>
    <w:rsid w:val="00897553"/>
    <w:rsid w:val="008A4E87"/>
    <w:rsid w:val="008D76E6"/>
    <w:rsid w:val="008D7BBC"/>
    <w:rsid w:val="008E3970"/>
    <w:rsid w:val="00900524"/>
    <w:rsid w:val="00905DC5"/>
    <w:rsid w:val="0091397A"/>
    <w:rsid w:val="0092392D"/>
    <w:rsid w:val="009276D7"/>
    <w:rsid w:val="0093234A"/>
    <w:rsid w:val="0095270D"/>
    <w:rsid w:val="00953269"/>
    <w:rsid w:val="00956817"/>
    <w:rsid w:val="00956A78"/>
    <w:rsid w:val="009625DA"/>
    <w:rsid w:val="00970E2E"/>
    <w:rsid w:val="0097304D"/>
    <w:rsid w:val="009731B9"/>
    <w:rsid w:val="0097363B"/>
    <w:rsid w:val="00992A28"/>
    <w:rsid w:val="00997641"/>
    <w:rsid w:val="009A51AE"/>
    <w:rsid w:val="009B4500"/>
    <w:rsid w:val="009C2844"/>
    <w:rsid w:val="009C307F"/>
    <w:rsid w:val="009C353C"/>
    <w:rsid w:val="009E1841"/>
    <w:rsid w:val="009E2839"/>
    <w:rsid w:val="009E6639"/>
    <w:rsid w:val="009E7FDD"/>
    <w:rsid w:val="00A04868"/>
    <w:rsid w:val="00A0798F"/>
    <w:rsid w:val="00A2113E"/>
    <w:rsid w:val="00A21C44"/>
    <w:rsid w:val="00A23A51"/>
    <w:rsid w:val="00A23F25"/>
    <w:rsid w:val="00A24607"/>
    <w:rsid w:val="00A25CD3"/>
    <w:rsid w:val="00A26730"/>
    <w:rsid w:val="00A43D9B"/>
    <w:rsid w:val="00A56476"/>
    <w:rsid w:val="00A56ED7"/>
    <w:rsid w:val="00A670E3"/>
    <w:rsid w:val="00A709FE"/>
    <w:rsid w:val="00A75326"/>
    <w:rsid w:val="00A7662A"/>
    <w:rsid w:val="00A82767"/>
    <w:rsid w:val="00AA332F"/>
    <w:rsid w:val="00AA341C"/>
    <w:rsid w:val="00AA43B0"/>
    <w:rsid w:val="00AA4D96"/>
    <w:rsid w:val="00AA7BBB"/>
    <w:rsid w:val="00AB64A8"/>
    <w:rsid w:val="00AB6792"/>
    <w:rsid w:val="00AC0266"/>
    <w:rsid w:val="00AC15D5"/>
    <w:rsid w:val="00AC48F7"/>
    <w:rsid w:val="00AC5B29"/>
    <w:rsid w:val="00AD24EC"/>
    <w:rsid w:val="00AE719A"/>
    <w:rsid w:val="00AF0414"/>
    <w:rsid w:val="00B045DD"/>
    <w:rsid w:val="00B067EB"/>
    <w:rsid w:val="00B10342"/>
    <w:rsid w:val="00B131A1"/>
    <w:rsid w:val="00B141BD"/>
    <w:rsid w:val="00B21E51"/>
    <w:rsid w:val="00B309F9"/>
    <w:rsid w:val="00B32B60"/>
    <w:rsid w:val="00B40FB4"/>
    <w:rsid w:val="00B43349"/>
    <w:rsid w:val="00B61619"/>
    <w:rsid w:val="00BA100C"/>
    <w:rsid w:val="00BB4545"/>
    <w:rsid w:val="00BB57CE"/>
    <w:rsid w:val="00BC277C"/>
    <w:rsid w:val="00BD5873"/>
    <w:rsid w:val="00BE0274"/>
    <w:rsid w:val="00BE2D92"/>
    <w:rsid w:val="00BF3EE5"/>
    <w:rsid w:val="00BF79B4"/>
    <w:rsid w:val="00C04BE3"/>
    <w:rsid w:val="00C06D8B"/>
    <w:rsid w:val="00C13A6F"/>
    <w:rsid w:val="00C201FC"/>
    <w:rsid w:val="00C25D29"/>
    <w:rsid w:val="00C27A7C"/>
    <w:rsid w:val="00C366FA"/>
    <w:rsid w:val="00C50A5D"/>
    <w:rsid w:val="00C54F1F"/>
    <w:rsid w:val="00C5541B"/>
    <w:rsid w:val="00C61758"/>
    <w:rsid w:val="00C61D61"/>
    <w:rsid w:val="00C656ED"/>
    <w:rsid w:val="00C66627"/>
    <w:rsid w:val="00C66ED3"/>
    <w:rsid w:val="00C70FC7"/>
    <w:rsid w:val="00C8219A"/>
    <w:rsid w:val="00C84D1F"/>
    <w:rsid w:val="00C92C9D"/>
    <w:rsid w:val="00CA08ED"/>
    <w:rsid w:val="00CB0213"/>
    <w:rsid w:val="00CB40A8"/>
    <w:rsid w:val="00CC1D82"/>
    <w:rsid w:val="00CC2247"/>
    <w:rsid w:val="00CD12D0"/>
    <w:rsid w:val="00CD4AD7"/>
    <w:rsid w:val="00CE5955"/>
    <w:rsid w:val="00CF183B"/>
    <w:rsid w:val="00D00D70"/>
    <w:rsid w:val="00D10342"/>
    <w:rsid w:val="00D155E7"/>
    <w:rsid w:val="00D173B9"/>
    <w:rsid w:val="00D30578"/>
    <w:rsid w:val="00D333C5"/>
    <w:rsid w:val="00D375CD"/>
    <w:rsid w:val="00D553A2"/>
    <w:rsid w:val="00D563E8"/>
    <w:rsid w:val="00D63B4D"/>
    <w:rsid w:val="00D6630D"/>
    <w:rsid w:val="00D71A0A"/>
    <w:rsid w:val="00D71E5E"/>
    <w:rsid w:val="00D774D3"/>
    <w:rsid w:val="00D81AC2"/>
    <w:rsid w:val="00D84556"/>
    <w:rsid w:val="00D87E29"/>
    <w:rsid w:val="00D904E8"/>
    <w:rsid w:val="00DA08C3"/>
    <w:rsid w:val="00DA102F"/>
    <w:rsid w:val="00DA1346"/>
    <w:rsid w:val="00DA1BED"/>
    <w:rsid w:val="00DA7CB3"/>
    <w:rsid w:val="00DB53CB"/>
    <w:rsid w:val="00DB5A3E"/>
    <w:rsid w:val="00DC22AA"/>
    <w:rsid w:val="00DD05EF"/>
    <w:rsid w:val="00DD6179"/>
    <w:rsid w:val="00DD779E"/>
    <w:rsid w:val="00DE38D1"/>
    <w:rsid w:val="00DE7B97"/>
    <w:rsid w:val="00DF74DD"/>
    <w:rsid w:val="00E12C0C"/>
    <w:rsid w:val="00E1684F"/>
    <w:rsid w:val="00E21C80"/>
    <w:rsid w:val="00E25AD0"/>
    <w:rsid w:val="00E32BAF"/>
    <w:rsid w:val="00E61068"/>
    <w:rsid w:val="00E767FA"/>
    <w:rsid w:val="00E87C8C"/>
    <w:rsid w:val="00EA508E"/>
    <w:rsid w:val="00EB6350"/>
    <w:rsid w:val="00EB7B8D"/>
    <w:rsid w:val="00EC26AA"/>
    <w:rsid w:val="00ED44EC"/>
    <w:rsid w:val="00ED6AF4"/>
    <w:rsid w:val="00F04A4F"/>
    <w:rsid w:val="00F11D42"/>
    <w:rsid w:val="00F12675"/>
    <w:rsid w:val="00F14EFF"/>
    <w:rsid w:val="00F15B57"/>
    <w:rsid w:val="00F21078"/>
    <w:rsid w:val="00F2287C"/>
    <w:rsid w:val="00F30808"/>
    <w:rsid w:val="00F427DB"/>
    <w:rsid w:val="00F45C76"/>
    <w:rsid w:val="00F502E1"/>
    <w:rsid w:val="00F5545A"/>
    <w:rsid w:val="00F703F7"/>
    <w:rsid w:val="00F955A1"/>
    <w:rsid w:val="00F97029"/>
    <w:rsid w:val="00FA5EB1"/>
    <w:rsid w:val="00FA7439"/>
    <w:rsid w:val="00FC1E46"/>
    <w:rsid w:val="00FC4EC0"/>
    <w:rsid w:val="00FD32E5"/>
    <w:rsid w:val="00FD3D46"/>
    <w:rsid w:val="00FE0F8A"/>
    <w:rsid w:val="00FE3266"/>
    <w:rsid w:val="00FE425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79FB1"/>
  <w15:docId w15:val="{0F8D2263-D29E-41EB-AFC9-C4E31CDB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rmalWeb">
    <w:name w:val="Normal (Web)"/>
    <w:basedOn w:val="Normal"/>
    <w:uiPriority w:val="99"/>
    <w:unhideWhenUsed/>
    <w:rsid w:val="00D87E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UnresolvedMention1">
    <w:name w:val="Unresolved Mention1"/>
    <w:basedOn w:val="DefaultParagraphFont"/>
    <w:uiPriority w:val="99"/>
    <w:semiHidden/>
    <w:unhideWhenUsed/>
    <w:rsid w:val="00D30578"/>
    <w:rPr>
      <w:color w:val="605E5C"/>
      <w:shd w:val="clear" w:color="auto" w:fill="E1DFDD"/>
    </w:rPr>
  </w:style>
  <w:style w:type="character" w:styleId="CommentReference">
    <w:name w:val="annotation reference"/>
    <w:basedOn w:val="DefaultParagraphFont"/>
    <w:semiHidden/>
    <w:unhideWhenUsed/>
    <w:rsid w:val="002457FA"/>
    <w:rPr>
      <w:sz w:val="16"/>
      <w:szCs w:val="16"/>
    </w:rPr>
  </w:style>
  <w:style w:type="paragraph" w:styleId="CommentText">
    <w:name w:val="annotation text"/>
    <w:basedOn w:val="Normal"/>
    <w:link w:val="CommentTextChar"/>
    <w:unhideWhenUsed/>
    <w:rsid w:val="002457FA"/>
    <w:rPr>
      <w:sz w:val="20"/>
    </w:rPr>
  </w:style>
  <w:style w:type="character" w:customStyle="1" w:styleId="CommentTextChar">
    <w:name w:val="Comment Text Char"/>
    <w:basedOn w:val="DefaultParagraphFont"/>
    <w:link w:val="CommentText"/>
    <w:rsid w:val="002457FA"/>
    <w:rPr>
      <w:rFonts w:ascii="Calibri" w:hAnsi="Calibri"/>
      <w:lang w:val="fr-FR" w:eastAsia="en-US"/>
    </w:rPr>
  </w:style>
  <w:style w:type="paragraph" w:styleId="CommentSubject">
    <w:name w:val="annotation subject"/>
    <w:basedOn w:val="CommentText"/>
    <w:next w:val="CommentText"/>
    <w:link w:val="CommentSubjectChar"/>
    <w:semiHidden/>
    <w:unhideWhenUsed/>
    <w:rsid w:val="002457FA"/>
    <w:rPr>
      <w:b/>
      <w:bCs/>
    </w:rPr>
  </w:style>
  <w:style w:type="character" w:customStyle="1" w:styleId="CommentSubjectChar">
    <w:name w:val="Comment Subject Char"/>
    <w:basedOn w:val="CommentTextChar"/>
    <w:link w:val="CommentSubject"/>
    <w:semiHidden/>
    <w:rsid w:val="002457FA"/>
    <w:rPr>
      <w:rFonts w:ascii="Calibri" w:hAnsi="Calibri"/>
      <w:b/>
      <w:bCs/>
      <w:lang w:val="fr-FR" w:eastAsia="en-US"/>
    </w:rPr>
  </w:style>
  <w:style w:type="paragraph" w:styleId="Revision">
    <w:name w:val="Revision"/>
    <w:hidden/>
    <w:uiPriority w:val="99"/>
    <w:semiHidden/>
    <w:rsid w:val="002457FA"/>
    <w:rPr>
      <w:rFonts w:ascii="Calibri" w:hAnsi="Calibri"/>
      <w:sz w:val="24"/>
      <w:lang w:val="fr-FR" w:eastAsia="en-US"/>
    </w:rPr>
  </w:style>
  <w:style w:type="paragraph" w:styleId="BalloonText">
    <w:name w:val="Balloon Text"/>
    <w:basedOn w:val="Normal"/>
    <w:link w:val="BalloonTextChar"/>
    <w:semiHidden/>
    <w:unhideWhenUsed/>
    <w:rsid w:val="002457F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57FA"/>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970E2E"/>
    <w:rPr>
      <w:color w:val="605E5C"/>
      <w:shd w:val="clear" w:color="auto" w:fill="E1DFDD"/>
    </w:rPr>
  </w:style>
  <w:style w:type="character" w:customStyle="1" w:styleId="UnresolvedMention3">
    <w:name w:val="Unresolved Mention3"/>
    <w:basedOn w:val="DefaultParagraphFont"/>
    <w:uiPriority w:val="99"/>
    <w:semiHidden/>
    <w:unhideWhenUsed/>
    <w:rsid w:val="00265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5542">
      <w:bodyDiv w:val="1"/>
      <w:marLeft w:val="0"/>
      <w:marRight w:val="0"/>
      <w:marTop w:val="0"/>
      <w:marBottom w:val="0"/>
      <w:divBdr>
        <w:top w:val="none" w:sz="0" w:space="0" w:color="auto"/>
        <w:left w:val="none" w:sz="0" w:space="0" w:color="auto"/>
        <w:bottom w:val="none" w:sz="0" w:space="0" w:color="auto"/>
        <w:right w:val="none" w:sz="0" w:space="0" w:color="auto"/>
      </w:divBdr>
    </w:div>
    <w:div w:id="449860321">
      <w:bodyDiv w:val="1"/>
      <w:marLeft w:val="0"/>
      <w:marRight w:val="0"/>
      <w:marTop w:val="0"/>
      <w:marBottom w:val="0"/>
      <w:divBdr>
        <w:top w:val="none" w:sz="0" w:space="0" w:color="auto"/>
        <w:left w:val="none" w:sz="0" w:space="0" w:color="auto"/>
        <w:bottom w:val="none" w:sz="0" w:space="0" w:color="auto"/>
        <w:right w:val="none" w:sz="0" w:space="0" w:color="auto"/>
      </w:divBdr>
    </w:div>
    <w:div w:id="532839477">
      <w:bodyDiv w:val="1"/>
      <w:marLeft w:val="0"/>
      <w:marRight w:val="0"/>
      <w:marTop w:val="0"/>
      <w:marBottom w:val="0"/>
      <w:divBdr>
        <w:top w:val="none" w:sz="0" w:space="0" w:color="auto"/>
        <w:left w:val="none" w:sz="0" w:space="0" w:color="auto"/>
        <w:bottom w:val="none" w:sz="0" w:space="0" w:color="auto"/>
        <w:right w:val="none" w:sz="0" w:space="0" w:color="auto"/>
      </w:divBdr>
    </w:div>
    <w:div w:id="745226948">
      <w:bodyDiv w:val="1"/>
      <w:marLeft w:val="0"/>
      <w:marRight w:val="0"/>
      <w:marTop w:val="0"/>
      <w:marBottom w:val="0"/>
      <w:divBdr>
        <w:top w:val="none" w:sz="0" w:space="0" w:color="auto"/>
        <w:left w:val="none" w:sz="0" w:space="0" w:color="auto"/>
        <w:bottom w:val="none" w:sz="0" w:space="0" w:color="auto"/>
        <w:right w:val="none" w:sz="0" w:space="0" w:color="auto"/>
      </w:divBdr>
    </w:div>
    <w:div w:id="1249928459">
      <w:bodyDiv w:val="1"/>
      <w:marLeft w:val="0"/>
      <w:marRight w:val="0"/>
      <w:marTop w:val="0"/>
      <w:marBottom w:val="0"/>
      <w:divBdr>
        <w:top w:val="none" w:sz="0" w:space="0" w:color="auto"/>
        <w:left w:val="none" w:sz="0" w:space="0" w:color="auto"/>
        <w:bottom w:val="none" w:sz="0" w:space="0" w:color="auto"/>
        <w:right w:val="none" w:sz="0" w:space="0" w:color="auto"/>
      </w:divBdr>
    </w:div>
    <w:div w:id="1613702222">
      <w:bodyDiv w:val="1"/>
      <w:marLeft w:val="0"/>
      <w:marRight w:val="0"/>
      <w:marTop w:val="0"/>
      <w:marBottom w:val="0"/>
      <w:divBdr>
        <w:top w:val="none" w:sz="0" w:space="0" w:color="auto"/>
        <w:left w:val="none" w:sz="0" w:space="0" w:color="auto"/>
        <w:bottom w:val="none" w:sz="0" w:space="0" w:color="auto"/>
        <w:right w:val="none" w:sz="0" w:space="0" w:color="auto"/>
      </w:divBdr>
    </w:div>
    <w:div w:id="18333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28/en" TargetMode="External"/><Relationship Id="rId13" Type="http://schemas.openxmlformats.org/officeDocument/2006/relationships/hyperlink" Target="https://www.itu.int/md/S22-CL-C-0035/en" TargetMode="External"/><Relationship Id="rId18" Type="http://schemas.openxmlformats.org/officeDocument/2006/relationships/hyperlink" Target="https://www.itu.int/md/S22-CL-C-0078/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md/S22-CL-C-0035/en" TargetMode="External"/><Relationship Id="rId12" Type="http://schemas.openxmlformats.org/officeDocument/2006/relationships/hyperlink" Target="https://www.itu.int/md/S22-CL-C-0024/en" TargetMode="External"/><Relationship Id="rId17" Type="http://schemas.openxmlformats.org/officeDocument/2006/relationships/hyperlink" Target="https://www.itu.int/md/S22-CL-C-0017/en"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md/S22-CL-C-0005/en" TargetMode="External"/><Relationship Id="rId20" Type="http://schemas.openxmlformats.org/officeDocument/2006/relationships/hyperlink" Target="https://www.itu.int/en/council/2022/Documents/speeches/Statement-Russian-Federation-on-document-C22-24-en.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C-0078/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2-CL-C-0028/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22-CL-C-0017/en" TargetMode="External"/><Relationship Id="rId19" Type="http://schemas.openxmlformats.org/officeDocument/2006/relationships/hyperlink" Target="https://www.itu.int/md/S22-CL-C-0024/en" TargetMode="External"/><Relationship Id="rId4" Type="http://schemas.openxmlformats.org/officeDocument/2006/relationships/footnotes" Target="footnotes.xml"/><Relationship Id="rId9" Type="http://schemas.openxmlformats.org/officeDocument/2006/relationships/hyperlink" Target="https://www.itu.int/md/S22-CL-C-0005/en" TargetMode="External"/><Relationship Id="rId14" Type="http://schemas.openxmlformats.org/officeDocument/2006/relationships/hyperlink" Target="https://www.itu.int/highlights-report-activities" TargetMode="External"/><Relationship Id="rId22" Type="http://schemas.openxmlformats.org/officeDocument/2006/relationships/header" Target="header2.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6</Pages>
  <Words>2579</Words>
  <Characters>15281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17825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première Séance plénière</dc:title>
  <dc:subject>Conseil 2022</dc:subject>
  <dc:creator>French</dc:creator>
  <cp:keywords>C2022, C22, Council-22</cp:keywords>
  <dc:description/>
  <cp:lastModifiedBy>Xue, Kun</cp:lastModifiedBy>
  <cp:revision>2</cp:revision>
  <cp:lastPrinted>2000-07-18T08:55:00Z</cp:lastPrinted>
  <dcterms:created xsi:type="dcterms:W3CDTF">2022-05-10T14:29:00Z</dcterms:created>
  <dcterms:modified xsi:type="dcterms:W3CDTF">2022-05-10T14:29:00Z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