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48555F6C" w14:textId="77777777" w:rsidTr="00464B6C">
        <w:trPr>
          <w:cantSplit/>
        </w:trPr>
        <w:tc>
          <w:tcPr>
            <w:tcW w:w="6911" w:type="dxa"/>
          </w:tcPr>
          <w:p w14:paraId="17DEFEF8" w14:textId="0198271B" w:rsidR="002A2188" w:rsidRPr="00813E5E" w:rsidRDefault="00D54AA7" w:rsidP="00B0250B">
            <w:pPr>
              <w:spacing w:before="360" w:after="48"/>
              <w:rPr>
                <w:position w:val="6"/>
                <w:lang w:eastAsia="zh-CN"/>
              </w:rPr>
            </w:pP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202</w:t>
            </w:r>
            <w:r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Pr="006B373D">
              <w:rPr>
                <w:b/>
                <w:bCs/>
                <w:color w:val="000000"/>
                <w:sz w:val="22"/>
                <w:szCs w:val="22"/>
                <w:lang w:eastAsia="zh-CN"/>
              </w:rPr>
              <w:t>2022</w:t>
            </w:r>
            <w:r w:rsidRPr="006B373D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年</w:t>
            </w:r>
            <w:r w:rsidRPr="006B373D">
              <w:rPr>
                <w:b/>
                <w:bCs/>
                <w:color w:val="000000"/>
                <w:sz w:val="22"/>
                <w:szCs w:val="22"/>
                <w:lang w:eastAsia="zh-CN"/>
              </w:rPr>
              <w:t>3</w:t>
            </w:r>
            <w:r w:rsidRPr="006B373D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月</w:t>
            </w:r>
            <w:r w:rsidRPr="006B373D">
              <w:rPr>
                <w:b/>
                <w:bCs/>
                <w:color w:val="000000"/>
                <w:sz w:val="22"/>
                <w:szCs w:val="22"/>
                <w:lang w:eastAsia="zh-CN"/>
              </w:rPr>
              <w:t>21-31</w:t>
            </w:r>
            <w:r w:rsidRPr="006B373D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</w:t>
            </w:r>
            <w:bookmarkStart w:id="0" w:name="_Hlk53061815"/>
            <w:r w:rsidRPr="006B373D">
              <w:rPr>
                <w:rFonts w:ascii="SimSun" w:hAnsi="SimSun" w:cs="SimSun" w:hint="eastAsia"/>
                <w:b/>
                <w:bCs/>
                <w:smallCaps/>
                <w:sz w:val="22"/>
                <w:szCs w:val="22"/>
                <w:lang w:eastAsia="zh-CN"/>
              </w:rPr>
              <w:t>，</w:t>
            </w:r>
            <w:bookmarkEnd w:id="0"/>
            <w:r w:rsidRPr="006B373D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60E83C12" w14:textId="77777777" w:rsidR="002A2188" w:rsidRPr="00813E5E" w:rsidRDefault="004A1B8B" w:rsidP="00B0250B">
            <w:pPr>
              <w:spacing w:before="0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429711E0" wp14:editId="38958B5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6DC308F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E3A86C2" w14:textId="77777777" w:rsidR="002A2188" w:rsidRPr="00813E5E" w:rsidRDefault="002A2188" w:rsidP="00B0250B">
            <w:pPr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6506FC1" w14:textId="77777777" w:rsidR="002A2188" w:rsidRPr="00813E5E" w:rsidRDefault="002A2188" w:rsidP="00B0250B">
            <w:pPr>
              <w:spacing w:before="0"/>
              <w:rPr>
                <w:szCs w:val="24"/>
              </w:rPr>
            </w:pPr>
          </w:p>
        </w:tc>
      </w:tr>
      <w:tr w:rsidR="002A2188" w:rsidRPr="00813E5E" w14:paraId="5887DC04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83F91B9" w14:textId="77777777" w:rsidR="002A2188" w:rsidRPr="00813E5E" w:rsidRDefault="002A2188" w:rsidP="00B0250B">
            <w:pPr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9C653C0" w14:textId="77777777" w:rsidR="002A2188" w:rsidRPr="00813E5E" w:rsidRDefault="002A2188" w:rsidP="00B0250B">
            <w:pPr>
              <w:spacing w:before="0"/>
              <w:rPr>
                <w:szCs w:val="24"/>
              </w:rPr>
            </w:pPr>
          </w:p>
        </w:tc>
      </w:tr>
      <w:tr w:rsidR="002A2188" w:rsidRPr="00813E5E" w14:paraId="15B0AE9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6F107B8A" w14:textId="1C523773" w:rsidR="002A2188" w:rsidRPr="00E85629" w:rsidRDefault="003F0D8B" w:rsidP="00B0250B">
            <w:pPr>
              <w:tabs>
                <w:tab w:val="left" w:pos="851"/>
              </w:tabs>
              <w:spacing w:before="0"/>
              <w:rPr>
                <w:b/>
              </w:rPr>
            </w:pPr>
            <w:bookmarkStart w:id="2" w:name="dmeeting" w:colFirst="0" w:colLast="0"/>
            <w:bookmarkStart w:id="3" w:name="dnum" w:colFirst="1" w:colLast="1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E57823" w:rsidRPr="007A494A">
              <w:rPr>
                <w:b/>
              </w:rPr>
              <w:t>ADM</w:t>
            </w:r>
            <w:r w:rsidR="00495FE7" w:rsidRPr="007A494A">
              <w:rPr>
                <w:b/>
              </w:rPr>
              <w:t xml:space="preserve"> </w:t>
            </w:r>
            <w:r w:rsidR="007A494A" w:rsidRPr="007A494A">
              <w:rPr>
                <w:rFonts w:hint="eastAsia"/>
                <w:b/>
              </w:rPr>
              <w:t>8</w:t>
            </w:r>
          </w:p>
        </w:tc>
        <w:tc>
          <w:tcPr>
            <w:tcW w:w="3120" w:type="dxa"/>
          </w:tcPr>
          <w:p w14:paraId="66604129" w14:textId="54C5D820" w:rsidR="002A2188" w:rsidRPr="00E85629" w:rsidRDefault="00793D51" w:rsidP="00B0250B">
            <w:pPr>
              <w:tabs>
                <w:tab w:val="left" w:pos="851"/>
              </w:tabs>
              <w:spacing w:before="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文件</w:t>
            </w:r>
            <w:r w:rsidR="002A2188">
              <w:rPr>
                <w:b/>
              </w:rPr>
              <w:t xml:space="preserve"> C</w:t>
            </w:r>
            <w:r w:rsidR="004A1B8B">
              <w:rPr>
                <w:b/>
              </w:rPr>
              <w:t>2</w:t>
            </w:r>
            <w:r w:rsidR="0014634F">
              <w:rPr>
                <w:b/>
              </w:rPr>
              <w:t>2</w:t>
            </w:r>
            <w:r w:rsidR="002A2188">
              <w:rPr>
                <w:b/>
              </w:rPr>
              <w:t>/</w:t>
            </w:r>
            <w:r w:rsidR="008D569F">
              <w:rPr>
                <w:b/>
              </w:rPr>
              <w:t>79</w:t>
            </w:r>
            <w:r w:rsidR="002A2188">
              <w:rPr>
                <w:b/>
              </w:rPr>
              <w:t>-</w:t>
            </w:r>
            <w:r w:rsidR="00971868">
              <w:rPr>
                <w:b/>
              </w:rPr>
              <w:t>C</w:t>
            </w:r>
          </w:p>
        </w:tc>
      </w:tr>
      <w:tr w:rsidR="002A2188" w:rsidRPr="00813E5E" w14:paraId="275E195F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3627AC61" w14:textId="77777777" w:rsidR="002A2188" w:rsidRPr="00813E5E" w:rsidRDefault="002A2188" w:rsidP="00B0250B">
            <w:pPr>
              <w:tabs>
                <w:tab w:val="left" w:pos="851"/>
              </w:tabs>
              <w:spacing w:before="0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2B0CDBEF" w14:textId="6BD81317" w:rsidR="002A2188" w:rsidRPr="00E85629" w:rsidRDefault="00495FE7" w:rsidP="00B0250B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2022</w:t>
            </w:r>
            <w:r w:rsidR="00793D51">
              <w:rPr>
                <w:rFonts w:hint="eastAsia"/>
                <w:b/>
                <w:lang w:eastAsia="zh-CN"/>
              </w:rPr>
              <w:t>年</w:t>
            </w:r>
            <w:r w:rsidR="00793D51">
              <w:rPr>
                <w:rFonts w:hint="eastAsia"/>
                <w:b/>
                <w:lang w:eastAsia="zh-CN"/>
              </w:rPr>
              <w:t>3</w:t>
            </w:r>
            <w:r w:rsidR="00793D51">
              <w:rPr>
                <w:rFonts w:hint="eastAsia"/>
                <w:b/>
                <w:lang w:eastAsia="zh-CN"/>
              </w:rPr>
              <w:t>月</w:t>
            </w:r>
            <w:r w:rsidR="00793D51">
              <w:rPr>
                <w:rFonts w:hint="eastAsia"/>
                <w:b/>
                <w:lang w:eastAsia="zh-CN"/>
              </w:rPr>
              <w:t>8</w:t>
            </w:r>
            <w:r w:rsidR="00793D51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2A2188" w:rsidRPr="00813E5E" w14:paraId="29B42488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000182B" w14:textId="77777777" w:rsidR="002A2188" w:rsidRPr="00813E5E" w:rsidRDefault="002A2188" w:rsidP="00B0250B">
            <w:pPr>
              <w:tabs>
                <w:tab w:val="left" w:pos="851"/>
              </w:tabs>
              <w:spacing w:before="0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7EAC0E79" w14:textId="570C9100" w:rsidR="002A2188" w:rsidRPr="00E85629" w:rsidRDefault="00793D51" w:rsidP="00B0250B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2A2188" w:rsidRPr="00813E5E" w14:paraId="79546A94" w14:textId="77777777" w:rsidTr="00464B6C">
        <w:trPr>
          <w:cantSplit/>
        </w:trPr>
        <w:tc>
          <w:tcPr>
            <w:tcW w:w="10031" w:type="dxa"/>
            <w:gridSpan w:val="2"/>
          </w:tcPr>
          <w:p w14:paraId="7EEA3085" w14:textId="3D2B66E5" w:rsidR="002A2188" w:rsidRPr="008E637B" w:rsidRDefault="00ED15B0" w:rsidP="006522FA">
            <w:pPr>
              <w:pStyle w:val="Source"/>
              <w:framePr w:hSpace="0" w:wrap="auto" w:hAnchor="text" w:yAlign="inline"/>
              <w:rPr>
                <w:lang w:eastAsia="zh-CN"/>
              </w:rPr>
            </w:pPr>
            <w:bookmarkStart w:id="6" w:name="dsource" w:colFirst="0" w:colLast="0"/>
            <w:bookmarkEnd w:id="5"/>
            <w:r w:rsidRPr="008E637B">
              <w:rPr>
                <w:rFonts w:hint="eastAsia"/>
                <w:lang w:eastAsia="zh-CN"/>
              </w:rPr>
              <w:t>印度（共和国）的文稿</w:t>
            </w:r>
          </w:p>
        </w:tc>
      </w:tr>
      <w:tr w:rsidR="002A2188" w:rsidRPr="00813E5E" w14:paraId="5B5E8CC5" w14:textId="77777777" w:rsidTr="00464B6C">
        <w:trPr>
          <w:cantSplit/>
        </w:trPr>
        <w:tc>
          <w:tcPr>
            <w:tcW w:w="10031" w:type="dxa"/>
            <w:gridSpan w:val="2"/>
          </w:tcPr>
          <w:p w14:paraId="292F662C" w14:textId="3D52A891" w:rsidR="009C5830" w:rsidRPr="003C3881" w:rsidRDefault="00414021" w:rsidP="009C5830">
            <w:pPr>
              <w:jc w:val="center"/>
              <w:rPr>
                <w:color w:val="000000" w:themeColor="text1"/>
                <w:sz w:val="28"/>
                <w:lang w:val="en-US" w:eastAsia="zh-CN"/>
              </w:rPr>
            </w:pPr>
            <w:bookmarkStart w:id="7" w:name="dtitle1" w:colFirst="0" w:colLast="0"/>
            <w:bookmarkEnd w:id="6"/>
            <w:r w:rsidRPr="003C3881">
              <w:rPr>
                <w:rFonts w:hint="eastAsia"/>
                <w:bCs/>
                <w:color w:val="000000" w:themeColor="text1"/>
                <w:sz w:val="28"/>
                <w:lang w:eastAsia="zh-CN"/>
              </w:rPr>
              <w:t>国际电联各部门中的</w:t>
            </w:r>
            <w:r w:rsidR="00977733" w:rsidRPr="003C3881">
              <w:rPr>
                <w:rFonts w:hint="eastAsia"/>
                <w:bCs/>
                <w:color w:val="000000" w:themeColor="text1"/>
                <w:sz w:val="28"/>
                <w:lang w:eastAsia="zh-CN"/>
              </w:rPr>
              <w:t>私营部门和</w:t>
            </w:r>
            <w:r w:rsidR="002A17B1" w:rsidRPr="003C3881">
              <w:rPr>
                <w:rFonts w:hint="eastAsia"/>
                <w:bCs/>
                <w:color w:val="000000" w:themeColor="text1"/>
                <w:sz w:val="28"/>
                <w:lang w:eastAsia="zh-CN"/>
              </w:rPr>
              <w:t>学术成员</w:t>
            </w:r>
            <w:r w:rsidRPr="003C3881">
              <w:rPr>
                <w:rFonts w:hint="eastAsia"/>
                <w:bCs/>
                <w:color w:val="000000" w:themeColor="text1"/>
                <w:sz w:val="28"/>
                <w:lang w:eastAsia="zh-CN"/>
              </w:rPr>
              <w:t>（重点</w:t>
            </w:r>
            <w:r w:rsidR="00161E74" w:rsidRPr="003C3881">
              <w:rPr>
                <w:rFonts w:hint="eastAsia"/>
                <w:bCs/>
                <w:color w:val="000000" w:themeColor="text1"/>
                <w:sz w:val="28"/>
                <w:lang w:eastAsia="zh-CN"/>
              </w:rPr>
              <w:t>关注</w:t>
            </w:r>
            <w:r w:rsidRPr="003C3881">
              <w:rPr>
                <w:rFonts w:hint="eastAsia"/>
                <w:bCs/>
                <w:color w:val="000000" w:themeColor="text1"/>
                <w:sz w:val="28"/>
                <w:lang w:eastAsia="zh-CN"/>
              </w:rPr>
              <w:t>最不发达国家、</w:t>
            </w:r>
            <w:r w:rsidR="00971868" w:rsidRPr="003C3881">
              <w:rPr>
                <w:bCs/>
                <w:color w:val="000000" w:themeColor="text1"/>
                <w:sz w:val="28"/>
                <w:lang w:eastAsia="zh-CN"/>
              </w:rPr>
              <w:br/>
            </w:r>
            <w:r w:rsidRPr="003C3881">
              <w:rPr>
                <w:rFonts w:hint="eastAsia"/>
                <w:bCs/>
                <w:color w:val="000000" w:themeColor="text1"/>
                <w:sz w:val="28"/>
                <w:lang w:eastAsia="zh-CN"/>
              </w:rPr>
              <w:t>内陆</w:t>
            </w:r>
            <w:r w:rsidR="0025618F" w:rsidRPr="003C3881">
              <w:rPr>
                <w:rFonts w:hint="eastAsia"/>
                <w:bCs/>
                <w:color w:val="000000" w:themeColor="text1"/>
                <w:sz w:val="28"/>
                <w:lang w:eastAsia="zh-CN"/>
              </w:rPr>
              <w:t>发展中</w:t>
            </w:r>
            <w:r w:rsidRPr="003C3881">
              <w:rPr>
                <w:rFonts w:hint="eastAsia"/>
                <w:bCs/>
                <w:color w:val="000000" w:themeColor="text1"/>
                <w:sz w:val="28"/>
                <w:lang w:eastAsia="zh-CN"/>
              </w:rPr>
              <w:t>国家、小岛屿发展中国家和有特殊需求国家）</w:t>
            </w:r>
          </w:p>
          <w:tbl>
            <w:tblPr>
              <w:tblpPr w:leftFromText="180" w:rightFromText="180" w:vertAnchor="text" w:horzAnchor="margin" w:tblpX="380" w:tblpY="489"/>
              <w:tblW w:w="9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57"/>
            </w:tblGrid>
            <w:tr w:rsidR="009C5830" w:rsidRPr="008030BC" w14:paraId="25CEE9A4" w14:textId="77777777" w:rsidTr="008030BC">
              <w:trPr>
                <w:cantSplit/>
                <w:trHeight w:val="538"/>
              </w:trPr>
              <w:tc>
                <w:tcPr>
                  <w:tcW w:w="90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7D693CC" w14:textId="15B68561" w:rsidR="009C5830" w:rsidRPr="008030BC" w:rsidRDefault="00977733" w:rsidP="006522FA">
                  <w:pPr>
                    <w:pStyle w:val="Headingb"/>
                    <w:spacing w:before="120" w:after="120"/>
                    <w:rPr>
                      <w:sz w:val="22"/>
                      <w:szCs w:val="22"/>
                      <w:lang w:eastAsia="zh-CN"/>
                    </w:rPr>
                  </w:pPr>
                  <w:r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概要</w:t>
                  </w:r>
                </w:p>
                <w:p w14:paraId="5E65F480" w14:textId="5647164D" w:rsidR="001237A7" w:rsidRPr="008030BC" w:rsidRDefault="0098322C" w:rsidP="003C3881">
                  <w:pPr>
                    <w:tabs>
                      <w:tab w:val="num" w:pos="720"/>
                    </w:tabs>
                    <w:spacing w:after="120"/>
                    <w:ind w:firstLineChars="200" w:firstLine="44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国际电联</w:t>
                  </w:r>
                  <w:r w:rsidR="00807A62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（</w:t>
                  </w:r>
                  <w:r w:rsidR="00807A62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ITU</w:t>
                  </w:r>
                  <w:r w:rsidR="00807A62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）</w:t>
                  </w:r>
                  <w:r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及其成员</w:t>
                  </w:r>
                  <w:r w:rsidR="00D01EED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一直</w:t>
                  </w:r>
                  <w:r w:rsidR="001913C8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通过在国家、区域和全球层</w:t>
                  </w:r>
                  <w:r w:rsidR="00EB0F83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面</w:t>
                  </w:r>
                  <w:r w:rsidR="001913C8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的项目、举措</w:t>
                  </w:r>
                  <w:r w:rsidR="00D01EED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与</w:t>
                  </w:r>
                  <w:r w:rsidR="001913C8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计划</w:t>
                  </w:r>
                  <w:r w:rsidR="00C63F0A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，</w:t>
                  </w:r>
                  <w:r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努力加强</w:t>
                  </w:r>
                  <w:r w:rsidR="006A7E63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与</w:t>
                  </w:r>
                  <w:r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学术界和私营部门</w:t>
                  </w:r>
                  <w:r w:rsidR="00D01EED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的</w:t>
                  </w:r>
                  <w:r w:rsidR="006A7E63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接触</w:t>
                  </w:r>
                  <w:r w:rsidR="00D01EED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和</w:t>
                  </w:r>
                  <w:r w:rsidR="006D63CF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他们</w:t>
                  </w:r>
                  <w:r w:rsidR="00C63F0A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对</w:t>
                  </w:r>
                  <w:r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部门活动的参与。这</w:t>
                  </w:r>
                  <w:r w:rsidR="00135337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一直是</w:t>
                  </w:r>
                  <w:r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成员的</w:t>
                  </w:r>
                  <w:r w:rsidR="001B3B3F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重点</w:t>
                  </w:r>
                  <w:r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领域。虽然</w:t>
                  </w:r>
                  <w:r w:rsidR="006D3691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来自特定类别国家（最不发达国家</w:t>
                  </w:r>
                  <w:r w:rsidR="0025618F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（</w:t>
                  </w:r>
                  <w:r w:rsidR="0025618F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LDC</w:t>
                  </w:r>
                  <w:r w:rsidR="0025618F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）</w:t>
                  </w:r>
                  <w:r w:rsidR="006D3691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、内陆发展中国家</w:t>
                  </w:r>
                  <w:r w:rsidR="0025618F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（</w:t>
                  </w:r>
                  <w:r w:rsidR="0025618F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LLDC</w:t>
                  </w:r>
                  <w:r w:rsidR="0025618F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）</w:t>
                  </w:r>
                  <w:r w:rsidR="006D3691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、小岛屿发展中国家</w:t>
                  </w:r>
                  <w:r w:rsidR="00177410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（</w:t>
                  </w:r>
                  <w:r w:rsidR="00177410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SIDC</w:t>
                  </w:r>
                  <w:r w:rsidR="00177410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）</w:t>
                  </w:r>
                  <w:r w:rsidR="006D3691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、</w:t>
                  </w:r>
                  <w:r w:rsidR="00177410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有特殊需求国家（</w:t>
                  </w:r>
                  <w:r w:rsidR="00177410" w:rsidRPr="008030BC">
                    <w:rPr>
                      <w:sz w:val="22"/>
                      <w:szCs w:val="22"/>
                      <w:lang w:eastAsia="zh-CN"/>
                    </w:rPr>
                    <w:t>CISN</w:t>
                  </w:r>
                  <w:r w:rsidR="00177410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）</w:t>
                  </w:r>
                  <w:r w:rsidR="006D3691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）的</w:t>
                  </w:r>
                  <w:r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私营部门和学术界</w:t>
                  </w:r>
                  <w:r w:rsidR="00814918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对</w:t>
                  </w:r>
                  <w:r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国际电联活动的</w:t>
                  </w:r>
                  <w:r w:rsidR="00D43DA4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参与</w:t>
                  </w:r>
                  <w:r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情况有所改善，但他们在国际电</w:t>
                  </w:r>
                  <w:proofErr w:type="gramStart"/>
                  <w:r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联部门</w:t>
                  </w:r>
                  <w:proofErr w:type="gramEnd"/>
                  <w:r w:rsidR="00677480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成员</w:t>
                  </w:r>
                  <w:r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和</w:t>
                  </w:r>
                  <w:r w:rsidR="00677480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部门</w:t>
                  </w:r>
                  <w:r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准成员中的</w:t>
                  </w:r>
                  <w:r w:rsidR="00DD0C88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代表性</w:t>
                  </w:r>
                  <w:r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仍</w:t>
                  </w:r>
                  <w:r w:rsidR="00DD0C88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存在巨大</w:t>
                  </w:r>
                  <w:r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差距。</w:t>
                  </w:r>
                </w:p>
                <w:p w14:paraId="3DF0DC9D" w14:textId="10AE1C67" w:rsidR="009C5830" w:rsidRPr="008030BC" w:rsidRDefault="00DD0C88" w:rsidP="003C3881">
                  <w:pPr>
                    <w:tabs>
                      <w:tab w:val="num" w:pos="720"/>
                    </w:tabs>
                    <w:spacing w:after="120"/>
                    <w:ind w:firstLineChars="200" w:firstLine="440"/>
                    <w:jc w:val="both"/>
                    <w:rPr>
                      <w:sz w:val="22"/>
                      <w:szCs w:val="22"/>
                      <w:lang w:val="en-US" w:eastAsia="zh-CN"/>
                    </w:rPr>
                  </w:pPr>
                  <w:proofErr w:type="gramStart"/>
                  <w:r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基于</w:t>
                  </w:r>
                  <w:r w:rsidR="00F90DF9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世界</w:t>
                  </w:r>
                  <w:proofErr w:type="gramEnd"/>
                  <w:r w:rsidR="00F90DF9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电信发展大会（</w:t>
                  </w:r>
                  <w:r w:rsidR="00F90DF9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WTDC</w:t>
                  </w:r>
                  <w:r w:rsidR="00F90DF9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）、理事会、其他大会等</w:t>
                  </w:r>
                  <w:r w:rsidR="004245B7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会议</w:t>
                  </w:r>
                  <w:r w:rsidR="00F90DF9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的输入意见，全权代表</w:t>
                  </w:r>
                  <w:r w:rsidR="004245B7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大会</w:t>
                  </w:r>
                  <w:r w:rsidR="00F90DF9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（</w:t>
                  </w:r>
                  <w:r w:rsidR="00F90DF9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PP-18</w:t>
                  </w:r>
                  <w:r w:rsidR="00F90DF9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）</w:t>
                  </w:r>
                  <w:r w:rsidR="007A0E2B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做出决议，</w:t>
                  </w:r>
                  <w:r w:rsidR="00C36A4B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通过</w:t>
                  </w:r>
                  <w:r w:rsidR="00807A62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为</w:t>
                  </w:r>
                  <w:r w:rsidR="00C36A4B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中小型企业（</w:t>
                  </w:r>
                  <w:r w:rsidR="00F90DF9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SME</w:t>
                  </w:r>
                  <w:r w:rsidR="00C36A4B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）</w:t>
                  </w:r>
                  <w:r w:rsidR="00807A62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制定</w:t>
                  </w:r>
                  <w:r w:rsidR="000451F0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相比</w:t>
                  </w:r>
                  <w:r w:rsidR="0060598C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其他私营部门成员</w:t>
                  </w:r>
                  <w:r w:rsidR="000451F0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更低</w:t>
                  </w:r>
                  <w:r w:rsidR="0060598C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的会费</w:t>
                  </w:r>
                  <w:r w:rsidR="00DB5EED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等级</w:t>
                  </w:r>
                  <w:r w:rsidR="0060598C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，</w:t>
                  </w:r>
                  <w:r w:rsidR="00C36A4B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鼓励</w:t>
                  </w:r>
                  <w:r w:rsidR="00C36A4B" w:rsidRPr="008030BC">
                    <w:rPr>
                      <w:sz w:val="22"/>
                      <w:szCs w:val="22"/>
                      <w:lang w:eastAsia="zh-CN"/>
                    </w:rPr>
                    <w:t>SME</w:t>
                  </w:r>
                  <w:r w:rsidR="00C36A4B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成为国际电</w:t>
                  </w:r>
                  <w:proofErr w:type="gramStart"/>
                  <w:r w:rsidR="00C36A4B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联部门</w:t>
                  </w:r>
                  <w:proofErr w:type="gramEnd"/>
                  <w:r w:rsidR="00C36A4B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准成员</w:t>
                  </w:r>
                  <w:r w:rsidR="0066390E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，</w:t>
                  </w:r>
                  <w:r w:rsidR="000451F0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但</w:t>
                  </w:r>
                  <w:r w:rsidR="00A27FC8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须</w:t>
                  </w:r>
                  <w:r w:rsidR="000451F0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由理事会不断进行审查</w:t>
                  </w:r>
                  <w:r w:rsidR="00F90DF9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。其他</w:t>
                  </w:r>
                  <w:r w:rsidR="00F90DF9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PP</w:t>
                  </w:r>
                  <w:r w:rsidR="00F90DF9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、</w:t>
                  </w:r>
                  <w:r w:rsidR="00F90DF9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WTDC</w:t>
                  </w:r>
                  <w:r w:rsidR="00F90DF9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、</w:t>
                  </w:r>
                  <w:r w:rsidR="002F43A3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世界电信标准化全会（</w:t>
                  </w:r>
                  <w:r w:rsidR="00F90DF9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WTSA</w:t>
                  </w:r>
                  <w:r w:rsidR="002F43A3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）</w:t>
                  </w:r>
                  <w:r w:rsidR="00F90DF9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决议强调对</w:t>
                  </w:r>
                  <w:r w:rsidR="0087300E" w:rsidRPr="008030BC">
                    <w:rPr>
                      <w:sz w:val="22"/>
                      <w:szCs w:val="22"/>
                      <w:lang w:eastAsia="zh-CN"/>
                    </w:rPr>
                    <w:t>LDC</w:t>
                  </w:r>
                  <w:r w:rsidR="0087300E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、</w:t>
                  </w:r>
                  <w:r w:rsidR="0087300E" w:rsidRPr="008030BC">
                    <w:rPr>
                      <w:sz w:val="22"/>
                      <w:szCs w:val="22"/>
                      <w:lang w:eastAsia="zh-CN"/>
                    </w:rPr>
                    <w:t>LLDC</w:t>
                  </w:r>
                  <w:r w:rsidR="0087300E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、</w:t>
                  </w:r>
                  <w:r w:rsidR="0087300E" w:rsidRPr="008030BC">
                    <w:rPr>
                      <w:sz w:val="22"/>
                      <w:szCs w:val="22"/>
                      <w:lang w:eastAsia="zh-CN"/>
                    </w:rPr>
                    <w:t>SIDS</w:t>
                  </w:r>
                  <w:r w:rsidR="000A291B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和</w:t>
                  </w:r>
                  <w:r w:rsidR="0087300E" w:rsidRPr="008030BC">
                    <w:rPr>
                      <w:sz w:val="22"/>
                      <w:szCs w:val="22"/>
                      <w:lang w:eastAsia="zh-CN"/>
                    </w:rPr>
                    <w:t>CISN</w:t>
                  </w:r>
                  <w:r w:rsidR="00F90DF9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的关注。</w:t>
                  </w:r>
                </w:p>
                <w:p w14:paraId="776FF08F" w14:textId="20741497" w:rsidR="009C5830" w:rsidRPr="008030BC" w:rsidRDefault="00A408EC" w:rsidP="00000FF9">
                  <w:pPr>
                    <w:spacing w:after="120"/>
                    <w:ind w:firstLineChars="200" w:firstLine="440"/>
                    <w:rPr>
                      <w:sz w:val="22"/>
                      <w:szCs w:val="22"/>
                      <w:lang w:eastAsia="zh-CN"/>
                    </w:rPr>
                  </w:pPr>
                  <w:r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根据</w:t>
                  </w:r>
                  <w:r w:rsidR="0070414D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对国际电联成员数据的分析，</w:t>
                  </w:r>
                  <w:r w:rsidR="00CF2DA1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发现</w:t>
                  </w:r>
                  <w:r w:rsidR="0070414D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：</w:t>
                  </w:r>
                </w:p>
                <w:p w14:paraId="0DBCD2C3" w14:textId="45D1BA01" w:rsidR="009C5830" w:rsidRPr="008030BC" w:rsidRDefault="00000FF9" w:rsidP="00000FF9">
                  <w:pPr>
                    <w:pStyle w:val="enumlev1"/>
                    <w:rPr>
                      <w:sz w:val="22"/>
                      <w:szCs w:val="22"/>
                      <w:lang w:val="en-US" w:eastAsia="zh-CN"/>
                    </w:rPr>
                  </w:pPr>
                  <w:r w:rsidRPr="008030BC">
                    <w:rPr>
                      <w:sz w:val="22"/>
                      <w:szCs w:val="22"/>
                      <w:lang w:eastAsia="zh-CN"/>
                    </w:rPr>
                    <w:t>•</w:t>
                  </w:r>
                  <w:r w:rsidRPr="008030BC">
                    <w:rPr>
                      <w:sz w:val="22"/>
                      <w:szCs w:val="22"/>
                      <w:lang w:val="fr-CH" w:eastAsia="zh-CN"/>
                    </w:rPr>
                    <w:tab/>
                  </w:r>
                  <w:r w:rsidR="002C6734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来自</w:t>
                  </w:r>
                  <w:r w:rsidR="000E6EC2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LDC</w:t>
                  </w:r>
                  <w:r w:rsidR="000E6EC2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、</w:t>
                  </w:r>
                  <w:r w:rsidR="000E6EC2" w:rsidRPr="008030BC">
                    <w:rPr>
                      <w:sz w:val="22"/>
                      <w:szCs w:val="22"/>
                      <w:lang w:eastAsia="zh-CN"/>
                    </w:rPr>
                    <w:t>LLDC</w:t>
                  </w:r>
                  <w:r w:rsidR="000E6EC2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、</w:t>
                  </w:r>
                  <w:r w:rsidR="000E6EC2" w:rsidRPr="008030BC">
                    <w:rPr>
                      <w:sz w:val="22"/>
                      <w:szCs w:val="22"/>
                      <w:lang w:eastAsia="zh-CN"/>
                    </w:rPr>
                    <w:t>SIDS</w:t>
                  </w:r>
                  <w:r w:rsidR="000E6EC2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、</w:t>
                  </w:r>
                  <w:r w:rsidR="000E6EC2" w:rsidRPr="008030BC">
                    <w:rPr>
                      <w:sz w:val="22"/>
                      <w:szCs w:val="22"/>
                      <w:lang w:eastAsia="zh-CN"/>
                    </w:rPr>
                    <w:t>CISN</w:t>
                  </w:r>
                  <w:r w:rsidR="000E6EC2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业界和学术界</w:t>
                  </w:r>
                  <w:r w:rsidR="00663A17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的部门</w:t>
                  </w:r>
                  <w:r w:rsidR="000E6EC2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成员</w:t>
                  </w:r>
                  <w:r w:rsidR="00A2765D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及</w:t>
                  </w:r>
                  <w:r w:rsidR="00663A17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学术成员的</w:t>
                  </w:r>
                  <w:r w:rsidR="000E6EC2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代表性有限。在</w:t>
                  </w:r>
                  <w:r w:rsidR="00663A17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标准化</w:t>
                  </w:r>
                  <w:r w:rsidR="000E6EC2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、</w:t>
                  </w:r>
                  <w:r w:rsidR="00663A17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无线电通信</w:t>
                  </w:r>
                  <w:r w:rsidR="000E6EC2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部门更</w:t>
                  </w:r>
                  <w:r w:rsidR="00C47ACC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是如此</w:t>
                  </w:r>
                  <w:r w:rsidR="000E6EC2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。</w:t>
                  </w:r>
                  <w:r w:rsidR="00FA7BA0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（业界</w:t>
                  </w:r>
                  <w:r w:rsidR="000E6EC2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/</w:t>
                  </w:r>
                  <w:r w:rsidR="000E6EC2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学术界成员</w:t>
                  </w:r>
                  <w:r w:rsidR="008E6B13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可能</w:t>
                  </w:r>
                  <w:r w:rsidR="000E6EC2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作为国家代表团的一部分参加，这</w:t>
                  </w:r>
                  <w:r w:rsidR="00800712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在一</w:t>
                  </w:r>
                  <w:r w:rsidR="000E6EC2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开始</w:t>
                  </w:r>
                  <w:r w:rsidR="00760069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难以</w:t>
                  </w:r>
                  <w:r w:rsidR="00E25392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获悉</w:t>
                  </w:r>
                  <w:r w:rsidR="000E6EC2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）。</w:t>
                  </w:r>
                </w:p>
                <w:p w14:paraId="1FEE4AC6" w14:textId="12BDADD5" w:rsidR="009C5830" w:rsidRPr="008030BC" w:rsidRDefault="00000FF9" w:rsidP="00000FF9">
                  <w:pPr>
                    <w:pStyle w:val="enumlev1"/>
                    <w:rPr>
                      <w:sz w:val="22"/>
                      <w:szCs w:val="22"/>
                      <w:lang w:eastAsia="zh-CN"/>
                    </w:rPr>
                  </w:pPr>
                  <w:r w:rsidRPr="008030BC">
                    <w:rPr>
                      <w:sz w:val="22"/>
                      <w:szCs w:val="22"/>
                      <w:lang w:eastAsia="zh-CN"/>
                    </w:rPr>
                    <w:t>•</w:t>
                  </w:r>
                  <w:r w:rsidRPr="008030BC">
                    <w:rPr>
                      <w:sz w:val="22"/>
                      <w:szCs w:val="22"/>
                      <w:lang w:val="fr-CH" w:eastAsia="zh-CN"/>
                    </w:rPr>
                    <w:tab/>
                  </w:r>
                  <w:r w:rsidR="001118A8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一个加强努力的机会，对</w:t>
                  </w:r>
                  <w:r w:rsidR="003A3F86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面向</w:t>
                  </w:r>
                  <w:r w:rsidR="00270683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这些国家业界和学术界</w:t>
                  </w:r>
                  <w:r w:rsidR="001118A8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的持续</w:t>
                  </w:r>
                  <w:r w:rsidR="00F259D3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手把手指导</w:t>
                  </w:r>
                  <w:r w:rsidR="001118A8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进行补充</w:t>
                  </w:r>
                  <w:r w:rsidR="00270683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，</w:t>
                  </w:r>
                  <w:r w:rsidR="00A03B28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加强</w:t>
                  </w:r>
                  <w:r w:rsidR="002E25DF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其</w:t>
                  </w:r>
                  <w:r w:rsidR="00270683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参与。</w:t>
                  </w:r>
                </w:p>
                <w:p w14:paraId="13B74FCB" w14:textId="2341D9E5" w:rsidR="009C5830" w:rsidRPr="008030BC" w:rsidRDefault="00270683" w:rsidP="006522FA">
                  <w:pPr>
                    <w:spacing w:after="120"/>
                    <w:rPr>
                      <w:sz w:val="22"/>
                      <w:szCs w:val="22"/>
                      <w:lang w:eastAsia="zh-CN"/>
                    </w:rPr>
                  </w:pPr>
                  <w:r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（更多详情见分析</w:t>
                  </w:r>
                  <w:r w:rsidR="00B62F4E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部分</w:t>
                  </w:r>
                  <w:r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，亦</w:t>
                  </w:r>
                  <w:hyperlink r:id="rId12" w:history="1">
                    <w:r w:rsidR="00B62F4E" w:rsidRPr="008030BC">
                      <w:rPr>
                        <w:rStyle w:val="Hyperlink"/>
                        <w:rFonts w:hint="eastAsia"/>
                        <w:sz w:val="22"/>
                        <w:szCs w:val="22"/>
                        <w:lang w:eastAsia="zh-CN"/>
                      </w:rPr>
                      <w:t>可见</w:t>
                    </w:r>
                    <w:r w:rsidRPr="008030BC">
                      <w:rPr>
                        <w:rStyle w:val="Hyperlink"/>
                        <w:rFonts w:hint="eastAsia"/>
                        <w:sz w:val="22"/>
                        <w:szCs w:val="22"/>
                        <w:lang w:eastAsia="zh-CN"/>
                      </w:rPr>
                      <w:t>PPT</w:t>
                    </w:r>
                  </w:hyperlink>
                  <w:r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）</w:t>
                  </w:r>
                </w:p>
                <w:p w14:paraId="171D5185" w14:textId="456392E3" w:rsidR="00C203FF" w:rsidRPr="008030BC" w:rsidRDefault="00977733" w:rsidP="006522FA">
                  <w:pPr>
                    <w:spacing w:after="120"/>
                    <w:rPr>
                      <w:b/>
                      <w:sz w:val="22"/>
                      <w:szCs w:val="22"/>
                      <w:lang w:eastAsia="zh-CN"/>
                    </w:rPr>
                  </w:pPr>
                  <w:r w:rsidRPr="008030BC">
                    <w:rPr>
                      <w:rFonts w:hint="eastAsia"/>
                      <w:b/>
                      <w:sz w:val="22"/>
                      <w:szCs w:val="22"/>
                      <w:lang w:eastAsia="zh-CN"/>
                    </w:rPr>
                    <w:t>需采取的行动</w:t>
                  </w:r>
                </w:p>
                <w:p w14:paraId="0F7C26E8" w14:textId="3E7E92D8" w:rsidR="00854829" w:rsidRPr="008030BC" w:rsidRDefault="004B50AC" w:rsidP="00584C51">
                  <w:pPr>
                    <w:pStyle w:val="Reasons"/>
                    <w:spacing w:after="120"/>
                    <w:ind w:firstLineChars="200" w:firstLine="440"/>
                    <w:rPr>
                      <w:sz w:val="22"/>
                      <w:szCs w:val="22"/>
                      <w:lang w:eastAsia="zh-CN"/>
                    </w:rPr>
                  </w:pPr>
                  <w:r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请理事会</w:t>
                  </w:r>
                  <w:r w:rsidRPr="008030BC">
                    <w:rPr>
                      <w:rFonts w:hint="eastAsia"/>
                      <w:b/>
                      <w:bCs/>
                      <w:sz w:val="22"/>
                      <w:szCs w:val="22"/>
                      <w:lang w:eastAsia="zh-CN"/>
                    </w:rPr>
                    <w:t>审议</w:t>
                  </w:r>
                  <w:r w:rsidR="00DE6E23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提案</w:t>
                  </w:r>
                  <w:r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部分</w:t>
                  </w:r>
                  <w:r w:rsidR="001A0E59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提出</w:t>
                  </w:r>
                  <w:r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的具体行动，</w:t>
                  </w:r>
                  <w:r w:rsidR="00FC3DAB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以</w:t>
                  </w:r>
                  <w:r w:rsidR="005137DF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加</w:t>
                  </w:r>
                  <w:r w:rsidR="00FC3DAB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强</w:t>
                  </w:r>
                  <w:r w:rsidR="008F1F9A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与</w:t>
                  </w:r>
                  <w:r w:rsidR="00A70763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所述</w:t>
                  </w:r>
                  <w:r w:rsidR="00E00C20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类别</w:t>
                  </w:r>
                  <w:r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国家私营部门和学术界</w:t>
                  </w:r>
                  <w:r w:rsidR="00BA2069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的</w:t>
                  </w:r>
                  <w:r w:rsidR="008F1F9A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接触</w:t>
                  </w:r>
                  <w:r w:rsidR="00BA2069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以及</w:t>
                  </w:r>
                  <w:r w:rsidR="00D92CDE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他们</w:t>
                  </w:r>
                  <w:r w:rsidR="00BA2069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对</w:t>
                  </w:r>
                  <w:r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国际电联活动</w:t>
                  </w:r>
                  <w:r w:rsidR="00BA2069"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的参与</w:t>
                  </w:r>
                  <w:r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。</w:t>
                  </w:r>
                </w:p>
                <w:p w14:paraId="28ED38B9" w14:textId="77777777" w:rsidR="00854829" w:rsidRPr="008030BC" w:rsidRDefault="00854829" w:rsidP="006522FA">
                  <w:pPr>
                    <w:spacing w:after="120"/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8030BC">
                    <w:rPr>
                      <w:sz w:val="22"/>
                      <w:szCs w:val="22"/>
                      <w:lang w:eastAsia="zh-CN"/>
                    </w:rPr>
                    <w:t>______________</w:t>
                  </w:r>
                </w:p>
                <w:p w14:paraId="035DE9B2" w14:textId="67A59A37" w:rsidR="006714FC" w:rsidRPr="008030BC" w:rsidRDefault="00977733" w:rsidP="006522FA">
                  <w:pPr>
                    <w:pStyle w:val="Headingb"/>
                    <w:spacing w:before="120" w:after="120"/>
                    <w:rPr>
                      <w:sz w:val="22"/>
                      <w:szCs w:val="22"/>
                      <w:lang w:eastAsia="zh-CN"/>
                    </w:rPr>
                  </w:pPr>
                  <w:r w:rsidRPr="008030BC">
                    <w:rPr>
                      <w:rFonts w:hint="eastAsia"/>
                      <w:sz w:val="22"/>
                      <w:szCs w:val="22"/>
                      <w:lang w:eastAsia="zh-CN"/>
                    </w:rPr>
                    <w:t>参考文件</w:t>
                  </w:r>
                </w:p>
                <w:p w14:paraId="25681A8A" w14:textId="15E10CD1" w:rsidR="006714FC" w:rsidRPr="008030BC" w:rsidRDefault="00815A0B" w:rsidP="00031790">
                  <w:pPr>
                    <w:pStyle w:val="ListParagraph"/>
                    <w:tabs>
                      <w:tab w:val="clear" w:pos="567"/>
                      <w:tab w:val="clear" w:pos="1134"/>
                      <w:tab w:val="clear" w:pos="1701"/>
                      <w:tab w:val="clear" w:pos="2268"/>
                      <w:tab w:val="clear" w:pos="2835"/>
                    </w:tabs>
                    <w:overflowPunct/>
                    <w:spacing w:after="120"/>
                    <w:ind w:left="0" w:firstLineChars="200" w:firstLine="440"/>
                    <w:contextualSpacing w:val="0"/>
                    <w:jc w:val="both"/>
                    <w:textAlignment w:val="auto"/>
                    <w:rPr>
                      <w:rFonts w:cstheme="minorHAnsi"/>
                      <w:sz w:val="22"/>
                      <w:szCs w:val="22"/>
                      <w:lang w:eastAsia="zh-CN"/>
                    </w:rPr>
                  </w:pPr>
                  <w:r w:rsidRPr="008030BC">
                    <w:rPr>
                      <w:rFonts w:cstheme="minorHAnsi" w:hint="eastAsia"/>
                      <w:sz w:val="22"/>
                      <w:szCs w:val="22"/>
                      <w:lang w:eastAsia="zh-CN"/>
                    </w:rPr>
                    <w:t>全权代表大会</w:t>
                  </w:r>
                  <w:r w:rsidR="001507AB" w:rsidRPr="008030BC">
                    <w:rPr>
                      <w:rFonts w:cstheme="minorHAnsi" w:hint="eastAsia"/>
                      <w:sz w:val="22"/>
                      <w:szCs w:val="22"/>
                      <w:lang w:eastAsia="zh-CN"/>
                    </w:rPr>
                    <w:t>（</w:t>
                  </w:r>
                  <w:r w:rsidR="001507AB" w:rsidRPr="008030BC">
                    <w:rPr>
                      <w:rFonts w:cstheme="minorHAnsi" w:hint="eastAsia"/>
                      <w:sz w:val="22"/>
                      <w:szCs w:val="22"/>
                      <w:lang w:eastAsia="zh-CN"/>
                    </w:rPr>
                    <w:t>PP</w:t>
                  </w:r>
                  <w:r w:rsidR="001507AB" w:rsidRPr="008030BC">
                    <w:rPr>
                      <w:rFonts w:cstheme="minorHAnsi" w:hint="eastAsia"/>
                      <w:sz w:val="22"/>
                      <w:szCs w:val="22"/>
                      <w:lang w:eastAsia="zh-CN"/>
                    </w:rPr>
                    <w:t>）</w:t>
                  </w:r>
                  <w:hyperlink r:id="rId13" w:history="1">
                    <w:r w:rsidRPr="008030BC">
                      <w:rPr>
                        <w:rStyle w:val="Hyperlink"/>
                        <w:rFonts w:cstheme="minorHAnsi" w:hint="eastAsia"/>
                        <w:sz w:val="22"/>
                        <w:szCs w:val="22"/>
                        <w:lang w:eastAsia="zh-CN"/>
                      </w:rPr>
                      <w:t>第</w:t>
                    </w:r>
                    <w:r w:rsidRPr="008030BC">
                      <w:rPr>
                        <w:rStyle w:val="Hyperlink"/>
                        <w:rFonts w:cstheme="minorHAnsi" w:hint="eastAsia"/>
                        <w:sz w:val="22"/>
                        <w:szCs w:val="22"/>
                        <w:lang w:eastAsia="zh-CN"/>
                      </w:rPr>
                      <w:t>3</w:t>
                    </w:r>
                    <w:r w:rsidRPr="008030BC">
                      <w:rPr>
                        <w:rStyle w:val="Hyperlink"/>
                        <w:rFonts w:cstheme="minorHAnsi"/>
                        <w:sz w:val="22"/>
                        <w:szCs w:val="22"/>
                        <w:lang w:eastAsia="zh-CN"/>
                      </w:rPr>
                      <w:t>0</w:t>
                    </w:r>
                    <w:r w:rsidRPr="008030BC">
                      <w:rPr>
                        <w:rStyle w:val="Hyperlink"/>
                        <w:rFonts w:cstheme="minorHAnsi" w:hint="eastAsia"/>
                        <w:sz w:val="22"/>
                        <w:szCs w:val="22"/>
                        <w:lang w:eastAsia="zh-CN"/>
                      </w:rPr>
                      <w:t>号决议（</w:t>
                    </w:r>
                    <w:r w:rsidRPr="008030BC">
                      <w:rPr>
                        <w:rStyle w:val="Hyperlink"/>
                        <w:rFonts w:cstheme="minorHAnsi" w:hint="eastAsia"/>
                        <w:sz w:val="22"/>
                        <w:szCs w:val="22"/>
                        <w:lang w:eastAsia="zh-CN"/>
                      </w:rPr>
                      <w:t>2018</w:t>
                    </w:r>
                    <w:r w:rsidRPr="008030BC">
                      <w:rPr>
                        <w:rStyle w:val="Hyperlink"/>
                        <w:rFonts w:cstheme="minorHAnsi" w:hint="eastAsia"/>
                        <w:sz w:val="22"/>
                        <w:szCs w:val="22"/>
                        <w:lang w:eastAsia="zh-CN"/>
                      </w:rPr>
                      <w:t>年，迪拜，修订版）</w:t>
                    </w:r>
                  </w:hyperlink>
                  <w:r w:rsidRPr="008030BC">
                    <w:rPr>
                      <w:rFonts w:cstheme="minorHAnsi" w:hint="eastAsia"/>
                      <w:sz w:val="22"/>
                      <w:szCs w:val="22"/>
                      <w:lang w:eastAsia="zh-CN"/>
                    </w:rPr>
                    <w:t>、</w:t>
                  </w:r>
                  <w:hyperlink r:id="rId14" w:history="1">
                    <w:r w:rsidRPr="008030BC">
                      <w:rPr>
                        <w:rStyle w:val="Hyperlink"/>
                        <w:rFonts w:cstheme="minorHAnsi" w:hint="eastAsia"/>
                        <w:sz w:val="22"/>
                        <w:szCs w:val="22"/>
                        <w:lang w:eastAsia="zh-CN"/>
                      </w:rPr>
                      <w:t>第</w:t>
                    </w:r>
                    <w:r w:rsidRPr="008030BC">
                      <w:rPr>
                        <w:rStyle w:val="Hyperlink"/>
                        <w:rFonts w:cstheme="minorHAnsi" w:hint="eastAsia"/>
                        <w:sz w:val="22"/>
                        <w:szCs w:val="22"/>
                        <w:lang w:eastAsia="zh-CN"/>
                      </w:rPr>
                      <w:t>3</w:t>
                    </w:r>
                    <w:r w:rsidRPr="008030BC">
                      <w:rPr>
                        <w:rStyle w:val="Hyperlink"/>
                        <w:rFonts w:cstheme="minorHAnsi"/>
                        <w:sz w:val="22"/>
                        <w:szCs w:val="22"/>
                        <w:lang w:eastAsia="zh-CN"/>
                      </w:rPr>
                      <w:t>4</w:t>
                    </w:r>
                    <w:r w:rsidRPr="008030BC">
                      <w:rPr>
                        <w:rStyle w:val="Hyperlink"/>
                        <w:rFonts w:cstheme="minorHAnsi" w:hint="eastAsia"/>
                        <w:sz w:val="22"/>
                        <w:szCs w:val="22"/>
                        <w:lang w:eastAsia="zh-CN"/>
                      </w:rPr>
                      <w:t>号决议（</w:t>
                    </w:r>
                    <w:r w:rsidRPr="008030BC">
                      <w:rPr>
                        <w:rStyle w:val="Hyperlink"/>
                        <w:rFonts w:cstheme="minorHAnsi" w:hint="eastAsia"/>
                        <w:sz w:val="22"/>
                        <w:szCs w:val="22"/>
                        <w:lang w:eastAsia="zh-CN"/>
                      </w:rPr>
                      <w:t>2018</w:t>
                    </w:r>
                    <w:r w:rsidRPr="008030BC">
                      <w:rPr>
                        <w:rStyle w:val="Hyperlink"/>
                        <w:rFonts w:cstheme="minorHAnsi" w:hint="eastAsia"/>
                        <w:sz w:val="22"/>
                        <w:szCs w:val="22"/>
                        <w:lang w:eastAsia="zh-CN"/>
                      </w:rPr>
                      <w:t>年，迪拜，修订版）</w:t>
                    </w:r>
                  </w:hyperlink>
                  <w:r w:rsidRPr="008030BC">
                    <w:rPr>
                      <w:rFonts w:cstheme="minorHAnsi" w:hint="eastAsia"/>
                      <w:sz w:val="22"/>
                      <w:szCs w:val="22"/>
                      <w:lang w:eastAsia="zh-CN"/>
                    </w:rPr>
                    <w:t>、</w:t>
                  </w:r>
                  <w:hyperlink r:id="rId15" w:history="1">
                    <w:r w:rsidRPr="008030BC">
                      <w:rPr>
                        <w:rStyle w:val="Hyperlink"/>
                        <w:rFonts w:cstheme="minorHAnsi" w:hint="eastAsia"/>
                        <w:sz w:val="22"/>
                        <w:szCs w:val="22"/>
                        <w:lang w:eastAsia="zh-CN"/>
                      </w:rPr>
                      <w:t>第</w:t>
                    </w:r>
                    <w:r w:rsidRPr="008030BC">
                      <w:rPr>
                        <w:rStyle w:val="Hyperlink"/>
                        <w:rFonts w:cstheme="minorHAnsi" w:hint="eastAsia"/>
                        <w:sz w:val="22"/>
                        <w:szCs w:val="22"/>
                        <w:lang w:eastAsia="zh-CN"/>
                      </w:rPr>
                      <w:t>2</w:t>
                    </w:r>
                    <w:r w:rsidRPr="008030BC">
                      <w:rPr>
                        <w:rStyle w:val="Hyperlink"/>
                        <w:rFonts w:cstheme="minorHAnsi"/>
                        <w:sz w:val="22"/>
                        <w:szCs w:val="22"/>
                        <w:lang w:eastAsia="zh-CN"/>
                      </w:rPr>
                      <w:t>05</w:t>
                    </w:r>
                    <w:r w:rsidRPr="008030BC">
                      <w:rPr>
                        <w:rStyle w:val="Hyperlink"/>
                        <w:rFonts w:cstheme="minorHAnsi" w:hint="eastAsia"/>
                        <w:sz w:val="22"/>
                        <w:szCs w:val="22"/>
                        <w:lang w:eastAsia="zh-CN"/>
                      </w:rPr>
                      <w:t>号决议（</w:t>
                    </w:r>
                    <w:r w:rsidRPr="008030BC">
                      <w:rPr>
                        <w:rStyle w:val="Hyperlink"/>
                        <w:rFonts w:cstheme="minorHAnsi" w:hint="eastAsia"/>
                        <w:sz w:val="22"/>
                        <w:szCs w:val="22"/>
                        <w:lang w:eastAsia="zh-CN"/>
                      </w:rPr>
                      <w:t>2018</w:t>
                    </w:r>
                    <w:r w:rsidRPr="008030BC">
                      <w:rPr>
                        <w:rStyle w:val="Hyperlink"/>
                        <w:rFonts w:cstheme="minorHAnsi" w:hint="eastAsia"/>
                        <w:sz w:val="22"/>
                        <w:szCs w:val="22"/>
                        <w:lang w:eastAsia="zh-CN"/>
                      </w:rPr>
                      <w:t>年，迪拜）</w:t>
                    </w:r>
                  </w:hyperlink>
                  <w:r w:rsidRPr="008030BC">
                    <w:rPr>
                      <w:rFonts w:cstheme="minorHAnsi" w:hint="eastAsia"/>
                      <w:sz w:val="22"/>
                      <w:szCs w:val="22"/>
                      <w:lang w:eastAsia="zh-CN"/>
                    </w:rPr>
                    <w:t>、</w:t>
                  </w:r>
                  <w:hyperlink r:id="rId16" w:history="1">
                    <w:r w:rsidRPr="008030BC">
                      <w:rPr>
                        <w:rStyle w:val="Hyperlink"/>
                        <w:rFonts w:cstheme="minorHAnsi" w:hint="eastAsia"/>
                        <w:sz w:val="22"/>
                        <w:szCs w:val="22"/>
                        <w:lang w:eastAsia="zh-CN"/>
                      </w:rPr>
                      <w:t>第</w:t>
                    </w:r>
                    <w:r w:rsidRPr="008030BC">
                      <w:rPr>
                        <w:rStyle w:val="Hyperlink"/>
                        <w:rFonts w:cstheme="minorHAnsi" w:hint="eastAsia"/>
                        <w:sz w:val="22"/>
                        <w:szCs w:val="22"/>
                        <w:lang w:eastAsia="zh-CN"/>
                      </w:rPr>
                      <w:t>2</w:t>
                    </w:r>
                    <w:r w:rsidRPr="008030BC">
                      <w:rPr>
                        <w:rStyle w:val="Hyperlink"/>
                        <w:rFonts w:cstheme="minorHAnsi"/>
                        <w:sz w:val="22"/>
                        <w:szCs w:val="22"/>
                        <w:lang w:eastAsia="zh-CN"/>
                      </w:rPr>
                      <w:t>09</w:t>
                    </w:r>
                    <w:r w:rsidRPr="008030BC">
                      <w:rPr>
                        <w:rStyle w:val="Hyperlink"/>
                        <w:rFonts w:cstheme="minorHAnsi" w:hint="eastAsia"/>
                        <w:sz w:val="22"/>
                        <w:szCs w:val="22"/>
                        <w:lang w:eastAsia="zh-CN"/>
                      </w:rPr>
                      <w:t>号决议（</w:t>
                    </w:r>
                    <w:r w:rsidRPr="008030BC">
                      <w:rPr>
                        <w:rStyle w:val="Hyperlink"/>
                        <w:rFonts w:cstheme="minorHAnsi" w:hint="eastAsia"/>
                        <w:sz w:val="22"/>
                        <w:szCs w:val="22"/>
                        <w:lang w:eastAsia="zh-CN"/>
                      </w:rPr>
                      <w:t>2018</w:t>
                    </w:r>
                    <w:r w:rsidRPr="008030BC">
                      <w:rPr>
                        <w:rStyle w:val="Hyperlink"/>
                        <w:rFonts w:cstheme="minorHAnsi" w:hint="eastAsia"/>
                        <w:sz w:val="22"/>
                        <w:szCs w:val="22"/>
                        <w:lang w:eastAsia="zh-CN"/>
                      </w:rPr>
                      <w:t>年，迪拜）</w:t>
                    </w:r>
                  </w:hyperlink>
                  <w:r w:rsidRPr="008030BC">
                    <w:rPr>
                      <w:rFonts w:cstheme="minorHAnsi" w:hint="eastAsia"/>
                      <w:sz w:val="22"/>
                      <w:szCs w:val="22"/>
                      <w:lang w:eastAsia="zh-CN"/>
                    </w:rPr>
                    <w:t>、</w:t>
                  </w:r>
                  <w:hyperlink r:id="rId17" w:history="1">
                    <w:r w:rsidRPr="008030BC">
                      <w:rPr>
                        <w:rStyle w:val="Hyperlink"/>
                        <w:rFonts w:cstheme="minorHAnsi" w:hint="eastAsia"/>
                        <w:sz w:val="22"/>
                        <w:szCs w:val="22"/>
                        <w:lang w:eastAsia="zh-CN"/>
                      </w:rPr>
                      <w:t>第</w:t>
                    </w:r>
                    <w:r w:rsidRPr="008030BC">
                      <w:rPr>
                        <w:rStyle w:val="Hyperlink"/>
                        <w:rFonts w:cstheme="minorHAnsi" w:hint="eastAsia"/>
                        <w:sz w:val="22"/>
                        <w:szCs w:val="22"/>
                        <w:lang w:eastAsia="zh-CN"/>
                      </w:rPr>
                      <w:t>1</w:t>
                    </w:r>
                    <w:r w:rsidRPr="008030BC">
                      <w:rPr>
                        <w:rStyle w:val="Hyperlink"/>
                        <w:rFonts w:cstheme="minorHAnsi"/>
                        <w:sz w:val="22"/>
                        <w:szCs w:val="22"/>
                        <w:lang w:eastAsia="zh-CN"/>
                      </w:rPr>
                      <w:t>23</w:t>
                    </w:r>
                    <w:r w:rsidRPr="008030BC">
                      <w:rPr>
                        <w:rStyle w:val="Hyperlink"/>
                        <w:rFonts w:cstheme="minorHAnsi" w:hint="eastAsia"/>
                        <w:sz w:val="22"/>
                        <w:szCs w:val="22"/>
                        <w:lang w:eastAsia="zh-CN"/>
                      </w:rPr>
                      <w:t>号决议（</w:t>
                    </w:r>
                    <w:r w:rsidRPr="008030BC">
                      <w:rPr>
                        <w:rStyle w:val="Hyperlink"/>
                        <w:rFonts w:cstheme="minorHAnsi" w:hint="eastAsia"/>
                        <w:sz w:val="22"/>
                        <w:szCs w:val="22"/>
                        <w:lang w:eastAsia="zh-CN"/>
                      </w:rPr>
                      <w:t>2018</w:t>
                    </w:r>
                    <w:r w:rsidRPr="008030BC">
                      <w:rPr>
                        <w:rStyle w:val="Hyperlink"/>
                        <w:rFonts w:cstheme="minorHAnsi" w:hint="eastAsia"/>
                        <w:sz w:val="22"/>
                        <w:szCs w:val="22"/>
                        <w:lang w:eastAsia="zh-CN"/>
                      </w:rPr>
                      <w:t>年，迪拜，修订版）</w:t>
                    </w:r>
                  </w:hyperlink>
                  <w:r w:rsidRPr="008030BC">
                    <w:rPr>
                      <w:rFonts w:cstheme="minorHAnsi" w:hint="eastAsia"/>
                      <w:sz w:val="22"/>
                      <w:szCs w:val="22"/>
                      <w:lang w:eastAsia="zh-CN"/>
                    </w:rPr>
                    <w:t>；</w:t>
                  </w:r>
                  <w:r w:rsidR="00AF6C73" w:rsidRPr="008030BC">
                    <w:rPr>
                      <w:rFonts w:cstheme="minorHAnsi" w:hint="eastAsia"/>
                      <w:sz w:val="22"/>
                      <w:szCs w:val="22"/>
                      <w:lang w:eastAsia="zh-CN"/>
                    </w:rPr>
                    <w:t>世界电信发展大会（</w:t>
                  </w:r>
                  <w:r w:rsidR="00AF6C73" w:rsidRPr="008030BC">
                    <w:rPr>
                      <w:rFonts w:cstheme="minorHAnsi" w:hint="eastAsia"/>
                      <w:sz w:val="22"/>
                      <w:szCs w:val="22"/>
                      <w:lang w:eastAsia="zh-CN"/>
                    </w:rPr>
                    <w:t>WTDC</w:t>
                  </w:r>
                  <w:r w:rsidR="00AF6C73" w:rsidRPr="008030BC">
                    <w:rPr>
                      <w:rFonts w:cstheme="minorHAnsi" w:hint="eastAsia"/>
                      <w:sz w:val="22"/>
                      <w:szCs w:val="22"/>
                      <w:lang w:eastAsia="zh-CN"/>
                    </w:rPr>
                    <w:t>）</w:t>
                  </w:r>
                  <w:hyperlink r:id="rId18" w:history="1">
                    <w:r w:rsidR="00AF6C73" w:rsidRPr="008030BC">
                      <w:rPr>
                        <w:rStyle w:val="Hyperlink"/>
                        <w:rFonts w:cstheme="minorHAnsi" w:hint="eastAsia"/>
                        <w:sz w:val="22"/>
                        <w:szCs w:val="22"/>
                        <w:lang w:eastAsia="zh-CN"/>
                      </w:rPr>
                      <w:t>第</w:t>
                    </w:r>
                    <w:r w:rsidR="00AF6C73" w:rsidRPr="008030BC">
                      <w:rPr>
                        <w:rStyle w:val="Hyperlink"/>
                        <w:rFonts w:cstheme="minorHAnsi" w:hint="eastAsia"/>
                        <w:sz w:val="22"/>
                        <w:szCs w:val="22"/>
                        <w:lang w:eastAsia="zh-CN"/>
                      </w:rPr>
                      <w:t>7</w:t>
                    </w:r>
                    <w:r w:rsidR="00AF6C73" w:rsidRPr="008030BC">
                      <w:rPr>
                        <w:rStyle w:val="Hyperlink"/>
                        <w:rFonts w:cstheme="minorHAnsi"/>
                        <w:sz w:val="22"/>
                        <w:szCs w:val="22"/>
                        <w:lang w:eastAsia="zh-CN"/>
                      </w:rPr>
                      <w:t>1</w:t>
                    </w:r>
                    <w:r w:rsidR="00AF6C73" w:rsidRPr="008030BC">
                      <w:rPr>
                        <w:rStyle w:val="Hyperlink"/>
                        <w:rFonts w:cstheme="minorHAnsi" w:hint="eastAsia"/>
                        <w:sz w:val="22"/>
                        <w:szCs w:val="22"/>
                        <w:lang w:eastAsia="zh-CN"/>
                      </w:rPr>
                      <w:t>号决议（</w:t>
                    </w:r>
                    <w:r w:rsidR="00AF6C73" w:rsidRPr="008030BC">
                      <w:rPr>
                        <w:rStyle w:val="Hyperlink"/>
                        <w:rFonts w:cstheme="minorHAnsi" w:hint="eastAsia"/>
                        <w:sz w:val="22"/>
                        <w:szCs w:val="22"/>
                        <w:lang w:eastAsia="zh-CN"/>
                      </w:rPr>
                      <w:t>2017</w:t>
                    </w:r>
                    <w:r w:rsidR="00AF6C73" w:rsidRPr="008030BC">
                      <w:rPr>
                        <w:rStyle w:val="Hyperlink"/>
                        <w:rFonts w:cstheme="minorHAnsi" w:hint="eastAsia"/>
                        <w:sz w:val="22"/>
                        <w:szCs w:val="22"/>
                        <w:lang w:eastAsia="zh-CN"/>
                      </w:rPr>
                      <w:t>年，布宜诺斯艾利斯，修订版）</w:t>
                    </w:r>
                  </w:hyperlink>
                </w:p>
              </w:tc>
            </w:tr>
          </w:tbl>
          <w:p w14:paraId="3689B12B" w14:textId="7EC99582" w:rsidR="002A2188" w:rsidRPr="003C3881" w:rsidRDefault="002A2188" w:rsidP="006522FA">
            <w:pPr>
              <w:pStyle w:val="Title1"/>
              <w:framePr w:hSpace="0" w:wrap="auto" w:hAnchor="text" w:yAlign="inline"/>
              <w:rPr>
                <w:lang w:eastAsia="zh-CN"/>
              </w:rPr>
            </w:pPr>
          </w:p>
        </w:tc>
      </w:tr>
    </w:tbl>
    <w:p w14:paraId="4EA12953" w14:textId="17BB22C8" w:rsidR="00854829" w:rsidRPr="006B373D" w:rsidRDefault="0085482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Cs/>
          <w:color w:val="000000" w:themeColor="text1"/>
          <w:sz w:val="28"/>
          <w:lang w:eastAsia="zh-CN"/>
        </w:rPr>
      </w:pPr>
      <w:bookmarkStart w:id="8" w:name="dstart"/>
      <w:bookmarkStart w:id="9" w:name="dbreak"/>
      <w:bookmarkEnd w:id="7"/>
      <w:bookmarkEnd w:id="8"/>
      <w:bookmarkEnd w:id="9"/>
    </w:p>
    <w:p w14:paraId="6061656E" w14:textId="6AD593EB" w:rsidR="00274E91" w:rsidRPr="005073A1" w:rsidRDefault="00E33F62" w:rsidP="002C27C3">
      <w:pPr>
        <w:pStyle w:val="Appendixtitle13pt"/>
        <w:rPr>
          <w:lang w:val="en-US"/>
        </w:rPr>
      </w:pPr>
      <w:r w:rsidRPr="005073A1">
        <w:rPr>
          <w:rFonts w:hint="eastAsia"/>
        </w:rPr>
        <w:lastRenderedPageBreak/>
        <w:t>国际电联各部门中的私营部门和学术成员（重点关注最不发达国家、内陆发展中国家、小岛屿发展中国家和有特殊需求国家）</w:t>
      </w:r>
    </w:p>
    <w:p w14:paraId="0B94A3ED" w14:textId="55EBB759" w:rsidR="00274E91" w:rsidRPr="005073A1" w:rsidRDefault="00381D93" w:rsidP="00E91FE2">
      <w:pPr>
        <w:ind w:firstLineChars="200" w:firstLine="480"/>
        <w:jc w:val="both"/>
        <w:rPr>
          <w:lang w:val="en-US" w:eastAsia="zh-CN"/>
        </w:rPr>
      </w:pPr>
      <w:r w:rsidRPr="005073A1">
        <w:rPr>
          <w:rFonts w:hint="eastAsia"/>
          <w:lang w:val="en-US" w:eastAsia="zh-CN"/>
        </w:rPr>
        <w:t>印度主管部门认可国际电联及成员为加强私营部门和学术界</w:t>
      </w:r>
      <w:r w:rsidR="000E1542" w:rsidRPr="005073A1">
        <w:rPr>
          <w:rFonts w:hint="eastAsia"/>
          <w:lang w:val="en-US" w:eastAsia="zh-CN"/>
        </w:rPr>
        <w:t>在</w:t>
      </w:r>
      <w:r w:rsidR="003C0511" w:rsidRPr="005073A1">
        <w:rPr>
          <w:rFonts w:hint="eastAsia"/>
          <w:lang w:val="en-US" w:eastAsia="zh-CN"/>
        </w:rPr>
        <w:t>不同</w:t>
      </w:r>
      <w:r w:rsidRPr="005073A1">
        <w:rPr>
          <w:rFonts w:hint="eastAsia"/>
          <w:lang w:val="en-US" w:eastAsia="zh-CN"/>
        </w:rPr>
        <w:t>国际电联活动</w:t>
      </w:r>
      <w:r w:rsidR="000E1542" w:rsidRPr="005073A1">
        <w:rPr>
          <w:rFonts w:hint="eastAsia"/>
          <w:lang w:val="en-US" w:eastAsia="zh-CN"/>
        </w:rPr>
        <w:t>中</w:t>
      </w:r>
      <w:r w:rsidRPr="005073A1">
        <w:rPr>
          <w:rFonts w:hint="eastAsia"/>
          <w:lang w:val="en-US" w:eastAsia="zh-CN"/>
        </w:rPr>
        <w:t>的参与</w:t>
      </w:r>
      <w:r w:rsidR="006702D4" w:rsidRPr="005073A1">
        <w:rPr>
          <w:rFonts w:hint="eastAsia"/>
          <w:lang w:val="en-US" w:eastAsia="zh-CN"/>
        </w:rPr>
        <w:t>所做</w:t>
      </w:r>
      <w:r w:rsidRPr="005073A1">
        <w:rPr>
          <w:rFonts w:hint="eastAsia"/>
          <w:lang w:val="en-US" w:eastAsia="zh-CN"/>
        </w:rPr>
        <w:t>的持续努力。</w:t>
      </w:r>
      <w:proofErr w:type="gramStart"/>
      <w:r w:rsidR="002F7EB7" w:rsidRPr="005073A1">
        <w:rPr>
          <w:rFonts w:hint="eastAsia"/>
          <w:lang w:val="en-US" w:eastAsia="zh-CN"/>
        </w:rPr>
        <w:t>基于</w:t>
      </w:r>
      <w:r w:rsidRPr="005073A1">
        <w:rPr>
          <w:rFonts w:hint="eastAsia"/>
          <w:lang w:val="en-US" w:eastAsia="zh-CN"/>
        </w:rPr>
        <w:t>部门</w:t>
      </w:r>
      <w:proofErr w:type="gramEnd"/>
      <w:r w:rsidR="00D65704" w:rsidRPr="005073A1">
        <w:rPr>
          <w:rFonts w:hint="eastAsia"/>
          <w:lang w:val="en-US" w:eastAsia="zh-CN"/>
        </w:rPr>
        <w:t>成员</w:t>
      </w:r>
      <w:r w:rsidRPr="005073A1">
        <w:rPr>
          <w:rFonts w:hint="eastAsia"/>
          <w:lang w:val="en-US" w:eastAsia="zh-CN"/>
        </w:rPr>
        <w:t>和</w:t>
      </w:r>
      <w:r w:rsidR="00D65704" w:rsidRPr="005073A1">
        <w:rPr>
          <w:rFonts w:hint="eastAsia"/>
          <w:lang w:val="en-US" w:eastAsia="zh-CN"/>
        </w:rPr>
        <w:t>部门</w:t>
      </w:r>
      <w:r w:rsidRPr="005073A1">
        <w:rPr>
          <w:rFonts w:hint="eastAsia"/>
          <w:lang w:val="en-US" w:eastAsia="zh-CN"/>
        </w:rPr>
        <w:t>准成员数据，</w:t>
      </w:r>
      <w:r w:rsidR="005D3670" w:rsidRPr="005073A1">
        <w:rPr>
          <w:rFonts w:hint="eastAsia"/>
          <w:lang w:val="en-US" w:eastAsia="zh-CN"/>
        </w:rPr>
        <w:t>重点</w:t>
      </w:r>
      <w:r w:rsidR="00BC2D3C" w:rsidRPr="005073A1">
        <w:rPr>
          <w:rFonts w:hint="eastAsia"/>
          <w:lang w:val="en-US" w:eastAsia="zh-CN"/>
        </w:rPr>
        <w:t>围绕</w:t>
      </w:r>
      <w:r w:rsidRPr="005073A1">
        <w:rPr>
          <w:rFonts w:hint="eastAsia"/>
          <w:lang w:val="en-US" w:eastAsia="zh-CN"/>
        </w:rPr>
        <w:t>最不发达国家</w:t>
      </w:r>
      <w:r w:rsidR="00CF52B4" w:rsidRPr="005073A1">
        <w:rPr>
          <w:rFonts w:hint="eastAsia"/>
          <w:lang w:val="en-US" w:eastAsia="zh-CN"/>
        </w:rPr>
        <w:t>（</w:t>
      </w:r>
      <w:r w:rsidR="00CF52B4" w:rsidRPr="005073A1">
        <w:rPr>
          <w:rFonts w:hint="eastAsia"/>
          <w:lang w:val="en-US" w:eastAsia="zh-CN"/>
        </w:rPr>
        <w:t>LDC</w:t>
      </w:r>
      <w:r w:rsidR="00CF52B4" w:rsidRPr="005073A1">
        <w:rPr>
          <w:rFonts w:hint="eastAsia"/>
          <w:lang w:val="en-US" w:eastAsia="zh-CN"/>
        </w:rPr>
        <w:t>）</w:t>
      </w:r>
      <w:r w:rsidRPr="005073A1">
        <w:rPr>
          <w:rFonts w:hint="eastAsia"/>
          <w:lang w:val="en-US" w:eastAsia="zh-CN"/>
        </w:rPr>
        <w:t>、内陆发展中国家</w:t>
      </w:r>
      <w:r w:rsidR="00CF52B4" w:rsidRPr="005073A1">
        <w:rPr>
          <w:rFonts w:hint="eastAsia"/>
          <w:lang w:val="en-US" w:eastAsia="zh-CN"/>
        </w:rPr>
        <w:t>（</w:t>
      </w:r>
      <w:r w:rsidR="00CF52B4" w:rsidRPr="005073A1">
        <w:rPr>
          <w:rFonts w:hint="eastAsia"/>
          <w:lang w:val="en-US" w:eastAsia="zh-CN"/>
        </w:rPr>
        <w:t>LLDC</w:t>
      </w:r>
      <w:r w:rsidR="00CF52B4" w:rsidRPr="005073A1">
        <w:rPr>
          <w:rFonts w:hint="eastAsia"/>
          <w:lang w:val="en-US" w:eastAsia="zh-CN"/>
        </w:rPr>
        <w:t>）</w:t>
      </w:r>
      <w:r w:rsidRPr="005073A1">
        <w:rPr>
          <w:rFonts w:hint="eastAsia"/>
          <w:lang w:val="en-US" w:eastAsia="zh-CN"/>
        </w:rPr>
        <w:t>、小岛屿发展中国家</w:t>
      </w:r>
      <w:r w:rsidR="00CF52B4" w:rsidRPr="005073A1">
        <w:rPr>
          <w:rFonts w:hint="eastAsia"/>
          <w:lang w:val="en-US" w:eastAsia="zh-CN"/>
        </w:rPr>
        <w:t>（</w:t>
      </w:r>
      <w:r w:rsidR="00CF52B4" w:rsidRPr="005073A1">
        <w:rPr>
          <w:rFonts w:hint="eastAsia"/>
          <w:lang w:val="en-US" w:eastAsia="zh-CN"/>
        </w:rPr>
        <w:t>SIDC</w:t>
      </w:r>
      <w:r w:rsidR="00CF52B4" w:rsidRPr="005073A1">
        <w:rPr>
          <w:rFonts w:hint="eastAsia"/>
          <w:lang w:val="en-US" w:eastAsia="zh-CN"/>
        </w:rPr>
        <w:t>）</w:t>
      </w:r>
      <w:r w:rsidRPr="005073A1">
        <w:rPr>
          <w:rFonts w:hint="eastAsia"/>
          <w:lang w:val="en-US" w:eastAsia="zh-CN"/>
        </w:rPr>
        <w:t>和</w:t>
      </w:r>
      <w:r w:rsidR="00CF52B4" w:rsidRPr="005073A1">
        <w:rPr>
          <w:rFonts w:hint="eastAsia"/>
          <w:lang w:val="en-US" w:eastAsia="zh-CN"/>
        </w:rPr>
        <w:t>有特殊需求国家（</w:t>
      </w:r>
      <w:r w:rsidR="00CF52B4" w:rsidRPr="005073A1">
        <w:rPr>
          <w:lang w:val="en-US" w:eastAsia="zh-CN"/>
        </w:rPr>
        <w:t>CISN</w:t>
      </w:r>
      <w:r w:rsidR="00CF52B4" w:rsidRPr="005073A1">
        <w:rPr>
          <w:rFonts w:hint="eastAsia"/>
          <w:lang w:val="en-US" w:eastAsia="zh-CN"/>
        </w:rPr>
        <w:t>）</w:t>
      </w:r>
      <w:r w:rsidR="00780E6D" w:rsidRPr="005073A1">
        <w:rPr>
          <w:rFonts w:hint="eastAsia"/>
          <w:lang w:val="en-US" w:eastAsia="zh-CN"/>
        </w:rPr>
        <w:t>开展了</w:t>
      </w:r>
      <w:r w:rsidRPr="005073A1">
        <w:rPr>
          <w:rFonts w:hint="eastAsia"/>
          <w:lang w:val="en-US" w:eastAsia="zh-CN"/>
        </w:rPr>
        <w:t>以下分析。分析</w:t>
      </w:r>
      <w:r w:rsidR="00CF2746" w:rsidRPr="005073A1">
        <w:rPr>
          <w:rFonts w:hint="eastAsia"/>
          <w:lang w:val="en-US" w:eastAsia="zh-CN"/>
        </w:rPr>
        <w:t>的</w:t>
      </w:r>
      <w:r w:rsidRPr="005073A1">
        <w:rPr>
          <w:rFonts w:hint="eastAsia"/>
          <w:lang w:val="en-US" w:eastAsia="zh-CN"/>
        </w:rPr>
        <w:t>摘录如下。</w:t>
      </w:r>
    </w:p>
    <w:p w14:paraId="5434D92A" w14:textId="6D7E3B81" w:rsidR="009C5830" w:rsidRPr="005073A1" w:rsidRDefault="00CF2746" w:rsidP="002C27C3">
      <w:pPr>
        <w:pStyle w:val="Headingb"/>
        <w:rPr>
          <w:lang w:val="en-US" w:eastAsia="zh-CN"/>
        </w:rPr>
      </w:pPr>
      <w:r w:rsidRPr="005073A1">
        <w:rPr>
          <w:rFonts w:hint="eastAsia"/>
          <w:lang w:val="en-US" w:eastAsia="zh-CN"/>
        </w:rPr>
        <w:t>分析</w:t>
      </w:r>
    </w:p>
    <w:p w14:paraId="50928A20" w14:textId="5A76122A" w:rsidR="009C5830" w:rsidRPr="005073A1" w:rsidRDefault="009C5830" w:rsidP="002C27C3">
      <w:pPr>
        <w:pStyle w:val="Headingb"/>
        <w:rPr>
          <w:lang w:val="en-US" w:eastAsia="zh-CN"/>
        </w:rPr>
      </w:pPr>
      <w:r w:rsidRPr="005073A1">
        <w:rPr>
          <w:lang w:val="en-US" w:eastAsia="zh-CN"/>
        </w:rPr>
        <w:t>LDC</w:t>
      </w:r>
      <w:r w:rsidR="005073A1" w:rsidRPr="005073A1">
        <w:rPr>
          <w:lang w:val="en-US" w:eastAsia="zh-CN"/>
        </w:rPr>
        <w:t xml:space="preserve"> –</w:t>
      </w:r>
      <w:r w:rsidR="00F667C6">
        <w:rPr>
          <w:lang w:val="en-US" w:eastAsia="zh-CN"/>
        </w:rPr>
        <w:t xml:space="preserve"> </w:t>
      </w:r>
      <w:r w:rsidR="00F259FD" w:rsidRPr="005073A1">
        <w:rPr>
          <w:rFonts w:hint="eastAsia"/>
          <w:lang w:val="en-US" w:eastAsia="zh-CN"/>
        </w:rPr>
        <w:t>世界人口的</w:t>
      </w:r>
      <w:r w:rsidR="00F259FD" w:rsidRPr="005073A1">
        <w:rPr>
          <w:rFonts w:hint="eastAsia"/>
          <w:lang w:val="en-US" w:eastAsia="zh-CN"/>
        </w:rPr>
        <w:t>1</w:t>
      </w:r>
      <w:r w:rsidR="00F259FD" w:rsidRPr="005073A1">
        <w:rPr>
          <w:lang w:val="en-US" w:eastAsia="zh-CN"/>
        </w:rPr>
        <w:t>2%</w:t>
      </w:r>
    </w:p>
    <w:p w14:paraId="20C9CBBD" w14:textId="3A55DFE5" w:rsidR="009C5830" w:rsidRPr="005073A1" w:rsidRDefault="005073A1" w:rsidP="002C27C3">
      <w:pPr>
        <w:pStyle w:val="enumlev1"/>
        <w:rPr>
          <w:lang w:val="en-US" w:eastAsia="zh-CN"/>
        </w:rPr>
      </w:pPr>
      <w:r>
        <w:rPr>
          <w:lang w:val="en-US" w:eastAsia="zh-CN"/>
        </w:rPr>
        <w:t>1)</w:t>
      </w:r>
      <w:r w:rsidR="009C5830" w:rsidRPr="005073A1">
        <w:rPr>
          <w:lang w:val="en-US" w:eastAsia="zh-CN"/>
        </w:rPr>
        <w:tab/>
        <w:t>66%</w:t>
      </w:r>
      <w:r w:rsidR="00670F20" w:rsidRPr="005073A1">
        <w:rPr>
          <w:rFonts w:hint="eastAsia"/>
          <w:lang w:val="en-US" w:eastAsia="zh-CN"/>
        </w:rPr>
        <w:t>的</w:t>
      </w:r>
      <w:r w:rsidR="00670F20" w:rsidRPr="005073A1">
        <w:rPr>
          <w:rFonts w:hint="eastAsia"/>
          <w:lang w:val="en-US" w:eastAsia="zh-CN"/>
        </w:rPr>
        <w:t>LDC</w:t>
      </w:r>
      <w:r w:rsidR="00670F20" w:rsidRPr="005073A1">
        <w:rPr>
          <w:rFonts w:hint="eastAsia"/>
          <w:lang w:val="en-US" w:eastAsia="zh-CN"/>
        </w:rPr>
        <w:t>没有任何部门成员</w:t>
      </w:r>
    </w:p>
    <w:p w14:paraId="7899CA87" w14:textId="5A4D5EAA" w:rsidR="009C5830" w:rsidRPr="005073A1" w:rsidRDefault="005073A1" w:rsidP="002C27C3">
      <w:pPr>
        <w:pStyle w:val="enumlev1"/>
        <w:rPr>
          <w:lang w:val="en-US" w:eastAsia="zh-CN"/>
        </w:rPr>
      </w:pPr>
      <w:r>
        <w:rPr>
          <w:lang w:val="en-US" w:eastAsia="zh-CN"/>
        </w:rPr>
        <w:t>2)</w:t>
      </w:r>
      <w:r w:rsidR="009C5830" w:rsidRPr="005073A1">
        <w:rPr>
          <w:lang w:val="en-US" w:eastAsia="zh-CN"/>
        </w:rPr>
        <w:tab/>
        <w:t>94%</w:t>
      </w:r>
      <w:r w:rsidR="00100D07" w:rsidRPr="005073A1">
        <w:rPr>
          <w:rFonts w:hint="eastAsia"/>
          <w:lang w:val="en-US" w:eastAsia="zh-CN"/>
        </w:rPr>
        <w:t>的</w:t>
      </w:r>
      <w:r w:rsidR="00100D07" w:rsidRPr="005073A1">
        <w:rPr>
          <w:rFonts w:hint="eastAsia"/>
          <w:lang w:val="en-US" w:eastAsia="zh-CN"/>
        </w:rPr>
        <w:t>LDC</w:t>
      </w:r>
      <w:r w:rsidR="00100D07" w:rsidRPr="005073A1">
        <w:rPr>
          <w:rFonts w:hint="eastAsia"/>
          <w:lang w:val="en-US" w:eastAsia="zh-CN"/>
        </w:rPr>
        <w:t>没有任何学术成员</w:t>
      </w:r>
    </w:p>
    <w:p w14:paraId="3EFB9813" w14:textId="54C5301D" w:rsidR="009C5830" w:rsidRPr="005073A1" w:rsidRDefault="005073A1" w:rsidP="002C27C3">
      <w:pPr>
        <w:pStyle w:val="enumlev1"/>
        <w:rPr>
          <w:lang w:val="en-US" w:eastAsia="zh-CN"/>
        </w:rPr>
      </w:pPr>
      <w:r>
        <w:rPr>
          <w:lang w:val="en-US" w:eastAsia="zh-CN"/>
        </w:rPr>
        <w:t>3)</w:t>
      </w:r>
      <w:r w:rsidR="009C5830" w:rsidRPr="005073A1">
        <w:rPr>
          <w:lang w:val="en-US" w:eastAsia="zh-CN"/>
        </w:rPr>
        <w:tab/>
      </w:r>
      <w:r w:rsidR="009C5830" w:rsidRPr="005073A1">
        <w:rPr>
          <w:spacing w:val="-4"/>
          <w:lang w:val="en-US" w:eastAsia="zh-CN"/>
        </w:rPr>
        <w:t>28%</w:t>
      </w:r>
      <w:r w:rsidR="00BE07A0" w:rsidRPr="005073A1">
        <w:rPr>
          <w:rFonts w:hint="eastAsia"/>
          <w:spacing w:val="-4"/>
          <w:lang w:val="en-US" w:eastAsia="zh-CN"/>
        </w:rPr>
        <w:t>的</w:t>
      </w:r>
      <w:r w:rsidR="00BE07A0" w:rsidRPr="005073A1">
        <w:rPr>
          <w:rFonts w:hint="eastAsia"/>
          <w:spacing w:val="-4"/>
          <w:lang w:val="en-US" w:eastAsia="zh-CN"/>
        </w:rPr>
        <w:t>LDC</w:t>
      </w:r>
      <w:r w:rsidR="00BE07A0" w:rsidRPr="005073A1">
        <w:rPr>
          <w:rFonts w:hint="eastAsia"/>
          <w:spacing w:val="-4"/>
          <w:lang w:val="en-US" w:eastAsia="zh-CN"/>
        </w:rPr>
        <w:t>有国际电联电信发展部门（</w:t>
      </w:r>
      <w:r w:rsidR="00BE07A0" w:rsidRPr="005073A1">
        <w:rPr>
          <w:rFonts w:hint="eastAsia"/>
          <w:spacing w:val="-4"/>
          <w:lang w:val="en-US" w:eastAsia="zh-CN"/>
        </w:rPr>
        <w:t>ITU-D</w:t>
      </w:r>
      <w:r w:rsidR="00BE07A0" w:rsidRPr="005073A1">
        <w:rPr>
          <w:rFonts w:hint="eastAsia"/>
          <w:spacing w:val="-4"/>
          <w:lang w:val="en-US" w:eastAsia="zh-CN"/>
        </w:rPr>
        <w:t>）部门成员</w:t>
      </w:r>
      <w:r w:rsidR="00614147" w:rsidRPr="005073A1">
        <w:rPr>
          <w:rFonts w:hint="eastAsia"/>
          <w:spacing w:val="-4"/>
          <w:lang w:val="en-US" w:eastAsia="zh-CN"/>
        </w:rPr>
        <w:t>（</w:t>
      </w:r>
      <w:r w:rsidR="00FB20B0" w:rsidRPr="005073A1">
        <w:rPr>
          <w:rFonts w:hint="eastAsia"/>
          <w:spacing w:val="-4"/>
          <w:lang w:val="en-US" w:eastAsia="zh-CN"/>
        </w:rPr>
        <w:t>所有部门中最高的；</w:t>
      </w:r>
      <w:r w:rsidR="000A71BF" w:rsidRPr="005073A1">
        <w:rPr>
          <w:rFonts w:hint="eastAsia"/>
          <w:spacing w:val="-4"/>
          <w:lang w:val="en-US" w:eastAsia="zh-CN"/>
        </w:rPr>
        <w:t>国际电联无线电通信部门</w:t>
      </w:r>
      <w:r w:rsidR="00A733A2" w:rsidRPr="005073A1">
        <w:rPr>
          <w:rFonts w:hint="eastAsia"/>
          <w:spacing w:val="-4"/>
          <w:lang w:val="en-US" w:eastAsia="zh-CN"/>
        </w:rPr>
        <w:t>（</w:t>
      </w:r>
      <w:r w:rsidR="00A733A2" w:rsidRPr="005073A1">
        <w:rPr>
          <w:spacing w:val="-4"/>
          <w:lang w:val="en-US" w:eastAsia="zh-CN"/>
        </w:rPr>
        <w:t>ITU-R</w:t>
      </w:r>
      <w:r w:rsidR="00A733A2" w:rsidRPr="005073A1">
        <w:rPr>
          <w:rFonts w:hint="eastAsia"/>
          <w:spacing w:val="-4"/>
          <w:lang w:val="en-US" w:eastAsia="zh-CN"/>
        </w:rPr>
        <w:t>）</w:t>
      </w:r>
      <w:r w:rsidR="00506D68" w:rsidRPr="005073A1">
        <w:rPr>
          <w:lang w:val="en-US" w:eastAsia="zh-CN"/>
        </w:rPr>
        <w:t>–</w:t>
      </w:r>
      <w:r w:rsidR="00506D68" w:rsidRPr="005073A1">
        <w:rPr>
          <w:b/>
          <w:lang w:val="en-US" w:eastAsia="zh-CN"/>
        </w:rPr>
        <w:t xml:space="preserve"> </w:t>
      </w:r>
      <w:r w:rsidR="00FB20B0" w:rsidRPr="005073A1">
        <w:rPr>
          <w:spacing w:val="-4"/>
          <w:lang w:val="en-US" w:eastAsia="zh-CN"/>
        </w:rPr>
        <w:t>11%</w:t>
      </w:r>
      <w:r w:rsidR="00FB20B0" w:rsidRPr="005073A1">
        <w:rPr>
          <w:rFonts w:hint="eastAsia"/>
          <w:spacing w:val="-4"/>
          <w:lang w:val="en-US" w:eastAsia="zh-CN"/>
        </w:rPr>
        <w:t>，国际电联电信标准化部门</w:t>
      </w:r>
      <w:r w:rsidR="00A733A2" w:rsidRPr="005073A1">
        <w:rPr>
          <w:rFonts w:hint="eastAsia"/>
          <w:spacing w:val="-4"/>
          <w:lang w:val="en-US" w:eastAsia="zh-CN"/>
        </w:rPr>
        <w:t>（</w:t>
      </w:r>
      <w:r w:rsidR="00294A08" w:rsidRPr="005073A1">
        <w:rPr>
          <w:spacing w:val="-4"/>
          <w:lang w:val="en-US" w:eastAsia="zh-CN"/>
        </w:rPr>
        <w:t>ITU-T</w:t>
      </w:r>
      <w:r w:rsidR="00A733A2" w:rsidRPr="005073A1">
        <w:rPr>
          <w:rFonts w:hint="eastAsia"/>
          <w:spacing w:val="-4"/>
          <w:lang w:val="en-US" w:eastAsia="zh-CN"/>
        </w:rPr>
        <w:t>）</w:t>
      </w:r>
      <w:r w:rsidR="00506D68" w:rsidRPr="005073A1">
        <w:rPr>
          <w:lang w:val="en-US" w:eastAsia="zh-CN"/>
        </w:rPr>
        <w:t>–</w:t>
      </w:r>
      <w:r w:rsidR="00FB20B0" w:rsidRPr="005073A1">
        <w:rPr>
          <w:spacing w:val="-4"/>
          <w:lang w:val="en-US" w:eastAsia="zh-CN"/>
        </w:rPr>
        <w:t xml:space="preserve"> 13%</w:t>
      </w:r>
      <w:r w:rsidR="00614147" w:rsidRPr="005073A1">
        <w:rPr>
          <w:rFonts w:hint="eastAsia"/>
          <w:spacing w:val="-4"/>
          <w:lang w:val="en-US" w:eastAsia="zh-CN"/>
        </w:rPr>
        <w:t>）</w:t>
      </w:r>
    </w:p>
    <w:p w14:paraId="5505F4A2" w14:textId="1AF6B60F" w:rsidR="009C5830" w:rsidRPr="005073A1" w:rsidRDefault="009C5830" w:rsidP="002C27C3">
      <w:pPr>
        <w:pStyle w:val="Headingb"/>
        <w:rPr>
          <w:lang w:val="en-US" w:eastAsia="zh-CN"/>
        </w:rPr>
      </w:pPr>
      <w:r w:rsidRPr="005073A1">
        <w:rPr>
          <w:lang w:val="en-US" w:eastAsia="zh-CN"/>
        </w:rPr>
        <w:t>LLDC</w:t>
      </w:r>
      <w:r w:rsidR="00506D68" w:rsidRPr="005073A1">
        <w:rPr>
          <w:lang w:val="en-US" w:eastAsia="zh-CN"/>
        </w:rPr>
        <w:t xml:space="preserve"> –</w:t>
      </w:r>
      <w:r w:rsidR="00506D68">
        <w:rPr>
          <w:lang w:val="en-US" w:eastAsia="zh-CN"/>
        </w:rPr>
        <w:t xml:space="preserve"> </w:t>
      </w:r>
      <w:r w:rsidR="008F1771" w:rsidRPr="005073A1">
        <w:rPr>
          <w:rFonts w:hint="eastAsia"/>
          <w:lang w:val="en-US" w:eastAsia="zh-CN"/>
        </w:rPr>
        <w:t>世界人口的</w:t>
      </w:r>
      <w:r w:rsidR="008F1771" w:rsidRPr="005073A1">
        <w:rPr>
          <w:lang w:val="en-US" w:eastAsia="zh-CN"/>
        </w:rPr>
        <w:t>6.74%</w:t>
      </w:r>
    </w:p>
    <w:p w14:paraId="6086BB9F" w14:textId="04FAC4EB" w:rsidR="009C5830" w:rsidRPr="005073A1" w:rsidRDefault="009706F2" w:rsidP="002C27C3">
      <w:pPr>
        <w:pStyle w:val="enumlev1"/>
        <w:rPr>
          <w:lang w:val="en-US" w:eastAsia="zh-CN"/>
        </w:rPr>
      </w:pPr>
      <w:r>
        <w:rPr>
          <w:lang w:val="en-US" w:eastAsia="zh-CN"/>
        </w:rPr>
        <w:t>1)</w:t>
      </w:r>
      <w:r w:rsidR="009C5830" w:rsidRPr="005073A1">
        <w:rPr>
          <w:lang w:val="en-US" w:eastAsia="zh-CN"/>
        </w:rPr>
        <w:tab/>
        <w:t>65%</w:t>
      </w:r>
      <w:r w:rsidR="00394B85" w:rsidRPr="005073A1">
        <w:rPr>
          <w:rFonts w:hint="eastAsia"/>
          <w:lang w:val="en-US" w:eastAsia="zh-CN"/>
        </w:rPr>
        <w:t>的</w:t>
      </w:r>
      <w:r w:rsidR="00394B85" w:rsidRPr="005073A1">
        <w:rPr>
          <w:rFonts w:hint="eastAsia"/>
          <w:lang w:val="en-US" w:eastAsia="zh-CN"/>
        </w:rPr>
        <w:t>LLDC</w:t>
      </w:r>
      <w:r w:rsidR="00394B85" w:rsidRPr="005073A1">
        <w:rPr>
          <w:rFonts w:hint="eastAsia"/>
          <w:lang w:val="en-US" w:eastAsia="zh-CN"/>
        </w:rPr>
        <w:t>没有任何部门成员</w:t>
      </w:r>
    </w:p>
    <w:p w14:paraId="2BD8BB9F" w14:textId="6E58DE51" w:rsidR="009C5830" w:rsidRPr="005073A1" w:rsidRDefault="009706F2" w:rsidP="002C27C3">
      <w:pPr>
        <w:pStyle w:val="enumlev1"/>
        <w:rPr>
          <w:lang w:val="en-US" w:eastAsia="zh-CN"/>
        </w:rPr>
      </w:pPr>
      <w:r>
        <w:rPr>
          <w:lang w:val="en-US" w:eastAsia="zh-CN"/>
        </w:rPr>
        <w:t>2)</w:t>
      </w:r>
      <w:r w:rsidR="009C5830" w:rsidRPr="005073A1">
        <w:rPr>
          <w:lang w:val="en-US" w:eastAsia="zh-CN"/>
        </w:rPr>
        <w:tab/>
        <w:t>91%</w:t>
      </w:r>
      <w:r w:rsidR="00394B85" w:rsidRPr="005073A1">
        <w:rPr>
          <w:rFonts w:hint="eastAsia"/>
          <w:lang w:val="en-US" w:eastAsia="zh-CN"/>
        </w:rPr>
        <w:t>的</w:t>
      </w:r>
      <w:r w:rsidR="00394B85" w:rsidRPr="005073A1">
        <w:rPr>
          <w:rFonts w:hint="eastAsia"/>
          <w:lang w:val="en-US" w:eastAsia="zh-CN"/>
        </w:rPr>
        <w:t>LLDC</w:t>
      </w:r>
      <w:r w:rsidR="00394B85" w:rsidRPr="005073A1">
        <w:rPr>
          <w:rFonts w:hint="eastAsia"/>
          <w:lang w:val="en-US" w:eastAsia="zh-CN"/>
        </w:rPr>
        <w:t>没有任何学术成员</w:t>
      </w:r>
    </w:p>
    <w:p w14:paraId="34A29C14" w14:textId="19AD6466" w:rsidR="009C5830" w:rsidRPr="005073A1" w:rsidRDefault="009706F2" w:rsidP="002C27C3">
      <w:pPr>
        <w:pStyle w:val="enumlev1"/>
        <w:rPr>
          <w:lang w:val="en-US" w:eastAsia="zh-CN"/>
        </w:rPr>
      </w:pPr>
      <w:r>
        <w:rPr>
          <w:lang w:val="en-US" w:eastAsia="zh-CN"/>
        </w:rPr>
        <w:t>3)</w:t>
      </w:r>
      <w:r w:rsidR="009C5830" w:rsidRPr="005073A1">
        <w:rPr>
          <w:lang w:val="en-US" w:eastAsia="zh-CN"/>
        </w:rPr>
        <w:tab/>
      </w:r>
      <w:r w:rsidR="009C5830" w:rsidRPr="005073A1">
        <w:rPr>
          <w:spacing w:val="-4"/>
          <w:lang w:val="en-US" w:eastAsia="zh-CN"/>
        </w:rPr>
        <w:t>31%</w:t>
      </w:r>
      <w:r w:rsidR="00C520FC" w:rsidRPr="005073A1">
        <w:rPr>
          <w:rFonts w:hint="eastAsia"/>
          <w:spacing w:val="-4"/>
          <w:lang w:val="en-US" w:eastAsia="zh-CN"/>
        </w:rPr>
        <w:t>的</w:t>
      </w:r>
      <w:r w:rsidR="00C520FC" w:rsidRPr="005073A1">
        <w:rPr>
          <w:rFonts w:hint="eastAsia"/>
          <w:spacing w:val="-4"/>
          <w:lang w:val="en-US" w:eastAsia="zh-CN"/>
        </w:rPr>
        <w:t>L</w:t>
      </w:r>
      <w:r w:rsidR="00AA7E52" w:rsidRPr="005073A1">
        <w:rPr>
          <w:rFonts w:hint="eastAsia"/>
          <w:spacing w:val="-4"/>
          <w:lang w:val="en-US" w:eastAsia="zh-CN"/>
        </w:rPr>
        <w:t>L</w:t>
      </w:r>
      <w:r w:rsidR="00C520FC" w:rsidRPr="005073A1">
        <w:rPr>
          <w:rFonts w:hint="eastAsia"/>
          <w:spacing w:val="-4"/>
          <w:lang w:val="en-US" w:eastAsia="zh-CN"/>
        </w:rPr>
        <w:t>DC</w:t>
      </w:r>
      <w:r w:rsidR="00C520FC" w:rsidRPr="005073A1">
        <w:rPr>
          <w:rFonts w:hint="eastAsia"/>
          <w:spacing w:val="-4"/>
          <w:lang w:val="en-US" w:eastAsia="zh-CN"/>
        </w:rPr>
        <w:t>有</w:t>
      </w:r>
      <w:r w:rsidR="00C520FC" w:rsidRPr="005073A1">
        <w:rPr>
          <w:rFonts w:hint="eastAsia"/>
          <w:spacing w:val="-4"/>
          <w:lang w:val="en-US" w:eastAsia="zh-CN"/>
        </w:rPr>
        <w:t>ITU-D</w:t>
      </w:r>
      <w:r w:rsidR="00C520FC" w:rsidRPr="005073A1">
        <w:rPr>
          <w:rFonts w:hint="eastAsia"/>
          <w:spacing w:val="-4"/>
          <w:lang w:val="en-US" w:eastAsia="zh-CN"/>
        </w:rPr>
        <w:t>部门成员</w:t>
      </w:r>
      <w:r w:rsidR="00B34BB8" w:rsidRPr="005073A1">
        <w:rPr>
          <w:rFonts w:hint="eastAsia"/>
          <w:spacing w:val="-4"/>
          <w:lang w:val="en-US" w:eastAsia="zh-CN"/>
        </w:rPr>
        <w:t>（所有部门中最高的</w:t>
      </w:r>
      <w:r w:rsidR="00A62494" w:rsidRPr="005073A1">
        <w:rPr>
          <w:rFonts w:hint="eastAsia"/>
          <w:spacing w:val="-4"/>
          <w:lang w:val="en-US" w:eastAsia="zh-CN"/>
        </w:rPr>
        <w:t>；</w:t>
      </w:r>
      <w:r w:rsidR="00A62494" w:rsidRPr="005073A1">
        <w:rPr>
          <w:spacing w:val="-4"/>
          <w:lang w:val="en-US" w:eastAsia="zh-CN"/>
        </w:rPr>
        <w:t>ITU-R</w:t>
      </w:r>
      <w:r w:rsidRPr="005073A1">
        <w:rPr>
          <w:lang w:val="en-US" w:eastAsia="zh-CN"/>
        </w:rPr>
        <w:t xml:space="preserve"> –</w:t>
      </w:r>
      <w:r w:rsidRPr="005073A1">
        <w:rPr>
          <w:b/>
          <w:lang w:val="en-US" w:eastAsia="zh-CN"/>
        </w:rPr>
        <w:t xml:space="preserve"> </w:t>
      </w:r>
      <w:r w:rsidR="00A62494" w:rsidRPr="005073A1">
        <w:rPr>
          <w:spacing w:val="-4"/>
          <w:lang w:val="en-US" w:eastAsia="zh-CN"/>
        </w:rPr>
        <w:t>3%</w:t>
      </w:r>
      <w:r w:rsidR="002B2CD4" w:rsidRPr="005073A1">
        <w:rPr>
          <w:rFonts w:hint="eastAsia"/>
          <w:spacing w:val="-4"/>
          <w:lang w:val="en-US" w:eastAsia="zh-CN"/>
        </w:rPr>
        <w:t>，</w:t>
      </w:r>
      <w:r w:rsidR="00A62494" w:rsidRPr="005073A1">
        <w:rPr>
          <w:spacing w:val="-4"/>
          <w:lang w:val="en-US" w:eastAsia="zh-CN"/>
        </w:rPr>
        <w:t>ITU-T</w:t>
      </w:r>
      <w:r w:rsidRPr="005073A1">
        <w:rPr>
          <w:lang w:val="en-US" w:eastAsia="zh-CN"/>
        </w:rPr>
        <w:t xml:space="preserve"> –</w:t>
      </w:r>
      <w:r w:rsidRPr="005073A1">
        <w:rPr>
          <w:b/>
          <w:lang w:val="en-US" w:eastAsia="zh-CN"/>
        </w:rPr>
        <w:t xml:space="preserve"> </w:t>
      </w:r>
      <w:r w:rsidR="00A62494" w:rsidRPr="005073A1">
        <w:rPr>
          <w:spacing w:val="-4"/>
          <w:lang w:val="en-US" w:eastAsia="zh-CN"/>
        </w:rPr>
        <w:t>6%</w:t>
      </w:r>
      <w:r w:rsidR="00422A6E" w:rsidRPr="005073A1">
        <w:rPr>
          <w:rFonts w:hint="eastAsia"/>
          <w:spacing w:val="-4"/>
          <w:lang w:val="en-US" w:eastAsia="zh-CN"/>
        </w:rPr>
        <w:t>）</w:t>
      </w:r>
    </w:p>
    <w:p w14:paraId="5D4A7285" w14:textId="20EE62E9" w:rsidR="009C5830" w:rsidRPr="005073A1" w:rsidRDefault="009C5830" w:rsidP="002C27C3">
      <w:pPr>
        <w:pStyle w:val="Headingb"/>
        <w:rPr>
          <w:lang w:val="en-US" w:eastAsia="zh-CN"/>
        </w:rPr>
      </w:pPr>
      <w:r w:rsidRPr="005073A1">
        <w:rPr>
          <w:lang w:val="en-US" w:eastAsia="zh-CN"/>
        </w:rPr>
        <w:t>SIDS</w:t>
      </w:r>
      <w:r w:rsidR="006E702B" w:rsidRPr="005073A1">
        <w:rPr>
          <w:lang w:val="en-US" w:eastAsia="zh-CN"/>
        </w:rPr>
        <w:t xml:space="preserve"> –</w:t>
      </w:r>
      <w:r w:rsidR="006E702B">
        <w:rPr>
          <w:lang w:val="en-US" w:eastAsia="zh-CN"/>
        </w:rPr>
        <w:t xml:space="preserve"> </w:t>
      </w:r>
      <w:r w:rsidR="0093021E" w:rsidRPr="005073A1">
        <w:rPr>
          <w:rFonts w:hint="eastAsia"/>
          <w:lang w:val="en-US" w:eastAsia="zh-CN"/>
        </w:rPr>
        <w:t>不到</w:t>
      </w:r>
      <w:r w:rsidR="008F1771" w:rsidRPr="005073A1">
        <w:rPr>
          <w:rFonts w:hint="eastAsia"/>
          <w:lang w:val="en-US" w:eastAsia="zh-CN"/>
        </w:rPr>
        <w:t>世界人口的</w:t>
      </w:r>
      <w:r w:rsidR="0093021E" w:rsidRPr="005073A1">
        <w:rPr>
          <w:rFonts w:hint="eastAsia"/>
          <w:lang w:val="en-US" w:eastAsia="zh-CN"/>
        </w:rPr>
        <w:t>1</w:t>
      </w:r>
      <w:r w:rsidR="0093021E" w:rsidRPr="005073A1">
        <w:rPr>
          <w:lang w:val="en-US" w:eastAsia="zh-CN"/>
        </w:rPr>
        <w:t>%</w:t>
      </w:r>
    </w:p>
    <w:p w14:paraId="0C184E8F" w14:textId="26FFC256" w:rsidR="009C5830" w:rsidRPr="005073A1" w:rsidRDefault="006E702B" w:rsidP="002C27C3">
      <w:pPr>
        <w:pStyle w:val="enumlev1"/>
        <w:rPr>
          <w:lang w:val="en-US" w:eastAsia="zh-CN"/>
        </w:rPr>
      </w:pPr>
      <w:r>
        <w:rPr>
          <w:lang w:val="en-US" w:eastAsia="zh-CN"/>
        </w:rPr>
        <w:t>1)</w:t>
      </w:r>
      <w:r w:rsidR="009C5830" w:rsidRPr="005073A1">
        <w:rPr>
          <w:lang w:val="en-US" w:eastAsia="zh-CN"/>
        </w:rPr>
        <w:tab/>
        <w:t>81%</w:t>
      </w:r>
      <w:r w:rsidR="002A737F" w:rsidRPr="005073A1">
        <w:rPr>
          <w:rFonts w:hint="eastAsia"/>
          <w:lang w:val="en-US" w:eastAsia="zh-CN"/>
        </w:rPr>
        <w:t>的</w:t>
      </w:r>
      <w:r w:rsidR="002A737F" w:rsidRPr="005073A1">
        <w:rPr>
          <w:lang w:val="en-US" w:eastAsia="zh-CN"/>
        </w:rPr>
        <w:t>SIDS</w:t>
      </w:r>
      <w:r w:rsidR="00394B85" w:rsidRPr="005073A1">
        <w:rPr>
          <w:rFonts w:hint="eastAsia"/>
          <w:lang w:val="en-US" w:eastAsia="zh-CN"/>
        </w:rPr>
        <w:t>没有任何部门成员</w:t>
      </w:r>
    </w:p>
    <w:p w14:paraId="1B8A6931" w14:textId="3417DF8E" w:rsidR="009C5830" w:rsidRPr="005073A1" w:rsidRDefault="006E702B" w:rsidP="002C27C3">
      <w:pPr>
        <w:pStyle w:val="enumlev1"/>
        <w:rPr>
          <w:lang w:val="en-US" w:eastAsia="zh-CN"/>
        </w:rPr>
      </w:pPr>
      <w:r>
        <w:rPr>
          <w:lang w:val="en-US" w:eastAsia="zh-CN"/>
        </w:rPr>
        <w:t>2)</w:t>
      </w:r>
      <w:r w:rsidR="009C5830" w:rsidRPr="005073A1">
        <w:rPr>
          <w:lang w:val="en-US" w:eastAsia="zh-CN"/>
        </w:rPr>
        <w:tab/>
        <w:t>95%</w:t>
      </w:r>
      <w:r w:rsidR="00863A2D" w:rsidRPr="005073A1">
        <w:rPr>
          <w:rFonts w:hint="eastAsia"/>
          <w:lang w:val="en-US" w:eastAsia="zh-CN"/>
        </w:rPr>
        <w:t>的</w:t>
      </w:r>
      <w:r w:rsidR="00863A2D" w:rsidRPr="005073A1">
        <w:rPr>
          <w:rFonts w:hint="eastAsia"/>
          <w:lang w:val="en-US" w:eastAsia="zh-CN"/>
        </w:rPr>
        <w:t>SIDS</w:t>
      </w:r>
      <w:r w:rsidR="002A737F" w:rsidRPr="005073A1">
        <w:rPr>
          <w:rFonts w:hint="eastAsia"/>
          <w:lang w:val="en-US" w:eastAsia="zh-CN"/>
        </w:rPr>
        <w:t>没有任何学术成员</w:t>
      </w:r>
    </w:p>
    <w:p w14:paraId="27F23AD8" w14:textId="40ABEE30" w:rsidR="009C5830" w:rsidRPr="005073A1" w:rsidRDefault="006E702B" w:rsidP="002C27C3">
      <w:pPr>
        <w:pStyle w:val="enumlev1"/>
        <w:rPr>
          <w:lang w:val="en-US"/>
        </w:rPr>
      </w:pPr>
      <w:r>
        <w:rPr>
          <w:lang w:val="en-US"/>
        </w:rPr>
        <w:t>3)</w:t>
      </w:r>
      <w:r w:rsidR="009C5830" w:rsidRPr="005073A1">
        <w:rPr>
          <w:lang w:val="en-US"/>
        </w:rPr>
        <w:tab/>
        <w:t>16%</w:t>
      </w:r>
      <w:r w:rsidR="00540501" w:rsidRPr="005073A1">
        <w:rPr>
          <w:rFonts w:hint="eastAsia"/>
          <w:lang w:val="en-US" w:eastAsia="zh-CN"/>
        </w:rPr>
        <w:t>的</w:t>
      </w:r>
      <w:r w:rsidR="00540501" w:rsidRPr="005073A1">
        <w:rPr>
          <w:lang w:val="en-US"/>
        </w:rPr>
        <w:t>SIDS</w:t>
      </w:r>
      <w:r w:rsidR="00540501" w:rsidRPr="005073A1">
        <w:rPr>
          <w:rFonts w:hint="eastAsia"/>
          <w:spacing w:val="-4"/>
          <w:lang w:val="en-US" w:eastAsia="zh-CN"/>
        </w:rPr>
        <w:t>有</w:t>
      </w:r>
      <w:r w:rsidR="00540501" w:rsidRPr="005073A1">
        <w:rPr>
          <w:rFonts w:hint="eastAsia"/>
          <w:spacing w:val="-4"/>
          <w:lang w:val="en-US" w:eastAsia="zh-CN"/>
        </w:rPr>
        <w:t>ITU-D</w:t>
      </w:r>
      <w:r w:rsidR="00540501" w:rsidRPr="005073A1">
        <w:rPr>
          <w:rFonts w:hint="eastAsia"/>
          <w:spacing w:val="-4"/>
          <w:lang w:val="en-US" w:eastAsia="zh-CN"/>
        </w:rPr>
        <w:t>部门成员（</w:t>
      </w:r>
      <w:r w:rsidR="00540501" w:rsidRPr="005073A1">
        <w:rPr>
          <w:lang w:val="en-US"/>
        </w:rPr>
        <w:t>ITU-</w:t>
      </w:r>
      <w:r w:rsidR="00791ECC">
        <w:rPr>
          <w:lang w:val="en-US"/>
        </w:rPr>
        <w:t>R</w:t>
      </w:r>
      <w:r w:rsidR="00791ECC" w:rsidRPr="005073A1">
        <w:rPr>
          <w:lang w:val="en-US" w:eastAsia="zh-CN"/>
        </w:rPr>
        <w:t xml:space="preserve"> –</w:t>
      </w:r>
      <w:r w:rsidR="00791ECC" w:rsidRPr="005073A1">
        <w:rPr>
          <w:b/>
          <w:lang w:val="en-US" w:eastAsia="zh-CN"/>
        </w:rPr>
        <w:t xml:space="preserve"> </w:t>
      </w:r>
      <w:r w:rsidR="00540501" w:rsidRPr="005073A1">
        <w:rPr>
          <w:lang w:val="en-US"/>
        </w:rPr>
        <w:t>8%</w:t>
      </w:r>
      <w:r w:rsidR="00540501" w:rsidRPr="005073A1">
        <w:rPr>
          <w:rFonts w:hint="eastAsia"/>
          <w:lang w:val="en-US" w:eastAsia="zh-CN"/>
        </w:rPr>
        <w:t>，</w:t>
      </w:r>
      <w:r w:rsidR="00540501" w:rsidRPr="005073A1">
        <w:rPr>
          <w:lang w:val="en-US"/>
        </w:rPr>
        <w:t>ITU-T – 16%</w:t>
      </w:r>
      <w:r w:rsidR="00540501" w:rsidRPr="005073A1">
        <w:rPr>
          <w:rFonts w:hint="eastAsia"/>
          <w:lang w:val="en-US" w:eastAsia="zh-CN"/>
        </w:rPr>
        <w:t>）</w:t>
      </w:r>
    </w:p>
    <w:p w14:paraId="12C8333C" w14:textId="15484C4B" w:rsidR="009C5830" w:rsidRPr="005073A1" w:rsidRDefault="009C5830" w:rsidP="002C27C3">
      <w:pPr>
        <w:pStyle w:val="Headingb"/>
        <w:rPr>
          <w:lang w:val="en-US"/>
        </w:rPr>
      </w:pPr>
      <w:r w:rsidRPr="005073A1">
        <w:rPr>
          <w:lang w:val="en-US"/>
        </w:rPr>
        <w:t>CISN</w:t>
      </w:r>
      <w:r w:rsidR="0039448B" w:rsidRPr="005073A1">
        <w:rPr>
          <w:lang w:val="en-US" w:eastAsia="zh-CN"/>
        </w:rPr>
        <w:t xml:space="preserve"> – </w:t>
      </w:r>
      <w:r w:rsidR="008F1771" w:rsidRPr="005073A1">
        <w:rPr>
          <w:rFonts w:hint="eastAsia"/>
          <w:lang w:val="en-US" w:eastAsia="zh-CN"/>
        </w:rPr>
        <w:t>世界人口的</w:t>
      </w:r>
      <w:r w:rsidR="0052760D" w:rsidRPr="005073A1">
        <w:rPr>
          <w:rFonts w:hint="eastAsia"/>
          <w:lang w:val="en-US" w:eastAsia="zh-CN"/>
        </w:rPr>
        <w:t>3</w:t>
      </w:r>
      <w:r w:rsidR="0052760D" w:rsidRPr="005073A1">
        <w:rPr>
          <w:lang w:val="en-US" w:eastAsia="zh-CN"/>
        </w:rPr>
        <w:t>%</w:t>
      </w:r>
    </w:p>
    <w:p w14:paraId="25623235" w14:textId="35D85708" w:rsidR="009C5830" w:rsidRPr="005073A1" w:rsidRDefault="00E7414B" w:rsidP="002C27C3">
      <w:pPr>
        <w:pStyle w:val="enumlev1"/>
        <w:rPr>
          <w:lang w:val="en-US"/>
        </w:rPr>
      </w:pPr>
      <w:r>
        <w:rPr>
          <w:lang w:val="en-US"/>
        </w:rPr>
        <w:t>1)</w:t>
      </w:r>
      <w:r w:rsidR="009C5830" w:rsidRPr="005073A1">
        <w:rPr>
          <w:lang w:val="en-US"/>
        </w:rPr>
        <w:tab/>
        <w:t>67%</w:t>
      </w:r>
      <w:r w:rsidR="0052760D" w:rsidRPr="005073A1">
        <w:rPr>
          <w:rFonts w:hint="eastAsia"/>
          <w:lang w:val="en-US" w:eastAsia="zh-CN"/>
        </w:rPr>
        <w:t>的</w:t>
      </w:r>
      <w:r w:rsidR="0052760D" w:rsidRPr="005073A1">
        <w:rPr>
          <w:lang w:val="en-US"/>
        </w:rPr>
        <w:t>CISN</w:t>
      </w:r>
      <w:r w:rsidR="00394B85" w:rsidRPr="005073A1">
        <w:rPr>
          <w:rFonts w:hint="eastAsia"/>
          <w:lang w:val="en-US" w:eastAsia="zh-CN"/>
        </w:rPr>
        <w:t>没有任何部门成员</w:t>
      </w:r>
    </w:p>
    <w:p w14:paraId="432CD194" w14:textId="4F3DA0BF" w:rsidR="009C5830" w:rsidRPr="005073A1" w:rsidRDefault="00E7414B" w:rsidP="002C27C3">
      <w:pPr>
        <w:pStyle w:val="enumlev1"/>
        <w:rPr>
          <w:lang w:val="en-US" w:eastAsia="zh-CN"/>
        </w:rPr>
      </w:pPr>
      <w:r>
        <w:rPr>
          <w:lang w:val="en-US" w:eastAsia="zh-CN"/>
        </w:rPr>
        <w:t>2)</w:t>
      </w:r>
      <w:r w:rsidR="009C5830" w:rsidRPr="005073A1">
        <w:rPr>
          <w:lang w:val="en-US" w:eastAsia="zh-CN"/>
        </w:rPr>
        <w:tab/>
        <w:t>92%</w:t>
      </w:r>
      <w:r w:rsidR="006E4530" w:rsidRPr="005073A1">
        <w:rPr>
          <w:rFonts w:hint="eastAsia"/>
          <w:lang w:val="en-US" w:eastAsia="zh-CN"/>
        </w:rPr>
        <w:t>的</w:t>
      </w:r>
      <w:r w:rsidR="006E4530" w:rsidRPr="005073A1">
        <w:rPr>
          <w:lang w:val="en-US" w:eastAsia="zh-CN"/>
        </w:rPr>
        <w:t>CISN</w:t>
      </w:r>
      <w:r w:rsidR="002A737F" w:rsidRPr="005073A1">
        <w:rPr>
          <w:rFonts w:hint="eastAsia"/>
          <w:lang w:val="en-US" w:eastAsia="zh-CN"/>
        </w:rPr>
        <w:t>没有任何学术成员</w:t>
      </w:r>
    </w:p>
    <w:p w14:paraId="2970E8B1" w14:textId="131F4663" w:rsidR="009C5830" w:rsidRPr="005073A1" w:rsidRDefault="00E7414B" w:rsidP="002C27C3">
      <w:pPr>
        <w:pStyle w:val="enumlev1"/>
        <w:rPr>
          <w:lang w:val="en-US" w:eastAsia="zh-CN"/>
        </w:rPr>
      </w:pPr>
      <w:r>
        <w:rPr>
          <w:lang w:val="en-US" w:eastAsia="zh-CN"/>
        </w:rPr>
        <w:t>3)</w:t>
      </w:r>
      <w:r w:rsidR="009C5830" w:rsidRPr="005073A1">
        <w:rPr>
          <w:lang w:val="en-US" w:eastAsia="zh-CN"/>
        </w:rPr>
        <w:tab/>
        <w:t>25%</w:t>
      </w:r>
      <w:r w:rsidR="00BD732E" w:rsidRPr="005073A1">
        <w:rPr>
          <w:rFonts w:hint="eastAsia"/>
          <w:lang w:val="en-US" w:eastAsia="zh-CN"/>
        </w:rPr>
        <w:t>的</w:t>
      </w:r>
      <w:r w:rsidR="00BD732E" w:rsidRPr="005073A1">
        <w:rPr>
          <w:lang w:val="en-US" w:eastAsia="zh-CN"/>
        </w:rPr>
        <w:t>CISN</w:t>
      </w:r>
      <w:r w:rsidR="00BD732E" w:rsidRPr="005073A1">
        <w:rPr>
          <w:rFonts w:hint="eastAsia"/>
          <w:spacing w:val="-4"/>
          <w:lang w:val="en-US" w:eastAsia="zh-CN"/>
        </w:rPr>
        <w:t>有</w:t>
      </w:r>
      <w:r w:rsidR="00BD732E" w:rsidRPr="005073A1">
        <w:rPr>
          <w:rFonts w:hint="eastAsia"/>
          <w:spacing w:val="-4"/>
          <w:lang w:val="en-US" w:eastAsia="zh-CN"/>
        </w:rPr>
        <w:t>ITU-D</w:t>
      </w:r>
      <w:r w:rsidR="00BD732E" w:rsidRPr="005073A1">
        <w:rPr>
          <w:rFonts w:hint="eastAsia"/>
          <w:spacing w:val="-4"/>
          <w:lang w:val="en-US" w:eastAsia="zh-CN"/>
        </w:rPr>
        <w:t>部门成员（所有</w:t>
      </w:r>
      <w:r w:rsidR="00B97FC7" w:rsidRPr="005073A1">
        <w:rPr>
          <w:rFonts w:hint="eastAsia"/>
          <w:spacing w:val="-4"/>
          <w:lang w:val="en-US" w:eastAsia="zh-CN"/>
        </w:rPr>
        <w:t>国际电联</w:t>
      </w:r>
      <w:r w:rsidR="00BD732E" w:rsidRPr="005073A1">
        <w:rPr>
          <w:rFonts w:hint="eastAsia"/>
          <w:spacing w:val="-4"/>
          <w:lang w:val="en-US" w:eastAsia="zh-CN"/>
        </w:rPr>
        <w:t>部门中最高的；</w:t>
      </w:r>
      <w:r w:rsidR="00B97FC7" w:rsidRPr="005073A1">
        <w:rPr>
          <w:lang w:val="en-US" w:eastAsia="zh-CN"/>
        </w:rPr>
        <w:t>ITU-</w:t>
      </w:r>
      <w:r w:rsidR="008C6E3E">
        <w:rPr>
          <w:lang w:val="en-US" w:eastAsia="zh-CN"/>
        </w:rPr>
        <w:t>R</w:t>
      </w:r>
      <w:r w:rsidR="008C6E3E" w:rsidRPr="005073A1">
        <w:rPr>
          <w:lang w:val="en-US" w:eastAsia="zh-CN"/>
        </w:rPr>
        <w:t xml:space="preserve"> –</w:t>
      </w:r>
      <w:r w:rsidR="008C6E3E" w:rsidRPr="005073A1">
        <w:rPr>
          <w:b/>
          <w:lang w:val="en-US" w:eastAsia="zh-CN"/>
        </w:rPr>
        <w:t xml:space="preserve"> </w:t>
      </w:r>
      <w:r w:rsidR="00B97FC7" w:rsidRPr="005073A1">
        <w:rPr>
          <w:lang w:val="en-US" w:eastAsia="zh-CN"/>
        </w:rPr>
        <w:t>0%</w:t>
      </w:r>
      <w:r w:rsidR="00B97FC7" w:rsidRPr="005073A1">
        <w:rPr>
          <w:rFonts w:hint="eastAsia"/>
          <w:lang w:val="en-US" w:eastAsia="zh-CN"/>
        </w:rPr>
        <w:t>，</w:t>
      </w:r>
      <w:r w:rsidR="00B97FC7" w:rsidRPr="005073A1">
        <w:rPr>
          <w:lang w:val="en-US" w:eastAsia="zh-CN"/>
        </w:rPr>
        <w:t>ITU-T – 8%</w:t>
      </w:r>
      <w:r w:rsidR="00B97FC7" w:rsidRPr="005073A1">
        <w:rPr>
          <w:rFonts w:hint="eastAsia"/>
          <w:lang w:val="en-US" w:eastAsia="zh-CN"/>
        </w:rPr>
        <w:t>）</w:t>
      </w:r>
    </w:p>
    <w:p w14:paraId="299A8AEA" w14:textId="18C261E8" w:rsidR="009C5830" w:rsidRPr="005073A1" w:rsidRDefault="00170F0C" w:rsidP="00854829">
      <w:pPr>
        <w:pStyle w:val="Headingb"/>
        <w:spacing w:before="240"/>
        <w:rPr>
          <w:color w:val="000000" w:themeColor="text1"/>
          <w:lang w:val="en-US" w:eastAsia="zh-CN"/>
        </w:rPr>
      </w:pPr>
      <w:r w:rsidRPr="005073A1">
        <w:rPr>
          <w:rFonts w:hint="eastAsia"/>
          <w:color w:val="000000" w:themeColor="text1"/>
          <w:lang w:eastAsia="zh-CN"/>
        </w:rPr>
        <w:t>提案和可能的前进方向</w:t>
      </w:r>
    </w:p>
    <w:p w14:paraId="24755832" w14:textId="378605B9" w:rsidR="00BF5652" w:rsidRPr="005073A1" w:rsidRDefault="008D4A29" w:rsidP="00442B3F">
      <w:pPr>
        <w:ind w:firstLineChars="200" w:firstLine="480"/>
        <w:rPr>
          <w:lang w:eastAsia="zh-CN"/>
        </w:rPr>
      </w:pPr>
      <w:r w:rsidRPr="005073A1">
        <w:rPr>
          <w:rFonts w:hint="eastAsia"/>
          <w:lang w:eastAsia="zh-CN"/>
        </w:rPr>
        <w:t>为促进特定类别国家</w:t>
      </w:r>
      <w:r w:rsidR="00D165CB" w:rsidRPr="005073A1">
        <w:rPr>
          <w:rFonts w:hint="eastAsia"/>
          <w:lang w:eastAsia="zh-CN"/>
        </w:rPr>
        <w:t>的</w:t>
      </w:r>
      <w:r w:rsidRPr="005073A1">
        <w:rPr>
          <w:rFonts w:hint="eastAsia"/>
          <w:lang w:eastAsia="zh-CN"/>
        </w:rPr>
        <w:t>学术界和业界</w:t>
      </w:r>
      <w:r w:rsidR="000E02D2" w:rsidRPr="005073A1">
        <w:rPr>
          <w:rFonts w:hint="eastAsia"/>
          <w:lang w:eastAsia="zh-CN"/>
        </w:rPr>
        <w:t>更多</w:t>
      </w:r>
      <w:r w:rsidRPr="005073A1">
        <w:rPr>
          <w:rFonts w:hint="eastAsia"/>
          <w:lang w:eastAsia="zh-CN"/>
        </w:rPr>
        <w:t>参与，理事会可</w:t>
      </w:r>
      <w:r w:rsidR="00BF6718" w:rsidRPr="005073A1">
        <w:rPr>
          <w:rFonts w:hint="eastAsia"/>
          <w:lang w:eastAsia="zh-CN"/>
        </w:rPr>
        <w:t>特别</w:t>
      </w:r>
      <w:r w:rsidRPr="005073A1">
        <w:rPr>
          <w:rFonts w:hint="eastAsia"/>
          <w:lang w:eastAsia="zh-CN"/>
        </w:rPr>
        <w:t>考虑以下措施。</w:t>
      </w:r>
    </w:p>
    <w:p w14:paraId="4C1765B7" w14:textId="344323CB" w:rsidR="009C5830" w:rsidRPr="005073A1" w:rsidRDefault="00442B3F" w:rsidP="002C27C3">
      <w:pPr>
        <w:pStyle w:val="enumlev1"/>
        <w:rPr>
          <w:lang w:eastAsia="zh-CN"/>
        </w:rPr>
      </w:pPr>
      <w:r w:rsidRPr="00334E6A">
        <w:rPr>
          <w:rFonts w:hint="eastAsia"/>
          <w:lang w:eastAsia="zh-CN"/>
        </w:rPr>
        <w:t>1)</w:t>
      </w:r>
      <w:r w:rsidRPr="00334E6A">
        <w:rPr>
          <w:rFonts w:hint="eastAsia"/>
          <w:lang w:eastAsia="zh-CN"/>
        </w:rPr>
        <w:tab/>
      </w:r>
      <w:proofErr w:type="gramStart"/>
      <w:r w:rsidR="004550E4" w:rsidRPr="00334E6A">
        <w:rPr>
          <w:rFonts w:hint="eastAsia"/>
          <w:lang w:eastAsia="zh-CN"/>
        </w:rPr>
        <w:t>可考虑</w:t>
      </w:r>
      <w:r w:rsidR="006F3ACB" w:rsidRPr="00334E6A">
        <w:rPr>
          <w:rFonts w:hint="eastAsia"/>
          <w:lang w:eastAsia="zh-CN"/>
        </w:rPr>
        <w:t>类似“</w:t>
      </w:r>
      <w:proofErr w:type="gramEnd"/>
      <w:r w:rsidR="006F3ACB" w:rsidRPr="00334E6A">
        <w:rPr>
          <w:rFonts w:hint="eastAsia"/>
          <w:lang w:eastAsia="zh-CN"/>
        </w:rPr>
        <w:t>妇女联谊会”的</w:t>
      </w:r>
      <w:r w:rsidR="00BD366D" w:rsidRPr="00334E6A">
        <w:rPr>
          <w:rFonts w:hint="eastAsia"/>
          <w:lang w:eastAsia="zh-CN"/>
        </w:rPr>
        <w:t>“</w:t>
      </w:r>
      <w:r w:rsidR="004550E4" w:rsidRPr="00334E6A">
        <w:rPr>
          <w:b/>
          <w:bCs/>
          <w:lang w:eastAsia="zh-CN"/>
        </w:rPr>
        <w:t>LDC</w:t>
      </w:r>
      <w:r w:rsidR="004550E4" w:rsidRPr="00334E6A">
        <w:rPr>
          <w:rFonts w:hint="eastAsia"/>
          <w:b/>
          <w:bCs/>
          <w:lang w:eastAsia="zh-CN"/>
        </w:rPr>
        <w:t>、</w:t>
      </w:r>
      <w:r w:rsidR="004550E4" w:rsidRPr="00334E6A">
        <w:rPr>
          <w:b/>
          <w:bCs/>
          <w:lang w:eastAsia="zh-CN"/>
        </w:rPr>
        <w:t>LLDC</w:t>
      </w:r>
      <w:r w:rsidR="004550E4" w:rsidRPr="00334E6A">
        <w:rPr>
          <w:rFonts w:hint="eastAsia"/>
          <w:b/>
          <w:bCs/>
          <w:lang w:eastAsia="zh-CN"/>
        </w:rPr>
        <w:t>、</w:t>
      </w:r>
      <w:r w:rsidR="004550E4" w:rsidRPr="00334E6A">
        <w:rPr>
          <w:b/>
          <w:bCs/>
          <w:lang w:eastAsia="zh-CN"/>
        </w:rPr>
        <w:t>SIDS</w:t>
      </w:r>
      <w:r w:rsidR="004550E4" w:rsidRPr="00334E6A">
        <w:rPr>
          <w:rFonts w:hint="eastAsia"/>
          <w:b/>
          <w:bCs/>
          <w:lang w:eastAsia="zh-CN"/>
        </w:rPr>
        <w:t>、</w:t>
      </w:r>
      <w:r w:rsidR="004550E4" w:rsidRPr="00334E6A">
        <w:rPr>
          <w:b/>
          <w:bCs/>
          <w:lang w:eastAsia="zh-CN"/>
        </w:rPr>
        <w:t>CISN</w:t>
      </w:r>
      <w:r w:rsidR="004550E4" w:rsidRPr="00334E6A">
        <w:rPr>
          <w:rFonts w:hint="eastAsia"/>
          <w:b/>
          <w:bCs/>
          <w:lang w:eastAsia="zh-CN"/>
        </w:rPr>
        <w:t>业界和学术界联谊会</w:t>
      </w:r>
      <w:r w:rsidR="00BD366D" w:rsidRPr="00334E6A">
        <w:rPr>
          <w:rFonts w:hint="eastAsia"/>
          <w:lang w:eastAsia="zh-CN"/>
        </w:rPr>
        <w:t>”</w:t>
      </w:r>
      <w:r w:rsidR="00CF69C0" w:rsidRPr="00334E6A">
        <w:rPr>
          <w:rFonts w:hint="eastAsia"/>
          <w:lang w:eastAsia="zh-CN"/>
        </w:rPr>
        <w:t>等</w:t>
      </w:r>
      <w:r w:rsidR="004550E4" w:rsidRPr="00334E6A">
        <w:rPr>
          <w:rFonts w:hint="eastAsia"/>
          <w:lang w:eastAsia="zh-CN"/>
        </w:rPr>
        <w:t>，</w:t>
      </w:r>
      <w:r w:rsidR="004B0BD2" w:rsidRPr="00334E6A">
        <w:rPr>
          <w:rFonts w:hint="eastAsia"/>
          <w:lang w:eastAsia="zh-CN"/>
        </w:rPr>
        <w:t>以</w:t>
      </w:r>
      <w:r w:rsidR="004550E4" w:rsidRPr="00334E6A">
        <w:rPr>
          <w:rFonts w:hint="eastAsia"/>
          <w:lang w:eastAsia="zh-CN"/>
        </w:rPr>
        <w:t>在</w:t>
      </w:r>
      <w:r w:rsidR="00C026C6" w:rsidRPr="00334E6A">
        <w:rPr>
          <w:rFonts w:hint="eastAsia"/>
          <w:lang w:eastAsia="zh-CN"/>
        </w:rPr>
        <w:t>“</w:t>
      </w:r>
      <w:r w:rsidR="004550E4" w:rsidRPr="005073A1">
        <w:rPr>
          <w:rFonts w:hint="eastAsia"/>
          <w:lang w:eastAsia="zh-CN"/>
        </w:rPr>
        <w:t>国际电联</w:t>
      </w:r>
      <w:r w:rsidR="00C026C6" w:rsidRPr="005073A1">
        <w:rPr>
          <w:rFonts w:hint="eastAsia"/>
          <w:lang w:eastAsia="zh-CN"/>
        </w:rPr>
        <w:t>是一家”</w:t>
      </w:r>
      <w:r w:rsidR="009931E1" w:rsidRPr="005073A1">
        <w:rPr>
          <w:rFonts w:hint="eastAsia"/>
          <w:lang w:eastAsia="zh-CN"/>
        </w:rPr>
        <w:t>框架</w:t>
      </w:r>
      <w:r w:rsidR="004550E4" w:rsidRPr="005073A1">
        <w:rPr>
          <w:rFonts w:hint="eastAsia"/>
          <w:lang w:eastAsia="zh-CN"/>
        </w:rPr>
        <w:t>下</w:t>
      </w:r>
      <w:r w:rsidR="002F33F1" w:rsidRPr="005073A1">
        <w:rPr>
          <w:rFonts w:hint="eastAsia"/>
          <w:lang w:eastAsia="zh-CN"/>
        </w:rPr>
        <w:t>促成</w:t>
      </w:r>
      <w:r w:rsidR="004B0BD2" w:rsidRPr="005073A1">
        <w:rPr>
          <w:rFonts w:hint="eastAsia"/>
          <w:lang w:eastAsia="zh-CN"/>
        </w:rPr>
        <w:t>有的放矢的努力</w:t>
      </w:r>
      <w:r w:rsidR="004550E4" w:rsidRPr="005073A1">
        <w:rPr>
          <w:rFonts w:hint="eastAsia"/>
          <w:lang w:eastAsia="zh-CN"/>
        </w:rPr>
        <w:t>。这可</w:t>
      </w:r>
      <w:r w:rsidR="00565C31" w:rsidRPr="005073A1">
        <w:rPr>
          <w:rFonts w:hint="eastAsia"/>
          <w:lang w:eastAsia="zh-CN"/>
        </w:rPr>
        <w:t>对</w:t>
      </w:r>
      <w:r w:rsidR="004550E4" w:rsidRPr="005073A1">
        <w:rPr>
          <w:rFonts w:hint="eastAsia"/>
          <w:lang w:eastAsia="zh-CN"/>
        </w:rPr>
        <w:t>国际电联活动信息</w:t>
      </w:r>
      <w:r w:rsidR="00A931ED" w:rsidRPr="005073A1">
        <w:rPr>
          <w:rFonts w:hint="eastAsia"/>
          <w:lang w:eastAsia="zh-CN"/>
        </w:rPr>
        <w:t>的传播</w:t>
      </w:r>
      <w:r w:rsidR="00B60997" w:rsidRPr="005073A1">
        <w:rPr>
          <w:rFonts w:hint="eastAsia"/>
          <w:lang w:eastAsia="zh-CN"/>
        </w:rPr>
        <w:t>予以</w:t>
      </w:r>
      <w:r w:rsidR="00142CD7" w:rsidRPr="005073A1">
        <w:rPr>
          <w:rFonts w:hint="eastAsia"/>
          <w:lang w:eastAsia="zh-CN"/>
        </w:rPr>
        <w:t>补充</w:t>
      </w:r>
      <w:r w:rsidR="004550E4" w:rsidRPr="005073A1">
        <w:rPr>
          <w:rFonts w:hint="eastAsia"/>
          <w:lang w:eastAsia="zh-CN"/>
        </w:rPr>
        <w:t>，并为实现电信</w:t>
      </w:r>
      <w:r w:rsidR="004550E4" w:rsidRPr="005073A1">
        <w:rPr>
          <w:rFonts w:hint="eastAsia"/>
          <w:lang w:eastAsia="zh-CN"/>
        </w:rPr>
        <w:t>/</w:t>
      </w:r>
      <w:r w:rsidR="0031233B" w:rsidRPr="005073A1">
        <w:rPr>
          <w:rFonts w:hint="eastAsia"/>
          <w:lang w:eastAsia="zh-CN"/>
        </w:rPr>
        <w:t>信息通信</w:t>
      </w:r>
      <w:r w:rsidR="004550E4" w:rsidRPr="005073A1">
        <w:rPr>
          <w:rFonts w:hint="eastAsia"/>
          <w:lang w:eastAsia="zh-CN"/>
        </w:rPr>
        <w:t>技术</w:t>
      </w:r>
      <w:r w:rsidR="00E65E19" w:rsidRPr="005073A1">
        <w:rPr>
          <w:rFonts w:hint="eastAsia"/>
          <w:lang w:eastAsia="zh-CN"/>
        </w:rPr>
        <w:t>（</w:t>
      </w:r>
      <w:r w:rsidR="00E65E19" w:rsidRPr="005073A1">
        <w:rPr>
          <w:rFonts w:hint="eastAsia"/>
          <w:lang w:eastAsia="zh-CN"/>
        </w:rPr>
        <w:t>ICT</w:t>
      </w:r>
      <w:r w:rsidR="00E65E19" w:rsidRPr="005073A1">
        <w:rPr>
          <w:rFonts w:hint="eastAsia"/>
          <w:lang w:eastAsia="zh-CN"/>
        </w:rPr>
        <w:t>）</w:t>
      </w:r>
      <w:r w:rsidR="0031233B" w:rsidRPr="005073A1">
        <w:rPr>
          <w:rFonts w:hint="eastAsia"/>
          <w:lang w:eastAsia="zh-CN"/>
        </w:rPr>
        <w:t>相关</w:t>
      </w:r>
      <w:r w:rsidR="004550E4" w:rsidRPr="005073A1">
        <w:rPr>
          <w:rFonts w:hint="eastAsia"/>
          <w:lang w:eastAsia="zh-CN"/>
        </w:rPr>
        <w:t>国家目标和可持续发展目标提供</w:t>
      </w:r>
      <w:r w:rsidR="00026295" w:rsidRPr="005073A1">
        <w:rPr>
          <w:rFonts w:hint="eastAsia"/>
          <w:lang w:eastAsia="zh-CN"/>
        </w:rPr>
        <w:t>所需</w:t>
      </w:r>
      <w:r w:rsidR="001131FA" w:rsidRPr="005073A1">
        <w:rPr>
          <w:rFonts w:hint="eastAsia"/>
          <w:lang w:eastAsia="zh-CN"/>
        </w:rPr>
        <w:t>的</w:t>
      </w:r>
      <w:r w:rsidR="00416985" w:rsidRPr="005073A1">
        <w:rPr>
          <w:rFonts w:hint="eastAsia"/>
          <w:lang w:eastAsia="zh-CN"/>
        </w:rPr>
        <w:t>手把手指导</w:t>
      </w:r>
      <w:r w:rsidR="001B76D5" w:rsidRPr="005073A1">
        <w:rPr>
          <w:rFonts w:hint="eastAsia"/>
          <w:lang w:eastAsia="zh-CN"/>
        </w:rPr>
        <w:t>；</w:t>
      </w:r>
    </w:p>
    <w:p w14:paraId="38A60B8D" w14:textId="4E3DDC49" w:rsidR="009C5830" w:rsidRPr="005073A1" w:rsidRDefault="00E7414B" w:rsidP="002C27C3">
      <w:pPr>
        <w:pStyle w:val="enumlev1"/>
        <w:rPr>
          <w:lang w:eastAsia="zh-CN"/>
        </w:rPr>
      </w:pPr>
      <w:r>
        <w:rPr>
          <w:rFonts w:hint="eastAsia"/>
          <w:lang w:eastAsia="zh-CN"/>
        </w:rPr>
        <w:t>2)</w:t>
      </w:r>
      <w:r>
        <w:rPr>
          <w:rFonts w:hint="eastAsia"/>
          <w:lang w:eastAsia="zh-CN"/>
        </w:rPr>
        <w:tab/>
      </w:r>
      <w:r w:rsidR="00895395" w:rsidRPr="005073A1">
        <w:rPr>
          <w:rFonts w:hint="eastAsia"/>
          <w:lang w:eastAsia="zh-CN"/>
        </w:rPr>
        <w:t>通过</w:t>
      </w:r>
      <w:r w:rsidR="00E64790" w:rsidRPr="005073A1">
        <w:rPr>
          <w:rFonts w:hint="eastAsia"/>
          <w:lang w:eastAsia="zh-CN"/>
        </w:rPr>
        <w:t>社交媒体</w:t>
      </w:r>
      <w:r w:rsidR="00E64790" w:rsidRPr="005073A1">
        <w:rPr>
          <w:rFonts w:hint="eastAsia"/>
          <w:lang w:eastAsia="zh-CN"/>
        </w:rPr>
        <w:t>/</w:t>
      </w:r>
      <w:r w:rsidR="00E64790" w:rsidRPr="005073A1">
        <w:rPr>
          <w:rFonts w:hint="eastAsia"/>
          <w:lang w:eastAsia="zh-CN"/>
        </w:rPr>
        <w:t>消息平台上</w:t>
      </w:r>
      <w:r w:rsidR="00895395" w:rsidRPr="005073A1">
        <w:rPr>
          <w:rFonts w:hint="eastAsia"/>
          <w:lang w:eastAsia="zh-CN"/>
        </w:rPr>
        <w:t>的</w:t>
      </w:r>
      <w:r w:rsidR="00937D43" w:rsidRPr="005073A1">
        <w:rPr>
          <w:rFonts w:hint="eastAsia"/>
          <w:lang w:eastAsia="zh-CN"/>
        </w:rPr>
        <w:t>具体</w:t>
      </w:r>
      <w:r w:rsidR="00E64790" w:rsidRPr="005073A1">
        <w:rPr>
          <w:rFonts w:hint="eastAsia"/>
          <w:lang w:eastAsia="zh-CN"/>
        </w:rPr>
        <w:t>国家小组，</w:t>
      </w:r>
      <w:r w:rsidR="004F7B8D" w:rsidRPr="005073A1">
        <w:rPr>
          <w:rFonts w:hint="eastAsia"/>
          <w:lang w:eastAsia="zh-CN"/>
        </w:rPr>
        <w:t>以及</w:t>
      </w:r>
      <w:r w:rsidR="00E64790" w:rsidRPr="005073A1">
        <w:rPr>
          <w:rFonts w:hint="eastAsia"/>
          <w:lang w:eastAsia="zh-CN"/>
        </w:rPr>
        <w:t>各国</w:t>
      </w:r>
      <w:r w:rsidR="00A447D6" w:rsidRPr="005073A1">
        <w:rPr>
          <w:rFonts w:hint="eastAsia"/>
          <w:lang w:eastAsia="zh-CN"/>
        </w:rPr>
        <w:t>的</w:t>
      </w:r>
      <w:r w:rsidR="00E64790" w:rsidRPr="005073A1">
        <w:rPr>
          <w:rFonts w:hint="eastAsia"/>
          <w:lang w:eastAsia="zh-CN"/>
        </w:rPr>
        <w:t>国际电联</w:t>
      </w:r>
      <w:r w:rsidR="00DC789C" w:rsidRPr="005073A1">
        <w:rPr>
          <w:rFonts w:hint="eastAsia"/>
          <w:lang w:eastAsia="zh-CN"/>
        </w:rPr>
        <w:t>联系</w:t>
      </w:r>
      <w:r w:rsidR="00E64790" w:rsidRPr="005073A1">
        <w:rPr>
          <w:rFonts w:hint="eastAsia"/>
          <w:lang w:eastAsia="zh-CN"/>
        </w:rPr>
        <w:t>人和</w:t>
      </w:r>
      <w:r w:rsidR="002202DA" w:rsidRPr="005073A1">
        <w:rPr>
          <w:rFonts w:hint="eastAsia"/>
          <w:lang w:eastAsia="zh-CN"/>
        </w:rPr>
        <w:t>作为推进方的</w:t>
      </w:r>
      <w:r w:rsidR="00E64790" w:rsidRPr="005073A1">
        <w:rPr>
          <w:rFonts w:hint="eastAsia"/>
          <w:lang w:eastAsia="zh-CN"/>
        </w:rPr>
        <w:t>国际电联</w:t>
      </w:r>
      <w:r w:rsidR="002202DA" w:rsidRPr="005073A1">
        <w:rPr>
          <w:rFonts w:hint="eastAsia"/>
          <w:lang w:eastAsia="zh-CN"/>
        </w:rPr>
        <w:t>小组</w:t>
      </w:r>
      <w:r w:rsidR="00E64790" w:rsidRPr="005073A1">
        <w:rPr>
          <w:rFonts w:hint="eastAsia"/>
          <w:lang w:eastAsia="zh-CN"/>
        </w:rPr>
        <w:t>，</w:t>
      </w:r>
      <w:proofErr w:type="gramStart"/>
      <w:r w:rsidR="008F18A2" w:rsidRPr="005073A1">
        <w:rPr>
          <w:rFonts w:hint="eastAsia"/>
          <w:lang w:eastAsia="zh-CN"/>
        </w:rPr>
        <w:t>宣传</w:t>
      </w:r>
      <w:r w:rsidR="00E64790" w:rsidRPr="005073A1">
        <w:rPr>
          <w:rFonts w:hint="eastAsia"/>
          <w:lang w:eastAsia="zh-CN"/>
        </w:rPr>
        <w:t>国际电联意识和</w:t>
      </w:r>
      <w:r w:rsidR="00240E83" w:rsidRPr="005073A1">
        <w:rPr>
          <w:rFonts w:hint="eastAsia"/>
          <w:lang w:eastAsia="zh-CN"/>
        </w:rPr>
        <w:t>手把手</w:t>
      </w:r>
      <w:r w:rsidR="00F45EE8" w:rsidRPr="005073A1">
        <w:rPr>
          <w:rFonts w:hint="eastAsia"/>
          <w:lang w:eastAsia="zh-CN"/>
        </w:rPr>
        <w:t>指导</w:t>
      </w:r>
      <w:r w:rsidR="00906E57" w:rsidRPr="005073A1">
        <w:rPr>
          <w:rFonts w:hint="eastAsia"/>
          <w:lang w:eastAsia="zh-CN"/>
        </w:rPr>
        <w:t>；</w:t>
      </w:r>
      <w:proofErr w:type="gramEnd"/>
    </w:p>
    <w:p w14:paraId="4373B659" w14:textId="2441FBB0" w:rsidR="009F01CE" w:rsidRPr="005073A1" w:rsidRDefault="00E7414B" w:rsidP="002C27C3">
      <w:pPr>
        <w:pStyle w:val="enumlev1"/>
        <w:rPr>
          <w:lang w:eastAsia="zh-CN"/>
        </w:rPr>
      </w:pPr>
      <w:r>
        <w:rPr>
          <w:rFonts w:hint="eastAsia"/>
          <w:lang w:eastAsia="zh-CN"/>
        </w:rPr>
        <w:t>3)</w:t>
      </w:r>
      <w:r>
        <w:rPr>
          <w:rFonts w:hint="eastAsia"/>
          <w:lang w:eastAsia="zh-CN"/>
        </w:rPr>
        <w:tab/>
      </w:r>
      <w:r w:rsidR="004A6FE1" w:rsidRPr="005073A1">
        <w:rPr>
          <w:rFonts w:hint="eastAsia"/>
          <w:lang w:eastAsia="zh-CN"/>
        </w:rPr>
        <w:t>为</w:t>
      </w:r>
      <w:r w:rsidR="004A6FE1" w:rsidRPr="005073A1">
        <w:rPr>
          <w:lang w:eastAsia="zh-CN"/>
        </w:rPr>
        <w:t>LDC</w:t>
      </w:r>
      <w:r w:rsidR="004A6FE1" w:rsidRPr="005073A1">
        <w:rPr>
          <w:rFonts w:hint="eastAsia"/>
          <w:lang w:eastAsia="zh-CN"/>
        </w:rPr>
        <w:t>、</w:t>
      </w:r>
      <w:r w:rsidR="004A6FE1" w:rsidRPr="005073A1">
        <w:rPr>
          <w:lang w:eastAsia="zh-CN"/>
        </w:rPr>
        <w:t>LLDC</w:t>
      </w:r>
      <w:r w:rsidR="004A6FE1" w:rsidRPr="005073A1">
        <w:rPr>
          <w:rFonts w:hint="eastAsia"/>
          <w:lang w:eastAsia="zh-CN"/>
        </w:rPr>
        <w:t>、</w:t>
      </w:r>
      <w:r w:rsidR="004A6FE1" w:rsidRPr="005073A1">
        <w:rPr>
          <w:lang w:eastAsia="zh-CN"/>
        </w:rPr>
        <w:t>SIDS</w:t>
      </w:r>
      <w:r w:rsidR="004A6FE1" w:rsidRPr="005073A1">
        <w:rPr>
          <w:rFonts w:hint="eastAsia"/>
          <w:lang w:eastAsia="zh-CN"/>
        </w:rPr>
        <w:t>、</w:t>
      </w:r>
      <w:r w:rsidR="004A6FE1" w:rsidRPr="005073A1">
        <w:rPr>
          <w:lang w:eastAsia="zh-CN"/>
        </w:rPr>
        <w:t>CISN</w:t>
      </w:r>
      <w:r w:rsidR="004A6FE1" w:rsidRPr="005073A1">
        <w:rPr>
          <w:rFonts w:hint="eastAsia"/>
          <w:lang w:eastAsia="zh-CN"/>
        </w:rPr>
        <w:t>制定蓝图，</w:t>
      </w:r>
      <w:proofErr w:type="gramStart"/>
      <w:r w:rsidR="00063E3E" w:rsidRPr="005073A1">
        <w:rPr>
          <w:rFonts w:hint="eastAsia"/>
          <w:lang w:eastAsia="zh-CN"/>
        </w:rPr>
        <w:t>旨在</w:t>
      </w:r>
      <w:r w:rsidR="00F621B9" w:rsidRPr="005073A1">
        <w:rPr>
          <w:rFonts w:hint="eastAsia"/>
          <w:lang w:eastAsia="zh-CN"/>
        </w:rPr>
        <w:t>加强</w:t>
      </w:r>
      <w:r w:rsidR="004A6FE1" w:rsidRPr="005073A1">
        <w:rPr>
          <w:rFonts w:hint="eastAsia"/>
          <w:lang w:eastAsia="zh-CN"/>
        </w:rPr>
        <w:t>发达国家和发展中国家学术界和业界的</w:t>
      </w:r>
      <w:r w:rsidR="00321227" w:rsidRPr="005073A1">
        <w:rPr>
          <w:rFonts w:hint="eastAsia"/>
          <w:lang w:eastAsia="zh-CN"/>
        </w:rPr>
        <w:t>接触</w:t>
      </w:r>
      <w:r w:rsidR="00906E57" w:rsidRPr="005073A1">
        <w:rPr>
          <w:rFonts w:hint="eastAsia"/>
          <w:lang w:eastAsia="zh-CN"/>
        </w:rPr>
        <w:t>；</w:t>
      </w:r>
      <w:proofErr w:type="gramEnd"/>
    </w:p>
    <w:p w14:paraId="5515F38B" w14:textId="496C6957" w:rsidR="009C5830" w:rsidRPr="005073A1" w:rsidRDefault="00E7414B" w:rsidP="002C27C3">
      <w:pPr>
        <w:pStyle w:val="enumlev1"/>
        <w:rPr>
          <w:lang w:eastAsia="zh-CN"/>
        </w:rPr>
      </w:pPr>
      <w:r>
        <w:rPr>
          <w:rFonts w:hint="eastAsia"/>
          <w:lang w:eastAsia="zh-CN"/>
        </w:rPr>
        <w:t>4)</w:t>
      </w:r>
      <w:r>
        <w:rPr>
          <w:rFonts w:hint="eastAsia"/>
          <w:lang w:eastAsia="zh-CN"/>
        </w:rPr>
        <w:tab/>
      </w:r>
      <w:r w:rsidR="00F5181E" w:rsidRPr="005073A1">
        <w:rPr>
          <w:rFonts w:hint="eastAsia"/>
          <w:lang w:eastAsia="zh-CN"/>
        </w:rPr>
        <w:t>审查各个国家学术界和私营部门的会费</w:t>
      </w:r>
      <w:r w:rsidR="00F5181E" w:rsidRPr="005073A1">
        <w:rPr>
          <w:rFonts w:hint="eastAsia"/>
          <w:lang w:eastAsia="zh-CN"/>
        </w:rPr>
        <w:t>.</w:t>
      </w:r>
    </w:p>
    <w:p w14:paraId="6DEFEC2F" w14:textId="3945EB7C" w:rsidR="00992954" w:rsidRPr="005073A1" w:rsidRDefault="00335FC9" w:rsidP="002C27C3">
      <w:pPr>
        <w:pStyle w:val="enumlev1"/>
        <w:rPr>
          <w:lang w:eastAsia="zh-CN"/>
        </w:rPr>
      </w:pPr>
      <w:r>
        <w:rPr>
          <w:lang w:eastAsia="zh-CN"/>
        </w:rPr>
        <w:lastRenderedPageBreak/>
        <w:t>5)</w:t>
      </w:r>
      <w:r>
        <w:rPr>
          <w:lang w:eastAsia="zh-CN"/>
        </w:rPr>
        <w:tab/>
      </w:r>
      <w:r w:rsidR="003267ED" w:rsidRPr="005073A1">
        <w:rPr>
          <w:lang w:eastAsia="zh-CN"/>
        </w:rPr>
        <w:t>GCBI</w:t>
      </w:r>
      <w:r w:rsidR="00BD4218" w:rsidRPr="005073A1">
        <w:rPr>
          <w:rFonts w:hint="eastAsia"/>
          <w:lang w:eastAsia="zh-CN"/>
        </w:rPr>
        <w:t>（全球能力建设举措）</w:t>
      </w:r>
      <w:proofErr w:type="gramStart"/>
      <w:r w:rsidR="00072237" w:rsidRPr="005073A1">
        <w:rPr>
          <w:rFonts w:hint="eastAsia"/>
          <w:lang w:eastAsia="zh-CN"/>
        </w:rPr>
        <w:t>能够</w:t>
      </w:r>
      <w:r w:rsidR="006F3294" w:rsidRPr="005073A1">
        <w:rPr>
          <w:rFonts w:hint="eastAsia"/>
          <w:lang w:eastAsia="zh-CN"/>
        </w:rPr>
        <w:t>扩大</w:t>
      </w:r>
      <w:r w:rsidR="00B96528" w:rsidRPr="005073A1">
        <w:rPr>
          <w:rFonts w:hint="eastAsia"/>
          <w:lang w:eastAsia="zh-CN"/>
        </w:rPr>
        <w:t>针对这些国家业</w:t>
      </w:r>
      <w:r w:rsidR="00A47904" w:rsidRPr="005073A1">
        <w:rPr>
          <w:rFonts w:hint="eastAsia"/>
          <w:lang w:eastAsia="zh-CN"/>
        </w:rPr>
        <w:t>界</w:t>
      </w:r>
      <w:r w:rsidR="00B96528" w:rsidRPr="005073A1">
        <w:rPr>
          <w:rFonts w:hint="eastAsia"/>
          <w:lang w:eastAsia="zh-CN"/>
        </w:rPr>
        <w:t>和学术界的活动</w:t>
      </w:r>
      <w:r w:rsidR="00927DB5" w:rsidRPr="005073A1">
        <w:rPr>
          <w:rFonts w:hint="eastAsia"/>
          <w:lang w:eastAsia="zh-CN"/>
        </w:rPr>
        <w:t>；</w:t>
      </w:r>
      <w:proofErr w:type="gramEnd"/>
    </w:p>
    <w:p w14:paraId="462CF4BC" w14:textId="530F24D8" w:rsidR="009C5830" w:rsidRPr="005073A1" w:rsidRDefault="00335FC9" w:rsidP="002C27C3">
      <w:pPr>
        <w:pStyle w:val="enumlev1"/>
        <w:rPr>
          <w:lang w:eastAsia="zh-CN"/>
        </w:rPr>
      </w:pPr>
      <w:r>
        <w:rPr>
          <w:rFonts w:hint="eastAsia"/>
          <w:lang w:eastAsia="zh-CN"/>
        </w:rPr>
        <w:t>6)</w:t>
      </w:r>
      <w:r>
        <w:rPr>
          <w:rFonts w:hint="eastAsia"/>
          <w:lang w:eastAsia="zh-CN"/>
        </w:rPr>
        <w:tab/>
      </w:r>
      <w:r w:rsidR="00D877D0" w:rsidRPr="005073A1">
        <w:rPr>
          <w:rFonts w:hint="eastAsia"/>
          <w:lang w:eastAsia="zh-CN"/>
        </w:rPr>
        <w:t>考虑其他必要措施，</w:t>
      </w:r>
      <w:r w:rsidR="009B69EC" w:rsidRPr="005073A1">
        <w:rPr>
          <w:rFonts w:hint="eastAsia"/>
          <w:lang w:eastAsia="zh-CN"/>
        </w:rPr>
        <w:t>帮助</w:t>
      </w:r>
      <w:r w:rsidR="00D877D0" w:rsidRPr="005073A1">
        <w:rPr>
          <w:rFonts w:hint="eastAsia"/>
          <w:lang w:eastAsia="zh-CN"/>
        </w:rPr>
        <w:t>加强参与和</w:t>
      </w:r>
      <w:r w:rsidR="008402A5" w:rsidRPr="005073A1">
        <w:rPr>
          <w:rFonts w:hint="eastAsia"/>
          <w:lang w:eastAsia="zh-CN"/>
        </w:rPr>
        <w:t>手把手指导</w:t>
      </w:r>
      <w:r w:rsidR="00D877D0" w:rsidRPr="005073A1">
        <w:rPr>
          <w:rFonts w:hint="eastAsia"/>
          <w:lang w:eastAsia="zh-CN"/>
        </w:rPr>
        <w:t>。</w:t>
      </w:r>
    </w:p>
    <w:p w14:paraId="7FBC083A" w14:textId="50D37487" w:rsidR="009F01CE" w:rsidRPr="005073A1" w:rsidRDefault="008402A5" w:rsidP="00335FC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360"/>
        <w:ind w:firstLineChars="200" w:firstLine="440"/>
        <w:jc w:val="both"/>
        <w:textAlignment w:val="auto"/>
        <w:rPr>
          <w:sz w:val="22"/>
          <w:szCs w:val="22"/>
          <w:lang w:eastAsia="zh-CN"/>
        </w:rPr>
      </w:pPr>
      <w:r w:rsidRPr="005073A1">
        <w:rPr>
          <w:rFonts w:hint="eastAsia"/>
          <w:sz w:val="22"/>
          <w:szCs w:val="22"/>
          <w:lang w:eastAsia="zh-CN"/>
        </w:rPr>
        <w:t>更多详情亦可</w:t>
      </w:r>
      <w:hyperlink r:id="rId19" w:history="1">
        <w:r w:rsidRPr="005073A1">
          <w:rPr>
            <w:rStyle w:val="Hyperlink"/>
            <w:rFonts w:hint="eastAsia"/>
            <w:sz w:val="22"/>
            <w:szCs w:val="22"/>
            <w:lang w:eastAsia="zh-CN"/>
          </w:rPr>
          <w:t>见</w:t>
        </w:r>
        <w:r w:rsidRPr="005073A1">
          <w:rPr>
            <w:rStyle w:val="Hyperlink"/>
            <w:rFonts w:hint="eastAsia"/>
            <w:sz w:val="22"/>
            <w:szCs w:val="22"/>
            <w:lang w:eastAsia="zh-CN"/>
          </w:rPr>
          <w:t>PPT</w:t>
        </w:r>
      </w:hyperlink>
      <w:r w:rsidRPr="005073A1">
        <w:rPr>
          <w:rFonts w:hint="eastAsia"/>
          <w:sz w:val="22"/>
          <w:szCs w:val="22"/>
          <w:lang w:eastAsia="zh-CN"/>
        </w:rPr>
        <w:t>（</w:t>
      </w:r>
      <w:r w:rsidRPr="005073A1">
        <w:rPr>
          <w:lang w:eastAsia="zh-CN"/>
        </w:rPr>
        <w:t>LDC</w:t>
      </w:r>
      <w:r w:rsidRPr="005073A1">
        <w:rPr>
          <w:rFonts w:hint="eastAsia"/>
          <w:lang w:eastAsia="zh-CN"/>
        </w:rPr>
        <w:t>、</w:t>
      </w:r>
      <w:r w:rsidRPr="005073A1">
        <w:rPr>
          <w:lang w:eastAsia="zh-CN"/>
        </w:rPr>
        <w:t>LLDC</w:t>
      </w:r>
      <w:r w:rsidRPr="005073A1">
        <w:rPr>
          <w:rFonts w:hint="eastAsia"/>
          <w:lang w:eastAsia="zh-CN"/>
        </w:rPr>
        <w:t>、</w:t>
      </w:r>
      <w:r w:rsidRPr="005073A1">
        <w:rPr>
          <w:lang w:eastAsia="zh-CN"/>
        </w:rPr>
        <w:t>SIDS</w:t>
      </w:r>
      <w:r w:rsidRPr="005073A1">
        <w:rPr>
          <w:rFonts w:hint="eastAsia"/>
          <w:lang w:eastAsia="zh-CN"/>
        </w:rPr>
        <w:t>、</w:t>
      </w:r>
      <w:r w:rsidRPr="005073A1">
        <w:rPr>
          <w:lang w:eastAsia="zh-CN"/>
        </w:rPr>
        <w:t>CISN</w:t>
      </w:r>
      <w:r w:rsidRPr="005073A1">
        <w:rPr>
          <w:rFonts w:hint="eastAsia"/>
          <w:lang w:eastAsia="zh-CN"/>
        </w:rPr>
        <w:t>成员</w:t>
      </w:r>
      <w:r w:rsidR="00B90341" w:rsidRPr="005073A1">
        <w:rPr>
          <w:rFonts w:hint="eastAsia"/>
          <w:lang w:eastAsia="zh-CN"/>
        </w:rPr>
        <w:t>情况</w:t>
      </w:r>
      <w:r w:rsidRPr="005073A1">
        <w:rPr>
          <w:rFonts w:hint="eastAsia"/>
          <w:sz w:val="22"/>
          <w:szCs w:val="22"/>
          <w:lang w:eastAsia="zh-CN"/>
        </w:rPr>
        <w:t>）</w:t>
      </w:r>
    </w:p>
    <w:p w14:paraId="4D859454" w14:textId="4DC3682A" w:rsidR="00BF5652" w:rsidRDefault="00BF5652" w:rsidP="00BD25E6">
      <w:pPr>
        <w:spacing w:before="840"/>
        <w:jc w:val="center"/>
        <w:rPr>
          <w:lang w:val="en-US"/>
        </w:rPr>
      </w:pPr>
      <w:r w:rsidRPr="005073A1">
        <w:rPr>
          <w:lang w:val="en-US"/>
        </w:rPr>
        <w:t>________________</w:t>
      </w:r>
    </w:p>
    <w:sectPr w:rsidR="00BF5652" w:rsidSect="00971868">
      <w:headerReference w:type="default" r:id="rId20"/>
      <w:footerReference w:type="default" r:id="rId21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0EA6" w14:textId="77777777" w:rsidR="00C529B7" w:rsidRDefault="00C529B7">
      <w:r>
        <w:separator/>
      </w:r>
    </w:p>
  </w:endnote>
  <w:endnote w:type="continuationSeparator" w:id="0">
    <w:p w14:paraId="01B25F0A" w14:textId="77777777" w:rsidR="00C529B7" w:rsidRDefault="00C5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B42F" w14:textId="40AB1208" w:rsidR="00CB18FF" w:rsidRPr="00F5181E" w:rsidRDefault="002C27C3" w:rsidP="002C27C3">
    <w:pPr>
      <w:pStyle w:val="Footer"/>
      <w:rPr>
        <w:lang w:val="fr-FR"/>
      </w:rPr>
    </w:pPr>
    <w:r w:rsidRPr="00F5181E">
      <w:rPr>
        <w:color w:val="F2F2F2" w:themeColor="background1" w:themeShade="F2"/>
        <w:lang w:eastAsia="zh-CN"/>
      </w:rPr>
      <w:fldChar w:fldCharType="begin"/>
    </w:r>
    <w:r w:rsidRPr="00F5181E">
      <w:rPr>
        <w:color w:val="F2F2F2" w:themeColor="background1" w:themeShade="F2"/>
        <w:lang w:val="fr-FR" w:eastAsia="zh-CN"/>
      </w:rPr>
      <w:instrText xml:space="preserve"> FILENAME \p  \* MERGEFORMAT </w:instrText>
    </w:r>
    <w:r w:rsidRPr="00F5181E">
      <w:rPr>
        <w:color w:val="F2F2F2" w:themeColor="background1" w:themeShade="F2"/>
        <w:lang w:eastAsia="zh-CN"/>
      </w:rPr>
      <w:fldChar w:fldCharType="separate"/>
    </w:r>
    <w:r w:rsidR="00F02141" w:rsidRPr="00F5181E">
      <w:rPr>
        <w:color w:val="F2F2F2" w:themeColor="background1" w:themeShade="F2"/>
        <w:lang w:val="fr-FR" w:eastAsia="zh-CN"/>
      </w:rPr>
      <w:t>P:\CHI\SG\CONSEIL\C22\000\079C.docx</w:t>
    </w:r>
    <w:r w:rsidRPr="00F5181E">
      <w:rPr>
        <w:color w:val="F2F2F2" w:themeColor="background1" w:themeShade="F2"/>
        <w:lang w:eastAsia="zh-CN"/>
      </w:rPr>
      <w:fldChar w:fldCharType="end"/>
    </w:r>
    <w:r w:rsidR="00F02141" w:rsidRPr="00F5181E">
      <w:rPr>
        <w:color w:val="F2F2F2" w:themeColor="background1" w:themeShade="F2"/>
        <w:lang w:val="fr-FR" w:eastAsia="zh-CN"/>
      </w:rPr>
      <w:t xml:space="preserve"> (502524</w:t>
    </w:r>
    <w:r w:rsidRPr="00F5181E">
      <w:rPr>
        <w:color w:val="F2F2F2" w:themeColor="background1" w:themeShade="F2"/>
        <w:lang w:val="fr-FR" w:eastAsia="zh-C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2D324" w14:textId="77777777" w:rsidR="00C529B7" w:rsidRDefault="00C529B7">
      <w:r>
        <w:t>____________________</w:t>
      </w:r>
    </w:p>
  </w:footnote>
  <w:footnote w:type="continuationSeparator" w:id="0">
    <w:p w14:paraId="297E38E6" w14:textId="77777777" w:rsidR="00C529B7" w:rsidRDefault="00C52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5D44" w14:textId="50BDA9AB" w:rsidR="00971868" w:rsidRPr="00971868" w:rsidRDefault="00971868" w:rsidP="00971868">
    <w:pPr>
      <w:pStyle w:val="Header"/>
      <w:rPr>
        <w:lang w:val="fr-FR"/>
      </w:rPr>
    </w:pPr>
    <w:r w:rsidRPr="00971868">
      <w:rPr>
        <w:lang w:val="fr-FR"/>
      </w:rPr>
      <w:fldChar w:fldCharType="begin"/>
    </w:r>
    <w:r w:rsidRPr="00971868">
      <w:rPr>
        <w:lang w:val="fr-FR"/>
      </w:rPr>
      <w:instrText>PAGE</w:instrText>
    </w:r>
    <w:r w:rsidRPr="00971868">
      <w:rPr>
        <w:lang w:val="fr-FR"/>
      </w:rPr>
      <w:fldChar w:fldCharType="separate"/>
    </w:r>
    <w:r w:rsidR="008E637B">
      <w:rPr>
        <w:noProof/>
        <w:lang w:val="fr-FR"/>
      </w:rPr>
      <w:t>2</w:t>
    </w:r>
    <w:r w:rsidRPr="00971868">
      <w:fldChar w:fldCharType="end"/>
    </w:r>
  </w:p>
  <w:p w14:paraId="06B6B55B" w14:textId="7ADD3269" w:rsidR="00971868" w:rsidRPr="00971868" w:rsidRDefault="00971868">
    <w:pPr>
      <w:pStyle w:val="Header"/>
      <w:rPr>
        <w:lang w:val="fr-FR"/>
      </w:rPr>
    </w:pPr>
    <w:r w:rsidRPr="00971868">
      <w:rPr>
        <w:lang w:val="fr-FR"/>
      </w:rPr>
      <w:t>C22/</w:t>
    </w:r>
    <w:r>
      <w:rPr>
        <w:lang w:val="fr-FR"/>
      </w:rPr>
      <w:t>79</w:t>
    </w:r>
    <w:r w:rsidRPr="00971868">
      <w:rPr>
        <w:lang w:val="fr-FR"/>
      </w:rP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7514"/>
        </w:tabs>
        <w:ind w:left="7514" w:hanging="360"/>
      </w:pPr>
      <w:rPr>
        <w:rFonts w:ascii="Symbol" w:hAnsi="Symbol" w:hint="default"/>
      </w:rPr>
    </w:lvl>
  </w:abstractNum>
  <w:abstractNum w:abstractNumId="1" w15:restartNumberingAfterBreak="0">
    <w:nsid w:val="04FD017B"/>
    <w:multiLevelType w:val="hybridMultilevel"/>
    <w:tmpl w:val="F0FC7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B78DB"/>
    <w:multiLevelType w:val="hybridMultilevel"/>
    <w:tmpl w:val="F0FC7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C4CA7"/>
    <w:multiLevelType w:val="hybridMultilevel"/>
    <w:tmpl w:val="F0FC7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D6E8A"/>
    <w:multiLevelType w:val="hybridMultilevel"/>
    <w:tmpl w:val="E8665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975D35"/>
    <w:multiLevelType w:val="hybridMultilevel"/>
    <w:tmpl w:val="0128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C4D59"/>
    <w:multiLevelType w:val="hybridMultilevel"/>
    <w:tmpl w:val="1A2A2FB0"/>
    <w:lvl w:ilvl="0" w:tplc="FE84B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180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708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363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0A02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2E66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3874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72EC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5811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9F796D"/>
    <w:multiLevelType w:val="hybridMultilevel"/>
    <w:tmpl w:val="9DE4A2E4"/>
    <w:lvl w:ilvl="0" w:tplc="CEFA0CD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A6185"/>
    <w:multiLevelType w:val="hybridMultilevel"/>
    <w:tmpl w:val="F7D680C4"/>
    <w:lvl w:ilvl="0" w:tplc="4DB8E8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38156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3053D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C2DA7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FE2CD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00A87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22AB02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A0DB0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E848D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34F"/>
    <w:rsid w:val="00000FF9"/>
    <w:rsid w:val="00002D4F"/>
    <w:rsid w:val="000210D4"/>
    <w:rsid w:val="00026295"/>
    <w:rsid w:val="00031790"/>
    <w:rsid w:val="000451F0"/>
    <w:rsid w:val="0004756B"/>
    <w:rsid w:val="00063016"/>
    <w:rsid w:val="00063E3E"/>
    <w:rsid w:val="00066795"/>
    <w:rsid w:val="00072237"/>
    <w:rsid w:val="00076AF6"/>
    <w:rsid w:val="00085CF2"/>
    <w:rsid w:val="000878A5"/>
    <w:rsid w:val="0009183C"/>
    <w:rsid w:val="00091EC0"/>
    <w:rsid w:val="000A291B"/>
    <w:rsid w:val="000A71BF"/>
    <w:rsid w:val="000B1705"/>
    <w:rsid w:val="000C3677"/>
    <w:rsid w:val="000C7D8D"/>
    <w:rsid w:val="000D1B66"/>
    <w:rsid w:val="000D75B2"/>
    <w:rsid w:val="000E02D2"/>
    <w:rsid w:val="000E1542"/>
    <w:rsid w:val="000E3E95"/>
    <w:rsid w:val="000E6EC2"/>
    <w:rsid w:val="000F0983"/>
    <w:rsid w:val="000F1171"/>
    <w:rsid w:val="00100D07"/>
    <w:rsid w:val="00105527"/>
    <w:rsid w:val="001118A8"/>
    <w:rsid w:val="001121F5"/>
    <w:rsid w:val="001131FA"/>
    <w:rsid w:val="00114301"/>
    <w:rsid w:val="001237A7"/>
    <w:rsid w:val="00125279"/>
    <w:rsid w:val="00135337"/>
    <w:rsid w:val="00135875"/>
    <w:rsid w:val="001400DC"/>
    <w:rsid w:val="00140CE1"/>
    <w:rsid w:val="00142CD7"/>
    <w:rsid w:val="0014634F"/>
    <w:rsid w:val="00147E6D"/>
    <w:rsid w:val="001507AB"/>
    <w:rsid w:val="001578A4"/>
    <w:rsid w:val="00161E74"/>
    <w:rsid w:val="00170F0C"/>
    <w:rsid w:val="0017539C"/>
    <w:rsid w:val="00175AC2"/>
    <w:rsid w:val="0017609F"/>
    <w:rsid w:val="00177410"/>
    <w:rsid w:val="001913C8"/>
    <w:rsid w:val="0019190C"/>
    <w:rsid w:val="001A0E59"/>
    <w:rsid w:val="001A3887"/>
    <w:rsid w:val="001B3B3F"/>
    <w:rsid w:val="001B76D5"/>
    <w:rsid w:val="001C110A"/>
    <w:rsid w:val="001C3485"/>
    <w:rsid w:val="001C628E"/>
    <w:rsid w:val="001E0F7B"/>
    <w:rsid w:val="001E754E"/>
    <w:rsid w:val="002119FD"/>
    <w:rsid w:val="002130E0"/>
    <w:rsid w:val="002202DA"/>
    <w:rsid w:val="00232BAD"/>
    <w:rsid w:val="00240E83"/>
    <w:rsid w:val="0025618F"/>
    <w:rsid w:val="00264425"/>
    <w:rsid w:val="00265875"/>
    <w:rsid w:val="00270683"/>
    <w:rsid w:val="0027303B"/>
    <w:rsid w:val="00274E91"/>
    <w:rsid w:val="0028109B"/>
    <w:rsid w:val="002869C5"/>
    <w:rsid w:val="00294A08"/>
    <w:rsid w:val="002A17B1"/>
    <w:rsid w:val="002A2188"/>
    <w:rsid w:val="002A421A"/>
    <w:rsid w:val="002A49F6"/>
    <w:rsid w:val="002A737F"/>
    <w:rsid w:val="002B1F58"/>
    <w:rsid w:val="002B2BBD"/>
    <w:rsid w:val="002B2CD4"/>
    <w:rsid w:val="002C1C7A"/>
    <w:rsid w:val="002C27C3"/>
    <w:rsid w:val="002C6734"/>
    <w:rsid w:val="002E25DF"/>
    <w:rsid w:val="002F33F1"/>
    <w:rsid w:val="002F43A3"/>
    <w:rsid w:val="002F4447"/>
    <w:rsid w:val="002F50C6"/>
    <w:rsid w:val="002F7EB7"/>
    <w:rsid w:val="003004D7"/>
    <w:rsid w:val="0030160F"/>
    <w:rsid w:val="0031233B"/>
    <w:rsid w:val="00320223"/>
    <w:rsid w:val="00320F11"/>
    <w:rsid w:val="00321227"/>
    <w:rsid w:val="00322D0D"/>
    <w:rsid w:val="003267ED"/>
    <w:rsid w:val="00334971"/>
    <w:rsid w:val="00334E6A"/>
    <w:rsid w:val="00335FC9"/>
    <w:rsid w:val="0036382E"/>
    <w:rsid w:val="00370443"/>
    <w:rsid w:val="00377E1A"/>
    <w:rsid w:val="00381D93"/>
    <w:rsid w:val="003856BA"/>
    <w:rsid w:val="003934E3"/>
    <w:rsid w:val="003942D4"/>
    <w:rsid w:val="0039448B"/>
    <w:rsid w:val="00394B85"/>
    <w:rsid w:val="003958A8"/>
    <w:rsid w:val="003A34B3"/>
    <w:rsid w:val="003A3F86"/>
    <w:rsid w:val="003B19FF"/>
    <w:rsid w:val="003B5163"/>
    <w:rsid w:val="003C0511"/>
    <w:rsid w:val="003C2533"/>
    <w:rsid w:val="003C3881"/>
    <w:rsid w:val="003D301F"/>
    <w:rsid w:val="003F0D8B"/>
    <w:rsid w:val="0040435A"/>
    <w:rsid w:val="00414021"/>
    <w:rsid w:val="00416985"/>
    <w:rsid w:val="00416A24"/>
    <w:rsid w:val="00422A6E"/>
    <w:rsid w:val="004245B7"/>
    <w:rsid w:val="00431D9E"/>
    <w:rsid w:val="00433CE8"/>
    <w:rsid w:val="00434A5C"/>
    <w:rsid w:val="00436005"/>
    <w:rsid w:val="00442B3F"/>
    <w:rsid w:val="004544D9"/>
    <w:rsid w:val="004550E4"/>
    <w:rsid w:val="00475606"/>
    <w:rsid w:val="00490E72"/>
    <w:rsid w:val="00491157"/>
    <w:rsid w:val="004921C8"/>
    <w:rsid w:val="00495FE7"/>
    <w:rsid w:val="004A1B8B"/>
    <w:rsid w:val="004A6FE1"/>
    <w:rsid w:val="004B0BD2"/>
    <w:rsid w:val="004B50AC"/>
    <w:rsid w:val="004B634E"/>
    <w:rsid w:val="004C5F47"/>
    <w:rsid w:val="004C6BAD"/>
    <w:rsid w:val="004D1851"/>
    <w:rsid w:val="004D447F"/>
    <w:rsid w:val="004D599D"/>
    <w:rsid w:val="004D79F6"/>
    <w:rsid w:val="004E2EA5"/>
    <w:rsid w:val="004E3AEB"/>
    <w:rsid w:val="004E6D07"/>
    <w:rsid w:val="004F7B8D"/>
    <w:rsid w:val="004F7C63"/>
    <w:rsid w:val="005002AE"/>
    <w:rsid w:val="00500C13"/>
    <w:rsid w:val="005012DC"/>
    <w:rsid w:val="0050223C"/>
    <w:rsid w:val="00506D68"/>
    <w:rsid w:val="005073A1"/>
    <w:rsid w:val="005137DF"/>
    <w:rsid w:val="005243FF"/>
    <w:rsid w:val="0052760D"/>
    <w:rsid w:val="00540501"/>
    <w:rsid w:val="00555C7D"/>
    <w:rsid w:val="00564FBC"/>
    <w:rsid w:val="00565C31"/>
    <w:rsid w:val="0057512A"/>
    <w:rsid w:val="005810D6"/>
    <w:rsid w:val="00582442"/>
    <w:rsid w:val="00584C51"/>
    <w:rsid w:val="005B7730"/>
    <w:rsid w:val="005D063E"/>
    <w:rsid w:val="005D3670"/>
    <w:rsid w:val="005F3269"/>
    <w:rsid w:val="005F6764"/>
    <w:rsid w:val="0060598C"/>
    <w:rsid w:val="00606B8F"/>
    <w:rsid w:val="00614147"/>
    <w:rsid w:val="00623AE3"/>
    <w:rsid w:val="0064443D"/>
    <w:rsid w:val="0064737F"/>
    <w:rsid w:val="006522FA"/>
    <w:rsid w:val="006535F1"/>
    <w:rsid w:val="0065377C"/>
    <w:rsid w:val="0065557D"/>
    <w:rsid w:val="00655742"/>
    <w:rsid w:val="00662984"/>
    <w:rsid w:val="0066390E"/>
    <w:rsid w:val="00663A17"/>
    <w:rsid w:val="00663A5A"/>
    <w:rsid w:val="006702D4"/>
    <w:rsid w:val="00670F20"/>
    <w:rsid w:val="006714FC"/>
    <w:rsid w:val="006716BB"/>
    <w:rsid w:val="00677480"/>
    <w:rsid w:val="006A7E63"/>
    <w:rsid w:val="006B373D"/>
    <w:rsid w:val="006B6680"/>
    <w:rsid w:val="006B6DCC"/>
    <w:rsid w:val="006C1861"/>
    <w:rsid w:val="006C2BD6"/>
    <w:rsid w:val="006D2FE1"/>
    <w:rsid w:val="006D3691"/>
    <w:rsid w:val="006D63CF"/>
    <w:rsid w:val="006E4530"/>
    <w:rsid w:val="006E702B"/>
    <w:rsid w:val="006F0126"/>
    <w:rsid w:val="006F3294"/>
    <w:rsid w:val="006F3ACB"/>
    <w:rsid w:val="00702DEF"/>
    <w:rsid w:val="0070414D"/>
    <w:rsid w:val="00704505"/>
    <w:rsid w:val="00706861"/>
    <w:rsid w:val="007232AC"/>
    <w:rsid w:val="0075051B"/>
    <w:rsid w:val="00757807"/>
    <w:rsid w:val="00760069"/>
    <w:rsid w:val="00771DBC"/>
    <w:rsid w:val="00780E6D"/>
    <w:rsid w:val="0078268C"/>
    <w:rsid w:val="00791ECC"/>
    <w:rsid w:val="00793188"/>
    <w:rsid w:val="00793D51"/>
    <w:rsid w:val="00794D34"/>
    <w:rsid w:val="00797A98"/>
    <w:rsid w:val="007A0E2B"/>
    <w:rsid w:val="007A494A"/>
    <w:rsid w:val="007A655A"/>
    <w:rsid w:val="007C304E"/>
    <w:rsid w:val="007D37DF"/>
    <w:rsid w:val="007E7F8E"/>
    <w:rsid w:val="00800712"/>
    <w:rsid w:val="008009E4"/>
    <w:rsid w:val="008030BC"/>
    <w:rsid w:val="00805979"/>
    <w:rsid w:val="00807A62"/>
    <w:rsid w:val="00813E5E"/>
    <w:rsid w:val="00814918"/>
    <w:rsid w:val="00815A0B"/>
    <w:rsid w:val="0083415B"/>
    <w:rsid w:val="0083581B"/>
    <w:rsid w:val="008402A5"/>
    <w:rsid w:val="00846C28"/>
    <w:rsid w:val="00854829"/>
    <w:rsid w:val="00860BF9"/>
    <w:rsid w:val="00863A2D"/>
    <w:rsid w:val="00864AFF"/>
    <w:rsid w:val="00870597"/>
    <w:rsid w:val="0087300E"/>
    <w:rsid w:val="00873D83"/>
    <w:rsid w:val="00881628"/>
    <w:rsid w:val="00895395"/>
    <w:rsid w:val="008B4A6A"/>
    <w:rsid w:val="008B54F7"/>
    <w:rsid w:val="008C0981"/>
    <w:rsid w:val="008C39F1"/>
    <w:rsid w:val="008C6E3E"/>
    <w:rsid w:val="008C7E27"/>
    <w:rsid w:val="008D4A29"/>
    <w:rsid w:val="008D569F"/>
    <w:rsid w:val="008E637B"/>
    <w:rsid w:val="008E6B13"/>
    <w:rsid w:val="008F1771"/>
    <w:rsid w:val="008F18A2"/>
    <w:rsid w:val="008F1F9A"/>
    <w:rsid w:val="00906E57"/>
    <w:rsid w:val="009173EF"/>
    <w:rsid w:val="00927DB5"/>
    <w:rsid w:val="0093021E"/>
    <w:rsid w:val="00932906"/>
    <w:rsid w:val="00935385"/>
    <w:rsid w:val="00937D43"/>
    <w:rsid w:val="00942C70"/>
    <w:rsid w:val="0095665A"/>
    <w:rsid w:val="00961B0B"/>
    <w:rsid w:val="009706F2"/>
    <w:rsid w:val="00971868"/>
    <w:rsid w:val="009771FB"/>
    <w:rsid w:val="00977733"/>
    <w:rsid w:val="0098322C"/>
    <w:rsid w:val="00992954"/>
    <w:rsid w:val="009931E1"/>
    <w:rsid w:val="009A0D3B"/>
    <w:rsid w:val="009B38C3"/>
    <w:rsid w:val="009B3922"/>
    <w:rsid w:val="009B69EC"/>
    <w:rsid w:val="009B7945"/>
    <w:rsid w:val="009C5830"/>
    <w:rsid w:val="009D54A6"/>
    <w:rsid w:val="009E17BD"/>
    <w:rsid w:val="009E485A"/>
    <w:rsid w:val="009F01CE"/>
    <w:rsid w:val="00A03B28"/>
    <w:rsid w:val="00A04148"/>
    <w:rsid w:val="00A04CEC"/>
    <w:rsid w:val="00A2765D"/>
    <w:rsid w:val="00A27F92"/>
    <w:rsid w:val="00A27FC8"/>
    <w:rsid w:val="00A32257"/>
    <w:rsid w:val="00A36CF5"/>
    <w:rsid w:val="00A36D20"/>
    <w:rsid w:val="00A408EC"/>
    <w:rsid w:val="00A447D6"/>
    <w:rsid w:val="00A47904"/>
    <w:rsid w:val="00A54977"/>
    <w:rsid w:val="00A55622"/>
    <w:rsid w:val="00A62494"/>
    <w:rsid w:val="00A70763"/>
    <w:rsid w:val="00A72406"/>
    <w:rsid w:val="00A733A2"/>
    <w:rsid w:val="00A73CA2"/>
    <w:rsid w:val="00A83502"/>
    <w:rsid w:val="00A931ED"/>
    <w:rsid w:val="00A94A27"/>
    <w:rsid w:val="00AA4EEA"/>
    <w:rsid w:val="00AA7467"/>
    <w:rsid w:val="00AA7E52"/>
    <w:rsid w:val="00AB5805"/>
    <w:rsid w:val="00AB6645"/>
    <w:rsid w:val="00AD15B3"/>
    <w:rsid w:val="00AF6C73"/>
    <w:rsid w:val="00AF6E49"/>
    <w:rsid w:val="00B0250B"/>
    <w:rsid w:val="00B04A67"/>
    <w:rsid w:val="00B0583C"/>
    <w:rsid w:val="00B30785"/>
    <w:rsid w:val="00B30F68"/>
    <w:rsid w:val="00B31E79"/>
    <w:rsid w:val="00B33FAD"/>
    <w:rsid w:val="00B34BB8"/>
    <w:rsid w:val="00B34E6C"/>
    <w:rsid w:val="00B361BA"/>
    <w:rsid w:val="00B40A81"/>
    <w:rsid w:val="00B441F2"/>
    <w:rsid w:val="00B44910"/>
    <w:rsid w:val="00B60997"/>
    <w:rsid w:val="00B62F4E"/>
    <w:rsid w:val="00B635C0"/>
    <w:rsid w:val="00B66A79"/>
    <w:rsid w:val="00B72267"/>
    <w:rsid w:val="00B76EB6"/>
    <w:rsid w:val="00B7737B"/>
    <w:rsid w:val="00B824C8"/>
    <w:rsid w:val="00B84B9D"/>
    <w:rsid w:val="00B90341"/>
    <w:rsid w:val="00B925D7"/>
    <w:rsid w:val="00B96528"/>
    <w:rsid w:val="00B97FC7"/>
    <w:rsid w:val="00BA1E6F"/>
    <w:rsid w:val="00BA2069"/>
    <w:rsid w:val="00BB3CE1"/>
    <w:rsid w:val="00BB4D6F"/>
    <w:rsid w:val="00BC251A"/>
    <w:rsid w:val="00BC2D3C"/>
    <w:rsid w:val="00BC7B09"/>
    <w:rsid w:val="00BD032B"/>
    <w:rsid w:val="00BD25E6"/>
    <w:rsid w:val="00BD2F6F"/>
    <w:rsid w:val="00BD366D"/>
    <w:rsid w:val="00BD4218"/>
    <w:rsid w:val="00BD732E"/>
    <w:rsid w:val="00BE07A0"/>
    <w:rsid w:val="00BE2496"/>
    <w:rsid w:val="00BE2640"/>
    <w:rsid w:val="00BF1E00"/>
    <w:rsid w:val="00BF5652"/>
    <w:rsid w:val="00BF6718"/>
    <w:rsid w:val="00C01189"/>
    <w:rsid w:val="00C026C6"/>
    <w:rsid w:val="00C203FF"/>
    <w:rsid w:val="00C36A4B"/>
    <w:rsid w:val="00C374DE"/>
    <w:rsid w:val="00C44BB3"/>
    <w:rsid w:val="00C47ACC"/>
    <w:rsid w:val="00C47AD4"/>
    <w:rsid w:val="00C520FC"/>
    <w:rsid w:val="00C529B7"/>
    <w:rsid w:val="00C52D81"/>
    <w:rsid w:val="00C55198"/>
    <w:rsid w:val="00C63F0A"/>
    <w:rsid w:val="00C67C0F"/>
    <w:rsid w:val="00C83D8A"/>
    <w:rsid w:val="00C92585"/>
    <w:rsid w:val="00CA0972"/>
    <w:rsid w:val="00CA3BD3"/>
    <w:rsid w:val="00CA469F"/>
    <w:rsid w:val="00CA58A6"/>
    <w:rsid w:val="00CA6393"/>
    <w:rsid w:val="00CB18FF"/>
    <w:rsid w:val="00CD0C08"/>
    <w:rsid w:val="00CE03FB"/>
    <w:rsid w:val="00CE433C"/>
    <w:rsid w:val="00CF2005"/>
    <w:rsid w:val="00CF2746"/>
    <w:rsid w:val="00CF2DA1"/>
    <w:rsid w:val="00CF33F3"/>
    <w:rsid w:val="00CF52B4"/>
    <w:rsid w:val="00CF69C0"/>
    <w:rsid w:val="00D01EED"/>
    <w:rsid w:val="00D0435B"/>
    <w:rsid w:val="00D06183"/>
    <w:rsid w:val="00D165CB"/>
    <w:rsid w:val="00D21B91"/>
    <w:rsid w:val="00D22C42"/>
    <w:rsid w:val="00D43DA4"/>
    <w:rsid w:val="00D54AA7"/>
    <w:rsid w:val="00D65041"/>
    <w:rsid w:val="00D65704"/>
    <w:rsid w:val="00D700BE"/>
    <w:rsid w:val="00D73609"/>
    <w:rsid w:val="00D837DA"/>
    <w:rsid w:val="00D877D0"/>
    <w:rsid w:val="00D92CDE"/>
    <w:rsid w:val="00D93CC2"/>
    <w:rsid w:val="00DB384B"/>
    <w:rsid w:val="00DB5EED"/>
    <w:rsid w:val="00DC66B4"/>
    <w:rsid w:val="00DC789C"/>
    <w:rsid w:val="00DD0C88"/>
    <w:rsid w:val="00DD2387"/>
    <w:rsid w:val="00DD622D"/>
    <w:rsid w:val="00DE6E23"/>
    <w:rsid w:val="00DF3F37"/>
    <w:rsid w:val="00E00C20"/>
    <w:rsid w:val="00E10E80"/>
    <w:rsid w:val="00E124F0"/>
    <w:rsid w:val="00E14655"/>
    <w:rsid w:val="00E25392"/>
    <w:rsid w:val="00E31E86"/>
    <w:rsid w:val="00E33F62"/>
    <w:rsid w:val="00E47743"/>
    <w:rsid w:val="00E57823"/>
    <w:rsid w:val="00E60F04"/>
    <w:rsid w:val="00E6255E"/>
    <w:rsid w:val="00E64790"/>
    <w:rsid w:val="00E65E19"/>
    <w:rsid w:val="00E7414B"/>
    <w:rsid w:val="00E76FA9"/>
    <w:rsid w:val="00E854E4"/>
    <w:rsid w:val="00E91FE2"/>
    <w:rsid w:val="00EA233E"/>
    <w:rsid w:val="00EB0D6F"/>
    <w:rsid w:val="00EB0F83"/>
    <w:rsid w:val="00EB2232"/>
    <w:rsid w:val="00EC5337"/>
    <w:rsid w:val="00ED15B0"/>
    <w:rsid w:val="00EF0C36"/>
    <w:rsid w:val="00F02141"/>
    <w:rsid w:val="00F2150A"/>
    <w:rsid w:val="00F23037"/>
    <w:rsid w:val="00F231D8"/>
    <w:rsid w:val="00F259D3"/>
    <w:rsid w:val="00F259FD"/>
    <w:rsid w:val="00F45EE8"/>
    <w:rsid w:val="00F46C5F"/>
    <w:rsid w:val="00F5181E"/>
    <w:rsid w:val="00F553CC"/>
    <w:rsid w:val="00F621B9"/>
    <w:rsid w:val="00F667C6"/>
    <w:rsid w:val="00F7718B"/>
    <w:rsid w:val="00F8093D"/>
    <w:rsid w:val="00F90DF9"/>
    <w:rsid w:val="00F94A63"/>
    <w:rsid w:val="00FA1C28"/>
    <w:rsid w:val="00FA37BE"/>
    <w:rsid w:val="00FA7BA0"/>
    <w:rsid w:val="00FB1279"/>
    <w:rsid w:val="00FB20B0"/>
    <w:rsid w:val="00FB2D13"/>
    <w:rsid w:val="00FB5C43"/>
    <w:rsid w:val="00FB7596"/>
    <w:rsid w:val="00FB788F"/>
    <w:rsid w:val="00FC03DD"/>
    <w:rsid w:val="00FC3DAB"/>
    <w:rsid w:val="00FE4077"/>
    <w:rsid w:val="00FE4622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91EB6E"/>
  <w15:docId w15:val="{2D7282C5-D362-4336-BB5E-B699225B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522FA"/>
    <w:pPr>
      <w:framePr w:hSpace="180" w:wrap="around" w:hAnchor="margin" w:y="-675"/>
      <w:spacing w:before="60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9C5830"/>
    <w:pPr>
      <w:ind w:left="720"/>
      <w:contextualSpacing/>
    </w:pPr>
  </w:style>
  <w:style w:type="paragraph" w:customStyle="1" w:styleId="Default">
    <w:name w:val="Default"/>
    <w:rsid w:val="00BD2F6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2869C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869C5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6714FC"/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2BD6"/>
    <w:rPr>
      <w:color w:val="605E5C"/>
      <w:shd w:val="clear" w:color="auto" w:fill="E1DFDD"/>
    </w:rPr>
  </w:style>
  <w:style w:type="paragraph" w:customStyle="1" w:styleId="Appendixtitle13pt">
    <w:name w:val="Appendix_title + 13 pt"/>
    <w:basedOn w:val="Normal"/>
    <w:rsid w:val="002C27C3"/>
    <w:rPr>
      <w:b/>
      <w:bCs/>
      <w:color w:val="000000" w:themeColor="text1"/>
      <w:sz w:val="2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71868"/>
    <w:rPr>
      <w:rFonts w:ascii="Calibri" w:hAnsi="Calibri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council/Documents/basic-texts/RES-030-C.pdf" TargetMode="External"/><Relationship Id="rId18" Type="http://schemas.openxmlformats.org/officeDocument/2006/relationships/hyperlink" Target="https://www.itu.int/en/ITU-D/Conferences/WTDC/WTDC17/Documents/WTDC17_final_report_en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2022/Documents/079e-PPT-Private%20Sector%20and%20Academia%20Membership%20in%20ITU%20sectors.pptx" TargetMode="External"/><Relationship Id="rId17" Type="http://schemas.openxmlformats.org/officeDocument/2006/relationships/hyperlink" Target="https://www.itu.int/en/council/Documents/basic-texts/RES-123-C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council/Documents/basic-texts/RES-209-C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tu.int/en/council/Documents/basic-texts/RES-205-C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council/2022/Documents/079e-PPT-Private%20Sector%20and%20Academia%20Membership%20in%20ITU%20sectors.ppt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council/Documents/basic-texts/RES-034-C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D62533F719A46A77FEA7F877DDC05" ma:contentTypeVersion="1" ma:contentTypeDescription="Create a new document." ma:contentTypeScope="" ma:versionID="4c4cf562cdca957db4870c843bbe90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07AE3-02AB-4F05-8738-DFD1B4584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5B4D69-1D32-4801-A8AA-8CA23BC50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949DE5-9772-4FE0-8C4E-19EB42960256}">
  <ds:schemaRefs>
    <ds:schemaRef ds:uri="http://purl.org/dc/terms/"/>
    <ds:schemaRef ds:uri="http://schemas.microsoft.com/sharepoint/v3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22689C7-80B1-42BC-B0BB-FA06E0815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1576</Words>
  <Characters>1271</Characters>
  <Application>Microsoft Office Word</Application>
  <DocSecurity>4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by India (Republic of) - Private Sector and Academia Membership in ITU sectors</vt:lpstr>
    </vt:vector>
  </TitlesOfParts>
  <Manager>General Secretariat - Pool</Manager>
  <Company>ITU</Company>
  <LinksUpToDate>false</LinksUpToDate>
  <CharactersWithSpaces>2842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India (Republic of) - Private Sector and Academia Membership in ITU sectors with focus on LDCs, LLDCs, SIDS and Countries in Special Need</dc:title>
  <dc:subject>Council 2022</dc:subject>
  <dc:creator>Brouard, Ricarda</dc:creator>
  <cp:keywords>C2022, C22, Council-22</cp:keywords>
  <dc:description/>
  <cp:lastModifiedBy>Xue, Kun</cp:lastModifiedBy>
  <cp:revision>2</cp:revision>
  <cp:lastPrinted>2022-03-15T17:48:00Z</cp:lastPrinted>
  <dcterms:created xsi:type="dcterms:W3CDTF">2022-03-16T10:50:00Z</dcterms:created>
  <dcterms:modified xsi:type="dcterms:W3CDTF">2022-03-16T10:50:00Z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0x01010038CD62533F719A46A77FEA7F877DDC05</vt:lpwstr>
  </property>
</Properties>
</file>