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B0D00" w14:paraId="7C043BF5" w14:textId="77777777">
        <w:trPr>
          <w:cantSplit/>
        </w:trPr>
        <w:tc>
          <w:tcPr>
            <w:tcW w:w="6912" w:type="dxa"/>
          </w:tcPr>
          <w:p w14:paraId="3FAE028E" w14:textId="77777777" w:rsidR="00093EEB" w:rsidRPr="000B0D00" w:rsidRDefault="00093EEB" w:rsidP="00FD4DC9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093EEB">
              <w:rPr>
                <w:b/>
                <w:bCs/>
                <w:sz w:val="30"/>
                <w:szCs w:val="30"/>
              </w:rPr>
              <w:t>Consejo 20</w:t>
            </w:r>
            <w:r w:rsidR="007955DA">
              <w:rPr>
                <w:b/>
                <w:bCs/>
                <w:sz w:val="30"/>
                <w:szCs w:val="30"/>
              </w:rPr>
              <w:t>2</w:t>
            </w:r>
            <w:r w:rsidR="00D50A36">
              <w:rPr>
                <w:b/>
                <w:bCs/>
                <w:sz w:val="30"/>
                <w:szCs w:val="30"/>
              </w:rPr>
              <w:t>2</w:t>
            </w:r>
            <w:r w:rsidRPr="00093EEB">
              <w:rPr>
                <w:b/>
                <w:bCs/>
                <w:sz w:val="26"/>
                <w:szCs w:val="26"/>
              </w:rPr>
              <w:br/>
            </w:r>
            <w:r w:rsidR="00D50A36">
              <w:rPr>
                <w:b/>
                <w:bCs/>
                <w:sz w:val="26"/>
                <w:szCs w:val="26"/>
              </w:rPr>
              <w:t>Ginebra</w:t>
            </w:r>
            <w:r w:rsidRPr="000007D1">
              <w:rPr>
                <w:b/>
                <w:bCs/>
                <w:sz w:val="26"/>
                <w:szCs w:val="26"/>
              </w:rPr>
              <w:t xml:space="preserve">, </w:t>
            </w:r>
            <w:r w:rsidR="00D50A36">
              <w:rPr>
                <w:b/>
                <w:bCs/>
                <w:sz w:val="26"/>
                <w:szCs w:val="26"/>
              </w:rPr>
              <w:t>21</w:t>
            </w:r>
            <w:r w:rsidRPr="000007D1">
              <w:rPr>
                <w:b/>
                <w:bCs/>
                <w:sz w:val="26"/>
                <w:szCs w:val="26"/>
              </w:rPr>
              <w:t>-</w:t>
            </w:r>
            <w:r w:rsidR="00D50A36">
              <w:rPr>
                <w:b/>
                <w:bCs/>
                <w:sz w:val="26"/>
                <w:szCs w:val="26"/>
              </w:rPr>
              <w:t>31</w:t>
            </w:r>
            <w:r w:rsidRPr="000007D1">
              <w:rPr>
                <w:b/>
                <w:bCs/>
                <w:sz w:val="26"/>
                <w:szCs w:val="26"/>
              </w:rPr>
              <w:t xml:space="preserve"> de </w:t>
            </w:r>
            <w:r w:rsidR="00D50A36">
              <w:rPr>
                <w:b/>
                <w:bCs/>
                <w:sz w:val="26"/>
                <w:szCs w:val="26"/>
              </w:rPr>
              <w:t>marzo</w:t>
            </w:r>
            <w:r w:rsidRPr="000007D1">
              <w:rPr>
                <w:b/>
                <w:bCs/>
                <w:sz w:val="26"/>
                <w:szCs w:val="26"/>
              </w:rPr>
              <w:t xml:space="preserve"> de 20</w:t>
            </w:r>
            <w:r w:rsidR="007955DA" w:rsidRPr="000007D1">
              <w:rPr>
                <w:b/>
                <w:bCs/>
                <w:sz w:val="26"/>
                <w:szCs w:val="26"/>
              </w:rPr>
              <w:t>2</w:t>
            </w:r>
            <w:r w:rsidR="00D50A3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14:paraId="11A4D822" w14:textId="77777777" w:rsidR="00093EEB" w:rsidRPr="000B0D00" w:rsidRDefault="007955DA" w:rsidP="00FD4DC9">
            <w:pPr>
              <w:spacing w:before="0"/>
              <w:rPr>
                <w:szCs w:val="24"/>
              </w:rPr>
            </w:pPr>
            <w:bookmarkStart w:id="2" w:name="ditulogo"/>
            <w:bookmarkEnd w:id="2"/>
            <w:r>
              <w:rPr>
                <w:noProof/>
                <w:lang w:eastAsia="zh-CN"/>
              </w:rPr>
              <w:drawing>
                <wp:inline distT="0" distB="0" distL="0" distR="0" wp14:anchorId="653BC00E" wp14:editId="4043C907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B0D00" w14:paraId="5F8BE3E1" w14:textId="77777777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14:paraId="497D1B44" w14:textId="77777777" w:rsidR="00093EEB" w:rsidRPr="00EB1212" w:rsidRDefault="00093EEB" w:rsidP="00FD4DC9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 w14:paraId="0E914F4D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14B22953" w14:textId="77777777" w:rsidR="00093EEB" w:rsidRPr="000B0D00" w:rsidRDefault="00093EEB" w:rsidP="00FD4DC9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11E80EED" w14:textId="77777777" w:rsidR="00093EEB" w:rsidRPr="000B0D00" w:rsidRDefault="00093EEB" w:rsidP="00FD4DC9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 w14:paraId="43A2CC23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779BEF19" w14:textId="582827E7" w:rsidR="00093EEB" w:rsidRPr="00093EEB" w:rsidRDefault="004103BA" w:rsidP="00FD4DC9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/>
              <w:rPr>
                <w:rFonts w:cs="Times"/>
                <w:b/>
                <w:szCs w:val="24"/>
              </w:rPr>
            </w:pPr>
            <w:bookmarkStart w:id="3" w:name="lt_pId005"/>
            <w:bookmarkStart w:id="4" w:name="dnum" w:colFirst="1" w:colLast="1"/>
            <w:bookmarkStart w:id="5" w:name="dmeeting" w:colFirst="0" w:colLast="0"/>
            <w:r w:rsidRPr="00F82138">
              <w:rPr>
                <w:b/>
                <w:sz w:val="23"/>
                <w:szCs w:val="23"/>
              </w:rPr>
              <w:t>Agenda item: PL 2.2</w:t>
            </w:r>
            <w:bookmarkEnd w:id="3"/>
          </w:p>
        </w:tc>
        <w:tc>
          <w:tcPr>
            <w:tcW w:w="3261" w:type="dxa"/>
          </w:tcPr>
          <w:p w14:paraId="34307FC7" w14:textId="2FF23715" w:rsidR="00093EEB" w:rsidRPr="00093EEB" w:rsidRDefault="00093EEB" w:rsidP="00FD4DC9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Documento C</w:t>
            </w:r>
            <w:r w:rsidR="007955DA">
              <w:rPr>
                <w:b/>
                <w:bCs/>
                <w:szCs w:val="24"/>
              </w:rPr>
              <w:t>2</w:t>
            </w:r>
            <w:r w:rsidR="00D50A36"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>/</w:t>
            </w:r>
            <w:r w:rsidR="004103BA">
              <w:rPr>
                <w:b/>
                <w:bCs/>
                <w:szCs w:val="24"/>
              </w:rPr>
              <w:t>78</w:t>
            </w:r>
            <w:r>
              <w:rPr>
                <w:b/>
                <w:bCs/>
                <w:szCs w:val="24"/>
              </w:rPr>
              <w:t>-S</w:t>
            </w:r>
          </w:p>
        </w:tc>
      </w:tr>
      <w:tr w:rsidR="00093EEB" w:rsidRPr="000B0D00" w14:paraId="27474F28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577E2232" w14:textId="77777777" w:rsidR="00093EEB" w:rsidRPr="000B0D00" w:rsidRDefault="00093EEB" w:rsidP="00FD4DC9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261" w:type="dxa"/>
          </w:tcPr>
          <w:p w14:paraId="1CF2BCF2" w14:textId="620D020C" w:rsidR="00093EEB" w:rsidRPr="00093EEB" w:rsidRDefault="004103BA" w:rsidP="00FD4DC9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 de mar</w:t>
            </w:r>
            <w:r w:rsidR="006C2272">
              <w:rPr>
                <w:b/>
                <w:bCs/>
                <w:szCs w:val="24"/>
              </w:rPr>
              <w:t>z</w:t>
            </w:r>
            <w:r>
              <w:rPr>
                <w:b/>
                <w:bCs/>
                <w:szCs w:val="24"/>
              </w:rPr>
              <w:t>o</w:t>
            </w:r>
            <w:r w:rsidR="00093EEB">
              <w:rPr>
                <w:b/>
                <w:bCs/>
                <w:szCs w:val="24"/>
              </w:rPr>
              <w:t xml:space="preserve"> de 20</w:t>
            </w:r>
            <w:r w:rsidR="007955DA"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>2</w:t>
            </w:r>
          </w:p>
        </w:tc>
      </w:tr>
      <w:tr w:rsidR="00093EEB" w:rsidRPr="000B0D00" w14:paraId="0870DC8B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75B470B1" w14:textId="77777777" w:rsidR="00093EEB" w:rsidRPr="000B0D00" w:rsidRDefault="00093EEB" w:rsidP="00FD4DC9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7" w:name="dorlang" w:colFirst="1" w:colLast="1"/>
            <w:bookmarkEnd w:id="6"/>
          </w:p>
        </w:tc>
        <w:tc>
          <w:tcPr>
            <w:tcW w:w="3261" w:type="dxa"/>
          </w:tcPr>
          <w:p w14:paraId="26543B3A" w14:textId="77777777" w:rsidR="00093EEB" w:rsidRPr="00093EEB" w:rsidRDefault="00093EEB" w:rsidP="00FD4DC9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FD4DC9" w14:paraId="050EA4AE" w14:textId="77777777" w:rsidTr="004103BA">
        <w:trPr>
          <w:cantSplit/>
          <w:trHeight w:val="768"/>
        </w:trPr>
        <w:tc>
          <w:tcPr>
            <w:tcW w:w="10173" w:type="dxa"/>
            <w:gridSpan w:val="2"/>
          </w:tcPr>
          <w:p w14:paraId="6CC96402" w14:textId="78D9EF17" w:rsidR="00093EEB" w:rsidRPr="00FD4DC9" w:rsidRDefault="00FD4DC9" w:rsidP="00FD4DC9">
            <w:pPr>
              <w:pStyle w:val="Source"/>
              <w:rPr>
                <w:lang w:val="es-ES"/>
              </w:rPr>
            </w:pPr>
            <w:bookmarkStart w:id="8" w:name="lt_pId010"/>
            <w:bookmarkStart w:id="9" w:name="dsource" w:colFirst="0" w:colLast="0"/>
            <w:bookmarkStart w:id="10" w:name="_Hlk98401830"/>
            <w:bookmarkEnd w:id="1"/>
            <w:bookmarkEnd w:id="7"/>
            <w:r w:rsidRPr="00FD4DC9">
              <w:rPr>
                <w:sz w:val="27"/>
                <w:szCs w:val="27"/>
                <w:lang w:val="es-ES"/>
              </w:rPr>
              <w:t>Contribució</w:t>
            </w:r>
            <w:r w:rsidR="006E29C6">
              <w:rPr>
                <w:sz w:val="27"/>
                <w:szCs w:val="27"/>
                <w:lang w:val="es-ES"/>
              </w:rPr>
              <w:t>n</w:t>
            </w:r>
            <w:r w:rsidRPr="00FD4DC9">
              <w:rPr>
                <w:sz w:val="27"/>
                <w:szCs w:val="27"/>
                <w:lang w:val="es-ES"/>
              </w:rPr>
              <w:t xml:space="preserve"> de </w:t>
            </w:r>
            <w:r w:rsidR="004103BA" w:rsidRPr="00FD4DC9">
              <w:rPr>
                <w:sz w:val="27"/>
                <w:szCs w:val="27"/>
                <w:lang w:val="es-ES"/>
              </w:rPr>
              <w:t>India (Rep</w:t>
            </w:r>
            <w:r w:rsidRPr="00FD4DC9">
              <w:rPr>
                <w:sz w:val="27"/>
                <w:szCs w:val="27"/>
                <w:lang w:val="es-ES"/>
              </w:rPr>
              <w:t>ú</w:t>
            </w:r>
            <w:r w:rsidR="004103BA" w:rsidRPr="00FD4DC9">
              <w:rPr>
                <w:sz w:val="27"/>
                <w:szCs w:val="27"/>
                <w:lang w:val="es-ES"/>
              </w:rPr>
              <w:t>blic</w:t>
            </w:r>
            <w:r w:rsidRPr="00FD4DC9">
              <w:rPr>
                <w:sz w:val="27"/>
                <w:szCs w:val="27"/>
                <w:lang w:val="es-ES"/>
              </w:rPr>
              <w:t>a</w:t>
            </w:r>
            <w:r w:rsidR="004103BA" w:rsidRPr="00FD4DC9">
              <w:rPr>
                <w:sz w:val="27"/>
                <w:szCs w:val="27"/>
                <w:lang w:val="es-ES"/>
              </w:rPr>
              <w:t xml:space="preserve"> </w:t>
            </w:r>
            <w:r>
              <w:rPr>
                <w:sz w:val="27"/>
                <w:szCs w:val="27"/>
                <w:lang w:val="es-ES"/>
              </w:rPr>
              <w:t>de</w:t>
            </w:r>
            <w:r w:rsidR="004103BA" w:rsidRPr="00FD4DC9">
              <w:rPr>
                <w:sz w:val="27"/>
                <w:szCs w:val="27"/>
                <w:lang w:val="es-ES"/>
              </w:rPr>
              <w:t>)</w:t>
            </w:r>
            <w:bookmarkEnd w:id="8"/>
          </w:p>
        </w:tc>
      </w:tr>
      <w:tr w:rsidR="00093EEB" w:rsidRPr="000B0D00" w14:paraId="5C762C25" w14:textId="77777777">
        <w:trPr>
          <w:cantSplit/>
        </w:trPr>
        <w:tc>
          <w:tcPr>
            <w:tcW w:w="10173" w:type="dxa"/>
            <w:gridSpan w:val="2"/>
          </w:tcPr>
          <w:p w14:paraId="1DD055BE" w14:textId="11E7E7CC" w:rsidR="00093EEB" w:rsidRPr="000B0D00" w:rsidRDefault="004103BA" w:rsidP="00FD4DC9">
            <w:pPr>
              <w:pStyle w:val="Title1"/>
            </w:pPr>
            <w:bookmarkStart w:id="11" w:name="dtitle1" w:colFirst="0" w:colLast="0"/>
            <w:bookmarkEnd w:id="9"/>
            <w:r w:rsidRPr="00A776E7">
              <w:t>DÍA MUNDIAL DE LAS TELECOMUNICACIONES</w:t>
            </w:r>
            <w:r w:rsidR="00445813">
              <w:br/>
            </w:r>
            <w:r w:rsidRPr="00A776E7">
              <w:t>Y LA SOCIEDAD DE LA INFORMACIÓN</w:t>
            </w:r>
          </w:p>
        </w:tc>
      </w:tr>
      <w:bookmarkEnd w:id="10"/>
    </w:tbl>
    <w:p w14:paraId="51BF2414" w14:textId="77777777" w:rsidR="002117F0" w:rsidRDefault="002117F0"/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093EEB" w:rsidRPr="000513B1" w14:paraId="64FDD11E" w14:textId="77777777" w:rsidTr="002117F0">
        <w:trPr>
          <w:trHeight w:val="20"/>
          <w:jc w:val="center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11"/>
          <w:p w14:paraId="577BD3A7" w14:textId="77777777" w:rsidR="00093EEB" w:rsidRPr="007F3A09" w:rsidRDefault="00093EEB" w:rsidP="002117F0">
            <w:pPr>
              <w:pStyle w:val="Headingb"/>
              <w:keepNext w:val="0"/>
              <w:keepLines w:val="0"/>
              <w:rPr>
                <w:lang w:val="fr-FR"/>
              </w:rPr>
            </w:pPr>
            <w:proofErr w:type="spellStart"/>
            <w:r w:rsidRPr="007F3A09">
              <w:rPr>
                <w:lang w:val="fr-FR"/>
              </w:rPr>
              <w:t>Resumen</w:t>
            </w:r>
            <w:proofErr w:type="spellEnd"/>
          </w:p>
          <w:p w14:paraId="6A1DA3DD" w14:textId="5E6883BB" w:rsidR="004103BA" w:rsidRPr="00680E1E" w:rsidRDefault="00FD4DC9" w:rsidP="002117F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</w:pPr>
            <w:r w:rsidRPr="00FD4DC9">
              <w:rPr>
                <w:rFonts w:asciiTheme="minorHAnsi" w:hAnsiTheme="minorHAnsi" w:cstheme="minorHAnsi"/>
                <w:color w:val="000000"/>
                <w:lang w:val="es-ES"/>
              </w:rPr>
              <w:t>La Administración india se congratula de la celebración del Día Mundial de las Telecomunicaciones y la Sociedad de la Información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, que en</w:t>
            </w:r>
            <w:r w:rsidRPr="00FD4DC9">
              <w:rPr>
                <w:rFonts w:asciiTheme="minorHAnsi" w:hAnsiTheme="minorHAnsi" w:cstheme="minorHAnsi"/>
                <w:color w:val="000000"/>
                <w:lang w:val="es-ES"/>
              </w:rPr>
              <w:t xml:space="preserve"> 2022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gira en torno a</w:t>
            </w:r>
            <w:r w:rsidRPr="00FD4DC9">
              <w:rPr>
                <w:rFonts w:asciiTheme="minorHAnsi" w:hAnsiTheme="minorHAnsi" w:cstheme="minorHAnsi"/>
                <w:color w:val="000000"/>
                <w:lang w:val="es-ES"/>
              </w:rPr>
              <w:t xml:space="preserve">l tema </w:t>
            </w:r>
            <w:r w:rsidR="00F53522" w:rsidRPr="00FD4DC9">
              <w:rPr>
                <w:rFonts w:asciiTheme="minorHAnsi" w:hAnsiTheme="minorHAnsi" w:cstheme="minorHAnsi"/>
                <w:color w:val="000000"/>
                <w:lang w:val="es-ES"/>
              </w:rPr>
              <w:t>"</w:t>
            </w:r>
            <w:r w:rsidR="004103BA" w:rsidRPr="00680E1E">
              <w:rPr>
                <w:rFonts w:asciiTheme="minorHAnsi" w:hAnsiTheme="minorHAnsi"/>
                <w:b/>
                <w:bCs/>
                <w:lang w:val="es-ES"/>
              </w:rPr>
              <w:t>Tecnologías digitales para las personas de edad y el envejecimiento saludable</w:t>
            </w:r>
            <w:r w:rsidR="00F53522" w:rsidRPr="00680E1E">
              <w:rPr>
                <w:rFonts w:asciiTheme="minorHAnsi" w:hAnsiTheme="minorHAnsi" w:cstheme="minorHAnsi"/>
                <w:color w:val="000000"/>
                <w:lang w:val="es-ES"/>
              </w:rPr>
              <w:t>"</w:t>
            </w:r>
            <w:r w:rsidR="004103BA" w:rsidRPr="00680E1E">
              <w:rPr>
                <w:rFonts w:asciiTheme="minorHAnsi" w:hAnsiTheme="minorHAnsi" w:cstheme="minorHAnsi"/>
                <w:color w:val="000000"/>
                <w:lang w:val="es-ES"/>
              </w:rPr>
              <w:t>.</w:t>
            </w:r>
            <w:bookmarkStart w:id="12" w:name="lt_pId014"/>
          </w:p>
          <w:bookmarkEnd w:id="12"/>
          <w:p w14:paraId="0A0B285A" w14:textId="778C11CB" w:rsidR="00FD4DC9" w:rsidRPr="00FD4DC9" w:rsidRDefault="00FD4DC9" w:rsidP="002117F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</w:pPr>
            <w:r w:rsidRPr="00FD4DC9"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 xml:space="preserve">El DMTSI conmemora la fundación de la UIT. También pretende concienciar sobre la importancia de las tecnologías de la información y la comunicación para empoderar a las personas y a los sectores económicos de la sociedad. Reducir la brecha digital en sus diferentes formas es uno de los principales objetivos de la Unión Internacional de Telecomunicaciones en todos los países y comunidades. El </w:t>
            </w:r>
            <w:r w:rsidR="00BE783A" w:rsidRPr="00FD4DC9"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 xml:space="preserve">Documento </w:t>
            </w:r>
            <w:r w:rsidRPr="00FD4DC9"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>del Consejo (C22/17) propone que el tema del DMTSI 2023, "Tecnologías digitales para la seguridad vial", sea un tema importante a considerar.</w:t>
            </w:r>
          </w:p>
          <w:p w14:paraId="6917AA62" w14:textId="617C074B" w:rsidR="00FD4DC9" w:rsidRPr="00FD4DC9" w:rsidRDefault="00FD4DC9" w:rsidP="002117F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</w:pPr>
            <w:r w:rsidRPr="00FD4DC9"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>Sin embargo, cabe recordar también que las Naciones Unidas reconocen a los países menos adelantados (PMA) como categoría de Estados desde 1971 y que ya han pasado más de 50</w:t>
            </w:r>
            <w:r w:rsidR="00BE783A"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> </w:t>
            </w:r>
            <w:r w:rsidRPr="00FD4DC9"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>años desde su categorización. Hay un buen número de resoluciones e iniciativas importantes destinadas a reducir la brecha digital, centradas en los países menos adelantados y en otras categorías de países, para la proliferación de los servicios de banda ancha</w:t>
            </w:r>
          </w:p>
          <w:p w14:paraId="231BEA1E" w14:textId="77777777" w:rsidR="00093EEB" w:rsidRPr="003A63FB" w:rsidRDefault="00093EEB" w:rsidP="002117F0">
            <w:pPr>
              <w:pStyle w:val="Headingb"/>
              <w:keepNext w:val="0"/>
              <w:keepLines w:val="0"/>
              <w:rPr>
                <w:lang w:val="es-ES"/>
              </w:rPr>
            </w:pPr>
            <w:r w:rsidRPr="003A63FB">
              <w:rPr>
                <w:lang w:val="es-ES"/>
              </w:rPr>
              <w:t>Acción solicitada</w:t>
            </w:r>
          </w:p>
          <w:p w14:paraId="652E959C" w14:textId="1BDEA441" w:rsidR="004103BA" w:rsidRPr="003A63FB" w:rsidRDefault="003A63FB" w:rsidP="002117F0">
            <w:pPr>
              <w:spacing w:after="120"/>
              <w:jc w:val="both"/>
              <w:rPr>
                <w:rFonts w:asciiTheme="minorHAnsi" w:eastAsia="SimSun" w:hAnsiTheme="minorHAnsi" w:cstheme="minorHAnsi"/>
                <w:szCs w:val="24"/>
                <w:lang w:val="es-ES"/>
              </w:rPr>
            </w:pPr>
            <w:bookmarkStart w:id="13" w:name="lt_pId021"/>
            <w:r w:rsidRPr="003A63FB"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 xml:space="preserve">Se ruega al Consejo que considere la posibilidad de elegir </w:t>
            </w:r>
            <w:r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 xml:space="preserve">como </w:t>
            </w:r>
            <w:r w:rsidRPr="003A63FB"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 xml:space="preserve">tema </w:t>
            </w:r>
            <w:r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>d</w:t>
            </w:r>
            <w:r w:rsidRPr="003A63FB"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>el DMTSC 2023</w:t>
            </w:r>
            <w:r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 xml:space="preserve">: </w:t>
            </w:r>
            <w:r w:rsidRPr="003A63FB"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>"</w:t>
            </w:r>
            <w:r w:rsidRPr="003A63FB">
              <w:rPr>
                <w:rFonts w:asciiTheme="minorHAnsi" w:eastAsia="SimSun" w:hAnsiTheme="minorHAnsi" w:cstheme="minorHAnsi"/>
                <w:b/>
                <w:bCs/>
                <w:color w:val="000000"/>
                <w:szCs w:val="24"/>
                <w:lang w:val="es-ES"/>
              </w:rPr>
              <w:t xml:space="preserve">Empoderar a los países menos desarrollados </w:t>
            </w:r>
            <w:r>
              <w:rPr>
                <w:rFonts w:asciiTheme="minorHAnsi" w:eastAsia="SimSun" w:hAnsiTheme="minorHAnsi" w:cstheme="minorHAnsi"/>
                <w:b/>
                <w:bCs/>
                <w:color w:val="000000"/>
                <w:szCs w:val="24"/>
                <w:lang w:val="es-ES"/>
              </w:rPr>
              <w:t>mediante</w:t>
            </w:r>
            <w:r w:rsidRPr="003A63FB">
              <w:rPr>
                <w:rFonts w:asciiTheme="minorHAnsi" w:eastAsia="SimSun" w:hAnsiTheme="minorHAnsi" w:cstheme="minorHAnsi"/>
                <w:b/>
                <w:bCs/>
                <w:color w:val="000000"/>
                <w:szCs w:val="24"/>
                <w:lang w:val="es-ES"/>
              </w:rPr>
              <w:t xml:space="preserve"> las tecnologías de la información y la comunicación</w:t>
            </w:r>
            <w:r w:rsidRPr="003A63FB"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>"</w:t>
            </w:r>
            <w:r w:rsidR="004103BA" w:rsidRPr="003A63FB">
              <w:rPr>
                <w:rFonts w:asciiTheme="minorHAnsi" w:eastAsia="SimSun" w:hAnsiTheme="minorHAnsi" w:cstheme="minorHAnsi"/>
                <w:color w:val="000000"/>
                <w:szCs w:val="24"/>
                <w:lang w:val="es-ES"/>
              </w:rPr>
              <w:t>.</w:t>
            </w:r>
            <w:bookmarkEnd w:id="13"/>
          </w:p>
          <w:p w14:paraId="45F958EB" w14:textId="77777777" w:rsidR="00093EEB" w:rsidRPr="007F3A09" w:rsidRDefault="00093EEB" w:rsidP="002117F0">
            <w:pPr>
              <w:pStyle w:val="Table"/>
              <w:keepNext w:val="0"/>
              <w:spacing w:before="0" w:after="0"/>
              <w:rPr>
                <w:caps w:val="0"/>
                <w:sz w:val="22"/>
                <w:lang w:val="fr-FR"/>
              </w:rPr>
            </w:pPr>
            <w:r w:rsidRPr="007F3A09">
              <w:rPr>
                <w:caps w:val="0"/>
                <w:sz w:val="22"/>
                <w:lang w:val="fr-FR"/>
              </w:rPr>
              <w:t>____________</w:t>
            </w:r>
          </w:p>
          <w:p w14:paraId="09D50E76" w14:textId="2AFEF767" w:rsidR="00093EEB" w:rsidRPr="000513B1" w:rsidRDefault="00093EEB" w:rsidP="002117F0">
            <w:pPr>
              <w:pStyle w:val="Headingb"/>
              <w:keepNext w:val="0"/>
              <w:keepLines w:val="0"/>
              <w:rPr>
                <w:lang w:val="es-ES"/>
              </w:rPr>
            </w:pPr>
            <w:r w:rsidRPr="000513B1">
              <w:rPr>
                <w:lang w:val="es-ES"/>
              </w:rPr>
              <w:t>Referencia</w:t>
            </w:r>
            <w:r w:rsidR="000513B1" w:rsidRPr="000513B1">
              <w:rPr>
                <w:lang w:val="es-ES"/>
              </w:rPr>
              <w:t>s</w:t>
            </w:r>
          </w:p>
          <w:p w14:paraId="6C2866D4" w14:textId="420D54AB" w:rsidR="00093EEB" w:rsidRPr="000513B1" w:rsidRDefault="000513B1" w:rsidP="002117F0">
            <w:pPr>
              <w:spacing w:after="120"/>
              <w:rPr>
                <w:i/>
                <w:iCs/>
                <w:spacing w:val="4"/>
                <w:lang w:val="es-ES"/>
              </w:rPr>
            </w:pPr>
            <w:r w:rsidRPr="000513B1"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>Programa de Acción para los países menos adelantados para el decenio 2011-2020 (Cuarta</w:t>
            </w:r>
            <w:r w:rsidR="00B92343"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> </w:t>
            </w:r>
            <w:r w:rsidRPr="000513B1"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>Conferencia de las Naciones Unidas sobre los países menos adelantados); Resolución 60/252 de la AGNU: 60/252</w:t>
            </w:r>
            <w:r w:rsidR="00FA6643"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> –</w:t>
            </w:r>
            <w:r w:rsidRPr="000513B1"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 xml:space="preserve"> Cumbre Mundial sobre la Sociedad de la Información, 27 de abril de 2006; Resoluciones de la Conferencia de Plenipotenciarios (PP) </w:t>
            </w:r>
            <w:hyperlink r:id="rId8" w:history="1">
              <w:r w:rsidR="004103BA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30</w:t>
              </w:r>
              <w:r w:rsidR="004A3633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 </w:t>
              </w:r>
              <w:r w:rsidR="004103BA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(Rev.</w:t>
              </w:r>
              <w:r w:rsidR="004A3633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 </w:t>
              </w:r>
              <w:r w:rsidR="004103BA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Dub</w:t>
              </w:r>
              <w:r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á</w:t>
              </w:r>
              <w:r w:rsidR="004103BA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i, 2018)</w:t>
              </w:r>
            </w:hyperlink>
            <w:r w:rsidR="004103BA" w:rsidRPr="000513B1"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 xml:space="preserve">, </w:t>
            </w:r>
            <w:hyperlink r:id="rId9" w:history="1">
              <w:r w:rsidR="004103BA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140 (Rev. Dub</w:t>
              </w:r>
              <w:r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á</w:t>
              </w:r>
              <w:r w:rsidR="004103BA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i, 2018)</w:t>
              </w:r>
            </w:hyperlink>
            <w:r w:rsidR="004103BA" w:rsidRPr="000513B1"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 xml:space="preserve">, </w:t>
            </w:r>
            <w:hyperlink r:id="rId10" w:history="1">
              <w:r w:rsidR="004103BA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198 (Rev. Dub</w:t>
              </w:r>
              <w:r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á</w:t>
              </w:r>
              <w:r w:rsidR="004103BA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i, 2018)</w:t>
              </w:r>
            </w:hyperlink>
            <w:r w:rsidR="004103BA" w:rsidRPr="000513B1"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 xml:space="preserve">, </w:t>
            </w:r>
            <w:hyperlink r:id="rId11" w:history="1">
              <w:r w:rsidR="004103BA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71</w:t>
              </w:r>
              <w:r w:rsidR="004A3633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 </w:t>
              </w:r>
              <w:r w:rsidR="004103BA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(Rev.</w:t>
              </w:r>
              <w:r w:rsidR="004A3633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 </w:t>
              </w:r>
              <w:r w:rsidR="004103BA" w:rsidRPr="0025413A">
                <w:rPr>
                  <w:rStyle w:val="Hyperlink"/>
                  <w:rFonts w:asciiTheme="minorHAnsi" w:hAnsiTheme="minorHAnsi" w:cstheme="minorHAnsi"/>
                  <w:spacing w:val="4"/>
                </w:rPr>
                <w:t>Dub</w:t>
              </w:r>
              <w:r w:rsidR="0025413A">
                <w:rPr>
                  <w:rStyle w:val="Hyperlink"/>
                  <w:rFonts w:asciiTheme="minorHAnsi" w:hAnsiTheme="minorHAnsi" w:cstheme="minorHAnsi"/>
                  <w:spacing w:val="4"/>
                </w:rPr>
                <w:t>á</w:t>
              </w:r>
              <w:r w:rsidR="004103BA" w:rsidRPr="0025413A">
                <w:rPr>
                  <w:rStyle w:val="Hyperlink"/>
                  <w:rFonts w:asciiTheme="minorHAnsi" w:hAnsiTheme="minorHAnsi" w:cstheme="minorHAnsi"/>
                  <w:spacing w:val="4"/>
                </w:rPr>
                <w:t>i</w:t>
              </w:r>
              <w:r w:rsidR="004103BA" w:rsidRPr="000513B1">
                <w:rPr>
                  <w:rStyle w:val="Hyperlink"/>
                  <w:rFonts w:asciiTheme="minorHAnsi" w:hAnsiTheme="minorHAnsi" w:cstheme="minorHAnsi"/>
                  <w:spacing w:val="4"/>
                  <w:lang w:val="es-ES"/>
                </w:rPr>
                <w:t>, 2018)</w:t>
              </w:r>
            </w:hyperlink>
            <w:r w:rsidR="004103BA" w:rsidRPr="000513B1"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 xml:space="preserve">; </w:t>
            </w:r>
            <w:r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 xml:space="preserve">otras </w:t>
            </w:r>
            <w:r w:rsidR="00680E1E"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 xml:space="preserve">resoluciones </w:t>
            </w:r>
            <w:r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 xml:space="preserve">y </w:t>
            </w:r>
            <w:r w:rsidR="00680E1E"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 xml:space="preserve">documentos </w:t>
            </w:r>
            <w:r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>de la Conferencia</w:t>
            </w:r>
            <w:r w:rsidR="00B92343">
              <w:rPr>
                <w:rFonts w:asciiTheme="minorHAnsi" w:hAnsiTheme="minorHAnsi" w:cstheme="minorHAnsi"/>
                <w:color w:val="000000"/>
                <w:spacing w:val="4"/>
                <w:lang w:val="es-ES"/>
              </w:rPr>
              <w:t>.</w:t>
            </w:r>
          </w:p>
        </w:tc>
      </w:tr>
    </w:tbl>
    <w:p w14:paraId="544667EA" w14:textId="08B42DF7" w:rsidR="004103BA" w:rsidRDefault="004103BA" w:rsidP="00FD4DC9">
      <w:pPr>
        <w:pStyle w:val="Heading1"/>
        <w:rPr>
          <w:szCs w:val="28"/>
        </w:rPr>
      </w:pPr>
      <w:r w:rsidRPr="007F3A09">
        <w:rPr>
          <w:szCs w:val="28"/>
          <w:lang w:val="fr-FR"/>
        </w:rPr>
        <w:lastRenderedPageBreak/>
        <w:t>1</w:t>
      </w:r>
      <w:r w:rsidRPr="007F3A09">
        <w:rPr>
          <w:szCs w:val="28"/>
          <w:lang w:val="fr-FR"/>
        </w:rPr>
        <w:tab/>
      </w:r>
      <w:r w:rsidRPr="00D90935">
        <w:rPr>
          <w:szCs w:val="28"/>
        </w:rPr>
        <w:t>Antecedentes</w:t>
      </w:r>
    </w:p>
    <w:p w14:paraId="76FCC5EA" w14:textId="350D4CFA" w:rsidR="004103BA" w:rsidRPr="006C144D" w:rsidRDefault="004103BA" w:rsidP="008C2345">
      <w:pPr>
        <w:pStyle w:val="Normalaftertitle"/>
        <w:rPr>
          <w:lang w:val="es-ES"/>
        </w:rPr>
      </w:pPr>
      <w:r w:rsidRPr="006C144D">
        <w:rPr>
          <w:lang w:val="es-ES"/>
        </w:rPr>
        <w:t>1.1</w:t>
      </w:r>
      <w:r w:rsidRPr="006C144D">
        <w:rPr>
          <w:lang w:val="es-ES"/>
        </w:rPr>
        <w:tab/>
      </w:r>
      <w:r w:rsidR="006C144D" w:rsidRPr="006C144D">
        <w:rPr>
          <w:lang w:val="es-ES"/>
        </w:rPr>
        <w:t xml:space="preserve">El Día Mundial de las Telecomunicaciones y de la Sociedad de la Información se celebra anualmente el 17 de mayo, fecha en la que se fundó la UIT y se firmó el primer Convenio Telegráfico Internacional en 1865, y </w:t>
      </w:r>
      <w:r w:rsidR="006C144D">
        <w:rPr>
          <w:lang w:val="es-ES"/>
        </w:rPr>
        <w:t xml:space="preserve">cada año </w:t>
      </w:r>
      <w:r w:rsidR="006C144D" w:rsidRPr="006C144D">
        <w:rPr>
          <w:lang w:val="es-ES"/>
        </w:rPr>
        <w:t>concentra la atención mundial en hacer llegar a los habitantes del mundo los innumerables beneficios de la revolución digital de las TIC</w:t>
      </w:r>
      <w:r w:rsidRPr="006C144D">
        <w:rPr>
          <w:lang w:val="es-ES"/>
        </w:rPr>
        <w:t>.</w:t>
      </w:r>
    </w:p>
    <w:p w14:paraId="76EB937D" w14:textId="65BF673A" w:rsidR="004103BA" w:rsidRDefault="004103BA" w:rsidP="00FD4DC9">
      <w:r w:rsidRPr="008679B7">
        <w:t>1.2</w:t>
      </w:r>
      <w:r w:rsidRPr="008679B7">
        <w:tab/>
        <w:t>La Conferencia de Plenipotenciarios de la UIT acogió complacida en noviembre de 2006 la decisión de la Asamblea General y enmendó la Resolución</w:t>
      </w:r>
      <w:r w:rsidR="00680E1E">
        <w:t> </w:t>
      </w:r>
      <w:r w:rsidRPr="008679B7">
        <w:t xml:space="preserve">68 </w:t>
      </w:r>
      <w:r w:rsidR="00B4066D" w:rsidRPr="008679B7">
        <w:t>con el fin de</w:t>
      </w:r>
      <w:r w:rsidRPr="008679B7">
        <w:t xml:space="preserve"> invitar al Consejo a</w:t>
      </w:r>
      <w:r w:rsidRPr="00A776E7">
        <w:t xml:space="preserve"> adoptar un tema específico para cada </w:t>
      </w:r>
      <w:r w:rsidRPr="00A776E7">
        <w:rPr>
          <w:i/>
          <w:iCs/>
        </w:rPr>
        <w:t>Día Mundial de las Telecomunicaciones y la Sociedad de la Información</w:t>
      </w:r>
      <w:r w:rsidRPr="00A776E7">
        <w:t>.</w:t>
      </w:r>
    </w:p>
    <w:p w14:paraId="02B68E21" w14:textId="19B80847" w:rsidR="004103BA" w:rsidRPr="00D90935" w:rsidRDefault="004103BA" w:rsidP="00FD4DC9">
      <w:pPr>
        <w:pStyle w:val="Heading1"/>
        <w:rPr>
          <w:szCs w:val="28"/>
        </w:rPr>
      </w:pPr>
      <w:r w:rsidRPr="00D90935">
        <w:rPr>
          <w:szCs w:val="28"/>
        </w:rPr>
        <w:t>2</w:t>
      </w:r>
      <w:r w:rsidRPr="00D90935">
        <w:rPr>
          <w:szCs w:val="28"/>
        </w:rPr>
        <w:tab/>
        <w:t>Día Mundial de las Telecomunicaciones y la Sociedad de la Información 202</w:t>
      </w:r>
      <w:r w:rsidR="00B4066D" w:rsidRPr="00D90935">
        <w:rPr>
          <w:szCs w:val="28"/>
        </w:rPr>
        <w:t>3</w:t>
      </w:r>
    </w:p>
    <w:p w14:paraId="5ECEE4FF" w14:textId="0E9F5CEF" w:rsidR="004103BA" w:rsidRPr="00B4066D" w:rsidRDefault="004103BA" w:rsidP="008C2345">
      <w:pPr>
        <w:pStyle w:val="Normalaftertitle"/>
        <w:rPr>
          <w:rFonts w:eastAsia="SimSun"/>
          <w:shd w:val="clear" w:color="auto" w:fill="FFFFFF"/>
          <w:lang w:val="es-ES"/>
        </w:rPr>
      </w:pPr>
      <w:bookmarkStart w:id="14" w:name="lt_pId034"/>
      <w:r w:rsidRPr="00B4066D">
        <w:rPr>
          <w:rFonts w:eastAsia="SimSun"/>
          <w:shd w:val="clear" w:color="auto" w:fill="FFFFFF"/>
          <w:lang w:val="es-ES"/>
        </w:rPr>
        <w:t>2.1</w:t>
      </w:r>
      <w:r w:rsidRPr="00B4066D">
        <w:rPr>
          <w:rFonts w:eastAsia="SimSun"/>
          <w:shd w:val="clear" w:color="auto" w:fill="FFFFFF"/>
          <w:lang w:val="es-ES"/>
        </w:rPr>
        <w:tab/>
      </w:r>
      <w:bookmarkStart w:id="15" w:name="lt_pId038"/>
      <w:bookmarkEnd w:id="14"/>
      <w:r w:rsidR="00B4066D" w:rsidRPr="00B4066D">
        <w:rPr>
          <w:rFonts w:eastAsia="SimSun"/>
          <w:shd w:val="clear" w:color="auto" w:fill="FFFFFF"/>
          <w:lang w:val="es-ES"/>
        </w:rPr>
        <w:t xml:space="preserve">Han transcurrido 50 años desde que las Naciones Unidas reconocieran la categoría de países menos adelantados (PMA) con el fin de impulsar </w:t>
      </w:r>
      <w:r w:rsidR="00B4066D">
        <w:rPr>
          <w:rFonts w:eastAsia="SimSun"/>
          <w:shd w:val="clear" w:color="auto" w:fill="FFFFFF"/>
          <w:lang w:val="es-ES"/>
        </w:rPr>
        <w:t>de forma especial</w:t>
      </w:r>
      <w:r w:rsidR="00B4066D" w:rsidRPr="00B4066D">
        <w:rPr>
          <w:rFonts w:eastAsia="SimSun"/>
          <w:shd w:val="clear" w:color="auto" w:fill="FFFFFF"/>
          <w:lang w:val="es-ES"/>
        </w:rPr>
        <w:t xml:space="preserve"> el desarrollo desde 1971. Los PMA </w:t>
      </w:r>
      <w:r w:rsidR="00046F89">
        <w:rPr>
          <w:rFonts w:eastAsia="SimSun"/>
          <w:shd w:val="clear" w:color="auto" w:fill="FFFFFF"/>
          <w:lang w:val="es-ES"/>
        </w:rPr>
        <w:t>están</w:t>
      </w:r>
      <w:r w:rsidR="00B4066D" w:rsidRPr="00B4066D">
        <w:rPr>
          <w:rFonts w:eastAsia="SimSun"/>
          <w:shd w:val="clear" w:color="auto" w:fill="FFFFFF"/>
          <w:lang w:val="es-ES"/>
        </w:rPr>
        <w:t xml:space="preserve"> reconocidos como una categoría de Estados cuya situación de desarrollo se considera muy desfavorecida, por razones estructurales, históricas y también geográficas. Actualmente, los 46 PMA </w:t>
      </w:r>
      <w:r w:rsidR="00046F89">
        <w:rPr>
          <w:rFonts w:eastAsia="SimSun"/>
          <w:shd w:val="clear" w:color="auto" w:fill="FFFFFF"/>
          <w:lang w:val="es-ES"/>
        </w:rPr>
        <w:t>representan</w:t>
      </w:r>
      <w:r w:rsidR="00B4066D" w:rsidRPr="00B4066D">
        <w:rPr>
          <w:rFonts w:eastAsia="SimSun"/>
          <w:shd w:val="clear" w:color="auto" w:fill="FFFFFF"/>
          <w:lang w:val="es-ES"/>
        </w:rPr>
        <w:t xml:space="preserve"> a unos 880 millones de </w:t>
      </w:r>
      <w:r w:rsidR="00046F89">
        <w:rPr>
          <w:rFonts w:eastAsia="SimSun"/>
          <w:shd w:val="clear" w:color="auto" w:fill="FFFFFF"/>
          <w:lang w:val="es-ES"/>
        </w:rPr>
        <w:t>personas, es decir</w:t>
      </w:r>
      <w:r w:rsidR="00B4066D" w:rsidRPr="00B4066D">
        <w:rPr>
          <w:rFonts w:eastAsia="SimSun"/>
          <w:shd w:val="clear" w:color="auto" w:fill="FFFFFF"/>
          <w:lang w:val="es-ES"/>
        </w:rPr>
        <w:t xml:space="preserve"> el 12% de la población mundial, </w:t>
      </w:r>
      <w:r w:rsidR="00046F89">
        <w:rPr>
          <w:rFonts w:eastAsia="SimSun"/>
          <w:shd w:val="clear" w:color="auto" w:fill="FFFFFF"/>
          <w:lang w:val="es-ES"/>
        </w:rPr>
        <w:t xml:space="preserve">y </w:t>
      </w:r>
      <w:r w:rsidR="00B4066D" w:rsidRPr="00B4066D">
        <w:rPr>
          <w:rFonts w:eastAsia="SimSun"/>
          <w:shd w:val="clear" w:color="auto" w:fill="FFFFFF"/>
          <w:lang w:val="es-ES"/>
        </w:rPr>
        <w:t>se enfrentan a grandes obstáculos estructurales para su crecimiento. Sin embargo, los PMA representan menos del 2% del PIB mundial y alrededor del 1% del comercio mundial. Hasta ahora, seis países han superado su condición de PMA (UNCTAD</w:t>
      </w:r>
      <w:r w:rsidRPr="00B4066D">
        <w:rPr>
          <w:rFonts w:eastAsia="SimSun"/>
          <w:shd w:val="clear" w:color="auto" w:fill="FFFFFF"/>
          <w:lang w:val="es-ES"/>
        </w:rPr>
        <w:t>).</w:t>
      </w:r>
      <w:bookmarkEnd w:id="15"/>
    </w:p>
    <w:p w14:paraId="6024E6C9" w14:textId="60B9DB4B" w:rsidR="004103BA" w:rsidRPr="0008553F" w:rsidRDefault="004103BA" w:rsidP="008679B7">
      <w:pPr>
        <w:rPr>
          <w:rFonts w:eastAsia="SimSun" w:cs="Calibri"/>
          <w:b/>
          <w:sz w:val="22"/>
          <w:lang w:val="es-ES"/>
        </w:rPr>
      </w:pPr>
      <w:r w:rsidRPr="00787D7B">
        <w:rPr>
          <w:rFonts w:eastAsia="SimSun"/>
          <w:lang w:val="es-ES"/>
        </w:rPr>
        <w:t>2.2</w:t>
      </w:r>
      <w:r w:rsidRPr="00787D7B">
        <w:rPr>
          <w:rFonts w:eastAsia="SimSun"/>
          <w:lang w:val="es-ES"/>
        </w:rPr>
        <w:tab/>
      </w:r>
      <w:bookmarkStart w:id="16" w:name="lt_pId041"/>
      <w:r w:rsidR="00787D7B" w:rsidRPr="00787D7B">
        <w:rPr>
          <w:rFonts w:eastAsia="SimSun"/>
          <w:lang w:val="es-ES"/>
        </w:rPr>
        <w:t xml:space="preserve">La Cuarta Conferencia de las Naciones Unidas sobre los países menos adelantados (2011) (A/Conf.219/3/Rev.1) puso de relieve, entre otras cosas, el problema que supone la carencia de infraestructura de TIC adecuada. También se mencionó el </w:t>
      </w:r>
      <w:r w:rsidR="00787D7B">
        <w:rPr>
          <w:rFonts w:eastAsia="SimSun"/>
          <w:lang w:val="es-ES"/>
        </w:rPr>
        <w:t>atraso</w:t>
      </w:r>
      <w:r w:rsidR="00787D7B" w:rsidRPr="00787D7B">
        <w:rPr>
          <w:rFonts w:eastAsia="SimSun"/>
          <w:lang w:val="es-ES"/>
        </w:rPr>
        <w:t xml:space="preserve"> en esferas esenciales, </w:t>
      </w:r>
      <w:r w:rsidR="00787D7B">
        <w:rPr>
          <w:rFonts w:eastAsia="SimSun"/>
          <w:lang w:val="es-ES"/>
        </w:rPr>
        <w:t>especialmente en lo relativo a</w:t>
      </w:r>
      <w:r w:rsidR="00787D7B" w:rsidRPr="00787D7B">
        <w:rPr>
          <w:rFonts w:eastAsia="SimSun"/>
          <w:lang w:val="es-ES"/>
        </w:rPr>
        <w:t>: "</w:t>
      </w:r>
      <w:r w:rsidR="0008553F" w:rsidRPr="0008553F">
        <w:rPr>
          <w:lang w:val="es-ES"/>
        </w:rPr>
        <w:t>adquirir nuevas tecnologías y crear capacidad y una base de conocimientos nacionales para poder utilizar plenamente las tecnologías adquiridas y fomentar la capacidad autóctona de una manera sostenible para la investigación y el desarrollo.</w:t>
      </w:r>
      <w:r w:rsidR="00F53522">
        <w:rPr>
          <w:rFonts w:eastAsia="SimSun"/>
          <w:lang w:val="es-ES"/>
        </w:rPr>
        <w:t>"</w:t>
      </w:r>
      <w:r w:rsidRPr="004103BA">
        <w:rPr>
          <w:rFonts w:eastAsia="SimSun"/>
          <w:lang w:val="es-ES"/>
        </w:rPr>
        <w:t>.</w:t>
      </w:r>
      <w:bookmarkEnd w:id="16"/>
    </w:p>
    <w:p w14:paraId="31FF29E7" w14:textId="3F99C332" w:rsidR="0008553F" w:rsidRPr="00BD3A8B" w:rsidRDefault="0008553F" w:rsidP="008679B7">
      <w:pPr>
        <w:rPr>
          <w:lang w:val="es-ES" w:eastAsia="zh-CN"/>
        </w:rPr>
      </w:pPr>
      <w:bookmarkStart w:id="17" w:name="lt_pId043"/>
      <w:r w:rsidRPr="00BD3A8B">
        <w:rPr>
          <w:lang w:val="es-ES" w:eastAsia="zh-CN"/>
        </w:rPr>
        <w:t>2.3</w:t>
      </w:r>
      <w:r w:rsidRPr="00BD3A8B">
        <w:rPr>
          <w:lang w:val="es-ES" w:eastAsia="zh-CN"/>
        </w:rPr>
        <w:tab/>
      </w:r>
      <w:bookmarkEnd w:id="17"/>
      <w:r w:rsidR="00BD3A8B" w:rsidRPr="00BD3A8B">
        <w:rPr>
          <w:lang w:val="es-ES" w:eastAsia="zh-CN"/>
        </w:rPr>
        <w:t>Diversas Resoluciones de la UIT, incluidas las de la Conferencia de Plenipotenciarios, la</w:t>
      </w:r>
      <w:r w:rsidR="00680E1E">
        <w:rPr>
          <w:lang w:val="es-ES" w:eastAsia="zh-CN"/>
        </w:rPr>
        <w:t> </w:t>
      </w:r>
      <w:r w:rsidR="00BD3A8B" w:rsidRPr="00BD3A8B">
        <w:rPr>
          <w:lang w:val="es-ES" w:eastAsia="zh-CN"/>
        </w:rPr>
        <w:t xml:space="preserve">CMDT, el Consejo, los programas y la alianza </w:t>
      </w:r>
      <w:r w:rsidR="00BD3A8B" w:rsidRPr="00A04C35">
        <w:rPr>
          <w:lang w:eastAsia="zh-CN"/>
        </w:rPr>
        <w:t>multipartita</w:t>
      </w:r>
      <w:r w:rsidR="00BD3A8B" w:rsidRPr="00BD3A8B">
        <w:rPr>
          <w:lang w:val="es-ES" w:eastAsia="zh-CN"/>
        </w:rPr>
        <w:t xml:space="preserve"> lanzada por la UIT en estrecha colaboración con las Naciones Unidas (Coalición Digital Partner2Connect), se centran en mejorar la cooperación digital para hacer frente a los retos y las carencias de los PMA.</w:t>
      </w:r>
    </w:p>
    <w:p w14:paraId="61C6CBDB" w14:textId="5EE5E833" w:rsidR="0008553F" w:rsidRPr="00BD3A8B" w:rsidRDefault="0008553F" w:rsidP="008679B7">
      <w:pPr>
        <w:rPr>
          <w:lang w:val="es-ES" w:eastAsia="zh-CN"/>
        </w:rPr>
      </w:pPr>
      <w:bookmarkStart w:id="18" w:name="lt_pId045"/>
      <w:r w:rsidRPr="00BD3A8B">
        <w:rPr>
          <w:lang w:val="es-ES" w:eastAsia="zh-CN"/>
        </w:rPr>
        <w:t>2.4</w:t>
      </w:r>
      <w:r w:rsidRPr="00BD3A8B">
        <w:rPr>
          <w:lang w:val="es-ES" w:eastAsia="zh-CN"/>
        </w:rPr>
        <w:tab/>
      </w:r>
      <w:r w:rsidR="00BD3A8B" w:rsidRPr="00BD3A8B">
        <w:rPr>
          <w:lang w:val="es-ES" w:eastAsia="zh-CN"/>
        </w:rPr>
        <w:t xml:space="preserve">El </w:t>
      </w:r>
      <w:r w:rsidR="00BE783A" w:rsidRPr="00BD3A8B">
        <w:rPr>
          <w:lang w:val="es-ES" w:eastAsia="zh-CN"/>
        </w:rPr>
        <w:t xml:space="preserve">Informe </w:t>
      </w:r>
      <w:r w:rsidR="00BD3A8B" w:rsidRPr="00BD3A8B">
        <w:rPr>
          <w:lang w:val="es-ES" w:eastAsia="zh-CN"/>
        </w:rPr>
        <w:t>de la U</w:t>
      </w:r>
      <w:r w:rsidRPr="00BD3A8B">
        <w:rPr>
          <w:lang w:val="es-ES" w:eastAsia="zh-CN"/>
        </w:rPr>
        <w:t xml:space="preserve">IT </w:t>
      </w:r>
      <w:r w:rsidR="00BD3A8B" w:rsidRPr="00BD3A8B">
        <w:rPr>
          <w:lang w:val="es-ES" w:eastAsia="zh-CN"/>
        </w:rPr>
        <w:t>sobre</w:t>
      </w:r>
      <w:r w:rsidRPr="00BD3A8B">
        <w:rPr>
          <w:lang w:val="es-ES" w:eastAsia="zh-CN"/>
        </w:rPr>
        <w:t xml:space="preserve"> </w:t>
      </w:r>
      <w:r w:rsidR="00F53522" w:rsidRPr="00BD3A8B">
        <w:rPr>
          <w:lang w:val="es-ES" w:eastAsia="zh-CN"/>
        </w:rPr>
        <w:t>"</w:t>
      </w:r>
      <w:r w:rsidR="00BD3A8B" w:rsidRPr="00BD3A8B">
        <w:t xml:space="preserve"> </w:t>
      </w:r>
      <w:r w:rsidR="00BD3A8B" w:rsidRPr="00BD3A8B">
        <w:rPr>
          <w:lang w:val="es-ES" w:eastAsia="zh-CN"/>
        </w:rPr>
        <w:t>Conectividad en los países menos adelantados – Informe de situación de 2021</w:t>
      </w:r>
      <w:r w:rsidR="00F53522" w:rsidRPr="00BD3A8B">
        <w:rPr>
          <w:lang w:val="es-ES" w:eastAsia="zh-CN"/>
        </w:rPr>
        <w:t>"</w:t>
      </w:r>
      <w:r w:rsidRPr="00BD3A8B">
        <w:rPr>
          <w:lang w:val="es-ES" w:eastAsia="zh-CN"/>
        </w:rPr>
        <w:t xml:space="preserve">, </w:t>
      </w:r>
      <w:r w:rsidR="00BD3A8B">
        <w:rPr>
          <w:lang w:val="es-ES" w:eastAsia="zh-CN"/>
        </w:rPr>
        <w:t>pone de relieve diversos retos, entre los que cabe destacar</w:t>
      </w:r>
      <w:r w:rsidRPr="00BD3A8B">
        <w:rPr>
          <w:lang w:val="es-ES" w:eastAsia="zh-CN"/>
        </w:rPr>
        <w:t>:</w:t>
      </w:r>
      <w:bookmarkEnd w:id="18"/>
    </w:p>
    <w:p w14:paraId="228769E0" w14:textId="1BEC23A1" w:rsidR="0008553F" w:rsidRPr="008679B7" w:rsidRDefault="0020721E" w:rsidP="008679B7">
      <w:pPr>
        <w:pStyle w:val="enumlev1"/>
      </w:pPr>
      <w:bookmarkStart w:id="19" w:name="lt_pId046"/>
      <w:r w:rsidRPr="00BD3A8B">
        <w:rPr>
          <w:lang w:val="es-ES"/>
        </w:rPr>
        <w:t>•</w:t>
      </w:r>
      <w:r w:rsidRPr="008679B7">
        <w:tab/>
      </w:r>
      <w:r w:rsidR="00532ACB" w:rsidRPr="008679B7">
        <w:t xml:space="preserve">La </w:t>
      </w:r>
      <w:r w:rsidR="00BD3A8B" w:rsidRPr="008679B7">
        <w:t xml:space="preserve">gran brecha </w:t>
      </w:r>
      <w:r w:rsidR="0008553F" w:rsidRPr="008679B7">
        <w:t xml:space="preserve">digital </w:t>
      </w:r>
      <w:r w:rsidR="00BD3A8B" w:rsidRPr="008679B7">
        <w:t>entre los PMA</w:t>
      </w:r>
      <w:bookmarkEnd w:id="19"/>
      <w:r w:rsidR="00532ACB">
        <w:t>.</w:t>
      </w:r>
    </w:p>
    <w:p w14:paraId="3FF57DA2" w14:textId="405976AD" w:rsidR="0008553F" w:rsidRPr="008679B7" w:rsidRDefault="0020721E" w:rsidP="008679B7">
      <w:pPr>
        <w:pStyle w:val="enumlev1"/>
      </w:pPr>
      <w:bookmarkStart w:id="20" w:name="lt_pId047"/>
      <w:r w:rsidRPr="008679B7">
        <w:t>•</w:t>
      </w:r>
      <w:r w:rsidRPr="008679B7">
        <w:tab/>
      </w:r>
      <w:r w:rsidR="00532ACB" w:rsidRPr="008679B7">
        <w:t xml:space="preserve">Solo </w:t>
      </w:r>
      <w:r w:rsidR="00BD3A8B" w:rsidRPr="008679B7">
        <w:t>dos</w:t>
      </w:r>
      <w:r w:rsidR="0008553F" w:rsidRPr="008679B7">
        <w:t xml:space="preserve"> </w:t>
      </w:r>
      <w:r w:rsidR="00BD3A8B" w:rsidRPr="008679B7">
        <w:t xml:space="preserve">PMA han cumplido la meta </w:t>
      </w:r>
      <w:r w:rsidR="0008553F" w:rsidRPr="008679B7">
        <w:t xml:space="preserve">9.c </w:t>
      </w:r>
      <w:r w:rsidR="00BD3A8B" w:rsidRPr="008679B7">
        <w:t>de los ODS, relativ</w:t>
      </w:r>
      <w:r w:rsidR="0025413A">
        <w:t>a</w:t>
      </w:r>
      <w:r w:rsidR="00BD3A8B" w:rsidRPr="008679B7">
        <w:t xml:space="preserve"> al acceso universal y la asequibilidad </w:t>
      </w:r>
      <w:r w:rsidR="0008553F" w:rsidRPr="008679B7">
        <w:t>(</w:t>
      </w:r>
      <w:r w:rsidR="00BD3A8B" w:rsidRPr="008679B7">
        <w:t xml:space="preserve">cuyo plazo inicial venció a finales de </w:t>
      </w:r>
      <w:r w:rsidR="0008553F" w:rsidRPr="008679B7">
        <w:t>2020)</w:t>
      </w:r>
      <w:bookmarkEnd w:id="20"/>
      <w:r w:rsidR="00532ACB">
        <w:t>.</w:t>
      </w:r>
    </w:p>
    <w:p w14:paraId="47E17FBA" w14:textId="692D02B7" w:rsidR="0008553F" w:rsidRPr="008679B7" w:rsidRDefault="0020721E" w:rsidP="008679B7">
      <w:pPr>
        <w:pStyle w:val="enumlev1"/>
      </w:pPr>
      <w:bookmarkStart w:id="21" w:name="lt_pId048"/>
      <w:r w:rsidRPr="008679B7">
        <w:t>•</w:t>
      </w:r>
      <w:r w:rsidRPr="008679B7">
        <w:tab/>
      </w:r>
      <w:r w:rsidR="00532ACB" w:rsidRPr="008679B7">
        <w:t xml:space="preserve">La </w:t>
      </w:r>
      <w:r w:rsidR="00BD3A8B" w:rsidRPr="008679B7">
        <w:t>brecha persistente en la utilización</w:t>
      </w:r>
      <w:bookmarkEnd w:id="21"/>
      <w:r w:rsidR="00532ACB">
        <w:t>.</w:t>
      </w:r>
    </w:p>
    <w:p w14:paraId="30EDCE2D" w14:textId="14F1FF4D" w:rsidR="0008553F" w:rsidRPr="008679B7" w:rsidRDefault="0020721E" w:rsidP="008679B7">
      <w:pPr>
        <w:pStyle w:val="enumlev1"/>
      </w:pPr>
      <w:bookmarkStart w:id="22" w:name="lt_pId049"/>
      <w:r w:rsidRPr="008679B7">
        <w:t>•</w:t>
      </w:r>
      <w:r w:rsidRPr="008679B7">
        <w:tab/>
      </w:r>
      <w:r w:rsidR="00532ACB" w:rsidRPr="008679B7">
        <w:t xml:space="preserve">La </w:t>
      </w:r>
      <w:r w:rsidR="00BD3A8B" w:rsidRPr="008679B7">
        <w:t>falta de concienciación</w:t>
      </w:r>
      <w:bookmarkEnd w:id="22"/>
      <w:r w:rsidR="00532ACB">
        <w:t>.</w:t>
      </w:r>
    </w:p>
    <w:p w14:paraId="2E0B5264" w14:textId="63997A4B" w:rsidR="0008553F" w:rsidRPr="008679B7" w:rsidRDefault="0020721E" w:rsidP="008679B7">
      <w:pPr>
        <w:pStyle w:val="enumlev1"/>
      </w:pPr>
      <w:bookmarkStart w:id="23" w:name="lt_pId050"/>
      <w:r w:rsidRPr="008679B7">
        <w:t>•</w:t>
      </w:r>
      <w:r w:rsidRPr="008679B7">
        <w:tab/>
      </w:r>
      <w:r w:rsidR="00532ACB" w:rsidRPr="008679B7">
        <w:t xml:space="preserve">La </w:t>
      </w:r>
      <w:r w:rsidR="00BD3A8B" w:rsidRPr="008679B7">
        <w:t>carencia de aptitudes digitales</w:t>
      </w:r>
      <w:bookmarkEnd w:id="23"/>
      <w:r w:rsidR="0014615C">
        <w:t>.</w:t>
      </w:r>
    </w:p>
    <w:p w14:paraId="03648918" w14:textId="7C85B103" w:rsidR="0008553F" w:rsidRPr="008679B7" w:rsidRDefault="0020721E" w:rsidP="008679B7">
      <w:pPr>
        <w:pStyle w:val="enumlev1"/>
      </w:pPr>
      <w:bookmarkStart w:id="24" w:name="lt_pId051"/>
      <w:r w:rsidRPr="008679B7">
        <w:t>•</w:t>
      </w:r>
      <w:r w:rsidRPr="008679B7">
        <w:tab/>
      </w:r>
      <w:r w:rsidR="00532ACB" w:rsidRPr="008679B7">
        <w:t xml:space="preserve">Las </w:t>
      </w:r>
      <w:r w:rsidR="00BD3A8B" w:rsidRPr="008679B7">
        <w:t>dificultades para utilizar de manera productiv</w:t>
      </w:r>
      <w:r w:rsidR="0025413A">
        <w:t>a</w:t>
      </w:r>
      <w:r w:rsidR="00BD3A8B" w:rsidRPr="008679B7">
        <w:t xml:space="preserve"> las tecnologías de banda ancha</w:t>
      </w:r>
      <w:bookmarkEnd w:id="24"/>
      <w:r w:rsidR="00532ACB">
        <w:t>.</w:t>
      </w:r>
    </w:p>
    <w:p w14:paraId="42EC0B20" w14:textId="68A09449" w:rsidR="0008553F" w:rsidRDefault="0020721E" w:rsidP="008679B7">
      <w:pPr>
        <w:pStyle w:val="enumlev1"/>
      </w:pPr>
      <w:bookmarkStart w:id="25" w:name="lt_pId052"/>
      <w:r w:rsidRPr="008679B7">
        <w:t>•</w:t>
      </w:r>
      <w:r w:rsidRPr="008679B7">
        <w:tab/>
      </w:r>
      <w:r w:rsidR="00532ACB" w:rsidRPr="008679B7">
        <w:t xml:space="preserve">Las </w:t>
      </w:r>
      <w:r w:rsidR="00BD3A8B" w:rsidRPr="008679B7">
        <w:t>considerables deficiencias en infraestructura de datos</w:t>
      </w:r>
      <w:bookmarkEnd w:id="25"/>
      <w:r w:rsidR="00FA6643">
        <w:t>.</w:t>
      </w:r>
    </w:p>
    <w:p w14:paraId="7473A74F" w14:textId="77B91FFF" w:rsidR="0008553F" w:rsidRPr="00D455C5" w:rsidRDefault="0008553F" w:rsidP="00FA6643">
      <w:pPr>
        <w:keepNext/>
        <w:keepLines/>
        <w:rPr>
          <w:lang w:val="es-ES" w:eastAsia="zh-CN"/>
        </w:rPr>
      </w:pPr>
      <w:r w:rsidRPr="00D455C5">
        <w:rPr>
          <w:lang w:val="es-ES" w:eastAsia="zh-CN"/>
        </w:rPr>
        <w:lastRenderedPageBreak/>
        <w:t>2.5</w:t>
      </w:r>
      <w:r w:rsidRPr="00D455C5">
        <w:rPr>
          <w:lang w:val="es-ES" w:eastAsia="zh-CN"/>
        </w:rPr>
        <w:tab/>
      </w:r>
      <w:bookmarkStart w:id="26" w:name="lt_pId054"/>
      <w:r w:rsidR="00D455C5">
        <w:rPr>
          <w:lang w:val="es-ES" w:eastAsia="zh-CN"/>
        </w:rPr>
        <w:t xml:space="preserve">Este aniversario de los </w:t>
      </w:r>
      <w:r w:rsidR="00D455C5" w:rsidRPr="00D455C5">
        <w:rPr>
          <w:lang w:val="es-ES" w:eastAsia="zh-CN"/>
        </w:rPr>
        <w:t>50 años de</w:t>
      </w:r>
      <w:r w:rsidR="00D455C5">
        <w:rPr>
          <w:lang w:val="es-ES" w:eastAsia="zh-CN"/>
        </w:rPr>
        <w:t>sde su reconocimiento</w:t>
      </w:r>
      <w:r w:rsidR="00D455C5" w:rsidRPr="00D455C5">
        <w:rPr>
          <w:lang w:val="es-ES" w:eastAsia="zh-CN"/>
        </w:rPr>
        <w:t xml:space="preserve"> constituye una oportunidad </w:t>
      </w:r>
      <w:r w:rsidR="00D455C5">
        <w:rPr>
          <w:lang w:val="es-ES" w:eastAsia="zh-CN"/>
        </w:rPr>
        <w:t xml:space="preserve">para </w:t>
      </w:r>
      <w:r w:rsidR="00D455C5" w:rsidRPr="00D455C5">
        <w:rPr>
          <w:lang w:val="es-ES" w:eastAsia="zh-CN"/>
        </w:rPr>
        <w:t xml:space="preserve">concienciar </w:t>
      </w:r>
      <w:r w:rsidR="009E33D8">
        <w:rPr>
          <w:lang w:val="es-ES" w:eastAsia="zh-CN"/>
        </w:rPr>
        <w:t xml:space="preserve">urgentemente </w:t>
      </w:r>
      <w:r w:rsidR="00D455C5" w:rsidRPr="00D455C5">
        <w:rPr>
          <w:lang w:val="es-ES" w:eastAsia="zh-CN"/>
        </w:rPr>
        <w:t>sobre</w:t>
      </w:r>
      <w:r w:rsidR="00D455C5">
        <w:rPr>
          <w:lang w:val="es-ES" w:eastAsia="zh-CN"/>
        </w:rPr>
        <w:t xml:space="preserve"> </w:t>
      </w:r>
      <w:r w:rsidR="00D455C5" w:rsidRPr="00D455C5">
        <w:rPr>
          <w:lang w:val="es-ES" w:eastAsia="zh-CN"/>
        </w:rPr>
        <w:t xml:space="preserve">los retos que aún quedan por </w:t>
      </w:r>
      <w:r w:rsidR="00D455C5">
        <w:rPr>
          <w:lang w:val="es-ES" w:eastAsia="zh-CN"/>
        </w:rPr>
        <w:t>afrontar</w:t>
      </w:r>
      <w:r w:rsidR="00D455C5" w:rsidRPr="00D455C5">
        <w:rPr>
          <w:lang w:val="es-ES" w:eastAsia="zh-CN"/>
        </w:rPr>
        <w:t xml:space="preserve"> en el actual grupo de PMA, con el fin de permitir una mayor cooperación, y también para celebrar el potencial de las TIC para favorecer el progreso de los PMA </w:t>
      </w:r>
      <w:r w:rsidR="00D455C5">
        <w:rPr>
          <w:lang w:val="es-ES" w:eastAsia="zh-CN"/>
        </w:rPr>
        <w:t>con el fin de que puedan superar su condición</w:t>
      </w:r>
      <w:r w:rsidRPr="00D455C5">
        <w:rPr>
          <w:lang w:val="es-ES" w:eastAsia="zh-CN"/>
        </w:rPr>
        <w:t>.</w:t>
      </w:r>
      <w:bookmarkEnd w:id="26"/>
    </w:p>
    <w:p w14:paraId="13E675FE" w14:textId="23E433CF" w:rsidR="0008553F" w:rsidRDefault="0008553F" w:rsidP="008679B7">
      <w:pPr>
        <w:rPr>
          <w:lang w:val="es-ES"/>
        </w:rPr>
      </w:pPr>
      <w:r w:rsidRPr="00D455C5">
        <w:rPr>
          <w:lang w:val="es-ES"/>
        </w:rPr>
        <w:t>2.6</w:t>
      </w:r>
      <w:r w:rsidRPr="00D455C5">
        <w:rPr>
          <w:lang w:val="es-ES"/>
        </w:rPr>
        <w:tab/>
      </w:r>
      <w:bookmarkStart w:id="27" w:name="lt_pId056"/>
      <w:r w:rsidR="00D455C5" w:rsidRPr="00D455C5">
        <w:rPr>
          <w:lang w:val="es-ES"/>
        </w:rPr>
        <w:t>El tema está en consonancia con los esfuerzos especiales de la UIT y las Naciones Unidas para superar la brecha digital en el mundo y también con las líneas de acción de la CMSI</w:t>
      </w:r>
      <w:r w:rsidRPr="00D455C5">
        <w:rPr>
          <w:lang w:val="es-ES"/>
        </w:rPr>
        <w:t>.</w:t>
      </w:r>
      <w:bookmarkEnd w:id="27"/>
    </w:p>
    <w:p w14:paraId="314D466B" w14:textId="77777777" w:rsidR="00FA6643" w:rsidRDefault="00FA6643" w:rsidP="00411C49">
      <w:pPr>
        <w:pStyle w:val="Reasons"/>
      </w:pPr>
    </w:p>
    <w:p w14:paraId="7C934CBC" w14:textId="77777777" w:rsidR="00FA6643" w:rsidRDefault="00FA6643">
      <w:pPr>
        <w:jc w:val="center"/>
      </w:pPr>
      <w:r>
        <w:t>______________</w:t>
      </w:r>
    </w:p>
    <w:p w14:paraId="04A461EC" w14:textId="77777777" w:rsidR="00FA6643" w:rsidRPr="00D455C5" w:rsidRDefault="00FA6643" w:rsidP="008679B7">
      <w:pPr>
        <w:rPr>
          <w:sz w:val="23"/>
          <w:szCs w:val="23"/>
          <w:lang w:val="es-ES"/>
        </w:rPr>
      </w:pPr>
    </w:p>
    <w:sectPr w:rsidR="00FA6643" w:rsidRPr="00D455C5" w:rsidSect="006710F6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E8D9" w14:textId="77777777" w:rsidR="00D34113" w:rsidRDefault="00D34113">
      <w:r>
        <w:separator/>
      </w:r>
    </w:p>
  </w:endnote>
  <w:endnote w:type="continuationSeparator" w:id="0">
    <w:p w14:paraId="78A8E933" w14:textId="77777777" w:rsidR="00D34113" w:rsidRDefault="00D3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450F" w14:textId="08012C8F" w:rsidR="00760F1C" w:rsidRPr="007F3A09" w:rsidRDefault="00D50A36">
    <w:pPr>
      <w:pStyle w:val="Footer"/>
      <w:rPr>
        <w:lang w:val="fr-FR"/>
      </w:rPr>
    </w:pPr>
    <w:r w:rsidRPr="007F3A09">
      <w:rPr>
        <w:color w:val="F2F2F2" w:themeColor="background1" w:themeShade="F2"/>
      </w:rPr>
      <w:fldChar w:fldCharType="begin"/>
    </w:r>
    <w:r w:rsidRPr="007F3A09">
      <w:rPr>
        <w:color w:val="F2F2F2" w:themeColor="background1" w:themeShade="F2"/>
        <w:lang w:val="fr-FR"/>
      </w:rPr>
      <w:instrText xml:space="preserve"> FILENAME \p \* MERGEFORMAT </w:instrText>
    </w:r>
    <w:r w:rsidRPr="007F3A09">
      <w:rPr>
        <w:color w:val="F2F2F2" w:themeColor="background1" w:themeShade="F2"/>
      </w:rPr>
      <w:fldChar w:fldCharType="separate"/>
    </w:r>
    <w:r w:rsidR="006C2272" w:rsidRPr="007F3A09">
      <w:rPr>
        <w:color w:val="F2F2F2" w:themeColor="background1" w:themeShade="F2"/>
        <w:lang w:val="fr-FR"/>
      </w:rPr>
      <w:t>P:\ESP\SG\CONSEIL\C22\000\078S.docx</w:t>
    </w:r>
    <w:r w:rsidRPr="007F3A09">
      <w:rPr>
        <w:color w:val="F2F2F2" w:themeColor="background1" w:themeShade="F2"/>
        <w:lang w:val="en-US"/>
      </w:rPr>
      <w:fldChar w:fldCharType="end"/>
    </w:r>
    <w:r w:rsidR="00202366" w:rsidRPr="007F3A09">
      <w:rPr>
        <w:color w:val="F2F2F2" w:themeColor="background1" w:themeShade="F2"/>
        <w:lang w:val="fr-FR"/>
      </w:rPr>
      <w:t xml:space="preserve"> (502523)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A4B1" w14:textId="77777777"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07B3" w14:textId="77777777" w:rsidR="00D34113" w:rsidRDefault="00D34113">
      <w:r>
        <w:t>____________________</w:t>
      </w:r>
    </w:p>
  </w:footnote>
  <w:footnote w:type="continuationSeparator" w:id="0">
    <w:p w14:paraId="040EEB1E" w14:textId="77777777" w:rsidR="00D34113" w:rsidRDefault="00D3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D5F5" w14:textId="77777777"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C2727F">
      <w:rPr>
        <w:noProof/>
      </w:rPr>
      <w:t>2</w:t>
    </w:r>
    <w:r>
      <w:rPr>
        <w:noProof/>
      </w:rPr>
      <w:fldChar w:fldCharType="end"/>
    </w:r>
  </w:p>
  <w:p w14:paraId="27D1E1E3" w14:textId="553DC834" w:rsidR="00760F1C" w:rsidRDefault="00760F1C" w:rsidP="00C2727F">
    <w:pPr>
      <w:pStyle w:val="Header"/>
    </w:pPr>
    <w:r>
      <w:t>C</w:t>
    </w:r>
    <w:r w:rsidR="007955DA">
      <w:t>2</w:t>
    </w:r>
    <w:r w:rsidR="00D50A36">
      <w:t>2</w:t>
    </w:r>
    <w:r>
      <w:t>/</w:t>
    </w:r>
    <w:r w:rsidR="004103BA">
      <w:t>78</w:t>
    </w:r>
    <w:r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14A0D"/>
    <w:multiLevelType w:val="hybridMultilevel"/>
    <w:tmpl w:val="426A4112"/>
    <w:lvl w:ilvl="0" w:tplc="01C40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20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FEF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87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85D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546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4F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EA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C2C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13"/>
    <w:rsid w:val="000007D1"/>
    <w:rsid w:val="00046F89"/>
    <w:rsid w:val="000513B1"/>
    <w:rsid w:val="0008553F"/>
    <w:rsid w:val="00093EEB"/>
    <w:rsid w:val="000B0D00"/>
    <w:rsid w:val="000B7C15"/>
    <w:rsid w:val="000D1D0F"/>
    <w:rsid w:val="000F5290"/>
    <w:rsid w:val="0010165C"/>
    <w:rsid w:val="0014615C"/>
    <w:rsid w:val="00146BFB"/>
    <w:rsid w:val="001F14A2"/>
    <w:rsid w:val="00202366"/>
    <w:rsid w:val="0020721E"/>
    <w:rsid w:val="002117F0"/>
    <w:rsid w:val="0025413A"/>
    <w:rsid w:val="002801AA"/>
    <w:rsid w:val="002C4676"/>
    <w:rsid w:val="002C70B0"/>
    <w:rsid w:val="002F3CC4"/>
    <w:rsid w:val="00330BA5"/>
    <w:rsid w:val="003A63FB"/>
    <w:rsid w:val="004103BA"/>
    <w:rsid w:val="00445813"/>
    <w:rsid w:val="004A3633"/>
    <w:rsid w:val="00513630"/>
    <w:rsid w:val="00532ACB"/>
    <w:rsid w:val="00560125"/>
    <w:rsid w:val="00583CA8"/>
    <w:rsid w:val="00585553"/>
    <w:rsid w:val="005B34D9"/>
    <w:rsid w:val="005D0CCF"/>
    <w:rsid w:val="005F3BCB"/>
    <w:rsid w:val="005F410F"/>
    <w:rsid w:val="0060149A"/>
    <w:rsid w:val="00601924"/>
    <w:rsid w:val="006258A6"/>
    <w:rsid w:val="006447EA"/>
    <w:rsid w:val="0064731F"/>
    <w:rsid w:val="00664572"/>
    <w:rsid w:val="006710F6"/>
    <w:rsid w:val="00680E1E"/>
    <w:rsid w:val="006C144D"/>
    <w:rsid w:val="006C1B56"/>
    <w:rsid w:val="006C2272"/>
    <w:rsid w:val="006D4761"/>
    <w:rsid w:val="006E29C6"/>
    <w:rsid w:val="00726872"/>
    <w:rsid w:val="00760F1C"/>
    <w:rsid w:val="007657F0"/>
    <w:rsid w:val="0077252D"/>
    <w:rsid w:val="00787D7B"/>
    <w:rsid w:val="007917D5"/>
    <w:rsid w:val="007955DA"/>
    <w:rsid w:val="007E5DD3"/>
    <w:rsid w:val="007F350B"/>
    <w:rsid w:val="007F3A09"/>
    <w:rsid w:val="00820BE4"/>
    <w:rsid w:val="008451E8"/>
    <w:rsid w:val="008679B7"/>
    <w:rsid w:val="008A0CAE"/>
    <w:rsid w:val="008C2345"/>
    <w:rsid w:val="00913B9C"/>
    <w:rsid w:val="00956E77"/>
    <w:rsid w:val="00973009"/>
    <w:rsid w:val="009E33D8"/>
    <w:rsid w:val="009F4811"/>
    <w:rsid w:val="00A04C35"/>
    <w:rsid w:val="00AA390C"/>
    <w:rsid w:val="00B0200A"/>
    <w:rsid w:val="00B16235"/>
    <w:rsid w:val="00B4066D"/>
    <w:rsid w:val="00B574DB"/>
    <w:rsid w:val="00B826C2"/>
    <w:rsid w:val="00B8298E"/>
    <w:rsid w:val="00B92343"/>
    <w:rsid w:val="00BD0723"/>
    <w:rsid w:val="00BD2518"/>
    <w:rsid w:val="00BD3A8B"/>
    <w:rsid w:val="00BE783A"/>
    <w:rsid w:val="00BF1D1C"/>
    <w:rsid w:val="00C20C59"/>
    <w:rsid w:val="00C2727F"/>
    <w:rsid w:val="00C55B1F"/>
    <w:rsid w:val="00CF1A67"/>
    <w:rsid w:val="00D2750E"/>
    <w:rsid w:val="00D34113"/>
    <w:rsid w:val="00D455C5"/>
    <w:rsid w:val="00D50A36"/>
    <w:rsid w:val="00D62446"/>
    <w:rsid w:val="00D90935"/>
    <w:rsid w:val="00DA4EA2"/>
    <w:rsid w:val="00DC3D3E"/>
    <w:rsid w:val="00DE2C90"/>
    <w:rsid w:val="00DE3B24"/>
    <w:rsid w:val="00E06947"/>
    <w:rsid w:val="00E3592D"/>
    <w:rsid w:val="00E92DE8"/>
    <w:rsid w:val="00EB1212"/>
    <w:rsid w:val="00ED65AB"/>
    <w:rsid w:val="00ED7BE7"/>
    <w:rsid w:val="00F12850"/>
    <w:rsid w:val="00F33BF4"/>
    <w:rsid w:val="00F53522"/>
    <w:rsid w:val="00F7105E"/>
    <w:rsid w:val="00F75F57"/>
    <w:rsid w:val="00F82FEE"/>
    <w:rsid w:val="00FA6643"/>
    <w:rsid w:val="00FD08A2"/>
    <w:rsid w:val="00FD4DC9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B49BA"/>
  <w15:docId w15:val="{45EFAF70-BD26-461F-B40A-925953EB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character" w:styleId="CommentReference">
    <w:name w:val="annotation reference"/>
    <w:basedOn w:val="DefaultParagraphFont"/>
    <w:semiHidden/>
    <w:unhideWhenUsed/>
    <w:rsid w:val="004103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3B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3BA"/>
    <w:rPr>
      <w:rFonts w:ascii="Calibri" w:hAnsi="Calibri"/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3BA"/>
    <w:rPr>
      <w:rFonts w:ascii="Calibri" w:hAnsi="Calibri"/>
      <w:b/>
      <w:bCs/>
      <w:lang w:val="es-ES_tradnl" w:eastAsia="en-US"/>
    </w:rPr>
  </w:style>
  <w:style w:type="character" w:customStyle="1" w:styleId="Heading1Char">
    <w:name w:val="Heading 1 Char"/>
    <w:basedOn w:val="DefaultParagraphFont"/>
    <w:link w:val="Heading1"/>
    <w:rsid w:val="004103BA"/>
    <w:rPr>
      <w:rFonts w:ascii="Calibri" w:hAnsi="Calibri"/>
      <w:b/>
      <w:sz w:val="28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08553F"/>
    <w:pPr>
      <w:ind w:left="720"/>
      <w:contextualSpacing/>
    </w:pPr>
    <w:rPr>
      <w:rFonts w:eastAsia="SimSu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RES-030-S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en/council/Documents/basic-texts/RES-071-S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en/council/Documents/basic-texts/RES-198-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/RES-140-S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elac\AppData\Roaming\Microsoft\Templates\POOL%20S%20-%20ITU\PS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PS_C22.dotx</Template>
  <TotalTime>1</TotalTime>
  <Pages>3</Pages>
  <Words>910</Words>
  <Characters>5162</Characters>
  <Application>Microsoft Office Word</Application>
  <DocSecurity>4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6060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Contribución de India (República de) - Día Mundial de las Telecomunicaciones y la Sociedad de la Información</dc:title>
  <dc:subject>Consejo 2022</dc:subject>
  <dc:creator>SPANISH</dc:creator>
  <cp:keywords>C2022, C22</cp:keywords>
  <dc:description/>
  <cp:lastModifiedBy>Xue, Kun</cp:lastModifiedBy>
  <cp:revision>2</cp:revision>
  <cp:lastPrinted>2006-03-24T09:51:00Z</cp:lastPrinted>
  <dcterms:created xsi:type="dcterms:W3CDTF">2022-03-17T08:31:00Z</dcterms:created>
  <dcterms:modified xsi:type="dcterms:W3CDTF">2022-03-17T08:31:00Z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