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D72AD6" w14:paraId="3615A4F9" w14:textId="77777777">
        <w:trPr>
          <w:cantSplit/>
        </w:trPr>
        <w:tc>
          <w:tcPr>
            <w:tcW w:w="6911" w:type="dxa"/>
          </w:tcPr>
          <w:p w14:paraId="615B34EC" w14:textId="77777777" w:rsidR="00D72AD6" w:rsidRDefault="00685224">
            <w:pPr>
              <w:spacing w:before="360" w:after="48"/>
              <w:rPr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030A1D60" w14:textId="77777777" w:rsidR="00D72AD6" w:rsidRDefault="00685224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BABFA4B" wp14:editId="2FADDDFF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AD6" w14:paraId="53139F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66A7AB" w14:textId="77777777" w:rsidR="00D72AD6" w:rsidRDefault="00D72AD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83B3957" w14:textId="77777777" w:rsidR="00D72AD6" w:rsidRDefault="00D72AD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72AD6" w14:paraId="0C6D9A1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2EB9228" w14:textId="77777777" w:rsidR="00D72AD6" w:rsidRDefault="00D72AD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52C573" w14:textId="77777777" w:rsidR="00D72AD6" w:rsidRDefault="00D72AD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72AD6" w14:paraId="53EE9AD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3BDC2AA" w14:textId="738C8D69" w:rsidR="00D72AD6" w:rsidRDefault="00685224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议项</w:t>
            </w:r>
            <w:r>
              <w:rPr>
                <w:b/>
                <w:szCs w:val="24"/>
                <w:lang w:eastAsia="zh-CN"/>
              </w:rPr>
              <w:t>：</w:t>
            </w:r>
            <w:r w:rsidR="00D2574E" w:rsidRPr="00D2574E">
              <w:rPr>
                <w:b/>
              </w:rPr>
              <w:t>PL 1.7</w:t>
            </w:r>
          </w:p>
        </w:tc>
        <w:tc>
          <w:tcPr>
            <w:tcW w:w="3120" w:type="dxa"/>
          </w:tcPr>
          <w:p w14:paraId="01E1F131" w14:textId="22AA3B20" w:rsidR="00D72AD6" w:rsidRDefault="0068522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C22/</w:t>
            </w:r>
            <w:r w:rsidR="003D7FBD" w:rsidRPr="003D7FBD">
              <w:rPr>
                <w:b/>
                <w:bCs/>
                <w:szCs w:val="24"/>
                <w:lang w:eastAsia="zh-CN"/>
              </w:rPr>
              <w:t>75</w:t>
            </w:r>
            <w:r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D72AD6" w14:paraId="2AE7CC2E" w14:textId="77777777">
        <w:trPr>
          <w:cantSplit/>
          <w:trHeight w:val="23"/>
        </w:trPr>
        <w:tc>
          <w:tcPr>
            <w:tcW w:w="6911" w:type="dxa"/>
            <w:vMerge/>
          </w:tcPr>
          <w:p w14:paraId="03B66913" w14:textId="77777777" w:rsidR="00D72AD6" w:rsidRDefault="00D72AD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7E9AEE9" w14:textId="03A9FC90" w:rsidR="00D72AD6" w:rsidRDefault="0068522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D7FBD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D7FB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D72AD6" w14:paraId="366062B7" w14:textId="77777777">
        <w:trPr>
          <w:cantSplit/>
          <w:trHeight w:val="23"/>
        </w:trPr>
        <w:tc>
          <w:tcPr>
            <w:tcW w:w="6911" w:type="dxa"/>
            <w:vMerge/>
          </w:tcPr>
          <w:p w14:paraId="1990C8A5" w14:textId="77777777" w:rsidR="00D72AD6" w:rsidRDefault="00D72AD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26E23CD" w14:textId="77777777" w:rsidR="00D72AD6" w:rsidRDefault="00685224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72AD6" w14:paraId="677C659E" w14:textId="77777777">
        <w:trPr>
          <w:cantSplit/>
        </w:trPr>
        <w:tc>
          <w:tcPr>
            <w:tcW w:w="10031" w:type="dxa"/>
          </w:tcPr>
          <w:p w14:paraId="2AB7C7E5" w14:textId="61493926" w:rsidR="00D72AD6" w:rsidRDefault="003D7FBD" w:rsidP="00D2574E">
            <w:pPr>
              <w:pStyle w:val="Source"/>
              <w:spacing w:before="840"/>
              <w:rPr>
                <w:lang w:eastAsia="zh-CN"/>
              </w:rPr>
            </w:pPr>
            <w:r w:rsidRPr="003D7FBD">
              <w:rPr>
                <w:rFonts w:ascii="Times New Roman Bold" w:hAnsi="Times New Roman Bold" w:hint="eastAsia"/>
                <w:lang w:eastAsia="zh-CN"/>
              </w:rPr>
              <w:t>美利坚合众国和加拿大的文稿</w:t>
            </w:r>
          </w:p>
        </w:tc>
      </w:tr>
      <w:tr w:rsidR="00D72AD6" w14:paraId="5B6C8B19" w14:textId="77777777">
        <w:trPr>
          <w:cantSplit/>
        </w:trPr>
        <w:tc>
          <w:tcPr>
            <w:tcW w:w="10031" w:type="dxa"/>
          </w:tcPr>
          <w:p w14:paraId="2A535EE7" w14:textId="45AD06DF" w:rsidR="00D72AD6" w:rsidRDefault="003D7FBD">
            <w:pPr>
              <w:pStyle w:val="Title1"/>
              <w:rPr>
                <w:bCs/>
                <w:lang w:eastAsia="zh-CN"/>
              </w:rPr>
            </w:pPr>
            <w:bookmarkStart w:id="3" w:name="_Hlk93941498"/>
            <w:r w:rsidRPr="003D7FBD">
              <w:rPr>
                <w:rFonts w:hint="eastAsia"/>
                <w:bCs/>
                <w:lang w:eastAsia="zh-CN"/>
              </w:rPr>
              <w:t>支持《国际电信</w:t>
            </w:r>
            <w:r w:rsidRPr="003D7FBD">
              <w:rPr>
                <w:rFonts w:hint="eastAsia"/>
                <w:bCs/>
                <w:lang w:val="en-US" w:eastAsia="zh-CN"/>
              </w:rPr>
              <w:t>规则》</w:t>
            </w:r>
            <w:r w:rsidRPr="003D7FBD">
              <w:rPr>
                <w:rFonts w:hint="eastAsia"/>
                <w:bCs/>
                <w:lang w:eastAsia="zh-CN"/>
              </w:rPr>
              <w:t>专家组（</w:t>
            </w:r>
            <w:r w:rsidRPr="003D7FBD">
              <w:rPr>
                <w:bCs/>
                <w:lang w:eastAsia="zh-CN"/>
              </w:rPr>
              <w:t>EG-ITRS</w:t>
            </w:r>
            <w:r w:rsidRPr="003D7FBD">
              <w:rPr>
                <w:rFonts w:hint="eastAsia"/>
                <w:bCs/>
                <w:lang w:eastAsia="zh-CN"/>
              </w:rPr>
              <w:t>）提交国际电联理事会</w:t>
            </w:r>
            <w:r w:rsidRPr="003D7FBD">
              <w:rPr>
                <w:bCs/>
                <w:lang w:eastAsia="zh-CN"/>
              </w:rPr>
              <w:t>2022</w:t>
            </w:r>
            <w:r w:rsidRPr="003D7FBD">
              <w:rPr>
                <w:rFonts w:hint="eastAsia"/>
                <w:bCs/>
                <w:lang w:eastAsia="zh-CN"/>
              </w:rPr>
              <w:t>年</w:t>
            </w:r>
            <w:r w:rsidRPr="003D7FBD">
              <w:rPr>
                <w:rFonts w:hint="eastAsia"/>
                <w:bCs/>
                <w:lang w:val="en-US" w:eastAsia="zh-CN"/>
              </w:rPr>
              <w:t>会议的</w:t>
            </w:r>
            <w:r w:rsidRPr="003D7FBD">
              <w:rPr>
                <w:rFonts w:hint="eastAsia"/>
                <w:bCs/>
                <w:lang w:eastAsia="zh-CN"/>
              </w:rPr>
              <w:t>最后报告</w:t>
            </w:r>
            <w:bookmarkEnd w:id="3"/>
          </w:p>
        </w:tc>
      </w:tr>
    </w:tbl>
    <w:p w14:paraId="09D5A56C" w14:textId="34627DC5" w:rsidR="00D72AD6" w:rsidRDefault="00D72AD6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D72AD6" w:rsidRPr="003D7FBD" w14:paraId="25688E6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FB330" w14:textId="77777777" w:rsidR="003D7FBD" w:rsidRPr="003D7FBD" w:rsidRDefault="003D7FBD" w:rsidP="003D7FB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b/>
                <w:lang w:eastAsia="zh-CN"/>
              </w:rPr>
            </w:pPr>
            <w:r w:rsidRPr="003D7FBD">
              <w:rPr>
                <w:rFonts w:hint="eastAsia"/>
                <w:b/>
                <w:lang w:eastAsia="zh-CN"/>
              </w:rPr>
              <w:t>概要</w:t>
            </w:r>
          </w:p>
          <w:p w14:paraId="5C3A1559" w14:textId="77777777" w:rsidR="003D7FBD" w:rsidRPr="003D7FBD" w:rsidRDefault="003D7FBD" w:rsidP="003D7F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lang w:eastAsia="zh-CN"/>
              </w:rPr>
            </w:pPr>
            <w:r w:rsidRPr="003D7FBD">
              <w:rPr>
                <w:rFonts w:hint="eastAsia"/>
                <w:lang w:eastAsia="zh-CN"/>
              </w:rPr>
              <w:t>美国和加拿大支持《国际电信</w:t>
            </w:r>
            <w:r w:rsidRPr="003D7FBD">
              <w:rPr>
                <w:rFonts w:hint="eastAsia"/>
                <w:lang w:val="en-US" w:eastAsia="zh-CN"/>
              </w:rPr>
              <w:t>规则》</w:t>
            </w:r>
            <w:r w:rsidRPr="003D7FBD">
              <w:rPr>
                <w:rFonts w:hint="eastAsia"/>
                <w:lang w:eastAsia="zh-CN"/>
              </w:rPr>
              <w:t>专家组（</w:t>
            </w:r>
            <w:r w:rsidRPr="003D7FBD">
              <w:rPr>
                <w:lang w:eastAsia="zh-CN"/>
              </w:rPr>
              <w:t>EG-ITR</w:t>
            </w:r>
            <w:r w:rsidRPr="003D7FBD">
              <w:rPr>
                <w:rFonts w:hint="eastAsia"/>
                <w:lang w:eastAsia="zh-CN"/>
              </w:rPr>
              <w:t>s</w:t>
            </w:r>
            <w:r w:rsidRPr="003D7FBD">
              <w:rPr>
                <w:rFonts w:hint="eastAsia"/>
                <w:lang w:eastAsia="zh-CN"/>
              </w:rPr>
              <w:t>）提交国际电联理事会</w:t>
            </w:r>
            <w:r w:rsidRPr="003D7FBD">
              <w:rPr>
                <w:lang w:eastAsia="zh-CN"/>
              </w:rPr>
              <w:t>2022</w:t>
            </w:r>
            <w:r w:rsidRPr="003D7FBD">
              <w:rPr>
                <w:rFonts w:hint="eastAsia"/>
                <w:lang w:eastAsia="zh-CN"/>
              </w:rPr>
              <w:t>年</w:t>
            </w:r>
            <w:r w:rsidRPr="003D7FBD">
              <w:rPr>
                <w:rFonts w:hint="eastAsia"/>
                <w:lang w:val="en-US" w:eastAsia="zh-CN"/>
              </w:rPr>
              <w:t>会议的</w:t>
            </w:r>
            <w:r w:rsidRPr="003D7FBD">
              <w:rPr>
                <w:rFonts w:hint="eastAsia"/>
                <w:lang w:eastAsia="zh-CN"/>
              </w:rPr>
              <w:t>最后报告。</w:t>
            </w:r>
          </w:p>
          <w:p w14:paraId="3B51DA2A" w14:textId="77777777" w:rsidR="003D7FBD" w:rsidRPr="003D7FBD" w:rsidRDefault="003D7FBD" w:rsidP="003D7FB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b/>
                <w:lang w:eastAsia="zh-CN"/>
              </w:rPr>
            </w:pPr>
            <w:r w:rsidRPr="003D7FBD">
              <w:rPr>
                <w:rFonts w:hint="eastAsia"/>
                <w:b/>
                <w:lang w:eastAsia="zh-CN"/>
              </w:rPr>
              <w:t>需采取的行动</w:t>
            </w:r>
          </w:p>
          <w:p w14:paraId="4E2B4723" w14:textId="77777777" w:rsidR="003D7FBD" w:rsidRPr="003D7FBD" w:rsidRDefault="003D7FBD" w:rsidP="003D7F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lang w:eastAsia="zh-CN"/>
              </w:rPr>
            </w:pPr>
            <w:r w:rsidRPr="003D7FBD">
              <w:rPr>
                <w:rFonts w:hint="eastAsia"/>
                <w:lang w:eastAsia="zh-CN"/>
              </w:rPr>
              <w:t>请理事会在审议</w:t>
            </w:r>
            <w:proofErr w:type="gramStart"/>
            <w:r w:rsidRPr="003D7FBD">
              <w:rPr>
                <w:rFonts w:hint="eastAsia"/>
                <w:lang w:eastAsia="zh-CN"/>
              </w:rPr>
              <w:t>议</w:t>
            </w:r>
            <w:proofErr w:type="gramEnd"/>
            <w:r w:rsidRPr="003D7FBD">
              <w:rPr>
                <w:rFonts w:hint="eastAsia"/>
                <w:lang w:eastAsia="zh-CN"/>
              </w:rPr>
              <w:t>项</w:t>
            </w:r>
            <w:r w:rsidRPr="003D7FBD">
              <w:rPr>
                <w:rFonts w:hint="eastAsia"/>
                <w:lang w:eastAsia="zh-CN"/>
              </w:rPr>
              <w:t>PL 1.7</w:t>
            </w:r>
            <w:r w:rsidRPr="003D7FBD">
              <w:rPr>
                <w:rFonts w:hint="eastAsia"/>
                <w:lang w:eastAsia="zh-CN"/>
              </w:rPr>
              <w:t>时</w:t>
            </w:r>
            <w:r w:rsidRPr="003D7FBD">
              <w:rPr>
                <w:rFonts w:hint="eastAsia"/>
                <w:b/>
                <w:bCs/>
                <w:lang w:eastAsia="zh-CN"/>
              </w:rPr>
              <w:t>考虑</w:t>
            </w:r>
            <w:r w:rsidRPr="003D7FBD">
              <w:rPr>
                <w:rFonts w:hint="eastAsia"/>
                <w:lang w:eastAsia="zh-CN"/>
              </w:rPr>
              <w:t>在此表达的意见。</w:t>
            </w:r>
          </w:p>
          <w:p w14:paraId="6D54E74C" w14:textId="77777777" w:rsidR="003D7FBD" w:rsidRPr="003D7FBD" w:rsidRDefault="003D7FBD" w:rsidP="003D7FBD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sz w:val="22"/>
                <w:lang w:eastAsia="zh-CN"/>
              </w:rPr>
            </w:pPr>
            <w:r w:rsidRPr="003D7FBD">
              <w:rPr>
                <w:sz w:val="22"/>
                <w:lang w:eastAsia="zh-CN"/>
              </w:rPr>
              <w:t>____________</w:t>
            </w:r>
          </w:p>
          <w:p w14:paraId="6D3A49CA" w14:textId="77777777" w:rsidR="003D7FBD" w:rsidRPr="003D7FBD" w:rsidRDefault="003D7FBD" w:rsidP="003D7FB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b/>
                <w:lang w:eastAsia="zh-CN"/>
              </w:rPr>
            </w:pPr>
            <w:r w:rsidRPr="003D7FBD">
              <w:rPr>
                <w:rFonts w:hint="eastAsia"/>
                <w:b/>
                <w:lang w:eastAsia="zh-CN"/>
              </w:rPr>
              <w:t>参考文件</w:t>
            </w:r>
          </w:p>
          <w:p w14:paraId="2E2D92E1" w14:textId="456EE9B3" w:rsidR="00D72AD6" w:rsidRPr="003D7FBD" w:rsidRDefault="0087161D" w:rsidP="003D7F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="STKaiti" w:eastAsia="STKaiti" w:hAnsi="STKaiti"/>
                <w:caps/>
                <w:sz w:val="24"/>
                <w:szCs w:val="24"/>
                <w:lang w:eastAsia="zh-CN"/>
              </w:rPr>
            </w:pPr>
            <w:hyperlink r:id="rId10" w:history="1">
              <w:r w:rsidR="003D7FBD" w:rsidRPr="003D7FBD">
                <w:rPr>
                  <w:rStyle w:val="Hyperlink"/>
                  <w:rFonts w:eastAsia="STKaiti"/>
                  <w:lang w:eastAsia="zh-CN"/>
                </w:rPr>
                <w:t>C22/26</w:t>
              </w:r>
              <w:r w:rsidR="003D7FBD" w:rsidRPr="003D7FBD">
                <w:rPr>
                  <w:rStyle w:val="Hyperlink"/>
                  <w:rFonts w:ascii="STKaiti" w:eastAsia="STKaiti" w:hAnsi="STKaiti" w:hint="eastAsia"/>
                  <w:lang w:eastAsia="zh-CN"/>
                </w:rPr>
                <w:t>号文件</w:t>
              </w:r>
            </w:hyperlink>
            <w:proofErr w:type="gramStart"/>
            <w:r w:rsidR="003D7FBD" w:rsidRPr="003D7FBD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（“</w:t>
            </w:r>
            <w:proofErr w:type="gramEnd"/>
            <w:r w:rsidR="003D7FBD" w:rsidRPr="003D7FBD">
              <w:rPr>
                <w:rFonts w:ascii="STKaiti" w:eastAsia="STKaiti" w:hAnsi="STKaiti" w:hint="eastAsia"/>
                <w:sz w:val="24"/>
                <w:lang w:eastAsia="zh-CN"/>
              </w:rPr>
              <w:t>《国际电信</w:t>
            </w:r>
            <w:r w:rsidR="003D7FBD" w:rsidRPr="003D7FBD">
              <w:rPr>
                <w:rFonts w:ascii="STKaiti" w:eastAsia="STKaiti" w:hAnsi="STKaiti" w:hint="eastAsia"/>
                <w:sz w:val="24"/>
                <w:lang w:val="en-US" w:eastAsia="zh-CN"/>
              </w:rPr>
              <w:t>规则》</w:t>
            </w:r>
            <w:r w:rsidR="003D7FBD">
              <w:rPr>
                <w:rFonts w:ascii="STKaiti" w:eastAsia="STKaiti" w:hAnsi="STKaiti" w:hint="eastAsia"/>
                <w:sz w:val="24"/>
                <w:lang w:eastAsia="zh-CN"/>
              </w:rPr>
              <w:t>专家组</w:t>
            </w:r>
            <w:r w:rsidR="003D7FBD" w:rsidRPr="003D7FBD">
              <w:rPr>
                <w:rFonts w:hint="eastAsia"/>
                <w:lang w:eastAsia="zh-CN"/>
              </w:rPr>
              <w:t>（</w:t>
            </w:r>
            <w:r w:rsidR="003D7FBD" w:rsidRPr="0087161D">
              <w:rPr>
                <w:rFonts w:asciiTheme="minorHAnsi" w:eastAsia="STKaiti" w:hAnsiTheme="minorHAnsi" w:cstheme="minorHAnsi"/>
                <w:sz w:val="24"/>
                <w:lang w:eastAsia="zh-CN"/>
              </w:rPr>
              <w:t>EG-ITRS</w:t>
            </w:r>
            <w:r w:rsidR="003D7FBD" w:rsidRPr="003D7FBD">
              <w:rPr>
                <w:rFonts w:hint="eastAsia"/>
                <w:lang w:eastAsia="zh-CN"/>
              </w:rPr>
              <w:t>）</w:t>
            </w:r>
            <w:r w:rsidR="003D7FBD" w:rsidRPr="003D7FBD">
              <w:rPr>
                <w:rFonts w:ascii="STKaiti" w:eastAsia="STKaiti" w:hAnsi="STKaiti" w:hint="eastAsia"/>
                <w:sz w:val="24"/>
                <w:lang w:eastAsia="zh-CN"/>
              </w:rPr>
              <w:t>提交国际电联理事会</w:t>
            </w:r>
            <w:r w:rsidR="003D7FBD" w:rsidRPr="003D7FBD">
              <w:rPr>
                <w:rFonts w:ascii="STKaiti" w:eastAsia="STKaiti" w:hAnsi="STKaiti"/>
                <w:sz w:val="24"/>
                <w:lang w:eastAsia="zh-CN"/>
              </w:rPr>
              <w:t>2022</w:t>
            </w:r>
            <w:r w:rsidR="003D7FBD" w:rsidRPr="003D7FBD">
              <w:rPr>
                <w:rFonts w:ascii="STKaiti" w:eastAsia="STKaiti" w:hAnsi="STKaiti" w:hint="eastAsia"/>
                <w:sz w:val="24"/>
                <w:lang w:eastAsia="zh-CN"/>
              </w:rPr>
              <w:t>年</w:t>
            </w:r>
            <w:r w:rsidR="003D7FBD" w:rsidRPr="003D7FBD">
              <w:rPr>
                <w:rFonts w:ascii="STKaiti" w:eastAsia="STKaiti" w:hAnsi="STKaiti" w:hint="eastAsia"/>
                <w:sz w:val="24"/>
                <w:lang w:val="en-US" w:eastAsia="zh-CN"/>
              </w:rPr>
              <w:t>会议的</w:t>
            </w:r>
            <w:r w:rsidR="003D7FBD" w:rsidRPr="003D7FBD">
              <w:rPr>
                <w:rFonts w:ascii="STKaiti" w:eastAsia="STKaiti" w:hAnsi="STKaiti" w:hint="eastAsia"/>
                <w:sz w:val="24"/>
                <w:lang w:eastAsia="zh-CN"/>
              </w:rPr>
              <w:t>最后报告”</w:t>
            </w:r>
            <w:r w:rsidR="003D7FBD" w:rsidRPr="003D7FBD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7ED246A6" w14:textId="77777777" w:rsid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rPr>
          <w:rFonts w:eastAsiaTheme="minorEastAsia"/>
          <w:szCs w:val="24"/>
          <w:lang w:eastAsia="zh-CN"/>
        </w:rPr>
      </w:pPr>
    </w:p>
    <w:p w14:paraId="36EE38C1" w14:textId="2A6EFC50" w:rsidR="003D7FBD" w:rsidRP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firstLineChars="200" w:firstLine="480"/>
        <w:rPr>
          <w:szCs w:val="24"/>
          <w:lang w:eastAsia="zh-CN"/>
        </w:rPr>
      </w:pPr>
      <w:r w:rsidRPr="003D7FBD">
        <w:rPr>
          <w:rFonts w:hint="eastAsia"/>
          <w:szCs w:val="24"/>
          <w:lang w:eastAsia="zh-CN"/>
        </w:rPr>
        <w:t>美国和加拿大希望表示支持载于</w:t>
      </w:r>
      <w:r w:rsidRPr="003D7FBD">
        <w:rPr>
          <w:rFonts w:hint="eastAsia"/>
          <w:szCs w:val="24"/>
          <w:lang w:eastAsia="zh-CN"/>
        </w:rPr>
        <w:t>C22/26</w:t>
      </w:r>
      <w:r w:rsidRPr="003D7FBD">
        <w:rPr>
          <w:rFonts w:hint="eastAsia"/>
          <w:szCs w:val="24"/>
          <w:lang w:eastAsia="zh-CN"/>
        </w:rPr>
        <w:t>号文件中的</w:t>
      </w:r>
      <w:r w:rsidRPr="003D7FBD">
        <w:rPr>
          <w:rFonts w:hint="eastAsia"/>
          <w:lang w:eastAsia="zh-CN"/>
        </w:rPr>
        <w:t>《国际电信</w:t>
      </w:r>
      <w:r w:rsidRPr="003D7FBD">
        <w:rPr>
          <w:rFonts w:hint="eastAsia"/>
          <w:lang w:val="en-US" w:eastAsia="zh-CN"/>
        </w:rPr>
        <w:t>规则》</w:t>
      </w:r>
      <w:r w:rsidRPr="003D7FBD">
        <w:rPr>
          <w:rFonts w:hint="eastAsia"/>
          <w:lang w:eastAsia="zh-CN"/>
        </w:rPr>
        <w:t>专家组（</w:t>
      </w:r>
      <w:r w:rsidRPr="003D7FBD">
        <w:rPr>
          <w:lang w:eastAsia="zh-CN"/>
        </w:rPr>
        <w:t>EG-ITR</w:t>
      </w:r>
      <w:r w:rsidRPr="003D7FBD">
        <w:rPr>
          <w:rFonts w:hint="eastAsia"/>
          <w:lang w:eastAsia="zh-CN"/>
        </w:rPr>
        <w:t>s</w:t>
      </w:r>
      <w:r w:rsidRPr="003D7FBD">
        <w:rPr>
          <w:rFonts w:hint="eastAsia"/>
          <w:lang w:eastAsia="zh-CN"/>
        </w:rPr>
        <w:t>）提交国际电联理事会</w:t>
      </w:r>
      <w:r w:rsidRPr="003D7FBD">
        <w:rPr>
          <w:lang w:eastAsia="zh-CN"/>
        </w:rPr>
        <w:t>2022</w:t>
      </w:r>
      <w:r w:rsidRPr="003D7FBD">
        <w:rPr>
          <w:rFonts w:hint="eastAsia"/>
          <w:lang w:eastAsia="zh-CN"/>
        </w:rPr>
        <w:t>年</w:t>
      </w:r>
      <w:r w:rsidRPr="003D7FBD">
        <w:rPr>
          <w:rFonts w:hint="eastAsia"/>
          <w:lang w:val="en-US" w:eastAsia="zh-CN"/>
        </w:rPr>
        <w:t>会议的</w:t>
      </w:r>
      <w:r w:rsidRPr="003D7FBD">
        <w:rPr>
          <w:rFonts w:hint="eastAsia"/>
          <w:lang w:eastAsia="zh-CN"/>
        </w:rPr>
        <w:t>最后报告</w:t>
      </w:r>
      <w:r w:rsidRPr="003D7FBD">
        <w:rPr>
          <w:rFonts w:hint="eastAsia"/>
          <w:szCs w:val="24"/>
          <w:lang w:eastAsia="zh-CN"/>
        </w:rPr>
        <w:t>。我们赞扬</w:t>
      </w:r>
      <w:r w:rsidRPr="003D7FBD">
        <w:rPr>
          <w:rFonts w:hint="eastAsia"/>
          <w:lang w:eastAsia="zh-CN"/>
        </w:rPr>
        <w:t>《国际电信</w:t>
      </w:r>
      <w:r w:rsidRPr="003D7FBD">
        <w:rPr>
          <w:rFonts w:hint="eastAsia"/>
          <w:lang w:val="en-US" w:eastAsia="zh-CN"/>
        </w:rPr>
        <w:t>规则》</w:t>
      </w:r>
      <w:r w:rsidRPr="003D7FBD">
        <w:rPr>
          <w:rFonts w:hint="eastAsia"/>
          <w:lang w:eastAsia="zh-CN"/>
        </w:rPr>
        <w:t>专家组</w:t>
      </w:r>
      <w:r w:rsidRPr="003D7FBD">
        <w:rPr>
          <w:rFonts w:hint="eastAsia"/>
          <w:szCs w:val="24"/>
          <w:lang w:eastAsia="zh-CN"/>
        </w:rPr>
        <w:t>根据其职责范围成功地履行了职权。</w:t>
      </w:r>
    </w:p>
    <w:p w14:paraId="6C040A52" w14:textId="77777777" w:rsidR="003D7FBD" w:rsidRP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firstLineChars="200" w:firstLine="480"/>
        <w:rPr>
          <w:lang w:eastAsia="zh-CN"/>
        </w:rPr>
      </w:pPr>
      <w:r w:rsidRPr="003D7FBD">
        <w:rPr>
          <w:rFonts w:hint="eastAsia"/>
          <w:szCs w:val="24"/>
          <w:lang w:eastAsia="zh-CN"/>
        </w:rPr>
        <w:t>我们积极参加了</w:t>
      </w:r>
      <w:r w:rsidRPr="003D7FBD">
        <w:rPr>
          <w:rFonts w:hint="eastAsia"/>
          <w:lang w:eastAsia="zh-CN"/>
        </w:rPr>
        <w:t>《国际电信</w:t>
      </w:r>
      <w:r w:rsidRPr="003D7FBD">
        <w:rPr>
          <w:rFonts w:hint="eastAsia"/>
          <w:lang w:val="en-US" w:eastAsia="zh-CN"/>
        </w:rPr>
        <w:t>规则》</w:t>
      </w:r>
      <w:r w:rsidRPr="003D7FBD">
        <w:rPr>
          <w:rFonts w:hint="eastAsia"/>
          <w:lang w:eastAsia="zh-CN"/>
        </w:rPr>
        <w:t>专家组</w:t>
      </w:r>
      <w:r w:rsidRPr="003D7FBD">
        <w:rPr>
          <w:rFonts w:hint="eastAsia"/>
          <w:szCs w:val="24"/>
          <w:lang w:eastAsia="zh-CN"/>
        </w:rPr>
        <w:t>的所有六次会议，发现报告充分反映了收到的所有文稿和表达的各种意见。我们赞赏报告准确地得出结论，即关于在</w:t>
      </w:r>
      <w:r w:rsidRPr="003D7FBD">
        <w:rPr>
          <w:rFonts w:hint="eastAsia"/>
          <w:lang w:eastAsia="zh-CN"/>
        </w:rPr>
        <w:t>《国际电信</w:t>
      </w:r>
      <w:r w:rsidRPr="003D7FBD">
        <w:rPr>
          <w:rFonts w:hint="eastAsia"/>
          <w:lang w:val="en-US" w:eastAsia="zh-CN"/>
        </w:rPr>
        <w:t>规则》</w:t>
      </w:r>
      <w:r w:rsidRPr="003D7FBD">
        <w:rPr>
          <w:rFonts w:hint="eastAsia"/>
          <w:szCs w:val="24"/>
          <w:lang w:eastAsia="zh-CN"/>
        </w:rPr>
        <w:t>的前进道路问题上缺乏共识。</w:t>
      </w:r>
    </w:p>
    <w:p w14:paraId="720CE432" w14:textId="77777777" w:rsidR="003D7FBD" w:rsidRP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firstLineChars="200" w:firstLine="480"/>
        <w:rPr>
          <w:szCs w:val="24"/>
          <w:lang w:eastAsia="zh-CN"/>
        </w:rPr>
      </w:pPr>
      <w:r w:rsidRPr="003D7FBD">
        <w:rPr>
          <w:rFonts w:hint="eastAsia"/>
          <w:szCs w:val="24"/>
          <w:lang w:eastAsia="zh-CN"/>
        </w:rPr>
        <w:t>我们注意到，“</w:t>
      </w:r>
      <w:r w:rsidRPr="003D7FBD">
        <w:rPr>
          <w:szCs w:val="24"/>
          <w:lang w:eastAsia="zh-CN"/>
        </w:rPr>
        <w:t>请理事会</w:t>
      </w:r>
      <w:r w:rsidRPr="003D7FBD">
        <w:rPr>
          <w:b/>
          <w:bCs/>
          <w:szCs w:val="24"/>
          <w:lang w:eastAsia="zh-CN"/>
        </w:rPr>
        <w:t>审议</w:t>
      </w:r>
      <w:r w:rsidRPr="003D7FBD">
        <w:rPr>
          <w:szCs w:val="24"/>
          <w:lang w:eastAsia="zh-CN"/>
        </w:rPr>
        <w:t>《国际电信规则》专家组的最后报告并随同理事会意见一并</w:t>
      </w:r>
      <w:r w:rsidRPr="003D7FBD">
        <w:rPr>
          <w:b/>
          <w:bCs/>
          <w:szCs w:val="24"/>
          <w:lang w:eastAsia="zh-CN"/>
        </w:rPr>
        <w:t>提交</w:t>
      </w:r>
      <w:r w:rsidRPr="003D7FBD">
        <w:rPr>
          <w:szCs w:val="24"/>
          <w:lang w:eastAsia="zh-CN"/>
        </w:rPr>
        <w:t>2022</w:t>
      </w:r>
      <w:r w:rsidRPr="003D7FBD">
        <w:rPr>
          <w:szCs w:val="24"/>
          <w:lang w:eastAsia="zh-CN"/>
        </w:rPr>
        <w:t>年全权代表大会</w:t>
      </w:r>
      <w:r w:rsidRPr="003D7FBD">
        <w:rPr>
          <w:rFonts w:hint="eastAsia"/>
          <w:szCs w:val="24"/>
          <w:lang w:eastAsia="zh-CN"/>
        </w:rPr>
        <w:t>”。根据需采取的行动，理事会关于报告的意见（如有的话）</w:t>
      </w:r>
      <w:proofErr w:type="gramStart"/>
      <w:r w:rsidRPr="003D7FBD">
        <w:rPr>
          <w:rFonts w:hint="eastAsia"/>
          <w:szCs w:val="24"/>
          <w:lang w:eastAsia="zh-CN"/>
        </w:rPr>
        <w:t>不</w:t>
      </w:r>
      <w:proofErr w:type="gramEnd"/>
      <w:r w:rsidRPr="003D7FBD">
        <w:rPr>
          <w:rFonts w:hint="eastAsia"/>
          <w:szCs w:val="24"/>
          <w:lang w:eastAsia="zh-CN"/>
        </w:rPr>
        <w:t>应</w:t>
      </w:r>
      <w:r w:rsidRPr="003D7FBD">
        <w:rPr>
          <w:szCs w:val="24"/>
          <w:lang w:eastAsia="zh-CN"/>
        </w:rPr>
        <w:t>接受任何新的提议，亦不应试图得出《国际电信规则》专家组</w:t>
      </w:r>
      <w:r w:rsidRPr="003D7FBD">
        <w:rPr>
          <w:rFonts w:hint="eastAsia"/>
          <w:szCs w:val="24"/>
          <w:lang w:eastAsia="zh-CN"/>
        </w:rPr>
        <w:t>内部没有达成共识的结论。</w:t>
      </w:r>
    </w:p>
    <w:p w14:paraId="739B4E78" w14:textId="77777777" w:rsidR="003D7FBD" w:rsidRP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firstLineChars="200" w:firstLine="480"/>
        <w:rPr>
          <w:lang w:eastAsia="zh-CN"/>
        </w:rPr>
      </w:pPr>
      <w:r w:rsidRPr="003D7FBD">
        <w:rPr>
          <w:rFonts w:hint="eastAsia"/>
          <w:szCs w:val="24"/>
          <w:lang w:eastAsia="zh-CN"/>
        </w:rPr>
        <w:t>鉴于报告中反映出对这一议题缺乏共识，我们认为，对这一主题的任何进一步讨论都不太可能产生不同的结果。</w:t>
      </w:r>
    </w:p>
    <w:p w14:paraId="281E389F" w14:textId="77777777" w:rsidR="003D7FBD" w:rsidRPr="003D7FBD" w:rsidRDefault="003D7FBD" w:rsidP="003D7FB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eastAsiaTheme="minorEastAsia" w:cs="Calibri"/>
          <w:szCs w:val="24"/>
        </w:rPr>
      </w:pPr>
      <w:r w:rsidRPr="003D7FBD">
        <w:rPr>
          <w:rFonts w:eastAsiaTheme="minorEastAsia"/>
        </w:rPr>
        <w:t>_________________</w:t>
      </w:r>
    </w:p>
    <w:p w14:paraId="3DDE7E9C" w14:textId="77777777" w:rsidR="00D72AD6" w:rsidRDefault="00D72AD6">
      <w:pPr>
        <w:rPr>
          <w:lang w:eastAsia="zh-CN"/>
        </w:rPr>
      </w:pPr>
    </w:p>
    <w:sectPr w:rsidR="00D72AD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94B0" w14:textId="77777777" w:rsidR="00AD0B30" w:rsidRDefault="00685224">
      <w:pPr>
        <w:spacing w:before="0"/>
      </w:pPr>
      <w:r>
        <w:separator/>
      </w:r>
    </w:p>
  </w:endnote>
  <w:endnote w:type="continuationSeparator" w:id="0">
    <w:p w14:paraId="2092E4F7" w14:textId="77777777" w:rsidR="00AD0B30" w:rsidRDefault="006852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94CD" w14:textId="4FB461EF" w:rsidR="00D72AD6" w:rsidRDefault="00D2574E">
    <w:pPr>
      <w:pStyle w:val="Footer"/>
    </w:pPr>
    <w:fldSimple w:instr=" FILENAME \p  \* MERGEFORMAT ">
      <w:r w:rsidR="00A311D9">
        <w:rPr>
          <w:noProof/>
        </w:rPr>
        <w:t>P:\CHI\SG\CONSEIL\C22\000\004C.docx</w:t>
      </w:r>
    </w:fldSimple>
    <w:r w:rsidR="00685224">
      <w:t xml:space="preserve"> (498191)</w:t>
    </w:r>
    <w:r w:rsidR="00685224">
      <w:tab/>
    </w:r>
    <w:r w:rsidR="00685224">
      <w:fldChar w:fldCharType="begin"/>
    </w:r>
    <w:r w:rsidR="00685224">
      <w:instrText xml:space="preserve"> SAVEDATE \@ DD.MM.YY </w:instrText>
    </w:r>
    <w:r w:rsidR="00685224">
      <w:fldChar w:fldCharType="separate"/>
    </w:r>
    <w:r w:rsidR="0087161D">
      <w:rPr>
        <w:noProof/>
      </w:rPr>
      <w:t>09.03.22</w:t>
    </w:r>
    <w:r w:rsidR="00685224">
      <w:fldChar w:fldCharType="end"/>
    </w:r>
    <w:r w:rsidR="00685224">
      <w:tab/>
    </w:r>
    <w:r w:rsidR="00685224">
      <w:fldChar w:fldCharType="begin"/>
    </w:r>
    <w:r w:rsidR="00685224">
      <w:instrText xml:space="preserve"> PRINTDATE \@ DD.MM.YY </w:instrText>
    </w:r>
    <w:r w:rsidR="00685224">
      <w:fldChar w:fldCharType="separate"/>
    </w:r>
    <w:r w:rsidR="00685224">
      <w:t>24.02.15</w:t>
    </w:r>
    <w:r w:rsidR="0068522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94B3" w14:textId="77777777" w:rsidR="00D72AD6" w:rsidRDefault="00685224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9554" w14:textId="77777777" w:rsidR="00D72AD6" w:rsidRDefault="00685224">
      <w:pPr>
        <w:spacing w:before="0"/>
      </w:pPr>
      <w:r>
        <w:separator/>
      </w:r>
    </w:p>
  </w:footnote>
  <w:footnote w:type="continuationSeparator" w:id="0">
    <w:p w14:paraId="6EDAF10B" w14:textId="77777777" w:rsidR="00D72AD6" w:rsidRDefault="006852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00B1" w14:textId="050AE067" w:rsidR="00D72AD6" w:rsidRDefault="00685224">
    <w:pPr>
      <w:pStyle w:val="Header"/>
    </w:pPr>
    <w:r>
      <w:fldChar w:fldCharType="begin"/>
    </w:r>
    <w:r>
      <w:instrText>PAGE</w:instrText>
    </w:r>
    <w:r>
      <w:fldChar w:fldCharType="separate"/>
    </w:r>
    <w:r w:rsidR="003D7FBD">
      <w:rPr>
        <w:noProof/>
      </w:rPr>
      <w:t>6</w:t>
    </w:r>
    <w:r>
      <w:fldChar w:fldCharType="end"/>
    </w:r>
  </w:p>
  <w:p w14:paraId="23594864" w14:textId="77777777" w:rsidR="00D72AD6" w:rsidRDefault="00685224">
    <w:pPr>
      <w:pStyle w:val="Header"/>
      <w:rPr>
        <w:lang w:eastAsia="zh-CN"/>
      </w:rPr>
    </w:pPr>
    <w:r>
      <w:t>C22/</w:t>
    </w:r>
    <w:r>
      <w:rPr>
        <w:lang w:eastAsia="zh-CN"/>
      </w:rPr>
      <w:t>4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4BC5"/>
    <w:multiLevelType w:val="multilevel"/>
    <w:tmpl w:val="61A54BC5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53"/>
    <w:rsid w:val="00001B77"/>
    <w:rsid w:val="0000517A"/>
    <w:rsid w:val="00031E72"/>
    <w:rsid w:val="000404D2"/>
    <w:rsid w:val="000844E8"/>
    <w:rsid w:val="000853C0"/>
    <w:rsid w:val="0009409E"/>
    <w:rsid w:val="000A1C21"/>
    <w:rsid w:val="000C0BC5"/>
    <w:rsid w:val="000D15EA"/>
    <w:rsid w:val="00100D84"/>
    <w:rsid w:val="00124C9D"/>
    <w:rsid w:val="00127D3E"/>
    <w:rsid w:val="00157773"/>
    <w:rsid w:val="0016415A"/>
    <w:rsid w:val="0018251A"/>
    <w:rsid w:val="00190272"/>
    <w:rsid w:val="00193244"/>
    <w:rsid w:val="00195C6C"/>
    <w:rsid w:val="00195FED"/>
    <w:rsid w:val="001A4BD6"/>
    <w:rsid w:val="001D5A18"/>
    <w:rsid w:val="0023102D"/>
    <w:rsid w:val="00232AED"/>
    <w:rsid w:val="00254FA6"/>
    <w:rsid w:val="00256DD4"/>
    <w:rsid w:val="00276853"/>
    <w:rsid w:val="00280EB8"/>
    <w:rsid w:val="002A6670"/>
    <w:rsid w:val="002D6AA4"/>
    <w:rsid w:val="002F0015"/>
    <w:rsid w:val="00303502"/>
    <w:rsid w:val="00325C25"/>
    <w:rsid w:val="00372C8F"/>
    <w:rsid w:val="00380ECE"/>
    <w:rsid w:val="00393DDF"/>
    <w:rsid w:val="00397F55"/>
    <w:rsid w:val="003B4454"/>
    <w:rsid w:val="003C2E37"/>
    <w:rsid w:val="003D7FBD"/>
    <w:rsid w:val="003E37CA"/>
    <w:rsid w:val="003F1415"/>
    <w:rsid w:val="0040144C"/>
    <w:rsid w:val="00403EB7"/>
    <w:rsid w:val="00422098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2C52"/>
    <w:rsid w:val="00616C9A"/>
    <w:rsid w:val="00621890"/>
    <w:rsid w:val="00654257"/>
    <w:rsid w:val="0065435A"/>
    <w:rsid w:val="00685224"/>
    <w:rsid w:val="006A2DD3"/>
    <w:rsid w:val="006A5AF8"/>
    <w:rsid w:val="006C36CD"/>
    <w:rsid w:val="006F580C"/>
    <w:rsid w:val="00700737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7161D"/>
    <w:rsid w:val="00890AFB"/>
    <w:rsid w:val="00890FC4"/>
    <w:rsid w:val="00895905"/>
    <w:rsid w:val="00911867"/>
    <w:rsid w:val="009164A9"/>
    <w:rsid w:val="009258CB"/>
    <w:rsid w:val="0093362E"/>
    <w:rsid w:val="00944563"/>
    <w:rsid w:val="009466B4"/>
    <w:rsid w:val="00953160"/>
    <w:rsid w:val="009625D8"/>
    <w:rsid w:val="0098459B"/>
    <w:rsid w:val="00991ADF"/>
    <w:rsid w:val="00997185"/>
    <w:rsid w:val="009C2458"/>
    <w:rsid w:val="009C4A7B"/>
    <w:rsid w:val="009C6123"/>
    <w:rsid w:val="009F1E3E"/>
    <w:rsid w:val="00A1213C"/>
    <w:rsid w:val="00A272FF"/>
    <w:rsid w:val="00A311D9"/>
    <w:rsid w:val="00A5354B"/>
    <w:rsid w:val="00A71B57"/>
    <w:rsid w:val="00A97B1D"/>
    <w:rsid w:val="00AB42C1"/>
    <w:rsid w:val="00AC516F"/>
    <w:rsid w:val="00AD0B30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472EF"/>
    <w:rsid w:val="00B60184"/>
    <w:rsid w:val="00B62D20"/>
    <w:rsid w:val="00B739A3"/>
    <w:rsid w:val="00B81E75"/>
    <w:rsid w:val="00BD1A5A"/>
    <w:rsid w:val="00BD7A9B"/>
    <w:rsid w:val="00BD7BE1"/>
    <w:rsid w:val="00BF2E7F"/>
    <w:rsid w:val="00BF416B"/>
    <w:rsid w:val="00C64E4E"/>
    <w:rsid w:val="00C66E64"/>
    <w:rsid w:val="00C761A0"/>
    <w:rsid w:val="00C8443E"/>
    <w:rsid w:val="00C85F7E"/>
    <w:rsid w:val="00C90D53"/>
    <w:rsid w:val="00CD47F0"/>
    <w:rsid w:val="00CD5566"/>
    <w:rsid w:val="00CD64D7"/>
    <w:rsid w:val="00CE1E98"/>
    <w:rsid w:val="00CE6F22"/>
    <w:rsid w:val="00CF3C18"/>
    <w:rsid w:val="00CF41F6"/>
    <w:rsid w:val="00CF7D3E"/>
    <w:rsid w:val="00D02B4E"/>
    <w:rsid w:val="00D21F11"/>
    <w:rsid w:val="00D2574E"/>
    <w:rsid w:val="00D27198"/>
    <w:rsid w:val="00D36817"/>
    <w:rsid w:val="00D453EE"/>
    <w:rsid w:val="00D5666C"/>
    <w:rsid w:val="00D666BC"/>
    <w:rsid w:val="00D72AD6"/>
    <w:rsid w:val="00D83542"/>
    <w:rsid w:val="00D92F45"/>
    <w:rsid w:val="00D94637"/>
    <w:rsid w:val="00D9725C"/>
    <w:rsid w:val="00DA7006"/>
    <w:rsid w:val="00DC6427"/>
    <w:rsid w:val="00DD66A1"/>
    <w:rsid w:val="00DE196D"/>
    <w:rsid w:val="00DE5CA8"/>
    <w:rsid w:val="00DF6B49"/>
    <w:rsid w:val="00E067C5"/>
    <w:rsid w:val="00E20F14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22D28"/>
    <w:rsid w:val="00F357B2"/>
    <w:rsid w:val="00F36556"/>
    <w:rsid w:val="00F705DF"/>
    <w:rsid w:val="00F70622"/>
    <w:rsid w:val="00F85624"/>
    <w:rsid w:val="00F856BF"/>
    <w:rsid w:val="00F87C05"/>
    <w:rsid w:val="00F93191"/>
    <w:rsid w:val="00F93A17"/>
    <w:rsid w:val="00F952F9"/>
    <w:rsid w:val="00FA2AF6"/>
    <w:rsid w:val="00FB073D"/>
    <w:rsid w:val="00FB771F"/>
    <w:rsid w:val="00FC5386"/>
    <w:rsid w:val="02A348B8"/>
    <w:rsid w:val="072C72AE"/>
    <w:rsid w:val="0A1367C1"/>
    <w:rsid w:val="0C456A69"/>
    <w:rsid w:val="0E517F43"/>
    <w:rsid w:val="10255F33"/>
    <w:rsid w:val="15FA78CC"/>
    <w:rsid w:val="1C1D74CA"/>
    <w:rsid w:val="1DAD126E"/>
    <w:rsid w:val="24532FDF"/>
    <w:rsid w:val="255F460B"/>
    <w:rsid w:val="25DE30B9"/>
    <w:rsid w:val="27B92CD9"/>
    <w:rsid w:val="29C92905"/>
    <w:rsid w:val="29EB72DF"/>
    <w:rsid w:val="2DA53551"/>
    <w:rsid w:val="2E555E60"/>
    <w:rsid w:val="38C32E18"/>
    <w:rsid w:val="3B741D14"/>
    <w:rsid w:val="3F604B64"/>
    <w:rsid w:val="41DF73B7"/>
    <w:rsid w:val="42A473B7"/>
    <w:rsid w:val="47437092"/>
    <w:rsid w:val="47B740B3"/>
    <w:rsid w:val="4A823A89"/>
    <w:rsid w:val="4AD03B80"/>
    <w:rsid w:val="4BAD217D"/>
    <w:rsid w:val="4CE70CB0"/>
    <w:rsid w:val="4E9F4D8E"/>
    <w:rsid w:val="50763443"/>
    <w:rsid w:val="55825CC9"/>
    <w:rsid w:val="55B94F90"/>
    <w:rsid w:val="568D594C"/>
    <w:rsid w:val="5B2E24A6"/>
    <w:rsid w:val="5C9B7C30"/>
    <w:rsid w:val="5D1D12DE"/>
    <w:rsid w:val="5EC22B69"/>
    <w:rsid w:val="5FF61A15"/>
    <w:rsid w:val="61034AE8"/>
    <w:rsid w:val="628801AB"/>
    <w:rsid w:val="673F27F5"/>
    <w:rsid w:val="6A483546"/>
    <w:rsid w:val="6B9000C6"/>
    <w:rsid w:val="6CDC5203"/>
    <w:rsid w:val="7A221DB1"/>
    <w:rsid w:val="7BCA7150"/>
    <w:rsid w:val="7C347548"/>
    <w:rsid w:val="7C7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AFF18"/>
  <w15:docId w15:val="{4991A8E8-E60E-4A39-A4CB-6695633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/>
    <w:lsdException w:name="index 5" w:semiHidden="1" w:qFormat="1"/>
    <w:lsdException w:name="index 6" w:semiHidden="1" w:qFormat="1"/>
    <w:lsdException w:name="index 7" w:semiHidden="1" w:qFormat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qFormat="1"/>
    <w:lsdException w:name="footnote text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C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pPr>
      <w:spacing w:before="80"/>
    </w:pPr>
  </w:style>
  <w:style w:type="paragraph" w:styleId="TOC3">
    <w:name w:val="toc 3"/>
    <w:basedOn w:val="TOC2"/>
    <w:next w:val="Normal"/>
    <w:semiHidden/>
  </w:style>
  <w:style w:type="paragraph" w:styleId="TOC2">
    <w:name w:val="toc 2"/>
    <w:basedOn w:val="TOC1"/>
    <w:next w:val="Normal"/>
    <w:semiHidden/>
    <w:qFormat/>
    <w:pPr>
      <w:spacing w:before="160"/>
    </w:pPr>
  </w:style>
  <w:style w:type="paragraph" w:styleId="TOC1">
    <w:name w:val="toc 1"/>
    <w:basedOn w:val="Normal"/>
    <w:next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NormalIndent">
    <w:name w:val="Normal Indent"/>
    <w:basedOn w:val="Normal"/>
    <w:qFormat/>
    <w:pPr>
      <w:ind w:left="794"/>
    </w:pPr>
  </w:style>
  <w:style w:type="paragraph" w:styleId="Index5">
    <w:name w:val="index 5"/>
    <w:basedOn w:val="Normal"/>
    <w:next w:val="Normal"/>
    <w:semiHidden/>
    <w:qFormat/>
    <w:pPr>
      <w:ind w:left="1132"/>
    </w:pPr>
  </w:style>
  <w:style w:type="paragraph" w:styleId="Index6">
    <w:name w:val="index 6"/>
    <w:basedOn w:val="Normal"/>
    <w:next w:val="Normal"/>
    <w:semiHidden/>
    <w:qFormat/>
    <w:pPr>
      <w:ind w:left="1415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TOC5">
    <w:name w:val="toc 5"/>
    <w:basedOn w:val="TOC4"/>
    <w:next w:val="Normal"/>
    <w:semiHidden/>
    <w:qFormat/>
  </w:style>
  <w:style w:type="paragraph" w:styleId="TOC8">
    <w:name w:val="toc 8"/>
    <w:basedOn w:val="TOC4"/>
    <w:next w:val="Normal"/>
    <w:semiHidden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semiHidden/>
    <w:qFormat/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5"/>
      </w:tabs>
      <w:ind w:left="255" w:hanging="255"/>
    </w:pPr>
  </w:style>
  <w:style w:type="paragraph" w:styleId="TOC6">
    <w:name w:val="toc 6"/>
    <w:basedOn w:val="TOC4"/>
    <w:next w:val="Normal"/>
    <w:semiHidden/>
    <w:qFormat/>
  </w:style>
  <w:style w:type="paragraph" w:styleId="BodyTextIndent3">
    <w:name w:val="Body Text Indent 3"/>
    <w:basedOn w:val="Normal"/>
    <w:link w:val="BodyTextIndent3Char"/>
    <w:pPr>
      <w:spacing w:before="0"/>
      <w:ind w:firstLine="601"/>
      <w:textAlignment w:val="auto"/>
    </w:pPr>
    <w:rPr>
      <w:sz w:val="22"/>
      <w:lang w:val="fr-FR" w:eastAsia="zh-CN"/>
    </w:rPr>
  </w:style>
  <w:style w:type="paragraph" w:styleId="Index7">
    <w:name w:val="index 7"/>
    <w:basedOn w:val="Normal"/>
    <w:next w:val="Normal"/>
    <w:semiHidden/>
    <w:qFormat/>
    <w:pPr>
      <w:ind w:left="1698"/>
    </w:pPr>
  </w:style>
  <w:style w:type="paragraph" w:styleId="TOC9">
    <w:name w:val="toc 9"/>
    <w:basedOn w:val="TOC4"/>
    <w:next w:val="Normal"/>
    <w:semiHidden/>
    <w:qFormat/>
  </w:style>
  <w:style w:type="paragraph" w:styleId="NormalWeb">
    <w:name w:val="Normal (Web)"/>
    <w:basedOn w:val="Normal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Index2">
    <w:name w:val="index 2"/>
    <w:basedOn w:val="Normal"/>
    <w:next w:val="Normal"/>
    <w:semiHidden/>
    <w:qFormat/>
    <w:pPr>
      <w:ind w:left="283"/>
    </w:p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qFormat/>
    <w:rPr>
      <w:rFonts w:ascii="Calibri" w:hAnsi="Calibri"/>
      <w:color w:val="800080"/>
      <w:u w:val="single"/>
    </w:rPr>
  </w:style>
  <w:style w:type="character" w:styleId="LineNumber">
    <w:name w:val="line number"/>
    <w:basedOn w:val="DefaultParagraphFont"/>
  </w:style>
  <w:style w:type="character" w:styleId="Hyperlink">
    <w:name w:val="Hyperlink"/>
    <w:basedOn w:val="DefaultParagraphFont"/>
    <w:qFormat/>
    <w:rPr>
      <w:rFonts w:ascii="Calibri" w:hAnsi="Calibri"/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Pr>
      <w:position w:val="6"/>
      <w:sz w:val="18"/>
    </w:rPr>
  </w:style>
  <w:style w:type="paragraph" w:customStyle="1" w:styleId="enumlev1">
    <w:name w:val="enumlev1"/>
    <w:basedOn w:val="Normal"/>
    <w:qFormat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qFormat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Headingb">
    <w:name w:val="Heading_b"/>
    <w:basedOn w:val="Heading3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qFormat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qFormat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rFonts w:ascii="STKaiti" w:hAnsi="STKaiti"/>
      <w:b w:val="0"/>
    </w:rPr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  <w:rPr>
      <w:rFonts w:ascii="Calibri" w:hAnsi="Calibri"/>
    </w:rPr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NormalCH">
    <w:name w:val="NormalCH"/>
    <w:basedOn w:val="Normal"/>
    <w:next w:val="Normal"/>
    <w:qFormat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link w:val="Normalaftertitle"/>
    <w:locked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Calibri" w:hAnsi="Calibri"/>
      <w:caps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Pr>
      <w:rFonts w:ascii="Calibri" w:hAnsi="Calibri"/>
      <w:sz w:val="22"/>
      <w:lang w:val="fr-FR"/>
    </w:rPr>
  </w:style>
  <w:style w:type="character" w:customStyle="1" w:styleId="shorttext">
    <w:name w:val="short_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L-C-0026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2C91D8-D02B-4623-8F76-ACE92D4E2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and Canada - Support for the final report of the Expert Group on the International Telecommunication Regulations</dc:title>
  <dc:subject>Council 2022</dc:subject>
  <dc:creator>Brouard, Ricarda</dc:creator>
  <cp:keywords>C2022, C22, Council-22</cp:keywords>
  <cp:lastModifiedBy>Xue, Kun</cp:lastModifiedBy>
  <cp:revision>2</cp:revision>
  <cp:lastPrinted>2015-02-24T13:23:00Z</cp:lastPrinted>
  <dcterms:created xsi:type="dcterms:W3CDTF">2022-03-11T09:00:00Z</dcterms:created>
  <dcterms:modified xsi:type="dcterms:W3CDTF">2022-03-11T09:00:00Z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KSOProductBuildVer">
    <vt:lpwstr>2052-11.1.0.11365</vt:lpwstr>
  </property>
  <property fmtid="{D5CDD505-2E9C-101B-9397-08002B2CF9AE}" pid="9" name="ICV">
    <vt:lpwstr>71E62C96A4334B7E8845536858AC2A68</vt:lpwstr>
  </property>
</Properties>
</file>