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61"/>
        <w:tblW w:w="10031" w:type="dxa"/>
        <w:tblLayout w:type="fixed"/>
        <w:tblLook w:val="0000" w:firstRow="0" w:lastRow="0" w:firstColumn="0" w:lastColumn="0" w:noHBand="0" w:noVBand="0"/>
      </w:tblPr>
      <w:tblGrid>
        <w:gridCol w:w="6911"/>
        <w:gridCol w:w="3120"/>
      </w:tblGrid>
      <w:tr w:rsidR="00426CF9" w:rsidRPr="00AF2CD4" w14:paraId="295ABB01" w14:textId="77777777" w:rsidTr="00426CF9">
        <w:trPr>
          <w:cantSplit/>
        </w:trPr>
        <w:tc>
          <w:tcPr>
            <w:tcW w:w="6911" w:type="dxa"/>
          </w:tcPr>
          <w:p w14:paraId="4C21AC95" w14:textId="77777777" w:rsidR="00426CF9" w:rsidRPr="00AF2CD4" w:rsidRDefault="00426CF9" w:rsidP="00426CF9">
            <w:pPr>
              <w:spacing w:before="360" w:after="48" w:line="240" w:lineRule="atLeast"/>
              <w:rPr>
                <w:position w:val="6"/>
              </w:rPr>
            </w:pPr>
            <w:bookmarkStart w:id="0" w:name="dc06"/>
            <w:bookmarkStart w:id="1" w:name="_Hlk66378539"/>
            <w:bookmarkStart w:id="2" w:name="_Hlk97890378"/>
            <w:bookmarkEnd w:id="0"/>
            <w:r w:rsidRPr="00AF2CD4">
              <w:rPr>
                <w:b/>
                <w:bCs/>
                <w:position w:val="6"/>
                <w:sz w:val="30"/>
                <w:szCs w:val="30"/>
              </w:rPr>
              <w:t>Council 2022</w:t>
            </w:r>
            <w:r w:rsidRPr="00AF2CD4">
              <w:rPr>
                <w:rFonts w:cs="Times"/>
                <w:b/>
                <w:position w:val="6"/>
                <w:sz w:val="26"/>
                <w:szCs w:val="26"/>
              </w:rPr>
              <w:br/>
            </w:r>
            <w:bookmarkEnd w:id="1"/>
            <w:r w:rsidRPr="00AF2CD4">
              <w:rPr>
                <w:b/>
                <w:bCs/>
                <w:position w:val="6"/>
                <w:sz w:val="26"/>
                <w:szCs w:val="26"/>
              </w:rPr>
              <w:t>Geneva, 21-31 March 2022</w:t>
            </w:r>
          </w:p>
        </w:tc>
        <w:tc>
          <w:tcPr>
            <w:tcW w:w="3120" w:type="dxa"/>
          </w:tcPr>
          <w:p w14:paraId="42E6BFD9" w14:textId="77777777" w:rsidR="00426CF9" w:rsidRPr="00AF2CD4" w:rsidRDefault="00426CF9" w:rsidP="00426CF9">
            <w:pPr>
              <w:spacing w:before="0" w:line="240" w:lineRule="atLeast"/>
            </w:pPr>
            <w:bookmarkStart w:id="3" w:name="ditulogo"/>
            <w:bookmarkEnd w:id="3"/>
            <w:r w:rsidRPr="00AF2CD4">
              <w:rPr>
                <w:noProof/>
                <w:lang w:eastAsia="zh-CN"/>
              </w:rPr>
              <w:drawing>
                <wp:inline distT="0" distB="0" distL="0" distR="0" wp14:anchorId="2D2DF96A" wp14:editId="57C622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26CF9" w:rsidRPr="00AF2CD4" w14:paraId="177D81EB" w14:textId="77777777" w:rsidTr="00426CF9">
        <w:trPr>
          <w:cantSplit/>
        </w:trPr>
        <w:tc>
          <w:tcPr>
            <w:tcW w:w="6911" w:type="dxa"/>
            <w:tcBorders>
              <w:bottom w:val="single" w:sz="12" w:space="0" w:color="auto"/>
            </w:tcBorders>
          </w:tcPr>
          <w:p w14:paraId="18C4E0AB" w14:textId="77777777" w:rsidR="00426CF9" w:rsidRPr="00AF2CD4" w:rsidRDefault="00426CF9" w:rsidP="00426CF9">
            <w:pPr>
              <w:spacing w:before="0"/>
              <w:rPr>
                <w:b/>
                <w:smallCaps/>
                <w:szCs w:val="24"/>
              </w:rPr>
            </w:pPr>
          </w:p>
        </w:tc>
        <w:tc>
          <w:tcPr>
            <w:tcW w:w="3120" w:type="dxa"/>
            <w:tcBorders>
              <w:bottom w:val="single" w:sz="12" w:space="0" w:color="auto"/>
            </w:tcBorders>
          </w:tcPr>
          <w:p w14:paraId="53EBC8A7" w14:textId="77777777" w:rsidR="00426CF9" w:rsidRPr="00AF2CD4" w:rsidRDefault="00426CF9" w:rsidP="00426CF9">
            <w:pPr>
              <w:spacing w:before="0"/>
              <w:rPr>
                <w:szCs w:val="24"/>
              </w:rPr>
            </w:pPr>
          </w:p>
        </w:tc>
      </w:tr>
      <w:tr w:rsidR="00426CF9" w:rsidRPr="00AF2CD4" w14:paraId="5730E44B" w14:textId="77777777" w:rsidTr="00426CF9">
        <w:trPr>
          <w:cantSplit/>
        </w:trPr>
        <w:tc>
          <w:tcPr>
            <w:tcW w:w="6911" w:type="dxa"/>
            <w:tcBorders>
              <w:top w:val="single" w:sz="12" w:space="0" w:color="auto"/>
            </w:tcBorders>
          </w:tcPr>
          <w:p w14:paraId="44EDC047" w14:textId="77777777" w:rsidR="00426CF9" w:rsidRPr="00AF2CD4" w:rsidRDefault="00426CF9" w:rsidP="00426CF9">
            <w:pPr>
              <w:spacing w:before="0"/>
              <w:rPr>
                <w:b/>
                <w:smallCaps/>
                <w:szCs w:val="24"/>
              </w:rPr>
            </w:pPr>
          </w:p>
        </w:tc>
        <w:tc>
          <w:tcPr>
            <w:tcW w:w="3120" w:type="dxa"/>
            <w:tcBorders>
              <w:top w:val="single" w:sz="12" w:space="0" w:color="auto"/>
            </w:tcBorders>
          </w:tcPr>
          <w:p w14:paraId="6FF64E90" w14:textId="77777777" w:rsidR="00426CF9" w:rsidRPr="00AF2CD4" w:rsidRDefault="00426CF9" w:rsidP="00426CF9">
            <w:pPr>
              <w:spacing w:before="0"/>
              <w:rPr>
                <w:szCs w:val="24"/>
              </w:rPr>
            </w:pPr>
          </w:p>
        </w:tc>
      </w:tr>
      <w:tr w:rsidR="00426CF9" w:rsidRPr="00AF2CD4" w14:paraId="2A66EF5A" w14:textId="77777777" w:rsidTr="00426CF9">
        <w:trPr>
          <w:cantSplit/>
          <w:trHeight w:val="23"/>
        </w:trPr>
        <w:tc>
          <w:tcPr>
            <w:tcW w:w="6911" w:type="dxa"/>
            <w:vMerge w:val="restart"/>
          </w:tcPr>
          <w:p w14:paraId="09B3065D" w14:textId="77777777" w:rsidR="00426CF9" w:rsidRPr="00AF2CD4" w:rsidRDefault="00426CF9" w:rsidP="00426CF9">
            <w:pPr>
              <w:tabs>
                <w:tab w:val="left" w:pos="851"/>
              </w:tabs>
              <w:spacing w:before="0"/>
              <w:rPr>
                <w:b/>
              </w:rPr>
            </w:pPr>
            <w:bookmarkStart w:id="4" w:name="dmeeting" w:colFirst="0" w:colLast="0"/>
            <w:bookmarkStart w:id="5" w:name="dnum" w:colFirst="1" w:colLast="1"/>
            <w:r w:rsidRPr="00AF2CD4">
              <w:rPr>
                <w:b/>
              </w:rPr>
              <w:t>Agenda item: PL 1.7</w:t>
            </w:r>
          </w:p>
        </w:tc>
        <w:tc>
          <w:tcPr>
            <w:tcW w:w="3120" w:type="dxa"/>
          </w:tcPr>
          <w:p w14:paraId="3407CD97" w14:textId="77777777" w:rsidR="00426CF9" w:rsidRPr="00AF2CD4" w:rsidRDefault="00426CF9" w:rsidP="00426CF9">
            <w:pPr>
              <w:tabs>
                <w:tab w:val="left" w:pos="851"/>
              </w:tabs>
              <w:spacing w:before="0"/>
              <w:rPr>
                <w:b/>
              </w:rPr>
            </w:pPr>
            <w:r w:rsidRPr="00AF2CD4">
              <w:rPr>
                <w:b/>
              </w:rPr>
              <w:t>Document C22/72-E</w:t>
            </w:r>
          </w:p>
        </w:tc>
      </w:tr>
      <w:tr w:rsidR="00426CF9" w:rsidRPr="00AF2CD4" w14:paraId="0CFEE252" w14:textId="77777777" w:rsidTr="00426CF9">
        <w:trPr>
          <w:cantSplit/>
          <w:trHeight w:val="23"/>
        </w:trPr>
        <w:tc>
          <w:tcPr>
            <w:tcW w:w="6911" w:type="dxa"/>
            <w:vMerge/>
          </w:tcPr>
          <w:p w14:paraId="49F90CD6" w14:textId="77777777" w:rsidR="00426CF9" w:rsidRPr="00AF2CD4" w:rsidRDefault="00426CF9" w:rsidP="00426CF9">
            <w:pPr>
              <w:tabs>
                <w:tab w:val="left" w:pos="851"/>
              </w:tabs>
              <w:spacing w:before="0"/>
              <w:rPr>
                <w:b/>
              </w:rPr>
            </w:pPr>
            <w:bookmarkStart w:id="6" w:name="ddate" w:colFirst="1" w:colLast="1"/>
            <w:bookmarkEnd w:id="4"/>
            <w:bookmarkEnd w:id="5"/>
          </w:p>
        </w:tc>
        <w:tc>
          <w:tcPr>
            <w:tcW w:w="3120" w:type="dxa"/>
          </w:tcPr>
          <w:p w14:paraId="726E4FF8" w14:textId="77777777" w:rsidR="00426CF9" w:rsidRPr="00AF2CD4" w:rsidRDefault="00426CF9" w:rsidP="00426CF9">
            <w:pPr>
              <w:tabs>
                <w:tab w:val="left" w:pos="993"/>
              </w:tabs>
              <w:spacing w:before="0"/>
              <w:rPr>
                <w:b/>
              </w:rPr>
            </w:pPr>
            <w:r w:rsidRPr="00AF2CD4">
              <w:rPr>
                <w:b/>
              </w:rPr>
              <w:t xml:space="preserve">5 </w:t>
            </w:r>
            <w:r w:rsidRPr="00AF2CD4">
              <w:rPr>
                <w:b/>
                <w:lang w:eastAsia="zh-CN"/>
              </w:rPr>
              <w:t>March</w:t>
            </w:r>
            <w:r w:rsidRPr="00AF2CD4">
              <w:rPr>
                <w:b/>
              </w:rPr>
              <w:t xml:space="preserve"> 2022</w:t>
            </w:r>
          </w:p>
        </w:tc>
      </w:tr>
      <w:tr w:rsidR="00426CF9" w:rsidRPr="00AF2CD4" w14:paraId="6334BF73" w14:textId="77777777" w:rsidTr="00426CF9">
        <w:trPr>
          <w:cantSplit/>
          <w:trHeight w:val="23"/>
        </w:trPr>
        <w:tc>
          <w:tcPr>
            <w:tcW w:w="6911" w:type="dxa"/>
            <w:vMerge/>
          </w:tcPr>
          <w:p w14:paraId="293D15C5" w14:textId="77777777" w:rsidR="00426CF9" w:rsidRPr="00AF2CD4" w:rsidRDefault="00426CF9" w:rsidP="00426CF9">
            <w:pPr>
              <w:tabs>
                <w:tab w:val="left" w:pos="851"/>
              </w:tabs>
              <w:spacing w:before="0"/>
              <w:rPr>
                <w:b/>
              </w:rPr>
            </w:pPr>
            <w:bookmarkStart w:id="7" w:name="dorlang" w:colFirst="1" w:colLast="1"/>
            <w:bookmarkEnd w:id="6"/>
          </w:p>
        </w:tc>
        <w:tc>
          <w:tcPr>
            <w:tcW w:w="3120" w:type="dxa"/>
          </w:tcPr>
          <w:p w14:paraId="2778DFF7" w14:textId="77777777" w:rsidR="00426CF9" w:rsidRPr="00AF2CD4" w:rsidRDefault="00426CF9" w:rsidP="00426CF9">
            <w:pPr>
              <w:tabs>
                <w:tab w:val="left" w:pos="993"/>
              </w:tabs>
              <w:spacing w:before="0"/>
              <w:rPr>
                <w:b/>
              </w:rPr>
            </w:pPr>
            <w:r w:rsidRPr="00AF2CD4">
              <w:rPr>
                <w:b/>
              </w:rPr>
              <w:t xml:space="preserve">Original: </w:t>
            </w:r>
            <w:r w:rsidRPr="00AF2CD4">
              <w:rPr>
                <w:b/>
                <w:lang w:eastAsia="zh-CN"/>
              </w:rPr>
              <w:t>C</w:t>
            </w:r>
            <w:r w:rsidRPr="00AF2CD4">
              <w:rPr>
                <w:b/>
              </w:rPr>
              <w:t>hinese</w:t>
            </w:r>
          </w:p>
        </w:tc>
      </w:tr>
      <w:tr w:rsidR="00426CF9" w:rsidRPr="00AF2CD4" w14:paraId="457FD5D5" w14:textId="77777777" w:rsidTr="00426CF9">
        <w:trPr>
          <w:cantSplit/>
        </w:trPr>
        <w:tc>
          <w:tcPr>
            <w:tcW w:w="10031" w:type="dxa"/>
            <w:gridSpan w:val="2"/>
          </w:tcPr>
          <w:p w14:paraId="79A18BDF" w14:textId="6A52FDFA" w:rsidR="00426CF9" w:rsidRPr="00AF2CD4" w:rsidRDefault="00426CF9" w:rsidP="00426CF9">
            <w:pPr>
              <w:pStyle w:val="Source"/>
            </w:pPr>
            <w:bookmarkStart w:id="8" w:name="dsource" w:colFirst="0" w:colLast="0"/>
            <w:bookmarkEnd w:id="7"/>
            <w:r w:rsidRPr="00AF2CD4">
              <w:t>Proposal by the People</w:t>
            </w:r>
            <w:r w:rsidR="00AF2CD4">
              <w:t>'</w:t>
            </w:r>
            <w:r w:rsidRPr="00AF2CD4">
              <w:t>s Republic of China</w:t>
            </w:r>
          </w:p>
        </w:tc>
      </w:tr>
      <w:tr w:rsidR="00426CF9" w:rsidRPr="00AF2CD4" w14:paraId="7E696AAA" w14:textId="77777777" w:rsidTr="00426CF9">
        <w:trPr>
          <w:cantSplit/>
        </w:trPr>
        <w:tc>
          <w:tcPr>
            <w:tcW w:w="10031" w:type="dxa"/>
            <w:gridSpan w:val="2"/>
          </w:tcPr>
          <w:p w14:paraId="543B34E7" w14:textId="77777777" w:rsidR="00426CF9" w:rsidRPr="00AF2CD4" w:rsidRDefault="00426CF9" w:rsidP="00426CF9">
            <w:pPr>
              <w:pStyle w:val="Title1"/>
            </w:pPr>
            <w:bookmarkStart w:id="9" w:name="_Hlk93941498"/>
            <w:bookmarkStart w:id="10" w:name="dtitle1" w:colFirst="0" w:colLast="0"/>
            <w:bookmarkEnd w:id="8"/>
            <w:r w:rsidRPr="00AF2CD4">
              <w:rPr>
                <w:lang w:eastAsia="zh-CN"/>
              </w:rPr>
              <w:t>Recommendations</w:t>
            </w:r>
            <w:r w:rsidRPr="00AF2CD4">
              <w:t xml:space="preserve"> on </w:t>
            </w:r>
            <w:r w:rsidRPr="00AF2CD4">
              <w:rPr>
                <w:lang w:eastAsia="zh-CN"/>
              </w:rPr>
              <w:t>keep</w:t>
            </w:r>
            <w:r w:rsidRPr="00AF2CD4">
              <w:t>ing the expert group on INTERNATIONAL TELECOMMUNICATION REGULATIONS (EG-ITRS)</w:t>
            </w:r>
            <w:bookmarkEnd w:id="9"/>
          </w:p>
        </w:tc>
      </w:tr>
      <w:bookmarkEnd w:id="10"/>
    </w:tbl>
    <w:p w14:paraId="554B4CB6" w14:textId="77777777" w:rsidR="002A2188" w:rsidRPr="00AF2CD4"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F2CD4" w14:paraId="1DF07826" w14:textId="77777777" w:rsidTr="00C72F5F">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AF2CD4" w:rsidRDefault="002A2188" w:rsidP="00803BF9">
            <w:pPr>
              <w:pStyle w:val="Headingb"/>
              <w:spacing w:before="120" w:after="120"/>
            </w:pPr>
            <w:r w:rsidRPr="00AF2CD4">
              <w:t>Summary</w:t>
            </w:r>
          </w:p>
          <w:p w14:paraId="1E1CE32D" w14:textId="095C38D9" w:rsidR="00C45482" w:rsidRPr="00AF2CD4" w:rsidRDefault="00C72F5F" w:rsidP="0072211D">
            <w:pPr>
              <w:tabs>
                <w:tab w:val="clear" w:pos="567"/>
                <w:tab w:val="clear" w:pos="1134"/>
                <w:tab w:val="clear" w:pos="1701"/>
                <w:tab w:val="clear" w:pos="2268"/>
                <w:tab w:val="clear" w:pos="2835"/>
              </w:tabs>
              <w:overflowPunct/>
              <w:autoSpaceDE/>
              <w:autoSpaceDN/>
              <w:adjustRightInd/>
              <w:spacing w:after="120"/>
              <w:textAlignment w:val="auto"/>
              <w:rPr>
                <w:rFonts w:eastAsia="MS Mincho" w:cs="Arial"/>
                <w:szCs w:val="24"/>
                <w:lang w:eastAsia="zh-CN"/>
              </w:rPr>
            </w:pPr>
            <w:r w:rsidRPr="00AF2CD4">
              <w:rPr>
                <w:rFonts w:eastAsia="MS Mincho" w:cs="Arial"/>
                <w:szCs w:val="24"/>
                <w:lang w:eastAsia="zh-CN"/>
              </w:rPr>
              <w:t xml:space="preserve">It is proposed </w:t>
            </w:r>
            <w:r w:rsidR="00A54DD7" w:rsidRPr="00AF2CD4">
              <w:rPr>
                <w:rFonts w:eastAsia="MS Mincho" w:cs="Arial"/>
                <w:szCs w:val="24"/>
                <w:lang w:eastAsia="zh-CN"/>
              </w:rPr>
              <w:t xml:space="preserve">that </w:t>
            </w:r>
            <w:r w:rsidRPr="00AF2CD4">
              <w:rPr>
                <w:rFonts w:eastAsia="MS Mincho" w:cs="Arial"/>
                <w:szCs w:val="24"/>
                <w:lang w:eastAsia="zh-CN"/>
              </w:rPr>
              <w:t xml:space="preserve">the </w:t>
            </w:r>
            <w:r w:rsidR="00586984" w:rsidRPr="00AF2CD4">
              <w:rPr>
                <w:rFonts w:eastAsia="MS Mincho" w:cs="Arial"/>
                <w:szCs w:val="24"/>
                <w:lang w:eastAsia="zh-CN"/>
              </w:rPr>
              <w:t>E</w:t>
            </w:r>
            <w:r w:rsidRPr="00AF2CD4">
              <w:rPr>
                <w:rFonts w:eastAsia="MS Mincho" w:cs="Arial"/>
                <w:szCs w:val="24"/>
                <w:lang w:eastAsia="zh-CN"/>
              </w:rPr>
              <w:t xml:space="preserve">xpert </w:t>
            </w:r>
            <w:r w:rsidR="00586984" w:rsidRPr="00AF2CD4">
              <w:rPr>
                <w:rFonts w:eastAsia="MS Mincho" w:cs="Arial"/>
                <w:szCs w:val="24"/>
                <w:lang w:eastAsia="zh-CN"/>
              </w:rPr>
              <w:t>G</w:t>
            </w:r>
            <w:r w:rsidRPr="00AF2CD4">
              <w:rPr>
                <w:rFonts w:eastAsia="MS Mincho" w:cs="Arial"/>
                <w:szCs w:val="24"/>
                <w:lang w:eastAsia="zh-CN"/>
              </w:rPr>
              <w:t xml:space="preserve">roup on </w:t>
            </w:r>
            <w:r w:rsidR="00586984" w:rsidRPr="00AF2CD4">
              <w:rPr>
                <w:rFonts w:eastAsia="MS Mincho" w:cs="Arial"/>
                <w:szCs w:val="24"/>
                <w:lang w:eastAsia="zh-CN"/>
              </w:rPr>
              <w:t>I</w:t>
            </w:r>
            <w:r w:rsidRPr="00AF2CD4">
              <w:rPr>
                <w:rFonts w:eastAsia="MS Mincho" w:cs="Arial"/>
                <w:szCs w:val="24"/>
                <w:lang w:eastAsia="zh-CN"/>
              </w:rPr>
              <w:t xml:space="preserve">nternational </w:t>
            </w:r>
            <w:r w:rsidR="00586984" w:rsidRPr="00AF2CD4">
              <w:rPr>
                <w:rFonts w:eastAsia="MS Mincho" w:cs="Arial"/>
                <w:szCs w:val="24"/>
                <w:lang w:eastAsia="zh-CN"/>
              </w:rPr>
              <w:t>T</w:t>
            </w:r>
            <w:r w:rsidRPr="00AF2CD4">
              <w:rPr>
                <w:rFonts w:eastAsia="MS Mincho" w:cs="Arial"/>
                <w:szCs w:val="24"/>
                <w:lang w:eastAsia="zh-CN"/>
              </w:rPr>
              <w:t xml:space="preserve">elecommunication </w:t>
            </w:r>
            <w:r w:rsidR="00586984" w:rsidRPr="00AF2CD4">
              <w:rPr>
                <w:rFonts w:eastAsia="MS Mincho" w:cs="Arial"/>
                <w:szCs w:val="24"/>
                <w:lang w:eastAsia="zh-CN"/>
              </w:rPr>
              <w:t>R</w:t>
            </w:r>
            <w:r w:rsidRPr="00AF2CD4">
              <w:rPr>
                <w:rFonts w:eastAsia="MS Mincho" w:cs="Arial"/>
                <w:szCs w:val="24"/>
                <w:lang w:eastAsia="zh-CN"/>
              </w:rPr>
              <w:t xml:space="preserve">egulations </w:t>
            </w:r>
            <w:r w:rsidR="00A54DD7" w:rsidRPr="00AF2CD4">
              <w:rPr>
                <w:rFonts w:eastAsia="MS Mincho" w:cs="Arial"/>
                <w:szCs w:val="24"/>
                <w:lang w:eastAsia="zh-CN"/>
              </w:rPr>
              <w:t xml:space="preserve">should be maintained for the continuation of </w:t>
            </w:r>
            <w:r w:rsidRPr="00AF2CD4">
              <w:rPr>
                <w:rFonts w:eastAsia="MS Mincho" w:cs="Arial"/>
                <w:szCs w:val="24"/>
                <w:lang w:eastAsia="zh-CN"/>
              </w:rPr>
              <w:t xml:space="preserve">the review </w:t>
            </w:r>
            <w:r w:rsidR="00A54DD7" w:rsidRPr="00AF2CD4">
              <w:rPr>
                <w:rFonts w:eastAsia="MS Mincho" w:cs="Arial"/>
                <w:szCs w:val="24"/>
                <w:lang w:eastAsia="zh-CN"/>
              </w:rPr>
              <w:t xml:space="preserve">of the </w:t>
            </w:r>
            <w:r w:rsidRPr="00AF2CD4">
              <w:rPr>
                <w:rFonts w:eastAsia="MS Mincho" w:cs="Arial"/>
                <w:szCs w:val="24"/>
                <w:lang w:eastAsia="zh-CN"/>
              </w:rPr>
              <w:t xml:space="preserve">International Telecommunication Regulations and related work based on the </w:t>
            </w:r>
            <w:r w:rsidR="00B26954" w:rsidRPr="00AF2CD4">
              <w:rPr>
                <w:rFonts w:eastAsia="MS Mincho" w:cs="Arial"/>
                <w:szCs w:val="24"/>
                <w:lang w:eastAsia="zh-CN"/>
              </w:rPr>
              <w:t xml:space="preserve">solid </w:t>
            </w:r>
            <w:r w:rsidR="00D00934" w:rsidRPr="00AF2CD4">
              <w:rPr>
                <w:rFonts w:eastAsia="MS Mincho" w:cs="Arial"/>
                <w:szCs w:val="24"/>
                <w:lang w:eastAsia="zh-CN"/>
              </w:rPr>
              <w:t>achievements of</w:t>
            </w:r>
            <w:r w:rsidR="00B26954" w:rsidRPr="00AF2CD4">
              <w:rPr>
                <w:rFonts w:eastAsia="MS Mincho" w:cs="Arial"/>
                <w:szCs w:val="24"/>
                <w:lang w:eastAsia="zh-CN"/>
              </w:rPr>
              <w:t xml:space="preserve"> the previous two groups and to promote consensus on a </w:t>
            </w:r>
            <w:r w:rsidR="00D00934" w:rsidRPr="00AF2CD4">
              <w:rPr>
                <w:rFonts w:eastAsia="MS Mincho" w:cs="Arial"/>
                <w:szCs w:val="24"/>
                <w:lang w:eastAsia="zh-CN"/>
              </w:rPr>
              <w:t>wider</w:t>
            </w:r>
            <w:r w:rsidR="00B26954" w:rsidRPr="00AF2CD4">
              <w:rPr>
                <w:rFonts w:eastAsia="MS Mincho" w:cs="Arial"/>
                <w:szCs w:val="24"/>
                <w:lang w:eastAsia="zh-CN"/>
              </w:rPr>
              <w:t xml:space="preserve"> scale and yield more fruitful results.</w:t>
            </w:r>
          </w:p>
          <w:p w14:paraId="17A30379" w14:textId="77777777" w:rsidR="002A2188" w:rsidRPr="00AF2CD4" w:rsidRDefault="002A2188" w:rsidP="00803BF9">
            <w:pPr>
              <w:pStyle w:val="Headingb"/>
              <w:spacing w:before="120" w:after="120"/>
            </w:pPr>
            <w:r w:rsidRPr="00AF2CD4">
              <w:t>Action required</w:t>
            </w:r>
          </w:p>
          <w:p w14:paraId="0984ACB7" w14:textId="572A63E0" w:rsidR="00C45482" w:rsidRPr="00AF2CD4" w:rsidRDefault="00C45482" w:rsidP="0072211D">
            <w:pPr>
              <w:tabs>
                <w:tab w:val="clear" w:pos="567"/>
                <w:tab w:val="clear" w:pos="1134"/>
                <w:tab w:val="clear" w:pos="1701"/>
                <w:tab w:val="clear" w:pos="2268"/>
                <w:tab w:val="clear" w:pos="2835"/>
              </w:tabs>
              <w:overflowPunct/>
              <w:autoSpaceDE/>
              <w:autoSpaceDN/>
              <w:adjustRightInd/>
              <w:spacing w:after="120"/>
              <w:textAlignment w:val="auto"/>
              <w:rPr>
                <w:rFonts w:eastAsia="MS Mincho" w:cs="Arial"/>
                <w:szCs w:val="24"/>
                <w:lang w:eastAsia="zh-CN"/>
              </w:rPr>
            </w:pPr>
            <w:r w:rsidRPr="00AF2CD4">
              <w:rPr>
                <w:rFonts w:eastAsia="MS Mincho" w:cs="Arial"/>
                <w:szCs w:val="24"/>
                <w:lang w:eastAsia="zh-CN"/>
              </w:rPr>
              <w:t xml:space="preserve">The Council is invited to </w:t>
            </w:r>
            <w:r w:rsidR="00B26954" w:rsidRPr="00AF2CD4">
              <w:rPr>
                <w:rFonts w:eastAsia="MS Mincho" w:cs="Arial"/>
                <w:szCs w:val="24"/>
                <w:lang w:eastAsia="zh-CN"/>
              </w:rPr>
              <w:t>consider this proposal and take actions, as appropriate.</w:t>
            </w:r>
          </w:p>
          <w:p w14:paraId="3098B3AD" w14:textId="77777777" w:rsidR="002A2188" w:rsidRPr="00AF2CD4" w:rsidRDefault="002A2188" w:rsidP="00803BF9">
            <w:pPr>
              <w:pStyle w:val="Table"/>
              <w:keepNext w:val="0"/>
              <w:spacing w:before="120"/>
              <w:rPr>
                <w:rFonts w:ascii="Calibri" w:hAnsi="Calibri"/>
                <w:caps w:val="0"/>
                <w:sz w:val="22"/>
              </w:rPr>
            </w:pPr>
            <w:r w:rsidRPr="00AF2CD4">
              <w:rPr>
                <w:rFonts w:ascii="Calibri" w:hAnsi="Calibri"/>
                <w:caps w:val="0"/>
                <w:sz w:val="22"/>
              </w:rPr>
              <w:t>____________</w:t>
            </w:r>
          </w:p>
          <w:p w14:paraId="6D31B914" w14:textId="77777777" w:rsidR="002A2188" w:rsidRPr="00AF2CD4" w:rsidRDefault="002A2188" w:rsidP="00803BF9">
            <w:pPr>
              <w:pStyle w:val="Headingb"/>
              <w:spacing w:before="120" w:after="120"/>
            </w:pPr>
            <w:r w:rsidRPr="00AF2CD4">
              <w:t>References</w:t>
            </w:r>
          </w:p>
          <w:p w14:paraId="47763C34" w14:textId="180E90EF" w:rsidR="002A2188" w:rsidRPr="00AF2CD4" w:rsidRDefault="00B26954" w:rsidP="00803BF9">
            <w:pPr>
              <w:spacing w:after="120"/>
              <w:rPr>
                <w:i/>
                <w:iCs/>
              </w:rPr>
            </w:pPr>
            <w:r w:rsidRPr="00AF2CD4">
              <w:rPr>
                <w:i/>
                <w:iCs/>
              </w:rPr>
              <w:t>None</w:t>
            </w:r>
          </w:p>
        </w:tc>
      </w:tr>
    </w:tbl>
    <w:p w14:paraId="2D3E1ACE" w14:textId="62C1CD42" w:rsidR="0014634F" w:rsidRPr="00AF2CD4" w:rsidRDefault="0014634F" w:rsidP="00DB384B">
      <w:bookmarkStart w:id="11" w:name="dstart"/>
      <w:bookmarkStart w:id="12" w:name="dbreak"/>
      <w:bookmarkEnd w:id="11"/>
      <w:bookmarkEnd w:id="12"/>
      <w:r w:rsidRPr="00AF2CD4">
        <w:br w:type="page"/>
      </w:r>
    </w:p>
    <w:p w14:paraId="552E1487" w14:textId="66C9804F" w:rsidR="00C45482" w:rsidRPr="00AF2CD4" w:rsidRDefault="00B26954" w:rsidP="005A705D">
      <w:pPr>
        <w:pStyle w:val="Headingb"/>
        <w:rPr>
          <w:rFonts w:eastAsia="Calibri" w:cs="Calibri"/>
          <w:lang w:eastAsia="zh-CN"/>
        </w:rPr>
      </w:pPr>
      <w:r w:rsidRPr="00AF2CD4">
        <w:rPr>
          <w:lang w:eastAsia="zh-CN"/>
        </w:rPr>
        <w:lastRenderedPageBreak/>
        <w:t>Backgrou</w:t>
      </w:r>
      <w:r w:rsidR="005A705D" w:rsidRPr="00AF2CD4">
        <w:rPr>
          <w:lang w:eastAsia="zh-CN"/>
        </w:rPr>
        <w:t>n</w:t>
      </w:r>
      <w:r w:rsidRPr="00AF2CD4">
        <w:rPr>
          <w:lang w:eastAsia="zh-CN"/>
        </w:rPr>
        <w:t>d</w:t>
      </w:r>
    </w:p>
    <w:p w14:paraId="63D65D60" w14:textId="3677D640" w:rsidR="00C45482" w:rsidRPr="00AF2CD4" w:rsidRDefault="00B26954" w:rsidP="0072211D">
      <w:pPr>
        <w:rPr>
          <w:lang w:eastAsia="zh-CN"/>
        </w:rPr>
      </w:pPr>
      <w:r w:rsidRPr="00AF2CD4">
        <w:rPr>
          <w:lang w:eastAsia="zh-CN"/>
        </w:rPr>
        <w:t>T</w:t>
      </w:r>
      <w:r w:rsidR="00C45482" w:rsidRPr="00AF2CD4">
        <w:rPr>
          <w:lang w:eastAsia="zh-CN"/>
        </w:rPr>
        <w:t xml:space="preserve">he Expert Group on the International Telecommunication Regulations (EG-ITRs), open to all Member States and Sector Members, was </w:t>
      </w:r>
      <w:r w:rsidRPr="00AF2CD4">
        <w:rPr>
          <w:lang w:eastAsia="zh-CN"/>
        </w:rPr>
        <w:t>established</w:t>
      </w:r>
      <w:r w:rsidR="00C45482" w:rsidRPr="00AF2CD4">
        <w:rPr>
          <w:lang w:eastAsia="zh-CN"/>
        </w:rPr>
        <w:t xml:space="preserve"> </w:t>
      </w:r>
      <w:r w:rsidRPr="00AF2CD4">
        <w:rPr>
          <w:lang w:eastAsia="zh-CN"/>
        </w:rPr>
        <w:t>in accordance with</w:t>
      </w:r>
      <w:r w:rsidR="008459BB" w:rsidRPr="00AF2CD4">
        <w:rPr>
          <w:lang w:eastAsia="zh-CN"/>
        </w:rPr>
        <w:t xml:space="preserve"> ITU Plenipotentiary Resolution 146 (Rev. Busan, 2014) and the Council Resolution 1379 (Mod. 2019)</w:t>
      </w:r>
      <w:r w:rsidR="00C45482" w:rsidRPr="00AF2CD4">
        <w:rPr>
          <w:lang w:eastAsia="zh-CN"/>
        </w:rPr>
        <w:t xml:space="preserve">. </w:t>
      </w:r>
      <w:r w:rsidR="00FF03EC" w:rsidRPr="00AF2CD4">
        <w:rPr>
          <w:lang w:eastAsia="zh-CN"/>
        </w:rPr>
        <w:t xml:space="preserve">The </w:t>
      </w:r>
      <w:r w:rsidR="00586984" w:rsidRPr="00AF2CD4">
        <w:rPr>
          <w:lang w:eastAsia="zh-CN"/>
        </w:rPr>
        <w:t>e</w:t>
      </w:r>
      <w:r w:rsidR="00FF03EC" w:rsidRPr="00AF2CD4">
        <w:rPr>
          <w:lang w:eastAsia="zh-CN"/>
        </w:rPr>
        <w:t xml:space="preserve">xpert </w:t>
      </w:r>
      <w:r w:rsidR="00586984" w:rsidRPr="00AF2CD4">
        <w:rPr>
          <w:lang w:eastAsia="zh-CN"/>
        </w:rPr>
        <w:t>g</w:t>
      </w:r>
      <w:r w:rsidR="00FF03EC" w:rsidRPr="00AF2CD4">
        <w:rPr>
          <w:lang w:eastAsia="zh-CN"/>
        </w:rPr>
        <w:t>roup held four physical meetings from February 2017 through April 2018 to discuss the</w:t>
      </w:r>
      <w:r w:rsidR="00D00934" w:rsidRPr="00AF2CD4">
        <w:rPr>
          <w:lang w:eastAsia="zh-CN"/>
        </w:rPr>
        <w:t xml:space="preserve"> some of the key</w:t>
      </w:r>
      <w:r w:rsidR="00FF03EC" w:rsidRPr="00AF2CD4">
        <w:rPr>
          <w:lang w:eastAsia="zh-CN"/>
        </w:rPr>
        <w:t xml:space="preserve"> issues, such as the applicability and the legal analysis of the 2012 version of </w:t>
      </w:r>
      <w:r w:rsidR="0072211D" w:rsidRPr="00AF2CD4">
        <w:rPr>
          <w:lang w:eastAsia="zh-CN"/>
        </w:rPr>
        <w:t>the International Telecommunication Regulations</w:t>
      </w:r>
      <w:r w:rsidR="00FF03EC" w:rsidRPr="00AF2CD4">
        <w:rPr>
          <w:lang w:eastAsia="zh-CN"/>
        </w:rPr>
        <w:t xml:space="preserve"> and the possible conflicts between </w:t>
      </w:r>
      <w:r w:rsidR="00586984" w:rsidRPr="00AF2CD4">
        <w:rPr>
          <w:lang w:eastAsia="zh-CN"/>
        </w:rPr>
        <w:t xml:space="preserve">the </w:t>
      </w:r>
      <w:r w:rsidR="00FF03EC" w:rsidRPr="00AF2CD4">
        <w:rPr>
          <w:lang w:eastAsia="zh-CN"/>
        </w:rPr>
        <w:t xml:space="preserve">1988 and </w:t>
      </w:r>
      <w:r w:rsidR="00586984" w:rsidRPr="00AF2CD4">
        <w:rPr>
          <w:lang w:eastAsia="zh-CN"/>
        </w:rPr>
        <w:t xml:space="preserve">the </w:t>
      </w:r>
      <w:r w:rsidR="00FF03EC" w:rsidRPr="00AF2CD4">
        <w:rPr>
          <w:lang w:eastAsia="zh-CN"/>
        </w:rPr>
        <w:t>2012 versions and formed related opinions.</w:t>
      </w:r>
    </w:p>
    <w:p w14:paraId="0BDE01C3" w14:textId="671C8F4F" w:rsidR="00C45482" w:rsidRPr="00AF2CD4" w:rsidRDefault="00D00934" w:rsidP="0072211D">
      <w:pPr>
        <w:rPr>
          <w:lang w:eastAsia="zh-CN"/>
        </w:rPr>
      </w:pPr>
      <w:r w:rsidRPr="00AF2CD4">
        <w:rPr>
          <w:lang w:eastAsia="zh-CN"/>
        </w:rPr>
        <w:t xml:space="preserve">PP-18 revised its Resolution 146 (Rev. Dubai, 2018) and decided to conduct a comprehensive review of the </w:t>
      </w:r>
      <w:r w:rsidR="00EB4EC2" w:rsidRPr="00AF2CD4">
        <w:rPr>
          <w:lang w:eastAsia="zh-CN"/>
        </w:rPr>
        <w:t>International Telecommunication Regulations</w:t>
      </w:r>
      <w:r w:rsidR="004E5DE0" w:rsidRPr="00AF2CD4">
        <w:rPr>
          <w:lang w:eastAsia="zh-CN"/>
        </w:rPr>
        <w:t>,</w:t>
      </w:r>
      <w:r w:rsidRPr="00AF2CD4">
        <w:rPr>
          <w:lang w:eastAsia="zh-CN"/>
        </w:rPr>
        <w:t xml:space="preserve"> and </w:t>
      </w:r>
      <w:r w:rsidR="004E5DE0" w:rsidRPr="00AF2CD4">
        <w:rPr>
          <w:lang w:eastAsia="zh-CN"/>
        </w:rPr>
        <w:t xml:space="preserve">thus </w:t>
      </w:r>
      <w:r w:rsidRPr="00AF2CD4">
        <w:rPr>
          <w:lang w:eastAsia="zh-CN"/>
        </w:rPr>
        <w:t xml:space="preserve">instructed </w:t>
      </w:r>
      <w:r w:rsidR="0072211D" w:rsidRPr="00AF2CD4">
        <w:rPr>
          <w:lang w:eastAsia="zh-CN"/>
        </w:rPr>
        <w:t xml:space="preserve">the </w:t>
      </w:r>
      <w:r w:rsidRPr="00AF2CD4">
        <w:rPr>
          <w:lang w:eastAsia="zh-CN"/>
        </w:rPr>
        <w:t xml:space="preserve">Secretary-General to </w:t>
      </w:r>
      <w:r w:rsidR="00EB4EC2" w:rsidRPr="00AF2CD4">
        <w:rPr>
          <w:lang w:eastAsia="zh-CN"/>
        </w:rPr>
        <w:t xml:space="preserve">again </w:t>
      </w:r>
      <w:r w:rsidRPr="00AF2CD4">
        <w:rPr>
          <w:lang w:eastAsia="zh-CN"/>
        </w:rPr>
        <w:t xml:space="preserve">set up an expert group on the International Telecommunication Regulations open to ITU </w:t>
      </w:r>
      <w:r w:rsidR="005A705D" w:rsidRPr="00AF2CD4">
        <w:rPr>
          <w:lang w:eastAsia="zh-CN"/>
        </w:rPr>
        <w:t>M</w:t>
      </w:r>
      <w:r w:rsidRPr="00AF2CD4">
        <w:rPr>
          <w:lang w:eastAsia="zh-CN"/>
        </w:rPr>
        <w:t xml:space="preserve">ember States and Sector Members. The Council revised its Resolution 1379 at its 2019 session, specifying the terms of reference of the new </w:t>
      </w:r>
      <w:r w:rsidR="00586984" w:rsidRPr="00AF2CD4">
        <w:rPr>
          <w:lang w:eastAsia="zh-CN"/>
        </w:rPr>
        <w:t>e</w:t>
      </w:r>
      <w:r w:rsidR="00AB291B" w:rsidRPr="00AF2CD4">
        <w:rPr>
          <w:lang w:eastAsia="zh-CN"/>
        </w:rPr>
        <w:t xml:space="preserve">xpert </w:t>
      </w:r>
      <w:r w:rsidR="00586984" w:rsidRPr="00AF2CD4">
        <w:rPr>
          <w:lang w:eastAsia="zh-CN"/>
        </w:rPr>
        <w:t>g</w:t>
      </w:r>
      <w:r w:rsidRPr="00AF2CD4">
        <w:rPr>
          <w:lang w:eastAsia="zh-CN"/>
        </w:rPr>
        <w:t xml:space="preserve">roup. </w:t>
      </w:r>
      <w:r w:rsidR="00AB291B" w:rsidRPr="00AF2CD4">
        <w:rPr>
          <w:lang w:eastAsia="zh-CN"/>
        </w:rPr>
        <w:t xml:space="preserve">In September 2019, the new expert group held its first meeting in Geneva, and all parties reached an agreement on the working methods and plans of the review and developed a template for provision-by-provision examination of the International Telecommunication Regulations and </w:t>
      </w:r>
      <w:r w:rsidR="00675252" w:rsidRPr="00AF2CD4">
        <w:rPr>
          <w:lang w:eastAsia="zh-CN"/>
        </w:rPr>
        <w:t>w</w:t>
      </w:r>
      <w:r w:rsidR="00AB291B" w:rsidRPr="00AF2CD4">
        <w:rPr>
          <w:lang w:eastAsia="zh-CN"/>
        </w:rPr>
        <w:t xml:space="preserve">ork </w:t>
      </w:r>
      <w:r w:rsidR="00675252" w:rsidRPr="00AF2CD4">
        <w:rPr>
          <w:lang w:eastAsia="zh-CN"/>
        </w:rPr>
        <w:t>p</w:t>
      </w:r>
      <w:r w:rsidR="00AB291B" w:rsidRPr="00AF2CD4">
        <w:rPr>
          <w:lang w:eastAsia="zh-CN"/>
        </w:rPr>
        <w:t xml:space="preserve">lan, which was </w:t>
      </w:r>
      <w:r w:rsidR="004E5DE0" w:rsidRPr="00AF2CD4">
        <w:rPr>
          <w:lang w:eastAsia="zh-CN"/>
        </w:rPr>
        <w:t>accepted</w:t>
      </w:r>
      <w:r w:rsidR="00AB291B" w:rsidRPr="00AF2CD4">
        <w:rPr>
          <w:lang w:eastAsia="zh-CN"/>
        </w:rPr>
        <w:t xml:space="preserve"> by all parties. From February 2020 to January 2022, the expert group held the second to sixth meetings, during which the 2012 </w:t>
      </w:r>
      <w:r w:rsidR="00FC11CB" w:rsidRPr="00AF2CD4">
        <w:rPr>
          <w:lang w:eastAsia="zh-CN"/>
        </w:rPr>
        <w:t>version</w:t>
      </w:r>
      <w:r w:rsidR="00AB291B" w:rsidRPr="00AF2CD4">
        <w:rPr>
          <w:lang w:eastAsia="zh-CN"/>
        </w:rPr>
        <w:t xml:space="preserve"> of the International Telecommunication Rules was</w:t>
      </w:r>
      <w:r w:rsidR="004E5DE0" w:rsidRPr="00AF2CD4">
        <w:rPr>
          <w:lang w:eastAsia="zh-CN"/>
        </w:rPr>
        <w:t xml:space="preserve"> successfully</w:t>
      </w:r>
      <w:r w:rsidR="00AB291B" w:rsidRPr="00AF2CD4">
        <w:rPr>
          <w:lang w:eastAsia="zh-CN"/>
        </w:rPr>
        <w:t xml:space="preserve"> </w:t>
      </w:r>
      <w:r w:rsidR="00FC11CB" w:rsidRPr="00AF2CD4">
        <w:rPr>
          <w:lang w:eastAsia="zh-CN"/>
        </w:rPr>
        <w:t>reviewed provision by provision</w:t>
      </w:r>
      <w:r w:rsidR="00AB291B" w:rsidRPr="00AF2CD4">
        <w:rPr>
          <w:lang w:eastAsia="zh-CN"/>
        </w:rPr>
        <w:t>.</w:t>
      </w:r>
    </w:p>
    <w:p w14:paraId="5EF6542E" w14:textId="34CA5FFE" w:rsidR="00C45482" w:rsidRPr="00AF2CD4" w:rsidRDefault="00FC11CB" w:rsidP="005A705D">
      <w:pPr>
        <w:pStyle w:val="Headingb"/>
        <w:rPr>
          <w:lang w:eastAsia="zh-CN"/>
        </w:rPr>
      </w:pPr>
      <w:r w:rsidRPr="00AF2CD4">
        <w:rPr>
          <w:lang w:eastAsia="zh-CN"/>
        </w:rPr>
        <w:t>Proposal</w:t>
      </w:r>
    </w:p>
    <w:p w14:paraId="14C03F89" w14:textId="3A070CC8" w:rsidR="003D1A72" w:rsidRPr="00AF2CD4" w:rsidRDefault="003D1A72" w:rsidP="00EB4EC2">
      <w:pPr>
        <w:rPr>
          <w:lang w:eastAsia="zh-CN"/>
        </w:rPr>
      </w:pPr>
      <w:r w:rsidRPr="00AF2CD4">
        <w:rPr>
          <w:lang w:eastAsia="zh-CN"/>
        </w:rPr>
        <w:t>Since 2016, the two expert groups o</w:t>
      </w:r>
      <w:r w:rsidR="00EB4EC2" w:rsidRPr="00AF2CD4">
        <w:rPr>
          <w:lang w:eastAsia="zh-CN"/>
        </w:rPr>
        <w:t>n</w:t>
      </w:r>
      <w:r w:rsidRPr="00AF2CD4">
        <w:rPr>
          <w:lang w:eastAsia="zh-CN"/>
        </w:rPr>
        <w:t xml:space="preserve"> the International Telecommunication Regulations have actively carried out the review of the International Telecommunication Regulations and related work in accordance with Resolution 146 of the ITU Plenipotentiary Conference and relevant resolutions of the Council, conducted in-depth discussions and exchanges on issues of concern to all parties, examined the 2012 version of the International Telecommunication Regulations on </w:t>
      </w:r>
      <w:r w:rsidR="00EB4EC2" w:rsidRPr="00AF2CD4">
        <w:rPr>
          <w:lang w:eastAsia="zh-CN"/>
        </w:rPr>
        <w:t>a</w:t>
      </w:r>
      <w:r w:rsidRPr="00AF2CD4">
        <w:rPr>
          <w:lang w:eastAsia="zh-CN"/>
        </w:rPr>
        <w:t xml:space="preserve"> </w:t>
      </w:r>
      <w:r w:rsidRPr="00AF2CD4">
        <w:rPr>
          <w:rFonts w:eastAsia="Calibri" w:cs="Arial"/>
          <w:lang w:eastAsia="zh-CN"/>
        </w:rPr>
        <w:t>provision-by-provision basis</w:t>
      </w:r>
      <w:r w:rsidRPr="00AF2CD4">
        <w:rPr>
          <w:lang w:eastAsia="zh-CN"/>
        </w:rPr>
        <w:t>, formed review opinion</w:t>
      </w:r>
      <w:r w:rsidR="004E5DE0" w:rsidRPr="00AF2CD4">
        <w:rPr>
          <w:lang w:eastAsia="zh-CN"/>
        </w:rPr>
        <w:t>s</w:t>
      </w:r>
      <w:r w:rsidRPr="00AF2CD4">
        <w:rPr>
          <w:lang w:eastAsia="zh-CN"/>
        </w:rPr>
        <w:t xml:space="preserve"> on the "applicability in fostering the provision and development of networks and services" and "flexibility to accommodate new trends and emerging issues" of each provision and prepared a summary of outcomes as agreed by all the members during the meetings. </w:t>
      </w:r>
      <w:r w:rsidR="00DB339C" w:rsidRPr="00AF2CD4">
        <w:rPr>
          <w:lang w:eastAsia="zh-CN"/>
        </w:rPr>
        <w:t xml:space="preserve">Thanks to the joint efforts of the two expert groups, </w:t>
      </w:r>
      <w:r w:rsidR="004E5DE0" w:rsidRPr="00AF2CD4">
        <w:rPr>
          <w:lang w:eastAsia="zh-CN"/>
        </w:rPr>
        <w:t xml:space="preserve">substantive progress has been made in </w:t>
      </w:r>
      <w:r w:rsidR="00DB339C" w:rsidRPr="00AF2CD4">
        <w:rPr>
          <w:lang w:eastAsia="zh-CN"/>
        </w:rPr>
        <w:t xml:space="preserve">the review of the International Telecommunication Regulations. In </w:t>
      </w:r>
      <w:r w:rsidR="008459BB" w:rsidRPr="00AF2CD4">
        <w:rPr>
          <w:lang w:eastAsia="zh-CN"/>
        </w:rPr>
        <w:t>its</w:t>
      </w:r>
      <w:r w:rsidR="00DB339C" w:rsidRPr="00AF2CD4">
        <w:rPr>
          <w:lang w:eastAsia="zh-CN"/>
        </w:rPr>
        <w:t xml:space="preserve"> final report to the Council, </w:t>
      </w:r>
      <w:r w:rsidR="008459BB" w:rsidRPr="00AF2CD4">
        <w:rPr>
          <w:lang w:eastAsia="zh-CN"/>
        </w:rPr>
        <w:t xml:space="preserve">the expert group </w:t>
      </w:r>
      <w:r w:rsidR="00BB6EEE" w:rsidRPr="00AF2CD4">
        <w:rPr>
          <w:lang w:eastAsia="zh-CN"/>
        </w:rPr>
        <w:t xml:space="preserve">provided a comprehensive summary of </w:t>
      </w:r>
      <w:r w:rsidR="00DB339C" w:rsidRPr="00AF2CD4">
        <w:rPr>
          <w:lang w:eastAsia="zh-CN"/>
        </w:rPr>
        <w:t xml:space="preserve">the current work achievements and review progress, </w:t>
      </w:r>
      <w:r w:rsidR="00BB6EEE" w:rsidRPr="00AF2CD4">
        <w:rPr>
          <w:lang w:eastAsia="zh-CN"/>
        </w:rPr>
        <w:t xml:space="preserve">as well as </w:t>
      </w:r>
      <w:r w:rsidR="00DB339C" w:rsidRPr="00AF2CD4">
        <w:rPr>
          <w:lang w:eastAsia="zh-CN"/>
        </w:rPr>
        <w:t xml:space="preserve">the views and positions of all parties, </w:t>
      </w:r>
      <w:r w:rsidR="00BB6EEE" w:rsidRPr="00AF2CD4">
        <w:rPr>
          <w:lang w:eastAsia="zh-CN"/>
        </w:rPr>
        <w:t xml:space="preserve">hence </w:t>
      </w:r>
      <w:r w:rsidR="00DB339C" w:rsidRPr="00AF2CD4">
        <w:rPr>
          <w:lang w:eastAsia="zh-CN"/>
        </w:rPr>
        <w:t xml:space="preserve">laying a solid foundation for the related work at the next step. </w:t>
      </w:r>
    </w:p>
    <w:p w14:paraId="2B084759" w14:textId="2954ABCF" w:rsidR="00C45482" w:rsidRPr="00AF2CD4" w:rsidRDefault="00C45482" w:rsidP="00EB4EC2">
      <w:pPr>
        <w:rPr>
          <w:lang w:eastAsia="zh-CN"/>
        </w:rPr>
      </w:pPr>
      <w:r w:rsidRPr="00AF2CD4">
        <w:rPr>
          <w:lang w:eastAsia="zh-CN"/>
        </w:rPr>
        <w:t xml:space="preserve">In accordance with Article 4 </w:t>
      </w:r>
      <w:r w:rsidR="00675252" w:rsidRPr="00AF2CD4">
        <w:rPr>
          <w:lang w:eastAsia="zh-CN"/>
        </w:rPr>
        <w:t>"</w:t>
      </w:r>
      <w:r w:rsidRPr="00AF2CD4">
        <w:rPr>
          <w:lang w:eastAsia="zh-CN"/>
        </w:rPr>
        <w:t>Instruments of the Union</w:t>
      </w:r>
      <w:r w:rsidR="00675252" w:rsidRPr="00AF2CD4">
        <w:rPr>
          <w:lang w:eastAsia="zh-CN"/>
        </w:rPr>
        <w:t>"</w:t>
      </w:r>
      <w:r w:rsidRPr="00AF2CD4">
        <w:rPr>
          <w:lang w:eastAsia="zh-CN"/>
        </w:rPr>
        <w:t xml:space="preserve"> of the ITU Constitution, the International Telecommunication Regulations (ITRs) are one of the two Administrative Regulations included in the list of Instruments of the Union.</w:t>
      </w:r>
      <w:r w:rsidR="00DB339C" w:rsidRPr="00AF2CD4">
        <w:rPr>
          <w:lang w:eastAsia="zh-CN"/>
        </w:rPr>
        <w:t xml:space="preserve"> </w:t>
      </w:r>
      <w:r w:rsidR="00EB4EC2" w:rsidRPr="00AF2CD4">
        <w:rPr>
          <w:lang w:eastAsia="zh-CN"/>
        </w:rPr>
        <w:t>To date</w:t>
      </w:r>
      <w:r w:rsidR="00DB339C" w:rsidRPr="00AF2CD4">
        <w:rPr>
          <w:lang w:eastAsia="zh-CN"/>
        </w:rPr>
        <w:t xml:space="preserve">, the ITRs </w:t>
      </w:r>
      <w:r w:rsidR="00EB4EC2" w:rsidRPr="00AF2CD4">
        <w:rPr>
          <w:lang w:eastAsia="zh-CN"/>
        </w:rPr>
        <w:t xml:space="preserve">remains </w:t>
      </w:r>
      <w:r w:rsidR="00DB339C" w:rsidRPr="00AF2CD4">
        <w:rPr>
          <w:lang w:eastAsia="zh-CN"/>
        </w:rPr>
        <w:t xml:space="preserve">the only treaty in the world that establishes general principles to promote the provision and operation of international telecommunications. It </w:t>
      </w:r>
      <w:r w:rsidR="0078519A" w:rsidRPr="00AF2CD4">
        <w:rPr>
          <w:lang w:eastAsia="zh-CN"/>
        </w:rPr>
        <w:t>is conducive to</w:t>
      </w:r>
      <w:r w:rsidR="00DB339C" w:rsidRPr="00AF2CD4">
        <w:rPr>
          <w:lang w:eastAsia="zh-CN"/>
        </w:rPr>
        <w:t xml:space="preserve"> </w:t>
      </w:r>
      <w:r w:rsidR="0078519A" w:rsidRPr="00AF2CD4">
        <w:rPr>
          <w:lang w:eastAsia="zh-CN"/>
        </w:rPr>
        <w:t xml:space="preserve">the </w:t>
      </w:r>
      <w:r w:rsidR="00DB339C" w:rsidRPr="00AF2CD4">
        <w:rPr>
          <w:lang w:eastAsia="zh-CN"/>
        </w:rPr>
        <w:t>improve</w:t>
      </w:r>
      <w:r w:rsidR="0078519A" w:rsidRPr="00AF2CD4">
        <w:rPr>
          <w:lang w:eastAsia="zh-CN"/>
        </w:rPr>
        <w:t>ment of</w:t>
      </w:r>
      <w:r w:rsidR="00DB339C" w:rsidRPr="00AF2CD4">
        <w:rPr>
          <w:lang w:eastAsia="zh-CN"/>
        </w:rPr>
        <w:t xml:space="preserve"> the efficiency, practicability and availability of global international telecommunication networks, </w:t>
      </w:r>
      <w:proofErr w:type="gramStart"/>
      <w:r w:rsidR="00DB339C" w:rsidRPr="00AF2CD4">
        <w:rPr>
          <w:lang w:eastAsia="zh-CN"/>
        </w:rPr>
        <w:t>infrastructure</w:t>
      </w:r>
      <w:proofErr w:type="gramEnd"/>
      <w:r w:rsidR="00DB339C" w:rsidRPr="00AF2CD4">
        <w:rPr>
          <w:lang w:eastAsia="zh-CN"/>
        </w:rPr>
        <w:t xml:space="preserve"> and services, especially for the vast number of developing members. At the same time, considering the new trend of telecom/ICT and the emerging issues in the international telecom/ICT environment, it is also very important to cultivate a legal and regulatory environment that can keep up with the rapidly changing information and communication technology ecosystem. In view of this, we </w:t>
      </w:r>
      <w:r w:rsidR="0078519A" w:rsidRPr="00AF2CD4">
        <w:rPr>
          <w:lang w:eastAsia="zh-CN"/>
        </w:rPr>
        <w:t>propose</w:t>
      </w:r>
      <w:r w:rsidR="00DB339C" w:rsidRPr="00AF2CD4">
        <w:rPr>
          <w:lang w:eastAsia="zh-CN"/>
        </w:rPr>
        <w:t xml:space="preserve"> that the Expert Group o</w:t>
      </w:r>
      <w:r w:rsidR="00EB4EC2" w:rsidRPr="00AF2CD4">
        <w:rPr>
          <w:lang w:eastAsia="zh-CN"/>
        </w:rPr>
        <w:t>n</w:t>
      </w:r>
      <w:r w:rsidR="00DB339C" w:rsidRPr="00AF2CD4">
        <w:rPr>
          <w:lang w:eastAsia="zh-CN"/>
        </w:rPr>
        <w:t xml:space="preserve"> the International Telecommunication Regulations should be retained in the future, and the review of the International Telecommunication Regulations and </w:t>
      </w:r>
      <w:r w:rsidR="00DB339C" w:rsidRPr="00AF2CD4">
        <w:rPr>
          <w:lang w:eastAsia="zh-CN"/>
        </w:rPr>
        <w:lastRenderedPageBreak/>
        <w:t>related work should be continu</w:t>
      </w:r>
      <w:r w:rsidR="0078519A" w:rsidRPr="00AF2CD4">
        <w:rPr>
          <w:lang w:eastAsia="zh-CN"/>
        </w:rPr>
        <w:t>ed</w:t>
      </w:r>
      <w:r w:rsidR="00DB339C" w:rsidRPr="00AF2CD4">
        <w:rPr>
          <w:lang w:eastAsia="zh-CN"/>
        </w:rPr>
        <w:t xml:space="preserve"> </w:t>
      </w:r>
      <w:proofErr w:type="gramStart"/>
      <w:r w:rsidR="00BB6EEE" w:rsidRPr="00AF2CD4">
        <w:rPr>
          <w:lang w:eastAsia="zh-CN"/>
        </w:rPr>
        <w:t>on the basis of</w:t>
      </w:r>
      <w:proofErr w:type="gramEnd"/>
      <w:r w:rsidR="00BB6EEE" w:rsidRPr="00AF2CD4">
        <w:rPr>
          <w:lang w:eastAsia="zh-CN"/>
        </w:rPr>
        <w:t xml:space="preserve"> the solid work achievements of the previous two expert groups so as </w:t>
      </w:r>
      <w:r w:rsidR="00DB339C" w:rsidRPr="00AF2CD4">
        <w:rPr>
          <w:lang w:eastAsia="zh-CN"/>
        </w:rPr>
        <w:t xml:space="preserve">to reach a wider consensus and </w:t>
      </w:r>
      <w:r w:rsidR="003049F1" w:rsidRPr="00AF2CD4">
        <w:rPr>
          <w:lang w:eastAsia="zh-CN"/>
        </w:rPr>
        <w:t>produce more fruitful outcomes</w:t>
      </w:r>
      <w:r w:rsidR="0078519A" w:rsidRPr="00AF2CD4">
        <w:rPr>
          <w:lang w:eastAsia="zh-CN"/>
        </w:rPr>
        <w:t>.</w:t>
      </w:r>
    </w:p>
    <w:p w14:paraId="52631398" w14:textId="77777777" w:rsidR="005A705D" w:rsidRPr="00AF2CD4" w:rsidRDefault="005A705D" w:rsidP="00411C49">
      <w:pPr>
        <w:pStyle w:val="Reasons"/>
      </w:pPr>
    </w:p>
    <w:p w14:paraId="729CB9FC" w14:textId="304FFD37" w:rsidR="00BB6EEE" w:rsidRPr="00AF2CD4" w:rsidRDefault="005A705D" w:rsidP="00EB4EC2">
      <w:pPr>
        <w:jc w:val="center"/>
        <w:rPr>
          <w:szCs w:val="24"/>
          <w:lang w:eastAsia="zh-CN"/>
        </w:rPr>
      </w:pPr>
      <w:r w:rsidRPr="00AF2CD4">
        <w:t>______________</w:t>
      </w:r>
      <w:bookmarkEnd w:id="2"/>
    </w:p>
    <w:sectPr w:rsidR="00BB6EEE" w:rsidRPr="00AF2CD4" w:rsidSect="0072211D">
      <w:headerReference w:type="default" r:id="rId9"/>
      <w:footerReference w:type="default" r:id="rId10"/>
      <w:footerReference w:type="first" r:id="rId11"/>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AE3A" w14:textId="77777777" w:rsidR="00016B82" w:rsidRDefault="00016B82">
      <w:r>
        <w:separator/>
      </w:r>
    </w:p>
  </w:endnote>
  <w:endnote w:type="continuationSeparator" w:id="0">
    <w:p w14:paraId="3706EA19" w14:textId="77777777" w:rsidR="00016B82" w:rsidRDefault="0001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B081061" w:rsidR="003D1A72" w:rsidRPr="00BC3DF6" w:rsidRDefault="0084178D" w:rsidP="005A705D">
    <w:pPr>
      <w:pStyle w:val="Footer"/>
    </w:pPr>
    <w:r w:rsidRPr="0084178D">
      <w:rPr>
        <w:color w:val="F2F2F2" w:themeColor="background1" w:themeShade="F2"/>
      </w:rPr>
      <w:fldChar w:fldCharType="begin"/>
    </w:r>
    <w:r w:rsidRPr="0084178D">
      <w:rPr>
        <w:color w:val="F2F2F2" w:themeColor="background1" w:themeShade="F2"/>
      </w:rPr>
      <w:instrText xml:space="preserve"> FILENAME \p  \* MERGEFORMAT </w:instrText>
    </w:r>
    <w:r w:rsidRPr="0084178D">
      <w:rPr>
        <w:color w:val="F2F2F2" w:themeColor="background1" w:themeShade="F2"/>
      </w:rPr>
      <w:fldChar w:fldCharType="separate"/>
    </w:r>
    <w:r w:rsidR="005A705D" w:rsidRPr="0084178D">
      <w:rPr>
        <w:color w:val="F2F2F2" w:themeColor="background1" w:themeShade="F2"/>
      </w:rPr>
      <w:t>\\blue\dfs\POOL\ENG\SG\CONSEIL\C22\000\072E.docx</w:t>
    </w:r>
    <w:r w:rsidRPr="0084178D">
      <w:rPr>
        <w:color w:val="F2F2F2" w:themeColor="background1" w:themeShade="F2"/>
      </w:rPr>
      <w:fldChar w:fldCharType="end"/>
    </w:r>
    <w:r w:rsidR="005A705D" w:rsidRPr="0084178D">
      <w:rPr>
        <w:color w:val="F2F2F2" w:themeColor="background1" w:themeShade="F2"/>
      </w:rPr>
      <w:t xml:space="preserve"> (502439)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885" w14:textId="586D44B3" w:rsidR="005A705D" w:rsidRDefault="005A705D" w:rsidP="005A705D">
    <w:pPr>
      <w:spacing w:after="120"/>
      <w:jc w:val="center"/>
    </w:pPr>
    <w:r w:rsidRPr="005A705D">
      <w:t xml:space="preserve">• </w:t>
    </w:r>
    <w:hyperlink r:id="rId1" w:history="1">
      <w:r w:rsidRPr="005A705D">
        <w:rPr>
          <w:color w:val="0000FF"/>
          <w:u w:val="single"/>
        </w:rPr>
        <w:t>http://www.itu.int/council</w:t>
      </w:r>
    </w:hyperlink>
    <w:r w:rsidRPr="005A705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C9E" w14:textId="77777777" w:rsidR="00016B82" w:rsidRDefault="00016B82">
      <w:r>
        <w:t>____________________</w:t>
      </w:r>
    </w:p>
  </w:footnote>
  <w:footnote w:type="continuationSeparator" w:id="0">
    <w:p w14:paraId="606EC4A0" w14:textId="77777777" w:rsidR="00016B82" w:rsidRDefault="0001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41280D75" w:rsidR="003D1A72" w:rsidRDefault="003D1A72" w:rsidP="00CE433C">
    <w:pPr>
      <w:pStyle w:val="Header"/>
    </w:pPr>
    <w:r>
      <w:fldChar w:fldCharType="begin"/>
    </w:r>
    <w:r>
      <w:instrText>PAGE</w:instrText>
    </w:r>
    <w:r>
      <w:fldChar w:fldCharType="separate"/>
    </w:r>
    <w:r w:rsidR="00A54DD7">
      <w:rPr>
        <w:noProof/>
      </w:rPr>
      <w:t>3</w:t>
    </w:r>
    <w:r>
      <w:rPr>
        <w:noProof/>
      </w:rPr>
      <w:fldChar w:fldCharType="end"/>
    </w:r>
  </w:p>
  <w:p w14:paraId="637D4D0F" w14:textId="59022B03" w:rsidR="00426CF9" w:rsidRPr="00426CF9" w:rsidRDefault="003D1A72" w:rsidP="00426CF9">
    <w:pPr>
      <w:pStyle w:val="Header"/>
    </w:pPr>
    <w:r w:rsidRPr="00623AE3">
      <w:t>C</w:t>
    </w:r>
    <w:r>
      <w:t>22</w:t>
    </w:r>
    <w:r w:rsidRPr="00623AE3">
      <w:t>/</w:t>
    </w:r>
    <w:r w:rsidR="004E5DE0">
      <w:t>72</w:t>
    </w:r>
    <w:r w:rsidRPr="00623AE3">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3"/>
  </w:num>
  <w:num w:numId="4">
    <w:abstractNumId w:val="27"/>
  </w:num>
  <w:num w:numId="5">
    <w:abstractNumId w:val="3"/>
  </w:num>
  <w:num w:numId="6">
    <w:abstractNumId w:val="7"/>
  </w:num>
  <w:num w:numId="7">
    <w:abstractNumId w:val="17"/>
  </w:num>
  <w:num w:numId="8">
    <w:abstractNumId w:val="26"/>
  </w:num>
  <w:num w:numId="9">
    <w:abstractNumId w:val="19"/>
  </w:num>
  <w:num w:numId="10">
    <w:abstractNumId w:val="16"/>
  </w:num>
  <w:num w:numId="11">
    <w:abstractNumId w:val="24"/>
  </w:num>
  <w:num w:numId="12">
    <w:abstractNumId w:val="21"/>
  </w:num>
  <w:num w:numId="13">
    <w:abstractNumId w:val="11"/>
  </w:num>
  <w:num w:numId="14">
    <w:abstractNumId w:val="10"/>
  </w:num>
  <w:num w:numId="15">
    <w:abstractNumId w:val="15"/>
  </w:num>
  <w:num w:numId="16">
    <w:abstractNumId w:val="22"/>
  </w:num>
  <w:num w:numId="17">
    <w:abstractNumId w:val="4"/>
  </w:num>
  <w:num w:numId="18">
    <w:abstractNumId w:val="32"/>
  </w:num>
  <w:num w:numId="19">
    <w:abstractNumId w:val="6"/>
  </w:num>
  <w:num w:numId="20">
    <w:abstractNumId w:val="2"/>
  </w:num>
  <w:num w:numId="21">
    <w:abstractNumId w:val="33"/>
  </w:num>
  <w:num w:numId="22">
    <w:abstractNumId w:val="14"/>
  </w:num>
  <w:num w:numId="23">
    <w:abstractNumId w:val="28"/>
  </w:num>
  <w:num w:numId="24">
    <w:abstractNumId w:val="36"/>
  </w:num>
  <w:num w:numId="25">
    <w:abstractNumId w:val="18"/>
  </w:num>
  <w:num w:numId="26">
    <w:abstractNumId w:val="3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
  </w:num>
  <w:num w:numId="30">
    <w:abstractNumId w:val="8"/>
  </w:num>
  <w:num w:numId="31">
    <w:abstractNumId w:val="25"/>
  </w:num>
  <w:num w:numId="32">
    <w:abstractNumId w:val="20"/>
  </w:num>
  <w:num w:numId="33">
    <w:abstractNumId w:val="12"/>
  </w:num>
  <w:num w:numId="34">
    <w:abstractNumId w:val="35"/>
  </w:num>
  <w:num w:numId="35">
    <w:abstractNumId w:val="30"/>
  </w:num>
  <w:num w:numId="36">
    <w:abstractNumId w:val="1"/>
  </w:num>
  <w:num w:numId="37">
    <w:abstractNumId w:val="13"/>
  </w:num>
  <w:num w:numId="38">
    <w:abstractNumId w:val="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16B82"/>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A6917"/>
    <w:rsid w:val="001C628E"/>
    <w:rsid w:val="001E0F7B"/>
    <w:rsid w:val="002119FD"/>
    <w:rsid w:val="002130E0"/>
    <w:rsid w:val="00264425"/>
    <w:rsid w:val="00265875"/>
    <w:rsid w:val="0027303B"/>
    <w:rsid w:val="0028109B"/>
    <w:rsid w:val="002A2188"/>
    <w:rsid w:val="002B1F58"/>
    <w:rsid w:val="002C1C7A"/>
    <w:rsid w:val="0030160F"/>
    <w:rsid w:val="003049F1"/>
    <w:rsid w:val="00320223"/>
    <w:rsid w:val="00322D0D"/>
    <w:rsid w:val="003942D4"/>
    <w:rsid w:val="003958A8"/>
    <w:rsid w:val="003C2533"/>
    <w:rsid w:val="003D1A72"/>
    <w:rsid w:val="0040435A"/>
    <w:rsid w:val="00416A24"/>
    <w:rsid w:val="00426CF9"/>
    <w:rsid w:val="00431D9E"/>
    <w:rsid w:val="00433CE8"/>
    <w:rsid w:val="00434A5C"/>
    <w:rsid w:val="004544D9"/>
    <w:rsid w:val="00490E72"/>
    <w:rsid w:val="00491157"/>
    <w:rsid w:val="004921C8"/>
    <w:rsid w:val="004A1B8B"/>
    <w:rsid w:val="004D1851"/>
    <w:rsid w:val="004D599D"/>
    <w:rsid w:val="004E2EA5"/>
    <w:rsid w:val="004E3AEB"/>
    <w:rsid w:val="004E5DE0"/>
    <w:rsid w:val="0050223C"/>
    <w:rsid w:val="005243FF"/>
    <w:rsid w:val="00564FBC"/>
    <w:rsid w:val="00582442"/>
    <w:rsid w:val="00586984"/>
    <w:rsid w:val="005A705D"/>
    <w:rsid w:val="005F3269"/>
    <w:rsid w:val="00615009"/>
    <w:rsid w:val="00623AE3"/>
    <w:rsid w:val="0064737F"/>
    <w:rsid w:val="006535F1"/>
    <w:rsid w:val="0065557D"/>
    <w:rsid w:val="00662984"/>
    <w:rsid w:val="006716BB"/>
    <w:rsid w:val="00675252"/>
    <w:rsid w:val="006806B2"/>
    <w:rsid w:val="006B6680"/>
    <w:rsid w:val="006B6DCC"/>
    <w:rsid w:val="00702DEF"/>
    <w:rsid w:val="00706861"/>
    <w:rsid w:val="0072211D"/>
    <w:rsid w:val="0075051B"/>
    <w:rsid w:val="0078519A"/>
    <w:rsid w:val="00793188"/>
    <w:rsid w:val="00794D34"/>
    <w:rsid w:val="007C0120"/>
    <w:rsid w:val="00803BF9"/>
    <w:rsid w:val="00813E5E"/>
    <w:rsid w:val="0083581B"/>
    <w:rsid w:val="0084178D"/>
    <w:rsid w:val="008459BB"/>
    <w:rsid w:val="00864AFF"/>
    <w:rsid w:val="008A573B"/>
    <w:rsid w:val="008B4A6A"/>
    <w:rsid w:val="008C7E27"/>
    <w:rsid w:val="008F62B7"/>
    <w:rsid w:val="009173EF"/>
    <w:rsid w:val="00932906"/>
    <w:rsid w:val="00961B0B"/>
    <w:rsid w:val="009B38C3"/>
    <w:rsid w:val="009E17BD"/>
    <w:rsid w:val="009E485A"/>
    <w:rsid w:val="00A04CEC"/>
    <w:rsid w:val="00A12510"/>
    <w:rsid w:val="00A27F92"/>
    <w:rsid w:val="00A32257"/>
    <w:rsid w:val="00A36D20"/>
    <w:rsid w:val="00A54DD7"/>
    <w:rsid w:val="00A55622"/>
    <w:rsid w:val="00A83502"/>
    <w:rsid w:val="00AB291B"/>
    <w:rsid w:val="00AD15B3"/>
    <w:rsid w:val="00AF2CD4"/>
    <w:rsid w:val="00AF6E49"/>
    <w:rsid w:val="00B04A67"/>
    <w:rsid w:val="00B0583C"/>
    <w:rsid w:val="00B26954"/>
    <w:rsid w:val="00B40A81"/>
    <w:rsid w:val="00B44910"/>
    <w:rsid w:val="00B661CF"/>
    <w:rsid w:val="00B72267"/>
    <w:rsid w:val="00B76EB6"/>
    <w:rsid w:val="00B7737B"/>
    <w:rsid w:val="00B824C8"/>
    <w:rsid w:val="00B84B9D"/>
    <w:rsid w:val="00BB6EEE"/>
    <w:rsid w:val="00BC251A"/>
    <w:rsid w:val="00BC3DF6"/>
    <w:rsid w:val="00BD032B"/>
    <w:rsid w:val="00BE2640"/>
    <w:rsid w:val="00C01189"/>
    <w:rsid w:val="00C374DE"/>
    <w:rsid w:val="00C45482"/>
    <w:rsid w:val="00C47AD4"/>
    <w:rsid w:val="00C52D81"/>
    <w:rsid w:val="00C55198"/>
    <w:rsid w:val="00C72F5F"/>
    <w:rsid w:val="00CA6393"/>
    <w:rsid w:val="00CB18FF"/>
    <w:rsid w:val="00CD0C08"/>
    <w:rsid w:val="00CE03FB"/>
    <w:rsid w:val="00CE433C"/>
    <w:rsid w:val="00CF33F3"/>
    <w:rsid w:val="00D00934"/>
    <w:rsid w:val="00D06183"/>
    <w:rsid w:val="00D13A0A"/>
    <w:rsid w:val="00D22C42"/>
    <w:rsid w:val="00D65041"/>
    <w:rsid w:val="00D97982"/>
    <w:rsid w:val="00DB339C"/>
    <w:rsid w:val="00DB384B"/>
    <w:rsid w:val="00DF39A6"/>
    <w:rsid w:val="00E10E80"/>
    <w:rsid w:val="00E124F0"/>
    <w:rsid w:val="00E60F04"/>
    <w:rsid w:val="00E854E4"/>
    <w:rsid w:val="00EB0D6F"/>
    <w:rsid w:val="00EB2232"/>
    <w:rsid w:val="00EB3BE1"/>
    <w:rsid w:val="00EB4EC2"/>
    <w:rsid w:val="00EC5337"/>
    <w:rsid w:val="00F2150A"/>
    <w:rsid w:val="00F231D8"/>
    <w:rsid w:val="00F45438"/>
    <w:rsid w:val="00F46C5F"/>
    <w:rsid w:val="00F73ED5"/>
    <w:rsid w:val="00F94A63"/>
    <w:rsid w:val="00FA1C28"/>
    <w:rsid w:val="00FB1279"/>
    <w:rsid w:val="00FB7596"/>
    <w:rsid w:val="00FC11CB"/>
    <w:rsid w:val="00FE4077"/>
    <w:rsid w:val="00FE77D2"/>
    <w:rsid w:val="00FF0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C45482"/>
    <w:rPr>
      <w:sz w:val="20"/>
    </w:rPr>
  </w:style>
  <w:style w:type="character" w:customStyle="1" w:styleId="CommentTextChar">
    <w:name w:val="Comment Text Char"/>
    <w:basedOn w:val="DefaultParagraphFont"/>
    <w:link w:val="CommentText"/>
    <w:uiPriority w:val="99"/>
    <w:semiHidden/>
    <w:rsid w:val="00C45482"/>
    <w:rPr>
      <w:rFonts w:ascii="Calibri" w:hAnsi="Calibri"/>
      <w:lang w:val="en-GB" w:eastAsia="en-US"/>
    </w:rPr>
  </w:style>
  <w:style w:type="character" w:styleId="CommentReference">
    <w:name w:val="annotation reference"/>
    <w:uiPriority w:val="99"/>
    <w:semiHidden/>
    <w:rsid w:val="00C45482"/>
    <w:rPr>
      <w:sz w:val="16"/>
      <w:szCs w:val="16"/>
    </w:rPr>
  </w:style>
  <w:style w:type="table" w:customStyle="1" w:styleId="TableGrid1">
    <w:name w:val="Table Grid1"/>
    <w:basedOn w:val="TableNormal"/>
    <w:next w:val="TableGrid"/>
    <w:uiPriority w:val="39"/>
    <w:rsid w:val="00C4548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3BE1"/>
    <w:rPr>
      <w:color w:val="605E5C"/>
      <w:shd w:val="clear" w:color="auto" w:fill="E1DFDD"/>
    </w:rPr>
  </w:style>
  <w:style w:type="character" w:customStyle="1" w:styleId="HeaderChar">
    <w:name w:val="Header Char"/>
    <w:basedOn w:val="DefaultParagraphFont"/>
    <w:link w:val="Header"/>
    <w:uiPriority w:val="99"/>
    <w:rsid w:val="00EB3BE1"/>
    <w:rPr>
      <w:rFonts w:ascii="Calibri" w:hAnsi="Calibri"/>
      <w:sz w:val="18"/>
      <w:lang w:val="en-GB" w:eastAsia="en-US"/>
    </w:rPr>
  </w:style>
  <w:style w:type="paragraph" w:styleId="ListParagraph">
    <w:name w:val="List Paragraph"/>
    <w:basedOn w:val="Normal"/>
    <w:uiPriority w:val="34"/>
    <w:qFormat/>
    <w:rsid w:val="00EB3BE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EB3BE1"/>
  </w:style>
  <w:style w:type="paragraph" w:styleId="Date">
    <w:name w:val="Date"/>
    <w:basedOn w:val="Normal"/>
    <w:next w:val="Normal"/>
    <w:link w:val="DateChar"/>
    <w:uiPriority w:val="99"/>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EB3BE1"/>
    <w:rPr>
      <w:rFonts w:ascii="Times New Roman" w:hAnsi="Times New Roman"/>
      <w:sz w:val="24"/>
      <w:lang w:val="en-GB" w:eastAsia="en-US"/>
    </w:rPr>
  </w:style>
  <w:style w:type="paragraph" w:styleId="PlainText">
    <w:name w:val="Plain Text"/>
    <w:basedOn w:val="Normal"/>
    <w:link w:val="PlainTextChar"/>
    <w:uiPriority w:val="99"/>
    <w:semiHidden/>
    <w:unhideWhenUsed/>
    <w:rsid w:val="00EB3BE1"/>
    <w:pPr>
      <w:tabs>
        <w:tab w:val="clear" w:pos="567"/>
        <w:tab w:val="clear" w:pos="1134"/>
        <w:tab w:val="clear" w:pos="1701"/>
        <w:tab w:val="clear" w:pos="2268"/>
        <w:tab w:val="clear" w:pos="2835"/>
      </w:tabs>
      <w:overflowPunct/>
      <w:autoSpaceDE/>
      <w:autoSpaceDN/>
      <w:adjustRightInd/>
      <w:spacing w:before="0"/>
      <w:textAlignment w:val="auto"/>
    </w:pPr>
    <w:rPr>
      <w:rFonts w:cs="Consolas"/>
      <w:sz w:val="22"/>
      <w:szCs w:val="21"/>
      <w:lang w:val="en-US" w:eastAsia="zh-CN"/>
    </w:rPr>
  </w:style>
  <w:style w:type="character" w:customStyle="1" w:styleId="PlainTextChar">
    <w:name w:val="Plain Text Char"/>
    <w:basedOn w:val="DefaultParagraphFont"/>
    <w:link w:val="PlainText"/>
    <w:uiPriority w:val="99"/>
    <w:semiHidden/>
    <w:rsid w:val="00EB3BE1"/>
    <w:rPr>
      <w:rFonts w:ascii="Calibri" w:eastAsiaTheme="minorEastAsia" w:hAnsi="Calibri" w:cs="Consolas"/>
      <w:sz w:val="22"/>
      <w:szCs w:val="21"/>
    </w:rPr>
  </w:style>
  <w:style w:type="character" w:customStyle="1" w:styleId="FooterChar">
    <w:name w:val="Footer Char"/>
    <w:basedOn w:val="DefaultParagraphFont"/>
    <w:link w:val="Footer"/>
    <w:uiPriority w:val="99"/>
    <w:rsid w:val="00EB3BE1"/>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EB3BE1"/>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EB3BE1"/>
    <w:rPr>
      <w:rFonts w:ascii="Times New Roman" w:hAnsi="Times New Roman"/>
      <w:b/>
      <w:bCs/>
      <w:lang w:val="en-GB" w:eastAsia="en-US"/>
    </w:rPr>
  </w:style>
  <w:style w:type="paragraph" w:styleId="BalloonText">
    <w:name w:val="Balloon Text"/>
    <w:basedOn w:val="Normal"/>
    <w:link w:val="BalloonTextChar"/>
    <w:uiPriority w:val="99"/>
    <w:semiHidden/>
    <w:unhideWhenUsed/>
    <w:rsid w:val="00EB3BE1"/>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E1"/>
    <w:rPr>
      <w:rFonts w:ascii="Segoe UI" w:hAnsi="Segoe UI" w:cs="Segoe UI"/>
      <w:sz w:val="18"/>
      <w:szCs w:val="18"/>
      <w:lang w:val="en-GB" w:eastAsia="en-US"/>
    </w:rPr>
  </w:style>
  <w:style w:type="character" w:customStyle="1" w:styleId="UnresolvedMention10">
    <w:name w:val="Unresolved Mention1"/>
    <w:basedOn w:val="DefaultParagraphFont"/>
    <w:uiPriority w:val="99"/>
    <w:semiHidden/>
    <w:unhideWhenUsed/>
    <w:rsid w:val="00EB3BE1"/>
    <w:rPr>
      <w:color w:val="605E5C"/>
      <w:shd w:val="clear" w:color="auto" w:fill="E1DFDD"/>
    </w:rPr>
  </w:style>
  <w:style w:type="character" w:customStyle="1" w:styleId="NormalaftertitleChar">
    <w:name w:val="Normal after title Char"/>
    <w:basedOn w:val="DefaultParagraphFont"/>
    <w:link w:val="Normalaftertitle"/>
    <w:rsid w:val="00EB3BE1"/>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EB3BE1"/>
    <w:rPr>
      <w:color w:val="605E5C"/>
      <w:shd w:val="clear" w:color="auto" w:fill="E1DFDD"/>
    </w:rPr>
  </w:style>
  <w:style w:type="character" w:customStyle="1" w:styleId="Heading1Char">
    <w:name w:val="Heading 1 Char"/>
    <w:basedOn w:val="DefaultParagraphFont"/>
    <w:link w:val="Heading1"/>
    <w:rsid w:val="00EB3BE1"/>
    <w:rPr>
      <w:rFonts w:ascii="Calibri" w:hAnsi="Calibri"/>
      <w:b/>
      <w:sz w:val="28"/>
      <w:lang w:val="en-GB" w:eastAsia="en-US"/>
    </w:rPr>
  </w:style>
  <w:style w:type="character" w:customStyle="1" w:styleId="Heading2Char">
    <w:name w:val="Heading 2 Char"/>
    <w:basedOn w:val="DefaultParagraphFont"/>
    <w:link w:val="Heading2"/>
    <w:rsid w:val="00EB3BE1"/>
    <w:rPr>
      <w:rFonts w:ascii="Calibri" w:hAnsi="Calibri"/>
      <w:b/>
      <w:sz w:val="24"/>
      <w:lang w:val="en-GB" w:eastAsia="en-US"/>
    </w:rPr>
  </w:style>
  <w:style w:type="character" w:customStyle="1" w:styleId="Heading3Char">
    <w:name w:val="Heading 3 Char"/>
    <w:basedOn w:val="DefaultParagraphFont"/>
    <w:link w:val="Heading3"/>
    <w:rsid w:val="00EB3BE1"/>
    <w:rPr>
      <w:rFonts w:ascii="Calibri" w:hAnsi="Calibri"/>
      <w:b/>
      <w:sz w:val="24"/>
      <w:lang w:val="en-GB" w:eastAsia="en-US"/>
    </w:rPr>
  </w:style>
  <w:style w:type="character" w:customStyle="1" w:styleId="Heading4Char">
    <w:name w:val="Heading 4 Char"/>
    <w:basedOn w:val="DefaultParagraphFont"/>
    <w:link w:val="Heading4"/>
    <w:rsid w:val="00EB3BE1"/>
    <w:rPr>
      <w:rFonts w:ascii="Calibri" w:hAnsi="Calibri"/>
      <w:b/>
      <w:sz w:val="24"/>
      <w:lang w:val="en-GB" w:eastAsia="en-US"/>
    </w:rPr>
  </w:style>
  <w:style w:type="character" w:customStyle="1" w:styleId="Heading5Char">
    <w:name w:val="Heading 5 Char"/>
    <w:basedOn w:val="DefaultParagraphFont"/>
    <w:link w:val="Heading5"/>
    <w:rsid w:val="00EB3BE1"/>
    <w:rPr>
      <w:rFonts w:ascii="Calibri" w:hAnsi="Calibri"/>
      <w:b/>
      <w:sz w:val="24"/>
      <w:lang w:val="en-GB" w:eastAsia="en-US"/>
    </w:rPr>
  </w:style>
  <w:style w:type="character" w:customStyle="1" w:styleId="Heading6Char">
    <w:name w:val="Heading 6 Char"/>
    <w:basedOn w:val="DefaultParagraphFont"/>
    <w:link w:val="Heading6"/>
    <w:rsid w:val="00EB3BE1"/>
    <w:rPr>
      <w:rFonts w:ascii="Calibri" w:hAnsi="Calibri"/>
      <w:b/>
      <w:sz w:val="24"/>
      <w:lang w:val="en-GB" w:eastAsia="en-US"/>
    </w:rPr>
  </w:style>
  <w:style w:type="paragraph" w:styleId="Title">
    <w:name w:val="Title"/>
    <w:basedOn w:val="Normal"/>
    <w:next w:val="Normal"/>
    <w:link w:val="TitleChar"/>
    <w:rsid w:val="00EB3BE1"/>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EB3BE1"/>
    <w:rPr>
      <w:rFonts w:ascii="Arial" w:eastAsia="Arial" w:hAnsi="Arial" w:cs="Arial"/>
      <w:sz w:val="52"/>
      <w:szCs w:val="52"/>
      <w:lang w:val="en-GB" w:eastAsia="en-GB"/>
    </w:rPr>
  </w:style>
  <w:style w:type="paragraph" w:styleId="Subtitle">
    <w:name w:val="Subtitle"/>
    <w:basedOn w:val="Normal"/>
    <w:next w:val="Normal"/>
    <w:link w:val="SubtitleChar"/>
    <w:rsid w:val="00EB3BE1"/>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EB3BE1"/>
    <w:rPr>
      <w:rFonts w:ascii="Arial" w:eastAsia="Arial" w:hAnsi="Arial" w:cs="Arial"/>
      <w:color w:val="666666"/>
      <w:sz w:val="30"/>
      <w:szCs w:val="30"/>
      <w:lang w:val="en-GB" w:eastAsia="en-GB"/>
    </w:rPr>
  </w:style>
  <w:style w:type="paragraph" w:styleId="Revision">
    <w:name w:val="Revision"/>
    <w:hidden/>
    <w:uiPriority w:val="99"/>
    <w:semiHidden/>
    <w:rsid w:val="00EB3BE1"/>
    <w:rPr>
      <w:rFonts w:ascii="Arial" w:eastAsia="Arial" w:hAnsi="Arial" w:cs="Arial"/>
      <w:sz w:val="22"/>
      <w:szCs w:val="22"/>
      <w:lang w:val="en-GB" w:eastAsia="en-GB"/>
    </w:rPr>
  </w:style>
  <w:style w:type="character" w:customStyle="1" w:styleId="qowt-font2-calibri">
    <w:name w:val="qowt-font2-calibri"/>
    <w:basedOn w:val="DefaultParagraphFont"/>
    <w:rsid w:val="00EB3BE1"/>
  </w:style>
  <w:style w:type="character" w:styleId="UnresolvedMention">
    <w:name w:val="Unresolved Mention"/>
    <w:basedOn w:val="DefaultParagraphFont"/>
    <w:uiPriority w:val="99"/>
    <w:semiHidden/>
    <w:unhideWhenUsed/>
    <w:rsid w:val="005A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638C-6F3A-4749-8D65-D5BE66C9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0</TotalTime>
  <Pages>3</Pages>
  <Words>710</Words>
  <Characters>4147</Characters>
  <Application>Microsoft Office Word</Application>
  <DocSecurity>4</DocSecurity>
  <Lines>94</Lines>
  <Paragraphs>38</Paragraphs>
  <ScaleCrop>false</ScaleCrop>
  <HeadingPairs>
    <vt:vector size="2" baseType="variant">
      <vt:variant>
        <vt:lpstr>Title</vt:lpstr>
      </vt:variant>
      <vt:variant>
        <vt:i4>1</vt:i4>
      </vt:variant>
    </vt:vector>
  </HeadingPairs>
  <TitlesOfParts>
    <vt:vector size="1" baseType="lpstr">
      <vt:lpstr>Draft final report of the Expert Group on the International Telecommunication Regulations (EG-ITRs) to ITU Council 2022</vt:lpstr>
    </vt:vector>
  </TitlesOfParts>
  <Manager>General Secretariat - Pool</Manager>
  <Company>International Telecommunication Union (ITU)</Company>
  <LinksUpToDate>false</LinksUpToDate>
  <CharactersWithSpaces>4819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keeping the Expert Group on International Telecommunication Regulations (EG-ITRS)</dc:title>
  <dc:subject>Council 2022</dc:subject>
  <dc:creator>Brouard, Ricarda</dc:creator>
  <cp:keywords>C2022, C22, Council-22</cp:keywords>
  <dc:description/>
  <cp:lastModifiedBy>Xue, Kun</cp:lastModifiedBy>
  <cp:revision>2</cp:revision>
  <cp:lastPrinted>2000-07-18T13:30:00Z</cp:lastPrinted>
  <dcterms:created xsi:type="dcterms:W3CDTF">2022-03-11T19:25:00Z</dcterms:created>
  <dcterms:modified xsi:type="dcterms:W3CDTF">2022-03-11T19:25:00Z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