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4A0" w:firstRow="1" w:lastRow="0" w:firstColumn="1" w:lastColumn="0" w:noHBand="0" w:noVBand="1"/>
      </w:tblPr>
      <w:tblGrid>
        <w:gridCol w:w="6911"/>
        <w:gridCol w:w="3120"/>
      </w:tblGrid>
      <w:tr w:rsidR="007850EF" w14:paraId="50A9E312" w14:textId="77777777">
        <w:trPr>
          <w:cantSplit/>
        </w:trPr>
        <w:tc>
          <w:tcPr>
            <w:tcW w:w="6911" w:type="dxa"/>
          </w:tcPr>
          <w:p w14:paraId="50A9E310" w14:textId="6C08E4D3" w:rsidR="007850EF" w:rsidRDefault="00F76D1A">
            <w:pPr>
              <w:spacing w:before="360" w:after="48"/>
              <w:rPr>
                <w:position w:val="6"/>
                <w:lang w:eastAsia="zh-CN"/>
              </w:rPr>
            </w:pPr>
            <w:r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2022</w:t>
            </w:r>
            <w:r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21-31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50A9E311" w14:textId="77777777" w:rsidR="007850EF" w:rsidRDefault="00004A91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50A9E345" wp14:editId="50A9E346">
                  <wp:extent cx="681990" cy="719455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0EF" w14:paraId="50A9E31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0A9E313" w14:textId="77777777" w:rsidR="007850EF" w:rsidRDefault="007850EF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0A9E314" w14:textId="77777777" w:rsidR="007850EF" w:rsidRDefault="007850EF">
            <w:pPr>
              <w:spacing w:before="0"/>
              <w:rPr>
                <w:szCs w:val="24"/>
              </w:rPr>
            </w:pPr>
          </w:p>
        </w:tc>
      </w:tr>
      <w:tr w:rsidR="007850EF" w14:paraId="50A9E31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0A9E316" w14:textId="77777777" w:rsidR="007850EF" w:rsidRDefault="007850EF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0A9E317" w14:textId="77777777" w:rsidR="007850EF" w:rsidRDefault="007850EF">
            <w:pPr>
              <w:spacing w:before="0"/>
              <w:rPr>
                <w:szCs w:val="24"/>
              </w:rPr>
            </w:pPr>
          </w:p>
        </w:tc>
      </w:tr>
      <w:tr w:rsidR="0026387F" w14:paraId="50A9E31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0A9E319" w14:textId="5D80AF4A" w:rsidR="0026387F" w:rsidRDefault="00F76D1A" w:rsidP="0026387F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hint="eastAsia"/>
                <w:b/>
                <w:lang w:eastAsia="zh-CN"/>
              </w:rPr>
              <w:t>议项：</w:t>
            </w:r>
            <w:r w:rsidR="00C54FD4">
              <w:rPr>
                <w:b/>
              </w:rPr>
              <w:t>PL 1.7</w:t>
            </w:r>
          </w:p>
        </w:tc>
        <w:tc>
          <w:tcPr>
            <w:tcW w:w="3120" w:type="dxa"/>
          </w:tcPr>
          <w:p w14:paraId="50A9E31A" w14:textId="4B768157" w:rsidR="0026387F" w:rsidRDefault="0026387F" w:rsidP="0026387F">
            <w:pPr>
              <w:tabs>
                <w:tab w:val="left" w:pos="851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>
              <w:rPr>
                <w:b/>
                <w:bCs/>
                <w:sz w:val="20"/>
                <w:lang w:eastAsia="zh-CN"/>
              </w:rPr>
              <w:t xml:space="preserve"> </w:t>
            </w:r>
            <w:r>
              <w:rPr>
                <w:b/>
                <w:bCs/>
                <w:szCs w:val="24"/>
                <w:lang w:eastAsia="zh-CN"/>
              </w:rPr>
              <w:t>C22/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7</w:t>
            </w:r>
            <w:r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tr w:rsidR="0026387F" w14:paraId="50A9E31E" w14:textId="77777777">
        <w:trPr>
          <w:cantSplit/>
          <w:trHeight w:val="23"/>
        </w:trPr>
        <w:tc>
          <w:tcPr>
            <w:tcW w:w="6911" w:type="dxa"/>
            <w:vMerge/>
          </w:tcPr>
          <w:p w14:paraId="50A9E31C" w14:textId="77777777" w:rsidR="0026387F" w:rsidRDefault="0026387F" w:rsidP="0026387F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50A9E31D" w14:textId="49B02DDE" w:rsidR="0026387F" w:rsidRDefault="0026387F" w:rsidP="0026387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  <w:bCs/>
                <w:szCs w:val="24"/>
                <w:lang w:eastAsia="zh-CN"/>
              </w:rPr>
              <w:t>202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3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26387F" w14:paraId="50A9E321" w14:textId="77777777">
        <w:trPr>
          <w:cantSplit/>
          <w:trHeight w:val="23"/>
        </w:trPr>
        <w:tc>
          <w:tcPr>
            <w:tcW w:w="6911" w:type="dxa"/>
            <w:vMerge/>
          </w:tcPr>
          <w:p w14:paraId="50A9E31F" w14:textId="77777777" w:rsidR="0026387F" w:rsidRDefault="0026387F" w:rsidP="0026387F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50A9E320" w14:textId="2C3F7D25" w:rsidR="0026387F" w:rsidRDefault="0026387F" w:rsidP="0026387F">
            <w:pPr>
              <w:tabs>
                <w:tab w:val="left" w:pos="993"/>
              </w:tabs>
              <w:spacing w:before="0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中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  <w:tr w:rsidR="007850EF" w14:paraId="50A9E323" w14:textId="77777777">
        <w:trPr>
          <w:cantSplit/>
        </w:trPr>
        <w:tc>
          <w:tcPr>
            <w:tcW w:w="10031" w:type="dxa"/>
            <w:gridSpan w:val="2"/>
          </w:tcPr>
          <w:p w14:paraId="50A9E322" w14:textId="77777777" w:rsidR="007850EF" w:rsidRDefault="00004A91">
            <w:pPr>
              <w:pStyle w:val="Source"/>
              <w:rPr>
                <w:lang w:val="en-US" w:eastAsia="zh-CN"/>
              </w:rPr>
            </w:pPr>
            <w:bookmarkStart w:id="6" w:name="dsource" w:colFirst="0" w:colLast="0"/>
            <w:bookmarkEnd w:id="5"/>
            <w:r>
              <w:rPr>
                <w:rFonts w:hint="eastAsia"/>
                <w:lang w:val="en-US" w:eastAsia="zh-CN"/>
              </w:rPr>
              <w:t>中华人民共和国提案</w:t>
            </w:r>
          </w:p>
        </w:tc>
      </w:tr>
      <w:tr w:rsidR="007850EF" w14:paraId="50A9E325" w14:textId="77777777">
        <w:trPr>
          <w:cantSplit/>
        </w:trPr>
        <w:tc>
          <w:tcPr>
            <w:tcW w:w="10031" w:type="dxa"/>
            <w:gridSpan w:val="2"/>
          </w:tcPr>
          <w:p w14:paraId="50A9E324" w14:textId="77777777" w:rsidR="007850EF" w:rsidRDefault="00004A91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rFonts w:hint="eastAsia"/>
                <w:lang w:eastAsia="zh-CN"/>
              </w:rPr>
              <w:t>关于保留《国际电信规则》专家组的建议</w:t>
            </w:r>
          </w:p>
        </w:tc>
      </w:tr>
      <w:bookmarkEnd w:id="7"/>
    </w:tbl>
    <w:p w14:paraId="50A9E326" w14:textId="77777777" w:rsidR="007850EF" w:rsidRDefault="007850EF">
      <w:pPr>
        <w:rPr>
          <w:lang w:eastAsia="zh-CN"/>
        </w:rPr>
      </w:pPr>
    </w:p>
    <w:tbl>
      <w:tblPr>
        <w:tblW w:w="855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8"/>
      </w:tblGrid>
      <w:tr w:rsidR="007850EF" w14:paraId="50A9E32F" w14:textId="77777777">
        <w:trPr>
          <w:trHeight w:val="3372"/>
        </w:trPr>
        <w:tc>
          <w:tcPr>
            <w:tcW w:w="8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9E327" w14:textId="77777777" w:rsidR="007850EF" w:rsidRDefault="00004A91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概述</w:t>
            </w:r>
          </w:p>
          <w:p w14:paraId="50A9E328" w14:textId="43140F7F" w:rsidR="007850EF" w:rsidRDefault="00004A91" w:rsidP="00C54FD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line="360" w:lineRule="auto"/>
              <w:ind w:firstLine="470"/>
              <w:jc w:val="both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建议未来继续保留《国际电信规则》专家组，在</w:t>
            </w:r>
            <w:r>
              <w:rPr>
                <w:rFonts w:hint="eastAsia"/>
                <w:szCs w:val="24"/>
                <w:lang w:val="en-US" w:eastAsia="zh-CN"/>
              </w:rPr>
              <w:t>前两届</w:t>
            </w:r>
            <w:r>
              <w:rPr>
                <w:rFonts w:hint="eastAsia"/>
                <w:szCs w:val="24"/>
                <w:lang w:eastAsia="zh-CN"/>
              </w:rPr>
              <w:t>专家组已经取得的</w:t>
            </w:r>
            <w:r>
              <w:rPr>
                <w:rFonts w:hint="eastAsia"/>
                <w:szCs w:val="24"/>
                <w:lang w:val="en-US" w:eastAsia="zh-CN"/>
              </w:rPr>
              <w:t>坚实的</w:t>
            </w:r>
            <w:r>
              <w:rPr>
                <w:rFonts w:hint="eastAsia"/>
                <w:szCs w:val="24"/>
                <w:lang w:eastAsia="zh-CN"/>
              </w:rPr>
              <w:t>工作成果基础上，持续推进《国际电信规则》审查及相关工作，</w:t>
            </w:r>
            <w:r>
              <w:rPr>
                <w:rFonts w:hint="eastAsia"/>
                <w:szCs w:val="24"/>
                <w:lang w:val="en-US" w:eastAsia="zh-CN"/>
              </w:rPr>
              <w:t>推动达成更大范围的共识和更多成果</w:t>
            </w:r>
            <w:r>
              <w:rPr>
                <w:rFonts w:hint="eastAsia"/>
                <w:szCs w:val="24"/>
                <w:lang w:eastAsia="zh-CN"/>
              </w:rPr>
              <w:t>。</w:t>
            </w:r>
          </w:p>
          <w:p w14:paraId="50A9E329" w14:textId="77777777" w:rsidR="007850EF" w:rsidRDefault="00004A91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需采取的行动</w:t>
            </w:r>
          </w:p>
          <w:p w14:paraId="50A9E32A" w14:textId="18A7AAF3" w:rsidR="007850EF" w:rsidRDefault="00004A91" w:rsidP="00C54FD4">
            <w:pPr>
              <w:ind w:firstLine="47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请理事会对该文稿进行审议并采取相应行动。</w:t>
            </w:r>
          </w:p>
          <w:p w14:paraId="50A9E32B" w14:textId="27364577" w:rsidR="007850EF" w:rsidRDefault="00FC34C1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50A9E32C" w14:textId="77777777" w:rsidR="007850EF" w:rsidRDefault="00004A91">
            <w:pPr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参考文件</w:t>
            </w:r>
          </w:p>
          <w:p w14:paraId="50A9E32D" w14:textId="36F2E8C4" w:rsidR="007850EF" w:rsidRDefault="00004A91" w:rsidP="00C54FD4">
            <w:pPr>
              <w:ind w:firstLine="45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  <w:p w14:paraId="50A9E32E" w14:textId="77777777" w:rsidR="007850EF" w:rsidRDefault="007850EF">
            <w:pPr>
              <w:rPr>
                <w:lang w:val="en-US" w:eastAsia="zh-CN"/>
              </w:rPr>
            </w:pPr>
          </w:p>
        </w:tc>
      </w:tr>
    </w:tbl>
    <w:p w14:paraId="50A9E330" w14:textId="77777777" w:rsidR="007850EF" w:rsidRDefault="007850EF">
      <w:pPr>
        <w:rPr>
          <w:lang w:val="en-US"/>
        </w:rPr>
      </w:pPr>
      <w:bookmarkStart w:id="8" w:name="dbreak"/>
      <w:bookmarkStart w:id="9" w:name="dstart"/>
      <w:bookmarkEnd w:id="8"/>
      <w:bookmarkEnd w:id="9"/>
    </w:p>
    <w:p w14:paraId="50A9E331" w14:textId="1D5FE8F9" w:rsidR="00FC34C1" w:rsidRDefault="00FC34C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50A9E33D" w14:textId="7092C866" w:rsidR="007850EF" w:rsidRDefault="00004A91" w:rsidP="00FC34C1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center" w:pos="4819"/>
        </w:tabs>
        <w:rPr>
          <w:lang w:val="en-US" w:eastAsia="zh-CN"/>
        </w:rPr>
      </w:pPr>
      <w:r>
        <w:rPr>
          <w:rFonts w:hint="eastAsia"/>
          <w:lang w:eastAsia="zh-CN"/>
        </w:rPr>
        <w:lastRenderedPageBreak/>
        <w:t>一、</w:t>
      </w:r>
      <w:r>
        <w:rPr>
          <w:rFonts w:hint="eastAsia"/>
          <w:lang w:val="en-US" w:eastAsia="zh-CN"/>
        </w:rPr>
        <w:t>背景</w:t>
      </w:r>
      <w:r w:rsidR="00FC34C1">
        <w:rPr>
          <w:lang w:val="en-US" w:eastAsia="zh-CN"/>
        </w:rPr>
        <w:tab/>
      </w:r>
      <w:r w:rsidR="00FC34C1">
        <w:rPr>
          <w:lang w:val="en-US" w:eastAsia="zh-CN"/>
        </w:rPr>
        <w:tab/>
      </w:r>
    </w:p>
    <w:p w14:paraId="50A9E33E" w14:textId="77777777" w:rsidR="007850EF" w:rsidRDefault="00004A9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line="360" w:lineRule="auto"/>
        <w:ind w:firstLineChars="200" w:firstLine="480"/>
        <w:jc w:val="both"/>
        <w:rPr>
          <w:szCs w:val="24"/>
          <w:lang w:val="en-US" w:eastAsia="zh-CN"/>
        </w:rPr>
      </w:pPr>
      <w:r>
        <w:rPr>
          <w:rFonts w:hint="eastAsia"/>
          <w:szCs w:val="24"/>
          <w:lang w:eastAsia="zh-CN"/>
        </w:rPr>
        <w:t>根据</w:t>
      </w:r>
      <w:r>
        <w:rPr>
          <w:rFonts w:hint="eastAsia"/>
          <w:szCs w:val="24"/>
          <w:lang w:val="en-US" w:eastAsia="zh-CN"/>
        </w:rPr>
        <w:t>PP-14</w:t>
      </w:r>
      <w:r>
        <w:rPr>
          <w:rFonts w:hint="eastAsia"/>
          <w:szCs w:val="24"/>
          <w:lang w:eastAsia="zh-CN"/>
        </w:rPr>
        <w:t>第</w:t>
      </w:r>
      <w:r>
        <w:rPr>
          <w:rFonts w:hint="eastAsia"/>
          <w:szCs w:val="24"/>
          <w:lang w:eastAsia="zh-CN"/>
        </w:rPr>
        <w:t>146</w:t>
      </w:r>
      <w:r>
        <w:rPr>
          <w:rFonts w:hint="eastAsia"/>
          <w:szCs w:val="24"/>
          <w:lang w:eastAsia="zh-CN"/>
        </w:rPr>
        <w:t>号决议（</w:t>
      </w:r>
      <w:r>
        <w:rPr>
          <w:rFonts w:hint="eastAsia"/>
          <w:szCs w:val="24"/>
          <w:lang w:eastAsia="zh-CN"/>
        </w:rPr>
        <w:t>2014</w:t>
      </w:r>
      <w:r>
        <w:rPr>
          <w:rFonts w:hint="eastAsia"/>
          <w:szCs w:val="24"/>
          <w:lang w:eastAsia="zh-CN"/>
        </w:rPr>
        <w:t>年，釜山，修订版），国际电联理事会</w:t>
      </w:r>
      <w:r>
        <w:rPr>
          <w:rFonts w:hint="eastAsia"/>
          <w:szCs w:val="24"/>
          <w:lang w:eastAsia="zh-CN"/>
        </w:rPr>
        <w:t>2016</w:t>
      </w:r>
      <w:r>
        <w:rPr>
          <w:rFonts w:hint="eastAsia"/>
          <w:szCs w:val="24"/>
          <w:lang w:eastAsia="zh-CN"/>
        </w:rPr>
        <w:t>年会议通过了第</w:t>
      </w:r>
      <w:r>
        <w:rPr>
          <w:rFonts w:hint="eastAsia"/>
          <w:szCs w:val="24"/>
          <w:lang w:eastAsia="zh-CN"/>
        </w:rPr>
        <w:t>1379</w:t>
      </w:r>
      <w:r>
        <w:rPr>
          <w:rFonts w:hint="eastAsia"/>
          <w:szCs w:val="24"/>
          <w:lang w:eastAsia="zh-CN"/>
        </w:rPr>
        <w:t>号决议，成立向国际电</w:t>
      </w:r>
      <w:proofErr w:type="gramStart"/>
      <w:r>
        <w:rPr>
          <w:rFonts w:hint="eastAsia"/>
          <w:szCs w:val="24"/>
          <w:lang w:eastAsia="zh-CN"/>
        </w:rPr>
        <w:t>联所有</w:t>
      </w:r>
      <w:proofErr w:type="gramEnd"/>
      <w:r>
        <w:rPr>
          <w:rFonts w:hint="eastAsia"/>
          <w:szCs w:val="24"/>
          <w:lang w:eastAsia="zh-CN"/>
        </w:rPr>
        <w:t>成员国和部门成员开放的《国际电信规则》专家组（</w:t>
      </w:r>
      <w:r>
        <w:rPr>
          <w:szCs w:val="24"/>
          <w:lang w:eastAsia="zh-CN"/>
        </w:rPr>
        <w:t>EG-ITRs</w:t>
      </w:r>
      <w:r>
        <w:rPr>
          <w:rFonts w:hint="eastAsia"/>
          <w:szCs w:val="24"/>
          <w:lang w:eastAsia="zh-CN"/>
        </w:rPr>
        <w:t>）。</w:t>
      </w:r>
      <w:r>
        <w:rPr>
          <w:rFonts w:hint="eastAsia"/>
          <w:szCs w:val="24"/>
          <w:lang w:val="en-US" w:eastAsia="zh-CN"/>
        </w:rPr>
        <w:t>专家组于</w:t>
      </w:r>
      <w:r>
        <w:rPr>
          <w:rFonts w:hint="eastAsia"/>
          <w:szCs w:val="24"/>
          <w:lang w:val="en-US" w:eastAsia="zh-CN"/>
        </w:rPr>
        <w:t>2017</w:t>
      </w:r>
      <w:r>
        <w:rPr>
          <w:rFonts w:hint="eastAsia"/>
          <w:szCs w:val="24"/>
          <w:lang w:val="en-US" w:eastAsia="zh-CN"/>
        </w:rPr>
        <w:t>年</w:t>
      </w: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  <w:lang w:val="en-US" w:eastAsia="zh-CN"/>
        </w:rPr>
        <w:t>月至</w:t>
      </w:r>
      <w:r>
        <w:rPr>
          <w:rFonts w:hint="eastAsia"/>
          <w:szCs w:val="24"/>
          <w:lang w:val="en-US" w:eastAsia="zh-CN"/>
        </w:rPr>
        <w:t>2018</w:t>
      </w:r>
      <w:r>
        <w:rPr>
          <w:rFonts w:hint="eastAsia"/>
          <w:szCs w:val="24"/>
          <w:lang w:val="en-US" w:eastAsia="zh-CN"/>
        </w:rPr>
        <w:t>年</w:t>
      </w:r>
      <w:r>
        <w:rPr>
          <w:rFonts w:hint="eastAsia"/>
          <w:szCs w:val="24"/>
          <w:lang w:val="en-US" w:eastAsia="zh-CN"/>
        </w:rPr>
        <w:t>4</w:t>
      </w:r>
      <w:r>
        <w:rPr>
          <w:rFonts w:hint="eastAsia"/>
          <w:szCs w:val="24"/>
          <w:lang w:val="en-US" w:eastAsia="zh-CN"/>
        </w:rPr>
        <w:t>月先后</w:t>
      </w:r>
      <w:r>
        <w:rPr>
          <w:rFonts w:hint="eastAsia"/>
          <w:szCs w:val="24"/>
          <w:lang w:eastAsia="zh-CN"/>
        </w:rPr>
        <w:t>召开了四次实体会议，针对</w:t>
      </w:r>
      <w:r>
        <w:rPr>
          <w:rFonts w:hint="eastAsia"/>
          <w:szCs w:val="24"/>
          <w:lang w:eastAsia="zh-CN"/>
        </w:rPr>
        <w:t>2012</w:t>
      </w:r>
      <w:r>
        <w:rPr>
          <w:rFonts w:hint="eastAsia"/>
          <w:szCs w:val="24"/>
          <w:lang w:eastAsia="zh-CN"/>
        </w:rPr>
        <w:t>年版《国际电信规则》的适用性、关于</w:t>
      </w:r>
      <w:r>
        <w:rPr>
          <w:rFonts w:hint="eastAsia"/>
          <w:szCs w:val="24"/>
          <w:lang w:eastAsia="zh-CN"/>
        </w:rPr>
        <w:t>2012</w:t>
      </w:r>
      <w:r>
        <w:rPr>
          <w:rFonts w:hint="eastAsia"/>
          <w:szCs w:val="24"/>
          <w:lang w:eastAsia="zh-CN"/>
        </w:rPr>
        <w:t>年版《国际电信规则》的法律分析</w:t>
      </w:r>
      <w:r>
        <w:rPr>
          <w:rFonts w:hint="eastAsia"/>
          <w:szCs w:val="24"/>
          <w:lang w:val="en-US" w:eastAsia="zh-CN"/>
        </w:rPr>
        <w:t>以及</w:t>
      </w:r>
      <w:r>
        <w:rPr>
          <w:rFonts w:hint="eastAsia"/>
          <w:szCs w:val="24"/>
          <w:lang w:eastAsia="zh-CN"/>
        </w:rPr>
        <w:t>1988</w:t>
      </w:r>
      <w:r>
        <w:rPr>
          <w:rFonts w:hint="eastAsia"/>
          <w:szCs w:val="24"/>
          <w:lang w:eastAsia="zh-CN"/>
        </w:rPr>
        <w:t>年版和</w:t>
      </w:r>
      <w:r>
        <w:rPr>
          <w:rFonts w:hint="eastAsia"/>
          <w:szCs w:val="24"/>
          <w:lang w:eastAsia="zh-CN"/>
        </w:rPr>
        <w:t>2012</w:t>
      </w:r>
      <w:r>
        <w:rPr>
          <w:rFonts w:hint="eastAsia"/>
          <w:szCs w:val="24"/>
          <w:lang w:eastAsia="zh-CN"/>
        </w:rPr>
        <w:t>年版《国际电信规则》之间可能存在的矛盾</w:t>
      </w:r>
      <w:r>
        <w:rPr>
          <w:rFonts w:hint="eastAsia"/>
          <w:szCs w:val="24"/>
          <w:lang w:val="en-US" w:eastAsia="zh-CN"/>
        </w:rPr>
        <w:t>等关键问题进行了讨论并形成了相关观点。</w:t>
      </w:r>
    </w:p>
    <w:p w14:paraId="50A9E33F" w14:textId="77777777" w:rsidR="007850EF" w:rsidRDefault="00004A9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line="360" w:lineRule="auto"/>
        <w:ind w:firstLineChars="200" w:firstLine="48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PP-18</w:t>
      </w:r>
      <w:r>
        <w:rPr>
          <w:rFonts w:hint="eastAsia"/>
          <w:szCs w:val="24"/>
          <w:lang w:val="en-US" w:eastAsia="zh-CN"/>
        </w:rPr>
        <w:t>修订了</w:t>
      </w:r>
      <w:r>
        <w:rPr>
          <w:rFonts w:hint="eastAsia"/>
          <w:szCs w:val="24"/>
          <w:lang w:eastAsia="zh-CN"/>
        </w:rPr>
        <w:t>第</w:t>
      </w:r>
      <w:r>
        <w:rPr>
          <w:szCs w:val="24"/>
          <w:lang w:eastAsia="zh-CN"/>
        </w:rPr>
        <w:t>146</w:t>
      </w:r>
      <w:r>
        <w:rPr>
          <w:rFonts w:hint="eastAsia"/>
          <w:szCs w:val="24"/>
          <w:lang w:eastAsia="zh-CN"/>
        </w:rPr>
        <w:t>号决议（</w:t>
      </w:r>
      <w:r>
        <w:rPr>
          <w:szCs w:val="24"/>
          <w:lang w:eastAsia="zh-CN"/>
        </w:rPr>
        <w:t>2018</w:t>
      </w:r>
      <w:r>
        <w:rPr>
          <w:rFonts w:hint="eastAsia"/>
          <w:szCs w:val="24"/>
          <w:lang w:eastAsia="zh-CN"/>
        </w:rPr>
        <w:t>年，迪拜，修订版）</w:t>
      </w:r>
      <w:r>
        <w:rPr>
          <w:rFonts w:hint="eastAsia"/>
          <w:szCs w:val="24"/>
          <w:lang w:val="en-US" w:eastAsia="zh-CN"/>
        </w:rPr>
        <w:t>并</w:t>
      </w:r>
      <w:r>
        <w:rPr>
          <w:rFonts w:hint="eastAsia"/>
          <w:szCs w:val="24"/>
          <w:lang w:eastAsia="zh-CN"/>
        </w:rPr>
        <w:t>作出决议，对《国际电信规则》进行全面审议，并责成秘书长再次着手成立向国际电联成员国和部门成员开放的《国际电信规则》专家组，</w:t>
      </w:r>
      <w:r>
        <w:rPr>
          <w:szCs w:val="24"/>
          <w:lang w:eastAsia="zh-CN"/>
        </w:rPr>
        <w:t>2019</w:t>
      </w:r>
      <w:r>
        <w:rPr>
          <w:rFonts w:hint="eastAsia"/>
          <w:szCs w:val="24"/>
          <w:lang w:eastAsia="zh-CN"/>
        </w:rPr>
        <w:t>年理事会修订第</w:t>
      </w:r>
      <w:r>
        <w:rPr>
          <w:szCs w:val="24"/>
          <w:lang w:eastAsia="zh-CN"/>
        </w:rPr>
        <w:t>1379</w:t>
      </w:r>
      <w:r>
        <w:rPr>
          <w:rFonts w:hint="eastAsia"/>
          <w:szCs w:val="24"/>
          <w:lang w:eastAsia="zh-CN"/>
        </w:rPr>
        <w:t>号决议，明确了</w:t>
      </w:r>
      <w:r>
        <w:rPr>
          <w:rFonts w:hint="eastAsia"/>
          <w:szCs w:val="24"/>
          <w:lang w:val="en-US" w:eastAsia="zh-CN"/>
        </w:rPr>
        <w:t>新一届专家组</w:t>
      </w:r>
      <w:r>
        <w:rPr>
          <w:rFonts w:hint="eastAsia"/>
          <w:szCs w:val="24"/>
          <w:lang w:eastAsia="zh-CN"/>
        </w:rPr>
        <w:t>的具体职责范围。</w:t>
      </w:r>
      <w:r>
        <w:rPr>
          <w:szCs w:val="24"/>
          <w:lang w:eastAsia="zh-CN"/>
        </w:rPr>
        <w:t>2019</w:t>
      </w:r>
      <w:r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9</w:t>
      </w:r>
      <w:r>
        <w:rPr>
          <w:rFonts w:hint="eastAsia"/>
          <w:szCs w:val="24"/>
          <w:lang w:eastAsia="zh-CN"/>
        </w:rPr>
        <w:t>月，</w:t>
      </w:r>
      <w:r>
        <w:rPr>
          <w:rFonts w:hint="eastAsia"/>
          <w:szCs w:val="24"/>
          <w:lang w:val="en-US" w:eastAsia="zh-CN"/>
        </w:rPr>
        <w:t>新一届专家组</w:t>
      </w:r>
      <w:r>
        <w:rPr>
          <w:rFonts w:hint="eastAsia"/>
          <w:szCs w:val="24"/>
          <w:lang w:eastAsia="zh-CN"/>
        </w:rPr>
        <w:t>在日内瓦召开了第一次会议，各方就审议的工作方法和工作计划达成一致，形成了逐款审查《国际电信规则》的模板和各方认可的《工作计划》。</w:t>
      </w:r>
      <w:r>
        <w:rPr>
          <w:szCs w:val="24"/>
          <w:lang w:eastAsia="zh-CN"/>
        </w:rPr>
        <w:t>2020</w:t>
      </w:r>
      <w:r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月至</w:t>
      </w:r>
      <w:r>
        <w:rPr>
          <w:szCs w:val="24"/>
          <w:lang w:eastAsia="zh-CN"/>
        </w:rPr>
        <w:t>202</w:t>
      </w: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val="en-US" w:eastAsia="zh-CN"/>
        </w:rPr>
        <w:t>1</w:t>
      </w:r>
      <w:r>
        <w:rPr>
          <w:rFonts w:hint="eastAsia"/>
          <w:szCs w:val="24"/>
          <w:lang w:eastAsia="zh-CN"/>
        </w:rPr>
        <w:t>月，</w:t>
      </w:r>
      <w:r>
        <w:rPr>
          <w:rFonts w:hint="eastAsia"/>
          <w:szCs w:val="24"/>
          <w:lang w:val="en-US" w:eastAsia="zh-CN"/>
        </w:rPr>
        <w:t>专家组</w:t>
      </w:r>
      <w:r>
        <w:rPr>
          <w:rFonts w:hint="eastAsia"/>
          <w:szCs w:val="24"/>
          <w:lang w:eastAsia="zh-CN"/>
        </w:rPr>
        <w:t>先后召开了第二至第</w:t>
      </w:r>
      <w:r>
        <w:rPr>
          <w:rFonts w:hint="eastAsia"/>
          <w:szCs w:val="24"/>
          <w:lang w:val="en-US" w:eastAsia="zh-CN"/>
        </w:rPr>
        <w:t>六</w:t>
      </w:r>
      <w:r>
        <w:rPr>
          <w:rFonts w:hint="eastAsia"/>
          <w:szCs w:val="24"/>
          <w:lang w:eastAsia="zh-CN"/>
        </w:rPr>
        <w:t>次会议，期间顺利完成了对</w:t>
      </w:r>
      <w:bookmarkStart w:id="10" w:name="_Hlk80101794"/>
      <w:r>
        <w:rPr>
          <w:szCs w:val="24"/>
          <w:lang w:eastAsia="zh-CN"/>
        </w:rPr>
        <w:t>2012</w:t>
      </w:r>
      <w:r>
        <w:rPr>
          <w:rFonts w:hint="eastAsia"/>
          <w:szCs w:val="24"/>
          <w:lang w:eastAsia="zh-CN"/>
        </w:rPr>
        <w:t>年版《国际电信规则》的逐条审查工作</w:t>
      </w:r>
      <w:bookmarkEnd w:id="10"/>
      <w:r>
        <w:rPr>
          <w:rFonts w:hint="eastAsia"/>
          <w:szCs w:val="24"/>
          <w:lang w:eastAsia="zh-CN"/>
        </w:rPr>
        <w:t>。</w:t>
      </w:r>
    </w:p>
    <w:p w14:paraId="50A9E340" w14:textId="6F9A9AD8" w:rsidR="007850EF" w:rsidRDefault="00004A91" w:rsidP="00394FB6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985"/>
        </w:tabs>
        <w:spacing w:before="360" w:after="120"/>
        <w:rPr>
          <w:lang w:val="en-US" w:eastAsia="zh-CN"/>
        </w:rPr>
      </w:pPr>
      <w:r>
        <w:rPr>
          <w:rFonts w:hint="eastAsia"/>
          <w:lang w:eastAsia="zh-CN"/>
        </w:rPr>
        <w:t>二、</w:t>
      </w:r>
      <w:r>
        <w:rPr>
          <w:rFonts w:hint="eastAsia"/>
          <w:lang w:val="en-US" w:eastAsia="zh-CN"/>
        </w:rPr>
        <w:t>建议</w:t>
      </w:r>
      <w:r w:rsidR="00394FB6">
        <w:rPr>
          <w:lang w:val="en-US" w:eastAsia="zh-CN"/>
        </w:rPr>
        <w:tab/>
      </w:r>
    </w:p>
    <w:p w14:paraId="50A9E341" w14:textId="77777777" w:rsidR="007850EF" w:rsidRDefault="00004A9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line="360" w:lineRule="auto"/>
        <w:ind w:firstLineChars="200" w:firstLine="480"/>
        <w:jc w:val="both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自</w:t>
      </w:r>
      <w:r>
        <w:rPr>
          <w:rFonts w:hint="eastAsia"/>
          <w:szCs w:val="24"/>
          <w:lang w:val="en-US" w:eastAsia="zh-CN"/>
        </w:rPr>
        <w:t>2016</w:t>
      </w:r>
      <w:r>
        <w:rPr>
          <w:rFonts w:hint="eastAsia"/>
          <w:szCs w:val="24"/>
          <w:lang w:val="en-US" w:eastAsia="zh-CN"/>
        </w:rPr>
        <w:t>年以来，两届《国际电信规则》专家组</w:t>
      </w:r>
      <w:r>
        <w:rPr>
          <w:rFonts w:hint="eastAsia"/>
          <w:szCs w:val="24"/>
          <w:lang w:eastAsia="zh-CN"/>
        </w:rPr>
        <w:t>依据国际电联全权代表大会第</w:t>
      </w:r>
      <w:r>
        <w:rPr>
          <w:rFonts w:hint="eastAsia"/>
          <w:szCs w:val="24"/>
          <w:lang w:eastAsia="zh-CN"/>
        </w:rPr>
        <w:t>146</w:t>
      </w:r>
      <w:r>
        <w:rPr>
          <w:rFonts w:hint="eastAsia"/>
          <w:szCs w:val="24"/>
          <w:lang w:eastAsia="zh-CN"/>
        </w:rPr>
        <w:t>号决议</w:t>
      </w:r>
      <w:r>
        <w:rPr>
          <w:rFonts w:hint="eastAsia"/>
          <w:szCs w:val="24"/>
          <w:lang w:val="en-US" w:eastAsia="zh-CN"/>
        </w:rPr>
        <w:t>以及</w:t>
      </w:r>
      <w:r>
        <w:rPr>
          <w:rFonts w:hint="eastAsia"/>
          <w:szCs w:val="24"/>
          <w:lang w:eastAsia="zh-CN"/>
        </w:rPr>
        <w:t>理事会</w:t>
      </w:r>
      <w:r>
        <w:rPr>
          <w:rFonts w:hint="eastAsia"/>
          <w:szCs w:val="24"/>
          <w:lang w:val="en-US" w:eastAsia="zh-CN"/>
        </w:rPr>
        <w:t>相关决议</w:t>
      </w:r>
      <w:r>
        <w:rPr>
          <w:rFonts w:hint="eastAsia"/>
          <w:szCs w:val="24"/>
          <w:lang w:eastAsia="zh-CN"/>
        </w:rPr>
        <w:t>积极开展《</w:t>
      </w:r>
      <w:r>
        <w:rPr>
          <w:rFonts w:hint="eastAsia"/>
          <w:szCs w:val="24"/>
          <w:lang w:val="en-US" w:eastAsia="zh-CN"/>
        </w:rPr>
        <w:t>国际电信规则</w:t>
      </w:r>
      <w:r>
        <w:rPr>
          <w:rFonts w:hint="eastAsia"/>
          <w:szCs w:val="24"/>
          <w:lang w:eastAsia="zh-CN"/>
        </w:rPr>
        <w:t>》审查</w:t>
      </w:r>
      <w:r>
        <w:rPr>
          <w:rFonts w:hint="eastAsia"/>
          <w:szCs w:val="24"/>
          <w:lang w:val="en-US" w:eastAsia="zh-CN"/>
        </w:rPr>
        <w:t>及相关</w:t>
      </w:r>
      <w:r>
        <w:rPr>
          <w:rFonts w:hint="eastAsia"/>
          <w:szCs w:val="24"/>
          <w:lang w:eastAsia="zh-CN"/>
        </w:rPr>
        <w:t>工作，</w:t>
      </w:r>
      <w:r>
        <w:rPr>
          <w:rFonts w:hint="eastAsia"/>
          <w:szCs w:val="24"/>
          <w:lang w:val="en-US" w:eastAsia="zh-CN"/>
        </w:rPr>
        <w:t>对各方关注的问题进行了深入探讨交流，对</w:t>
      </w:r>
      <w:r>
        <w:rPr>
          <w:rFonts w:hint="eastAsia"/>
          <w:szCs w:val="24"/>
          <w:lang w:val="en-US" w:eastAsia="zh-CN"/>
        </w:rPr>
        <w:t>2012</w:t>
      </w:r>
      <w:r>
        <w:rPr>
          <w:rFonts w:hint="eastAsia"/>
          <w:szCs w:val="24"/>
          <w:lang w:val="en-US" w:eastAsia="zh-CN"/>
        </w:rPr>
        <w:t>版《国际电信规则》进行了逐条审议</w:t>
      </w:r>
      <w:r>
        <w:rPr>
          <w:rFonts w:hint="eastAsia"/>
          <w:szCs w:val="24"/>
          <w:lang w:eastAsia="zh-CN"/>
        </w:rPr>
        <w:t>，对每个条款“在促进网络和业务的提供与发展方面的适用性”和“在适应新趋势和正在出现的问题方面的灵活性”方面都形成了审查意见，并按照会议期间成员的一致意见填写了成果摘要。</w:t>
      </w:r>
      <w:r>
        <w:rPr>
          <w:rFonts w:hint="eastAsia"/>
          <w:szCs w:val="24"/>
          <w:lang w:val="en-US" w:eastAsia="zh-CN"/>
        </w:rPr>
        <w:t>在两届专家组的共同努力下，</w:t>
      </w:r>
      <w:r>
        <w:rPr>
          <w:rFonts w:hint="eastAsia"/>
          <w:szCs w:val="24"/>
          <w:lang w:eastAsia="zh-CN"/>
        </w:rPr>
        <w:t>《国际电信规则》</w:t>
      </w:r>
      <w:r>
        <w:rPr>
          <w:rFonts w:hint="eastAsia"/>
          <w:szCs w:val="24"/>
          <w:lang w:val="en-US" w:eastAsia="zh-CN"/>
        </w:rPr>
        <w:t>审议工作</w:t>
      </w:r>
      <w:r>
        <w:rPr>
          <w:rFonts w:hint="eastAsia"/>
          <w:szCs w:val="24"/>
          <w:lang w:eastAsia="zh-CN"/>
        </w:rPr>
        <w:t>取得了重大实质性进展，</w:t>
      </w:r>
      <w:r>
        <w:rPr>
          <w:rFonts w:hint="eastAsia"/>
          <w:szCs w:val="24"/>
          <w:lang w:val="en-US" w:eastAsia="zh-CN"/>
        </w:rPr>
        <w:t>在本届专家组提交理事会的最终报告中，进一步全面总结了目前取得的工作成果和审议进展情况，系统介绍了各方观点和立场，为开展下一步相关工作奠定了坚实的基础。</w:t>
      </w:r>
    </w:p>
    <w:p w14:paraId="50A9E342" w14:textId="77777777" w:rsidR="007850EF" w:rsidRDefault="00004A9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line="360" w:lineRule="auto"/>
        <w:ind w:firstLineChars="200" w:firstLine="480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根据国际电联《组织法》第</w:t>
      </w:r>
      <w:r>
        <w:rPr>
          <w:rFonts w:hint="eastAsia"/>
          <w:szCs w:val="24"/>
          <w:lang w:eastAsia="zh-CN"/>
        </w:rPr>
        <w:t>4</w:t>
      </w:r>
      <w:r>
        <w:rPr>
          <w:rFonts w:hint="eastAsia"/>
          <w:szCs w:val="24"/>
          <w:lang w:eastAsia="zh-CN"/>
        </w:rPr>
        <w:t>条“国际电联法规”规定，《国际电信规则》是国际电</w:t>
      </w:r>
      <w:proofErr w:type="gramStart"/>
      <w:r>
        <w:rPr>
          <w:rFonts w:hint="eastAsia"/>
          <w:szCs w:val="24"/>
          <w:lang w:eastAsia="zh-CN"/>
        </w:rPr>
        <w:t>联法规</w:t>
      </w:r>
      <w:proofErr w:type="gramEnd"/>
      <w:r>
        <w:rPr>
          <w:rFonts w:hint="eastAsia"/>
          <w:szCs w:val="24"/>
          <w:lang w:eastAsia="zh-CN"/>
        </w:rPr>
        <w:t>清单所列的两部行政规则之一。《国际电信规则》至今</w:t>
      </w:r>
      <w:r>
        <w:rPr>
          <w:rFonts w:hint="eastAsia"/>
          <w:szCs w:val="24"/>
          <w:lang w:val="en-US" w:eastAsia="zh-CN"/>
        </w:rPr>
        <w:t>也</w:t>
      </w:r>
      <w:r>
        <w:rPr>
          <w:rFonts w:hint="eastAsia"/>
          <w:szCs w:val="24"/>
          <w:lang w:eastAsia="zh-CN"/>
        </w:rPr>
        <w:t>仍然是全球唯一</w:t>
      </w:r>
      <w:proofErr w:type="gramStart"/>
      <w:r>
        <w:rPr>
          <w:rFonts w:hint="eastAsia"/>
          <w:szCs w:val="24"/>
          <w:lang w:eastAsia="zh-CN"/>
        </w:rPr>
        <w:t>一</w:t>
      </w:r>
      <w:proofErr w:type="gramEnd"/>
      <w:r>
        <w:rPr>
          <w:rFonts w:hint="eastAsia"/>
          <w:szCs w:val="24"/>
          <w:lang w:eastAsia="zh-CN"/>
        </w:rPr>
        <w:t>项关于确立促进国际电信提供和运营之一般原则的条约，有助于提高全球国际电信网络、基础设施和服务的效率、实用性和可用性，</w:t>
      </w:r>
      <w:r>
        <w:rPr>
          <w:rFonts w:hint="eastAsia"/>
          <w:szCs w:val="24"/>
          <w:lang w:val="en-US" w:eastAsia="zh-CN"/>
        </w:rPr>
        <w:t>尤其是对于广大发展中成员而言至关重要</w:t>
      </w:r>
      <w:r>
        <w:rPr>
          <w:rFonts w:hint="eastAsia"/>
          <w:szCs w:val="24"/>
          <w:lang w:eastAsia="zh-CN"/>
        </w:rPr>
        <w:t>。</w:t>
      </w:r>
      <w:r>
        <w:rPr>
          <w:rFonts w:hint="eastAsia"/>
          <w:szCs w:val="24"/>
          <w:lang w:val="en-US" w:eastAsia="zh-CN"/>
        </w:rPr>
        <w:t>与此同时，</w:t>
      </w:r>
      <w:r>
        <w:rPr>
          <w:rFonts w:hint="eastAsia"/>
          <w:szCs w:val="24"/>
          <w:lang w:eastAsia="zh-CN"/>
        </w:rPr>
        <w:t>考虑到电信</w:t>
      </w:r>
      <w:r>
        <w:rPr>
          <w:szCs w:val="24"/>
          <w:lang w:eastAsia="zh-CN"/>
        </w:rPr>
        <w:t>/ICT</w:t>
      </w:r>
      <w:r>
        <w:rPr>
          <w:rFonts w:hint="eastAsia"/>
          <w:szCs w:val="24"/>
          <w:lang w:eastAsia="zh-CN"/>
        </w:rPr>
        <w:t>的新趋势和国际电信</w:t>
      </w:r>
      <w:r>
        <w:rPr>
          <w:szCs w:val="24"/>
          <w:lang w:eastAsia="zh-CN"/>
        </w:rPr>
        <w:t>/ICT</w:t>
      </w:r>
      <w:r>
        <w:rPr>
          <w:rFonts w:hint="eastAsia"/>
          <w:szCs w:val="24"/>
          <w:lang w:eastAsia="zh-CN"/>
        </w:rPr>
        <w:t>环境中正在出现的问题，培育一个能够跟上快速变化的信息通信技术生态系统的</w:t>
      </w:r>
      <w:r>
        <w:rPr>
          <w:rFonts w:hint="eastAsia"/>
          <w:szCs w:val="24"/>
          <w:lang w:val="en-US" w:eastAsia="zh-CN"/>
        </w:rPr>
        <w:t>法律规则</w:t>
      </w:r>
      <w:r>
        <w:rPr>
          <w:rFonts w:hint="eastAsia"/>
          <w:szCs w:val="24"/>
          <w:lang w:eastAsia="zh-CN"/>
        </w:rPr>
        <w:t>环境</w:t>
      </w:r>
      <w:r>
        <w:rPr>
          <w:rFonts w:hint="eastAsia"/>
          <w:szCs w:val="24"/>
          <w:lang w:val="en-US" w:eastAsia="zh-CN"/>
        </w:rPr>
        <w:t>也非常</w:t>
      </w:r>
      <w:r>
        <w:rPr>
          <w:rFonts w:hint="eastAsia"/>
          <w:szCs w:val="24"/>
          <w:lang w:eastAsia="zh-CN"/>
        </w:rPr>
        <w:t>重要。鉴于此，我们建议未来继续保留《国际电</w:t>
      </w:r>
      <w:r>
        <w:rPr>
          <w:rFonts w:hint="eastAsia"/>
          <w:szCs w:val="24"/>
          <w:lang w:eastAsia="zh-CN"/>
        </w:rPr>
        <w:lastRenderedPageBreak/>
        <w:t>信规则》专家组，在</w:t>
      </w:r>
      <w:r>
        <w:rPr>
          <w:rFonts w:hint="eastAsia"/>
          <w:szCs w:val="24"/>
          <w:lang w:val="en-US" w:eastAsia="zh-CN"/>
        </w:rPr>
        <w:t>前两届</w:t>
      </w:r>
      <w:r>
        <w:rPr>
          <w:rFonts w:hint="eastAsia"/>
          <w:szCs w:val="24"/>
          <w:lang w:eastAsia="zh-CN"/>
        </w:rPr>
        <w:t>专家组已经取得的</w:t>
      </w:r>
      <w:r>
        <w:rPr>
          <w:rFonts w:hint="eastAsia"/>
          <w:szCs w:val="24"/>
          <w:lang w:val="en-US" w:eastAsia="zh-CN"/>
        </w:rPr>
        <w:t>坚实的</w:t>
      </w:r>
      <w:r>
        <w:rPr>
          <w:rFonts w:hint="eastAsia"/>
          <w:szCs w:val="24"/>
          <w:lang w:eastAsia="zh-CN"/>
        </w:rPr>
        <w:t>工作成果基础上，持续推进《国际电信规则》审查及相关工作，</w:t>
      </w:r>
      <w:r>
        <w:rPr>
          <w:rFonts w:hint="eastAsia"/>
          <w:szCs w:val="24"/>
          <w:lang w:val="en-US" w:eastAsia="zh-CN"/>
        </w:rPr>
        <w:t>推动达成更大范围的共识和更多成果</w:t>
      </w:r>
      <w:r>
        <w:rPr>
          <w:rFonts w:hint="eastAsia"/>
          <w:szCs w:val="24"/>
          <w:lang w:eastAsia="zh-CN"/>
        </w:rPr>
        <w:t>。</w:t>
      </w:r>
    </w:p>
    <w:p w14:paraId="40229CC3" w14:textId="77777777" w:rsidR="00394FB6" w:rsidRDefault="00394FB6" w:rsidP="00394FB6">
      <w:pPr>
        <w:spacing w:before="840"/>
        <w:jc w:val="center"/>
      </w:pPr>
      <w:r>
        <w:t>______________</w:t>
      </w:r>
    </w:p>
    <w:sectPr w:rsidR="00394FB6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FA61" w14:textId="77777777" w:rsidR="00004A91" w:rsidRDefault="00004A91">
      <w:pPr>
        <w:spacing w:before="0"/>
      </w:pPr>
      <w:r>
        <w:separator/>
      </w:r>
    </w:p>
  </w:endnote>
  <w:endnote w:type="continuationSeparator" w:id="0">
    <w:p w14:paraId="3D1B9AE7" w14:textId="77777777" w:rsidR="00004A91" w:rsidRDefault="00004A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E34B" w14:textId="0E30F561" w:rsidR="007850EF" w:rsidRPr="00394FB6" w:rsidRDefault="00004A91">
    <w:pPr>
      <w:pStyle w:val="Footer"/>
      <w:rPr>
        <w:color w:val="F2F2F2" w:themeColor="background1" w:themeShade="F2"/>
      </w:rPr>
    </w:pPr>
    <w:r w:rsidRPr="00394FB6">
      <w:rPr>
        <w:color w:val="F2F2F2" w:themeColor="background1" w:themeShade="F2"/>
      </w:rPr>
      <w:fldChar w:fldCharType="begin"/>
    </w:r>
    <w:r w:rsidRPr="00394FB6">
      <w:rPr>
        <w:color w:val="F2F2F2" w:themeColor="background1" w:themeShade="F2"/>
      </w:rPr>
      <w:instrText xml:space="preserve"> FILENAME \p  \* MERGEFORMAT </w:instrText>
    </w:r>
    <w:r w:rsidRPr="00394FB6">
      <w:rPr>
        <w:color w:val="F2F2F2" w:themeColor="background1" w:themeShade="F2"/>
      </w:rPr>
      <w:fldChar w:fldCharType="separate"/>
    </w:r>
    <w:r w:rsidRPr="00394FB6">
      <w:rPr>
        <w:color w:val="F2F2F2" w:themeColor="background1" w:themeShade="F2"/>
      </w:rPr>
      <w:t>Document1</w:t>
    </w:r>
    <w:r w:rsidRPr="00394FB6">
      <w:rPr>
        <w:color w:val="F2F2F2" w:themeColor="background1" w:themeShade="F2"/>
      </w:rPr>
      <w:fldChar w:fldCharType="end"/>
    </w:r>
    <w:r w:rsidRPr="00394FB6">
      <w:rPr>
        <w:color w:val="F2F2F2" w:themeColor="background1" w:themeShade="F2"/>
      </w:rPr>
      <w:tab/>
    </w:r>
    <w:r w:rsidRPr="00394FB6">
      <w:rPr>
        <w:color w:val="F2F2F2" w:themeColor="background1" w:themeShade="F2"/>
      </w:rPr>
      <w:fldChar w:fldCharType="begin"/>
    </w:r>
    <w:r w:rsidRPr="00394FB6">
      <w:rPr>
        <w:color w:val="F2F2F2" w:themeColor="background1" w:themeShade="F2"/>
      </w:rPr>
      <w:instrText xml:space="preserve"> SAVEDATE \@ DD.MM.YY </w:instrText>
    </w:r>
    <w:r w:rsidRPr="00394FB6">
      <w:rPr>
        <w:color w:val="F2F2F2" w:themeColor="background1" w:themeShade="F2"/>
      </w:rPr>
      <w:fldChar w:fldCharType="separate"/>
    </w:r>
    <w:r w:rsidR="0026387F" w:rsidRPr="00394FB6">
      <w:rPr>
        <w:noProof/>
        <w:color w:val="F2F2F2" w:themeColor="background1" w:themeShade="F2"/>
      </w:rPr>
      <w:t>07.03.22</w:t>
    </w:r>
    <w:r w:rsidRPr="00394FB6">
      <w:rPr>
        <w:color w:val="F2F2F2" w:themeColor="background1" w:themeShade="F2"/>
      </w:rPr>
      <w:fldChar w:fldCharType="end"/>
    </w:r>
    <w:r w:rsidRPr="00394FB6">
      <w:rPr>
        <w:color w:val="F2F2F2" w:themeColor="background1" w:themeShade="F2"/>
      </w:rPr>
      <w:tab/>
    </w:r>
    <w:r w:rsidRPr="00394FB6">
      <w:rPr>
        <w:color w:val="F2F2F2" w:themeColor="background1" w:themeShade="F2"/>
      </w:rPr>
      <w:fldChar w:fldCharType="begin"/>
    </w:r>
    <w:r w:rsidRPr="00394FB6">
      <w:rPr>
        <w:color w:val="F2F2F2" w:themeColor="background1" w:themeShade="F2"/>
      </w:rPr>
      <w:instrText xml:space="preserve"> PRINTDATE \@ DD.MM.YY </w:instrText>
    </w:r>
    <w:r w:rsidRPr="00394FB6">
      <w:rPr>
        <w:color w:val="F2F2F2" w:themeColor="background1" w:themeShade="F2"/>
      </w:rPr>
      <w:fldChar w:fldCharType="separate"/>
    </w:r>
    <w:r w:rsidRPr="00394FB6">
      <w:rPr>
        <w:color w:val="F2F2F2" w:themeColor="background1" w:themeShade="F2"/>
      </w:rPr>
      <w:t>18.07.00</w:t>
    </w:r>
    <w:r w:rsidRPr="00394FB6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E34C" w14:textId="77777777" w:rsidR="007850EF" w:rsidRDefault="00004A9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886D" w14:textId="77777777" w:rsidR="00004A91" w:rsidRDefault="00004A91">
      <w:pPr>
        <w:spacing w:before="0"/>
      </w:pPr>
      <w:r>
        <w:separator/>
      </w:r>
    </w:p>
  </w:footnote>
  <w:footnote w:type="continuationSeparator" w:id="0">
    <w:p w14:paraId="07EC3865" w14:textId="77777777" w:rsidR="00004A91" w:rsidRDefault="00004A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E349" w14:textId="77777777" w:rsidR="007850EF" w:rsidRDefault="00004A91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50A9E34A" w14:textId="7191E51E" w:rsidR="007850EF" w:rsidRDefault="00004A91">
    <w:pPr>
      <w:pStyle w:val="Header"/>
      <w:rPr>
        <w:bCs/>
      </w:rPr>
    </w:pPr>
    <w:r>
      <w:rPr>
        <w:bCs/>
      </w:rPr>
      <w:t>C22/</w:t>
    </w:r>
    <w:r w:rsidR="00FC34C1">
      <w:rPr>
        <w:bCs/>
      </w:rPr>
      <w:t>72</w:t>
    </w:r>
    <w:r>
      <w:rPr>
        <w:bCs/>
      </w:rPr>
      <w:t>-</w:t>
    </w:r>
    <w:r w:rsidR="00FC34C1">
      <w:rPr>
        <w:bCs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4F"/>
    <w:rsid w:val="00004A91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34F"/>
    <w:rsid w:val="0017539C"/>
    <w:rsid w:val="00175AC2"/>
    <w:rsid w:val="0017609F"/>
    <w:rsid w:val="001C628E"/>
    <w:rsid w:val="001E0F7B"/>
    <w:rsid w:val="002119FD"/>
    <w:rsid w:val="002130E0"/>
    <w:rsid w:val="0026387F"/>
    <w:rsid w:val="00264425"/>
    <w:rsid w:val="00265875"/>
    <w:rsid w:val="0027303B"/>
    <w:rsid w:val="0028109B"/>
    <w:rsid w:val="002A2188"/>
    <w:rsid w:val="002B1F58"/>
    <w:rsid w:val="002C1C7A"/>
    <w:rsid w:val="0030160F"/>
    <w:rsid w:val="00320223"/>
    <w:rsid w:val="00322D0D"/>
    <w:rsid w:val="003942D4"/>
    <w:rsid w:val="00394FB6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6F0126"/>
    <w:rsid w:val="00702DEF"/>
    <w:rsid w:val="00706861"/>
    <w:rsid w:val="00724011"/>
    <w:rsid w:val="0075051B"/>
    <w:rsid w:val="007850EF"/>
    <w:rsid w:val="00793188"/>
    <w:rsid w:val="00794D34"/>
    <w:rsid w:val="00813E5E"/>
    <w:rsid w:val="0083581B"/>
    <w:rsid w:val="00864AFF"/>
    <w:rsid w:val="00872F78"/>
    <w:rsid w:val="008B4A6A"/>
    <w:rsid w:val="008C7E27"/>
    <w:rsid w:val="009173EF"/>
    <w:rsid w:val="00932906"/>
    <w:rsid w:val="00961B0B"/>
    <w:rsid w:val="009B38C3"/>
    <w:rsid w:val="009B7945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250B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4FD4"/>
    <w:rsid w:val="00C55198"/>
    <w:rsid w:val="00CA14F1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37B64"/>
    <w:rsid w:val="00F46C5F"/>
    <w:rsid w:val="00F76D1A"/>
    <w:rsid w:val="00F94A63"/>
    <w:rsid w:val="00FA1C28"/>
    <w:rsid w:val="00FB1279"/>
    <w:rsid w:val="00FB7596"/>
    <w:rsid w:val="00FB788F"/>
    <w:rsid w:val="00FC34C1"/>
    <w:rsid w:val="00FE4077"/>
    <w:rsid w:val="00FE77D2"/>
    <w:rsid w:val="00FE7B94"/>
    <w:rsid w:val="1CAE048E"/>
    <w:rsid w:val="300065D2"/>
    <w:rsid w:val="35763F8F"/>
    <w:rsid w:val="417925BA"/>
    <w:rsid w:val="543A6EA9"/>
    <w:rsid w:val="558570B1"/>
    <w:rsid w:val="5A0E7BDB"/>
    <w:rsid w:val="5F0A0012"/>
    <w:rsid w:val="677B6B6C"/>
    <w:rsid w:val="78A8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9E310"/>
  <w15:docId w15:val="{05F42C36-89B6-4943-B9F5-337B4E80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NormalIndent">
    <w:name w:val="Normal Indent"/>
    <w:basedOn w:val="Normal"/>
    <w:qFormat/>
    <w:pPr>
      <w:ind w:left="567"/>
    </w:pPr>
  </w:style>
  <w:style w:type="paragraph" w:styleId="Index5">
    <w:name w:val="index 5"/>
    <w:basedOn w:val="Normal"/>
    <w:next w:val="Normal"/>
    <w:qFormat/>
    <w:pPr>
      <w:ind w:left="1132"/>
    </w:pPr>
  </w:style>
  <w:style w:type="paragraph" w:styleId="Index6">
    <w:name w:val="index 6"/>
    <w:basedOn w:val="Normal"/>
    <w:next w:val="Normal"/>
    <w:qFormat/>
    <w:pPr>
      <w:ind w:left="1415"/>
    </w:pPr>
  </w:style>
  <w:style w:type="paragraph" w:styleId="Index4">
    <w:name w:val="index 4"/>
    <w:basedOn w:val="Normal"/>
    <w:next w:val="Normal"/>
    <w:qFormat/>
    <w:pPr>
      <w:ind w:left="849"/>
    </w:pPr>
  </w:style>
  <w:style w:type="paragraph" w:styleId="TOC5">
    <w:name w:val="toc 5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3">
    <w:name w:val="index 3"/>
    <w:basedOn w:val="Normal"/>
    <w:next w:val="Normal"/>
    <w:qFormat/>
    <w:pPr>
      <w:ind w:left="566"/>
    </w:pPr>
  </w:style>
  <w:style w:type="paragraph" w:styleId="Footer">
    <w:name w:val="footer"/>
    <w:basedOn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styleId="TOC1">
    <w:name w:val="toc 1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4">
    <w:name w:val="toc 4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Heading">
    <w:name w:val="index heading"/>
    <w:basedOn w:val="Normal"/>
    <w:next w:val="Index1"/>
    <w:qFormat/>
  </w:style>
  <w:style w:type="paragraph" w:styleId="Index1">
    <w:name w:val="index 1"/>
    <w:basedOn w:val="Normal"/>
    <w:next w:val="Normal"/>
    <w:qFormat/>
  </w:style>
  <w:style w:type="paragraph" w:styleId="List">
    <w:name w:val="List"/>
    <w:basedOn w:val="Normal"/>
    <w:qFormat/>
    <w:pPr>
      <w:tabs>
        <w:tab w:val="left" w:pos="2127"/>
      </w:tabs>
      <w:ind w:left="2127" w:hanging="2127"/>
    </w:pPr>
  </w:style>
  <w:style w:type="paragraph" w:styleId="FootnoteText">
    <w:name w:val="footnote text"/>
    <w:basedOn w:val="Normal"/>
    <w:qFormat/>
    <w:pPr>
      <w:keepLines/>
      <w:tabs>
        <w:tab w:val="left" w:pos="256"/>
      </w:tabs>
      <w:ind w:left="256" w:hanging="256"/>
    </w:pPr>
  </w:style>
  <w:style w:type="paragraph" w:styleId="TOC6">
    <w:name w:val="toc 6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qFormat/>
    <w:pPr>
      <w:ind w:left="1698"/>
    </w:pPr>
  </w:style>
  <w:style w:type="paragraph" w:styleId="TOC2">
    <w:name w:val="toc 2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9">
    <w:name w:val="toc 9"/>
    <w:basedOn w:val="TOC4"/>
    <w:next w:val="Normal"/>
    <w:qFormat/>
  </w:style>
  <w:style w:type="paragraph" w:styleId="Index2">
    <w:name w:val="index 2"/>
    <w:basedOn w:val="Normal"/>
    <w:next w:val="Normal"/>
    <w:qFormat/>
    <w:pPr>
      <w:ind w:left="283"/>
    </w:pPr>
  </w:style>
  <w:style w:type="character" w:styleId="PageNumber">
    <w:name w:val="page number"/>
    <w:basedOn w:val="DefaultParagraphFont"/>
    <w:qFormat/>
    <w:rPr>
      <w:rFonts w:ascii="Calibri" w:hAnsi="Calibri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LineNumber">
    <w:name w:val="line number"/>
    <w:basedOn w:val="DefaultParagraphFont"/>
    <w:qFormat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FootnoteReference">
    <w:name w:val="footnote reference"/>
    <w:basedOn w:val="DefaultParagraphFont"/>
    <w:qFormat/>
    <w:rPr>
      <w:rFonts w:ascii="Calibri" w:hAnsi="Calibri"/>
      <w:position w:val="6"/>
      <w:sz w:val="16"/>
    </w:rPr>
  </w:style>
  <w:style w:type="paragraph" w:customStyle="1" w:styleId="enumlev1">
    <w:name w:val="enumlev1"/>
    <w:basedOn w:val="Normal"/>
    <w:qFormat/>
    <w:pPr>
      <w:spacing w:before="86"/>
      <w:ind w:left="567" w:hanging="567"/>
    </w:pPr>
  </w:style>
  <w:style w:type="paragraph" w:customStyle="1" w:styleId="enumlev2">
    <w:name w:val="enumlev2"/>
    <w:basedOn w:val="enumlev1"/>
    <w:qFormat/>
    <w:pPr>
      <w:ind w:left="1134"/>
    </w:pPr>
  </w:style>
  <w:style w:type="paragraph" w:customStyle="1" w:styleId="enumlev3">
    <w:name w:val="enumlev3"/>
    <w:basedOn w:val="enumlev2"/>
    <w:qFormat/>
    <w:pPr>
      <w:ind w:left="1701"/>
    </w:pPr>
  </w:style>
  <w:style w:type="paragraph" w:customStyle="1" w:styleId="Normalaftertitle">
    <w:name w:val="Normal after title"/>
    <w:basedOn w:val="Normal"/>
    <w:next w:val="Normal"/>
    <w:qFormat/>
    <w:pPr>
      <w:spacing w:before="240"/>
    </w:pPr>
  </w:style>
  <w:style w:type="paragraph" w:customStyle="1" w:styleId="Equation">
    <w:name w:val="Equation"/>
    <w:basedOn w:val="Normal"/>
    <w:qFormat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qFormat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qFormat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qFormat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qFormat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qFormat/>
    <w:rPr>
      <w:caps w:val="0"/>
    </w:rPr>
  </w:style>
  <w:style w:type="paragraph" w:customStyle="1" w:styleId="meeting">
    <w:name w:val="meeting"/>
    <w:basedOn w:val="Head"/>
    <w:next w:val="Head"/>
    <w:qFormat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qFormat/>
  </w:style>
  <w:style w:type="paragraph" w:customStyle="1" w:styleId="Data">
    <w:name w:val="Data"/>
    <w:basedOn w:val="Subject"/>
    <w:next w:val="Subject"/>
    <w:qFormat/>
  </w:style>
  <w:style w:type="paragraph" w:customStyle="1" w:styleId="Reasons">
    <w:name w:val="Reasons"/>
    <w:basedOn w:val="Normal"/>
    <w:qFormat/>
  </w:style>
  <w:style w:type="paragraph" w:customStyle="1" w:styleId="FirstFooter">
    <w:name w:val="FirstFooter"/>
    <w:basedOn w:val="Footer"/>
    <w:qFormat/>
    <w:rPr>
      <w:caps w:val="0"/>
    </w:rPr>
  </w:style>
  <w:style w:type="paragraph" w:customStyle="1" w:styleId="Note">
    <w:name w:val="Note"/>
    <w:basedOn w:val="Normal"/>
    <w:qFormat/>
    <w:pPr>
      <w:tabs>
        <w:tab w:val="clear" w:pos="567"/>
        <w:tab w:val="left" w:pos="851"/>
      </w:tabs>
    </w:pPr>
  </w:style>
  <w:style w:type="paragraph" w:customStyle="1" w:styleId="Headingb">
    <w:name w:val="Heading_b"/>
    <w:basedOn w:val="Heading3"/>
    <w:next w:val="Normal"/>
    <w:qFormat/>
    <w:pPr>
      <w:spacing w:before="160"/>
      <w:outlineLvl w:val="0"/>
    </w:p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dnum">
    <w:name w:val="dnum"/>
    <w:basedOn w:val="Normal"/>
    <w:qFormat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qFormat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qFormat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qFormat/>
    <w:pPr>
      <w:jc w:val="center"/>
    </w:pPr>
  </w:style>
  <w:style w:type="paragraph" w:customStyle="1" w:styleId="Annextitle">
    <w:name w:val="Annex_title"/>
    <w:basedOn w:val="Normal"/>
    <w:next w:val="Normal"/>
    <w:qFormat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  <w:qFormat/>
  </w:style>
  <w:style w:type="paragraph" w:customStyle="1" w:styleId="Appendixtitle">
    <w:name w:val="Appendix_title"/>
    <w:basedOn w:val="Annextitle"/>
    <w:next w:val="Normal"/>
  </w:style>
  <w:style w:type="paragraph" w:customStyle="1" w:styleId="Call">
    <w:name w:val="Call"/>
    <w:basedOn w:val="Normal"/>
    <w:next w:val="Normal"/>
    <w:qFormat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qFormat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qFormat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qFormat/>
    <w:pPr>
      <w:spacing w:before="240" w:after="480"/>
    </w:pPr>
  </w:style>
  <w:style w:type="paragraph" w:customStyle="1" w:styleId="Tabletitle">
    <w:name w:val="Table_title"/>
    <w:basedOn w:val="TableNo"/>
    <w:next w:val="Tabletext"/>
    <w:qFormat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qFormat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qFormat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qFormat/>
    <w:pPr>
      <w:keepNext w:val="0"/>
      <w:spacing w:after="240"/>
    </w:pPr>
  </w:style>
  <w:style w:type="paragraph" w:customStyle="1" w:styleId="Headingi">
    <w:name w:val="Heading_i"/>
    <w:basedOn w:val="Heading3"/>
    <w:next w:val="Normal"/>
    <w:qFormat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  <w:qFormat/>
  </w:style>
  <w:style w:type="paragraph" w:customStyle="1" w:styleId="Partref">
    <w:name w:val="Part_ref"/>
    <w:basedOn w:val="Annexref"/>
    <w:next w:val="Normalaftertitle"/>
    <w:qFormat/>
  </w:style>
  <w:style w:type="paragraph" w:customStyle="1" w:styleId="RecNo">
    <w:name w:val="Rec_No"/>
    <w:basedOn w:val="Normal"/>
    <w:next w:val="Rectitle"/>
    <w:qFormat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qFormat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qFormat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qFormat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qFormat/>
  </w:style>
  <w:style w:type="paragraph" w:customStyle="1" w:styleId="QuestionNo">
    <w:name w:val="Question_No"/>
    <w:basedOn w:val="RecNo"/>
    <w:next w:val="Questiontitle"/>
    <w:qFormat/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ftitle">
    <w:name w:val="Ref_title"/>
    <w:basedOn w:val="Normal"/>
    <w:next w:val="Reftext"/>
    <w:qFormat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qFormat/>
  </w:style>
  <w:style w:type="paragraph" w:customStyle="1" w:styleId="RepNo">
    <w:name w:val="Rep_No"/>
    <w:basedOn w:val="RecNo"/>
    <w:next w:val="Reptitle"/>
    <w:qFormat/>
  </w:style>
  <w:style w:type="paragraph" w:customStyle="1" w:styleId="Reptitle">
    <w:name w:val="Rep_title"/>
    <w:basedOn w:val="Rectitle"/>
    <w:next w:val="Repref"/>
    <w:qFormat/>
  </w:style>
  <w:style w:type="paragraph" w:customStyle="1" w:styleId="Repref">
    <w:name w:val="Rep_ref"/>
    <w:basedOn w:val="Recref"/>
    <w:next w:val="Repdate"/>
    <w:qFormat/>
  </w:style>
  <w:style w:type="paragraph" w:customStyle="1" w:styleId="Resdate">
    <w:name w:val="Res_date"/>
    <w:basedOn w:val="Recdate"/>
    <w:next w:val="Normalaftertitle"/>
    <w:qFormat/>
  </w:style>
  <w:style w:type="paragraph" w:customStyle="1" w:styleId="ResNo">
    <w:name w:val="Res_No"/>
    <w:basedOn w:val="AnnexNo"/>
    <w:next w:val="Restitle"/>
    <w:qFormat/>
  </w:style>
  <w:style w:type="paragraph" w:customStyle="1" w:styleId="Restitle">
    <w:name w:val="Res_title"/>
    <w:basedOn w:val="Annextitle"/>
    <w:next w:val="Normal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AnnexNo"/>
    <w:next w:val="Sectiontitle"/>
    <w:qFormat/>
  </w:style>
  <w:style w:type="paragraph" w:customStyle="1" w:styleId="Sectiontitle">
    <w:name w:val="Section_title"/>
    <w:basedOn w:val="Normal"/>
    <w:next w:val="Normalaftertitle"/>
    <w:qFormat/>
    <w:rPr>
      <w:sz w:val="28"/>
    </w:rPr>
  </w:style>
  <w:style w:type="paragraph" w:customStyle="1" w:styleId="SpecialFooter">
    <w:name w:val="Special Footer"/>
    <w:basedOn w:val="Footer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Tabletext"/>
    <w:qFormat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qFormat/>
    <w:pPr>
      <w:spacing w:before="120"/>
    </w:pPr>
  </w:style>
  <w:style w:type="paragraph" w:customStyle="1" w:styleId="Tableref">
    <w:name w:val="Table_ref"/>
    <w:basedOn w:val="Normal"/>
    <w:next w:val="Tabletitle"/>
    <w:qFormat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</w:style>
  <w:style w:type="paragraph" w:customStyle="1" w:styleId="Chaptitle">
    <w:name w:val="Chap_title"/>
    <w:basedOn w:val="Arttitle"/>
    <w:next w:val="Normal"/>
    <w:qFormat/>
  </w:style>
  <w:style w:type="paragraph" w:customStyle="1" w:styleId="Table">
    <w:name w:val="Table_#"/>
    <w:basedOn w:val="Normal"/>
    <w:next w:val="Normal"/>
    <w:qFormat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D62533F719A46A77FEA7F877DDC05" ma:contentTypeVersion="1" ma:contentTypeDescription="Create a new document." ma:contentTypeScope="" ma:versionID="4c4cf562cdca957db4870c843bbe90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49DE5-9772-4FE0-8C4E-19EB42960256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F6DB4D6-8A2B-4254-82D9-06A62EC145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5B4D69-1D32-4801-A8AA-8CA23BC50E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B07AE3-02AB-4F05-8738-DFD1B4584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2022</vt:lpstr>
    </vt:vector>
  </TitlesOfParts>
  <Manager>General Secretariat - Pool</Manager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China - Proposal to keep the Expert Group on the International Telecommunication Regulations (EG-ITRs)</dc:title>
  <dc:subject>Council 2022</dc:subject>
  <dc:creator>Brouard, Ricarda</dc:creator>
  <cp:keywords>C2022, C22, Council-22</cp:keywords>
  <cp:lastModifiedBy>Xue, Kun</cp:lastModifiedBy>
  <cp:revision>2</cp:revision>
  <cp:lastPrinted>2000-07-18T13:30:00Z</cp:lastPrinted>
  <dcterms:created xsi:type="dcterms:W3CDTF">2022-03-07T09:57:00Z</dcterms:created>
  <dcterms:modified xsi:type="dcterms:W3CDTF">2022-03-07T09:57:00Z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0x01010038CD62533F719A46A77FEA7F877DDC05</vt:lpwstr>
  </property>
  <property fmtid="{D5CDD505-2E9C-101B-9397-08002B2CF9AE}" pid="9" name="KSOProductBuildVer">
    <vt:lpwstr>2052-11.1.0.11365</vt:lpwstr>
  </property>
  <property fmtid="{D5CDD505-2E9C-101B-9397-08002B2CF9AE}" pid="10" name="ICV">
    <vt:lpwstr>68316632072B4B67A9D5651BAC1B4BFC</vt:lpwstr>
  </property>
</Properties>
</file>